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sz w:val="30"/>
          <w:szCs w:val="30"/>
        </w:rPr>
      </w:pPr>
    </w:p>
    <w:p>
      <w:pPr>
        <w:jc w:val="center"/>
        <w:rPr>
          <w:rFonts w:hint="eastAsia" w:asciiTheme="minorEastAsia" w:hAnsiTheme="minorEastAsia" w:eastAsiaTheme="minorEastAsia" w:cstheme="minorEastAsia"/>
          <w:b/>
          <w:bCs/>
          <w:sz w:val="30"/>
          <w:szCs w:val="30"/>
          <w:lang w:eastAsia="zh-CN"/>
        </w:rPr>
      </w:pPr>
      <w:r>
        <w:rPr>
          <w:rFonts w:hint="eastAsia" w:asciiTheme="minorEastAsia" w:hAnsiTheme="minorEastAsia" w:cstheme="minorEastAsia"/>
          <w:b/>
          <w:bCs/>
          <w:sz w:val="30"/>
          <w:szCs w:val="30"/>
        </w:rPr>
        <w:t>福田区第二人民医院耗材投标单位须知</w:t>
      </w:r>
      <w:r>
        <w:rPr>
          <w:rFonts w:hint="eastAsia" w:asciiTheme="minorEastAsia" w:hAnsiTheme="minorEastAsia" w:cstheme="minorEastAsia"/>
          <w:b/>
          <w:bCs/>
          <w:sz w:val="30"/>
          <w:szCs w:val="30"/>
          <w:lang w:eastAsia="zh-CN"/>
        </w:rPr>
        <w:t>（含招标文件）</w:t>
      </w:r>
    </w:p>
    <w:p>
      <w:pPr>
        <w:jc w:val="center"/>
        <w:rPr>
          <w:rFonts w:asciiTheme="minorEastAsia" w:hAnsiTheme="minorEastAsia" w:cstheme="minorEastAsia"/>
          <w:b/>
          <w:bCs/>
          <w:sz w:val="24"/>
          <w:szCs w:val="24"/>
        </w:rPr>
      </w:pPr>
    </w:p>
    <w:p>
      <w:pPr>
        <w:rPr>
          <w:rFonts w:asciiTheme="minorEastAsia" w:hAnsiTheme="minorEastAsia" w:cstheme="minorEastAsia"/>
          <w:sz w:val="24"/>
          <w:szCs w:val="24"/>
        </w:rPr>
      </w:pPr>
      <w:r>
        <w:rPr>
          <w:rFonts w:hint="eastAsia" w:asciiTheme="minorEastAsia" w:hAnsiTheme="minorEastAsia" w:cstheme="minorEastAsia"/>
          <w:sz w:val="24"/>
          <w:szCs w:val="24"/>
        </w:rPr>
        <w:t xml:space="preserve">  1、深圳市福田区第二人民医院对本单位部分耗材进行公开招标。欢迎各有医疗器械经营许可权或医疗设备生产许可权的经营企业或生产企业参加投标。 </w:t>
      </w:r>
    </w:p>
    <w:p>
      <w:pPr>
        <w:rPr>
          <w:rFonts w:asciiTheme="minorEastAsia" w:hAnsiTheme="minorEastAsia" w:cstheme="minorEastAsia"/>
          <w:sz w:val="24"/>
          <w:szCs w:val="24"/>
        </w:rPr>
      </w:pPr>
      <w:r>
        <w:rPr>
          <w:rFonts w:hint="eastAsia" w:asciiTheme="minorEastAsia" w:hAnsiTheme="minorEastAsia" w:cstheme="minorEastAsia"/>
          <w:sz w:val="24"/>
          <w:szCs w:val="24"/>
        </w:rPr>
        <w:t>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2、供应商可根据自身的经营情况，选择投一个或多个采购条目，但不允许将一个采购条目流水</w:t>
      </w:r>
      <w:r>
        <w:rPr>
          <w:rFonts w:hint="eastAsia" w:asciiTheme="minorEastAsia" w:hAnsiTheme="minorEastAsia" w:cstheme="minorEastAsia"/>
          <w:color w:val="000000" w:themeColor="text1"/>
          <w:sz w:val="24"/>
          <w:szCs w:val="24"/>
          <w14:textFill>
            <w14:solidFill>
              <w14:schemeClr w14:val="tx1"/>
            </w14:solidFill>
          </w14:textFill>
        </w:rPr>
        <w:t>号的内容拆散</w:t>
      </w:r>
      <w:r>
        <w:rPr>
          <w:rFonts w:hint="eastAsia" w:asciiTheme="minorEastAsia" w:hAnsiTheme="minorEastAsia" w:cstheme="minorEastAsia"/>
          <w:color w:val="000000" w:themeColor="text1"/>
          <w:sz w:val="24"/>
          <w:szCs w:val="24"/>
          <w:lang w:eastAsia="zh-CN"/>
          <w14:textFill>
            <w14:solidFill>
              <w14:schemeClr w14:val="tx1"/>
            </w14:solidFill>
          </w14:textFill>
        </w:rPr>
        <w:t>投标</w:t>
      </w:r>
      <w:r>
        <w:rPr>
          <w:rFonts w:hint="eastAsia" w:asciiTheme="minorEastAsia" w:hAnsiTheme="minorEastAsia" w:cstheme="minorEastAsia"/>
          <w:sz w:val="24"/>
          <w:szCs w:val="24"/>
        </w:rPr>
        <w:t>。</w:t>
      </w:r>
      <w:r>
        <w:rPr>
          <w:rFonts w:hint="eastAsia" w:asciiTheme="minorEastAsia" w:hAnsiTheme="minorEastAsia" w:cstheme="minorEastAsia"/>
          <w:color w:val="FF0000"/>
          <w:sz w:val="24"/>
          <w:szCs w:val="24"/>
        </w:rPr>
        <w:t>请准备投标文件三份（一份正本二份副本）。</w:t>
      </w:r>
    </w:p>
    <w:p>
      <w:pP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sz w:val="24"/>
          <w:szCs w:val="24"/>
        </w:rPr>
        <w:t xml:space="preserve">   3、应标供应商资质查验：参</w:t>
      </w:r>
      <w:r>
        <w:rPr>
          <w:rFonts w:hint="eastAsia" w:asciiTheme="minorEastAsia" w:hAnsiTheme="minorEastAsia" w:cstheme="minorEastAsia"/>
          <w:color w:val="000000" w:themeColor="text1"/>
          <w:sz w:val="24"/>
          <w:szCs w:val="24"/>
          <w14:textFill>
            <w14:solidFill>
              <w14:schemeClr w14:val="tx1"/>
            </w14:solidFill>
          </w14:textFill>
        </w:rPr>
        <w:t>加投标的供应商须按照要求编制投标文件，包含以下资质证明文件(请按照以下顺序排列)，并做好封面及目录。</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(1)参加应标的供应商法人证明书</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(2)参加应标的供应商法人代表授权书</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(3)参加应标公司法</w:t>
      </w:r>
      <w:r>
        <w:rPr>
          <w:rFonts w:hint="eastAsia" w:asciiTheme="minorEastAsia" w:hAnsiTheme="minorEastAsia" w:cstheme="minorEastAsia"/>
          <w:color w:val="000000" w:themeColor="text1"/>
          <w:sz w:val="24"/>
          <w:szCs w:val="24"/>
          <w:lang w:eastAsia="zh-CN"/>
          <w14:textFill>
            <w14:solidFill>
              <w14:schemeClr w14:val="tx1"/>
            </w14:solidFill>
          </w14:textFill>
        </w:rPr>
        <w:t>人</w:t>
      </w:r>
      <w:r>
        <w:rPr>
          <w:rFonts w:hint="eastAsia" w:asciiTheme="minorEastAsia" w:hAnsiTheme="minorEastAsia" w:cstheme="minorEastAsia"/>
          <w:color w:val="000000" w:themeColor="text1"/>
          <w:sz w:val="24"/>
          <w:szCs w:val="24"/>
          <w14:textFill>
            <w14:solidFill>
              <w14:schemeClr w14:val="tx1"/>
            </w14:solidFill>
          </w14:textFill>
        </w:rPr>
        <w:t>及被授权人身份证复印件(正反面、加盖公司公章)</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(4)参加应标的供应商营业执照副本复印件(加盖公章)</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(5)参加应标的供应商医疗器械经营许可证复印件(加盖公章)</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(6)参加应标的供应商必须为制造商或制造商对项目指定的唯一合法代理商，必须提供制造授权书</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rPr>
          <w:rFonts w:hint="eastAsia" w:asciiTheme="minorEastAsia" w:hAnsiTheme="minorEastAsia" w:cstheme="minorEastAsia"/>
          <w:color w:val="FF0000"/>
          <w:sz w:val="24"/>
          <w:szCs w:val="24"/>
        </w:rPr>
      </w:pPr>
      <w:r>
        <w:rPr>
          <w:rFonts w:hint="eastAsia" w:asciiTheme="minorEastAsia" w:hAnsiTheme="minorEastAsia" w:cstheme="minorEastAsia"/>
          <w:color w:val="000000" w:themeColor="text1"/>
          <w:sz w:val="24"/>
          <w:szCs w:val="24"/>
          <w14:textFill>
            <w14:solidFill>
              <w14:schemeClr w14:val="tx1"/>
            </w14:solidFill>
          </w14:textFill>
        </w:rPr>
        <w:t xml:space="preserve">  (7)报价表(标书第2项)、技术参数规格偏离表(标书第3项)、产品三证、用户名单、配送商履约能力及技术支持服务能力</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售后服务承诺</w:t>
      </w:r>
      <w:r>
        <w:rPr>
          <w:rFonts w:hint="eastAsia" w:asciiTheme="minorEastAsia" w:hAnsiTheme="minorEastAsia" w:cstheme="minorEastAsia"/>
          <w:color w:val="000000" w:themeColor="text1"/>
          <w:sz w:val="24"/>
          <w:szCs w:val="24"/>
          <w:lang w:eastAsia="zh-CN"/>
          <w14:textFill>
            <w14:solidFill>
              <w14:schemeClr w14:val="tx1"/>
            </w14:solidFill>
          </w14:textFill>
        </w:rPr>
        <w:t>、产品情况技术先进性等</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FF0000"/>
          <w:sz w:val="24"/>
          <w:szCs w:val="24"/>
        </w:rPr>
        <w:t>开标当天纸质版报价表需做双份，一份为开标一览表单独密封投递，一份为纸质报价表装订在标书内</w:t>
      </w:r>
      <w:r>
        <w:rPr>
          <w:rFonts w:hint="eastAsia" w:asciiTheme="minorEastAsia" w:hAnsiTheme="minorEastAsia" w:cstheme="minorEastAsia"/>
          <w:color w:val="FF0000"/>
          <w:sz w:val="24"/>
          <w:szCs w:val="24"/>
          <w:lang w:eastAsia="zh-CN"/>
        </w:rPr>
        <w:t>密封</w:t>
      </w:r>
      <w:r>
        <w:rPr>
          <w:rFonts w:hint="eastAsia" w:asciiTheme="minorEastAsia" w:hAnsiTheme="minorEastAsia" w:cstheme="minorEastAsia"/>
          <w:color w:val="FF0000"/>
          <w:sz w:val="24"/>
          <w:szCs w:val="24"/>
        </w:rPr>
        <w:t>。</w:t>
      </w:r>
    </w:p>
    <w:p>
      <w:pP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(8)货比三家资料(发票复印件)、彩页等，</w:t>
      </w:r>
      <w:r>
        <w:rPr>
          <w:rFonts w:hint="eastAsia" w:asciiTheme="minorEastAsia" w:hAnsiTheme="minorEastAsia" w:cstheme="minorEastAsia"/>
          <w:color w:val="FF0000"/>
          <w:sz w:val="24"/>
          <w:szCs w:val="24"/>
        </w:rPr>
        <w:t>耗材类需提供样品</w:t>
      </w:r>
      <w:r>
        <w:rPr>
          <w:rFonts w:hint="eastAsia" w:asciiTheme="minorEastAsia" w:hAnsiTheme="minorEastAsia" w:cstheme="minorEastAsia"/>
          <w:color w:val="000000" w:themeColor="text1"/>
          <w:sz w:val="24"/>
          <w:szCs w:val="24"/>
          <w14:textFill>
            <w14:solidFill>
              <w14:schemeClr w14:val="tx1"/>
            </w14:solidFill>
          </w14:textFill>
        </w:rPr>
        <w:t>。</w:t>
      </w:r>
    </w:p>
    <w:p>
      <w:pPr>
        <w:rPr>
          <w:rFonts w:hint="eastAsia" w:asciiTheme="minorEastAsia" w:hAnsiTheme="minorEastAsia" w:cstheme="minorEastAsia"/>
          <w:sz w:val="24"/>
          <w:szCs w:val="24"/>
        </w:rPr>
      </w:pPr>
      <w:r>
        <w:rPr>
          <w:rFonts w:hint="eastAsia" w:asciiTheme="minorEastAsia" w:hAnsiTheme="minorEastAsia" w:cstheme="minorEastAsia"/>
          <w:color w:val="000000" w:themeColor="text1"/>
          <w:sz w:val="24"/>
          <w:szCs w:val="24"/>
          <w14:textFill>
            <w14:solidFill>
              <w14:schemeClr w14:val="tx1"/>
            </w14:solidFill>
          </w14:textFill>
        </w:rPr>
        <w:t xml:space="preserve"> (9)属于国家强制计量检测设备项目需提供有效期内</w:t>
      </w:r>
      <w:r>
        <w:rPr>
          <w:rFonts w:hint="eastAsia" w:asciiTheme="minorEastAsia" w:hAnsiTheme="minorEastAsia" w:cstheme="minorEastAsia"/>
          <w:sz w:val="24"/>
          <w:szCs w:val="24"/>
        </w:rPr>
        <w:t xml:space="preserve">的第三方检测报告及检测合格证；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0</w:t>
      </w:r>
      <w:r>
        <w:rPr>
          <w:rFonts w:hint="eastAsia" w:asciiTheme="minorEastAsia" w:hAnsiTheme="minorEastAsia" w:cstheme="minorEastAsia"/>
          <w:sz w:val="24"/>
          <w:szCs w:val="24"/>
        </w:rPr>
        <w:t xml:space="preserve">）每家经销公司参与投标的同品名、同规格的品种，不得超过1个。 </w:t>
      </w:r>
    </w:p>
    <w:p>
      <w:pP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11</w:t>
      </w:r>
      <w:r>
        <w:rPr>
          <w:rFonts w:hint="eastAsia" w:asciiTheme="minorEastAsia" w:hAnsiTheme="minorEastAsia" w:cstheme="minorEastAsia"/>
          <w:sz w:val="24"/>
          <w:szCs w:val="24"/>
        </w:rPr>
        <w:t>）投标价格一经公布，不得更改，如有错误，作废标处理</w:t>
      </w:r>
      <w:r>
        <w:rPr>
          <w:rFonts w:hint="eastAsia" w:asciiTheme="minorEastAsia" w:hAnsiTheme="minorEastAsia" w:cstheme="minorEastAsia"/>
          <w:sz w:val="24"/>
          <w:szCs w:val="24"/>
          <w:lang w:eastAsia="zh-CN"/>
        </w:rPr>
        <w:t>。</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rPr>
        <w:t xml:space="preserve">）投标文件中不许有加行、涂改，否则作废标处理。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rPr>
        <w:t xml:space="preserve">）招标单位不向落标方解释原因，不退还投标文件。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rPr>
        <w:t xml:space="preserve">）中标单位在中标公告发出两周内与招标方确定签订合同事宜，逾期作废。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）医用材料招标项目合同的执行期为</w:t>
      </w:r>
      <w:r>
        <w:rPr>
          <w:rFonts w:hint="eastAsia" w:asciiTheme="minorEastAsia" w:hAnsiTheme="minorEastAsia" w:cstheme="minorEastAsia"/>
          <w:sz w:val="24"/>
          <w:szCs w:val="24"/>
          <w:lang w:val="en-US" w:eastAsia="zh-CN"/>
        </w:rPr>
        <w:t>24</w:t>
      </w:r>
      <w:r>
        <w:rPr>
          <w:rFonts w:hint="eastAsia" w:asciiTheme="minorEastAsia" w:hAnsiTheme="minorEastAsia" w:cstheme="minorEastAsia"/>
          <w:sz w:val="24"/>
          <w:szCs w:val="24"/>
        </w:rPr>
        <w:t>个月</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 xml:space="preserve">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rPr>
        <w:t xml:space="preserve">）合同有效期内，如政府调价或市政府统一招标，双方应无条件按上级文件执行，并相应修改合同的有关条款，招标方不向投标方作任何补偿与解释。否则，招标方有权终止合同。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rPr>
        <w:t xml:space="preserve">）企业参加投标，即表示接受本次招标的各项要求。 </w:t>
      </w:r>
    </w:p>
    <w:p>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8</w:t>
      </w:r>
      <w:r>
        <w:rPr>
          <w:rFonts w:hint="eastAsia" w:asciiTheme="minorEastAsia" w:hAnsiTheme="minorEastAsia" w:cstheme="minorEastAsia"/>
          <w:sz w:val="24"/>
          <w:szCs w:val="24"/>
        </w:rPr>
        <w:t xml:space="preserve">）招标活动的最终解释权属于深圳市福田区第二人民医院。 </w:t>
      </w:r>
    </w:p>
    <w:p>
      <w:pPr>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19</w:t>
      </w:r>
      <w:r>
        <w:rPr>
          <w:rFonts w:hint="eastAsia" w:asciiTheme="minorEastAsia" w:hAnsiTheme="minorEastAsia" w:cstheme="minorEastAsia"/>
          <w:sz w:val="24"/>
          <w:szCs w:val="24"/>
        </w:rPr>
        <w:t xml:space="preserve">）招标评审组由院领导、相关科室专家、设备科、财务科、医院纪检部门等组成。 </w:t>
      </w:r>
    </w:p>
    <w:p>
      <w:pPr>
        <w:rPr>
          <w:rFonts w:hint="eastAsia" w:asciiTheme="minorEastAsia" w:hAnsiTheme="minorEastAsia" w:cstheme="minorEastAsia"/>
          <w:sz w:val="24"/>
          <w:szCs w:val="24"/>
        </w:rPr>
      </w:pPr>
      <w:r>
        <w:rPr>
          <w:rFonts w:hint="eastAsia" w:asciiTheme="minorEastAsia" w:hAnsiTheme="minorEastAsia" w:cstheme="minorEastAsia"/>
          <w:sz w:val="24"/>
          <w:szCs w:val="24"/>
        </w:rPr>
        <w:t>（2</w:t>
      </w:r>
      <w:r>
        <w:rPr>
          <w:rFonts w:hint="eastAsia" w:asciiTheme="minorEastAsia" w:hAnsiTheme="minorEastAsia" w:cstheme="minorEastAsia"/>
          <w:sz w:val="24"/>
          <w:szCs w:val="24"/>
          <w:lang w:val="en-US" w:eastAsia="zh-CN"/>
        </w:rPr>
        <w:t>0</w:t>
      </w:r>
      <w:r>
        <w:rPr>
          <w:rFonts w:hint="eastAsia" w:asciiTheme="minorEastAsia" w:hAnsiTheme="minorEastAsia" w:cstheme="minorEastAsia"/>
          <w:sz w:val="24"/>
          <w:szCs w:val="24"/>
        </w:rPr>
        <w:t>）参加投标企业需投标前</w:t>
      </w:r>
      <w:r>
        <w:rPr>
          <w:rFonts w:hint="eastAsia" w:asciiTheme="minorEastAsia" w:hAnsiTheme="minorEastAsia" w:cstheme="minorEastAsia"/>
          <w:sz w:val="24"/>
          <w:szCs w:val="24"/>
          <w:lang w:val="en-US" w:eastAsia="zh-CN"/>
        </w:rPr>
        <w:t>30</w:t>
      </w:r>
      <w:r>
        <w:rPr>
          <w:rFonts w:hint="eastAsia" w:asciiTheme="minorEastAsia" w:hAnsiTheme="minorEastAsia" w:cstheme="minorEastAsia"/>
          <w:sz w:val="24"/>
          <w:szCs w:val="24"/>
        </w:rPr>
        <w:t>分钟到达开标地点。</w:t>
      </w:r>
    </w:p>
    <w:p>
      <w:pPr>
        <w:rPr>
          <w:rFonts w:hint="eastAsia" w:asciiTheme="minorEastAsia" w:hAnsiTheme="minorEastAsia" w:cstheme="minorEastAsia"/>
          <w:sz w:val="24"/>
          <w:szCs w:val="24"/>
          <w:lang w:eastAsia="zh-CN"/>
        </w:rPr>
      </w:pPr>
    </w:p>
    <w:p>
      <w:pPr>
        <w:rPr>
          <w:rFonts w:hint="eastAsia" w:asciiTheme="minorEastAsia" w:hAnsiTheme="minorEastAsia" w:cstheme="minorEastAsia"/>
          <w:sz w:val="24"/>
          <w:szCs w:val="24"/>
          <w:lang w:eastAsia="zh-CN"/>
        </w:rPr>
      </w:pPr>
    </w:p>
    <w:p>
      <w:pPr>
        <w:rPr>
          <w:rFonts w:hint="eastAsia" w:asciiTheme="minorEastAsia" w:hAnsiTheme="minorEastAsia" w:cstheme="minorEastAsia"/>
          <w:sz w:val="24"/>
          <w:szCs w:val="24"/>
          <w:lang w:eastAsia="zh-CN"/>
        </w:rPr>
      </w:pPr>
    </w:p>
    <w:p>
      <w:pPr>
        <w:rPr>
          <w:rFonts w:hint="eastAsia" w:asciiTheme="minorEastAsia" w:hAnsiTheme="minorEastAsia" w:cstheme="minorEastAsia"/>
          <w:b/>
          <w:bCs/>
          <w:sz w:val="24"/>
          <w:szCs w:val="24"/>
          <w:lang w:eastAsia="zh-CN"/>
        </w:rPr>
      </w:pPr>
    </w:p>
    <w:p>
      <w:pPr>
        <w:rPr>
          <w:rFonts w:hint="eastAsia" w:asciiTheme="minorEastAsia" w:hAnsiTheme="minorEastAsia" w:cstheme="minorEastAsia"/>
          <w:b/>
          <w:bCs/>
          <w:sz w:val="24"/>
          <w:szCs w:val="24"/>
          <w:lang w:eastAsia="zh-CN"/>
        </w:rPr>
      </w:pPr>
    </w:p>
    <w:p>
      <w:pPr>
        <w:rPr>
          <w:rFonts w:hint="eastAsia" w:asciiTheme="minorEastAsia" w:hAnsiTheme="minorEastAsia" w:cstheme="minorEastAsia"/>
          <w:b/>
          <w:bCs/>
          <w:sz w:val="24"/>
          <w:szCs w:val="24"/>
          <w:lang w:eastAsia="zh-CN"/>
        </w:rPr>
      </w:pPr>
      <w:r>
        <w:rPr>
          <w:rFonts w:hint="eastAsia" w:asciiTheme="minorEastAsia" w:hAnsiTheme="minorEastAsia" w:cstheme="minorEastAsia"/>
          <w:b/>
          <w:bCs/>
          <w:sz w:val="24"/>
          <w:szCs w:val="24"/>
          <w:lang w:eastAsia="zh-CN"/>
        </w:rPr>
        <w:t>商务条款：</w:t>
      </w:r>
    </w:p>
    <w:p>
      <w:pPr>
        <w:rPr>
          <w:rFonts w:hint="eastAsia" w:asciiTheme="minorEastAsia" w:hAnsiTheme="minorEastAsia" w:cstheme="minorEastAsia"/>
          <w:b/>
          <w:bCs/>
          <w:sz w:val="24"/>
          <w:szCs w:val="24"/>
          <w:lang w:eastAsia="zh-CN"/>
        </w:rPr>
      </w:pPr>
    </w:p>
    <w:p>
      <w:pPr>
        <w:rPr>
          <w:rFonts w:asciiTheme="minorEastAsia" w:hAnsiTheme="minorEastAsia" w:cstheme="minorEastAsia"/>
          <w:sz w:val="24"/>
          <w:szCs w:val="24"/>
        </w:rPr>
      </w:pPr>
    </w:p>
    <w:p>
      <w:pPr>
        <w:numPr>
          <w:ilvl w:val="0"/>
          <w:numId w:val="1"/>
        </w:numPr>
        <w:rPr>
          <w:rFonts w:hint="eastAsia"/>
          <w:color w:val="FF0000"/>
          <w:sz w:val="24"/>
          <w:szCs w:val="24"/>
          <w:lang w:eastAsia="zh-CN"/>
        </w:rPr>
      </w:pPr>
      <w:r>
        <w:rPr>
          <w:rFonts w:hint="eastAsia" w:asciiTheme="minorEastAsia" w:hAnsiTheme="minorEastAsia" w:cstheme="minorEastAsia"/>
          <w:sz w:val="24"/>
          <w:szCs w:val="24"/>
        </w:rPr>
        <w:t xml:space="preserve"> </w:t>
      </w:r>
      <w:r>
        <w:rPr>
          <w:rFonts w:hint="eastAsia"/>
          <w:color w:val="FF0000"/>
          <w:sz w:val="24"/>
          <w:szCs w:val="24"/>
          <w:lang w:val="en-US" w:eastAsia="zh-CN"/>
        </w:rPr>
        <w:t>报名</w:t>
      </w:r>
      <w:r>
        <w:rPr>
          <w:rFonts w:hint="eastAsia"/>
          <w:color w:val="FF0000"/>
          <w:sz w:val="24"/>
          <w:szCs w:val="24"/>
        </w:rPr>
        <w:t>投标</w:t>
      </w:r>
      <w:r>
        <w:rPr>
          <w:rFonts w:hint="eastAsia"/>
          <w:color w:val="FF0000"/>
          <w:sz w:val="24"/>
          <w:szCs w:val="24"/>
          <w:lang w:val="en-US" w:eastAsia="zh-CN"/>
        </w:rPr>
        <w:t>公司</w:t>
      </w:r>
      <w:r>
        <w:rPr>
          <w:rFonts w:hint="eastAsia"/>
          <w:color w:val="FF0000"/>
          <w:sz w:val="24"/>
          <w:szCs w:val="24"/>
        </w:rPr>
        <w:t>必须在深圳医用耗材阳光交易和监管平台内备案</w:t>
      </w:r>
      <w:r>
        <w:rPr>
          <w:rFonts w:hint="eastAsia"/>
          <w:color w:val="FF0000"/>
          <w:sz w:val="24"/>
          <w:szCs w:val="24"/>
          <w:lang w:eastAsia="zh-CN"/>
        </w:rPr>
        <w:t>，</w:t>
      </w:r>
      <w:r>
        <w:rPr>
          <w:rFonts w:hint="eastAsia"/>
          <w:color w:val="FF0000"/>
          <w:sz w:val="24"/>
          <w:szCs w:val="24"/>
        </w:rPr>
        <w:t>且所投产品需在深圳医用耗材阳光交易和监管平台内挂网</w:t>
      </w:r>
      <w:r>
        <w:rPr>
          <w:rFonts w:hint="eastAsia"/>
          <w:color w:val="FF0000"/>
          <w:sz w:val="24"/>
          <w:szCs w:val="24"/>
          <w:lang w:eastAsia="zh-CN"/>
        </w:rPr>
        <w:t>。</w:t>
      </w:r>
    </w:p>
    <w:p>
      <w:pPr>
        <w:numPr>
          <w:ilvl w:val="0"/>
          <w:numId w:val="1"/>
        </w:numPr>
        <w:rPr>
          <w:rFonts w:hint="eastAsia"/>
          <w:color w:val="FF0000"/>
          <w:sz w:val="24"/>
          <w:szCs w:val="24"/>
        </w:rPr>
      </w:pPr>
      <w:r>
        <w:rPr>
          <w:rFonts w:hint="eastAsia"/>
          <w:color w:val="FF0000"/>
          <w:sz w:val="24"/>
          <w:szCs w:val="24"/>
          <w:lang w:val="en-US" w:eastAsia="zh-CN"/>
        </w:rPr>
        <w:t>中标产品需在</w:t>
      </w:r>
      <w:r>
        <w:rPr>
          <w:rFonts w:hint="eastAsia"/>
          <w:color w:val="FF0000"/>
          <w:sz w:val="24"/>
          <w:szCs w:val="24"/>
        </w:rPr>
        <w:t>深圳医用耗材阳光平台</w:t>
      </w:r>
      <w:r>
        <w:rPr>
          <w:rFonts w:hint="eastAsia"/>
          <w:color w:val="FF0000"/>
          <w:sz w:val="24"/>
          <w:szCs w:val="24"/>
          <w:lang w:val="en-US" w:eastAsia="zh-CN"/>
        </w:rPr>
        <w:t>线上</w:t>
      </w:r>
      <w:r>
        <w:rPr>
          <w:rFonts w:hint="eastAsia"/>
          <w:color w:val="FF0000"/>
          <w:sz w:val="24"/>
          <w:szCs w:val="24"/>
        </w:rPr>
        <w:t>交易</w:t>
      </w:r>
      <w:r>
        <w:rPr>
          <w:rFonts w:hint="eastAsia"/>
          <w:color w:val="FF0000"/>
          <w:sz w:val="24"/>
          <w:szCs w:val="24"/>
          <w:lang w:eastAsia="zh-CN"/>
        </w:rPr>
        <w:t>，</w:t>
      </w:r>
      <w:r>
        <w:rPr>
          <w:rFonts w:hint="eastAsia"/>
          <w:color w:val="FF0000"/>
          <w:sz w:val="24"/>
          <w:szCs w:val="24"/>
          <w:lang w:val="en-US" w:eastAsia="zh-CN"/>
        </w:rPr>
        <w:t>且中标价格不能超过该平台的参考限价/中选价</w:t>
      </w:r>
      <w:r>
        <w:rPr>
          <w:rFonts w:hint="eastAsia"/>
          <w:color w:val="FF0000"/>
          <w:sz w:val="24"/>
          <w:szCs w:val="24"/>
        </w:rPr>
        <w:t>（须提供备案及产品挂网信息截图并加盖投标人公章）</w:t>
      </w:r>
      <w:r>
        <w:rPr>
          <w:rFonts w:hint="eastAsia"/>
          <w:color w:val="FF0000"/>
          <w:sz w:val="24"/>
          <w:szCs w:val="24"/>
          <w:lang w:eastAsia="zh-CN"/>
        </w:rPr>
        <w:t>。</w:t>
      </w:r>
    </w:p>
    <w:p>
      <w:pPr>
        <w:numPr>
          <w:ilvl w:val="0"/>
          <w:numId w:val="0"/>
        </w:numPr>
        <w:rPr>
          <w:rFonts w:hint="eastAsia"/>
          <w:sz w:val="24"/>
          <w:szCs w:val="24"/>
        </w:rPr>
      </w:pPr>
      <w:r>
        <w:rPr>
          <w:rFonts w:hint="eastAsia"/>
          <w:sz w:val="24"/>
          <w:szCs w:val="24"/>
          <w:lang w:val="en-US" w:eastAsia="zh-CN"/>
        </w:rPr>
        <w:t>3、</w:t>
      </w:r>
      <w:r>
        <w:rPr>
          <w:rFonts w:hint="eastAsia"/>
          <w:sz w:val="24"/>
          <w:szCs w:val="24"/>
        </w:rPr>
        <w:t>中标</w:t>
      </w:r>
      <w:r>
        <w:rPr>
          <w:rFonts w:hint="eastAsia"/>
          <w:sz w:val="24"/>
          <w:szCs w:val="24"/>
          <w:lang w:val="en-US" w:eastAsia="zh-CN"/>
        </w:rPr>
        <w:t>公司</w:t>
      </w:r>
      <w:r>
        <w:rPr>
          <w:rFonts w:hint="eastAsia"/>
          <w:sz w:val="24"/>
          <w:szCs w:val="24"/>
        </w:rPr>
        <w:t>无条件配合医院SPD物流精细化管理服务，同时承诺支付</w:t>
      </w:r>
      <w:r>
        <w:rPr>
          <w:rFonts w:hint="eastAsia"/>
          <w:sz w:val="24"/>
          <w:szCs w:val="24"/>
          <w:lang w:val="en-US" w:eastAsia="zh-CN"/>
        </w:rPr>
        <w:t>每月</w:t>
      </w:r>
      <w:r>
        <w:rPr>
          <w:rFonts w:hint="eastAsia"/>
          <w:sz w:val="24"/>
          <w:szCs w:val="24"/>
        </w:rPr>
        <w:t>管理服务费(不超当月供货总额的3%)，具体与医院签合同时按合同条款执行。</w:t>
      </w:r>
    </w:p>
    <w:p>
      <w:pPr>
        <w:numPr>
          <w:ilvl w:val="0"/>
          <w:numId w:val="0"/>
        </w:numPr>
        <w:rPr>
          <w:rFonts w:hint="eastAsia"/>
          <w:sz w:val="24"/>
          <w:szCs w:val="24"/>
        </w:rPr>
      </w:pPr>
      <w:r>
        <w:rPr>
          <w:rFonts w:hint="eastAsia"/>
          <w:sz w:val="24"/>
          <w:szCs w:val="24"/>
          <w:lang w:val="en-US" w:eastAsia="zh-CN"/>
        </w:rPr>
        <w:t>4</w:t>
      </w:r>
      <w:r>
        <w:rPr>
          <w:rFonts w:hint="eastAsia"/>
          <w:sz w:val="24"/>
          <w:szCs w:val="24"/>
        </w:rPr>
        <w:t>、投标人必须提供《医疗器械生产企业许可证》或《医疗器械经营企业许可证》扫描件）；</w:t>
      </w:r>
    </w:p>
    <w:p>
      <w:pPr>
        <w:rPr>
          <w:rFonts w:hint="eastAsia"/>
          <w:sz w:val="24"/>
          <w:szCs w:val="24"/>
        </w:rPr>
      </w:pPr>
      <w:r>
        <w:rPr>
          <w:rFonts w:hint="eastAsia"/>
          <w:sz w:val="24"/>
          <w:szCs w:val="24"/>
        </w:rPr>
        <w:t>所投产品</w:t>
      </w:r>
      <w:r>
        <w:rPr>
          <w:rFonts w:hint="eastAsia"/>
          <w:sz w:val="24"/>
          <w:szCs w:val="24"/>
          <w:lang w:val="en-US" w:eastAsia="zh-CN"/>
        </w:rPr>
        <w:t>需提供</w:t>
      </w:r>
      <w:r>
        <w:rPr>
          <w:rFonts w:hint="eastAsia"/>
          <w:sz w:val="24"/>
          <w:szCs w:val="24"/>
        </w:rPr>
        <w:t>《医疗器械注册证》或备案凭证扫描件；</w:t>
      </w:r>
      <w:r>
        <w:rPr>
          <w:rFonts w:hint="eastAsia"/>
          <w:sz w:val="24"/>
          <w:szCs w:val="24"/>
          <w:lang w:val="en-US" w:eastAsia="zh-CN"/>
        </w:rPr>
        <w:t>非</w:t>
      </w:r>
      <w:r>
        <w:rPr>
          <w:rFonts w:hint="eastAsia"/>
          <w:sz w:val="24"/>
          <w:szCs w:val="24"/>
        </w:rPr>
        <w:t>医疗器械管理的产品，投标人需提供由国家食品药品监督管理局针对该产品不作为医疗器械管理界定的相关文件，以及由生产厂家出具的产品说明书，原件备查。</w:t>
      </w:r>
    </w:p>
    <w:p>
      <w:pPr>
        <w:numPr>
          <w:ilvl w:val="0"/>
          <w:numId w:val="0"/>
        </w:numPr>
        <w:rPr>
          <w:rFonts w:hint="default"/>
          <w:color w:val="FF0000"/>
          <w:sz w:val="24"/>
          <w:szCs w:val="24"/>
          <w:lang w:val="en-US" w:eastAsia="zh-CN"/>
        </w:rPr>
      </w:pPr>
      <w:r>
        <w:rPr>
          <w:rFonts w:hint="eastAsia"/>
          <w:color w:val="FF0000"/>
          <w:sz w:val="24"/>
          <w:szCs w:val="24"/>
          <w:lang w:val="en-US" w:eastAsia="zh-CN"/>
        </w:rPr>
        <w:t>5、所投产品价格如若超过预算单价，废除该投标单位的投标资格。</w:t>
      </w:r>
    </w:p>
    <w:p>
      <w:pPr>
        <w:numPr>
          <w:ilvl w:val="0"/>
          <w:numId w:val="0"/>
        </w:numPr>
        <w:rPr>
          <w:rFonts w:hint="eastAsia"/>
          <w:color w:val="FF0000"/>
          <w:sz w:val="24"/>
          <w:szCs w:val="24"/>
          <w:lang w:val="en-US" w:eastAsia="zh-CN"/>
        </w:rPr>
      </w:pPr>
    </w:p>
    <w:p>
      <w:pPr>
        <w:numPr>
          <w:ilvl w:val="0"/>
          <w:numId w:val="0"/>
        </w:numPr>
        <w:rPr>
          <w:rFonts w:hint="eastAsia"/>
          <w:color w:val="FF0000"/>
          <w:sz w:val="24"/>
          <w:szCs w:val="24"/>
        </w:rPr>
      </w:pPr>
      <w:r>
        <w:rPr>
          <w:rFonts w:hint="eastAsia"/>
          <w:color w:val="FF0000"/>
          <w:sz w:val="24"/>
          <w:szCs w:val="24"/>
          <w:lang w:val="en-US" w:eastAsia="zh-CN"/>
        </w:rPr>
        <w:t>以上商务</w:t>
      </w:r>
      <w:r>
        <w:rPr>
          <w:rFonts w:hint="eastAsia"/>
          <w:color w:val="FF0000"/>
          <w:sz w:val="24"/>
          <w:szCs w:val="24"/>
        </w:rPr>
        <w:t>条款</w:t>
      </w:r>
      <w:r>
        <w:rPr>
          <w:rFonts w:hint="eastAsia"/>
          <w:color w:val="FF0000"/>
          <w:sz w:val="24"/>
          <w:szCs w:val="24"/>
          <w:lang w:val="en-US" w:eastAsia="zh-CN"/>
        </w:rPr>
        <w:t>为废标条款</w:t>
      </w:r>
      <w:r>
        <w:rPr>
          <w:rFonts w:hint="eastAsia"/>
          <w:color w:val="FF0000"/>
          <w:sz w:val="24"/>
          <w:szCs w:val="24"/>
        </w:rPr>
        <w:t>。</w:t>
      </w:r>
    </w:p>
    <w:p>
      <w:pPr>
        <w:rPr>
          <w:sz w:val="24"/>
          <w:szCs w:val="24"/>
        </w:rPr>
      </w:pP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p>
    <w:p>
      <w:pPr>
        <w:jc w:val="center"/>
        <w:rPr>
          <w:rFonts w:asciiTheme="minorEastAsia" w:hAnsiTheme="minorEastAsia" w:cstheme="minorEastAsia"/>
          <w:b/>
          <w:bCs/>
          <w:sz w:val="24"/>
        </w:rPr>
      </w:pPr>
      <w:r>
        <w:rPr>
          <w:rFonts w:hint="eastAsia" w:asciiTheme="minorEastAsia" w:hAnsiTheme="minorEastAsia" w:cstheme="minorEastAsia"/>
          <w:b/>
          <w:bCs/>
          <w:sz w:val="28"/>
          <w:szCs w:val="28"/>
          <w:lang w:eastAsia="zh-CN"/>
        </w:rPr>
        <w:t>一</w:t>
      </w:r>
      <w:r>
        <w:rPr>
          <w:rFonts w:hint="eastAsia" w:asciiTheme="minorEastAsia" w:hAnsiTheme="minorEastAsia" w:cstheme="minorEastAsia"/>
          <w:b/>
          <w:bCs/>
          <w:sz w:val="28"/>
          <w:szCs w:val="28"/>
        </w:rPr>
        <w:t xml:space="preserve"> </w:t>
      </w:r>
      <w:r>
        <w:rPr>
          <w:rFonts w:hint="eastAsia" w:asciiTheme="minorEastAsia" w:hAnsiTheme="minorEastAsia" w:cstheme="minorEastAsia"/>
          <w:b/>
          <w:bCs/>
          <w:sz w:val="28"/>
          <w:szCs w:val="28"/>
          <w:lang w:eastAsia="zh-CN"/>
        </w:rPr>
        <w:t>、</w:t>
      </w:r>
      <w:r>
        <w:rPr>
          <w:rFonts w:hint="eastAsia" w:asciiTheme="minorEastAsia" w:hAnsiTheme="minorEastAsia" w:cstheme="minorEastAsia"/>
          <w:b/>
          <w:bCs/>
          <w:sz w:val="24"/>
        </w:rPr>
        <w:t>福田区第二人民医院报价表</w:t>
      </w:r>
    </w:p>
    <w:p>
      <w:pPr>
        <w:jc w:val="center"/>
        <w:rPr>
          <w:rFonts w:asciiTheme="minorEastAsia" w:hAnsiTheme="minorEastAsia" w:cstheme="minorEastAsia"/>
          <w:sz w:val="24"/>
        </w:rPr>
      </w:pPr>
    </w:p>
    <w:p>
      <w:pPr>
        <w:rPr>
          <w:rFonts w:hint="eastAsia" w:ascii="宋体" w:hAnsi="宋体"/>
          <w:szCs w:val="21"/>
        </w:rPr>
      </w:pPr>
    </w:p>
    <w:p>
      <w:pPr>
        <w:rPr>
          <w:rFonts w:asciiTheme="minorEastAsia" w:hAnsiTheme="minorEastAsia" w:cstheme="minorEastAsia"/>
          <w:szCs w:val="21"/>
        </w:rPr>
      </w:pPr>
      <w:r>
        <w:rPr>
          <w:rFonts w:hint="eastAsia" w:ascii="宋体" w:hAnsi="宋体"/>
          <w:szCs w:val="21"/>
        </w:rPr>
        <w:t xml:space="preserve">供应商名称：                                             </w:t>
      </w:r>
      <w:r>
        <w:rPr>
          <w:rFonts w:hint="eastAsia" w:asciiTheme="minorEastAsia" w:hAnsiTheme="minorEastAsia" w:cstheme="minorEastAsia"/>
          <w:szCs w:val="21"/>
        </w:rPr>
        <w:t>单位：人民币元</w:t>
      </w:r>
    </w:p>
    <w:tbl>
      <w:tblPr>
        <w:tblStyle w:val="6"/>
        <w:tblW w:w="11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75"/>
        <w:gridCol w:w="1380"/>
        <w:gridCol w:w="870"/>
        <w:gridCol w:w="885"/>
        <w:gridCol w:w="1080"/>
        <w:gridCol w:w="675"/>
        <w:gridCol w:w="660"/>
        <w:gridCol w:w="645"/>
        <w:gridCol w:w="915"/>
        <w:gridCol w:w="1320"/>
        <w:gridCol w:w="1185"/>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序号</w:t>
            </w: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项目名称</w:t>
            </w:r>
          </w:p>
        </w:tc>
        <w:tc>
          <w:tcPr>
            <w:tcW w:w="13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产品名称（注册证名称）</w:t>
            </w:r>
          </w:p>
        </w:tc>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color w:val="FF0000"/>
                <w:szCs w:val="21"/>
                <w:lang w:eastAsia="zh-CN"/>
              </w:rPr>
              <w:t>阳光平台代码</w:t>
            </w:r>
          </w:p>
        </w:tc>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产品注册证号</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品牌及规格型号</w:t>
            </w: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包装规格</w:t>
            </w:r>
          </w:p>
        </w:tc>
        <w:tc>
          <w:tcPr>
            <w:tcW w:w="6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生产企业</w:t>
            </w:r>
          </w:p>
        </w:tc>
        <w:tc>
          <w:tcPr>
            <w:tcW w:w="6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报价单位</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投标价（元）</w:t>
            </w:r>
          </w:p>
        </w:tc>
        <w:tc>
          <w:tcPr>
            <w:tcW w:w="13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目前在用二甲以上医院客户名单</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二甲以上医院供货价格</w:t>
            </w:r>
          </w:p>
        </w:tc>
        <w:tc>
          <w:tcPr>
            <w:tcW w:w="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Cs/>
                <w:szCs w:val="21"/>
              </w:rPr>
            </w:pPr>
            <w:r>
              <w:rPr>
                <w:rFonts w:hint="eastAsia" w:ascii="宋体" w:hAnsi="宋体"/>
                <w:bCs/>
                <w:szCs w:val="21"/>
              </w:rPr>
              <w:t>1</w:t>
            </w: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r>
              <w:rPr>
                <w:color w:val="000000"/>
              </w:rPr>
              <w:t>2</w:t>
            </w: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Cs/>
                <w:szCs w:val="21"/>
              </w:rPr>
            </w:pPr>
            <w:r>
              <w:rPr>
                <w:color w:val="000000"/>
              </w:rPr>
              <w:t>3</w:t>
            </w: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r>
              <w:rPr>
                <w:rFonts w:hint="eastAsia"/>
                <w:szCs w:val="21"/>
              </w:rPr>
              <w:t>…</w:t>
            </w: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pPr>
              <w:jc w:val="center"/>
            </w:pPr>
          </w:p>
        </w:tc>
      </w:tr>
    </w:tbl>
    <w:p>
      <w:pPr>
        <w:spacing w:afterLines="25" w:line="300" w:lineRule="auto"/>
        <w:ind w:left="4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Lines="25" w:line="300" w:lineRule="auto"/>
        <w:ind w:left="420"/>
        <w:jc w:val="center"/>
        <w:rPr>
          <w:rFonts w:ascii="宋体" w:hAnsi="宋体" w:cs="宋体"/>
          <w:color w:val="000000" w:themeColor="text1"/>
          <w:szCs w:val="21"/>
          <w14:textFill>
            <w14:solidFill>
              <w14:schemeClr w14:val="tx1"/>
            </w14:solidFill>
          </w14:textFill>
        </w:rPr>
      </w:pPr>
    </w:p>
    <w:p>
      <w:pPr>
        <w:spacing w:afterLines="25" w:line="300" w:lineRule="auto"/>
        <w:ind w:left="420"/>
        <w:jc w:val="center"/>
        <w:rPr>
          <w:rFonts w:ascii="宋体" w:hAnsi="宋体" w:cs="宋体"/>
          <w:color w:val="000000" w:themeColor="text1"/>
          <w:szCs w:val="21"/>
          <w14:textFill>
            <w14:solidFill>
              <w14:schemeClr w14:val="tx1"/>
            </w14:solidFill>
          </w14:textFill>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ind w:left="420"/>
        <w:jc w:val="center"/>
        <w:rPr>
          <w:rFonts w:hint="eastAsia" w:ascii="宋体" w:hAnsi="宋体" w:cs="Arial"/>
          <w:b/>
          <w:color w:val="000000"/>
          <w:sz w:val="28"/>
          <w:szCs w:val="28"/>
          <w:lang w:eastAsia="zh-CN"/>
        </w:rPr>
      </w:pPr>
    </w:p>
    <w:p>
      <w:pPr>
        <w:spacing w:afterLines="25" w:line="300" w:lineRule="auto"/>
        <w:jc w:val="both"/>
        <w:rPr>
          <w:rFonts w:hint="eastAsia" w:ascii="宋体" w:hAnsi="宋体" w:cs="Arial"/>
          <w:b/>
          <w:color w:val="000000"/>
          <w:sz w:val="28"/>
          <w:szCs w:val="28"/>
          <w:lang w:eastAsia="zh-CN"/>
        </w:rPr>
      </w:pPr>
    </w:p>
    <w:p>
      <w:pPr>
        <w:spacing w:afterLines="25" w:line="300" w:lineRule="auto"/>
        <w:ind w:left="420"/>
        <w:jc w:val="center"/>
        <w:rPr>
          <w:rFonts w:ascii="宋体" w:hAnsi="宋体" w:cs="Arial"/>
          <w:b/>
          <w:color w:val="000000"/>
          <w:sz w:val="28"/>
          <w:szCs w:val="28"/>
        </w:rPr>
      </w:pPr>
      <w:r>
        <w:rPr>
          <w:rFonts w:hint="eastAsia" w:ascii="宋体" w:hAnsi="宋体" w:cs="Arial"/>
          <w:b/>
          <w:color w:val="000000"/>
          <w:sz w:val="28"/>
          <w:szCs w:val="28"/>
          <w:lang w:eastAsia="zh-CN"/>
        </w:rPr>
        <w:t>二、</w:t>
      </w:r>
      <w:r>
        <w:rPr>
          <w:rFonts w:hint="eastAsia" w:ascii="宋体" w:hAnsi="宋体" w:cs="Arial"/>
          <w:b/>
          <w:color w:val="000000"/>
          <w:sz w:val="28"/>
          <w:szCs w:val="28"/>
        </w:rPr>
        <w:t>技术规格/要求偏离表</w:t>
      </w:r>
    </w:p>
    <w:p>
      <w:pPr>
        <w:pStyle w:val="3"/>
        <w:ind w:firstLine="207" w:firstLineChars="98"/>
        <w:rPr>
          <w:rFonts w:ascii="Times New Roman" w:hAnsi="Times New Roman"/>
          <w:b/>
          <w:color w:val="000000"/>
        </w:rPr>
      </w:pPr>
      <w:r>
        <w:rPr>
          <w:rFonts w:hint="eastAsia" w:ascii="Times New Roman" w:hAnsi="Times New Roman"/>
          <w:b/>
          <w:color w:val="000000"/>
        </w:rPr>
        <w:t>产品名称：</w:t>
      </w:r>
    </w:p>
    <w:tbl>
      <w:tblPr>
        <w:tblStyle w:val="6"/>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605"/>
        <w:gridCol w:w="3525"/>
        <w:gridCol w:w="1890"/>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序号</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lang w:eastAsia="zh-CN"/>
              </w:rPr>
            </w:pPr>
            <w:r>
              <w:rPr>
                <w:rFonts w:hint="eastAsia" w:ascii="宋体" w:hAnsi="宋体" w:eastAsia="宋体" w:cs="宋体"/>
                <w:b w:val="0"/>
                <w:bCs/>
                <w:color w:val="000000"/>
              </w:rPr>
              <w:t>招标规格/</w:t>
            </w:r>
            <w:r>
              <w:rPr>
                <w:rFonts w:hint="eastAsia" w:ascii="宋体" w:hAnsi="宋体" w:eastAsia="宋体" w:cs="宋体"/>
                <w:b w:val="0"/>
                <w:bCs/>
                <w:color w:val="000000"/>
                <w:lang w:eastAsia="zh-CN"/>
              </w:rPr>
              <w:t>型号</w:t>
            </w:r>
          </w:p>
        </w:tc>
        <w:tc>
          <w:tcPr>
            <w:tcW w:w="35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lang w:val="en-US" w:eastAsia="zh-CN"/>
              </w:rPr>
            </w:pPr>
            <w:r>
              <w:rPr>
                <w:rFonts w:hint="eastAsia" w:ascii="宋体" w:hAnsi="宋体" w:eastAsia="宋体" w:cs="宋体"/>
                <w:b w:val="0"/>
                <w:bCs/>
                <w:color w:val="000000"/>
                <w:lang w:val="en-US" w:eastAsia="zh-CN"/>
              </w:rPr>
              <w:t>主要需求（功能作用、各组件或配件）</w:t>
            </w:r>
          </w:p>
        </w:tc>
        <w:tc>
          <w:tcPr>
            <w:tcW w:w="18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是否偏离（无偏离/正偏离/负偏离）</w:t>
            </w:r>
          </w:p>
        </w:tc>
        <w:tc>
          <w:tcPr>
            <w:tcW w:w="10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1</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2</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3</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4</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5</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6</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7</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8</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r>
              <w:rPr>
                <w:rFonts w:hint="eastAsia" w:ascii="宋体" w:hAnsi="宋体" w:eastAsia="宋体" w:cs="宋体"/>
                <w:b w:val="0"/>
                <w:bCs/>
                <w:color w:val="000000"/>
              </w:rPr>
              <w:t>…</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val="0"/>
                <w:bCs/>
                <w:color w:val="000000"/>
              </w:rPr>
            </w:pPr>
          </w:p>
        </w:tc>
      </w:tr>
    </w:tbl>
    <w:p>
      <w:pPr>
        <w:spacing w:after="60"/>
        <w:ind w:firstLine="210" w:firstLineChars="100"/>
        <w:rPr>
          <w:color w:val="000000"/>
        </w:rPr>
      </w:pPr>
      <w:r>
        <w:rPr>
          <w:rFonts w:hint="eastAsia"/>
          <w:color w:val="000000"/>
        </w:rPr>
        <w:t>此表可延长</w:t>
      </w:r>
    </w:p>
    <w:p>
      <w:pPr>
        <w:rPr>
          <w:color w:val="000000"/>
        </w:rPr>
      </w:pPr>
    </w:p>
    <w:p>
      <w:pPr>
        <w:rPr>
          <w:color w:val="000000"/>
        </w:rPr>
      </w:pP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投标人授权代表签字：</w:t>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（公章）</w:t>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日期：</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ind w:firstLine="2100" w:firstLineChars="10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100" w:firstLineChars="1000"/>
        <w:jc w:val="both"/>
        <w:rPr>
          <w:rFonts w:hint="eastAsia" w:ascii="宋体" w:hAnsi="宋体" w:cs="宋体"/>
          <w:color w:val="000000" w:themeColor="text1"/>
          <w:szCs w:val="21"/>
          <w14:textFill>
            <w14:solidFill>
              <w14:schemeClr w14:val="tx1"/>
            </w14:solidFill>
          </w14:textFill>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numPr>
          <w:ilvl w:val="0"/>
          <w:numId w:val="0"/>
        </w:numPr>
        <w:spacing w:after="60"/>
        <w:jc w:val="center"/>
        <w:rPr>
          <w:rFonts w:hint="eastAsia" w:cs="Arial"/>
          <w:b/>
          <w:color w:val="000000"/>
          <w:sz w:val="28"/>
          <w:szCs w:val="28"/>
          <w:lang w:eastAsia="zh-CN"/>
        </w:rPr>
      </w:pPr>
      <w:r>
        <w:rPr>
          <w:rFonts w:hint="eastAsia" w:cs="Arial"/>
          <w:b/>
          <w:color w:val="000000"/>
          <w:sz w:val="28"/>
          <w:szCs w:val="28"/>
          <w:lang w:eastAsia="zh-CN"/>
        </w:rPr>
        <w:t>三、配送方案</w:t>
      </w:r>
    </w:p>
    <w:p>
      <w:pPr>
        <w:numPr>
          <w:ilvl w:val="0"/>
          <w:numId w:val="0"/>
        </w:numPr>
        <w:spacing w:after="60"/>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交货时间安排</w:t>
      </w:r>
      <w:r>
        <w:rPr>
          <w:rFonts w:hint="eastAsia" w:ascii="宋体" w:hAnsi="宋体"/>
          <w:szCs w:val="21"/>
          <w:lang w:eastAsia="zh-CN"/>
        </w:rPr>
        <w:t>；</w:t>
      </w:r>
    </w:p>
    <w:p>
      <w:pPr>
        <w:numPr>
          <w:ilvl w:val="0"/>
          <w:numId w:val="0"/>
        </w:numPr>
        <w:spacing w:after="60"/>
        <w:rPr>
          <w:rFonts w:hint="eastAsia" w:ascii="宋体" w:hAnsi="宋体" w:cs="宋体"/>
          <w:kern w:val="0"/>
          <w:szCs w:val="21"/>
        </w:rPr>
      </w:pPr>
    </w:p>
    <w:p>
      <w:pPr>
        <w:numPr>
          <w:ilvl w:val="0"/>
          <w:numId w:val="0"/>
        </w:numPr>
        <w:spacing w:after="60"/>
        <w:rPr>
          <w:rFonts w:hint="eastAsia" w:ascii="宋体" w:hAnsi="宋体"/>
          <w:szCs w:val="21"/>
          <w:lang w:eastAsia="zh-CN"/>
        </w:rPr>
      </w:pPr>
      <w:r>
        <w:rPr>
          <w:rFonts w:hint="eastAsia" w:ascii="宋体" w:hAnsi="宋体"/>
          <w:szCs w:val="21"/>
          <w:lang w:val="en-US" w:eastAsia="zh-CN"/>
        </w:rPr>
        <w:t>2、</w:t>
      </w:r>
      <w:r>
        <w:rPr>
          <w:rFonts w:hint="eastAsia" w:ascii="宋体" w:hAnsi="宋体" w:cs="宋体"/>
          <w:kern w:val="0"/>
          <w:szCs w:val="21"/>
        </w:rPr>
        <w:t>人员安排</w:t>
      </w:r>
      <w:r>
        <w:rPr>
          <w:rFonts w:hint="eastAsia" w:ascii="宋体" w:hAnsi="宋体"/>
          <w:szCs w:val="21"/>
          <w:lang w:eastAsia="zh-CN"/>
        </w:rPr>
        <w:t>；</w:t>
      </w:r>
    </w:p>
    <w:p>
      <w:pPr>
        <w:numPr>
          <w:ilvl w:val="0"/>
          <w:numId w:val="0"/>
        </w:numPr>
        <w:spacing w:after="60"/>
        <w:ind w:leftChars="200"/>
        <w:rPr>
          <w:rFonts w:hint="eastAsia" w:ascii="宋体" w:hAnsi="宋体"/>
          <w:szCs w:val="21"/>
          <w:lang w:eastAsia="zh-CN"/>
        </w:rPr>
      </w:pPr>
    </w:p>
    <w:p>
      <w:pPr>
        <w:numPr>
          <w:ilvl w:val="0"/>
          <w:numId w:val="1"/>
        </w:numPr>
        <w:spacing w:after="60"/>
        <w:ind w:left="0" w:leftChars="0" w:firstLine="0" w:firstLineChars="0"/>
        <w:rPr>
          <w:rFonts w:hint="eastAsia" w:cs="Arial"/>
          <w:color w:val="000000"/>
        </w:rPr>
      </w:pPr>
      <w:r>
        <w:rPr>
          <w:rFonts w:hint="eastAsia" w:cs="Arial"/>
          <w:color w:val="000000"/>
        </w:rPr>
        <w:t>其它</w:t>
      </w:r>
      <w:r>
        <w:rPr>
          <w:rFonts w:hint="eastAsia" w:cs="Arial"/>
          <w:color w:val="000000"/>
          <w:lang w:eastAsia="zh-CN"/>
        </w:rPr>
        <w:t>配送</w:t>
      </w:r>
      <w:r>
        <w:rPr>
          <w:rFonts w:hint="eastAsia" w:cs="Arial"/>
          <w:color w:val="000000"/>
        </w:rPr>
        <w:t>服务承诺。</w:t>
      </w: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widowControl w:val="0"/>
        <w:numPr>
          <w:ilvl w:val="0"/>
          <w:numId w:val="0"/>
        </w:numPr>
        <w:spacing w:after="60"/>
        <w:jc w:val="both"/>
        <w:rPr>
          <w:rFonts w:hint="eastAsia" w:cs="Arial"/>
          <w:color w:val="000000"/>
        </w:rPr>
      </w:pPr>
    </w:p>
    <w:p>
      <w:pPr>
        <w:numPr>
          <w:ilvl w:val="0"/>
          <w:numId w:val="0"/>
        </w:numPr>
        <w:spacing w:after="60"/>
        <w:jc w:val="center"/>
        <w:rPr>
          <w:rFonts w:hint="eastAsia" w:cs="Arial"/>
          <w:b/>
          <w:color w:val="000000"/>
          <w:sz w:val="28"/>
          <w:szCs w:val="28"/>
          <w:lang w:eastAsia="zh-CN"/>
        </w:rPr>
      </w:pPr>
      <w:r>
        <w:rPr>
          <w:rFonts w:hint="eastAsia" w:cs="Arial" w:asciiTheme="minorHAnsi" w:hAnsiTheme="minorHAnsi" w:eastAsiaTheme="minorEastAsia"/>
          <w:b/>
          <w:color w:val="000000"/>
          <w:kern w:val="2"/>
          <w:sz w:val="28"/>
          <w:szCs w:val="28"/>
          <w:lang w:val="en-US" w:eastAsia="zh-CN" w:bidi="ar-SA"/>
        </w:rPr>
        <w:t>四、</w:t>
      </w:r>
      <w:r>
        <w:rPr>
          <w:rFonts w:hint="eastAsia" w:cs="Arial"/>
          <w:b/>
          <w:color w:val="000000"/>
          <w:sz w:val="28"/>
          <w:szCs w:val="28"/>
          <w:lang w:eastAsia="zh-CN"/>
        </w:rPr>
        <w:t>产品品牌和成熟度</w:t>
      </w:r>
    </w:p>
    <w:p>
      <w:pPr>
        <w:adjustRightInd w:val="0"/>
        <w:snapToGrid w:val="0"/>
        <w:spacing w:line="360" w:lineRule="auto"/>
        <w:rPr>
          <w:rFonts w:hint="eastAsia" w:ascii="宋体" w:hAnsi="宋体"/>
          <w:bCs/>
          <w:sz w:val="24"/>
          <w:lang w:val="en-US" w:eastAsia="zh-CN"/>
        </w:rPr>
      </w:pPr>
      <w:r>
        <w:rPr>
          <w:rFonts w:hint="eastAsia" w:ascii="宋体" w:hAnsi="宋体"/>
          <w:bCs/>
          <w:sz w:val="24"/>
          <w:lang w:val="en-US" w:eastAsia="zh-CN"/>
        </w:rPr>
        <w:t>格式自拟。</w:t>
      </w: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ind w:leftChars="1000"/>
        <w:jc w:val="center"/>
        <w:rPr>
          <w:rFonts w:hint="eastAsia" w:cs="Arial"/>
          <w:b/>
          <w:color w:val="000000"/>
          <w:sz w:val="28"/>
          <w:szCs w:val="28"/>
          <w:lang w:eastAsia="zh-CN"/>
        </w:rPr>
      </w:pPr>
    </w:p>
    <w:p>
      <w:pPr>
        <w:numPr>
          <w:ilvl w:val="0"/>
          <w:numId w:val="0"/>
        </w:numPr>
        <w:spacing w:after="60"/>
        <w:jc w:val="center"/>
        <w:rPr>
          <w:rFonts w:hint="eastAsia" w:cs="Arial"/>
          <w:b/>
          <w:color w:val="000000"/>
          <w:sz w:val="28"/>
          <w:szCs w:val="28"/>
          <w:lang w:eastAsia="zh-CN"/>
        </w:rPr>
      </w:pPr>
      <w:r>
        <w:rPr>
          <w:rFonts w:hint="eastAsia" w:cs="Arial"/>
          <w:b/>
          <w:color w:val="000000"/>
          <w:sz w:val="28"/>
          <w:szCs w:val="28"/>
          <w:lang w:eastAsia="zh-CN"/>
        </w:rPr>
        <w:t>五、商务情况偏离表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4669"/>
        <w:gridCol w:w="1335"/>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Align w:val="center"/>
          </w:tcPr>
          <w:p>
            <w:pPr>
              <w:jc w:val="both"/>
              <w:rPr>
                <w:rFonts w:hint="eastAsia"/>
                <w:b/>
                <w:color w:val="000000"/>
                <w:lang w:eastAsia="zh-CN"/>
              </w:rPr>
            </w:pPr>
            <w:r>
              <w:rPr>
                <w:rFonts w:hint="eastAsia"/>
                <w:b/>
                <w:color w:val="000000"/>
                <w:spacing w:val="0"/>
                <w:kern w:val="0"/>
                <w:fitText w:val="420" w:id="857627673"/>
                <w:lang w:eastAsia="zh-CN"/>
              </w:rPr>
              <w:t>序号</w:t>
            </w:r>
          </w:p>
        </w:tc>
        <w:tc>
          <w:tcPr>
            <w:tcW w:w="4669" w:type="dxa"/>
            <w:vAlign w:val="center"/>
          </w:tcPr>
          <w:p>
            <w:pPr>
              <w:jc w:val="center"/>
              <w:rPr>
                <w:rFonts w:hint="eastAsia"/>
                <w:b/>
                <w:color w:val="000000"/>
                <w:lang w:eastAsia="zh-CN"/>
              </w:rPr>
            </w:pPr>
            <w:r>
              <w:rPr>
                <w:rFonts w:hint="eastAsia"/>
                <w:b/>
                <w:color w:val="000000"/>
                <w:lang w:eastAsia="zh-CN"/>
              </w:rPr>
              <w:t>商务条款</w:t>
            </w:r>
          </w:p>
        </w:tc>
        <w:tc>
          <w:tcPr>
            <w:tcW w:w="1335" w:type="dxa"/>
            <w:vAlign w:val="center"/>
          </w:tcPr>
          <w:p>
            <w:pPr>
              <w:jc w:val="center"/>
              <w:rPr>
                <w:rFonts w:hint="eastAsia"/>
                <w:b/>
                <w:color w:val="000000"/>
                <w:lang w:eastAsia="zh-CN"/>
              </w:rPr>
            </w:pPr>
            <w:r>
              <w:rPr>
                <w:rFonts w:hint="eastAsia"/>
                <w:b/>
                <w:color w:val="000000"/>
                <w:lang w:eastAsia="zh-CN"/>
              </w:rPr>
              <w:t>偏离情况（无偏离</w:t>
            </w:r>
            <w:r>
              <w:rPr>
                <w:rFonts w:hint="eastAsia"/>
                <w:b/>
                <w:color w:val="000000"/>
                <w:lang w:val="en-US" w:eastAsia="zh-CN"/>
              </w:rPr>
              <w:t>/负偏离</w:t>
            </w:r>
            <w:r>
              <w:rPr>
                <w:rFonts w:hint="eastAsia"/>
                <w:b/>
                <w:color w:val="000000"/>
                <w:lang w:eastAsia="zh-CN"/>
              </w:rPr>
              <w:t>）</w:t>
            </w:r>
          </w:p>
        </w:tc>
        <w:tc>
          <w:tcPr>
            <w:tcW w:w="941" w:type="dxa"/>
            <w:vAlign w:val="center"/>
          </w:tcPr>
          <w:p>
            <w:pPr>
              <w:jc w:val="center"/>
              <w:rPr>
                <w:rFonts w:hint="eastAsia"/>
                <w:b/>
                <w:color w:val="000000"/>
                <w:lang w:eastAsia="zh-CN"/>
              </w:rPr>
            </w:pPr>
            <w:r>
              <w:rPr>
                <w:rFonts w:hint="eastAsia"/>
                <w:b/>
                <w:color w:val="00000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84" w:type="dxa"/>
            <w:vAlign w:val="center"/>
          </w:tcPr>
          <w:p>
            <w:pPr>
              <w:jc w:val="center"/>
              <w:rPr>
                <w:rFonts w:hint="default"/>
                <w:color w:val="000000"/>
                <w:lang w:val="en-US" w:eastAsia="zh-CN"/>
              </w:rPr>
            </w:pPr>
            <w:r>
              <w:rPr>
                <w:rFonts w:hint="eastAsia"/>
                <w:color w:val="000000"/>
                <w:lang w:val="en-US" w:eastAsia="zh-CN"/>
              </w:rPr>
              <w:t>1</w:t>
            </w:r>
          </w:p>
        </w:tc>
        <w:tc>
          <w:tcPr>
            <w:tcW w:w="4669" w:type="dxa"/>
            <w:vAlign w:val="center"/>
          </w:tcPr>
          <w:p>
            <w:pPr>
              <w:numPr>
                <w:ilvl w:val="0"/>
                <w:numId w:val="0"/>
              </w:numPr>
              <w:jc w:val="left"/>
              <w:rPr>
                <w:rFonts w:hint="eastAsia" w:cs="Arial"/>
                <w:b/>
                <w:color w:val="000000"/>
                <w:sz w:val="28"/>
                <w:szCs w:val="28"/>
                <w:vertAlign w:val="baseline"/>
                <w:lang w:eastAsia="zh-CN"/>
              </w:rPr>
            </w:pPr>
            <w:r>
              <w:rPr>
                <w:rFonts w:hint="eastAsia"/>
                <w:lang w:val="en-US" w:eastAsia="zh-CN"/>
              </w:rPr>
              <w:t>报名</w:t>
            </w:r>
            <w:r>
              <w:rPr>
                <w:rFonts w:hint="eastAsia"/>
              </w:rPr>
              <w:t>投标</w:t>
            </w:r>
            <w:r>
              <w:rPr>
                <w:rFonts w:hint="eastAsia"/>
                <w:lang w:val="en-US" w:eastAsia="zh-CN"/>
              </w:rPr>
              <w:t>公司</w:t>
            </w:r>
            <w:r>
              <w:rPr>
                <w:rFonts w:hint="eastAsia"/>
              </w:rPr>
              <w:t>必须在深圳医用耗材阳光交易和监管平台内备案</w:t>
            </w:r>
            <w:r>
              <w:rPr>
                <w:rFonts w:hint="eastAsia"/>
                <w:lang w:eastAsia="zh-CN"/>
              </w:rPr>
              <w:t>，</w:t>
            </w:r>
            <w:r>
              <w:rPr>
                <w:rFonts w:hint="eastAsia"/>
              </w:rPr>
              <w:t>且所投产品需在深圳医用耗材阳光交易和监管平台内挂网</w:t>
            </w:r>
            <w:r>
              <w:rPr>
                <w:rFonts w:hint="eastAsia"/>
                <w:lang w:eastAsia="zh-CN"/>
              </w:rPr>
              <w:t>。</w:t>
            </w:r>
          </w:p>
        </w:tc>
        <w:tc>
          <w:tcPr>
            <w:tcW w:w="1335" w:type="dxa"/>
            <w:vAlign w:val="center"/>
          </w:tcPr>
          <w:p>
            <w:pPr>
              <w:numPr>
                <w:ilvl w:val="0"/>
                <w:numId w:val="0"/>
              </w:numPr>
              <w:spacing w:after="60"/>
              <w:jc w:val="center"/>
              <w:rPr>
                <w:rFonts w:hint="eastAsia" w:cs="Arial"/>
                <w:b/>
                <w:color w:val="000000"/>
                <w:sz w:val="28"/>
                <w:szCs w:val="28"/>
                <w:vertAlign w:val="baseline"/>
                <w:lang w:eastAsia="zh-CN"/>
              </w:rPr>
            </w:pPr>
          </w:p>
        </w:tc>
        <w:tc>
          <w:tcPr>
            <w:tcW w:w="941" w:type="dxa"/>
            <w:vAlign w:val="center"/>
          </w:tcPr>
          <w:p>
            <w:pPr>
              <w:numPr>
                <w:ilvl w:val="0"/>
                <w:numId w:val="0"/>
              </w:numPr>
              <w:spacing w:after="60"/>
              <w:jc w:val="center"/>
              <w:rPr>
                <w:rFonts w:hint="eastAsia" w:cs="Arial"/>
                <w:b/>
                <w:color w:val="000000"/>
                <w:sz w:val="28"/>
                <w:szCs w:val="28"/>
                <w:vertAlign w:val="baseline"/>
                <w:lang w:eastAsia="zh-CN"/>
              </w:rPr>
            </w:pPr>
            <w:r>
              <w:rPr>
                <w:rFonts w:hint="eastAsia"/>
                <w:lang w:eastAsia="zh-CN"/>
              </w:rPr>
              <w:t>负偏离为废标条款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Align w:val="center"/>
          </w:tcPr>
          <w:p>
            <w:pPr>
              <w:jc w:val="center"/>
              <w:rPr>
                <w:rFonts w:hint="default"/>
                <w:color w:val="000000"/>
                <w:lang w:val="en-US" w:eastAsia="zh-CN"/>
              </w:rPr>
            </w:pPr>
            <w:r>
              <w:rPr>
                <w:rFonts w:hint="eastAsia"/>
                <w:color w:val="000000"/>
                <w:lang w:val="en-US" w:eastAsia="zh-CN"/>
              </w:rPr>
              <w:t>2</w:t>
            </w:r>
          </w:p>
        </w:tc>
        <w:tc>
          <w:tcPr>
            <w:tcW w:w="4669" w:type="dxa"/>
            <w:vAlign w:val="center"/>
          </w:tcPr>
          <w:p>
            <w:pPr>
              <w:numPr>
                <w:ilvl w:val="0"/>
                <w:numId w:val="0"/>
              </w:numPr>
              <w:jc w:val="left"/>
              <w:rPr>
                <w:rFonts w:hint="eastAsia" w:cs="Arial"/>
                <w:b/>
                <w:color w:val="000000"/>
                <w:sz w:val="28"/>
                <w:szCs w:val="28"/>
                <w:vertAlign w:val="baseline"/>
                <w:lang w:eastAsia="zh-CN"/>
              </w:rPr>
            </w:pPr>
            <w:r>
              <w:rPr>
                <w:rFonts w:hint="eastAsia"/>
                <w:lang w:val="en-US" w:eastAsia="zh-CN"/>
              </w:rPr>
              <w:t>中标产品需在</w:t>
            </w:r>
            <w:r>
              <w:rPr>
                <w:rFonts w:hint="eastAsia"/>
              </w:rPr>
              <w:t>深圳医用耗材阳光平台</w:t>
            </w:r>
            <w:r>
              <w:rPr>
                <w:rFonts w:hint="eastAsia"/>
                <w:lang w:val="en-US" w:eastAsia="zh-CN"/>
              </w:rPr>
              <w:t>线上</w:t>
            </w:r>
            <w:r>
              <w:rPr>
                <w:rFonts w:hint="eastAsia"/>
              </w:rPr>
              <w:t>交易</w:t>
            </w:r>
            <w:r>
              <w:rPr>
                <w:rFonts w:hint="eastAsia"/>
                <w:lang w:eastAsia="zh-CN"/>
              </w:rPr>
              <w:t>，</w:t>
            </w:r>
            <w:r>
              <w:rPr>
                <w:rFonts w:hint="eastAsia"/>
                <w:lang w:val="en-US" w:eastAsia="zh-CN"/>
              </w:rPr>
              <w:t>且中标价格不能超过该平台的参考限价/中选价</w:t>
            </w:r>
            <w:r>
              <w:rPr>
                <w:rFonts w:hint="eastAsia"/>
              </w:rPr>
              <w:t>（须提供备案及产品挂网信息截图并加盖投标人公章）</w:t>
            </w:r>
            <w:r>
              <w:rPr>
                <w:rFonts w:hint="eastAsia"/>
                <w:lang w:eastAsia="zh-CN"/>
              </w:rPr>
              <w:t>。</w:t>
            </w:r>
          </w:p>
        </w:tc>
        <w:tc>
          <w:tcPr>
            <w:tcW w:w="1335" w:type="dxa"/>
            <w:vAlign w:val="center"/>
          </w:tcPr>
          <w:p>
            <w:pPr>
              <w:numPr>
                <w:ilvl w:val="0"/>
                <w:numId w:val="0"/>
              </w:numPr>
              <w:spacing w:after="60"/>
              <w:jc w:val="center"/>
              <w:rPr>
                <w:rFonts w:hint="eastAsia" w:cs="Arial"/>
                <w:b/>
                <w:color w:val="000000"/>
                <w:sz w:val="28"/>
                <w:szCs w:val="28"/>
                <w:vertAlign w:val="baseline"/>
                <w:lang w:eastAsia="zh-CN"/>
              </w:rPr>
            </w:pPr>
          </w:p>
        </w:tc>
        <w:tc>
          <w:tcPr>
            <w:tcW w:w="941" w:type="dxa"/>
            <w:vAlign w:val="center"/>
          </w:tcPr>
          <w:p>
            <w:pPr>
              <w:numPr>
                <w:ilvl w:val="0"/>
                <w:numId w:val="0"/>
              </w:numPr>
              <w:spacing w:after="60"/>
              <w:jc w:val="center"/>
              <w:rPr>
                <w:rFonts w:hint="eastAsia" w:cs="Arial"/>
                <w:b/>
                <w:color w:val="000000"/>
                <w:sz w:val="28"/>
                <w:szCs w:val="28"/>
                <w:vertAlign w:val="baseline"/>
                <w:lang w:eastAsia="zh-CN"/>
              </w:rPr>
            </w:pPr>
            <w:r>
              <w:rPr>
                <w:rFonts w:hint="eastAsia"/>
                <w:lang w:eastAsia="zh-CN"/>
              </w:rPr>
              <w:t>负偏离为废标条款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Align w:val="center"/>
          </w:tcPr>
          <w:p>
            <w:pPr>
              <w:jc w:val="center"/>
              <w:rPr>
                <w:rFonts w:hint="default"/>
                <w:color w:val="000000"/>
                <w:lang w:val="en-US" w:eastAsia="zh-CN"/>
              </w:rPr>
            </w:pPr>
            <w:r>
              <w:rPr>
                <w:rFonts w:hint="eastAsia"/>
                <w:color w:val="000000"/>
                <w:lang w:val="en-US" w:eastAsia="zh-CN"/>
              </w:rPr>
              <w:t>3</w:t>
            </w:r>
          </w:p>
        </w:tc>
        <w:tc>
          <w:tcPr>
            <w:tcW w:w="4669" w:type="dxa"/>
            <w:vAlign w:val="center"/>
          </w:tcPr>
          <w:p>
            <w:pPr>
              <w:numPr>
                <w:ilvl w:val="0"/>
                <w:numId w:val="0"/>
              </w:numPr>
              <w:spacing w:after="60"/>
              <w:jc w:val="left"/>
              <w:rPr>
                <w:rFonts w:hint="eastAsia" w:cs="Arial"/>
                <w:b/>
                <w:color w:val="000000"/>
                <w:sz w:val="28"/>
                <w:szCs w:val="28"/>
                <w:vertAlign w:val="baseline"/>
                <w:lang w:eastAsia="zh-CN"/>
              </w:rPr>
            </w:pPr>
            <w:r>
              <w:rPr>
                <w:rFonts w:hint="eastAsia"/>
              </w:rPr>
              <w:t>中标</w:t>
            </w:r>
            <w:r>
              <w:rPr>
                <w:rFonts w:hint="eastAsia"/>
                <w:lang w:val="en-US" w:eastAsia="zh-CN"/>
              </w:rPr>
              <w:t>公司</w:t>
            </w:r>
            <w:r>
              <w:rPr>
                <w:rFonts w:hint="eastAsia"/>
              </w:rPr>
              <w:t>无条件配合医院SPD物流精细化管理服务，同时承诺支付</w:t>
            </w:r>
            <w:r>
              <w:rPr>
                <w:rFonts w:hint="eastAsia"/>
                <w:lang w:val="en-US" w:eastAsia="zh-CN"/>
              </w:rPr>
              <w:t>每月</w:t>
            </w:r>
            <w:r>
              <w:rPr>
                <w:rFonts w:hint="eastAsia"/>
              </w:rPr>
              <w:t>管理服务费(不超当月供货总额的3%)，具体与医院签合同时按合同条款执行。</w:t>
            </w:r>
          </w:p>
        </w:tc>
        <w:tc>
          <w:tcPr>
            <w:tcW w:w="1335" w:type="dxa"/>
            <w:vAlign w:val="center"/>
          </w:tcPr>
          <w:p>
            <w:pPr>
              <w:numPr>
                <w:ilvl w:val="0"/>
                <w:numId w:val="0"/>
              </w:numPr>
              <w:spacing w:after="60"/>
              <w:jc w:val="center"/>
              <w:rPr>
                <w:rFonts w:hint="eastAsia" w:cs="Arial"/>
                <w:b/>
                <w:color w:val="000000"/>
                <w:sz w:val="28"/>
                <w:szCs w:val="28"/>
                <w:vertAlign w:val="baseline"/>
                <w:lang w:eastAsia="zh-CN"/>
              </w:rPr>
            </w:pPr>
          </w:p>
        </w:tc>
        <w:tc>
          <w:tcPr>
            <w:tcW w:w="941" w:type="dxa"/>
            <w:vAlign w:val="center"/>
          </w:tcPr>
          <w:p>
            <w:pPr>
              <w:numPr>
                <w:ilvl w:val="0"/>
                <w:numId w:val="0"/>
              </w:numPr>
              <w:spacing w:after="60"/>
              <w:jc w:val="center"/>
              <w:rPr>
                <w:rFonts w:hint="eastAsia" w:cs="Arial"/>
                <w:b/>
                <w:color w:val="000000"/>
                <w:sz w:val="28"/>
                <w:szCs w:val="28"/>
                <w:vertAlign w:val="baseline"/>
                <w:lang w:eastAsia="zh-CN"/>
              </w:rPr>
            </w:pPr>
            <w:r>
              <w:rPr>
                <w:rFonts w:hint="eastAsia"/>
                <w:lang w:eastAsia="zh-CN"/>
              </w:rPr>
              <w:t>负偏离为废标条款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Align w:val="center"/>
          </w:tcPr>
          <w:p>
            <w:pPr>
              <w:jc w:val="center"/>
              <w:rPr>
                <w:rFonts w:hint="default"/>
                <w:color w:val="000000"/>
                <w:lang w:val="en-US" w:eastAsia="zh-CN"/>
              </w:rPr>
            </w:pPr>
            <w:r>
              <w:rPr>
                <w:rFonts w:hint="eastAsia"/>
                <w:color w:val="000000"/>
                <w:lang w:val="en-US" w:eastAsia="zh-CN"/>
              </w:rPr>
              <w:t>4</w:t>
            </w:r>
          </w:p>
        </w:tc>
        <w:tc>
          <w:tcPr>
            <w:tcW w:w="4669" w:type="dxa"/>
            <w:vAlign w:val="center"/>
          </w:tcPr>
          <w:p>
            <w:pPr>
              <w:numPr>
                <w:ilvl w:val="0"/>
                <w:numId w:val="0"/>
              </w:numPr>
              <w:jc w:val="left"/>
              <w:rPr>
                <w:rFonts w:hint="eastAsia"/>
              </w:rPr>
            </w:pPr>
            <w:r>
              <w:rPr>
                <w:rFonts w:hint="eastAsia"/>
              </w:rPr>
              <w:t>投标人必须提供《医疗器械生产企业许可证》或《医疗器械经营企业许可证》扫描件）；</w:t>
            </w:r>
          </w:p>
          <w:p>
            <w:pPr>
              <w:jc w:val="left"/>
              <w:rPr>
                <w:rFonts w:hint="eastAsia" w:cs="Arial"/>
                <w:b/>
                <w:color w:val="000000"/>
                <w:sz w:val="28"/>
                <w:szCs w:val="28"/>
                <w:vertAlign w:val="baseline"/>
                <w:lang w:eastAsia="zh-CN"/>
              </w:rPr>
            </w:pPr>
            <w:r>
              <w:rPr>
                <w:rFonts w:hint="eastAsia"/>
              </w:rPr>
              <w:t>所投产品</w:t>
            </w:r>
            <w:r>
              <w:rPr>
                <w:rFonts w:hint="eastAsia"/>
                <w:lang w:val="en-US" w:eastAsia="zh-CN"/>
              </w:rPr>
              <w:t>需提供</w:t>
            </w:r>
            <w:r>
              <w:rPr>
                <w:rFonts w:hint="eastAsia"/>
              </w:rPr>
              <w:t>《医疗器械注册证》或备案凭证扫描件；</w:t>
            </w:r>
            <w:r>
              <w:rPr>
                <w:rFonts w:hint="eastAsia"/>
                <w:lang w:val="en-US" w:eastAsia="zh-CN"/>
              </w:rPr>
              <w:t>非</w:t>
            </w:r>
            <w:r>
              <w:rPr>
                <w:rFonts w:hint="eastAsia"/>
              </w:rPr>
              <w:t>医疗器械管理的产品，投标人需提供由国家食品药品监督管理局针对该产品不作为医疗器械管理界定的相关文件，以及由生产厂家出具的产品说明书，原件备查。</w:t>
            </w:r>
          </w:p>
        </w:tc>
        <w:tc>
          <w:tcPr>
            <w:tcW w:w="1335" w:type="dxa"/>
            <w:vAlign w:val="center"/>
          </w:tcPr>
          <w:p>
            <w:pPr>
              <w:numPr>
                <w:ilvl w:val="0"/>
                <w:numId w:val="0"/>
              </w:numPr>
              <w:spacing w:after="60"/>
              <w:jc w:val="center"/>
              <w:rPr>
                <w:rFonts w:hint="eastAsia" w:cs="Arial"/>
                <w:b/>
                <w:color w:val="000000"/>
                <w:sz w:val="28"/>
                <w:szCs w:val="28"/>
                <w:vertAlign w:val="baseline"/>
                <w:lang w:eastAsia="zh-CN"/>
              </w:rPr>
            </w:pPr>
          </w:p>
        </w:tc>
        <w:tc>
          <w:tcPr>
            <w:tcW w:w="941" w:type="dxa"/>
            <w:vAlign w:val="center"/>
          </w:tcPr>
          <w:p>
            <w:pPr>
              <w:numPr>
                <w:ilvl w:val="0"/>
                <w:numId w:val="0"/>
              </w:numPr>
              <w:spacing w:after="60"/>
              <w:jc w:val="center"/>
              <w:rPr>
                <w:rFonts w:hint="eastAsia" w:cs="Arial"/>
                <w:b/>
                <w:color w:val="000000"/>
                <w:sz w:val="28"/>
                <w:szCs w:val="28"/>
                <w:vertAlign w:val="baseline"/>
                <w:lang w:eastAsia="zh-CN"/>
              </w:rPr>
            </w:pPr>
            <w:r>
              <w:rPr>
                <w:rFonts w:hint="eastAsia"/>
                <w:lang w:eastAsia="zh-CN"/>
              </w:rPr>
              <w:t>负偏离为废标条款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84" w:type="dxa"/>
            <w:vAlign w:val="center"/>
          </w:tcPr>
          <w:p>
            <w:pPr>
              <w:jc w:val="center"/>
              <w:rPr>
                <w:rFonts w:hint="default"/>
                <w:color w:val="000000"/>
                <w:lang w:val="en-US" w:eastAsia="zh-CN"/>
              </w:rPr>
            </w:pPr>
            <w:r>
              <w:rPr>
                <w:rFonts w:hint="eastAsia"/>
                <w:color w:val="000000"/>
                <w:lang w:val="en-US" w:eastAsia="zh-CN"/>
              </w:rPr>
              <w:t>5</w:t>
            </w:r>
          </w:p>
        </w:tc>
        <w:tc>
          <w:tcPr>
            <w:tcW w:w="4669" w:type="dxa"/>
            <w:vAlign w:val="center"/>
          </w:tcPr>
          <w:p>
            <w:pPr>
              <w:numPr>
                <w:ilvl w:val="0"/>
                <w:numId w:val="0"/>
              </w:numPr>
              <w:spacing w:after="60"/>
              <w:jc w:val="left"/>
              <w:rPr>
                <w:rFonts w:hint="eastAsia" w:cs="Arial"/>
                <w:b/>
                <w:color w:val="000000"/>
                <w:sz w:val="28"/>
                <w:szCs w:val="28"/>
                <w:vertAlign w:val="baseline"/>
                <w:lang w:eastAsia="zh-CN"/>
              </w:rPr>
            </w:pPr>
            <w:r>
              <w:rPr>
                <w:rFonts w:hint="eastAsia"/>
                <w:lang w:val="en-US" w:eastAsia="zh-CN"/>
              </w:rPr>
              <w:t>所投产品价格如若超过预算单价，废除该投标单位的投标资格。</w:t>
            </w:r>
          </w:p>
        </w:tc>
        <w:tc>
          <w:tcPr>
            <w:tcW w:w="1335" w:type="dxa"/>
            <w:vAlign w:val="center"/>
          </w:tcPr>
          <w:p>
            <w:pPr>
              <w:numPr>
                <w:ilvl w:val="0"/>
                <w:numId w:val="0"/>
              </w:numPr>
              <w:spacing w:after="60"/>
              <w:jc w:val="center"/>
              <w:rPr>
                <w:rFonts w:hint="eastAsia" w:cs="Arial"/>
                <w:b/>
                <w:color w:val="000000"/>
                <w:sz w:val="28"/>
                <w:szCs w:val="28"/>
                <w:vertAlign w:val="baseline"/>
                <w:lang w:eastAsia="zh-CN"/>
              </w:rPr>
            </w:pPr>
          </w:p>
        </w:tc>
        <w:tc>
          <w:tcPr>
            <w:tcW w:w="941" w:type="dxa"/>
            <w:vAlign w:val="center"/>
          </w:tcPr>
          <w:p>
            <w:pPr>
              <w:numPr>
                <w:ilvl w:val="0"/>
                <w:numId w:val="0"/>
              </w:numPr>
              <w:spacing w:after="60"/>
              <w:jc w:val="center"/>
              <w:rPr>
                <w:rFonts w:hint="eastAsia"/>
                <w:lang w:eastAsia="zh-CN"/>
              </w:rPr>
            </w:pPr>
            <w:r>
              <w:rPr>
                <w:rFonts w:hint="eastAsia"/>
                <w:lang w:eastAsia="zh-CN"/>
              </w:rPr>
              <w:t>负偏离为废标条款</w:t>
            </w:r>
          </w:p>
        </w:tc>
      </w:tr>
    </w:tbl>
    <w:p>
      <w:pPr>
        <w:numPr>
          <w:ilvl w:val="0"/>
          <w:numId w:val="0"/>
        </w:numPr>
        <w:spacing w:after="60"/>
        <w:jc w:val="both"/>
        <w:rPr>
          <w:rFonts w:hint="eastAsia" w:cs="Arial"/>
          <w:b/>
          <w:color w:val="000000"/>
          <w:sz w:val="28"/>
          <w:szCs w:val="28"/>
          <w:lang w:eastAsia="zh-CN"/>
        </w:rPr>
      </w:pPr>
    </w:p>
    <w:p>
      <w:pPr>
        <w:spacing w:after="60"/>
        <w:ind w:firstLine="2811" w:firstLineChars="1000"/>
        <w:jc w:val="both"/>
        <w:rPr>
          <w:rFonts w:hint="eastAsia" w:cs="Arial"/>
          <w:b/>
          <w:color w:val="000000"/>
          <w:sz w:val="28"/>
          <w:szCs w:val="28"/>
        </w:rPr>
      </w:pPr>
    </w:p>
    <w:p>
      <w:pPr>
        <w:rPr>
          <w:color w:val="000000"/>
        </w:rPr>
      </w:pPr>
      <w:r>
        <w:rPr>
          <w:color w:val="000000"/>
        </w:rPr>
        <w:tab/>
      </w:r>
      <w:r>
        <w:rPr>
          <w:rFonts w:hint="eastAsia"/>
          <w:color w:val="000000"/>
          <w:lang w:val="en-US" w:eastAsia="zh-CN"/>
        </w:rPr>
        <w:t xml:space="preserve">                                </w:t>
      </w:r>
      <w:r>
        <w:rPr>
          <w:rFonts w:hint="eastAsia"/>
          <w:color w:val="000000"/>
        </w:rPr>
        <w:t>投标人授权代表签字（公章）：</w:t>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lang w:val="en-US" w:eastAsia="zh-CN"/>
        </w:rPr>
        <w:t xml:space="preserve">     </w:t>
      </w:r>
      <w:r>
        <w:rPr>
          <w:rFonts w:hint="eastAsia"/>
          <w:color w:val="000000"/>
        </w:rPr>
        <w:t>日期：</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ind w:firstLine="2811" w:firstLineChars="1000"/>
        <w:jc w:val="both"/>
        <w:rPr>
          <w:rFonts w:hint="eastAsia" w:cs="Arial"/>
          <w:b/>
          <w:color w:val="000000"/>
          <w:sz w:val="28"/>
          <w:szCs w:val="28"/>
        </w:rPr>
      </w:pPr>
    </w:p>
    <w:p>
      <w:pPr>
        <w:spacing w:after="60"/>
        <w:jc w:val="center"/>
        <w:rPr>
          <w:b/>
          <w:color w:val="000000"/>
          <w:kern w:val="0"/>
          <w:sz w:val="28"/>
          <w:szCs w:val="28"/>
        </w:rPr>
      </w:pPr>
      <w:r>
        <w:rPr>
          <w:rFonts w:hint="eastAsia" w:cs="Arial"/>
          <w:b/>
          <w:color w:val="000000"/>
          <w:sz w:val="28"/>
          <w:szCs w:val="28"/>
          <w:lang w:eastAsia="zh-CN"/>
        </w:rPr>
        <w:t>六、</w:t>
      </w:r>
      <w:r>
        <w:rPr>
          <w:rFonts w:hint="eastAsia" w:cs="Arial"/>
          <w:b/>
          <w:color w:val="000000"/>
          <w:sz w:val="28"/>
          <w:szCs w:val="28"/>
        </w:rPr>
        <w:t>售后服务承诺</w:t>
      </w:r>
    </w:p>
    <w:p>
      <w:pPr>
        <w:rPr>
          <w:rFonts w:asciiTheme="minorEastAsia" w:hAnsiTheme="minorEastAsia" w:cstheme="minorEastAsia"/>
          <w:sz w:val="24"/>
        </w:rPr>
      </w:pPr>
      <w:r>
        <w:rPr>
          <w:rFonts w:hint="eastAsia" w:asciiTheme="minorEastAsia" w:hAnsiTheme="minorEastAsia" w:cstheme="minorEastAsia"/>
          <w:sz w:val="24"/>
        </w:rPr>
        <w:t>配送时间及伴随服务承诺表:</w:t>
      </w:r>
    </w:p>
    <w:p>
      <w:pPr>
        <w:rPr>
          <w:rFonts w:ascii="宋体" w:hAnsi="宋体"/>
          <w:bCs/>
          <w:sz w:val="24"/>
        </w:rPr>
      </w:pPr>
    </w:p>
    <w:p>
      <w:pPr>
        <w:rPr>
          <w:rFonts w:ascii="宋体" w:hAnsi="宋体"/>
          <w:bCs/>
          <w:sz w:val="24"/>
        </w:rPr>
      </w:pPr>
      <w:r>
        <w:rPr>
          <w:rFonts w:hint="eastAsia" w:ascii="宋体" w:hAnsi="宋体"/>
          <w:bCs/>
          <w:sz w:val="24"/>
        </w:rPr>
        <w:t>采购编号：    供应商名称（盖章）：</w:t>
      </w:r>
    </w:p>
    <w:p>
      <w:pPr>
        <w:spacing w:line="360" w:lineRule="auto"/>
        <w:rPr>
          <w:rFonts w:ascii="宋体" w:hAnsi="宋体"/>
          <w:bCs/>
          <w:sz w:val="24"/>
        </w:rPr>
      </w:pPr>
      <w:r>
        <w:rPr>
          <w:rFonts w:hint="eastAsia" w:ascii="宋体" w:hAnsi="宋体"/>
          <w:bCs/>
          <w:sz w:val="24"/>
        </w:rPr>
        <w:t xml:space="preserve">供应商对所申报产品的配送时间等事项做出以下承诺     </w:t>
      </w:r>
    </w:p>
    <w:p>
      <w:pPr>
        <w:spacing w:line="360" w:lineRule="auto"/>
        <w:rPr>
          <w:rFonts w:ascii="宋体" w:hAnsi="宋体"/>
          <w:bCs/>
          <w:sz w:val="24"/>
        </w:rPr>
      </w:pPr>
      <w:r>
        <w:rPr>
          <w:rFonts w:hint="eastAsia" w:ascii="宋体" w:hAnsi="宋体"/>
          <w:b/>
          <w:bCs/>
          <w:sz w:val="24"/>
        </w:rPr>
        <w:t>一、配送时间表（依据采购人意见，以下配送时间必须承诺）</w:t>
      </w:r>
    </w:p>
    <w:tbl>
      <w:tblPr>
        <w:tblStyle w:val="6"/>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5"/>
        <w:gridCol w:w="1763"/>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60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采购文件规定的配送时间</w:t>
            </w:r>
          </w:p>
        </w:tc>
        <w:tc>
          <w:tcPr>
            <w:tcW w:w="333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Cs/>
                <w:sz w:val="24"/>
              </w:rPr>
            </w:pPr>
            <w:r>
              <w:rPr>
                <w:rFonts w:hint="eastAsia" w:ascii="宋体" w:hAnsi="宋体"/>
                <w:bCs/>
                <w:sz w:val="24"/>
              </w:rPr>
              <w:t>供应商选择（在括号内打“√”）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6045" w:type="dxa"/>
            <w:tcBorders>
              <w:top w:val="single" w:color="auto" w:sz="4" w:space="0"/>
              <w:left w:val="single" w:color="auto" w:sz="4" w:space="0"/>
              <w:bottom w:val="single" w:color="auto" w:sz="4" w:space="0"/>
              <w:right w:val="single" w:color="auto" w:sz="4" w:space="0"/>
            </w:tcBorders>
          </w:tcPr>
          <w:p>
            <w:pPr>
              <w:pStyle w:val="3"/>
              <w:spacing w:line="360" w:lineRule="auto"/>
              <w:rPr>
                <w:rFonts w:hAnsi="宋体"/>
                <w:szCs w:val="24"/>
              </w:rPr>
            </w:pPr>
            <w:r>
              <w:rPr>
                <w:rFonts w:hint="eastAsia" w:hAnsi="宋体"/>
                <w:szCs w:val="24"/>
              </w:rPr>
              <w:t>1、一般产品配送不超过48小时送达；</w:t>
            </w:r>
          </w:p>
          <w:p>
            <w:pPr>
              <w:pStyle w:val="3"/>
              <w:spacing w:line="360" w:lineRule="auto"/>
              <w:rPr>
                <w:rFonts w:hAnsi="宋体"/>
                <w:szCs w:val="24"/>
              </w:rPr>
            </w:pPr>
            <w:r>
              <w:rPr>
                <w:rFonts w:hint="eastAsia" w:hAnsi="宋体"/>
                <w:szCs w:val="24"/>
              </w:rPr>
              <w:t>2、紧急配送，供应商应保证所有产品在四小时内送达。</w:t>
            </w:r>
          </w:p>
          <w:p>
            <w:pPr>
              <w:pStyle w:val="3"/>
              <w:spacing w:line="360" w:lineRule="auto"/>
              <w:rPr>
                <w:rFonts w:hAnsi="宋体"/>
                <w:szCs w:val="24"/>
              </w:rPr>
            </w:pPr>
            <w:r>
              <w:rPr>
                <w:rFonts w:hint="eastAsia" w:hAnsi="宋体"/>
                <w:szCs w:val="24"/>
              </w:rPr>
              <w:t>3、医院要求隔夜送达的（医疗机构应在当天下午六点之前发出订单），供应商应保证在次日早上8:30分之前送达。</w:t>
            </w:r>
          </w:p>
          <w:p>
            <w:pPr>
              <w:pStyle w:val="3"/>
              <w:spacing w:line="360" w:lineRule="auto"/>
              <w:rPr>
                <w:rFonts w:hAnsi="宋体"/>
                <w:szCs w:val="24"/>
              </w:rPr>
            </w:pPr>
            <w:r>
              <w:rPr>
                <w:rFonts w:hint="eastAsia" w:hAnsi="宋体"/>
                <w:szCs w:val="24"/>
              </w:rPr>
              <w:t>深圳市福田区第二人民医院发出订单，将不分节假日。供应商应留置值班人员以满足医院订货需求。如果上述三种情况没有按照医院要求及时送达，所产生的一切后果将由供应商负责。</w:t>
            </w:r>
          </w:p>
          <w:p>
            <w:pPr>
              <w:spacing w:line="360" w:lineRule="auto"/>
              <w:jc w:val="left"/>
              <w:rPr>
                <w:rFonts w:ascii="宋体" w:hAnsi="宋体"/>
                <w:bCs/>
                <w:sz w:val="24"/>
              </w:rPr>
            </w:pPr>
            <w:r>
              <w:rPr>
                <w:rFonts w:hint="eastAsia" w:ascii="宋体" w:hAnsi="宋体"/>
              </w:rPr>
              <w:t>4、急救用品，由医院向</w:t>
            </w:r>
            <w:r>
              <w:rPr>
                <w:rFonts w:hint="eastAsia" w:hAnsi="宋体"/>
              </w:rPr>
              <w:t>供应商</w:t>
            </w:r>
            <w:r>
              <w:rPr>
                <w:rFonts w:hint="eastAsia" w:ascii="宋体" w:hAnsi="宋体"/>
              </w:rPr>
              <w:t>提出特殊配送需求，如果</w:t>
            </w:r>
            <w:r>
              <w:rPr>
                <w:rFonts w:hint="eastAsia" w:hAnsi="宋体"/>
              </w:rPr>
              <w:t>供应商</w:t>
            </w:r>
            <w:r>
              <w:rPr>
                <w:rFonts w:hint="eastAsia" w:ascii="宋体" w:hAnsi="宋体"/>
              </w:rPr>
              <w:t>表示无法及时送到，医院有权自行采购。</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承 诺（ ）</w:t>
            </w:r>
          </w:p>
        </w:tc>
        <w:tc>
          <w:tcPr>
            <w:tcW w:w="1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不承诺（  ）</w:t>
            </w:r>
          </w:p>
        </w:tc>
      </w:tr>
    </w:tbl>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二、供应商伴随服务承诺（以下配送服务可选择承诺，部分承诺视为不承诺）</w:t>
      </w:r>
    </w:p>
    <w:tbl>
      <w:tblPr>
        <w:tblStyle w:val="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5"/>
        <w:gridCol w:w="2916"/>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napToGrid w:val="0"/>
                <w:kern w:val="0"/>
                <w:sz w:val="24"/>
              </w:rPr>
              <w:t>承诺内容</w:t>
            </w:r>
          </w:p>
        </w:tc>
        <w:tc>
          <w:tcPr>
            <w:tcW w:w="561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供应商选择（在括号内打“√”）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无条件破损退换</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近效期退换</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定期随访</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bl>
    <w:p>
      <w:pPr>
        <w:adjustRightInd w:val="0"/>
        <w:snapToGrid w:val="0"/>
        <w:spacing w:line="440" w:lineRule="exact"/>
        <w:outlineLvl w:val="0"/>
        <w:rPr>
          <w:rFonts w:ascii="宋体" w:hAnsi="宋体"/>
          <w:bCs/>
          <w:snapToGrid w:val="0"/>
          <w:kern w:val="0"/>
          <w:sz w:val="24"/>
        </w:rPr>
      </w:pPr>
      <w:r>
        <w:rPr>
          <w:rFonts w:hint="eastAsia" w:ascii="宋体" w:hAnsi="宋体"/>
          <w:bCs/>
          <w:snapToGrid w:val="0"/>
          <w:kern w:val="0"/>
          <w:sz w:val="24"/>
        </w:rPr>
        <w:t>注意：1、上述承诺将作为申报产品的评审要素予以考虑，供应商必须谨慎选择或填写。若有涂改，应由供应商盖章或被授权人签字确认。一旦提交即发生法律效力，成交后，必须在采购期的履约过程中严格遵守。</w:t>
      </w:r>
    </w:p>
    <w:p>
      <w:pPr>
        <w:spacing w:line="440" w:lineRule="exact"/>
        <w:ind w:firstLine="660" w:firstLineChars="275"/>
        <w:rPr>
          <w:rFonts w:ascii="宋体" w:hAnsi="宋体"/>
          <w:b/>
          <w:bCs/>
          <w:snapToGrid w:val="0"/>
          <w:kern w:val="0"/>
        </w:rPr>
      </w:pPr>
      <w:r>
        <w:rPr>
          <w:rFonts w:hint="eastAsia" w:ascii="宋体" w:hAnsi="宋体"/>
          <w:bCs/>
          <w:snapToGrid w:val="0"/>
          <w:kern w:val="0"/>
          <w:sz w:val="24"/>
        </w:rPr>
        <w:t>2、</w:t>
      </w:r>
      <w:r>
        <w:rPr>
          <w:rFonts w:hint="eastAsia" w:ascii="宋体" w:hAnsi="宋体"/>
          <w:b/>
          <w:bCs/>
          <w:snapToGrid w:val="0"/>
          <w:kern w:val="0"/>
          <w:sz w:val="24"/>
        </w:rPr>
        <w:t>供应商在申报承诺函附件中列明的事项中未做出选择或只做出部份选择，视为投供应商不承诺。</w:t>
      </w:r>
    </w:p>
    <w:p>
      <w:pPr>
        <w:spacing w:after="60"/>
        <w:ind w:firstLine="420" w:firstLineChars="200"/>
        <w:rPr>
          <w:rFonts w:cs="Arial"/>
          <w:color w:val="000000"/>
        </w:rPr>
      </w:pPr>
    </w:p>
    <w:p>
      <w:pPr>
        <w:spacing w:after="60"/>
        <w:ind w:firstLine="361" w:firstLineChars="150"/>
        <w:rPr>
          <w:rFonts w:hint="eastAsia" w:cs="Arial"/>
          <w:b/>
          <w:color w:val="000000"/>
          <w:sz w:val="24"/>
        </w:rPr>
      </w:pPr>
    </w:p>
    <w:p>
      <w:pPr>
        <w:spacing w:after="60"/>
        <w:ind w:firstLine="361" w:firstLineChars="150"/>
        <w:rPr>
          <w:rFonts w:cs="Arial"/>
          <w:color w:val="000000"/>
          <w:sz w:val="28"/>
          <w:szCs w:val="28"/>
        </w:rPr>
      </w:pPr>
      <w:r>
        <w:rPr>
          <w:rFonts w:hint="eastAsia" w:cs="Arial"/>
          <w:b/>
          <w:color w:val="000000"/>
          <w:sz w:val="24"/>
        </w:rPr>
        <w:t>三：售后服务承诺应包括的其它主要内容</w:t>
      </w:r>
      <w:r>
        <w:rPr>
          <w:rFonts w:hint="eastAsia" w:cs="Arial"/>
          <w:b/>
          <w:color w:val="000000"/>
          <w:sz w:val="24"/>
          <w:lang w:eastAsia="zh-CN"/>
        </w:rPr>
        <w:t>（售后服务方案）</w:t>
      </w:r>
      <w:r>
        <w:rPr>
          <w:rFonts w:hint="eastAsia" w:cs="Arial"/>
          <w:color w:val="000000"/>
          <w:sz w:val="28"/>
          <w:szCs w:val="28"/>
        </w:rPr>
        <w:t>：</w:t>
      </w:r>
    </w:p>
    <w:p>
      <w:pPr>
        <w:numPr>
          <w:ilvl w:val="0"/>
          <w:numId w:val="2"/>
        </w:numPr>
        <w:spacing w:after="60"/>
        <w:ind w:firstLine="420" w:firstLineChars="200"/>
        <w:rPr>
          <w:rFonts w:hint="eastAsia" w:ascii="宋体" w:hAnsi="宋体"/>
          <w:szCs w:val="21"/>
        </w:rPr>
      </w:pPr>
      <w:r>
        <w:rPr>
          <w:rFonts w:hint="eastAsia" w:ascii="宋体" w:hAnsi="宋体"/>
          <w:szCs w:val="21"/>
        </w:rPr>
        <w:t>配送时效</w:t>
      </w:r>
      <w:r>
        <w:rPr>
          <w:rFonts w:hint="eastAsia" w:ascii="宋体" w:hAnsi="宋体"/>
          <w:szCs w:val="21"/>
          <w:lang w:eastAsia="zh-CN"/>
        </w:rPr>
        <w:t>承诺；</w:t>
      </w:r>
    </w:p>
    <w:p>
      <w:pPr>
        <w:numPr>
          <w:ilvl w:val="0"/>
          <w:numId w:val="0"/>
        </w:numPr>
        <w:spacing w:after="60"/>
        <w:rPr>
          <w:rFonts w:cs="Arial"/>
          <w:color w:val="000000"/>
        </w:rPr>
      </w:pPr>
    </w:p>
    <w:p>
      <w:pPr>
        <w:numPr>
          <w:ilvl w:val="0"/>
          <w:numId w:val="0"/>
        </w:numPr>
        <w:spacing w:after="60"/>
        <w:ind w:firstLine="420" w:firstLineChars="200"/>
        <w:rPr>
          <w:rFonts w:cs="Arial"/>
          <w:color w:val="000000"/>
        </w:rPr>
      </w:pPr>
      <w:r>
        <w:rPr>
          <w:rFonts w:cs="Arial"/>
          <w:color w:val="000000"/>
        </w:rPr>
        <w:t>2</w:t>
      </w:r>
      <w:r>
        <w:rPr>
          <w:rFonts w:hint="eastAsia" w:cs="Arial"/>
          <w:color w:val="000000"/>
        </w:rPr>
        <w:t>、</w:t>
      </w:r>
      <w:r>
        <w:rPr>
          <w:rFonts w:hint="eastAsia" w:ascii="宋体" w:hAnsi="宋体"/>
          <w:szCs w:val="21"/>
        </w:rPr>
        <w:t>应急供货和退货</w:t>
      </w:r>
      <w:r>
        <w:rPr>
          <w:rFonts w:hint="eastAsia" w:ascii="宋体" w:hAnsi="宋体"/>
          <w:szCs w:val="21"/>
          <w:lang w:eastAsia="zh-CN"/>
        </w:rPr>
        <w:t>承诺</w:t>
      </w:r>
      <w:r>
        <w:rPr>
          <w:rFonts w:hint="eastAsia" w:cs="Arial"/>
          <w:color w:val="000000"/>
        </w:rPr>
        <w:t>；</w:t>
      </w:r>
    </w:p>
    <w:p>
      <w:pPr>
        <w:spacing w:after="60"/>
        <w:rPr>
          <w:rFonts w:hint="eastAsia" w:ascii="宋体" w:hAnsi="宋体" w:cs="宋体"/>
          <w:kern w:val="0"/>
          <w:szCs w:val="21"/>
        </w:rPr>
      </w:pPr>
    </w:p>
    <w:p>
      <w:pPr>
        <w:numPr>
          <w:ilvl w:val="0"/>
          <w:numId w:val="0"/>
        </w:numPr>
        <w:spacing w:after="60"/>
        <w:ind w:leftChars="200"/>
        <w:rPr>
          <w:rFonts w:hint="eastAsia" w:ascii="宋体" w:hAnsi="宋体"/>
          <w:szCs w:val="21"/>
          <w:lang w:eastAsia="zh-CN"/>
        </w:rPr>
      </w:pPr>
      <w:r>
        <w:rPr>
          <w:rFonts w:hint="eastAsia" w:ascii="宋体" w:hAnsi="宋体"/>
          <w:szCs w:val="21"/>
          <w:lang w:val="en-US" w:eastAsia="zh-CN"/>
        </w:rPr>
        <w:t>3、</w:t>
      </w:r>
      <w:r>
        <w:rPr>
          <w:rFonts w:hint="eastAsia" w:ascii="宋体" w:hAnsi="宋体"/>
          <w:szCs w:val="21"/>
        </w:rPr>
        <w:t>售后服务承诺</w:t>
      </w:r>
      <w:r>
        <w:rPr>
          <w:rFonts w:hint="eastAsia" w:ascii="宋体" w:hAnsi="宋体"/>
          <w:szCs w:val="21"/>
          <w:lang w:eastAsia="zh-CN"/>
        </w:rPr>
        <w:t>；</w:t>
      </w:r>
    </w:p>
    <w:p>
      <w:pPr>
        <w:numPr>
          <w:ilvl w:val="0"/>
          <w:numId w:val="0"/>
        </w:numPr>
        <w:spacing w:after="60"/>
        <w:ind w:leftChars="200"/>
        <w:rPr>
          <w:rFonts w:hint="eastAsia" w:ascii="宋体" w:hAnsi="宋体"/>
          <w:szCs w:val="21"/>
          <w:lang w:eastAsia="zh-CN"/>
        </w:rPr>
      </w:pPr>
    </w:p>
    <w:p>
      <w:pPr>
        <w:spacing w:after="60"/>
        <w:ind w:firstLine="420" w:firstLineChars="200"/>
        <w:rPr>
          <w:rFonts w:cs="Arial"/>
          <w:color w:val="000000"/>
        </w:rPr>
      </w:pPr>
      <w:r>
        <w:rPr>
          <w:rFonts w:hint="eastAsia" w:hAnsi="宋体"/>
          <w:bCs/>
          <w:color w:val="000000"/>
          <w:lang w:val="en-US" w:eastAsia="zh-CN"/>
        </w:rPr>
        <w:t>4</w:t>
      </w:r>
      <w:r>
        <w:rPr>
          <w:rFonts w:hint="eastAsia" w:hAnsi="宋体"/>
          <w:bCs/>
          <w:color w:val="000000"/>
        </w:rPr>
        <w:t>、</w:t>
      </w:r>
      <w:r>
        <w:rPr>
          <w:rFonts w:hint="eastAsia" w:cs="Arial"/>
          <w:color w:val="000000"/>
        </w:rPr>
        <w:t>其它服务承诺。</w:t>
      </w:r>
    </w:p>
    <w:p>
      <w:pPr>
        <w:spacing w:after="60"/>
        <w:ind w:firstLine="420" w:firstLineChars="200"/>
        <w:rPr>
          <w:rFonts w:cs="Arial"/>
          <w:color w:val="000000"/>
        </w:rPr>
      </w:pPr>
    </w:p>
    <w:p>
      <w:pPr>
        <w:spacing w:after="60"/>
        <w:ind w:firstLine="420" w:firstLineChars="200"/>
        <w:rPr>
          <w:rFonts w:cs="Arial"/>
          <w:color w:val="000000"/>
        </w:rPr>
      </w:pPr>
    </w:p>
    <w:p>
      <w:pPr>
        <w:spacing w:after="60"/>
        <w:ind w:firstLine="420" w:firstLineChars="200"/>
        <w:rPr>
          <w:rFonts w:cs="Arial"/>
          <w:color w:val="000000"/>
        </w:rPr>
      </w:pPr>
      <w:r>
        <w:rPr>
          <w:rFonts w:hint="eastAsia" w:cs="Arial"/>
          <w:color w:val="000000"/>
        </w:rPr>
        <w:t>投标人代表</w:t>
      </w:r>
      <w:r>
        <w:rPr>
          <w:rFonts w:cs="Arial"/>
          <w:color w:val="000000"/>
        </w:rPr>
        <w:t>________________________</w:t>
      </w:r>
    </w:p>
    <w:p>
      <w:pPr>
        <w:spacing w:after="60"/>
        <w:ind w:firstLine="420" w:firstLineChars="200"/>
        <w:rPr>
          <w:rFonts w:cs="Arial"/>
          <w:color w:val="000000"/>
        </w:rPr>
      </w:pPr>
    </w:p>
    <w:p>
      <w:pPr>
        <w:spacing w:after="60"/>
        <w:ind w:firstLine="420" w:firstLineChars="200"/>
        <w:rPr>
          <w:rFonts w:ascii="宋体" w:hAnsi="宋体"/>
          <w:b/>
          <w:sz w:val="24"/>
        </w:rPr>
      </w:pPr>
      <w:r>
        <w:rPr>
          <w:rFonts w:hint="eastAsia" w:cs="Arial"/>
          <w:color w:val="000000"/>
        </w:rPr>
        <w:t>投标单位：</w:t>
      </w:r>
      <w:r>
        <w:rPr>
          <w:rFonts w:cs="Arial"/>
          <w:color w:val="000000"/>
        </w:rPr>
        <w:t>________________________</w:t>
      </w:r>
    </w:p>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ind w:right="-517" w:rightChars="-246"/>
        <w:jc w:val="center"/>
        <w:rPr>
          <w:rFonts w:ascii="宋体" w:hAnsi="宋体"/>
          <w:b/>
          <w:bCs/>
          <w:snapToGrid w:val="0"/>
          <w:kern w:val="0"/>
          <w:sz w:val="32"/>
          <w:szCs w:val="32"/>
        </w:rPr>
      </w:pPr>
      <w:r>
        <w:rPr>
          <w:rFonts w:hint="eastAsia" w:ascii="宋体" w:hAnsi="宋体" w:cs="宋体"/>
          <w:b/>
          <w:snapToGrid w:val="0"/>
          <w:kern w:val="0"/>
          <w:sz w:val="32"/>
          <w:szCs w:val="32"/>
          <w:lang w:eastAsia="zh-CN"/>
        </w:rPr>
        <w:t>七、</w:t>
      </w:r>
      <w:r>
        <w:rPr>
          <w:rFonts w:hint="eastAsia" w:ascii="宋体" w:hAnsi="宋体" w:cs="宋体"/>
          <w:b/>
          <w:snapToGrid w:val="0"/>
          <w:kern w:val="0"/>
          <w:sz w:val="32"/>
          <w:szCs w:val="32"/>
        </w:rPr>
        <w:t>福田区第二人民医院</w:t>
      </w:r>
      <w:r>
        <w:rPr>
          <w:rFonts w:hint="eastAsia" w:ascii="宋体" w:hAnsi="宋体" w:cs="黑体"/>
          <w:b/>
          <w:bCs/>
          <w:snapToGrid w:val="0"/>
          <w:spacing w:val="2"/>
          <w:kern w:val="0"/>
          <w:sz w:val="32"/>
          <w:szCs w:val="32"/>
        </w:rPr>
        <w:t>医用耗材</w:t>
      </w:r>
      <w:r>
        <w:rPr>
          <w:rFonts w:hint="eastAsia" w:ascii="宋体" w:hAnsi="宋体" w:cs="黑体"/>
          <w:b/>
          <w:bCs/>
          <w:snapToGrid w:val="0"/>
          <w:kern w:val="0"/>
          <w:sz w:val="32"/>
          <w:szCs w:val="32"/>
        </w:rPr>
        <w:t>产品质量及货源保证书</w:t>
      </w:r>
    </w:p>
    <w:p>
      <w:pPr>
        <w:spacing w:line="440" w:lineRule="exact"/>
        <w:jc w:val="center"/>
        <w:rPr>
          <w:rFonts w:ascii="宋体" w:hAnsi="宋体"/>
          <w:snapToGrid w:val="0"/>
          <w:kern w:val="0"/>
          <w:sz w:val="24"/>
        </w:rPr>
      </w:pPr>
      <w:r>
        <w:rPr>
          <w:rFonts w:hint="eastAsia" w:ascii="宋体" w:hAnsi="宋体" w:cs="宋体"/>
          <w:snapToGrid w:val="0"/>
          <w:kern w:val="0"/>
          <w:sz w:val="24"/>
        </w:rPr>
        <w:t>（采购编号：此编号详见招标公告）</w:t>
      </w:r>
    </w:p>
    <w:p>
      <w:pPr>
        <w:adjustRightInd w:val="0"/>
        <w:snapToGrid w:val="0"/>
        <w:spacing w:line="360" w:lineRule="auto"/>
        <w:ind w:right="-61" w:rightChars="-29"/>
        <w:rPr>
          <w:rFonts w:hint="eastAsia" w:ascii="宋体" w:hAnsi="宋体"/>
          <w:bCs/>
          <w:sz w:val="24"/>
        </w:rPr>
      </w:pPr>
    </w:p>
    <w:p>
      <w:pPr>
        <w:adjustRightInd w:val="0"/>
        <w:snapToGrid w:val="0"/>
        <w:spacing w:line="360" w:lineRule="auto"/>
        <w:ind w:right="-61" w:rightChars="-29"/>
        <w:rPr>
          <w:rFonts w:ascii="宋体" w:hAnsi="宋体"/>
          <w:bCs/>
          <w:sz w:val="24"/>
        </w:rPr>
      </w:pPr>
      <w:r>
        <w:rPr>
          <w:rFonts w:hint="eastAsia" w:ascii="宋体" w:hAnsi="宋体"/>
          <w:bCs/>
          <w:sz w:val="24"/>
        </w:rPr>
        <w:t>致：深圳市福田第二区人民医院</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作为生产（产品名称）（可另设附表）的企业(企业名称)的代理商(代理商名称)</w:t>
      </w:r>
      <w:r>
        <w:rPr>
          <w:rFonts w:hint="eastAsia" w:ascii="宋体" w:hAnsi="宋体" w:cs="宋体"/>
          <w:snapToGrid w:val="0"/>
          <w:kern w:val="0"/>
          <w:szCs w:val="21"/>
        </w:rPr>
        <w:t>，</w:t>
      </w:r>
      <w:r>
        <w:rPr>
          <w:rFonts w:hint="eastAsia" w:ascii="宋体" w:hAnsi="宋体"/>
          <w:bCs/>
          <w:sz w:val="24"/>
        </w:rPr>
        <w:t>我公司唯一授权                                     (供货单位名称)用我公司代理的上述产品参与福田区第二人民医院医用耗材竞价采购。</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根据福田区第二人民医院医用耗材竞标采购文件(采购编号：</w:t>
      </w:r>
      <w:r>
        <w:rPr>
          <w:rFonts w:hint="eastAsia" w:ascii="宋体" w:hAnsi="宋体" w:cs="宋体"/>
          <w:snapToGrid w:val="0"/>
          <w:kern w:val="0"/>
          <w:sz w:val="24"/>
        </w:rPr>
        <w:t>此编号详见招标公告</w:t>
      </w:r>
      <w:r>
        <w:rPr>
          <w:rFonts w:hint="eastAsia" w:ascii="宋体" w:hAnsi="宋体"/>
          <w:bCs/>
          <w:sz w:val="24"/>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我单位保证出具的质量及货源保证书真实、合法，并愿承担一切法律责任。</w:t>
      </w:r>
    </w:p>
    <w:p>
      <w:pPr>
        <w:spacing w:line="360" w:lineRule="auto"/>
        <w:ind w:right="-147" w:rightChars="-70" w:firstLine="480" w:firstLineChars="200"/>
        <w:rPr>
          <w:rFonts w:ascii="宋体" w:hAnsi="宋体"/>
          <w:snapToGrid w:val="0"/>
          <w:kern w:val="0"/>
          <w:szCs w:val="21"/>
        </w:rPr>
      </w:pPr>
      <w:r>
        <w:rPr>
          <w:rFonts w:hint="eastAsia" w:ascii="宋体" w:hAnsi="宋体"/>
          <w:bCs/>
          <w:sz w:val="24"/>
        </w:rPr>
        <w:t>本保证书有效期限为：年月日至年月日</w:t>
      </w:r>
      <w:r>
        <w:rPr>
          <w:rFonts w:hint="eastAsia" w:ascii="宋体" w:hAnsi="宋体" w:cs="宋体"/>
          <w:snapToGrid w:val="0"/>
          <w:kern w:val="0"/>
          <w:szCs w:val="21"/>
        </w:rPr>
        <w:t>。</w:t>
      </w:r>
    </w:p>
    <w:p>
      <w:pPr>
        <w:spacing w:line="360" w:lineRule="auto"/>
        <w:ind w:right="-147" w:rightChars="-70" w:firstLine="480" w:firstLineChars="200"/>
        <w:rPr>
          <w:rFonts w:ascii="宋体" w:hAnsi="宋体"/>
          <w:bCs/>
          <w:sz w:val="24"/>
        </w:rPr>
      </w:pPr>
      <w:r>
        <w:rPr>
          <w:rFonts w:hint="eastAsia" w:ascii="宋体" w:hAnsi="宋体"/>
          <w:bCs/>
          <w:sz w:val="24"/>
        </w:rPr>
        <w:t>注： 1、授权期限不能少于    年  月  日至    年  月  日。</w:t>
      </w:r>
    </w:p>
    <w:p>
      <w:pPr>
        <w:spacing w:line="360" w:lineRule="auto"/>
        <w:ind w:right="-147" w:rightChars="-70" w:firstLine="1080" w:firstLineChars="450"/>
        <w:rPr>
          <w:rFonts w:ascii="宋体" w:hAnsi="宋体"/>
          <w:bCs/>
          <w:sz w:val="24"/>
        </w:rPr>
      </w:pPr>
      <w:r>
        <w:rPr>
          <w:rFonts w:hint="eastAsia" w:ascii="宋体" w:hAnsi="宋体"/>
          <w:bCs/>
          <w:sz w:val="24"/>
        </w:rPr>
        <w:t>2、本保证书中“代理商”指进口产品的国内总代理商或国内一级代理商。</w:t>
      </w: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生产企业名称：</w:t>
      </w:r>
    </w:p>
    <w:p>
      <w:pPr>
        <w:adjustRightInd w:val="0"/>
        <w:snapToGrid w:val="0"/>
        <w:spacing w:line="360" w:lineRule="auto"/>
        <w:ind w:firstLine="420" w:firstLineChars="200"/>
        <w:rPr>
          <w:rFonts w:ascii="宋体" w:hAnsi="宋体" w:cs="宋体"/>
          <w:snapToGrid w:val="0"/>
          <w:kern w:val="0"/>
          <w:szCs w:val="21"/>
          <w:u w:val="single"/>
        </w:rPr>
      </w:pP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代理商名称（盖章）：</w:t>
      </w:r>
    </w:p>
    <w:p>
      <w:pPr>
        <w:adjustRightInd w:val="0"/>
        <w:snapToGrid w:val="0"/>
        <w:spacing w:line="360" w:lineRule="auto"/>
        <w:ind w:firstLine="420" w:firstLineChars="200"/>
        <w:rPr>
          <w:rFonts w:ascii="宋体" w:hAnsi="宋体" w:cs="宋体"/>
          <w:snapToGrid w:val="0"/>
          <w:kern w:val="0"/>
          <w:szCs w:val="21"/>
          <w:u w:val="single"/>
        </w:rPr>
      </w:pP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经办人(签字)：</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480" w:firstLineChars="200"/>
        <w:rPr>
          <w:rFonts w:ascii="宋体" w:hAnsi="宋体" w:cs="宋体"/>
          <w:snapToGrid w:val="0"/>
          <w:kern w:val="0"/>
          <w:szCs w:val="21"/>
          <w:u w:val="single"/>
        </w:rPr>
      </w:pPr>
      <w:r>
        <w:rPr>
          <w:rFonts w:hint="eastAsia" w:ascii="宋体" w:hAnsi="宋体"/>
          <w:bCs/>
          <w:sz w:val="24"/>
        </w:rPr>
        <w:t>经办人联系电话</w:t>
      </w:r>
      <w:r>
        <w:rPr>
          <w:rFonts w:hint="eastAsia" w:ascii="宋体" w:hAnsi="宋体" w:cs="宋体"/>
          <w:snapToGrid w:val="0"/>
          <w:kern w:val="0"/>
          <w:szCs w:val="21"/>
        </w:rPr>
        <w:t>：</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5880" w:firstLineChars="2450"/>
        <w:jc w:val="both"/>
        <w:rPr>
          <w:rFonts w:ascii="宋体" w:hAnsi="宋体" w:cs="宋体"/>
          <w:snapToGrid w:val="0"/>
          <w:kern w:val="0"/>
          <w:szCs w:val="21"/>
        </w:rPr>
      </w:pPr>
      <w:r>
        <w:rPr>
          <w:rFonts w:hint="eastAsia" w:ascii="宋体" w:hAnsi="宋体"/>
          <w:bCs/>
          <w:sz w:val="24"/>
        </w:rPr>
        <w:t>日期：年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w:t>
      </w: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rPr>
          <w:rFonts w:ascii="宋体" w:hAnsi="宋体" w:cs="宋体"/>
          <w:color w:val="000000" w:themeColor="text1"/>
          <w:szCs w:val="21"/>
          <w14:textFill>
            <w14:solidFill>
              <w14:schemeClr w14:val="tx1"/>
            </w14:solidFill>
          </w14:textFill>
        </w:rPr>
      </w:pPr>
    </w:p>
    <w:p>
      <w:pPr>
        <w:jc w:val="center"/>
        <w:rPr>
          <w:rFonts w:hint="eastAsia" w:ascii="宋体" w:hAnsi="宋体" w:cs="宋体"/>
          <w:b/>
          <w:bCs/>
          <w:color w:val="000000" w:themeColor="text1"/>
          <w:sz w:val="32"/>
          <w:szCs w:val="32"/>
          <w:lang w:eastAsia="zh-CN"/>
          <w14:textFill>
            <w14:solidFill>
              <w14:schemeClr w14:val="tx1"/>
            </w14:solidFill>
          </w14:textFill>
        </w:rPr>
      </w:pPr>
    </w:p>
    <w:p>
      <w:pPr>
        <w:jc w:val="center"/>
        <w:rPr>
          <w:rFonts w:hint="eastAsia" w:ascii="宋体" w:hAnsi="宋体" w:cs="宋体"/>
          <w:b/>
          <w:bCs/>
          <w:color w:val="000000" w:themeColor="text1"/>
          <w:sz w:val="32"/>
          <w:szCs w:val="32"/>
          <w:lang w:eastAsia="zh-CN"/>
          <w14:textFill>
            <w14:solidFill>
              <w14:schemeClr w14:val="tx1"/>
            </w14:solidFill>
          </w14:textFill>
        </w:rPr>
      </w:pPr>
      <w:r>
        <w:rPr>
          <w:rFonts w:hint="eastAsia" w:ascii="宋体" w:hAnsi="宋体" w:cs="宋体"/>
          <w:b/>
          <w:bCs/>
          <w:color w:val="000000" w:themeColor="text1"/>
          <w:sz w:val="32"/>
          <w:szCs w:val="32"/>
          <w:lang w:eastAsia="zh-CN"/>
          <w14:textFill>
            <w14:solidFill>
              <w14:schemeClr w14:val="tx1"/>
            </w14:solidFill>
          </w14:textFill>
        </w:rPr>
        <w:t>八、有效业绩</w:t>
      </w:r>
    </w:p>
    <w:p>
      <w:pPr>
        <w:adjustRightInd w:val="0"/>
        <w:snapToGrid w:val="0"/>
        <w:spacing w:line="360" w:lineRule="auto"/>
        <w:rPr>
          <w:rFonts w:hint="eastAsia" w:ascii="宋体" w:hAnsi="宋体"/>
          <w:bCs/>
          <w:sz w:val="24"/>
          <w:lang w:val="en-US" w:eastAsia="zh-CN"/>
        </w:rPr>
      </w:pPr>
      <w:r>
        <w:rPr>
          <w:rFonts w:hint="eastAsia" w:ascii="宋体" w:hAnsi="宋体"/>
          <w:bCs/>
          <w:sz w:val="24"/>
          <w:lang w:val="en-US" w:eastAsia="zh-CN"/>
        </w:rPr>
        <w:t>格式自拟。</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3576"/>
        </w:tabs>
        <w:bidi w:val="0"/>
        <w:jc w:val="left"/>
        <w:rPr>
          <w:rFonts w:hint="eastAsia"/>
          <w:lang w:val="en-US" w:eastAsia="zh-CN"/>
        </w:rPr>
      </w:pPr>
      <w:r>
        <w:rPr>
          <w:rFonts w:hint="eastAsia"/>
          <w:lang w:val="en-US" w:eastAsia="zh-CN"/>
        </w:rPr>
        <w:tab/>
      </w:r>
    </w:p>
    <w:p>
      <w:pPr>
        <w:tabs>
          <w:tab w:val="left" w:pos="3576"/>
        </w:tabs>
        <w:bidi w:val="0"/>
        <w:jc w:val="left"/>
        <w:rPr>
          <w:rFonts w:hint="eastAsia"/>
          <w:lang w:val="en-US" w:eastAsia="zh-CN"/>
        </w:rPr>
      </w:pPr>
    </w:p>
    <w:p>
      <w:pPr>
        <w:tabs>
          <w:tab w:val="left" w:pos="3576"/>
        </w:tabs>
        <w:bidi w:val="0"/>
        <w:jc w:val="left"/>
        <w:rPr>
          <w:rFonts w:hint="eastAsia"/>
          <w:lang w:val="en-US" w:eastAsia="zh-CN"/>
        </w:rPr>
      </w:pPr>
    </w:p>
    <w:p>
      <w:pPr>
        <w:jc w:val="center"/>
        <w:rPr>
          <w:rFonts w:hint="eastAsia" w:ascii="宋体" w:hAnsi="宋体" w:cs="宋体"/>
          <w:b/>
          <w:bCs/>
          <w:color w:val="000000" w:themeColor="text1"/>
          <w:sz w:val="32"/>
          <w:szCs w:val="32"/>
          <w:lang w:eastAsia="zh-CN"/>
          <w14:textFill>
            <w14:solidFill>
              <w14:schemeClr w14:val="tx1"/>
            </w14:solidFill>
          </w14:textFill>
        </w:rPr>
      </w:pPr>
      <w:r>
        <w:rPr>
          <w:rFonts w:hint="eastAsia" w:ascii="宋体" w:hAnsi="宋体" w:cs="宋体"/>
          <w:b/>
          <w:bCs/>
          <w:color w:val="000000" w:themeColor="text1"/>
          <w:sz w:val="32"/>
          <w:szCs w:val="32"/>
          <w:lang w:eastAsia="zh-CN"/>
          <w14:textFill>
            <w14:solidFill>
              <w14:schemeClr w14:val="tx1"/>
            </w14:solidFill>
          </w14:textFill>
        </w:rPr>
        <w:t>九、履约评价</w:t>
      </w:r>
    </w:p>
    <w:p>
      <w:pPr>
        <w:adjustRightInd w:val="0"/>
        <w:snapToGrid w:val="0"/>
        <w:spacing w:line="360" w:lineRule="auto"/>
        <w:rPr>
          <w:rFonts w:hint="eastAsia" w:ascii="宋体" w:hAnsi="宋体"/>
          <w:bCs/>
          <w:sz w:val="24"/>
          <w:lang w:val="en-US" w:eastAsia="zh-CN"/>
        </w:rPr>
      </w:pPr>
      <w:r>
        <w:rPr>
          <w:rFonts w:hint="eastAsia" w:ascii="宋体" w:hAnsi="宋体"/>
          <w:bCs/>
          <w:sz w:val="24"/>
          <w:lang w:val="en-US" w:eastAsia="zh-CN"/>
        </w:rPr>
        <w:t>格式自拟。</w:t>
      </w:r>
    </w:p>
    <w:p>
      <w:pPr>
        <w:tabs>
          <w:tab w:val="left" w:pos="3576"/>
        </w:tabs>
        <w:bidi w:val="0"/>
        <w:jc w:val="left"/>
        <w:rPr>
          <w:rFonts w:hint="eastAsia"/>
          <w:lang w:val="en-US" w:eastAsia="zh-CN"/>
        </w:rPr>
      </w:pP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3426"/>
        </w:tabs>
        <w:bidi w:val="0"/>
        <w:jc w:val="left"/>
        <w:rPr>
          <w:rFonts w:hint="eastAsia"/>
          <w:lang w:val="en-US" w:eastAsia="zh-CN"/>
        </w:rPr>
      </w:pPr>
      <w:r>
        <w:rPr>
          <w:rFonts w:hint="eastAsia"/>
          <w:lang w:val="en-US" w:eastAsia="zh-CN"/>
        </w:rPr>
        <w:tab/>
      </w:r>
    </w:p>
    <w:p>
      <w:pPr>
        <w:bidi w:val="0"/>
        <w:jc w:val="center"/>
        <w:rPr>
          <w:rFonts w:hint="eastAsia" w:ascii="宋体" w:hAnsi="宋体" w:cs="宋体"/>
          <w:b/>
          <w:bCs/>
          <w:color w:val="000000" w:themeColor="text1"/>
          <w:sz w:val="32"/>
          <w:szCs w:val="32"/>
          <w:lang w:eastAsia="zh-CN"/>
          <w14:textFill>
            <w14:solidFill>
              <w14:schemeClr w14:val="tx1"/>
            </w14:solidFill>
          </w14:textFill>
        </w:rPr>
      </w:pPr>
      <w:r>
        <w:rPr>
          <w:rFonts w:hint="eastAsia" w:ascii="宋体" w:hAnsi="宋体" w:cs="宋体"/>
          <w:b/>
          <w:bCs/>
          <w:color w:val="000000" w:themeColor="text1"/>
          <w:sz w:val="32"/>
          <w:szCs w:val="32"/>
          <w:lang w:eastAsia="zh-CN"/>
          <w14:textFill>
            <w14:solidFill>
              <w14:schemeClr w14:val="tx1"/>
            </w14:solidFill>
          </w14:textFill>
        </w:rPr>
        <w:t>十、仓储、运输能力</w:t>
      </w:r>
    </w:p>
    <w:p>
      <w:pPr>
        <w:adjustRightInd w:val="0"/>
        <w:snapToGrid w:val="0"/>
        <w:spacing w:line="360" w:lineRule="auto"/>
        <w:rPr>
          <w:rFonts w:hint="eastAsia" w:ascii="宋体" w:hAnsi="宋体"/>
          <w:bCs/>
          <w:sz w:val="24"/>
          <w:lang w:val="en-US" w:eastAsia="zh-CN"/>
        </w:rPr>
      </w:pPr>
      <w:r>
        <w:rPr>
          <w:rFonts w:hint="eastAsia" w:ascii="宋体" w:hAnsi="宋体"/>
          <w:bCs/>
          <w:sz w:val="24"/>
          <w:lang w:val="en-US" w:eastAsia="zh-CN"/>
        </w:rPr>
        <w:t>格式自拟。</w:t>
      </w:r>
    </w:p>
    <w:p>
      <w:pPr>
        <w:tabs>
          <w:tab w:val="left" w:pos="2736"/>
        </w:tabs>
        <w:bidi w:val="0"/>
        <w:jc w:val="left"/>
        <w:rPr>
          <w:rFonts w:hint="eastAsia" w:asciiTheme="minorHAnsi" w:hAnsiTheme="minorHAnsi" w:eastAsiaTheme="minorEastAsia" w:cstheme="minorBidi"/>
          <w:kern w:val="2"/>
          <w:sz w:val="21"/>
          <w:szCs w:val="24"/>
          <w:lang w:val="en-US" w:eastAsia="zh-CN" w:bidi="ar-SA"/>
        </w:rPr>
      </w:pP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center"/>
        <w:rPr>
          <w:rFonts w:hint="eastAsia"/>
          <w:lang w:val="en-US" w:eastAsia="zh-CN"/>
        </w:rPr>
      </w:pPr>
    </w:p>
    <w:p>
      <w:pPr>
        <w:bidi w:val="0"/>
        <w:jc w:val="center"/>
        <w:rPr>
          <w:rFonts w:hint="eastAsia"/>
          <w:lang w:val="en-US" w:eastAsia="zh-CN"/>
        </w:rPr>
      </w:pPr>
    </w:p>
    <w:p>
      <w:pPr>
        <w:bidi w:val="0"/>
        <w:jc w:val="center"/>
        <w:rPr>
          <w:rFonts w:hint="eastAsia"/>
          <w:lang w:val="en-US" w:eastAsia="zh-CN"/>
        </w:rPr>
      </w:pPr>
    </w:p>
    <w:tbl>
      <w:tblPr>
        <w:tblStyle w:val="6"/>
        <w:tblW w:w="98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714"/>
        <w:gridCol w:w="7109"/>
        <w:gridCol w:w="8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25"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Style w:val="12"/>
                <w:lang w:val="en-US" w:eastAsia="zh-CN" w:bidi="ar"/>
              </w:rPr>
              <w:t>综合评分表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评分项目</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评分因素</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技术参数响应情况                                                   投标人应如实填写《技术规格偏离表》，评审委员会根据响应情况进行打分，全部满足或优于要求的得15分，每有负偏离一项扣3分，扣完为止。</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配送方案                                                                评委根据投标文件配送方案（交货时间安排、安装、调试方案、人员安排等）进行评审：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提供配送方案得1分，在满足此项的基础上进一步综合评审：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配送方案完善详细的评价为优加9分；配送方案较为完善详细的评价为良加6分；配送方案内容一般的评价为中加3分；配送方案内容较差的评价为差加1分；未提供或无法判断则不得分。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产品品牌和成熟度                                                         评委根据投标人提供的所投产品的品牌、市场口碑、知名度等方面进行评审：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市场口碑好，知名度高，使用反馈好的评价为优得5分；市场口碑较好，知名度较高，使用反馈较好的评价为良得3分；市场口碑、知名度、使用反馈一般的评价为中得2分；市场口碑、知名度、使用反馈差的评价为差得1分；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售后服务方案                                                             针对售后服务方案（配送时效、应急供货和退货、售后服务承诺等情况）等方面的具体措施，对采购人最有利、措施优劣情况进行评分：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提供售后服务方案得1分，在满足此项的基础上进一步综合评审：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售后服务方案全面完善的评价为优加9分；售后服务方案较为全面完善的评价为良6分；售后服务方案一般的评价为中加3分；售后服务方案较差的评价为差加1分；未提供或无法判断则不得分。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样品                                                              供应商提交样品，评委根据供应商所提供的样品情况进行打分。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提供样品得1分，在满足此项的基础上进一步综合评审：优加9分，良加5分，中加2分，差不得分，未提供或样品不全则不得分。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jc w:val="center"/>
        </w:trPr>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0" w:name="_GoBack"/>
            <w:bookmarkEnd w:id="0"/>
            <w:r>
              <w:rPr>
                <w:rFonts w:hint="eastAsia" w:ascii="宋体" w:hAnsi="宋体" w:eastAsia="宋体" w:cs="宋体"/>
                <w:i w:val="0"/>
                <w:iCs w:val="0"/>
                <w:color w:val="000000"/>
                <w:kern w:val="0"/>
                <w:sz w:val="22"/>
                <w:szCs w:val="22"/>
                <w:u w:val="none"/>
                <w:lang w:val="en-US" w:eastAsia="zh-CN" w:bidi="ar"/>
              </w:rPr>
              <w:t>商务部分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有效业绩                                                                提供广东省内公立医院（近两年内）发票或合同证明或广东省医用耗材交易系统或广东省药品电子交易平台（医用耗材竞价议价系统）或深圳医用耗材阳光交易和监管平台成交记录，复印件加盖公章：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（1）三甲3家及以上：5分；（2）三甲1-2家：3分；（3）二甲2家及以上：2分；（4）其他：1分；以上三项合计累计最高分不超过5分。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履约评价                                                                投标人提供上述经评审有效的业绩中，能够提供用户出具的履约评价书，且评价为优或满意以上的，每份得1分；最高得5分。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不提供或者不能有效证明的，得0分。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证明文件：须提供用户出具的履约评价书复印件，并加盖投标人公章，原件备查。</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jc w:val="center"/>
        </w:trPr>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仓储、运输能力                                                          （1）投标人自有或租赁仓库的，得2分。（需提供自有产权或租赁相关证明材料，未提供或提供资料无法判断的，该项不得分。）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根据投标人仓库容积进行综合评审，面积最大的为第一名，以此类推，第一名得5分，第二名得3分，第三名得2分，第四名及以后得1分。投标时请提供相关证明材料（以房产证或租赁合同内载明的容积为准），如未提供或资料不完整，该项不得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（3）投标人运输车辆：拟投入一辆运输车辆得1分，最高得3分。无正规运输车辆，不得分。（证明文件：请提供相关车辆的行驶证或采购合同或购买发票或者授权文件。）</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由工作人员计算得出</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pPr>
        <w:bidi w:val="0"/>
        <w:jc w:val="cente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E2294"/>
    <w:multiLevelType w:val="singleLevel"/>
    <w:tmpl w:val="A00E2294"/>
    <w:lvl w:ilvl="0" w:tentative="0">
      <w:start w:val="1"/>
      <w:numFmt w:val="decimal"/>
      <w:suff w:val="nothing"/>
      <w:lvlText w:val="%1、"/>
      <w:lvlJc w:val="left"/>
    </w:lvl>
  </w:abstractNum>
  <w:abstractNum w:abstractNumId="1">
    <w:nsid w:val="E143E1F0"/>
    <w:multiLevelType w:val="singleLevel"/>
    <w:tmpl w:val="E143E1F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MjU3MzUxZDg0ZWEyMTlhMTg5ZjBhNDE4Njg1NGI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2515E13"/>
    <w:rsid w:val="03D86CBB"/>
    <w:rsid w:val="10437371"/>
    <w:rsid w:val="13272F7A"/>
    <w:rsid w:val="14DA7639"/>
    <w:rsid w:val="167968A8"/>
    <w:rsid w:val="168261AD"/>
    <w:rsid w:val="1ACD08AB"/>
    <w:rsid w:val="1D740F3F"/>
    <w:rsid w:val="1FC04AB6"/>
    <w:rsid w:val="217A1947"/>
    <w:rsid w:val="24CC6443"/>
    <w:rsid w:val="2AD85138"/>
    <w:rsid w:val="2BC25ADE"/>
    <w:rsid w:val="2BEF1BE2"/>
    <w:rsid w:val="2C2F1E92"/>
    <w:rsid w:val="2FEF24C1"/>
    <w:rsid w:val="37436ACA"/>
    <w:rsid w:val="38312021"/>
    <w:rsid w:val="3A4F4F44"/>
    <w:rsid w:val="44ED4447"/>
    <w:rsid w:val="46062A6F"/>
    <w:rsid w:val="466C27DB"/>
    <w:rsid w:val="46E84D7E"/>
    <w:rsid w:val="47507FEA"/>
    <w:rsid w:val="4E8E5256"/>
    <w:rsid w:val="4F0F12CA"/>
    <w:rsid w:val="56E36785"/>
    <w:rsid w:val="58AF7528"/>
    <w:rsid w:val="5A2F6381"/>
    <w:rsid w:val="5CAC08DD"/>
    <w:rsid w:val="5D045FFD"/>
    <w:rsid w:val="69E7776E"/>
    <w:rsid w:val="6B80006E"/>
    <w:rsid w:val="6DD15131"/>
    <w:rsid w:val="72AC65F9"/>
    <w:rsid w:val="74055651"/>
    <w:rsid w:val="7B493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semiHidden/>
    <w:unhideWhenUsed/>
    <w:qFormat/>
    <w:uiPriority w:val="99"/>
    <w:rPr>
      <w:rFonts w:ascii="宋体" w:hAnsi="Courier New" w:eastAsia="宋体" w:cs="Times New Roman"/>
      <w:szCs w:val="20"/>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纯文本 Char"/>
    <w:basedOn w:val="8"/>
    <w:link w:val="3"/>
    <w:semiHidden/>
    <w:qFormat/>
    <w:uiPriority w:val="99"/>
    <w:rPr>
      <w:rFonts w:ascii="宋体" w:hAnsi="Courier New" w:eastAsia="宋体" w:cs="Times New Roman"/>
      <w:szCs w:val="20"/>
    </w:rPr>
  </w:style>
  <w:style w:type="character" w:customStyle="1" w:styleId="12">
    <w:name w:val="font11"/>
    <w:basedOn w:val="8"/>
    <w:qFormat/>
    <w:uiPriority w:val="0"/>
    <w:rPr>
      <w:rFonts w:hint="eastAsia" w:ascii="宋体" w:hAnsi="宋体" w:eastAsia="宋体" w:cs="宋体"/>
      <w:color w:val="000000"/>
      <w:sz w:val="30"/>
      <w:szCs w:val="3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3031</Words>
  <Characters>3120</Characters>
  <Lines>31</Lines>
  <Paragraphs>8</Paragraphs>
  <TotalTime>2</TotalTime>
  <ScaleCrop>false</ScaleCrop>
  <LinksUpToDate>false</LinksUpToDate>
  <CharactersWithSpaces>3545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2023-10-26T07:43:08Z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6521665846B045CCB0665247E1C92FAF</vt:lpwstr>
  </property>
</Properties>
</file>