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0"/>
          <w:szCs w:val="30"/>
        </w:rPr>
      </w:pPr>
    </w:p>
    <w:p>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pPr>
        <w:jc w:val="center"/>
        <w:rPr>
          <w:rFonts w:asciiTheme="minorEastAsia" w:hAnsiTheme="minorEastAsia" w:cstheme="minorEastAsia"/>
          <w:b/>
          <w:bCs/>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w:t>
      </w:r>
      <w:r>
        <w:rPr>
          <w:rFonts w:hint="eastAsia" w:asciiTheme="minorEastAsia" w:hAnsiTheme="minorEastAsia" w:cstheme="minorEastAsia"/>
          <w:color w:val="FF0000"/>
          <w:sz w:val="24"/>
          <w:szCs w:val="24"/>
          <w:lang w:eastAsia="zh-CN"/>
        </w:rPr>
        <w:t>五</w:t>
      </w:r>
      <w:r>
        <w:rPr>
          <w:rFonts w:hint="eastAsia" w:asciiTheme="minorEastAsia" w:hAnsiTheme="minorEastAsia" w:cstheme="minorEastAsia"/>
          <w:color w:val="FF0000"/>
          <w:sz w:val="24"/>
          <w:szCs w:val="24"/>
        </w:rPr>
        <w:t>份（一份正本</w:t>
      </w:r>
      <w:r>
        <w:rPr>
          <w:rFonts w:hint="eastAsia" w:asciiTheme="minorEastAsia" w:hAnsiTheme="minorEastAsia" w:cstheme="minorEastAsia"/>
          <w:color w:val="FF0000"/>
          <w:sz w:val="24"/>
          <w:szCs w:val="24"/>
          <w:lang w:eastAsia="zh-CN"/>
        </w:rPr>
        <w:t>四</w:t>
      </w:r>
      <w:r>
        <w:rPr>
          <w:rFonts w:hint="eastAsia" w:asciiTheme="minorEastAsia" w:hAnsiTheme="minorEastAsia" w:cstheme="minorEastAsia"/>
          <w:color w:val="FF0000"/>
          <w:sz w:val="24"/>
          <w:szCs w:val="24"/>
        </w:rPr>
        <w:t>份副本）。</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bookmarkStart w:id="0" w:name="_GoBack"/>
      <w:bookmarkEnd w:id="0"/>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w:t>
      </w:r>
      <w:r>
        <w:rPr>
          <w:rFonts w:hint="eastAsia" w:asciiTheme="minorEastAsia" w:hAnsiTheme="minorEastAsia" w:cstheme="minorEastAsia"/>
          <w:sz w:val="24"/>
          <w:szCs w:val="24"/>
          <w:lang w:val="en-US" w:eastAsia="zh-CN"/>
        </w:rPr>
        <w:t>24</w:t>
      </w:r>
      <w:r>
        <w:rPr>
          <w:rFonts w:hint="eastAsia" w:asciiTheme="minorEastAsia" w:hAnsiTheme="minorEastAsia" w:cstheme="minorEastAsia"/>
          <w:sz w:val="24"/>
          <w:szCs w:val="24"/>
        </w:rPr>
        <w:t>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pPr>
        <w:rPr>
          <w:rFonts w:hint="eastAsia" w:asciiTheme="minorEastAsia" w:hAnsiTheme="minorEastAsia" w:cstheme="minorEastAsia"/>
          <w:b/>
          <w:bCs/>
          <w:sz w:val="24"/>
          <w:szCs w:val="24"/>
          <w:lang w:eastAsia="zh-CN"/>
        </w:rPr>
      </w:pPr>
    </w:p>
    <w:p>
      <w:pPr>
        <w:rPr>
          <w:rFonts w:asciiTheme="minorEastAsia" w:hAnsiTheme="minorEastAsia" w:cstheme="minorEastAsia"/>
          <w:sz w:val="24"/>
          <w:szCs w:val="24"/>
        </w:rPr>
      </w:pPr>
    </w:p>
    <w:p>
      <w:pPr>
        <w:numPr>
          <w:ilvl w:val="0"/>
          <w:numId w:val="1"/>
        </w:numPr>
        <w:rPr>
          <w:rFonts w:hint="eastAsia"/>
          <w:color w:val="FF0000"/>
          <w:sz w:val="24"/>
          <w:szCs w:val="24"/>
          <w:lang w:eastAsia="zh-CN"/>
        </w:rPr>
      </w:pPr>
      <w:r>
        <w:rPr>
          <w:rFonts w:hint="eastAsia" w:asciiTheme="minorEastAsia" w:hAnsiTheme="minorEastAsia" w:cstheme="minorEastAsia"/>
          <w:sz w:val="24"/>
          <w:szCs w:val="24"/>
        </w:rPr>
        <w:t xml:space="preserve"> </w:t>
      </w:r>
      <w:r>
        <w:rPr>
          <w:rFonts w:hint="eastAsia"/>
          <w:color w:val="FF0000"/>
          <w:sz w:val="24"/>
          <w:szCs w:val="24"/>
          <w:lang w:val="en-US" w:eastAsia="zh-CN"/>
        </w:rPr>
        <w:t>报名</w:t>
      </w:r>
      <w:r>
        <w:rPr>
          <w:rFonts w:hint="eastAsia"/>
          <w:color w:val="FF0000"/>
          <w:sz w:val="24"/>
          <w:szCs w:val="24"/>
        </w:rPr>
        <w:t>投标</w:t>
      </w:r>
      <w:r>
        <w:rPr>
          <w:rFonts w:hint="eastAsia"/>
          <w:color w:val="FF0000"/>
          <w:sz w:val="24"/>
          <w:szCs w:val="24"/>
          <w:lang w:val="en-US" w:eastAsia="zh-CN"/>
        </w:rPr>
        <w:t>公司</w:t>
      </w:r>
      <w:r>
        <w:rPr>
          <w:rFonts w:hint="eastAsia"/>
          <w:color w:val="FF0000"/>
          <w:sz w:val="24"/>
          <w:szCs w:val="24"/>
        </w:rPr>
        <w:t>必须在深圳医用耗材阳光交易和监管平台内备案</w:t>
      </w:r>
      <w:r>
        <w:rPr>
          <w:rFonts w:hint="eastAsia"/>
          <w:color w:val="FF0000"/>
          <w:sz w:val="24"/>
          <w:szCs w:val="24"/>
          <w:lang w:eastAsia="zh-CN"/>
        </w:rPr>
        <w:t>，</w:t>
      </w:r>
      <w:r>
        <w:rPr>
          <w:rFonts w:hint="eastAsia"/>
          <w:color w:val="FF0000"/>
          <w:sz w:val="24"/>
          <w:szCs w:val="24"/>
        </w:rPr>
        <w:t>且所投产品需在深圳医用耗材阳光交易和监管平台内挂网</w:t>
      </w:r>
      <w:r>
        <w:rPr>
          <w:rFonts w:hint="eastAsia"/>
          <w:color w:val="FF0000"/>
          <w:sz w:val="24"/>
          <w:szCs w:val="24"/>
          <w:lang w:eastAsia="zh-CN"/>
        </w:rPr>
        <w:t>。</w:t>
      </w:r>
    </w:p>
    <w:p>
      <w:pPr>
        <w:numPr>
          <w:ilvl w:val="0"/>
          <w:numId w:val="1"/>
        </w:numPr>
        <w:rPr>
          <w:rFonts w:hint="eastAsia"/>
          <w:color w:val="FF0000"/>
          <w:sz w:val="24"/>
          <w:szCs w:val="24"/>
        </w:rPr>
      </w:pPr>
      <w:r>
        <w:rPr>
          <w:rFonts w:hint="eastAsia"/>
          <w:color w:val="FF0000"/>
          <w:sz w:val="24"/>
          <w:szCs w:val="24"/>
          <w:lang w:val="en-US" w:eastAsia="zh-CN"/>
        </w:rPr>
        <w:t>中标产品需在</w:t>
      </w:r>
      <w:r>
        <w:rPr>
          <w:rFonts w:hint="eastAsia"/>
          <w:color w:val="FF0000"/>
          <w:sz w:val="24"/>
          <w:szCs w:val="24"/>
        </w:rPr>
        <w:t>深圳医用耗材阳光平台</w:t>
      </w:r>
      <w:r>
        <w:rPr>
          <w:rFonts w:hint="eastAsia"/>
          <w:color w:val="FF0000"/>
          <w:sz w:val="24"/>
          <w:szCs w:val="24"/>
          <w:lang w:val="en-US" w:eastAsia="zh-CN"/>
        </w:rPr>
        <w:t>线上</w:t>
      </w:r>
      <w:r>
        <w:rPr>
          <w:rFonts w:hint="eastAsia"/>
          <w:color w:val="FF0000"/>
          <w:sz w:val="24"/>
          <w:szCs w:val="24"/>
        </w:rPr>
        <w:t>交易</w:t>
      </w:r>
      <w:r>
        <w:rPr>
          <w:rFonts w:hint="eastAsia"/>
          <w:color w:val="FF0000"/>
          <w:sz w:val="24"/>
          <w:szCs w:val="24"/>
          <w:lang w:eastAsia="zh-CN"/>
        </w:rPr>
        <w:t>，</w:t>
      </w:r>
      <w:r>
        <w:rPr>
          <w:rFonts w:hint="eastAsia"/>
          <w:color w:val="FF0000"/>
          <w:sz w:val="24"/>
          <w:szCs w:val="24"/>
          <w:lang w:val="en-US" w:eastAsia="zh-CN"/>
        </w:rPr>
        <w:t>且中标价格不能超过该平台的参考限价/中选价</w:t>
      </w:r>
      <w:r>
        <w:rPr>
          <w:rFonts w:hint="eastAsia"/>
          <w:color w:val="FF0000"/>
          <w:sz w:val="24"/>
          <w:szCs w:val="24"/>
        </w:rPr>
        <w:t>（须提供备案及产品挂网信息截图并加盖投标人公章）</w:t>
      </w:r>
      <w:r>
        <w:rPr>
          <w:rFonts w:hint="eastAsia"/>
          <w:color w:val="FF0000"/>
          <w:sz w:val="24"/>
          <w:szCs w:val="24"/>
          <w:lang w:eastAsia="zh-CN"/>
        </w:rPr>
        <w:t>。</w:t>
      </w:r>
    </w:p>
    <w:p>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、投标人必须提供《医疗器械生产企业许可证》或《医疗器械经营企业许可证》扫描件）；</w:t>
      </w:r>
    </w:p>
    <w:p>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医疗器械管理的产品，投标人需提供由国家食品药品监督管理局针对该产品不作为医疗器械管理界定的相关文件，以及由生产厂家出具的产品说明书，原件备查。</w:t>
      </w:r>
    </w:p>
    <w:p>
      <w:pPr>
        <w:numPr>
          <w:ilvl w:val="0"/>
          <w:numId w:val="0"/>
        </w:numPr>
        <w:rPr>
          <w:rFonts w:hint="default"/>
          <w:color w:val="FF0000"/>
          <w:sz w:val="24"/>
          <w:szCs w:val="24"/>
          <w:lang w:val="en-US" w:eastAsia="zh-CN"/>
        </w:rPr>
      </w:pPr>
      <w:r>
        <w:rPr>
          <w:rFonts w:hint="eastAsia"/>
          <w:color w:val="FF0000"/>
          <w:sz w:val="24"/>
          <w:szCs w:val="24"/>
          <w:lang w:val="en-US" w:eastAsia="zh-CN"/>
        </w:rPr>
        <w:t>5、所投产品价格如若超过预算单价，废除该投标单位的投标资格。</w:t>
      </w:r>
    </w:p>
    <w:p>
      <w:pPr>
        <w:numPr>
          <w:ilvl w:val="0"/>
          <w:numId w:val="0"/>
        </w:numPr>
        <w:rPr>
          <w:rFonts w:hint="eastAsia"/>
          <w:color w:val="FF0000"/>
          <w:sz w:val="24"/>
          <w:szCs w:val="24"/>
          <w:lang w:val="en-US" w:eastAsia="zh-CN"/>
        </w:rPr>
      </w:pPr>
    </w:p>
    <w:p>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pPr>
        <w:rPr>
          <w:sz w:val="24"/>
          <w:szCs w:val="24"/>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pPr>
        <w:jc w:val="center"/>
        <w:rPr>
          <w:rFonts w:asciiTheme="minorEastAsia" w:hAnsiTheme="minorEastAsia" w:cstheme="minorEastAsia"/>
          <w:sz w:val="24"/>
        </w:rPr>
      </w:pPr>
    </w:p>
    <w:p>
      <w:pPr>
        <w:rPr>
          <w:rFonts w:hint="eastAsia" w:ascii="宋体" w:hAnsi="宋体"/>
          <w:szCs w:val="21"/>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6"/>
        <w:tblW w:w="11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70"/>
        <w:gridCol w:w="885"/>
        <w:gridCol w:w="1080"/>
        <w:gridCol w:w="675"/>
        <w:gridCol w:w="660"/>
        <w:gridCol w:w="645"/>
        <w:gridCol w:w="915"/>
        <w:gridCol w:w="1320"/>
        <w:gridCol w:w="118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color w:val="FF0000"/>
                <w:szCs w:val="21"/>
                <w:lang w:eastAsia="zh-CN"/>
              </w:rPr>
              <w:t>阳光平台代码</w:t>
            </w: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jc w:val="both"/>
        <w:rPr>
          <w:rFonts w:hint="eastAsia" w:ascii="宋体" w:hAnsi="宋体" w:cs="Arial"/>
          <w:b/>
          <w:color w:val="000000"/>
          <w:sz w:val="28"/>
          <w:szCs w:val="28"/>
          <w:lang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pPr>
        <w:pStyle w:val="3"/>
        <w:ind w:firstLine="207" w:firstLineChars="98"/>
        <w:rPr>
          <w:rFonts w:ascii="Times New Roman" w:hAnsi="Times New Roman"/>
          <w:b/>
          <w:color w:val="000000"/>
        </w:rPr>
      </w:pPr>
      <w:r>
        <w:rPr>
          <w:rFonts w:hint="eastAsia" w:ascii="Times New Roman" w:hAnsi="Times New Roman"/>
          <w:b/>
          <w:color w:val="000000"/>
        </w:rPr>
        <w:t>产品名称：</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05"/>
        <w:gridCol w:w="3525"/>
        <w:gridCol w:w="189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序号</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lang w:eastAsia="zh-CN"/>
              </w:rPr>
            </w:pPr>
            <w:r>
              <w:rPr>
                <w:rFonts w:hint="eastAsia" w:ascii="宋体" w:hAnsi="宋体" w:eastAsia="宋体" w:cs="宋体"/>
                <w:b w:val="0"/>
                <w:bCs/>
                <w:color w:val="000000"/>
              </w:rPr>
              <w:t>招标规格/</w:t>
            </w:r>
            <w:r>
              <w:rPr>
                <w:rFonts w:hint="eastAsia" w:ascii="宋体" w:hAnsi="宋体" w:eastAsia="宋体" w:cs="宋体"/>
                <w:b w:val="0"/>
                <w:bCs/>
                <w:color w:val="000000"/>
                <w:lang w:eastAsia="zh-CN"/>
              </w:rPr>
              <w:t>型号</w:t>
            </w:r>
          </w:p>
        </w:tc>
        <w:tc>
          <w:tcPr>
            <w:tcW w:w="3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lang w:val="en-US" w:eastAsia="zh-CN"/>
              </w:rPr>
            </w:pPr>
            <w:r>
              <w:rPr>
                <w:rFonts w:hint="eastAsia" w:ascii="宋体" w:hAnsi="宋体" w:eastAsia="宋体" w:cs="宋体"/>
                <w:b w:val="0"/>
                <w:bCs/>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是否偏离（无偏离/正偏离/负偏离）</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1</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2</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3</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4</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5</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6</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7</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8</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三、配送方案</w:t>
      </w:r>
    </w:p>
    <w:p>
      <w:pPr>
        <w:numPr>
          <w:ilvl w:val="0"/>
          <w:numId w:val="0"/>
        </w:numPr>
        <w:spacing w:after="6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交货时间安排</w:t>
      </w:r>
      <w:r>
        <w:rPr>
          <w:rFonts w:hint="eastAsia" w:ascii="宋体" w:hAnsi="宋体"/>
          <w:szCs w:val="21"/>
          <w:lang w:eastAsia="zh-CN"/>
        </w:rPr>
        <w:t>；</w:t>
      </w:r>
    </w:p>
    <w:p>
      <w:pPr>
        <w:numPr>
          <w:ilvl w:val="0"/>
          <w:numId w:val="0"/>
        </w:numPr>
        <w:spacing w:after="60"/>
        <w:rPr>
          <w:rFonts w:hint="eastAsia" w:ascii="宋体" w:hAnsi="宋体" w:cs="宋体"/>
          <w:kern w:val="0"/>
          <w:szCs w:val="21"/>
        </w:rPr>
      </w:pPr>
    </w:p>
    <w:p>
      <w:pPr>
        <w:numPr>
          <w:ilvl w:val="0"/>
          <w:numId w:val="0"/>
        </w:numPr>
        <w:spacing w:after="60"/>
        <w:rPr>
          <w:rFonts w:hint="eastAsia" w:ascii="宋体" w:hAnsi="宋体"/>
          <w:szCs w:val="21"/>
          <w:lang w:eastAsia="zh-CN"/>
        </w:rPr>
      </w:pPr>
      <w:r>
        <w:rPr>
          <w:rFonts w:hint="eastAsia" w:ascii="宋体" w:hAnsi="宋体"/>
          <w:szCs w:val="21"/>
          <w:lang w:val="en-US" w:eastAsia="zh-CN"/>
        </w:rPr>
        <w:t>2、</w:t>
      </w:r>
      <w:r>
        <w:rPr>
          <w:rFonts w:hint="eastAsia" w:ascii="宋体" w:hAnsi="宋体" w:cs="宋体"/>
          <w:kern w:val="0"/>
          <w:szCs w:val="21"/>
        </w:rPr>
        <w:t>人员安排</w:t>
      </w:r>
      <w:r>
        <w:rPr>
          <w:rFonts w:hint="eastAsia" w:ascii="宋体" w:hAnsi="宋体"/>
          <w:szCs w:val="21"/>
          <w:lang w:eastAsia="zh-CN"/>
        </w:rPr>
        <w:t>；</w:t>
      </w:r>
    </w:p>
    <w:p>
      <w:pPr>
        <w:numPr>
          <w:ilvl w:val="0"/>
          <w:numId w:val="0"/>
        </w:numPr>
        <w:spacing w:after="60"/>
        <w:ind w:leftChars="200"/>
        <w:rPr>
          <w:rFonts w:hint="eastAsia" w:ascii="宋体" w:hAnsi="宋体"/>
          <w:szCs w:val="21"/>
          <w:lang w:eastAsia="zh-CN"/>
        </w:rPr>
      </w:pPr>
    </w:p>
    <w:p>
      <w:pPr>
        <w:numPr>
          <w:ilvl w:val="0"/>
          <w:numId w:val="1"/>
        </w:numPr>
        <w:spacing w:after="60"/>
        <w:ind w:left="0" w:leftChars="0" w:firstLine="0" w:firstLineChars="0"/>
        <w:rPr>
          <w:rFonts w:hint="eastAsia" w:cs="Arial"/>
          <w:color w:val="000000"/>
        </w:rPr>
      </w:pPr>
      <w:r>
        <w:rPr>
          <w:rFonts w:hint="eastAsia" w:cs="Arial"/>
          <w:color w:val="000000"/>
        </w:rPr>
        <w:t>其它</w:t>
      </w:r>
      <w:r>
        <w:rPr>
          <w:rFonts w:hint="eastAsia" w:cs="Arial"/>
          <w:color w:val="000000"/>
          <w:lang w:eastAsia="zh-CN"/>
        </w:rPr>
        <w:t>配送</w:t>
      </w:r>
      <w:r>
        <w:rPr>
          <w:rFonts w:hint="eastAsia" w:cs="Arial"/>
          <w:color w:val="000000"/>
        </w:rPr>
        <w:t>服务承诺。</w:t>
      </w: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numPr>
          <w:ilvl w:val="0"/>
          <w:numId w:val="0"/>
        </w:numPr>
        <w:spacing w:after="60"/>
        <w:jc w:val="center"/>
        <w:rPr>
          <w:rFonts w:hint="eastAsia" w:cs="Arial"/>
          <w:b/>
          <w:color w:val="000000"/>
          <w:sz w:val="28"/>
          <w:szCs w:val="28"/>
          <w:lang w:eastAsia="zh-CN"/>
        </w:rPr>
      </w:pPr>
      <w:r>
        <w:rPr>
          <w:rFonts w:hint="eastAsia" w:cs="Arial" w:asciiTheme="minorHAnsi" w:hAnsiTheme="minorHAnsi" w:eastAsiaTheme="minorEastAsia"/>
          <w:b/>
          <w:color w:val="000000"/>
          <w:kern w:val="2"/>
          <w:sz w:val="28"/>
          <w:szCs w:val="28"/>
          <w:lang w:val="en-US" w:eastAsia="zh-CN" w:bidi="ar-SA"/>
        </w:rPr>
        <w:t>四、</w:t>
      </w:r>
      <w:r>
        <w:rPr>
          <w:rFonts w:hint="eastAsia" w:cs="Arial"/>
          <w:b/>
          <w:color w:val="000000"/>
          <w:sz w:val="28"/>
          <w:szCs w:val="28"/>
          <w:lang w:eastAsia="zh-CN"/>
        </w:rPr>
        <w:t>产品品牌和成熟度</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五、商务情况偏离表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669"/>
        <w:gridCol w:w="133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both"/>
              <w:rPr>
                <w:rFonts w:hint="eastAsia"/>
                <w:b/>
                <w:color w:val="000000"/>
                <w:lang w:eastAsia="zh-CN"/>
              </w:rPr>
            </w:pPr>
            <w:r>
              <w:rPr>
                <w:rFonts w:hint="eastAsia"/>
                <w:b/>
                <w:color w:val="000000"/>
                <w:spacing w:val="0"/>
                <w:kern w:val="0"/>
                <w:fitText w:val="420" w:id="857627673"/>
                <w:lang w:eastAsia="zh-CN"/>
              </w:rPr>
              <w:t>序号</w:t>
            </w:r>
          </w:p>
        </w:tc>
        <w:tc>
          <w:tcPr>
            <w:tcW w:w="4669" w:type="dxa"/>
            <w:vAlign w:val="center"/>
          </w:tcPr>
          <w:p>
            <w:pPr>
              <w:jc w:val="center"/>
              <w:rPr>
                <w:rFonts w:hint="eastAsia"/>
                <w:b/>
                <w:color w:val="000000"/>
                <w:lang w:eastAsia="zh-CN"/>
              </w:rPr>
            </w:pPr>
            <w:r>
              <w:rPr>
                <w:rFonts w:hint="eastAsia"/>
                <w:b/>
                <w:color w:val="000000"/>
                <w:lang w:eastAsia="zh-CN"/>
              </w:rPr>
              <w:t>商务条款</w:t>
            </w:r>
          </w:p>
        </w:tc>
        <w:tc>
          <w:tcPr>
            <w:tcW w:w="1335" w:type="dxa"/>
            <w:vAlign w:val="center"/>
          </w:tcPr>
          <w:p>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941" w:type="dxa"/>
            <w:vAlign w:val="center"/>
          </w:tcPr>
          <w:p>
            <w:pPr>
              <w:jc w:val="center"/>
              <w:rPr>
                <w:rFonts w:hint="eastAsia"/>
                <w:b/>
                <w:color w:val="000000"/>
                <w:lang w:eastAsia="zh-CN"/>
              </w:rPr>
            </w:pPr>
            <w:r>
              <w:rPr>
                <w:rFonts w:hint="eastAsia"/>
                <w:b/>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4" w:type="dxa"/>
            <w:vAlign w:val="center"/>
          </w:tcPr>
          <w:p>
            <w:pPr>
              <w:jc w:val="center"/>
              <w:rPr>
                <w:rFonts w:hint="default"/>
                <w:color w:val="000000"/>
                <w:lang w:val="en-US" w:eastAsia="zh-CN"/>
              </w:rPr>
            </w:pPr>
            <w:r>
              <w:rPr>
                <w:rFonts w:hint="eastAsia"/>
                <w:color w:val="000000"/>
                <w:lang w:val="en-US" w:eastAsia="zh-CN"/>
              </w:rPr>
              <w:t>1</w:t>
            </w:r>
          </w:p>
        </w:tc>
        <w:tc>
          <w:tcPr>
            <w:tcW w:w="4669" w:type="dxa"/>
            <w:vAlign w:val="center"/>
          </w:tcPr>
          <w:p>
            <w:pPr>
              <w:numPr>
                <w:ilvl w:val="0"/>
                <w:numId w:val="0"/>
              </w:numPr>
              <w:jc w:val="left"/>
              <w:rPr>
                <w:rFonts w:hint="eastAsia" w:cs="Arial"/>
                <w:b/>
                <w:color w:val="000000"/>
                <w:sz w:val="28"/>
                <w:szCs w:val="28"/>
                <w:vertAlign w:val="baseline"/>
                <w:lang w:eastAsia="zh-CN"/>
              </w:rPr>
            </w:pP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2</w:t>
            </w:r>
          </w:p>
        </w:tc>
        <w:tc>
          <w:tcPr>
            <w:tcW w:w="4669" w:type="dxa"/>
            <w:vAlign w:val="center"/>
          </w:tcPr>
          <w:p>
            <w:pPr>
              <w:numPr>
                <w:ilvl w:val="0"/>
                <w:numId w:val="0"/>
              </w:numPr>
              <w:jc w:val="left"/>
              <w:rPr>
                <w:rFonts w:hint="eastAsia" w:cs="Arial"/>
                <w:b/>
                <w:color w:val="000000"/>
                <w:sz w:val="28"/>
                <w:szCs w:val="28"/>
                <w:vertAlign w:val="baseline"/>
                <w:lang w:eastAsia="zh-CN"/>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3</w:t>
            </w:r>
          </w:p>
        </w:tc>
        <w:tc>
          <w:tcPr>
            <w:tcW w:w="4669" w:type="dxa"/>
            <w:vAlign w:val="center"/>
          </w:tcPr>
          <w:p>
            <w:pPr>
              <w:numPr>
                <w:ilvl w:val="0"/>
                <w:numId w:val="0"/>
              </w:numPr>
              <w:spacing w:after="60"/>
              <w:jc w:val="left"/>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4</w:t>
            </w:r>
          </w:p>
        </w:tc>
        <w:tc>
          <w:tcPr>
            <w:tcW w:w="4669" w:type="dxa"/>
            <w:vAlign w:val="center"/>
          </w:tcPr>
          <w:p>
            <w:pPr>
              <w:numPr>
                <w:ilvl w:val="0"/>
                <w:numId w:val="0"/>
              </w:numPr>
              <w:jc w:val="left"/>
              <w:rPr>
                <w:rFonts w:hint="eastAsia"/>
              </w:rPr>
            </w:pPr>
            <w:r>
              <w:rPr>
                <w:rFonts w:hint="eastAsia"/>
              </w:rPr>
              <w:t>投标人必须提供《医疗器械生产企业许可证》或《医疗器械经营企业许可证》扫描件）；</w:t>
            </w:r>
          </w:p>
          <w:p>
            <w:pPr>
              <w:jc w:val="left"/>
              <w:rPr>
                <w:rFonts w:hint="eastAsia" w:cs="Arial"/>
                <w:b/>
                <w:color w:val="000000"/>
                <w:sz w:val="28"/>
                <w:szCs w:val="28"/>
                <w:vertAlign w:val="baseline"/>
                <w:lang w:eastAsia="zh-CN"/>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84" w:type="dxa"/>
            <w:vAlign w:val="center"/>
          </w:tcPr>
          <w:p>
            <w:pPr>
              <w:jc w:val="center"/>
              <w:rPr>
                <w:rFonts w:hint="default"/>
                <w:color w:val="000000"/>
                <w:lang w:val="en-US" w:eastAsia="zh-CN"/>
              </w:rPr>
            </w:pPr>
            <w:r>
              <w:rPr>
                <w:rFonts w:hint="eastAsia"/>
                <w:color w:val="000000"/>
                <w:lang w:val="en-US" w:eastAsia="zh-CN"/>
              </w:rPr>
              <w:t>5</w:t>
            </w:r>
          </w:p>
        </w:tc>
        <w:tc>
          <w:tcPr>
            <w:tcW w:w="4669" w:type="dxa"/>
            <w:vAlign w:val="center"/>
          </w:tcPr>
          <w:p>
            <w:pPr>
              <w:numPr>
                <w:ilvl w:val="0"/>
                <w:numId w:val="0"/>
              </w:numPr>
              <w:spacing w:after="60"/>
              <w:jc w:val="left"/>
              <w:rPr>
                <w:rFonts w:hint="eastAsia" w:cs="Arial"/>
                <w:b/>
                <w:color w:val="000000"/>
                <w:sz w:val="28"/>
                <w:szCs w:val="28"/>
                <w:vertAlign w:val="baseline"/>
                <w:lang w:eastAsia="zh-CN"/>
              </w:rPr>
            </w:pPr>
            <w:r>
              <w:rPr>
                <w:rFonts w:hint="eastAsia"/>
                <w:lang w:val="en-US" w:eastAsia="zh-CN"/>
              </w:rPr>
              <w:t>所投产品价格如若超过预算单价，废除该投标单位的投标资格。</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lang w:eastAsia="zh-CN"/>
              </w:rPr>
            </w:pPr>
            <w:r>
              <w:rPr>
                <w:rFonts w:hint="eastAsia"/>
                <w:lang w:eastAsia="zh-CN"/>
              </w:rPr>
              <w:t>负偏离为废标条款</w:t>
            </w:r>
          </w:p>
        </w:tc>
      </w:tr>
    </w:tbl>
    <w:p>
      <w:pPr>
        <w:numPr>
          <w:ilvl w:val="0"/>
          <w:numId w:val="0"/>
        </w:numPr>
        <w:spacing w:after="60"/>
        <w:jc w:val="both"/>
        <w:rPr>
          <w:rFonts w:hint="eastAsia" w:cs="Arial"/>
          <w:b/>
          <w:color w:val="000000"/>
          <w:sz w:val="28"/>
          <w:szCs w:val="28"/>
          <w:lang w:eastAsia="zh-CN"/>
        </w:rPr>
      </w:pPr>
    </w:p>
    <w:p>
      <w:pPr>
        <w:spacing w:after="60"/>
        <w:ind w:firstLine="2811" w:firstLineChars="1000"/>
        <w:jc w:val="both"/>
        <w:rPr>
          <w:rFonts w:hint="eastAsia" w:cs="Arial"/>
          <w:b/>
          <w:color w:val="000000"/>
          <w:sz w:val="28"/>
          <w:szCs w:val="28"/>
        </w:rPr>
      </w:pPr>
    </w:p>
    <w:p>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jc w:val="center"/>
        <w:rPr>
          <w:b/>
          <w:color w:val="000000"/>
          <w:kern w:val="0"/>
          <w:sz w:val="28"/>
          <w:szCs w:val="28"/>
        </w:rPr>
      </w:pPr>
      <w:r>
        <w:rPr>
          <w:rFonts w:hint="eastAsia" w:cs="Arial"/>
          <w:b/>
          <w:color w:val="000000"/>
          <w:sz w:val="28"/>
          <w:szCs w:val="28"/>
          <w:lang w:eastAsia="zh-CN"/>
        </w:rPr>
        <w:t>六、</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6"/>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3"/>
              <w:spacing w:line="360" w:lineRule="auto"/>
              <w:rPr>
                <w:rFonts w:hAnsi="宋体"/>
                <w:szCs w:val="24"/>
              </w:rPr>
            </w:pPr>
            <w:r>
              <w:rPr>
                <w:rFonts w:hint="eastAsia" w:hAnsi="宋体"/>
                <w:szCs w:val="24"/>
              </w:rPr>
              <w:t>1、一般产品配送不超过48小时送达；</w:t>
            </w:r>
          </w:p>
          <w:p>
            <w:pPr>
              <w:pStyle w:val="3"/>
              <w:spacing w:line="360" w:lineRule="auto"/>
              <w:rPr>
                <w:rFonts w:hAnsi="宋体"/>
                <w:szCs w:val="24"/>
              </w:rPr>
            </w:pPr>
            <w:r>
              <w:rPr>
                <w:rFonts w:hint="eastAsia" w:hAnsi="宋体"/>
                <w:szCs w:val="24"/>
              </w:rPr>
              <w:t>2、紧急配送，供应商应保证所有产品在四小时内送达。</w:t>
            </w:r>
          </w:p>
          <w:p>
            <w:pPr>
              <w:pStyle w:val="3"/>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3"/>
              <w:spacing w:line="360" w:lineRule="auto"/>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hint="eastAsia" w:cs="Arial"/>
          <w:b/>
          <w:color w:val="000000"/>
          <w:sz w:val="24"/>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b/>
          <w:color w:val="000000"/>
          <w:sz w:val="24"/>
          <w:lang w:eastAsia="zh-CN"/>
        </w:rPr>
        <w:t>（售后服务方案）</w:t>
      </w:r>
      <w:r>
        <w:rPr>
          <w:rFonts w:hint="eastAsia" w:cs="Arial"/>
          <w:color w:val="000000"/>
          <w:sz w:val="28"/>
          <w:szCs w:val="28"/>
        </w:rPr>
        <w:t>：</w:t>
      </w:r>
    </w:p>
    <w:p>
      <w:pPr>
        <w:numPr>
          <w:ilvl w:val="0"/>
          <w:numId w:val="2"/>
        </w:numPr>
        <w:spacing w:after="60"/>
        <w:ind w:firstLine="420" w:firstLineChars="200"/>
        <w:rPr>
          <w:rFonts w:hint="eastAsia" w:ascii="宋体" w:hAnsi="宋体"/>
          <w:szCs w:val="21"/>
        </w:rPr>
      </w:pPr>
      <w:r>
        <w:rPr>
          <w:rFonts w:hint="eastAsia" w:ascii="宋体" w:hAnsi="宋体"/>
          <w:szCs w:val="21"/>
        </w:rPr>
        <w:t>配送时效</w:t>
      </w:r>
      <w:r>
        <w:rPr>
          <w:rFonts w:hint="eastAsia" w:ascii="宋体" w:hAnsi="宋体"/>
          <w:szCs w:val="21"/>
          <w:lang w:eastAsia="zh-CN"/>
        </w:rPr>
        <w:t>承诺；</w:t>
      </w:r>
    </w:p>
    <w:p>
      <w:pPr>
        <w:numPr>
          <w:ilvl w:val="0"/>
          <w:numId w:val="0"/>
        </w:numPr>
        <w:spacing w:after="60"/>
        <w:rPr>
          <w:rFonts w:cs="Arial"/>
          <w:color w:val="000000"/>
        </w:rPr>
      </w:pPr>
    </w:p>
    <w:p>
      <w:pPr>
        <w:numPr>
          <w:ilvl w:val="0"/>
          <w:numId w:val="0"/>
        </w:numPr>
        <w:spacing w:after="60"/>
        <w:ind w:firstLine="420" w:firstLineChars="200"/>
        <w:rPr>
          <w:rFonts w:cs="Arial"/>
          <w:color w:val="000000"/>
        </w:rPr>
      </w:pPr>
      <w:r>
        <w:rPr>
          <w:rFonts w:cs="Arial"/>
          <w:color w:val="000000"/>
        </w:rPr>
        <w:t>2</w:t>
      </w:r>
      <w:r>
        <w:rPr>
          <w:rFonts w:hint="eastAsia" w:cs="Arial"/>
          <w:color w:val="000000"/>
        </w:rPr>
        <w:t>、</w:t>
      </w:r>
      <w:r>
        <w:rPr>
          <w:rFonts w:hint="eastAsia" w:ascii="宋体" w:hAnsi="宋体"/>
          <w:szCs w:val="21"/>
        </w:rPr>
        <w:t>应急供货和退货</w:t>
      </w:r>
      <w:r>
        <w:rPr>
          <w:rFonts w:hint="eastAsia" w:ascii="宋体" w:hAnsi="宋体"/>
          <w:szCs w:val="21"/>
          <w:lang w:eastAsia="zh-CN"/>
        </w:rPr>
        <w:t>承诺</w:t>
      </w:r>
      <w:r>
        <w:rPr>
          <w:rFonts w:hint="eastAsia" w:cs="Arial"/>
          <w:color w:val="000000"/>
        </w:rPr>
        <w:t>；</w:t>
      </w:r>
    </w:p>
    <w:p>
      <w:pPr>
        <w:spacing w:after="60"/>
        <w:rPr>
          <w:rFonts w:hint="eastAsia" w:ascii="宋体" w:hAnsi="宋体" w:cs="宋体"/>
          <w:kern w:val="0"/>
          <w:szCs w:val="21"/>
        </w:rPr>
      </w:pPr>
    </w:p>
    <w:p>
      <w:pPr>
        <w:numPr>
          <w:ilvl w:val="0"/>
          <w:numId w:val="0"/>
        </w:numPr>
        <w:spacing w:after="60"/>
        <w:ind w:left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售后服务承诺</w:t>
      </w:r>
      <w:r>
        <w:rPr>
          <w:rFonts w:hint="eastAsia" w:ascii="宋体" w:hAnsi="宋体"/>
          <w:szCs w:val="21"/>
          <w:lang w:eastAsia="zh-CN"/>
        </w:rPr>
        <w:t>；</w:t>
      </w:r>
    </w:p>
    <w:p>
      <w:pPr>
        <w:numPr>
          <w:ilvl w:val="0"/>
          <w:numId w:val="0"/>
        </w:numPr>
        <w:spacing w:after="60"/>
        <w:ind w:leftChars="200"/>
        <w:rPr>
          <w:rFonts w:hint="eastAsia" w:ascii="宋体" w:hAnsi="宋体"/>
          <w:szCs w:val="21"/>
          <w:lang w:eastAsia="zh-CN"/>
        </w:rPr>
      </w:pPr>
    </w:p>
    <w:p>
      <w:pPr>
        <w:spacing w:after="60"/>
        <w:ind w:firstLine="420" w:firstLineChars="200"/>
        <w:rPr>
          <w:rFonts w:cs="Arial"/>
          <w:color w:val="000000"/>
        </w:rPr>
      </w:pPr>
      <w:r>
        <w:rPr>
          <w:rFonts w:hint="eastAsia" w:hAnsi="宋体"/>
          <w:bCs/>
          <w:color w:val="000000"/>
          <w:lang w:val="en-US" w:eastAsia="zh-CN"/>
        </w:rPr>
        <w:t>4</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ind w:right="-517" w:rightChars="-246"/>
        <w:jc w:val="center"/>
        <w:rPr>
          <w:rFonts w:ascii="宋体" w:hAnsi="宋体"/>
          <w:b/>
          <w:bCs/>
          <w:snapToGrid w:val="0"/>
          <w:kern w:val="0"/>
          <w:sz w:val="32"/>
          <w:szCs w:val="32"/>
        </w:rPr>
      </w:pPr>
      <w:r>
        <w:rPr>
          <w:rFonts w:hint="eastAsia" w:ascii="宋体" w:hAnsi="宋体" w:cs="宋体"/>
          <w:b/>
          <w:snapToGrid w:val="0"/>
          <w:kern w:val="0"/>
          <w:sz w:val="32"/>
          <w:szCs w:val="32"/>
          <w:lang w:eastAsia="zh-CN"/>
        </w:rPr>
        <w:t>七、</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jc w:val="center"/>
        <w:rPr>
          <w:rFonts w:hint="eastAsia" w:ascii="宋体" w:hAnsi="宋体" w:cs="宋体"/>
          <w:b/>
          <w:bCs/>
          <w:color w:val="000000" w:themeColor="text1"/>
          <w:sz w:val="32"/>
          <w:szCs w:val="32"/>
          <w:lang w:eastAsia="zh-CN"/>
          <w14:textFill>
            <w14:solidFill>
              <w14:schemeClr w14:val="tx1"/>
            </w14:solidFill>
          </w14:textFill>
        </w:rPr>
      </w:pPr>
    </w:p>
    <w:p>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八、有效业绩</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576"/>
        </w:tabs>
        <w:bidi w:val="0"/>
        <w:jc w:val="left"/>
        <w:rPr>
          <w:rFonts w:hint="eastAsia"/>
          <w:lang w:val="en-US" w:eastAsia="zh-CN"/>
        </w:rPr>
      </w:pPr>
      <w:r>
        <w:rPr>
          <w:rFonts w:hint="eastAsia"/>
          <w:lang w:val="en-US" w:eastAsia="zh-CN"/>
        </w:rPr>
        <w:tab/>
      </w:r>
    </w:p>
    <w:p>
      <w:pPr>
        <w:tabs>
          <w:tab w:val="left" w:pos="3576"/>
        </w:tabs>
        <w:bidi w:val="0"/>
        <w:jc w:val="left"/>
        <w:rPr>
          <w:rFonts w:hint="eastAsia"/>
          <w:lang w:val="en-US" w:eastAsia="zh-CN"/>
        </w:rPr>
      </w:pPr>
    </w:p>
    <w:p>
      <w:pPr>
        <w:tabs>
          <w:tab w:val="left" w:pos="3576"/>
        </w:tabs>
        <w:bidi w:val="0"/>
        <w:jc w:val="left"/>
        <w:rPr>
          <w:rFonts w:hint="eastAsia"/>
          <w:lang w:val="en-US" w:eastAsia="zh-CN"/>
        </w:rPr>
      </w:pPr>
    </w:p>
    <w:p>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九、履约评价</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tabs>
          <w:tab w:val="left" w:pos="3576"/>
        </w:tabs>
        <w:bidi w:val="0"/>
        <w:jc w:val="left"/>
        <w:rPr>
          <w:rFonts w:hint="eastAsia"/>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26"/>
        </w:tabs>
        <w:bidi w:val="0"/>
        <w:jc w:val="left"/>
        <w:rPr>
          <w:rFonts w:hint="eastAsia"/>
          <w:lang w:val="en-US" w:eastAsia="zh-CN"/>
        </w:rPr>
      </w:pPr>
      <w:r>
        <w:rPr>
          <w:rFonts w:hint="eastAsia"/>
          <w:lang w:val="en-US" w:eastAsia="zh-CN"/>
        </w:rPr>
        <w:tab/>
      </w:r>
    </w:p>
    <w:p>
      <w:pPr>
        <w:bidi w:val="0"/>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十、仓储、运输能力</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tabs>
          <w:tab w:val="left" w:pos="2736"/>
        </w:tabs>
        <w:bidi w:val="0"/>
        <w:jc w:val="left"/>
        <w:rPr>
          <w:rFonts w:hint="eastAsia" w:asciiTheme="minorHAnsi" w:hAnsiTheme="minorHAnsi" w:eastAsiaTheme="minorEastAsia" w:cstheme="minorBidi"/>
          <w:kern w:val="2"/>
          <w:sz w:val="21"/>
          <w:szCs w:val="24"/>
          <w:lang w:val="en-US" w:eastAsia="zh-CN" w:bidi="ar-SA"/>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tbl>
      <w:tblPr>
        <w:tblStyle w:val="6"/>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2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Style w:val="12"/>
                <w:lang w:val="en-US" w:eastAsia="zh-CN" w:bidi="ar"/>
              </w:rPr>
              <w:t>综合评分表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技术参数响应情况                                                   投标人应如实填写《技术规格偏离表》，评审委员会根据响应情况进行打分，全部满足或优于要求的得15分，每有负偏离一项扣3分，扣完为止。</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配送方案                                                                评委根据投标文件配送方案（交货时间安排、安装、调试方案、人员安排等）进行评审：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提供配送方案得1分，在满足此项的基础上进一步综合评审：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配送方案完善详细的评价为优加9分；配送方案较为完善详细的评价为良加6分；配送方案内容一般的评价为中加3分；配送方案内容较差的评价为差加1分；未提供或无法判断则不得分。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产品品牌和成熟度                                                         评委根据投标人提供的所投产品的品牌、市场口碑、知名度等方面进行评审：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市场口碑好，知名度高，使用反馈好的评价为优得5分；市场口碑较好，知名度较高，使用反馈较好的评价为良得3分；市场口碑、知名度、使用反馈一般的评价为中得2分；市场口碑、知名度、使用反馈差的评价为差得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售后服务方案                                                             针对售后服务方案（配送时效、应急供货和退货、售后服务承诺等情况）等方面的具体措施，对采购人最有利、措施优劣情况进行评分：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提供售后服务方案得1分，在满足此项的基础上进一步综合评审：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售后服务方案全面完善的评价为优加9分；售后服务方案较为全面完善的评价为良6分；售后服务方案一般的评价为中加3分；售后服务方案较差的评价为差加1分；未提供或无法判断则不得分。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                                                              供应商提交样品，评委根据供应商所提供的样品情况进行打分。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提供样品得1分，在满足此项的基础上进一步综合评审：优加9分，良加5分，中加2分，差不得分，未提供或样品不全则不得分。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有效业绩                                                                提供广东省内公立医院（近两年内）发票或合同证明或广东省医用耗材交易系统或广东省药品电子交易平台（医用耗材竞价议价系统）或深圳医用耗材阳光交易和监管平台成交记录，复印件加盖公章：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（1）三甲3家及以上：5分；（2）三甲1-2家：3分；（3）二甲2家及以上：2分；（4）其他：1分；以上三项合计累计最高分不超过5分。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履约评价                                                                投标人提供上述经评审有效的业绩中，能够提供用户出具的履约评价书，且评价为优或满意以上的，每份得1分；最高得5分。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不提供或者不能有效证明的，得0分。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证明文件：须提供用户出具的履约评价书复印件，并加盖投标人公章，原件备查。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仓储、运输能力                                                          （1）投标人自有或租赁仓库的，得2分。（需提供自有产权或租赁相关证明材料，未提供或提供资料无法判断的，该项不得分。）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投标人仓库容积进行综合评审，面积最大的为第一名，以此类推，第一名得5分，第二名得3分，第三名得2分，第四名及以后得1分。投标时请提供相关证明材料（以房产证或租赁合同内载明的容积为准），如未提供或资料不完整，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（3）投标人运输车辆：拟投入一辆运输车辆得1分，最高得3分。无正规运输车辆，不得分。（证明文件：请提供相关车辆的行驶证或采购合同或购买发票或者授权文件。）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由工作人员计算得出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2294"/>
    <w:multiLevelType w:val="singleLevel"/>
    <w:tmpl w:val="A00E2294"/>
    <w:lvl w:ilvl="0" w:tentative="0">
      <w:start w:val="1"/>
      <w:numFmt w:val="decimal"/>
      <w:suff w:val="nothing"/>
      <w:lvlText w:val="%1、"/>
      <w:lvlJc w:val="left"/>
    </w:lvl>
  </w:abstractNum>
  <w:abstractNum w:abstractNumId="1">
    <w:nsid w:val="E143E1F0"/>
    <w:multiLevelType w:val="singleLevel"/>
    <w:tmpl w:val="E143E1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515E13"/>
    <w:rsid w:val="03D86CBB"/>
    <w:rsid w:val="069E50A1"/>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062A6F"/>
    <w:rsid w:val="466C27DB"/>
    <w:rsid w:val="46E84D7E"/>
    <w:rsid w:val="47507FEA"/>
    <w:rsid w:val="4E8E5256"/>
    <w:rsid w:val="4F0F12CA"/>
    <w:rsid w:val="56E36785"/>
    <w:rsid w:val="58AF7528"/>
    <w:rsid w:val="5A2F6381"/>
    <w:rsid w:val="5CAC08DD"/>
    <w:rsid w:val="5D045FFD"/>
    <w:rsid w:val="69E7776E"/>
    <w:rsid w:val="6B80006E"/>
    <w:rsid w:val="6DD15131"/>
    <w:rsid w:val="72AC65F9"/>
    <w:rsid w:val="74055651"/>
    <w:rsid w:val="788A7998"/>
    <w:rsid w:val="7B49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semiHidden/>
    <w:unhideWhenUsed/>
    <w:qFormat/>
    <w:uiPriority w:val="99"/>
    <w:rPr>
      <w:rFonts w:ascii="宋体" w:hAnsi="Courier New" w:eastAsia="宋体" w:cs="Times New Roman"/>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纯文本 Char"/>
    <w:basedOn w:val="8"/>
    <w:link w:val="3"/>
    <w:semiHidden/>
    <w:qFormat/>
    <w:uiPriority w:val="99"/>
    <w:rPr>
      <w:rFonts w:ascii="宋体" w:hAnsi="Courier New" w:eastAsia="宋体" w:cs="Times New Roman"/>
      <w:szCs w:val="20"/>
    </w:rPr>
  </w:style>
  <w:style w:type="character" w:customStyle="1" w:styleId="12">
    <w:name w:val="font11"/>
    <w:basedOn w:val="8"/>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3031</Words>
  <Characters>3120</Characters>
  <Lines>31</Lines>
  <Paragraphs>8</Paragraphs>
  <TotalTime>2</TotalTime>
  <ScaleCrop>false</ScaleCrop>
  <LinksUpToDate>false</LinksUpToDate>
  <CharactersWithSpaces>3545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2023-12-07T08:19:56Z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7BE914A4024446FB924B63DA649A1813_13</vt:lpwstr>
  </property>
</Properties>
</file>