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52"/>
          <w:szCs w:val="52"/>
          <w:lang w:val="zh-CN"/>
        </w:rPr>
      </w:pPr>
      <w:bookmarkStart w:id="0" w:name="_Hlk71456902"/>
    </w:p>
    <w:p>
      <w:pPr>
        <w:jc w:val="center"/>
        <w:rPr>
          <w:rFonts w:ascii="仿宋_GB2312" w:eastAsia="仿宋_GB2312"/>
          <w:b/>
          <w:sz w:val="52"/>
          <w:szCs w:val="52"/>
          <w:lang w:val="zh-CN"/>
        </w:rPr>
      </w:pPr>
    </w:p>
    <w:p>
      <w:pPr>
        <w:jc w:val="center"/>
        <w:rPr>
          <w:rFonts w:ascii="仿宋_GB2312" w:eastAsia="仿宋_GB2312"/>
          <w:b/>
          <w:sz w:val="52"/>
          <w:szCs w:val="52"/>
          <w:lang w:val="zh-CN"/>
        </w:rPr>
      </w:pPr>
    </w:p>
    <w:p>
      <w:pPr>
        <w:jc w:val="center"/>
        <w:rPr>
          <w:rFonts w:hint="eastAsia" w:ascii="黑体" w:hAnsi="黑体" w:eastAsia="黑体"/>
          <w:b/>
          <w:sz w:val="40"/>
          <w:szCs w:val="40"/>
          <w:lang w:val="en-US" w:eastAsia="zh-CN"/>
        </w:rPr>
      </w:pPr>
      <w:r>
        <w:rPr>
          <w:rFonts w:hint="eastAsia" w:ascii="黑体" w:hAnsi="黑体" w:eastAsia="黑体"/>
          <w:b/>
          <w:sz w:val="40"/>
          <w:szCs w:val="40"/>
          <w:lang w:val="en-US" w:eastAsia="zh-CN"/>
        </w:rPr>
        <w:t>深圳市福田区第二人民医院</w:t>
      </w:r>
    </w:p>
    <w:p>
      <w:pPr>
        <w:pStyle w:val="38"/>
        <w:widowControl/>
        <w:jc w:val="center"/>
        <w:outlineLvl w:val="1"/>
        <w:rPr>
          <w:rFonts w:hint="eastAsia" w:ascii="黑体" w:hAnsi="黑体" w:eastAsia="黑体" w:cs="黑体"/>
          <w:b/>
          <w:bCs w:val="0"/>
          <w:sz w:val="40"/>
          <w:szCs w:val="40"/>
        </w:rPr>
      </w:pPr>
      <w:r>
        <w:rPr>
          <w:rFonts w:hint="eastAsia" w:ascii="黑体" w:hAnsi="黑体" w:eastAsia="黑体" w:cs="黑体"/>
          <w:b/>
          <w:bCs w:val="0"/>
          <w:sz w:val="40"/>
          <w:szCs w:val="40"/>
        </w:rPr>
        <w:t>建筑消防设备设施维保服务项目</w:t>
      </w:r>
    </w:p>
    <w:p>
      <w:pPr>
        <w:pStyle w:val="38"/>
        <w:widowControl/>
        <w:jc w:val="center"/>
        <w:outlineLvl w:val="1"/>
        <w:rPr>
          <w:rFonts w:hint="eastAsia" w:ascii="黑体" w:hAnsi="黑体" w:eastAsia="黑体" w:cs="黑体"/>
          <w:b/>
          <w:bCs w:val="0"/>
          <w:sz w:val="40"/>
          <w:szCs w:val="40"/>
        </w:rPr>
      </w:pPr>
      <w:r>
        <w:rPr>
          <w:rFonts w:hint="eastAsia" w:ascii="黑体" w:hAnsi="黑体" w:eastAsia="黑体" w:cs="黑体"/>
          <w:b/>
          <w:bCs w:val="0"/>
          <w:sz w:val="40"/>
          <w:szCs w:val="40"/>
        </w:rPr>
        <w:t>招标文件信息</w:t>
      </w:r>
    </w:p>
    <w:p>
      <w:pPr>
        <w:pStyle w:val="38"/>
        <w:widowControl/>
        <w:spacing w:beforeAutospacing="0" w:afterAutospacing="0"/>
        <w:jc w:val="center"/>
        <w:rPr>
          <w:rFonts w:ascii="黑体" w:hAnsi="宋体" w:eastAsia="黑体" w:cs="黑体"/>
          <w:sz w:val="40"/>
          <w:szCs w:val="40"/>
        </w:rPr>
      </w:pPr>
    </w:p>
    <w:tbl>
      <w:tblPr>
        <w:tblStyle w:val="43"/>
        <w:tblW w:w="7943" w:type="dxa"/>
        <w:jc w:val="center"/>
        <w:tblCellSpacing w:w="0" w:type="dxa"/>
        <w:tblLayout w:type="autofit"/>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818" w:hRule="atLeast"/>
          <w:tblCellSpacing w:w="0" w:type="dxa"/>
          <w:jc w:val="center"/>
        </w:trPr>
        <w:tc>
          <w:tcPr>
            <w:tcW w:w="2723" w:type="dxa"/>
            <w:shd w:val="clear" w:color="auto" w:fill="auto"/>
            <w:vAlign w:val="center"/>
          </w:tcPr>
          <w:p>
            <w:pPr>
              <w:widowControl/>
              <w:jc w:val="center"/>
              <w:rPr>
                <w:sz w:val="30"/>
                <w:szCs w:val="30"/>
              </w:rPr>
            </w:pPr>
            <w:r>
              <w:rPr>
                <w:rFonts w:ascii="宋体" w:hAnsi="宋体" w:cs="宋体"/>
                <w:kern w:val="0"/>
                <w:sz w:val="30"/>
                <w:szCs w:val="30"/>
              </w:rPr>
              <w:t>项目编号：</w:t>
            </w:r>
          </w:p>
        </w:tc>
        <w:tc>
          <w:tcPr>
            <w:tcW w:w="0" w:type="auto"/>
            <w:shd w:val="clear" w:color="auto" w:fill="auto"/>
            <w:vAlign w:val="center"/>
          </w:tcPr>
          <w:p>
            <w:pPr>
              <w:widowControl/>
              <w:jc w:val="left"/>
              <w:rPr>
                <w:sz w:val="30"/>
                <w:szCs w:val="30"/>
              </w:rPr>
            </w:pPr>
            <w:r>
              <w:rPr>
                <w:rFonts w:hint="eastAsia"/>
                <w:sz w:val="30"/>
                <w:szCs w:val="30"/>
              </w:rPr>
              <w:t>FTEYXFWB202</w:t>
            </w:r>
            <w:r>
              <w:rPr>
                <w:rFonts w:hint="eastAsia"/>
                <w:sz w:val="30"/>
                <w:szCs w:val="30"/>
                <w:lang w:val="en-US" w:eastAsia="zh-CN"/>
              </w:rPr>
              <w:t>4</w:t>
            </w:r>
            <w:r>
              <w:rPr>
                <w:rFonts w:hint="eastAsia"/>
                <w:sz w:val="30"/>
                <w:szCs w:val="30"/>
              </w:rPr>
              <w:t>0</w:t>
            </w:r>
            <w:r>
              <w:rPr>
                <w:rFonts w:hint="eastAsia"/>
                <w:sz w:val="30"/>
                <w:szCs w:val="30"/>
                <w:lang w:val="en-US" w:eastAsia="zh-CN"/>
              </w:rPr>
              <w:t>7</w:t>
            </w:r>
            <w:r>
              <w:rPr>
                <w:rFonts w:hint="eastAsia"/>
                <w:sz w:val="30"/>
                <w:szCs w:val="30"/>
              </w:rPr>
              <w:t>-01</w:t>
            </w:r>
          </w:p>
        </w:tc>
      </w:tr>
      <w:tr>
        <w:tblPrEx>
          <w:tblCellMar>
            <w:top w:w="45" w:type="dxa"/>
            <w:left w:w="45" w:type="dxa"/>
            <w:bottom w:w="45" w:type="dxa"/>
            <w:right w:w="45" w:type="dxa"/>
          </w:tblCellMar>
        </w:tblPrEx>
        <w:trPr>
          <w:trHeight w:val="738" w:hRule="atLeast"/>
          <w:tblCellSpacing w:w="0" w:type="dxa"/>
          <w:jc w:val="center"/>
        </w:trPr>
        <w:tc>
          <w:tcPr>
            <w:tcW w:w="0" w:type="auto"/>
            <w:shd w:val="clear" w:color="auto" w:fill="auto"/>
            <w:vAlign w:val="center"/>
          </w:tcPr>
          <w:p>
            <w:pPr>
              <w:widowControl/>
              <w:jc w:val="center"/>
              <w:rPr>
                <w:sz w:val="30"/>
                <w:szCs w:val="30"/>
              </w:rPr>
            </w:pPr>
            <w:r>
              <w:rPr>
                <w:rFonts w:ascii="宋体" w:hAnsi="宋体" w:cs="宋体"/>
                <w:kern w:val="0"/>
                <w:sz w:val="30"/>
                <w:szCs w:val="30"/>
              </w:rPr>
              <w:t>项目名称：</w:t>
            </w:r>
          </w:p>
        </w:tc>
        <w:tc>
          <w:tcPr>
            <w:tcW w:w="0" w:type="auto"/>
            <w:shd w:val="clear" w:color="auto" w:fill="auto"/>
            <w:vAlign w:val="center"/>
          </w:tcPr>
          <w:p>
            <w:pPr>
              <w:widowControl/>
              <w:jc w:val="left"/>
              <w:rPr>
                <w:rFonts w:hint="eastAsia" w:ascii="宋体" w:hAnsi="宋体" w:cs="宋体"/>
                <w:kern w:val="0"/>
                <w:sz w:val="30"/>
                <w:szCs w:val="30"/>
                <w:lang w:val="en-US" w:eastAsia="zh-CN"/>
              </w:rPr>
            </w:pPr>
            <w:r>
              <w:rPr>
                <w:rFonts w:hint="eastAsia" w:ascii="宋体" w:hAnsi="宋体" w:cs="宋体"/>
                <w:kern w:val="0"/>
                <w:sz w:val="30"/>
                <w:szCs w:val="30"/>
                <w:lang w:val="en-US" w:eastAsia="zh-CN"/>
              </w:rPr>
              <w:t>深圳市福田区第二人民医院</w:t>
            </w:r>
          </w:p>
          <w:p>
            <w:pPr>
              <w:widowControl/>
              <w:jc w:val="left"/>
              <w:rPr>
                <w:rFonts w:ascii="宋体" w:hAnsi="宋体" w:cs="仿宋"/>
                <w:b/>
                <w:w w:val="90"/>
                <w:sz w:val="32"/>
                <w:szCs w:val="32"/>
                <w:lang w:val="zh-CN"/>
              </w:rPr>
            </w:pPr>
            <w:r>
              <w:rPr>
                <w:rFonts w:hint="eastAsia" w:ascii="宋体" w:hAnsi="宋体" w:cs="宋体"/>
                <w:kern w:val="0"/>
                <w:sz w:val="30"/>
                <w:szCs w:val="30"/>
              </w:rPr>
              <w:t>建筑消防设备设施维保服务项目</w:t>
            </w:r>
          </w:p>
        </w:tc>
      </w:tr>
      <w:tr>
        <w:tblPrEx>
          <w:tblCellMar>
            <w:top w:w="45" w:type="dxa"/>
            <w:left w:w="45" w:type="dxa"/>
            <w:bottom w:w="45" w:type="dxa"/>
            <w:right w:w="45" w:type="dxa"/>
          </w:tblCellMar>
        </w:tblPrEx>
        <w:trPr>
          <w:trHeight w:val="738" w:hRule="atLeast"/>
          <w:tblCellSpacing w:w="0" w:type="dxa"/>
          <w:jc w:val="center"/>
        </w:trPr>
        <w:tc>
          <w:tcPr>
            <w:tcW w:w="0" w:type="auto"/>
            <w:shd w:val="clear" w:color="auto" w:fill="auto"/>
            <w:vAlign w:val="center"/>
          </w:tcPr>
          <w:p>
            <w:pPr>
              <w:widowControl/>
              <w:jc w:val="center"/>
              <w:rPr>
                <w:sz w:val="30"/>
                <w:szCs w:val="30"/>
              </w:rPr>
            </w:pPr>
            <w:r>
              <w:rPr>
                <w:rFonts w:ascii="宋体" w:hAnsi="宋体" w:cs="宋体"/>
                <w:kern w:val="0"/>
                <w:sz w:val="30"/>
                <w:szCs w:val="30"/>
              </w:rPr>
              <w:t>项目类型：</w:t>
            </w:r>
          </w:p>
        </w:tc>
        <w:tc>
          <w:tcPr>
            <w:tcW w:w="0" w:type="auto"/>
            <w:shd w:val="clear" w:color="auto" w:fill="auto"/>
            <w:vAlign w:val="center"/>
          </w:tcPr>
          <w:p>
            <w:pPr>
              <w:widowControl/>
              <w:jc w:val="left"/>
              <w:rPr>
                <w:sz w:val="30"/>
                <w:szCs w:val="30"/>
              </w:rPr>
            </w:pPr>
            <w:r>
              <w:rPr>
                <w:rFonts w:ascii="宋体" w:hAnsi="宋体" w:cs="宋体"/>
                <w:kern w:val="0"/>
                <w:sz w:val="30"/>
                <w:szCs w:val="30"/>
              </w:rPr>
              <w:t>服务类</w:t>
            </w:r>
          </w:p>
        </w:tc>
      </w:tr>
      <w:tr>
        <w:tblPrEx>
          <w:tblCellMar>
            <w:top w:w="45" w:type="dxa"/>
            <w:left w:w="45" w:type="dxa"/>
            <w:bottom w:w="45" w:type="dxa"/>
            <w:right w:w="45" w:type="dxa"/>
          </w:tblCellMar>
        </w:tblPrEx>
        <w:trPr>
          <w:trHeight w:val="738" w:hRule="atLeast"/>
          <w:tblCellSpacing w:w="0" w:type="dxa"/>
          <w:jc w:val="center"/>
        </w:trPr>
        <w:tc>
          <w:tcPr>
            <w:tcW w:w="0" w:type="auto"/>
            <w:shd w:val="clear" w:color="auto" w:fill="auto"/>
            <w:vAlign w:val="center"/>
          </w:tcPr>
          <w:p>
            <w:pPr>
              <w:widowControl/>
              <w:jc w:val="center"/>
              <w:rPr>
                <w:sz w:val="30"/>
                <w:szCs w:val="30"/>
              </w:rPr>
            </w:pPr>
            <w:r>
              <w:rPr>
                <w:rFonts w:ascii="宋体" w:hAnsi="宋体" w:cs="宋体"/>
                <w:kern w:val="0"/>
                <w:sz w:val="30"/>
                <w:szCs w:val="30"/>
              </w:rPr>
              <w:t>采购方式：</w:t>
            </w:r>
          </w:p>
        </w:tc>
        <w:tc>
          <w:tcPr>
            <w:tcW w:w="0" w:type="auto"/>
            <w:shd w:val="clear" w:color="auto" w:fill="auto"/>
            <w:vAlign w:val="center"/>
          </w:tcPr>
          <w:p>
            <w:pPr>
              <w:widowControl/>
              <w:jc w:val="left"/>
              <w:rPr>
                <w:sz w:val="30"/>
                <w:szCs w:val="30"/>
              </w:rPr>
            </w:pPr>
            <w:r>
              <w:rPr>
                <w:rFonts w:ascii="宋体" w:hAnsi="宋体" w:cs="宋体"/>
                <w:kern w:val="0"/>
                <w:sz w:val="30"/>
                <w:szCs w:val="30"/>
              </w:rPr>
              <w:t>公开招标</w:t>
            </w:r>
          </w:p>
        </w:tc>
      </w:tr>
      <w:tr>
        <w:tblPrEx>
          <w:tblCellMar>
            <w:top w:w="45" w:type="dxa"/>
            <w:left w:w="45" w:type="dxa"/>
            <w:bottom w:w="45" w:type="dxa"/>
            <w:right w:w="45" w:type="dxa"/>
          </w:tblCellMar>
        </w:tblPrEx>
        <w:trPr>
          <w:trHeight w:val="738" w:hRule="atLeast"/>
          <w:tblCellSpacing w:w="0" w:type="dxa"/>
          <w:jc w:val="center"/>
        </w:trPr>
        <w:tc>
          <w:tcPr>
            <w:tcW w:w="0" w:type="auto"/>
            <w:shd w:val="clear" w:color="auto" w:fill="auto"/>
            <w:vAlign w:val="center"/>
          </w:tcPr>
          <w:p>
            <w:pPr>
              <w:widowControl/>
              <w:jc w:val="center"/>
              <w:rPr>
                <w:sz w:val="30"/>
                <w:szCs w:val="30"/>
              </w:rPr>
            </w:pPr>
            <w:r>
              <w:rPr>
                <w:rFonts w:ascii="宋体" w:hAnsi="宋体" w:cs="宋体"/>
                <w:kern w:val="0"/>
                <w:sz w:val="30"/>
                <w:szCs w:val="30"/>
              </w:rPr>
              <w:t>货币类型：</w:t>
            </w:r>
          </w:p>
        </w:tc>
        <w:tc>
          <w:tcPr>
            <w:tcW w:w="0" w:type="auto"/>
            <w:shd w:val="clear" w:color="auto" w:fill="auto"/>
            <w:vAlign w:val="center"/>
          </w:tcPr>
          <w:p>
            <w:pPr>
              <w:widowControl/>
              <w:jc w:val="left"/>
              <w:rPr>
                <w:sz w:val="30"/>
                <w:szCs w:val="30"/>
              </w:rPr>
            </w:pPr>
            <w:r>
              <w:rPr>
                <w:rFonts w:ascii="宋体" w:hAnsi="宋体" w:cs="宋体"/>
                <w:kern w:val="0"/>
                <w:sz w:val="30"/>
                <w:szCs w:val="30"/>
              </w:rPr>
              <w:t>人民币</w:t>
            </w:r>
          </w:p>
        </w:tc>
      </w:tr>
      <w:tr>
        <w:tblPrEx>
          <w:tblCellMar>
            <w:top w:w="45" w:type="dxa"/>
            <w:left w:w="45" w:type="dxa"/>
            <w:bottom w:w="45" w:type="dxa"/>
            <w:right w:w="45" w:type="dxa"/>
          </w:tblCellMar>
        </w:tblPrEx>
        <w:trPr>
          <w:trHeight w:val="738" w:hRule="atLeast"/>
          <w:tblCellSpacing w:w="0" w:type="dxa"/>
          <w:jc w:val="center"/>
        </w:trPr>
        <w:tc>
          <w:tcPr>
            <w:tcW w:w="0" w:type="auto"/>
            <w:shd w:val="clear" w:color="auto" w:fill="auto"/>
            <w:vAlign w:val="center"/>
          </w:tcPr>
          <w:p>
            <w:pPr>
              <w:widowControl/>
              <w:jc w:val="center"/>
              <w:rPr>
                <w:sz w:val="30"/>
                <w:szCs w:val="30"/>
              </w:rPr>
            </w:pPr>
            <w:r>
              <w:rPr>
                <w:rFonts w:ascii="宋体" w:hAnsi="宋体" w:cs="宋体"/>
                <w:kern w:val="0"/>
                <w:sz w:val="30"/>
                <w:szCs w:val="30"/>
              </w:rPr>
              <w:t>评标方法：</w:t>
            </w:r>
          </w:p>
        </w:tc>
        <w:tc>
          <w:tcPr>
            <w:tcW w:w="0" w:type="auto"/>
            <w:shd w:val="clear" w:color="auto" w:fill="auto"/>
            <w:vAlign w:val="center"/>
          </w:tcPr>
          <w:p>
            <w:pPr>
              <w:widowControl/>
              <w:jc w:val="left"/>
              <w:rPr>
                <w:sz w:val="30"/>
                <w:szCs w:val="30"/>
              </w:rPr>
            </w:pPr>
            <w:r>
              <w:rPr>
                <w:rFonts w:ascii="宋体" w:hAnsi="宋体" w:cs="宋体"/>
                <w:kern w:val="0"/>
                <w:sz w:val="30"/>
                <w:szCs w:val="30"/>
              </w:rPr>
              <w:t>综合评分法</w:t>
            </w:r>
          </w:p>
        </w:tc>
      </w:tr>
      <w:bookmarkEnd w:id="0"/>
    </w:tbl>
    <w:p>
      <w:pPr>
        <w:pStyle w:val="38"/>
        <w:widowControl/>
        <w:jc w:val="center"/>
        <w:rPr>
          <w:rFonts w:ascii="黑体" w:hAnsi="宋体" w:eastAsia="黑体" w:cs="黑体"/>
          <w:sz w:val="40"/>
          <w:szCs w:val="40"/>
        </w:rPr>
      </w:pPr>
    </w:p>
    <w:p>
      <w:pPr>
        <w:pStyle w:val="38"/>
        <w:widowControl/>
        <w:jc w:val="center"/>
        <w:rPr>
          <w:rFonts w:ascii="黑体" w:hAnsi="宋体" w:eastAsia="黑体" w:cs="黑体"/>
          <w:sz w:val="40"/>
          <w:szCs w:val="40"/>
        </w:rPr>
      </w:pPr>
    </w:p>
    <w:p>
      <w:pPr>
        <w:pStyle w:val="38"/>
        <w:widowControl/>
        <w:jc w:val="center"/>
        <w:rPr>
          <w:rFonts w:ascii="黑体" w:hAnsi="宋体" w:eastAsia="黑体" w:cs="黑体"/>
          <w:sz w:val="40"/>
          <w:szCs w:val="40"/>
        </w:rPr>
      </w:pPr>
    </w:p>
    <w:p>
      <w:pPr>
        <w:pStyle w:val="38"/>
        <w:widowControl/>
        <w:jc w:val="center"/>
        <w:rPr>
          <w:rFonts w:ascii="黑体" w:hAnsi="宋体" w:eastAsia="黑体" w:cs="黑体"/>
          <w:sz w:val="40"/>
          <w:szCs w:val="40"/>
        </w:rPr>
      </w:pPr>
    </w:p>
    <w:p>
      <w:pPr>
        <w:pStyle w:val="38"/>
        <w:widowControl/>
        <w:jc w:val="center"/>
        <w:rPr>
          <w:rFonts w:ascii="黑体" w:hAnsi="宋体" w:eastAsia="黑体" w:cs="黑体"/>
          <w:sz w:val="40"/>
          <w:szCs w:val="40"/>
        </w:rPr>
      </w:pPr>
    </w:p>
    <w:p>
      <w:pPr>
        <w:pStyle w:val="38"/>
        <w:widowControl/>
        <w:spacing w:before="100" w:after="100"/>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color w:val="FF0000"/>
                <w:szCs w:val="21"/>
              </w:rPr>
            </w:pPr>
            <w:r>
              <w:rPr>
                <w:rFonts w:ascii="宋体" w:hAnsi="宋体" w:cs="宋体"/>
                <w:color w:val="auto"/>
                <w:kern w:val="0"/>
                <w:szCs w:val="21"/>
              </w:rPr>
              <w:t>投标人不</w:t>
            </w:r>
            <w:r>
              <w:rPr>
                <w:rFonts w:hint="eastAsia" w:ascii="宋体" w:hAnsi="宋体" w:cs="宋体"/>
                <w:color w:val="auto"/>
                <w:kern w:val="0"/>
                <w:szCs w:val="21"/>
              </w:rPr>
              <w:t>符合</w:t>
            </w:r>
            <w:r>
              <w:rPr>
                <w:rFonts w:ascii="宋体" w:hAnsi="宋体" w:cs="宋体"/>
                <w:color w:val="auto"/>
                <w:kern w:val="0"/>
                <w:szCs w:val="21"/>
              </w:rPr>
              <w:t>资格要求，</w:t>
            </w:r>
            <w:bookmarkStart w:id="110" w:name="_GoBack"/>
            <w:bookmarkEnd w:id="110"/>
            <w:r>
              <w:rPr>
                <w:rFonts w:ascii="宋体" w:hAnsi="宋体" w:cs="宋体"/>
                <w:color w:val="auto"/>
                <w:kern w:val="0"/>
                <w:szCs w:val="21"/>
              </w:rPr>
              <w:t>或未提交相应的资格证明资料（详见招标公告</w:t>
            </w:r>
            <w:r>
              <w:rPr>
                <w:rFonts w:hint="eastAsia" w:ascii="宋体" w:hAnsi="宋体"/>
                <w:color w:val="auto"/>
                <w:szCs w:val="21"/>
              </w:rPr>
              <w:t>投标人资格要求，即申请人的资格要求</w:t>
            </w:r>
            <w:r>
              <w:rPr>
                <w:rFonts w:ascii="宋体" w:hAnsi="宋体" w:cs="宋体"/>
                <w:color w:val="auto"/>
                <w:kern w:val="0"/>
                <w:szCs w:val="21"/>
              </w:rPr>
              <w:t>）</w:t>
            </w:r>
          </w:p>
        </w:tc>
      </w:tr>
    </w:tbl>
    <w:p>
      <w:pPr>
        <w:pStyle w:val="38"/>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color w:val="auto"/>
                <w:szCs w:val="21"/>
              </w:rPr>
            </w:pPr>
            <w:r>
              <w:rPr>
                <w:rFonts w:hint="eastAsia"/>
                <w:color w:val="auto"/>
              </w:rPr>
              <w:t>将一个包或一个标段的内容拆开投标；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2</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color w:val="auto"/>
                <w:szCs w:val="21"/>
              </w:rPr>
            </w:pPr>
            <w:r>
              <w:rPr>
                <w:rFonts w:hint="eastAsia"/>
                <w:color w:val="auto"/>
              </w:rPr>
              <w:t>对同一项目投标时，提供两套以上的投标方案（招标文件另有规定的除外）；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3</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color w:val="auto"/>
                <w:szCs w:val="21"/>
              </w:rPr>
            </w:pPr>
            <w:r>
              <w:rPr>
                <w:rFonts w:hint="eastAsia"/>
                <w:color w:val="auto"/>
              </w:rPr>
              <w:t>分项报价或投标总价高于</w:t>
            </w:r>
            <w:bookmarkStart w:id="1" w:name="_Hlk71832186"/>
            <w:r>
              <w:rPr>
                <w:rFonts w:hint="eastAsia"/>
                <w:color w:val="auto"/>
              </w:rPr>
              <w:t>相应财政预算金额（或设定的财政预算金额下的最高限价）</w:t>
            </w:r>
            <w:bookmarkEnd w:id="1"/>
            <w:r>
              <w:rPr>
                <w:rFonts w:hint="eastAsia"/>
                <w:color w:val="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4</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color w:val="auto"/>
                <w:szCs w:val="21"/>
              </w:rPr>
            </w:pPr>
            <w:r>
              <w:rPr>
                <w:rFonts w:hint="eastAsia"/>
                <w:color w:val="auto"/>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5</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color w:val="auto"/>
                <w:szCs w:val="21"/>
              </w:rPr>
            </w:pPr>
            <w:r>
              <w:rPr>
                <w:rFonts w:hint="eastAsia"/>
                <w:color w:val="auto"/>
              </w:rPr>
              <w:t>所投货物、服务在技术、商务等方面没有实质性满足招标文件要求的（是否实质性满足招标文件要求，由评审委员会根据《实质性条款响应情况表》做出评判）；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6</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color w:val="auto"/>
                <w:szCs w:val="21"/>
              </w:rPr>
            </w:pPr>
            <w:r>
              <w:rPr>
                <w:rFonts w:hint="eastAsia"/>
                <w:color w:val="auto"/>
              </w:rPr>
              <w:t>未按招标文件所提供的样式填写《投标函》；；未按招标文件对投标文件组成的要求提供投标文件；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7</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color w:val="auto"/>
                <w:szCs w:val="21"/>
              </w:rPr>
            </w:pPr>
            <w:r>
              <w:rPr>
                <w:rFonts w:hint="eastAsia"/>
                <w:color w:val="auto"/>
              </w:rPr>
              <w:t>投标报价有缺漏项目,或者对招标文件规定的项目需求内容或者需求数量进行修改</w:t>
            </w:r>
            <w:r>
              <w:rPr>
                <w:rFonts w:hint="eastAsia"/>
                <w:color w:val="auto"/>
                <w:szCs w:val="21"/>
              </w:rPr>
              <w:t>，评审委员会判定投标响应不满足采购需求</w:t>
            </w:r>
            <w:r>
              <w:rPr>
                <w:rFonts w:hint="eastAsia"/>
                <w:color w:val="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color w:val="auto"/>
                <w:szCs w:val="21"/>
              </w:rPr>
            </w:pPr>
            <w:r>
              <w:rPr>
                <w:rFonts w:hint="eastAsia"/>
                <w:color w:val="auto"/>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9</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color w:val="auto"/>
                <w:szCs w:val="21"/>
              </w:rPr>
            </w:pPr>
            <w:r>
              <w:rPr>
                <w:rFonts w:hint="eastAsia"/>
                <w:color w:val="auto"/>
              </w:rPr>
              <w:t>投标文件电子文档带病毒；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color w:val="auto"/>
                <w:szCs w:val="21"/>
              </w:rPr>
            </w:pPr>
            <w:r>
              <w:rPr>
                <w:rFonts w:hint="eastAsia"/>
                <w:color w:val="auto"/>
              </w:rPr>
              <w:t>法律、法规、规章、规范性文件规定的其他情形。</w:t>
            </w:r>
          </w:p>
        </w:tc>
      </w:tr>
    </w:tbl>
    <w:p>
      <w:pPr>
        <w:pStyle w:val="38"/>
        <w:widowControl/>
        <w:jc w:val="center"/>
        <w:rPr>
          <w:rFonts w:ascii="黑体" w:hAnsi="宋体" w:eastAsia="黑体" w:cs="黑体"/>
          <w:sz w:val="40"/>
          <w:szCs w:val="40"/>
        </w:rPr>
      </w:pPr>
    </w:p>
    <w:p>
      <w:pPr>
        <w:pStyle w:val="38"/>
        <w:widowControl/>
        <w:jc w:val="center"/>
        <w:rPr>
          <w:rFonts w:ascii="黑体" w:hAnsi="宋体" w:eastAsia="黑体" w:cs="黑体"/>
          <w:sz w:val="40"/>
          <w:szCs w:val="40"/>
        </w:rPr>
      </w:pPr>
    </w:p>
    <w:p>
      <w:pPr>
        <w:pStyle w:val="38"/>
        <w:widowControl/>
        <w:jc w:val="center"/>
        <w:rPr>
          <w:rFonts w:ascii="黑体" w:hAnsi="宋体" w:eastAsia="黑体" w:cs="黑体"/>
          <w:sz w:val="40"/>
          <w:szCs w:val="40"/>
        </w:rPr>
      </w:pPr>
    </w:p>
    <w:p>
      <w:pPr>
        <w:pStyle w:val="38"/>
        <w:widowControl/>
        <w:jc w:val="center"/>
        <w:rPr>
          <w:rFonts w:ascii="黑体" w:hAnsi="宋体" w:eastAsia="黑体" w:cs="黑体"/>
          <w:sz w:val="40"/>
          <w:szCs w:val="40"/>
        </w:rPr>
      </w:pPr>
    </w:p>
    <w:p>
      <w:pPr>
        <w:pStyle w:val="38"/>
        <w:widowControl/>
        <w:jc w:val="center"/>
        <w:rPr>
          <w:rFonts w:ascii="黑体" w:hAnsi="宋体" w:eastAsia="黑体" w:cs="黑体"/>
          <w:sz w:val="40"/>
          <w:szCs w:val="40"/>
        </w:rPr>
      </w:pPr>
    </w:p>
    <w:p>
      <w:pPr>
        <w:pStyle w:val="38"/>
        <w:widowControl/>
        <w:jc w:val="center"/>
        <w:rPr>
          <w:rFonts w:ascii="黑体" w:hAnsi="宋体" w:eastAsia="黑体" w:cs="黑体"/>
          <w:sz w:val="40"/>
          <w:szCs w:val="40"/>
        </w:rPr>
      </w:pPr>
    </w:p>
    <w:p>
      <w:pPr>
        <w:pStyle w:val="38"/>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3"/>
        <w:tblW w:w="9078"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45" w:type="dxa"/>
          <w:left w:w="45" w:type="dxa"/>
          <w:bottom w:w="45" w:type="dxa"/>
          <w:right w:w="45" w:type="dxa"/>
        </w:tblCellMar>
      </w:tblPr>
      <w:tblGrid>
        <w:gridCol w:w="8478"/>
        <w:gridCol w:w="60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0" w:type="auto"/>
            <w:shd w:val="clear" w:color="auto" w:fill="auto"/>
            <w:vAlign w:val="center"/>
          </w:tcPr>
          <w:p>
            <w:pPr>
              <w:widowControl/>
              <w:spacing w:line="240" w:lineRule="exact"/>
              <w:jc w:val="left"/>
              <w:rPr>
                <w:b/>
                <w:bCs/>
                <w:sz w:val="24"/>
              </w:rPr>
            </w:pPr>
            <w:r>
              <w:rPr>
                <w:b/>
                <w:bCs/>
              </w:rPr>
              <w:t>评标方法：综合评分法</w:t>
            </w:r>
          </w:p>
        </w:tc>
        <w:tc>
          <w:tcPr>
            <w:tcW w:w="0" w:type="auto"/>
            <w:shd w:val="clear" w:color="auto" w:fill="auto"/>
            <w:vAlign w:val="center"/>
          </w:tcPr>
          <w:p>
            <w:pPr>
              <w:spacing w:line="240" w:lineRule="exact"/>
              <w:jc w:val="right"/>
              <w:rPr>
                <w:rFonts w:ascii="宋体"/>
                <w:b/>
                <w:bCs/>
                <w:sz w:val="24"/>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0" w:type="auto"/>
            <w:gridSpan w:val="2"/>
            <w:shd w:val="clear" w:color="auto" w:fill="auto"/>
            <w:vAlign w:val="center"/>
          </w:tcPr>
          <w:p>
            <w:pPr>
              <w:spacing w:line="240" w:lineRule="exact"/>
              <w:ind w:firstLine="420"/>
              <w:rPr>
                <w:rFonts w:ascii="宋体" w:hAnsi="宋体"/>
                <w:szCs w:val="21"/>
              </w:rPr>
            </w:pPr>
            <w:r>
              <w:rPr>
                <w:rFonts w:ascii="宋体" w:hAnsi="宋体"/>
                <w:szCs w:val="21"/>
              </w:rPr>
              <w:t xml:space="preserve">综合评分法，是指投标文件满足招标文件全部实质性要求，且按照评审因素的量化指标评审得分最高的投标人为中标候选人的评标方法。 </w:t>
            </w:r>
          </w:p>
          <w:p>
            <w:pPr>
              <w:spacing w:line="240" w:lineRule="exact"/>
              <w:ind w:firstLine="420"/>
              <w:rPr>
                <w:rFonts w:ascii="宋体" w:hAnsi="宋体"/>
                <w:szCs w:val="21"/>
              </w:rPr>
            </w:pPr>
            <w:r>
              <w:rPr>
                <w:rFonts w:ascii="宋体" w:hAnsi="宋体"/>
                <w:szCs w:val="21"/>
              </w:rPr>
              <w:t>价格分计算方法：</w:t>
            </w:r>
          </w:p>
          <w:p>
            <w:pPr>
              <w:pStyle w:val="38"/>
              <w:widowControl/>
              <w:spacing w:beforeAutospacing="0" w:afterAutospacing="0" w:line="240" w:lineRule="exact"/>
              <w:ind w:left="420"/>
              <w:rPr>
                <w:rFonts w:hint="eastAsia" w:ascii="宋体" w:hAnsi="宋体" w:eastAsia="宋体"/>
                <w:kern w:val="2"/>
                <w:sz w:val="21"/>
                <w:szCs w:val="21"/>
                <w:lang w:eastAsia="zh-CN"/>
              </w:rPr>
            </w:pPr>
            <w:r>
              <w:rPr>
                <w:rFonts w:ascii="宋体" w:hAnsi="宋体"/>
                <w:kern w:val="2"/>
                <w:sz w:val="21"/>
                <w:szCs w:val="21"/>
              </w:rPr>
              <w:t xml:space="preserve">采用低价优先法计算，即满足招标文件要求且投标价格最低的投标报价为评标基准价，其价格分为满分。其他投标人的价格分统一按照下列公式计算： </w:t>
            </w:r>
          </w:p>
          <w:p>
            <w:pPr>
              <w:pStyle w:val="38"/>
              <w:widowControl/>
              <w:spacing w:beforeAutospacing="0" w:afterAutospacing="0" w:line="240" w:lineRule="exact"/>
              <w:ind w:left="420"/>
              <w:rPr>
                <w:rFonts w:hint="eastAsia" w:ascii="宋体" w:hAnsi="宋体" w:eastAsia="宋体"/>
                <w:kern w:val="2"/>
                <w:sz w:val="21"/>
                <w:szCs w:val="21"/>
                <w:lang w:eastAsia="zh-CN"/>
              </w:rPr>
            </w:pPr>
            <w:r>
              <w:rPr>
                <w:rFonts w:ascii="宋体" w:hAnsi="宋体"/>
                <w:kern w:val="2"/>
                <w:sz w:val="21"/>
                <w:szCs w:val="21"/>
              </w:rPr>
              <w:t xml:space="preserve">投标报价得分=(评标基准价／投标报价)×100 </w:t>
            </w:r>
          </w:p>
          <w:p>
            <w:pPr>
              <w:pStyle w:val="38"/>
              <w:widowControl/>
              <w:spacing w:beforeAutospacing="0" w:afterAutospacing="0" w:line="240" w:lineRule="exact"/>
              <w:ind w:left="420"/>
              <w:rPr>
                <w:rFonts w:hint="eastAsia" w:ascii="宋体" w:hAnsi="宋体" w:eastAsia="宋体"/>
                <w:kern w:val="2"/>
                <w:sz w:val="21"/>
                <w:szCs w:val="21"/>
                <w:lang w:eastAsia="zh-CN"/>
              </w:rPr>
            </w:pPr>
            <w:r>
              <w:rPr>
                <w:rFonts w:ascii="宋体" w:hAnsi="宋体"/>
                <w:kern w:val="2"/>
                <w:sz w:val="21"/>
                <w:szCs w:val="21"/>
              </w:rPr>
              <w:t xml:space="preserve">评标总得分＝F1×A1＋F2×A2＋……＋Fn×An </w:t>
            </w:r>
          </w:p>
          <w:p>
            <w:pPr>
              <w:pStyle w:val="38"/>
              <w:widowControl/>
              <w:spacing w:beforeAutospacing="0" w:afterAutospacing="0" w:line="240" w:lineRule="exact"/>
              <w:ind w:left="420"/>
              <w:rPr>
                <w:rFonts w:hint="eastAsia" w:ascii="宋体" w:hAnsi="宋体" w:eastAsia="宋体"/>
                <w:kern w:val="2"/>
                <w:sz w:val="21"/>
                <w:szCs w:val="21"/>
                <w:lang w:eastAsia="zh-CN"/>
              </w:rPr>
            </w:pPr>
            <w:r>
              <w:rPr>
                <w:rFonts w:ascii="宋体" w:hAnsi="宋体"/>
                <w:kern w:val="2"/>
                <w:sz w:val="21"/>
                <w:szCs w:val="21"/>
              </w:rPr>
              <w:t xml:space="preserve">F1、F2……Fn分别为各项评审因素的得分； </w:t>
            </w:r>
          </w:p>
          <w:p>
            <w:pPr>
              <w:pStyle w:val="38"/>
              <w:widowControl/>
              <w:spacing w:beforeAutospacing="0" w:afterAutospacing="0" w:line="240" w:lineRule="exact"/>
              <w:ind w:left="420"/>
              <w:rPr>
                <w:rFonts w:hint="eastAsia" w:ascii="宋体" w:hAnsi="宋体" w:eastAsia="宋体"/>
                <w:kern w:val="2"/>
                <w:sz w:val="21"/>
                <w:szCs w:val="21"/>
                <w:lang w:eastAsia="zh-CN"/>
              </w:rPr>
            </w:pPr>
            <w:r>
              <w:rPr>
                <w:rFonts w:ascii="宋体" w:hAnsi="宋体"/>
                <w:kern w:val="2"/>
                <w:sz w:val="21"/>
                <w:szCs w:val="21"/>
              </w:rPr>
              <w:t xml:space="preserve">A1、A2、……An 分别为各项评审因素所占的权重(A1＋A2＋……＋An＝1)。 </w:t>
            </w:r>
          </w:p>
          <w:p>
            <w:pPr>
              <w:pStyle w:val="38"/>
              <w:widowControl/>
              <w:spacing w:beforeAutospacing="0" w:afterAutospacing="0" w:line="240" w:lineRule="exact"/>
              <w:ind w:left="420"/>
              <w:rPr>
                <w:rFonts w:hint="eastAsia" w:ascii="宋体" w:hAnsi="宋体" w:eastAsia="宋体"/>
                <w:kern w:val="2"/>
                <w:sz w:val="21"/>
                <w:szCs w:val="21"/>
                <w:lang w:eastAsia="zh-CN"/>
              </w:rPr>
            </w:pPr>
            <w:r>
              <w:rPr>
                <w:rFonts w:ascii="宋体" w:hAnsi="宋体"/>
                <w:kern w:val="2"/>
                <w:sz w:val="21"/>
                <w:szCs w:val="21"/>
              </w:rPr>
              <w:t xml:space="preserve">评标过程中，不得去掉报价中的最高报价和最低报价。 </w:t>
            </w:r>
          </w:p>
          <w:p>
            <w:pPr>
              <w:pStyle w:val="38"/>
              <w:widowControl/>
              <w:spacing w:beforeAutospacing="0" w:afterAutospacing="0" w:line="240" w:lineRule="exact"/>
              <w:ind w:left="420"/>
              <w:rPr>
                <w:rFonts w:ascii="宋体" w:hAnsi="宋体"/>
                <w:kern w:val="2"/>
                <w:sz w:val="21"/>
                <w:szCs w:val="21"/>
              </w:rPr>
            </w:pPr>
            <w:r>
              <w:rPr>
                <w:rFonts w:ascii="宋体" w:hAnsi="宋体"/>
                <w:kern w:val="2"/>
                <w:sz w:val="21"/>
                <w:szCs w:val="21"/>
              </w:rPr>
              <w:t>此方法适用于货物类、服务类、工程类项目。</w:t>
            </w:r>
          </w:p>
          <w:p>
            <w:pPr>
              <w:pStyle w:val="38"/>
              <w:widowControl/>
              <w:spacing w:line="240" w:lineRule="auto"/>
              <w:jc w:val="center"/>
              <w:outlineLvl w:val="1"/>
              <w:rPr>
                <w:rFonts w:ascii="宋体" w:hAnsi="宋体" w:cs="黑体"/>
                <w:sz w:val="21"/>
                <w:szCs w:val="21"/>
              </w:rPr>
            </w:pPr>
            <w:r>
              <w:rPr>
                <w:rFonts w:hint="eastAsia" w:ascii="宋体" w:hAnsi="宋体" w:cs="黑体"/>
                <w:sz w:val="21"/>
                <w:szCs w:val="21"/>
              </w:rPr>
              <w:t>评分细则表</w:t>
            </w:r>
          </w:p>
          <w:tbl>
            <w:tblPr>
              <w:tblStyle w:val="43"/>
              <w:tblW w:w="888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80"/>
              <w:gridCol w:w="680"/>
              <w:gridCol w:w="13"/>
              <w:gridCol w:w="1865"/>
              <w:gridCol w:w="843"/>
              <w:gridCol w:w="48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b/>
                      <w:bCs/>
                      <w:szCs w:val="21"/>
                    </w:rPr>
                  </w:pPr>
                  <w:bookmarkStart w:id="2" w:name="_Hlk56503811"/>
                  <w:r>
                    <w:rPr>
                      <w:rFonts w:hint="eastAsia" w:ascii="宋体" w:hAnsi="宋体" w:cs="宋体"/>
                      <w:b/>
                      <w:bCs/>
                      <w:szCs w:val="21"/>
                    </w:rPr>
                    <w:t>序号</w:t>
                  </w:r>
                </w:p>
              </w:tc>
              <w:tc>
                <w:tcPr>
                  <w:tcW w:w="3401" w:type="dxa"/>
                  <w:gridSpan w:val="4"/>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b/>
                      <w:bCs/>
                      <w:szCs w:val="21"/>
                    </w:rPr>
                  </w:pPr>
                  <w:r>
                    <w:rPr>
                      <w:rFonts w:hint="eastAsia" w:ascii="宋体" w:hAnsi="宋体" w:cs="宋体"/>
                      <w:b/>
                      <w:bCs/>
                      <w:szCs w:val="21"/>
                    </w:rPr>
                    <w:t>评分项</w:t>
                  </w:r>
                </w:p>
              </w:tc>
              <w:tc>
                <w:tcPr>
                  <w:tcW w:w="480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b/>
                      <w:bCs/>
                      <w:szCs w:val="21"/>
                    </w:rPr>
                  </w:pPr>
                  <w:r>
                    <w:rPr>
                      <w:rFonts w:hint="eastAsia" w:ascii="宋体" w:hAnsi="宋体" w:cs="宋体"/>
                      <w:b/>
                      <w:bCs/>
                      <w:szCs w:val="21"/>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b/>
                      <w:bCs/>
                      <w:szCs w:val="21"/>
                    </w:rPr>
                  </w:pPr>
                  <w:r>
                    <w:rPr>
                      <w:rFonts w:hint="eastAsia" w:ascii="宋体" w:hAnsi="宋体" w:cs="宋体"/>
                      <w:b/>
                      <w:bCs/>
                      <w:szCs w:val="21"/>
                    </w:rPr>
                    <w:t>1</w:t>
                  </w:r>
                </w:p>
              </w:tc>
              <w:tc>
                <w:tcPr>
                  <w:tcW w:w="3401" w:type="dxa"/>
                  <w:gridSpan w:val="4"/>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szCs w:val="21"/>
                      <w:lang w:eastAsia="zh-CN"/>
                    </w:rPr>
                  </w:pPr>
                  <w:r>
                    <w:rPr>
                      <w:rFonts w:hint="eastAsia" w:ascii="宋体" w:hAnsi="宋体" w:cs="宋体"/>
                      <w:b/>
                      <w:bCs/>
                      <w:szCs w:val="21"/>
                    </w:rPr>
                    <w:t>价格</w:t>
                  </w:r>
                  <w:r>
                    <w:rPr>
                      <w:rFonts w:hint="eastAsia" w:ascii="宋体" w:hAnsi="宋体" w:cs="宋体"/>
                      <w:b/>
                      <w:bCs/>
                      <w:szCs w:val="21"/>
                      <w:lang w:eastAsia="zh-CN"/>
                    </w:rPr>
                    <w:t>评议指标部分</w:t>
                  </w:r>
                </w:p>
              </w:tc>
              <w:tc>
                <w:tcPr>
                  <w:tcW w:w="4804"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szCs w:val="21"/>
                      <w:lang w:val="en-US" w:eastAsia="zh-CN"/>
                    </w:rPr>
                  </w:pPr>
                  <w:r>
                    <w:rPr>
                      <w:rFonts w:hint="eastAsia" w:ascii="宋体" w:hAnsi="宋体" w:cs="宋体"/>
                      <w:b/>
                      <w:bCs/>
                      <w:szCs w:val="21"/>
                    </w:rPr>
                    <w:t>1</w:t>
                  </w:r>
                  <w:r>
                    <w:rPr>
                      <w:rFonts w:hint="eastAsia" w:ascii="宋体" w:hAnsi="宋体" w:cs="宋体"/>
                      <w:b/>
                      <w:bCs/>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27" w:hRule="atLeast"/>
                <w:jc w:val="center"/>
              </w:trPr>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cs="宋体"/>
                      <w:b/>
                      <w:bCs/>
                      <w:szCs w:val="21"/>
                    </w:rPr>
                  </w:pPr>
                </w:p>
              </w:tc>
              <w:tc>
                <w:tcPr>
                  <w:tcW w:w="3401" w:type="dxa"/>
                  <w:gridSpan w:val="4"/>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cs="宋体"/>
                      <w:b/>
                      <w:bCs/>
                      <w:szCs w:val="21"/>
                    </w:rPr>
                  </w:pPr>
                  <w:r>
                    <w:rPr>
                      <w:rFonts w:hint="eastAsia" w:ascii="宋体" w:hAnsi="宋体" w:cs="宋体"/>
                      <w:bCs/>
                      <w:kern w:val="0"/>
                      <w:szCs w:val="21"/>
                      <w:lang w:val="en-GB"/>
                    </w:rPr>
                    <w:t>价格评分</w:t>
                  </w:r>
                </w:p>
              </w:tc>
              <w:tc>
                <w:tcPr>
                  <w:tcW w:w="4804" w:type="dxa"/>
                  <w:tcBorders>
                    <w:top w:val="single" w:color="000000" w:sz="8" w:space="0"/>
                    <w:left w:val="single" w:color="000000" w:sz="8" w:space="0"/>
                    <w:bottom w:val="single" w:color="000000" w:sz="8" w:space="0"/>
                    <w:right w:val="single" w:color="000000" w:sz="8" w:space="0"/>
                  </w:tcBorders>
                  <w:vAlign w:val="center"/>
                </w:tcPr>
                <w:p>
                  <w:pPr>
                    <w:spacing w:line="0" w:lineRule="atLeast"/>
                    <w:jc w:val="left"/>
                    <w:rPr>
                      <w:rFonts w:hint="eastAsia" w:ascii="宋体" w:hAnsi="宋体" w:cs="宋体"/>
                      <w:bCs/>
                      <w:kern w:val="0"/>
                      <w:szCs w:val="21"/>
                    </w:rPr>
                  </w:pPr>
                  <w:r>
                    <w:rPr>
                      <w:rFonts w:hint="eastAsia" w:ascii="宋体" w:hAnsi="宋体" w:cs="宋体"/>
                      <w:bCs/>
                      <w:kern w:val="0"/>
                      <w:szCs w:val="21"/>
                    </w:rPr>
                    <w:t>投标报价得分=（评标基准价／投标报价）×15，</w:t>
                  </w:r>
                </w:p>
                <w:p>
                  <w:pPr>
                    <w:spacing w:line="0" w:lineRule="atLeast"/>
                    <w:jc w:val="left"/>
                    <w:rPr>
                      <w:rFonts w:hint="eastAsia" w:ascii="宋体" w:hAnsi="宋体" w:cs="宋体"/>
                      <w:bCs/>
                      <w:kern w:val="0"/>
                      <w:szCs w:val="21"/>
                    </w:rPr>
                  </w:pPr>
                  <w:r>
                    <w:rPr>
                      <w:rFonts w:hint="eastAsia" w:ascii="宋体" w:hAnsi="宋体" w:cs="宋体"/>
                      <w:bCs/>
                      <w:kern w:val="0"/>
                      <w:szCs w:val="21"/>
                    </w:rPr>
                    <w:t>基准价即满足招标文件要求且投标价格最低的投标报价为评标基准价，其价格分为满分。</w:t>
                  </w:r>
                </w:p>
                <w:p>
                  <w:pPr>
                    <w:spacing w:line="0" w:lineRule="atLeast"/>
                    <w:jc w:val="left"/>
                    <w:rPr>
                      <w:rFonts w:hint="eastAsia" w:ascii="宋体" w:hAnsi="宋体" w:cs="宋体"/>
                      <w:bCs/>
                      <w:kern w:val="0"/>
                      <w:szCs w:val="21"/>
                    </w:rPr>
                  </w:pPr>
                  <w:r>
                    <w:rPr>
                      <w:rFonts w:hint="eastAsia" w:ascii="宋体" w:hAnsi="宋体" w:cs="宋体"/>
                      <w:bCs/>
                      <w:kern w:val="0"/>
                      <w:szCs w:val="21"/>
                    </w:rPr>
                    <w:t>备注：投标人投标报价超出最高限价（财政预算），将作废标处理。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vAlign w:val="center"/>
                </w:tcPr>
                <w:p>
                  <w:pPr>
                    <w:jc w:val="center"/>
                    <w:rPr>
                      <w:rFonts w:ascii="宋体" w:hAnsi="宋体" w:cs="宋体"/>
                      <w:b/>
                      <w:bCs/>
                      <w:szCs w:val="21"/>
                    </w:rPr>
                  </w:pPr>
                  <w:r>
                    <w:rPr>
                      <w:rFonts w:hint="eastAsia" w:ascii="宋体" w:hAnsi="宋体" w:cs="宋体"/>
                      <w:b/>
                      <w:bCs/>
                      <w:szCs w:val="21"/>
                    </w:rPr>
                    <w:t>2</w:t>
                  </w:r>
                </w:p>
              </w:tc>
              <w:tc>
                <w:tcPr>
                  <w:tcW w:w="3401" w:type="dxa"/>
                  <w:gridSpan w:val="4"/>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b/>
                      <w:bCs/>
                      <w:szCs w:val="21"/>
                    </w:rPr>
                  </w:pPr>
                  <w:r>
                    <w:rPr>
                      <w:rFonts w:hint="eastAsia" w:ascii="宋体" w:hAnsi="宋体" w:cs="宋体"/>
                      <w:b/>
                      <w:bCs/>
                      <w:szCs w:val="21"/>
                    </w:rPr>
                    <w:t>技术</w:t>
                  </w:r>
                  <w:r>
                    <w:rPr>
                      <w:rFonts w:hint="eastAsia" w:ascii="宋体" w:hAnsi="宋体" w:cs="宋体"/>
                      <w:b/>
                      <w:bCs/>
                      <w:szCs w:val="21"/>
                      <w:lang w:eastAsia="zh-CN"/>
                    </w:rPr>
                    <w:t>评议指标</w:t>
                  </w:r>
                  <w:r>
                    <w:rPr>
                      <w:rFonts w:hint="eastAsia" w:ascii="宋体" w:hAnsi="宋体" w:cs="宋体"/>
                      <w:b/>
                      <w:bCs/>
                      <w:szCs w:val="21"/>
                    </w:rPr>
                    <w:t>部分</w:t>
                  </w:r>
                </w:p>
              </w:tc>
              <w:tc>
                <w:tcPr>
                  <w:tcW w:w="4804" w:type="dxa"/>
                  <w:tcBorders>
                    <w:top w:val="single" w:color="000000" w:sz="8" w:space="0"/>
                    <w:left w:val="single" w:color="000000" w:sz="8" w:space="0"/>
                    <w:bottom w:val="single" w:color="000000" w:sz="8" w:space="0"/>
                    <w:right w:val="single" w:color="000000" w:sz="8" w:space="0"/>
                  </w:tcBorders>
                  <w:vAlign w:val="center"/>
                </w:tcPr>
                <w:p>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shd w:val="clear" w:color="auto" w:fill="E6EFFA"/>
                  <w:vAlign w:val="center"/>
                </w:tcPr>
                <w:p>
                  <w:pPr>
                    <w:rPr>
                      <w:rFonts w:ascii="宋体" w:hAnsi="宋体" w:cs="宋体"/>
                      <w:b/>
                      <w:bCs/>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rFonts w:hint="eastAsia" w:ascii="宋体" w:hAnsi="宋体" w:cs="宋体"/>
                      <w:szCs w:val="21"/>
                    </w:rPr>
                    <w:t>序号</w:t>
                  </w:r>
                </w:p>
              </w:tc>
              <w:tc>
                <w:tcPr>
                  <w:tcW w:w="1878" w:type="dxa"/>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rFonts w:hint="eastAsia" w:ascii="宋体" w:hAnsi="宋体" w:cs="宋体"/>
                      <w:szCs w:val="21"/>
                    </w:rPr>
                    <w:t>评分因素</w:t>
                  </w:r>
                </w:p>
              </w:tc>
              <w:tc>
                <w:tcPr>
                  <w:tcW w:w="843"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rFonts w:hint="eastAsia" w:ascii="宋体" w:hAnsi="宋体" w:cs="宋体"/>
                      <w:szCs w:val="21"/>
                    </w:rPr>
                    <w:t>权重</w:t>
                  </w:r>
                </w:p>
              </w:tc>
              <w:tc>
                <w:tcPr>
                  <w:tcW w:w="4804"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rFonts w:hint="eastAsia" w:ascii="宋体" w:hAnsi="宋体" w:cs="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pPr>
                    <w:rPr>
                      <w:rFonts w:ascii="宋体" w:hAnsi="宋体" w:cs="宋体"/>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1</w:t>
                  </w:r>
                </w:p>
              </w:tc>
              <w:tc>
                <w:tcPr>
                  <w:tcW w:w="1878" w:type="dxa"/>
                  <w:gridSpan w:val="2"/>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highlight w:val="yellow"/>
                    </w:rPr>
                  </w:pPr>
                  <w:r>
                    <w:rPr>
                      <w:rFonts w:hint="eastAsia" w:ascii="宋体" w:hAnsi="宋体" w:cs="宋体"/>
                      <w:bCs/>
                      <w:kern w:val="0"/>
                      <w:szCs w:val="21"/>
                      <w:lang w:val="en-GB"/>
                    </w:rPr>
                    <w:t>技术要求响应情况</w:t>
                  </w:r>
                </w:p>
              </w:tc>
              <w:tc>
                <w:tcPr>
                  <w:tcW w:w="843" w:type="dxa"/>
                  <w:tcBorders>
                    <w:top w:val="single" w:color="000000" w:sz="8" w:space="0"/>
                    <w:left w:val="single" w:color="000000" w:sz="8" w:space="0"/>
                    <w:bottom w:val="single" w:color="000000" w:sz="8" w:space="0"/>
                    <w:right w:val="single" w:color="000000" w:sz="8"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4804"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ascii="宋体" w:hAnsi="宋体" w:cs="宋体"/>
                      <w:bCs/>
                      <w:kern w:val="0"/>
                      <w:szCs w:val="21"/>
                      <w:lang w:val="en-GB"/>
                    </w:rPr>
                    <w:t>评委根据投标人对各项服务要求的响应及承诺情况进行比较评分;优得15分，良得10分</w:t>
                  </w:r>
                  <w:r>
                    <w:rPr>
                      <w:rFonts w:hint="eastAsia" w:ascii="宋体" w:hAnsi="宋体" w:cs="宋体"/>
                      <w:bCs/>
                      <w:kern w:val="0"/>
                      <w:szCs w:val="21"/>
                      <w:lang w:val="en-GB" w:eastAsia="zh-CN"/>
                    </w:rPr>
                    <w:t>，</w:t>
                  </w:r>
                  <w:r>
                    <w:rPr>
                      <w:rFonts w:hint="eastAsia" w:ascii="宋体" w:hAnsi="宋体" w:cs="宋体"/>
                      <w:bCs/>
                      <w:kern w:val="0"/>
                      <w:szCs w:val="21"/>
                      <w:lang w:val="en-GB"/>
                    </w:rPr>
                    <w:t>一般得5分，其它不得分。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03" w:hRule="atLeast"/>
                <w:jc w:val="center"/>
              </w:trPr>
              <w:tc>
                <w:tcPr>
                  <w:tcW w:w="680" w:type="dxa"/>
                  <w:vMerge w:val="continue"/>
                  <w:tcBorders>
                    <w:left w:val="single" w:color="000000" w:sz="8" w:space="0"/>
                    <w:right w:val="single" w:color="000000" w:sz="8" w:space="0"/>
                  </w:tcBorders>
                  <w:vAlign w:val="center"/>
                </w:tcPr>
                <w:p>
                  <w:pPr>
                    <w:rPr>
                      <w:rFonts w:ascii="宋体" w:hAnsi="宋体" w:cs="宋体"/>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2</w:t>
                  </w:r>
                </w:p>
              </w:tc>
              <w:tc>
                <w:tcPr>
                  <w:tcW w:w="1878" w:type="dxa"/>
                  <w:gridSpan w:val="2"/>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bCs/>
                      <w:kern w:val="0"/>
                      <w:szCs w:val="21"/>
                      <w:lang w:val="en-GB"/>
                    </w:rPr>
                    <w:t>技术及实施方案</w:t>
                  </w:r>
                </w:p>
              </w:tc>
              <w:tc>
                <w:tcPr>
                  <w:tcW w:w="843" w:type="dxa"/>
                  <w:tcBorders>
                    <w:top w:val="single" w:color="000000" w:sz="8" w:space="0"/>
                    <w:left w:val="single" w:color="000000" w:sz="8" w:space="0"/>
                    <w:bottom w:val="single" w:color="000000" w:sz="8" w:space="0"/>
                    <w:right w:val="single" w:color="000000" w:sz="8"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4804"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bCs/>
                      <w:kern w:val="0"/>
                      <w:szCs w:val="21"/>
                      <w:lang w:val="en-GB"/>
                    </w:rPr>
                  </w:pPr>
                  <w:r>
                    <w:rPr>
                      <w:rFonts w:hint="eastAsia" w:ascii="宋体" w:hAnsi="宋体" w:cs="宋体"/>
                      <w:bCs/>
                      <w:kern w:val="0"/>
                      <w:szCs w:val="21"/>
                      <w:lang w:val="en-GB"/>
                    </w:rPr>
                    <w:t>投标人提供相关合理化建议：</w:t>
                  </w:r>
                </w:p>
                <w:p>
                  <w:pPr>
                    <w:rPr>
                      <w:rFonts w:hint="eastAsia" w:ascii="宋体" w:hAnsi="宋体" w:eastAsia="宋体" w:cs="宋体"/>
                      <w:bCs/>
                      <w:kern w:val="0"/>
                      <w:szCs w:val="21"/>
                      <w:lang w:val="en-GB" w:eastAsia="zh-CN"/>
                    </w:rPr>
                  </w:pPr>
                  <w:r>
                    <w:rPr>
                      <w:rFonts w:hint="eastAsia" w:ascii="宋体" w:hAnsi="宋体" w:eastAsia="宋体" w:cs="宋体"/>
                      <w:bCs/>
                      <w:kern w:val="0"/>
                      <w:szCs w:val="21"/>
                      <w:lang w:val="en-GB"/>
                    </w:rPr>
                    <w:t>⑴</w:t>
                  </w:r>
                  <w:r>
                    <w:rPr>
                      <w:rFonts w:hint="eastAsia" w:ascii="宋体" w:hAnsi="宋体" w:cs="宋体"/>
                      <w:bCs/>
                      <w:kern w:val="0"/>
                      <w:szCs w:val="21"/>
                      <w:lang w:val="en-GB"/>
                    </w:rPr>
                    <w:t>对项目需要完成的目标把握全面，清晰，准确</w:t>
                  </w:r>
                  <w:r>
                    <w:rPr>
                      <w:rFonts w:hint="eastAsia" w:ascii="宋体" w:hAnsi="宋体" w:cs="宋体"/>
                      <w:bCs/>
                      <w:kern w:val="0"/>
                      <w:szCs w:val="21"/>
                      <w:lang w:val="en-GB" w:eastAsia="zh-CN"/>
                    </w:rPr>
                    <w:t>。</w:t>
                  </w:r>
                </w:p>
                <w:p>
                  <w:pPr>
                    <w:rPr>
                      <w:rFonts w:hint="eastAsia" w:ascii="宋体" w:hAnsi="宋体" w:eastAsia="宋体" w:cs="宋体"/>
                      <w:bCs/>
                      <w:kern w:val="0"/>
                      <w:szCs w:val="21"/>
                      <w:lang w:val="en-GB" w:eastAsia="zh-CN"/>
                    </w:rPr>
                  </w:pPr>
                  <w:r>
                    <w:rPr>
                      <w:rFonts w:hint="eastAsia" w:ascii="宋体" w:hAnsi="宋体" w:eastAsia="宋体" w:cs="宋体"/>
                      <w:bCs/>
                      <w:kern w:val="0"/>
                      <w:szCs w:val="21"/>
                      <w:lang w:val="en-GB"/>
                    </w:rPr>
                    <w:t>⑵</w:t>
                  </w:r>
                  <w:r>
                    <w:rPr>
                      <w:rFonts w:hint="eastAsia" w:ascii="宋体" w:hAnsi="宋体" w:cs="宋体"/>
                      <w:bCs/>
                      <w:kern w:val="0"/>
                      <w:szCs w:val="21"/>
                      <w:lang w:val="en-GB"/>
                    </w:rPr>
                    <w:t>对项目的重点，难点及技术方案措施具有针对性；合理性</w:t>
                  </w:r>
                  <w:r>
                    <w:rPr>
                      <w:rFonts w:hint="eastAsia" w:ascii="宋体" w:hAnsi="宋体" w:cs="宋体"/>
                      <w:bCs/>
                      <w:kern w:val="0"/>
                      <w:szCs w:val="21"/>
                      <w:lang w:val="en-GB" w:eastAsia="zh-CN"/>
                    </w:rPr>
                    <w:t>。</w:t>
                  </w:r>
                </w:p>
                <w:p>
                  <w:pPr>
                    <w:rPr>
                      <w:rFonts w:ascii="宋体" w:hAnsi="宋体" w:cs="宋体"/>
                      <w:szCs w:val="21"/>
                    </w:rPr>
                  </w:pPr>
                  <w:r>
                    <w:rPr>
                      <w:rFonts w:hint="eastAsia" w:ascii="宋体" w:hAnsi="宋体" w:cs="宋体"/>
                      <w:bCs/>
                      <w:kern w:val="0"/>
                      <w:szCs w:val="21"/>
                      <w:lang w:val="en-GB"/>
                    </w:rPr>
                    <w:t>评委进行横向对比，优得10分，良得8分，一般得5分，其他不得分。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left w:val="single" w:color="000000" w:sz="8" w:space="0"/>
                    <w:bottom w:val="single" w:color="000000" w:sz="8" w:space="0"/>
                    <w:right w:val="single" w:color="000000" w:sz="8" w:space="0"/>
                  </w:tcBorders>
                  <w:vAlign w:val="center"/>
                </w:tcPr>
                <w:p>
                  <w:pPr>
                    <w:rPr>
                      <w:rFonts w:ascii="宋体" w:hAnsi="宋体" w:cs="宋体"/>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1878" w:type="dxa"/>
                  <w:gridSpan w:val="2"/>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bCs/>
                      <w:kern w:val="0"/>
                      <w:szCs w:val="21"/>
                      <w:lang w:val="en-GB"/>
                    </w:rPr>
                    <w:t>应急措施方案</w:t>
                  </w:r>
                </w:p>
              </w:tc>
              <w:tc>
                <w:tcPr>
                  <w:tcW w:w="843" w:type="dxa"/>
                  <w:tcBorders>
                    <w:top w:val="single" w:color="000000" w:sz="8" w:space="0"/>
                    <w:left w:val="single" w:color="000000" w:sz="8" w:space="0"/>
                    <w:bottom w:val="single" w:color="000000" w:sz="8" w:space="0"/>
                    <w:right w:val="single" w:color="000000" w:sz="8" w:space="0"/>
                  </w:tcBorders>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4804"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rPr>
                  </w:pPr>
                  <w:r>
                    <w:rPr>
                      <w:rFonts w:hint="eastAsia" w:ascii="宋体" w:hAnsi="宋体" w:cs="宋体"/>
                      <w:bCs/>
                      <w:kern w:val="0"/>
                      <w:szCs w:val="21"/>
                      <w:lang w:val="en-GB"/>
                    </w:rPr>
                    <w:t>根据突发事件的处理措施应急方案全面、科学、合理、可行，针对技术服务过程中可能出现的安全风险在详细的应对措施，以上项目综合评比：</w:t>
                  </w:r>
                  <w:r>
                    <w:rPr>
                      <w:rFonts w:hint="eastAsia" w:ascii="宋体" w:hAnsi="宋体" w:eastAsia="宋体" w:cs="宋体"/>
                      <w:bCs/>
                      <w:kern w:val="0"/>
                      <w:szCs w:val="21"/>
                      <w:lang w:val="en-GB"/>
                    </w:rPr>
                    <w:t>⑴</w:t>
                  </w:r>
                  <w:r>
                    <w:rPr>
                      <w:rFonts w:hint="eastAsia" w:ascii="宋体" w:hAnsi="宋体" w:cs="宋体"/>
                      <w:bCs/>
                      <w:kern w:val="0"/>
                      <w:szCs w:val="21"/>
                      <w:lang w:val="en-GB"/>
                    </w:rPr>
                    <w:t>应急预案全面、科学、合理、可行，应对措施详细，响应时间快得15分。</w:t>
                  </w:r>
                  <w:r>
                    <w:rPr>
                      <w:rFonts w:hint="eastAsia" w:ascii="宋体" w:hAnsi="宋体" w:eastAsia="宋体" w:cs="宋体"/>
                      <w:bCs/>
                      <w:kern w:val="0"/>
                      <w:szCs w:val="21"/>
                      <w:lang w:val="en-GB"/>
                    </w:rPr>
                    <w:t>⑵</w:t>
                  </w:r>
                  <w:r>
                    <w:rPr>
                      <w:rFonts w:hint="eastAsia" w:ascii="宋体" w:hAnsi="宋体" w:cs="宋体"/>
                      <w:bCs/>
                      <w:kern w:val="0"/>
                      <w:szCs w:val="21"/>
                      <w:lang w:val="en-GB"/>
                    </w:rPr>
                    <w:t>应急预案全面、合理、可行，应对措施详细的，响应时间较快得10分。</w:t>
                  </w:r>
                  <w:r>
                    <w:rPr>
                      <w:rFonts w:hint="eastAsia" w:ascii="宋体" w:hAnsi="宋体" w:eastAsia="宋体" w:cs="宋体"/>
                      <w:bCs/>
                      <w:kern w:val="0"/>
                      <w:szCs w:val="21"/>
                      <w:lang w:val="en-GB"/>
                    </w:rPr>
                    <w:t>⑶</w:t>
                  </w:r>
                  <w:r>
                    <w:rPr>
                      <w:rFonts w:hint="eastAsia" w:ascii="宋体" w:hAnsi="宋体" w:cs="宋体"/>
                      <w:bCs/>
                      <w:kern w:val="0"/>
                      <w:szCs w:val="21"/>
                      <w:lang w:val="en-GB"/>
                    </w:rPr>
                    <w:t>应急预案不够全面、但具有一定合理性、可行性，应对措施一般的，响应时间一般得5分。</w:t>
                  </w:r>
                  <w:r>
                    <w:rPr>
                      <w:rFonts w:hint="eastAsia" w:ascii="宋体" w:hAnsi="宋体" w:eastAsia="宋体" w:cs="宋体"/>
                      <w:bCs/>
                      <w:kern w:val="0"/>
                      <w:szCs w:val="21"/>
                      <w:lang w:val="en-GB"/>
                    </w:rPr>
                    <w:t>⑷</w:t>
                  </w:r>
                  <w:r>
                    <w:rPr>
                      <w:rFonts w:hint="eastAsia" w:ascii="宋体" w:hAnsi="宋体" w:cs="宋体"/>
                      <w:bCs/>
                      <w:kern w:val="0"/>
                      <w:szCs w:val="21"/>
                      <w:lang w:val="en-GB"/>
                    </w:rPr>
                    <w:t>不提供应急方案不得分。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left w:val="single" w:color="000000" w:sz="8" w:space="0"/>
                    <w:bottom w:val="single" w:color="000000" w:sz="8" w:space="0"/>
                    <w:right w:val="single" w:color="000000" w:sz="8" w:space="0"/>
                  </w:tcBorders>
                  <w:vAlign w:val="center"/>
                </w:tcPr>
                <w:p>
                  <w:pPr>
                    <w:rPr>
                      <w:rFonts w:ascii="宋体" w:hAnsi="宋体" w:cs="宋体"/>
                      <w:szCs w:val="21"/>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1878" w:type="dxa"/>
                  <w:gridSpan w:val="2"/>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cs="宋体"/>
                      <w:bCs/>
                      <w:kern w:val="0"/>
                      <w:szCs w:val="21"/>
                      <w:lang w:val="en-GB"/>
                    </w:rPr>
                  </w:pPr>
                  <w:r>
                    <w:rPr>
                      <w:rFonts w:hint="eastAsia" w:ascii="宋体" w:hAnsi="宋体" w:cs="宋体"/>
                      <w:bCs/>
                      <w:kern w:val="0"/>
                      <w:szCs w:val="21"/>
                      <w:lang w:val="en-GB"/>
                    </w:rPr>
                    <w:t>售后服务情况及其它优惠</w:t>
                  </w:r>
                </w:p>
                <w:p>
                  <w:pPr>
                    <w:jc w:val="center"/>
                    <w:rPr>
                      <w:rFonts w:hint="eastAsia" w:ascii="宋体" w:hAnsi="宋体" w:cs="宋体"/>
                      <w:bCs/>
                      <w:kern w:val="0"/>
                      <w:szCs w:val="21"/>
                      <w:lang w:val="en-GB"/>
                    </w:rPr>
                  </w:pPr>
                </w:p>
              </w:tc>
              <w:tc>
                <w:tcPr>
                  <w:tcW w:w="843" w:type="dxa"/>
                  <w:tcBorders>
                    <w:top w:val="single" w:color="000000" w:sz="8" w:space="0"/>
                    <w:left w:val="single" w:color="000000" w:sz="8" w:space="0"/>
                    <w:bottom w:val="single" w:color="000000" w:sz="8" w:space="0"/>
                    <w:right w:val="single" w:color="000000" w:sz="8" w:space="0"/>
                  </w:tcBorders>
                  <w:vAlign w:val="center"/>
                </w:tcPr>
                <w:p>
                  <w:pPr>
                    <w:jc w:val="center"/>
                    <w:rPr>
                      <w:rFonts w:hint="default" w:ascii="宋体" w:hAnsi="宋体" w:cs="宋体"/>
                      <w:szCs w:val="21"/>
                      <w:lang w:val="en-US" w:eastAsia="zh-CN"/>
                    </w:rPr>
                  </w:pPr>
                  <w:r>
                    <w:rPr>
                      <w:rFonts w:hint="eastAsia" w:ascii="宋体" w:hAnsi="宋体" w:cs="宋体"/>
                      <w:szCs w:val="21"/>
                      <w:lang w:val="en-US" w:eastAsia="zh-CN"/>
                    </w:rPr>
                    <w:t>5</w:t>
                  </w:r>
                </w:p>
              </w:tc>
              <w:tc>
                <w:tcPr>
                  <w:tcW w:w="4804" w:type="dxa"/>
                  <w:tcBorders>
                    <w:top w:val="single" w:color="000000" w:sz="8" w:space="0"/>
                    <w:left w:val="single" w:color="000000" w:sz="8" w:space="0"/>
                    <w:bottom w:val="single" w:color="000000" w:sz="8" w:space="0"/>
                    <w:right w:val="single" w:color="000000" w:sz="8" w:space="0"/>
                  </w:tcBorders>
                </w:tcPr>
                <w:p>
                  <w:pPr>
                    <w:jc w:val="left"/>
                    <w:rPr>
                      <w:rFonts w:hint="eastAsia" w:ascii="宋体" w:hAnsi="宋体" w:cs="宋体"/>
                      <w:bCs/>
                      <w:kern w:val="0"/>
                      <w:szCs w:val="21"/>
                      <w:lang w:val="en-GB"/>
                    </w:rPr>
                  </w:pPr>
                  <w:r>
                    <w:rPr>
                      <w:rFonts w:hint="eastAsia" w:ascii="宋体" w:hAnsi="宋体" w:cs="宋体"/>
                      <w:bCs/>
                      <w:kern w:val="0"/>
                      <w:szCs w:val="21"/>
                      <w:lang w:val="en-GB"/>
                    </w:rPr>
                    <w:t>包括售后服务体系和其他优惠的，</w:t>
                  </w:r>
                </w:p>
                <w:p>
                  <w:pPr>
                    <w:jc w:val="left"/>
                    <w:rPr>
                      <w:rFonts w:hint="eastAsia" w:ascii="宋体" w:hAnsi="宋体" w:cs="宋体"/>
                      <w:bCs/>
                      <w:kern w:val="0"/>
                      <w:szCs w:val="21"/>
                      <w:lang w:val="en-GB"/>
                    </w:rPr>
                  </w:pPr>
                  <w:r>
                    <w:rPr>
                      <w:rFonts w:hint="eastAsia" w:ascii="宋体" w:hAnsi="宋体" w:eastAsia="宋体" w:cs="宋体"/>
                      <w:bCs/>
                      <w:kern w:val="0"/>
                      <w:szCs w:val="21"/>
                      <w:lang w:val="en-GB"/>
                    </w:rPr>
                    <w:t>⑴</w:t>
                  </w:r>
                  <w:r>
                    <w:rPr>
                      <w:rFonts w:hint="eastAsia" w:ascii="宋体" w:hAnsi="宋体" w:cs="宋体"/>
                      <w:bCs/>
                      <w:kern w:val="0"/>
                      <w:szCs w:val="21"/>
                      <w:lang w:val="en-GB"/>
                    </w:rPr>
                    <w:t>优（售后服务体系完善，承诺质保时间且超过质保时间3年以上，提供优惠条件多）得5分。（灭火器、防烟面罩等耗材除外）</w:t>
                  </w:r>
                </w:p>
                <w:p>
                  <w:pPr>
                    <w:jc w:val="left"/>
                    <w:rPr>
                      <w:rFonts w:hint="eastAsia" w:ascii="宋体" w:hAnsi="宋体" w:cs="宋体"/>
                      <w:bCs/>
                      <w:kern w:val="0"/>
                      <w:szCs w:val="21"/>
                      <w:lang w:val="en-GB"/>
                    </w:rPr>
                  </w:pPr>
                  <w:r>
                    <w:rPr>
                      <w:rFonts w:hint="eastAsia" w:ascii="宋体" w:hAnsi="宋体" w:eastAsia="宋体" w:cs="宋体"/>
                      <w:bCs/>
                      <w:kern w:val="0"/>
                      <w:szCs w:val="21"/>
                      <w:lang w:val="en-GB"/>
                    </w:rPr>
                    <w:t>⑵</w:t>
                  </w:r>
                  <w:r>
                    <w:rPr>
                      <w:rFonts w:hint="eastAsia" w:ascii="宋体" w:hAnsi="宋体" w:cs="宋体"/>
                      <w:bCs/>
                      <w:kern w:val="0"/>
                      <w:szCs w:val="21"/>
                      <w:lang w:val="en-GB"/>
                    </w:rPr>
                    <w:t>良（售后服务体系基本完善，承诺质保时间且超过质保时间2年以上，提供优惠条件效多）得3分。（灭火器、防烟面罩等耗材除外）</w:t>
                  </w:r>
                </w:p>
                <w:p>
                  <w:pPr>
                    <w:jc w:val="left"/>
                    <w:rPr>
                      <w:rFonts w:hint="eastAsia" w:ascii="宋体" w:hAnsi="宋体" w:cs="宋体"/>
                      <w:bCs/>
                      <w:kern w:val="0"/>
                      <w:szCs w:val="21"/>
                      <w:lang w:val="en-GB"/>
                    </w:rPr>
                  </w:pPr>
                  <w:r>
                    <w:rPr>
                      <w:rFonts w:hint="eastAsia" w:ascii="宋体" w:hAnsi="宋体" w:eastAsia="宋体" w:cs="宋体"/>
                      <w:bCs/>
                      <w:kern w:val="0"/>
                      <w:szCs w:val="21"/>
                      <w:lang w:val="en-GB"/>
                    </w:rPr>
                    <w:t>⑵</w:t>
                  </w:r>
                  <w:r>
                    <w:rPr>
                      <w:rFonts w:hint="eastAsia" w:ascii="宋体" w:hAnsi="宋体" w:cs="宋体"/>
                      <w:bCs/>
                      <w:kern w:val="0"/>
                      <w:szCs w:val="21"/>
                      <w:lang w:val="en-GB"/>
                    </w:rPr>
                    <w:t>一般（售后服务体系一般，在质保时间内，提供优惠条件效多）得1分。（灭火器、防烟面罩等耗材除外）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3</w:t>
                  </w:r>
                </w:p>
              </w:tc>
              <w:tc>
                <w:tcPr>
                  <w:tcW w:w="3401" w:type="dxa"/>
                  <w:gridSpan w:val="4"/>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b/>
                      <w:bCs/>
                      <w:szCs w:val="21"/>
                    </w:rPr>
                  </w:pPr>
                  <w:r>
                    <w:rPr>
                      <w:rFonts w:hint="eastAsia" w:ascii="宋体" w:hAnsi="宋体" w:cs="宋体"/>
                      <w:b/>
                      <w:bCs/>
                      <w:szCs w:val="21"/>
                    </w:rPr>
                    <w:t>商务评议指标部分</w:t>
                  </w:r>
                </w:p>
              </w:tc>
              <w:tc>
                <w:tcPr>
                  <w:tcW w:w="4804" w:type="dxa"/>
                  <w:tcBorders>
                    <w:top w:val="single" w:color="000000" w:sz="8" w:space="0"/>
                    <w:left w:val="single" w:color="000000" w:sz="8" w:space="0"/>
                    <w:bottom w:val="single" w:color="000000" w:sz="8" w:space="0"/>
                    <w:right w:val="single" w:color="000000" w:sz="8" w:space="0"/>
                  </w:tcBorders>
                </w:tcPr>
                <w:p>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shd w:val="clear" w:color="auto" w:fill="E6EFFA"/>
                  <w:vAlign w:val="center"/>
                </w:tcPr>
                <w:p>
                  <w:pPr>
                    <w:rPr>
                      <w:rFonts w:ascii="宋体" w:hAnsi="宋体" w:cs="宋体"/>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rFonts w:hint="eastAsia" w:ascii="宋体" w:hAnsi="宋体" w:cs="宋体"/>
                      <w:szCs w:val="21"/>
                    </w:rPr>
                    <w:t>序号</w:t>
                  </w:r>
                </w:p>
              </w:tc>
              <w:tc>
                <w:tcPr>
                  <w:tcW w:w="1878" w:type="dxa"/>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rFonts w:hint="eastAsia" w:ascii="宋体" w:hAnsi="宋体" w:cs="宋体"/>
                      <w:szCs w:val="21"/>
                    </w:rPr>
                    <w:t>评分因素</w:t>
                  </w:r>
                </w:p>
              </w:tc>
              <w:tc>
                <w:tcPr>
                  <w:tcW w:w="843"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rFonts w:hint="eastAsia" w:ascii="宋体" w:hAnsi="宋体" w:cs="宋体"/>
                      <w:szCs w:val="21"/>
                    </w:rPr>
                    <w:t>权重</w:t>
                  </w:r>
                </w:p>
              </w:tc>
              <w:tc>
                <w:tcPr>
                  <w:tcW w:w="4804"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ascii="宋体" w:hAnsi="宋体" w:cs="宋体"/>
                      <w:szCs w:val="21"/>
                    </w:rPr>
                  </w:pPr>
                  <w:r>
                    <w:rPr>
                      <w:rFonts w:hint="eastAsia" w:ascii="宋体" w:hAnsi="宋体" w:cs="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80" w:type="dxa"/>
                  <w:vMerge w:val="continue"/>
                  <w:tcBorders>
                    <w:left w:val="single" w:color="000000" w:sz="8" w:space="0"/>
                    <w:right w:val="single" w:color="000000" w:sz="8" w:space="0"/>
                  </w:tcBorders>
                  <w:vAlign w:val="center"/>
                </w:tcPr>
                <w:p>
                  <w:pPr>
                    <w:rPr>
                      <w:rFonts w:ascii="宋体" w:hAnsi="宋体" w:cs="宋体"/>
                      <w:szCs w:val="21"/>
                    </w:rPr>
                  </w:pPr>
                </w:p>
              </w:tc>
              <w:tc>
                <w:tcPr>
                  <w:tcW w:w="693" w:type="dxa"/>
                  <w:gridSpan w:val="2"/>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1</w:t>
                  </w:r>
                </w:p>
              </w:tc>
              <w:tc>
                <w:tcPr>
                  <w:tcW w:w="1865" w:type="dxa"/>
                  <w:tcBorders>
                    <w:top w:val="single" w:color="000000" w:sz="8" w:space="0"/>
                    <w:left w:val="single" w:color="000000" w:sz="8" w:space="0"/>
                    <w:bottom w:val="single" w:color="000000" w:sz="8" w:space="0"/>
                    <w:right w:val="single" w:color="000000" w:sz="8" w:space="0"/>
                  </w:tcBorders>
                  <w:vAlign w:val="center"/>
                </w:tcPr>
                <w:p>
                  <w:pPr>
                    <w:ind w:left="105" w:leftChars="50"/>
                    <w:rPr>
                      <w:rFonts w:ascii="宋体" w:hAnsi="宋体" w:cs="宋体"/>
                      <w:szCs w:val="21"/>
                    </w:rPr>
                  </w:pPr>
                  <w:r>
                    <w:rPr>
                      <w:rFonts w:hint="eastAsia" w:ascii="宋体" w:hAnsi="宋体" w:cs="宋体"/>
                      <w:bCs/>
                      <w:kern w:val="0"/>
                      <w:szCs w:val="21"/>
                      <w:lang w:val="en-GB"/>
                    </w:rPr>
                    <w:t>企业资质、认证情况</w:t>
                  </w:r>
                </w:p>
              </w:tc>
              <w:tc>
                <w:tcPr>
                  <w:tcW w:w="843" w:type="dxa"/>
                  <w:tcBorders>
                    <w:top w:val="single" w:color="000000" w:sz="8" w:space="0"/>
                    <w:left w:val="single" w:color="000000" w:sz="8" w:space="0"/>
                    <w:bottom w:val="single" w:color="000000" w:sz="8" w:space="0"/>
                    <w:right w:val="single" w:color="000000" w:sz="8" w:space="0"/>
                  </w:tcBorders>
                  <w:vAlign w:val="center"/>
                </w:tcPr>
                <w:p>
                  <w:pPr>
                    <w:ind w:left="105" w:leftChars="50"/>
                    <w:rPr>
                      <w:rFonts w:hint="default" w:ascii="宋体" w:hAnsi="宋体" w:eastAsia="宋体" w:cs="宋体"/>
                      <w:szCs w:val="21"/>
                      <w:lang w:val="en-US" w:eastAsia="zh-CN"/>
                    </w:rPr>
                  </w:pPr>
                  <w:r>
                    <w:rPr>
                      <w:rFonts w:hint="eastAsia" w:ascii="宋体" w:hAnsi="宋体" w:cs="宋体"/>
                      <w:szCs w:val="21"/>
                      <w:lang w:val="en-US" w:eastAsia="zh-CN"/>
                    </w:rPr>
                    <w:t>15</w:t>
                  </w:r>
                </w:p>
              </w:tc>
              <w:tc>
                <w:tcPr>
                  <w:tcW w:w="4804" w:type="dxa"/>
                  <w:tcBorders>
                    <w:top w:val="single" w:color="000000" w:sz="8" w:space="0"/>
                    <w:left w:val="single" w:color="000000" w:sz="8" w:space="0"/>
                    <w:bottom w:val="single" w:color="000000" w:sz="8" w:space="0"/>
                    <w:right w:val="single" w:color="000000" w:sz="8" w:space="0"/>
                  </w:tcBorders>
                </w:tcPr>
                <w:p>
                  <w:pPr>
                    <w:ind w:left="105" w:leftChars="50"/>
                    <w:rPr>
                      <w:rFonts w:hint="eastAsia" w:ascii="宋体" w:hAnsi="宋体" w:cs="宋体"/>
                      <w:bCs/>
                      <w:kern w:val="0"/>
                      <w:szCs w:val="21"/>
                      <w:lang w:val="en-GB"/>
                    </w:rPr>
                  </w:pPr>
                  <w:r>
                    <w:rPr>
                      <w:rFonts w:hint="eastAsia" w:ascii="宋体" w:hAnsi="宋体" w:cs="宋体"/>
                      <w:bCs/>
                      <w:kern w:val="0"/>
                      <w:szCs w:val="21"/>
                      <w:lang w:val="en-GB"/>
                    </w:rPr>
                    <w:t>投标人具有有效的：</w:t>
                  </w:r>
                </w:p>
                <w:p>
                  <w:pPr>
                    <w:ind w:left="105" w:leftChars="50"/>
                    <w:rPr>
                      <w:rFonts w:hint="eastAsia" w:ascii="宋体" w:hAnsi="宋体" w:cs="宋体"/>
                      <w:bCs/>
                      <w:kern w:val="0"/>
                      <w:szCs w:val="21"/>
                      <w:lang w:val="en-GB"/>
                    </w:rPr>
                  </w:pPr>
                  <w:r>
                    <w:rPr>
                      <w:rFonts w:hint="eastAsia" w:ascii="宋体" w:hAnsi="宋体" w:cs="宋体"/>
                      <w:bCs/>
                      <w:kern w:val="0"/>
                      <w:szCs w:val="21"/>
                      <w:lang w:val="en-GB"/>
                    </w:rPr>
                    <w:t>具有省住房和建设城乡建设厅颁发的消防设施工程专业承包一级资质证书得5分，二级的2分，没有不得分。</w:t>
                  </w:r>
                </w:p>
                <w:p>
                  <w:pPr>
                    <w:ind w:left="105" w:leftChars="50"/>
                    <w:rPr>
                      <w:rFonts w:hint="eastAsia" w:ascii="宋体" w:hAnsi="宋体" w:cs="宋体"/>
                      <w:bCs/>
                      <w:kern w:val="0"/>
                      <w:szCs w:val="21"/>
                      <w:lang w:val="en-GB"/>
                    </w:rPr>
                  </w:pPr>
                  <w:r>
                    <w:rPr>
                      <w:rFonts w:hint="eastAsia" w:ascii="宋体" w:hAnsi="宋体" w:cs="宋体"/>
                      <w:bCs/>
                      <w:kern w:val="0"/>
                      <w:szCs w:val="21"/>
                      <w:lang w:val="en-GB"/>
                    </w:rPr>
                    <w:t>具有省住房和建设城乡建设厅颁发的安全生产许可证证书，得2分。</w:t>
                  </w:r>
                </w:p>
                <w:p>
                  <w:pPr>
                    <w:ind w:left="105" w:leftChars="50"/>
                    <w:rPr>
                      <w:rFonts w:hint="eastAsia" w:ascii="宋体" w:hAnsi="宋体" w:cs="宋体"/>
                      <w:bCs/>
                      <w:kern w:val="0"/>
                      <w:szCs w:val="21"/>
                      <w:lang w:val="en-GB"/>
                    </w:rPr>
                  </w:pPr>
                  <w:r>
                    <w:rPr>
                      <w:rFonts w:hint="eastAsia" w:ascii="宋体" w:hAnsi="宋体" w:cs="宋体"/>
                      <w:bCs/>
                      <w:kern w:val="0"/>
                      <w:szCs w:val="21"/>
                      <w:lang w:val="en-GB"/>
                    </w:rPr>
                    <w:t>具有省住房和建设城乡建设厅颁发的建筑机电安装工程专业承包叁级或以上资质证书，得5分。</w:t>
                  </w:r>
                </w:p>
                <w:p>
                  <w:pPr>
                    <w:ind w:left="105" w:leftChars="50"/>
                    <w:rPr>
                      <w:rFonts w:hint="eastAsia" w:ascii="宋体" w:hAnsi="宋体" w:cs="宋体"/>
                      <w:bCs/>
                      <w:kern w:val="0"/>
                      <w:szCs w:val="21"/>
                      <w:lang w:val="en-GB"/>
                    </w:rPr>
                  </w:pPr>
                  <w:r>
                    <w:rPr>
                      <w:rFonts w:hint="eastAsia" w:ascii="宋体" w:hAnsi="宋体" w:cs="宋体"/>
                      <w:bCs/>
                      <w:kern w:val="0"/>
                      <w:szCs w:val="21"/>
                      <w:lang w:val="en-GB"/>
                    </w:rPr>
                    <w:t>具有质量管理体系认证证书，得1分。</w:t>
                  </w:r>
                </w:p>
                <w:p>
                  <w:pPr>
                    <w:ind w:left="105" w:leftChars="50"/>
                    <w:rPr>
                      <w:rFonts w:hint="eastAsia" w:ascii="宋体" w:hAnsi="宋体" w:cs="宋体"/>
                      <w:bCs/>
                      <w:kern w:val="0"/>
                      <w:szCs w:val="21"/>
                      <w:lang w:val="en-GB"/>
                    </w:rPr>
                  </w:pPr>
                  <w:r>
                    <w:rPr>
                      <w:rFonts w:hint="eastAsia" w:ascii="宋体" w:hAnsi="宋体" w:cs="宋体"/>
                      <w:bCs/>
                      <w:kern w:val="0"/>
                      <w:szCs w:val="21"/>
                      <w:lang w:val="en-GB"/>
                    </w:rPr>
                    <w:t>具有职业健康安全管理体系认证证书，得1分。</w:t>
                  </w:r>
                </w:p>
                <w:p>
                  <w:pPr>
                    <w:ind w:left="105" w:leftChars="50"/>
                    <w:rPr>
                      <w:rFonts w:hint="eastAsia" w:ascii="宋体" w:hAnsi="宋体" w:cs="宋体"/>
                      <w:bCs/>
                      <w:kern w:val="0"/>
                      <w:szCs w:val="21"/>
                      <w:lang w:val="en-GB"/>
                    </w:rPr>
                  </w:pPr>
                  <w:r>
                    <w:rPr>
                      <w:rFonts w:hint="eastAsia" w:ascii="宋体" w:hAnsi="宋体" w:cs="宋体"/>
                      <w:bCs/>
                      <w:kern w:val="0"/>
                      <w:szCs w:val="21"/>
                      <w:lang w:val="en-GB"/>
                    </w:rPr>
                    <w:t>6）具有环境管理体系认证证书，得1分。</w:t>
                  </w:r>
                </w:p>
                <w:p>
                  <w:pPr>
                    <w:ind w:left="105" w:leftChars="50"/>
                    <w:rPr>
                      <w:rFonts w:ascii="宋体" w:hAnsi="宋体" w:cs="宋体"/>
                      <w:kern w:val="0"/>
                      <w:szCs w:val="21"/>
                    </w:rPr>
                  </w:pPr>
                  <w:r>
                    <w:rPr>
                      <w:rFonts w:hint="eastAsia" w:ascii="宋体" w:hAnsi="宋体" w:cs="宋体"/>
                      <w:bCs/>
                      <w:kern w:val="0"/>
                      <w:szCs w:val="21"/>
                      <w:lang w:val="en-GB"/>
                    </w:rPr>
                    <w:t>证明材料：需提供有效期内的证书复印件，加盖投标人公章，原件备查。未提供或提供材料不符合要求不得分。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pPr>
                    <w:rPr>
                      <w:rFonts w:ascii="宋体" w:hAnsi="宋体" w:cs="宋体"/>
                      <w:szCs w:val="21"/>
                    </w:rPr>
                  </w:pPr>
                </w:p>
              </w:tc>
              <w:tc>
                <w:tcPr>
                  <w:tcW w:w="693" w:type="dxa"/>
                  <w:gridSpan w:val="2"/>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szCs w:val="21"/>
                    </w:rPr>
                  </w:pPr>
                  <w:r>
                    <w:rPr>
                      <w:rFonts w:hint="eastAsia" w:ascii="宋体" w:hAnsi="宋体" w:cs="宋体"/>
                      <w:szCs w:val="21"/>
                    </w:rPr>
                    <w:t>2</w:t>
                  </w:r>
                </w:p>
              </w:tc>
              <w:tc>
                <w:tcPr>
                  <w:tcW w:w="1865" w:type="dxa"/>
                  <w:tcBorders>
                    <w:top w:val="single" w:color="000000" w:sz="8" w:space="0"/>
                    <w:left w:val="single" w:color="000000" w:sz="8" w:space="0"/>
                    <w:bottom w:val="single" w:color="000000" w:sz="8" w:space="0"/>
                    <w:right w:val="single" w:color="000000" w:sz="8" w:space="0"/>
                  </w:tcBorders>
                  <w:vAlign w:val="center"/>
                </w:tcPr>
                <w:p>
                  <w:pPr>
                    <w:ind w:left="105" w:leftChars="50"/>
                    <w:rPr>
                      <w:rFonts w:ascii="宋体" w:hAnsi="宋体" w:cs="宋体"/>
                      <w:szCs w:val="21"/>
                    </w:rPr>
                  </w:pPr>
                  <w:r>
                    <w:rPr>
                      <w:rFonts w:hint="eastAsia" w:ascii="宋体" w:hAnsi="宋体" w:cs="宋体"/>
                      <w:bCs/>
                      <w:kern w:val="0"/>
                      <w:szCs w:val="21"/>
                      <w:lang w:val="en-GB"/>
                    </w:rPr>
                    <w:t>有效业绩</w:t>
                  </w:r>
                </w:p>
              </w:tc>
              <w:tc>
                <w:tcPr>
                  <w:tcW w:w="843" w:type="dxa"/>
                  <w:tcBorders>
                    <w:top w:val="single" w:color="000000" w:sz="8" w:space="0"/>
                    <w:left w:val="single" w:color="000000" w:sz="8" w:space="0"/>
                    <w:bottom w:val="single" w:color="000000" w:sz="8" w:space="0"/>
                    <w:right w:val="single" w:color="000000" w:sz="8" w:space="0"/>
                  </w:tcBorders>
                  <w:vAlign w:val="center"/>
                </w:tcPr>
                <w:p>
                  <w:pPr>
                    <w:ind w:left="105" w:leftChars="50"/>
                    <w:rPr>
                      <w:rFonts w:hint="eastAsia" w:ascii="宋体" w:hAnsi="宋体" w:eastAsia="宋体" w:cs="宋体"/>
                      <w:szCs w:val="21"/>
                      <w:lang w:eastAsia="zh-CN"/>
                    </w:rPr>
                  </w:pPr>
                  <w:r>
                    <w:rPr>
                      <w:rFonts w:hint="eastAsia" w:ascii="宋体" w:hAnsi="宋体" w:cs="宋体"/>
                      <w:szCs w:val="21"/>
                      <w:lang w:val="en-US" w:eastAsia="zh-CN"/>
                    </w:rPr>
                    <w:t>5</w:t>
                  </w:r>
                </w:p>
              </w:tc>
              <w:tc>
                <w:tcPr>
                  <w:tcW w:w="4804" w:type="dxa"/>
                  <w:tcBorders>
                    <w:top w:val="single" w:color="000000" w:sz="8" w:space="0"/>
                    <w:left w:val="single" w:color="000000" w:sz="8" w:space="0"/>
                    <w:bottom w:val="single" w:color="000000" w:sz="8" w:space="0"/>
                    <w:right w:val="single" w:color="000000" w:sz="8" w:space="0"/>
                  </w:tcBorders>
                  <w:vAlign w:val="center"/>
                </w:tcPr>
                <w:p>
                  <w:pPr>
                    <w:ind w:left="105" w:leftChars="50"/>
                    <w:rPr>
                      <w:rFonts w:hint="eastAsia" w:ascii="宋体" w:hAnsi="宋体" w:cs="宋体"/>
                      <w:bCs/>
                      <w:kern w:val="0"/>
                      <w:szCs w:val="21"/>
                      <w:lang w:val="en-GB"/>
                    </w:rPr>
                  </w:pPr>
                  <w:r>
                    <w:rPr>
                      <w:rFonts w:hint="eastAsia" w:ascii="宋体" w:hAnsi="宋体" w:eastAsia="宋体" w:cs="宋体"/>
                      <w:bCs/>
                      <w:kern w:val="0"/>
                      <w:szCs w:val="21"/>
                      <w:lang w:val="en-GB"/>
                    </w:rPr>
                    <w:t>⑴</w:t>
                  </w:r>
                  <w:r>
                    <w:rPr>
                      <w:rFonts w:hint="eastAsia" w:ascii="宋体" w:hAnsi="宋体" w:cs="宋体"/>
                      <w:bCs/>
                      <w:kern w:val="0"/>
                      <w:szCs w:val="21"/>
                      <w:lang w:val="en-GB"/>
                    </w:rPr>
                    <w:t>提供1项有效业绩的，得1分；以此类推，最高不超过5分。不提供或者不能有效证明的，得0分。</w:t>
                  </w:r>
                </w:p>
                <w:p>
                  <w:pPr>
                    <w:ind w:left="105" w:leftChars="50"/>
                    <w:rPr>
                      <w:rFonts w:hint="eastAsia" w:ascii="宋体" w:hAnsi="宋体" w:cs="宋体"/>
                      <w:bCs/>
                      <w:kern w:val="0"/>
                      <w:szCs w:val="21"/>
                      <w:lang w:val="en-GB"/>
                    </w:rPr>
                  </w:pPr>
                  <w:r>
                    <w:rPr>
                      <w:rFonts w:hint="eastAsia" w:ascii="宋体" w:hAnsi="宋体" w:eastAsia="宋体" w:cs="宋体"/>
                      <w:bCs/>
                      <w:kern w:val="0"/>
                      <w:szCs w:val="21"/>
                      <w:lang w:val="en-GB"/>
                    </w:rPr>
                    <w:t>⑵</w:t>
                  </w:r>
                  <w:r>
                    <w:rPr>
                      <w:rFonts w:hint="eastAsia" w:ascii="宋体" w:hAnsi="宋体" w:cs="宋体"/>
                      <w:bCs/>
                      <w:kern w:val="0"/>
                      <w:szCs w:val="21"/>
                      <w:lang w:val="en-GB"/>
                    </w:rPr>
                    <w:t>合同签订时间为20</w:t>
                  </w:r>
                  <w:r>
                    <w:rPr>
                      <w:rFonts w:hint="eastAsia" w:ascii="宋体" w:hAnsi="宋体" w:cs="宋体"/>
                      <w:bCs/>
                      <w:kern w:val="0"/>
                      <w:szCs w:val="21"/>
                      <w:lang w:val="en-US" w:eastAsia="zh-CN"/>
                    </w:rPr>
                    <w:t>21</w:t>
                  </w:r>
                  <w:r>
                    <w:rPr>
                      <w:rFonts w:hint="eastAsia" w:ascii="宋体" w:hAnsi="宋体" w:cs="宋体"/>
                      <w:bCs/>
                      <w:kern w:val="0"/>
                      <w:szCs w:val="21"/>
                      <w:lang w:val="en-GB"/>
                    </w:rPr>
                    <w:t>年6月1日至投标截止时间前。</w:t>
                  </w:r>
                </w:p>
                <w:p>
                  <w:pPr>
                    <w:ind w:left="105" w:leftChars="50"/>
                    <w:rPr>
                      <w:rFonts w:hint="eastAsia" w:ascii="宋体" w:hAnsi="宋体" w:cs="宋体"/>
                      <w:bCs/>
                      <w:kern w:val="0"/>
                      <w:szCs w:val="21"/>
                      <w:lang w:val="en-GB"/>
                    </w:rPr>
                  </w:pPr>
                  <w:r>
                    <w:rPr>
                      <w:rFonts w:hint="eastAsia" w:ascii="宋体" w:hAnsi="宋体" w:cs="宋体"/>
                      <w:bCs/>
                      <w:kern w:val="0"/>
                      <w:szCs w:val="21"/>
                      <w:lang w:val="en-GB"/>
                    </w:rPr>
                    <w:t>证明文件：</w:t>
                  </w:r>
                </w:p>
                <w:p>
                  <w:pPr>
                    <w:ind w:left="105" w:leftChars="50"/>
                    <w:rPr>
                      <w:rFonts w:ascii="宋体" w:hAnsi="宋体" w:cs="宋体"/>
                      <w:szCs w:val="21"/>
                    </w:rPr>
                  </w:pPr>
                  <w:r>
                    <w:rPr>
                      <w:rFonts w:hint="eastAsia" w:ascii="宋体" w:hAnsi="宋体" w:cs="宋体"/>
                      <w:bCs/>
                      <w:kern w:val="0"/>
                      <w:szCs w:val="21"/>
                      <w:lang w:val="en-GB"/>
                    </w:rPr>
                    <w:t>供应商必须同时提供项目合同和验收报告复印件，加盖投标人公章,未提供不得分。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left w:val="single" w:color="000000" w:sz="8" w:space="0"/>
                    <w:right w:val="single" w:color="000000" w:sz="8" w:space="0"/>
                  </w:tcBorders>
                  <w:vAlign w:val="center"/>
                </w:tcPr>
                <w:p>
                  <w:pPr>
                    <w:rPr>
                      <w:rFonts w:ascii="宋体" w:hAnsi="宋体" w:cs="宋体"/>
                      <w:szCs w:val="21"/>
                    </w:rPr>
                  </w:pPr>
                </w:p>
              </w:tc>
              <w:tc>
                <w:tcPr>
                  <w:tcW w:w="693" w:type="dxa"/>
                  <w:gridSpan w:val="2"/>
                  <w:tcBorders>
                    <w:top w:val="single" w:color="000000" w:sz="8" w:space="0"/>
                    <w:left w:val="single" w:color="000000" w:sz="8" w:space="0"/>
                    <w:bottom w:val="single" w:color="000000" w:sz="8" w:space="0"/>
                    <w:right w:val="single" w:color="000000" w:sz="8" w:space="0"/>
                  </w:tcBorders>
                  <w:vAlign w:val="center"/>
                </w:tcPr>
                <w:p>
                  <w:pPr>
                    <w:ind w:left="105" w:leftChars="50"/>
                    <w:rPr>
                      <w:rFonts w:ascii="宋体" w:hAnsi="宋体" w:cs="宋体"/>
                      <w:szCs w:val="21"/>
                    </w:rPr>
                  </w:pPr>
                  <w:r>
                    <w:rPr>
                      <w:rFonts w:hint="eastAsia" w:ascii="宋体" w:hAnsi="宋体" w:cs="宋体"/>
                      <w:szCs w:val="21"/>
                    </w:rPr>
                    <w:t>3</w:t>
                  </w:r>
                </w:p>
              </w:tc>
              <w:tc>
                <w:tcPr>
                  <w:tcW w:w="1865" w:type="dxa"/>
                  <w:tcBorders>
                    <w:top w:val="single" w:color="000000" w:sz="8" w:space="0"/>
                    <w:left w:val="single" w:color="000000" w:sz="8" w:space="0"/>
                    <w:bottom w:val="single" w:color="000000" w:sz="8" w:space="0"/>
                    <w:right w:val="single" w:color="000000" w:sz="8" w:space="0"/>
                  </w:tcBorders>
                  <w:vAlign w:val="center"/>
                </w:tcPr>
                <w:p>
                  <w:pPr>
                    <w:ind w:left="105" w:leftChars="50"/>
                    <w:rPr>
                      <w:rFonts w:ascii="宋体" w:hAnsi="宋体" w:cs="宋体"/>
                      <w:szCs w:val="21"/>
                    </w:rPr>
                  </w:pPr>
                  <w:r>
                    <w:rPr>
                      <w:rFonts w:hint="eastAsia" w:ascii="宋体" w:hAnsi="宋体" w:cs="宋体"/>
                      <w:bCs/>
                      <w:kern w:val="0"/>
                      <w:szCs w:val="21"/>
                      <w:lang w:val="en-GB"/>
                    </w:rPr>
                    <w:t>履约评价</w:t>
                  </w:r>
                </w:p>
              </w:tc>
              <w:tc>
                <w:tcPr>
                  <w:tcW w:w="843" w:type="dxa"/>
                  <w:tcBorders>
                    <w:top w:val="single" w:color="000000" w:sz="8" w:space="0"/>
                    <w:left w:val="single" w:color="000000" w:sz="8" w:space="0"/>
                    <w:bottom w:val="single" w:color="000000" w:sz="8" w:space="0"/>
                    <w:right w:val="single" w:color="000000" w:sz="8" w:space="0"/>
                  </w:tcBorders>
                  <w:vAlign w:val="center"/>
                </w:tcPr>
                <w:p>
                  <w:pPr>
                    <w:ind w:firstLine="210" w:firstLineChars="100"/>
                    <w:rPr>
                      <w:rFonts w:hint="eastAsia" w:ascii="宋体" w:hAnsi="宋体" w:eastAsia="宋体" w:cs="宋体"/>
                      <w:szCs w:val="21"/>
                      <w:lang w:eastAsia="zh-CN"/>
                    </w:rPr>
                  </w:pPr>
                  <w:r>
                    <w:rPr>
                      <w:rFonts w:hint="eastAsia" w:ascii="宋体" w:hAnsi="宋体" w:cs="宋体"/>
                      <w:szCs w:val="21"/>
                      <w:lang w:val="en-US" w:eastAsia="zh-CN"/>
                    </w:rPr>
                    <w:t>5</w:t>
                  </w:r>
                </w:p>
              </w:tc>
              <w:tc>
                <w:tcPr>
                  <w:tcW w:w="4804" w:type="dxa"/>
                  <w:tcBorders>
                    <w:top w:val="single" w:color="000000" w:sz="8" w:space="0"/>
                    <w:left w:val="single" w:color="000000" w:sz="8" w:space="0"/>
                    <w:bottom w:val="single" w:color="000000" w:sz="8" w:space="0"/>
                    <w:right w:val="single" w:color="000000" w:sz="8" w:space="0"/>
                  </w:tcBorders>
                </w:tcPr>
                <w:p>
                  <w:pPr>
                    <w:ind w:left="105" w:leftChars="50"/>
                    <w:rPr>
                      <w:rFonts w:hint="eastAsia" w:ascii="宋体" w:hAnsi="宋体" w:cs="宋体"/>
                      <w:bCs/>
                      <w:kern w:val="0"/>
                      <w:szCs w:val="21"/>
                      <w:lang w:val="en-GB"/>
                    </w:rPr>
                  </w:pPr>
                  <w:r>
                    <w:rPr>
                      <w:rFonts w:hint="eastAsia" w:ascii="宋体" w:hAnsi="宋体" w:cs="宋体"/>
                      <w:bCs/>
                      <w:kern w:val="0"/>
                      <w:szCs w:val="21"/>
                      <w:lang w:val="en-GB"/>
                    </w:rPr>
                    <w:t>供应商在上述“有效业绩”评审项中经评审有效的业绩，能够提供用户出具的履约评价书，且评价为合格或以上的，每份评价书得1分，其他情况得0分；最高得5分。不提供或者不能有效证明的，得0分。</w:t>
                  </w:r>
                </w:p>
                <w:p>
                  <w:pPr>
                    <w:ind w:left="105" w:leftChars="50"/>
                    <w:rPr>
                      <w:rFonts w:hint="eastAsia" w:ascii="宋体" w:hAnsi="宋体" w:cs="宋体"/>
                      <w:bCs/>
                      <w:kern w:val="0"/>
                      <w:szCs w:val="21"/>
                      <w:lang w:val="en-GB"/>
                    </w:rPr>
                  </w:pPr>
                  <w:r>
                    <w:rPr>
                      <w:rFonts w:hint="eastAsia" w:ascii="宋体" w:hAnsi="宋体" w:cs="宋体"/>
                      <w:bCs/>
                      <w:kern w:val="0"/>
                      <w:szCs w:val="21"/>
                      <w:lang w:val="en-GB"/>
                    </w:rPr>
                    <w:t>证明文件：</w:t>
                  </w:r>
                </w:p>
                <w:p>
                  <w:pPr>
                    <w:ind w:left="105" w:leftChars="50"/>
                    <w:rPr>
                      <w:rFonts w:ascii="宋体" w:hAnsi="宋体" w:cs="宋体"/>
                      <w:szCs w:val="21"/>
                    </w:rPr>
                  </w:pPr>
                  <w:r>
                    <w:rPr>
                      <w:rFonts w:hint="eastAsia" w:ascii="宋体" w:hAnsi="宋体" w:cs="宋体"/>
                      <w:bCs/>
                      <w:kern w:val="0"/>
                      <w:szCs w:val="21"/>
                      <w:lang w:val="en-GB"/>
                    </w:rPr>
                    <w:t>须提供用户出具的履约评价书复印件加盖投标人公章，原件备查。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left w:val="single" w:color="000000" w:sz="8" w:space="0"/>
                    <w:right w:val="single" w:color="000000" w:sz="8" w:space="0"/>
                  </w:tcBorders>
                  <w:vAlign w:val="center"/>
                </w:tcPr>
                <w:p>
                  <w:pPr>
                    <w:rPr>
                      <w:rFonts w:ascii="宋体" w:hAnsi="宋体" w:cs="宋体"/>
                      <w:szCs w:val="21"/>
                    </w:rPr>
                  </w:pPr>
                </w:p>
              </w:tc>
              <w:tc>
                <w:tcPr>
                  <w:tcW w:w="693" w:type="dxa"/>
                  <w:gridSpan w:val="2"/>
                  <w:tcBorders>
                    <w:top w:val="single" w:color="000000" w:sz="8" w:space="0"/>
                    <w:left w:val="single" w:color="000000" w:sz="8" w:space="0"/>
                    <w:bottom w:val="single" w:color="000000" w:sz="8" w:space="0"/>
                    <w:right w:val="single" w:color="000000" w:sz="8" w:space="0"/>
                  </w:tcBorders>
                  <w:vAlign w:val="center"/>
                </w:tcPr>
                <w:p>
                  <w:pPr>
                    <w:ind w:left="105" w:leftChars="50"/>
                    <w:rPr>
                      <w:rFonts w:ascii="宋体" w:hAnsi="宋体" w:cs="宋体"/>
                      <w:szCs w:val="21"/>
                    </w:rPr>
                  </w:pPr>
                  <w:r>
                    <w:rPr>
                      <w:rFonts w:hint="eastAsia" w:ascii="宋体" w:hAnsi="宋体" w:cs="宋体"/>
                      <w:szCs w:val="21"/>
                    </w:rPr>
                    <w:t>4</w:t>
                  </w:r>
                </w:p>
              </w:tc>
              <w:tc>
                <w:tcPr>
                  <w:tcW w:w="1865"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宋体" w:hAnsi="宋体" w:cs="宋体"/>
                      <w:szCs w:val="21"/>
                    </w:rPr>
                  </w:pPr>
                  <w:r>
                    <w:rPr>
                      <w:rFonts w:hint="eastAsia" w:ascii="宋体" w:hAnsi="宋体" w:cs="宋体"/>
                      <w:bCs/>
                      <w:kern w:val="0"/>
                      <w:szCs w:val="21"/>
                      <w:lang w:val="en-GB"/>
                    </w:rPr>
                    <w:t>团队成员情况（含项目负责人）</w:t>
                  </w:r>
                </w:p>
              </w:tc>
              <w:tc>
                <w:tcPr>
                  <w:tcW w:w="843"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4804" w:type="dxa"/>
                  <w:tcBorders>
                    <w:top w:val="single" w:color="000000" w:sz="8" w:space="0"/>
                    <w:left w:val="single" w:color="000000" w:sz="8" w:space="0"/>
                    <w:bottom w:val="single" w:color="000000" w:sz="8" w:space="0"/>
                    <w:right w:val="single" w:color="000000" w:sz="8" w:space="0"/>
                  </w:tcBorders>
                </w:tcPr>
                <w:p>
                  <w:pPr>
                    <w:ind w:left="105" w:leftChars="50"/>
                    <w:rPr>
                      <w:rFonts w:hint="eastAsia" w:ascii="宋体" w:hAnsi="宋体" w:cs="宋体"/>
                      <w:bCs/>
                      <w:kern w:val="0"/>
                      <w:szCs w:val="21"/>
                      <w:lang w:val="en-GB"/>
                    </w:rPr>
                  </w:pPr>
                  <w:r>
                    <w:rPr>
                      <w:rFonts w:hint="eastAsia" w:ascii="宋体" w:hAnsi="宋体" w:eastAsia="宋体" w:cs="宋体"/>
                      <w:bCs/>
                      <w:kern w:val="0"/>
                      <w:szCs w:val="21"/>
                      <w:lang w:val="en-GB"/>
                    </w:rPr>
                    <w:t>⑴</w:t>
                  </w:r>
                  <w:r>
                    <w:rPr>
                      <w:rFonts w:hint="eastAsia" w:ascii="宋体" w:hAnsi="宋体" w:cs="宋体"/>
                      <w:bCs/>
                      <w:kern w:val="0"/>
                      <w:szCs w:val="21"/>
                      <w:lang w:val="en-GB"/>
                    </w:rPr>
                    <w:t>项目负责人（仅限1人），具有一级建造师得5分，二级得3分，没有不得分。</w:t>
                  </w:r>
                </w:p>
                <w:p>
                  <w:pPr>
                    <w:ind w:left="105" w:leftChars="50"/>
                    <w:rPr>
                      <w:rFonts w:hint="eastAsia" w:ascii="宋体" w:hAnsi="宋体" w:cs="宋体"/>
                      <w:bCs/>
                      <w:kern w:val="0"/>
                      <w:szCs w:val="21"/>
                      <w:lang w:val="en-GB"/>
                    </w:rPr>
                  </w:pPr>
                  <w:r>
                    <w:rPr>
                      <w:rFonts w:hint="eastAsia" w:ascii="宋体" w:hAnsi="宋体" w:eastAsia="宋体" w:cs="宋体"/>
                      <w:bCs/>
                      <w:kern w:val="0"/>
                      <w:szCs w:val="21"/>
                      <w:lang w:val="en-GB"/>
                    </w:rPr>
                    <w:t>⑵</w:t>
                  </w:r>
                  <w:r>
                    <w:rPr>
                      <w:rFonts w:hint="eastAsia" w:ascii="宋体" w:hAnsi="宋体" w:cs="宋体"/>
                      <w:bCs/>
                      <w:kern w:val="0"/>
                      <w:szCs w:val="21"/>
                      <w:lang w:val="en-GB"/>
                    </w:rPr>
                    <w:t>团队成员中具有注册消防工程师的5分，没有不得分。</w:t>
                  </w:r>
                </w:p>
                <w:p>
                  <w:pPr>
                    <w:ind w:left="105" w:leftChars="50"/>
                    <w:rPr>
                      <w:rFonts w:ascii="宋体" w:hAnsi="宋体" w:cs="宋体"/>
                      <w:b/>
                      <w:szCs w:val="21"/>
                    </w:rPr>
                  </w:pPr>
                  <w:r>
                    <w:rPr>
                      <w:rFonts w:hint="eastAsia" w:ascii="宋体" w:hAnsi="宋体" w:eastAsia="宋体" w:cs="宋体"/>
                      <w:bCs/>
                      <w:kern w:val="0"/>
                      <w:szCs w:val="21"/>
                      <w:lang w:val="en-GB"/>
                    </w:rPr>
                    <w:t>⑶</w:t>
                  </w:r>
                  <w:r>
                    <w:rPr>
                      <w:rFonts w:hint="eastAsia" w:ascii="宋体" w:hAnsi="宋体" w:cs="宋体"/>
                      <w:bCs/>
                      <w:kern w:val="0"/>
                      <w:szCs w:val="21"/>
                      <w:lang w:val="en-GB"/>
                    </w:rPr>
                    <w:t>团队成员中具有中级（四级）或高级的消防设施操作员（建筑物消防员）每人得1分，最高得5分，没有不得分。证明文件：要求同时提供团队成员（含项目负责人）投标截止日前三个月的社保资料（社保资料网页或窗口打印资料均可、未提供的不予计分）及人员的相关证书复印件。并加盖投标人公章，原件备查，未提供的不予计分，工作经验以取得资格证书的日期起算。</w:t>
                  </w:r>
                </w:p>
              </w:tc>
            </w:tr>
            <w:bookmarkEnd w:id="2"/>
          </w:tbl>
          <w:p>
            <w:pPr>
              <w:pStyle w:val="38"/>
              <w:widowControl/>
              <w:jc w:val="center"/>
              <w:outlineLvl w:val="1"/>
              <w:rPr>
                <w:rFonts w:ascii="宋体" w:hAnsi="宋体"/>
                <w:color w:val="000000" w:themeColor="text1"/>
                <w:sz w:val="20"/>
                <w:szCs w:val="20"/>
                <w14:textFill>
                  <w14:solidFill>
                    <w14:schemeClr w14:val="tx1"/>
                  </w14:solidFill>
                </w14:textFill>
              </w:rPr>
            </w:pPr>
          </w:p>
        </w:tc>
      </w:tr>
    </w:tbl>
    <w:p>
      <w:pPr>
        <w:rPr>
          <w:vanish/>
          <w:sz w:val="24"/>
        </w:rPr>
      </w:pPr>
    </w:p>
    <w:p>
      <w:pPr>
        <w:jc w:val="center"/>
        <w:sectPr>
          <w:pgSz w:w="11907" w:h="16840"/>
          <w:pgMar w:top="1440" w:right="1080" w:bottom="1440" w:left="1080" w:header="851" w:footer="992" w:gutter="0"/>
          <w:cols w:space="720" w:num="1"/>
          <w:titlePg/>
          <w:docGrid w:linePitch="462" w:charSpace="0"/>
        </w:sectPr>
      </w:pPr>
    </w:p>
    <w:p>
      <w:pPr>
        <w:jc w:val="center"/>
      </w:pPr>
    </w:p>
    <w:p>
      <w:pPr>
        <w:jc w:val="center"/>
        <w:rPr>
          <w:b/>
          <w:sz w:val="84"/>
          <w:szCs w:val="84"/>
        </w:rPr>
      </w:pPr>
    </w:p>
    <w:p>
      <w:pPr>
        <w:jc w:val="center"/>
        <w:rPr>
          <w:b/>
          <w:sz w:val="84"/>
          <w:szCs w:val="84"/>
        </w:rPr>
      </w:pPr>
    </w:p>
    <w:p>
      <w:pPr>
        <w:jc w:val="center"/>
        <w:rPr>
          <w:b/>
          <w:sz w:val="120"/>
          <w:szCs w:val="120"/>
        </w:rPr>
      </w:pPr>
    </w:p>
    <w:p>
      <w:pPr>
        <w:jc w:val="center"/>
        <w:rPr>
          <w:b/>
          <w:sz w:val="120"/>
          <w:szCs w:val="120"/>
        </w:rPr>
      </w:pPr>
      <w:r>
        <w:rPr>
          <w:rFonts w:hint="eastAsia"/>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（服务类）</w:t>
      </w:r>
    </w:p>
    <w:p/>
    <w:p/>
    <w:p/>
    <w:p/>
    <w:p/>
    <w:p/>
    <w:p/>
    <w:p>
      <w:pPr>
        <w:pStyle w:val="18"/>
      </w:pPr>
    </w:p>
    <w:p>
      <w:pPr>
        <w:pStyle w:val="18"/>
      </w:pPr>
    </w:p>
    <w:p>
      <w:pPr>
        <w:pStyle w:val="18"/>
      </w:pPr>
    </w:p>
    <w:p>
      <w:pPr>
        <w:pStyle w:val="18"/>
      </w:pPr>
    </w:p>
    <w:p>
      <w:pPr>
        <w:pStyle w:val="18"/>
      </w:pPr>
    </w:p>
    <w:p>
      <w:pPr>
        <w:pStyle w:val="18"/>
      </w:pPr>
    </w:p>
    <w:p>
      <w:pPr>
        <w:pStyle w:val="18"/>
      </w:pPr>
    </w:p>
    <w:p/>
    <w:p/>
    <w:p>
      <w:pPr>
        <w:jc w:val="center"/>
        <w:rPr>
          <w:rFonts w:hint="eastAsia"/>
          <w:b/>
          <w:sz w:val="52"/>
          <w:szCs w:val="52"/>
          <w:lang w:eastAsia="zh-CN"/>
        </w:rPr>
      </w:pPr>
      <w:r>
        <w:rPr>
          <w:rFonts w:hint="eastAsia"/>
          <w:b/>
          <w:sz w:val="52"/>
          <w:szCs w:val="52"/>
          <w:lang w:eastAsia="zh-CN"/>
        </w:rPr>
        <w:t>深圳市福田区第二人民医院</w:t>
      </w:r>
    </w:p>
    <w:p>
      <w:pPr>
        <w:pStyle w:val="53"/>
        <w:ind w:left="0" w:leftChars="0" w:firstLine="0" w:firstLineChars="0"/>
        <w:jc w:val="center"/>
        <w:rPr>
          <w:rFonts w:hint="default"/>
          <w:sz w:val="52"/>
          <w:szCs w:val="52"/>
          <w:lang w:val="en-US" w:eastAsia="zh-CN"/>
        </w:rPr>
      </w:pPr>
      <w:r>
        <w:rPr>
          <w:rFonts w:hint="eastAsia"/>
          <w:sz w:val="52"/>
          <w:szCs w:val="52"/>
          <w:lang w:val="en-US" w:eastAsia="zh-CN"/>
        </w:rPr>
        <w:t>（2024年）</w:t>
      </w:r>
    </w:p>
    <w:p>
      <w:pPr>
        <w:jc w:val="center"/>
        <w:rPr>
          <w:rFonts w:ascii="宋体" w:hAnsi="宋体" w:cs="宋体"/>
          <w:b/>
          <w:bCs/>
          <w:kern w:val="44"/>
          <w:sz w:val="36"/>
          <w:szCs w:val="52"/>
        </w:rPr>
      </w:pPr>
      <w:bookmarkStart w:id="3" w:name="_Hlk73564573"/>
      <w:r>
        <w:rPr>
          <w:rFonts w:hint="eastAsia" w:ascii="宋体" w:hAnsi="宋体" w:cs="宋体"/>
          <w:b/>
          <w:bCs/>
          <w:kern w:val="44"/>
          <w:sz w:val="36"/>
          <w:szCs w:val="52"/>
        </w:rPr>
        <w:t>警示条款</w:t>
      </w:r>
    </w:p>
    <w:bookmarkEnd w:id="3"/>
    <w:p>
      <w:pPr>
        <w:spacing w:line="360" w:lineRule="auto"/>
        <w:ind w:firstLine="420" w:firstLineChars="200"/>
        <w:rPr>
          <w:rFonts w:ascii="宋体" w:hAnsi="宋体"/>
          <w:szCs w:val="21"/>
        </w:rPr>
      </w:pPr>
      <w:r>
        <w:rPr>
          <w:rFonts w:hint="eastAsia" w:ascii="宋体" w:hAnsi="宋体"/>
          <w:szCs w:val="21"/>
        </w:rPr>
        <w:t>一、</w:t>
      </w:r>
      <w:r>
        <w:rPr>
          <w:rFonts w:hint="eastAsia" w:ascii="宋体" w:hAnsi="宋体"/>
          <w:b/>
          <w:bCs/>
          <w:szCs w:val="21"/>
        </w:rPr>
        <w:t>《深圳经济特区政府采购条例》第五十七条</w:t>
      </w:r>
      <w:r>
        <w:rPr>
          <w:rFonts w:hint="eastAsia" w:ascii="宋体" w:hAnsi="宋体"/>
          <w:szCs w:val="21"/>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360" w:lineRule="auto"/>
        <w:ind w:firstLine="420" w:firstLineChars="200"/>
        <w:rPr>
          <w:rFonts w:ascii="宋体" w:hAnsi="宋体"/>
          <w:szCs w:val="21"/>
        </w:rPr>
      </w:pPr>
      <w:r>
        <w:rPr>
          <w:rFonts w:hint="eastAsia" w:ascii="宋体" w:hAnsi="宋体"/>
          <w:szCs w:val="21"/>
        </w:rPr>
        <w:t>（一）在采购活动中应当回避而未回避的；</w:t>
      </w:r>
    </w:p>
    <w:p>
      <w:pPr>
        <w:spacing w:line="360" w:lineRule="auto"/>
        <w:ind w:firstLine="420" w:firstLineChars="200"/>
        <w:rPr>
          <w:rFonts w:ascii="宋体" w:hAnsi="宋体"/>
          <w:szCs w:val="21"/>
        </w:rPr>
      </w:pPr>
      <w:r>
        <w:rPr>
          <w:rFonts w:hint="eastAsia" w:ascii="宋体" w:hAnsi="宋体"/>
          <w:szCs w:val="21"/>
        </w:rPr>
        <w:t>（二）未按本条例规定签订、履行采购合同，造成严重后果的；</w:t>
      </w:r>
    </w:p>
    <w:p>
      <w:pPr>
        <w:spacing w:line="360" w:lineRule="auto"/>
        <w:ind w:firstLine="420" w:firstLineChars="200"/>
        <w:rPr>
          <w:rFonts w:ascii="宋体" w:hAnsi="宋体"/>
          <w:szCs w:val="21"/>
        </w:rPr>
      </w:pPr>
      <w:r>
        <w:rPr>
          <w:rFonts w:hint="eastAsia" w:ascii="宋体" w:hAnsi="宋体"/>
          <w:szCs w:val="21"/>
        </w:rPr>
        <w:t>（三）隐瞒真实情况，提供虚假资料的；</w:t>
      </w:r>
    </w:p>
    <w:p>
      <w:pPr>
        <w:spacing w:line="360" w:lineRule="auto"/>
        <w:ind w:firstLine="420" w:firstLineChars="200"/>
        <w:rPr>
          <w:rFonts w:ascii="宋体" w:hAnsi="宋体"/>
          <w:szCs w:val="21"/>
        </w:rPr>
      </w:pPr>
      <w:r>
        <w:rPr>
          <w:rFonts w:hint="eastAsia" w:ascii="宋体" w:hAnsi="宋体"/>
          <w:szCs w:val="21"/>
        </w:rPr>
        <w:t>（四）以非法手段排斥其他供应商参与竞争的；</w:t>
      </w:r>
    </w:p>
    <w:p>
      <w:pPr>
        <w:spacing w:line="360" w:lineRule="auto"/>
        <w:ind w:firstLine="420" w:firstLineChars="200"/>
        <w:rPr>
          <w:rFonts w:ascii="宋体" w:hAnsi="宋体"/>
          <w:szCs w:val="21"/>
        </w:rPr>
      </w:pPr>
      <w:r>
        <w:rPr>
          <w:rFonts w:hint="eastAsia" w:ascii="宋体" w:hAnsi="宋体"/>
          <w:szCs w:val="21"/>
        </w:rPr>
        <w:t>（五）与其他采购参加人串通投标的；</w:t>
      </w:r>
    </w:p>
    <w:p>
      <w:pPr>
        <w:spacing w:line="360" w:lineRule="auto"/>
        <w:ind w:firstLine="420" w:firstLineChars="200"/>
        <w:rPr>
          <w:rFonts w:ascii="宋体" w:hAnsi="宋体"/>
          <w:szCs w:val="21"/>
        </w:rPr>
      </w:pPr>
      <w:r>
        <w:rPr>
          <w:rFonts w:hint="eastAsia" w:ascii="宋体" w:hAnsi="宋体"/>
          <w:szCs w:val="21"/>
        </w:rPr>
        <w:t>（六）恶意投诉的；</w:t>
      </w:r>
    </w:p>
    <w:p>
      <w:pPr>
        <w:spacing w:line="360" w:lineRule="auto"/>
        <w:ind w:firstLine="420" w:firstLineChars="200"/>
        <w:rPr>
          <w:rFonts w:ascii="宋体" w:hAnsi="宋体"/>
          <w:szCs w:val="21"/>
        </w:rPr>
      </w:pPr>
      <w:r>
        <w:rPr>
          <w:rFonts w:hint="eastAsia" w:ascii="宋体" w:hAnsi="宋体"/>
          <w:szCs w:val="21"/>
        </w:rPr>
        <w:t>（七）向采购项目相关人行贿或者提供其他不当利益的；</w:t>
      </w:r>
    </w:p>
    <w:p>
      <w:pPr>
        <w:spacing w:line="360" w:lineRule="auto"/>
        <w:ind w:firstLine="420" w:firstLineChars="200"/>
        <w:rPr>
          <w:rFonts w:ascii="宋体" w:hAnsi="宋体"/>
          <w:szCs w:val="21"/>
        </w:rPr>
      </w:pPr>
      <w:r>
        <w:rPr>
          <w:rFonts w:hint="eastAsia" w:ascii="宋体" w:hAnsi="宋体"/>
          <w:szCs w:val="21"/>
        </w:rPr>
        <w:t>（八）阻碍、抗拒主管部门监督检查的；</w:t>
      </w:r>
    </w:p>
    <w:p>
      <w:pPr>
        <w:spacing w:line="360" w:lineRule="auto"/>
        <w:ind w:firstLine="420" w:firstLineChars="200"/>
        <w:rPr>
          <w:rFonts w:ascii="宋体" w:hAnsi="宋体"/>
          <w:szCs w:val="21"/>
        </w:rPr>
      </w:pPr>
      <w:r>
        <w:rPr>
          <w:rFonts w:hint="eastAsia" w:ascii="宋体" w:hAnsi="宋体"/>
          <w:szCs w:val="21"/>
        </w:rPr>
        <w:t>（九）其他违反本条例规定的行为。</w:t>
      </w:r>
    </w:p>
    <w:p>
      <w:pPr>
        <w:spacing w:line="360" w:lineRule="auto"/>
        <w:ind w:firstLine="422" w:firstLineChars="200"/>
        <w:rPr>
          <w:rFonts w:hint="eastAsia" w:ascii="宋体" w:hAnsi="宋体"/>
          <w:szCs w:val="21"/>
        </w:rPr>
      </w:pPr>
      <w:r>
        <w:rPr>
          <w:rFonts w:hint="eastAsia" w:ascii="宋体" w:hAnsi="宋体"/>
          <w:b/>
          <w:bCs/>
          <w:szCs w:val="21"/>
        </w:rPr>
        <w:t>二、《深圳经济特区政府采购条例实施细则》第七十九条</w:t>
      </w:r>
      <w:r>
        <w:rPr>
          <w:rFonts w:hint="eastAsia" w:ascii="宋体" w:hAnsi="宋体"/>
          <w:szCs w:val="21"/>
        </w:rPr>
        <w:t>供应商有下列情形的，属于采购条例所称的串通投标行为，按照采购条例第五十七条有关规定处理：</w:t>
      </w:r>
    </w:p>
    <w:p>
      <w:pPr>
        <w:spacing w:line="360" w:lineRule="auto"/>
        <w:ind w:firstLine="420" w:firstLineChars="200"/>
        <w:rPr>
          <w:rFonts w:hint="eastAsia" w:ascii="宋体" w:hAnsi="宋体"/>
          <w:szCs w:val="21"/>
        </w:rPr>
      </w:pPr>
      <w:r>
        <w:rPr>
          <w:rFonts w:hint="eastAsia" w:ascii="宋体" w:hAnsi="宋体"/>
          <w:szCs w:val="21"/>
        </w:rPr>
        <w:t>（一）投标供应商之间相互约定给予未中标的供应商利益补偿；</w:t>
      </w:r>
    </w:p>
    <w:p>
      <w:pPr>
        <w:spacing w:line="360" w:lineRule="auto"/>
        <w:ind w:firstLine="420" w:firstLineChars="200"/>
        <w:rPr>
          <w:rFonts w:hint="eastAsia" w:ascii="宋体" w:hAnsi="宋体"/>
          <w:szCs w:val="21"/>
        </w:rPr>
      </w:pPr>
      <w:r>
        <w:rPr>
          <w:rFonts w:hint="eastAsia" w:ascii="宋体" w:hAnsi="宋体"/>
          <w:szCs w:val="21"/>
        </w:rPr>
        <w:t>（二）不同投标供应商的法定代表人、主要经营负责人、项目投标授权代表人、项目负责人、主要技术人员为同一人、属同一单位或者在同一单位缴纳社会保险；</w:t>
      </w:r>
    </w:p>
    <w:p>
      <w:pPr>
        <w:spacing w:line="360" w:lineRule="auto"/>
        <w:ind w:left="420" w:leftChars="200" w:firstLine="0" w:firstLineChars="0"/>
        <w:rPr>
          <w:rFonts w:hint="eastAsia" w:ascii="宋体" w:hAnsi="宋体"/>
          <w:szCs w:val="21"/>
        </w:rPr>
      </w:pPr>
      <w:r>
        <w:rPr>
          <w:rFonts w:hint="eastAsia" w:ascii="宋体" w:hAnsi="宋体"/>
          <w:szCs w:val="21"/>
        </w:rPr>
        <w:t>（三）不同投标供应商的投标文件由同一单位或者同一人编制，或者由同一人分阶段参与编制的；（四）不同投标供应商的投标文件或部分投标文件相互混装；</w:t>
      </w:r>
    </w:p>
    <w:p>
      <w:pPr>
        <w:spacing w:line="360" w:lineRule="auto"/>
        <w:ind w:left="420" w:leftChars="200" w:firstLine="0" w:firstLineChars="0"/>
        <w:rPr>
          <w:rFonts w:hint="eastAsia" w:ascii="宋体" w:hAnsi="宋体"/>
          <w:szCs w:val="21"/>
        </w:rPr>
      </w:pPr>
      <w:r>
        <w:rPr>
          <w:rFonts w:hint="eastAsia" w:ascii="宋体" w:hAnsi="宋体"/>
          <w:szCs w:val="21"/>
        </w:rPr>
        <w:t>（五）不同投标供应商的投标文件内容存在非正常一致；</w:t>
      </w:r>
    </w:p>
    <w:p>
      <w:pPr>
        <w:spacing w:line="360" w:lineRule="auto"/>
        <w:ind w:left="420" w:leftChars="200" w:firstLine="0" w:firstLineChars="0"/>
        <w:rPr>
          <w:rFonts w:hint="eastAsia" w:ascii="宋体" w:hAnsi="宋体"/>
          <w:szCs w:val="21"/>
        </w:rPr>
      </w:pPr>
      <w:r>
        <w:rPr>
          <w:rFonts w:hint="eastAsia" w:ascii="宋体" w:hAnsi="宋体"/>
          <w:szCs w:val="21"/>
        </w:rPr>
        <w:t>（六）由同一单位工作人员为两家以上（含两家）供应商进行同一项投标活动的；</w:t>
      </w:r>
    </w:p>
    <w:p>
      <w:pPr>
        <w:spacing w:line="360" w:lineRule="auto"/>
        <w:ind w:left="420" w:leftChars="200" w:firstLine="0" w:firstLineChars="0"/>
        <w:rPr>
          <w:rFonts w:ascii="宋体" w:hAnsi="宋体"/>
          <w:szCs w:val="21"/>
        </w:rPr>
      </w:pPr>
      <w:r>
        <w:rPr>
          <w:rFonts w:hint="eastAsia" w:ascii="宋体" w:hAnsi="宋体"/>
          <w:szCs w:val="21"/>
        </w:rPr>
        <w:t>（七）主管部门依照法律、法规认定的其他情形。</w:t>
      </w:r>
    </w:p>
    <w:p>
      <w:pPr>
        <w:spacing w:line="360" w:lineRule="auto"/>
        <w:ind w:firstLine="422" w:firstLineChars="200"/>
        <w:rPr>
          <w:rFonts w:hint="eastAsia" w:ascii="宋体" w:hAnsi="宋体"/>
          <w:szCs w:val="21"/>
        </w:rPr>
      </w:pPr>
      <w:r>
        <w:rPr>
          <w:rFonts w:hint="eastAsia" w:ascii="宋体" w:hAnsi="宋体"/>
          <w:b/>
          <w:bCs/>
          <w:szCs w:val="21"/>
        </w:rPr>
        <w:t>三、《深圳经济特区政府采购条例实施细则》第八十一条</w:t>
      </w:r>
      <w:r>
        <w:rPr>
          <w:rFonts w:hint="eastAsia" w:ascii="宋体" w:hAnsi="宋体"/>
          <w:szCs w:val="21"/>
        </w:rPr>
        <w:t>供应商有下列情形之一的，属于隐瞒真实情况，提供虚假资料，按照采购条例第五十七的有关规定处理：</w:t>
      </w:r>
    </w:p>
    <w:p>
      <w:pPr>
        <w:spacing w:line="360" w:lineRule="auto"/>
        <w:ind w:firstLine="420" w:firstLineChars="200"/>
        <w:rPr>
          <w:rFonts w:hint="eastAsia" w:ascii="宋体" w:hAnsi="宋体"/>
          <w:szCs w:val="21"/>
        </w:rPr>
      </w:pPr>
      <w:r>
        <w:rPr>
          <w:rFonts w:hint="eastAsia" w:ascii="宋体" w:hAnsi="宋体"/>
          <w:szCs w:val="21"/>
        </w:rPr>
        <w:t>（一）通过转让或者租借等方式从其他单位获取资格或者资质证书投标的；</w:t>
      </w:r>
    </w:p>
    <w:p>
      <w:pPr>
        <w:spacing w:line="360" w:lineRule="auto"/>
        <w:ind w:firstLine="420" w:firstLineChars="200"/>
        <w:rPr>
          <w:rFonts w:hint="eastAsia" w:ascii="宋体" w:hAnsi="宋体"/>
          <w:szCs w:val="21"/>
        </w:rPr>
      </w:pPr>
      <w:r>
        <w:rPr>
          <w:rFonts w:hint="eastAsia" w:ascii="宋体" w:hAnsi="宋体"/>
          <w:szCs w:val="21"/>
        </w:rPr>
        <w:t>（二）由其他单位或者其他单位负责人在投标供应商编制的投标文件上加盖印章或者签字的；</w:t>
      </w:r>
    </w:p>
    <w:p>
      <w:pPr>
        <w:spacing w:line="360" w:lineRule="auto"/>
        <w:ind w:firstLine="420" w:firstLineChars="200"/>
        <w:rPr>
          <w:rFonts w:hint="eastAsia" w:ascii="宋体" w:hAnsi="宋体"/>
          <w:szCs w:val="21"/>
        </w:rPr>
      </w:pPr>
      <w:r>
        <w:rPr>
          <w:rFonts w:hint="eastAsia" w:ascii="宋体" w:hAnsi="宋体"/>
          <w:szCs w:val="21"/>
        </w:rPr>
        <w:t>（三）项目负责人或者主要技术人员不是本单位人员的；</w:t>
      </w:r>
    </w:p>
    <w:p>
      <w:pPr>
        <w:spacing w:line="360" w:lineRule="auto"/>
        <w:ind w:firstLine="420" w:firstLineChars="200"/>
        <w:rPr>
          <w:rFonts w:hint="eastAsia" w:ascii="宋体" w:hAnsi="宋体"/>
          <w:szCs w:val="21"/>
        </w:rPr>
      </w:pPr>
      <w:r>
        <w:rPr>
          <w:rFonts w:hint="eastAsia" w:ascii="宋体" w:hAnsi="宋体"/>
          <w:szCs w:val="21"/>
        </w:rPr>
        <w:t>（四）投标保证金不是从投标供应商基本账户转出的；</w:t>
      </w:r>
    </w:p>
    <w:p>
      <w:pPr>
        <w:spacing w:line="360" w:lineRule="auto"/>
        <w:ind w:firstLine="420" w:firstLineChars="200"/>
        <w:rPr>
          <w:rFonts w:ascii="宋体" w:hAnsi="宋体"/>
          <w:szCs w:val="21"/>
        </w:rPr>
      </w:pPr>
      <w:r>
        <w:rPr>
          <w:rFonts w:hint="eastAsia" w:ascii="宋体" w:hAnsi="宋体"/>
          <w:szCs w:val="21"/>
        </w:rPr>
        <w:t>（五）其他隐瞒真实情况、提供虚假资料的行为。</w:t>
      </w:r>
    </w:p>
    <w:p>
      <w:pPr>
        <w:spacing w:line="360" w:lineRule="auto"/>
        <w:ind w:firstLine="420" w:firstLineChars="200"/>
        <w:rPr>
          <w:rFonts w:ascii="宋体" w:hAnsi="宋体"/>
          <w:szCs w:val="21"/>
        </w:rPr>
      </w:pPr>
      <w:r>
        <w:rPr>
          <w:rFonts w:hint="eastAsia" w:ascii="宋体" w:hAnsi="宋体"/>
          <w:szCs w:val="21"/>
        </w:rPr>
        <w:t>投标供应商不能提供项目负责人或者主要技术人员的劳动合同、社会保险等劳动关系证明材料的，视为存在前款第（三）项规定的情形。</w:t>
      </w:r>
    </w:p>
    <w:p>
      <w:pPr>
        <w:pStyle w:val="2"/>
        <w:rPr>
          <w:rFonts w:ascii="宋体" w:hAnsi="宋体" w:eastAsia="宋体" w:cs="宋体"/>
          <w:sz w:val="32"/>
          <w:szCs w:val="32"/>
        </w:rPr>
      </w:pPr>
      <w:bookmarkStart w:id="4" w:name="_Hlk72218009"/>
      <w:r>
        <w:rPr>
          <w:rFonts w:hint="eastAsia" w:ascii="宋体" w:hAnsi="宋体" w:eastAsia="宋体" w:cs="宋体"/>
          <w:sz w:val="32"/>
          <w:szCs w:val="32"/>
        </w:rPr>
        <w:t>目   录</w:t>
      </w:r>
    </w:p>
    <w:p>
      <w:pPr>
        <w:jc w:val="center"/>
        <w:outlineLvl w:val="0"/>
        <w:rPr>
          <w:rFonts w:ascii="宋体" w:hAnsi="宋体" w:cs="宋体"/>
          <w:b/>
          <w:sz w:val="24"/>
          <w:szCs w:val="24"/>
        </w:rPr>
      </w:pPr>
      <w:r>
        <w:rPr>
          <w:rFonts w:hint="eastAsia" w:ascii="宋体" w:hAnsi="宋体" w:cs="宋体"/>
          <w:b/>
          <w:sz w:val="24"/>
          <w:szCs w:val="24"/>
        </w:rPr>
        <w:t>第一册  专用条款</w:t>
      </w:r>
    </w:p>
    <w:p>
      <w:pPr>
        <w:spacing w:line="360" w:lineRule="auto"/>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关键信息</w:t>
      </w:r>
    </w:p>
    <w:p>
      <w:pPr>
        <w:spacing w:line="480" w:lineRule="auto"/>
        <w:ind w:left="630" w:leftChars="300" w:firstLine="720" w:firstLineChars="300"/>
        <w:rPr>
          <w:rFonts w:ascii="宋体" w:hAnsi="宋体" w:cs="宋体"/>
          <w:sz w:val="24"/>
          <w:szCs w:val="24"/>
        </w:rPr>
      </w:pPr>
      <w:r>
        <w:rPr>
          <w:rFonts w:hint="eastAsia" w:ascii="宋体" w:hAnsi="宋体" w:cs="宋体"/>
          <w:sz w:val="24"/>
          <w:szCs w:val="24"/>
        </w:rPr>
        <w:t>第一章  招标公告</w:t>
      </w:r>
    </w:p>
    <w:p>
      <w:pPr>
        <w:spacing w:line="480" w:lineRule="auto"/>
        <w:ind w:left="630" w:leftChars="300" w:firstLine="720" w:firstLineChars="300"/>
        <w:rPr>
          <w:rFonts w:ascii="宋体" w:hAnsi="宋体" w:cs="宋体"/>
          <w:sz w:val="24"/>
          <w:szCs w:val="24"/>
        </w:rPr>
      </w:pPr>
      <w:r>
        <w:rPr>
          <w:rFonts w:hint="eastAsia" w:ascii="宋体" w:hAnsi="宋体" w:cs="宋体"/>
          <w:sz w:val="24"/>
          <w:szCs w:val="24"/>
        </w:rPr>
        <w:t xml:space="preserve">第二章  </w:t>
      </w:r>
      <w:bookmarkStart w:id="5" w:name="_Hlk71994379"/>
      <w:r>
        <w:rPr>
          <w:rFonts w:hint="eastAsia" w:ascii="宋体" w:hAnsi="宋体" w:cs="宋体"/>
          <w:sz w:val="24"/>
          <w:szCs w:val="24"/>
        </w:rPr>
        <w:t>对通用条款的补充内容及其他关键信息</w:t>
      </w:r>
      <w:bookmarkEnd w:id="5"/>
    </w:p>
    <w:p>
      <w:pPr>
        <w:spacing w:line="480" w:lineRule="auto"/>
        <w:ind w:left="630" w:leftChars="300" w:firstLine="720" w:firstLineChars="300"/>
        <w:rPr>
          <w:rFonts w:ascii="宋体" w:hAnsi="宋体" w:cs="宋体"/>
          <w:sz w:val="24"/>
          <w:szCs w:val="24"/>
        </w:rPr>
      </w:pPr>
      <w:r>
        <w:rPr>
          <w:rFonts w:hint="eastAsia" w:ascii="宋体" w:hAnsi="宋体" w:cs="宋体"/>
          <w:sz w:val="24"/>
          <w:szCs w:val="24"/>
        </w:rPr>
        <w:t>第三章  用户需求书</w:t>
      </w:r>
    </w:p>
    <w:p>
      <w:pPr>
        <w:spacing w:line="480" w:lineRule="auto"/>
        <w:ind w:left="630" w:leftChars="300" w:firstLine="720" w:firstLineChars="300"/>
        <w:rPr>
          <w:rFonts w:ascii="宋体" w:hAnsi="宋体" w:cs="宋体"/>
          <w:sz w:val="24"/>
          <w:szCs w:val="24"/>
        </w:rPr>
      </w:pPr>
      <w:r>
        <w:rPr>
          <w:rFonts w:hint="eastAsia" w:ascii="宋体" w:hAnsi="宋体" w:cs="宋体"/>
          <w:sz w:val="24"/>
          <w:szCs w:val="24"/>
        </w:rPr>
        <w:t>第四章  投标文件组成要求及格式</w:t>
      </w:r>
    </w:p>
    <w:p>
      <w:pPr>
        <w:spacing w:line="480" w:lineRule="auto"/>
        <w:ind w:left="630" w:leftChars="300" w:firstLine="720" w:firstLineChars="300"/>
        <w:rPr>
          <w:rFonts w:ascii="宋体" w:hAnsi="宋体" w:cs="宋体"/>
          <w:sz w:val="24"/>
          <w:szCs w:val="24"/>
        </w:rPr>
      </w:pPr>
      <w:r>
        <w:rPr>
          <w:rFonts w:hint="eastAsia" w:ascii="宋体" w:hAnsi="宋体" w:cs="宋体"/>
          <w:sz w:val="24"/>
          <w:szCs w:val="24"/>
        </w:rPr>
        <w:t>第五章  合同及履约情况反馈格式</w:t>
      </w:r>
    </w:p>
    <w:p>
      <w:pPr>
        <w:rPr>
          <w:rFonts w:ascii="宋体" w:hAnsi="宋体" w:cs="宋体"/>
          <w:b/>
          <w:szCs w:val="21"/>
        </w:rPr>
      </w:pPr>
    </w:p>
    <w:p>
      <w:pPr>
        <w:jc w:val="center"/>
        <w:outlineLvl w:val="0"/>
        <w:rPr>
          <w:rFonts w:ascii="宋体" w:hAnsi="宋体" w:cs="宋体"/>
          <w:b/>
          <w:sz w:val="24"/>
          <w:szCs w:val="24"/>
        </w:rPr>
      </w:pPr>
      <w:r>
        <w:rPr>
          <w:rFonts w:hint="eastAsia" w:ascii="宋体" w:hAnsi="宋体" w:cs="宋体"/>
          <w:b/>
          <w:sz w:val="24"/>
          <w:szCs w:val="24"/>
        </w:rPr>
        <w:t>第二册  通用条款</w:t>
      </w:r>
    </w:p>
    <w:p>
      <w:pPr>
        <w:spacing w:line="480" w:lineRule="auto"/>
        <w:ind w:left="630" w:leftChars="300" w:firstLine="720" w:firstLineChars="300"/>
        <w:rPr>
          <w:rFonts w:ascii="宋体" w:hAnsi="宋体" w:cs="宋体"/>
          <w:sz w:val="24"/>
          <w:szCs w:val="24"/>
        </w:rPr>
      </w:pPr>
      <w:r>
        <w:rPr>
          <w:rFonts w:hint="eastAsia" w:ascii="宋体" w:hAnsi="宋体" w:cs="宋体"/>
          <w:sz w:val="24"/>
          <w:szCs w:val="24"/>
        </w:rPr>
        <w:t>第一章  总则</w:t>
      </w:r>
    </w:p>
    <w:p>
      <w:pPr>
        <w:spacing w:line="480" w:lineRule="auto"/>
        <w:ind w:left="630" w:leftChars="300" w:firstLine="720" w:firstLineChars="300"/>
        <w:rPr>
          <w:rFonts w:ascii="宋体" w:hAnsi="宋体" w:cs="宋体"/>
          <w:sz w:val="24"/>
          <w:szCs w:val="24"/>
        </w:rPr>
      </w:pPr>
      <w:r>
        <w:rPr>
          <w:rFonts w:hint="eastAsia" w:ascii="宋体" w:hAnsi="宋体" w:cs="宋体"/>
          <w:sz w:val="24"/>
          <w:szCs w:val="24"/>
        </w:rPr>
        <w:t>第二章  招标文件</w:t>
      </w:r>
    </w:p>
    <w:p>
      <w:pPr>
        <w:spacing w:line="480" w:lineRule="auto"/>
        <w:ind w:left="630" w:leftChars="300" w:firstLine="720" w:firstLineChars="300"/>
        <w:rPr>
          <w:rFonts w:ascii="宋体" w:hAnsi="宋体" w:cs="宋体"/>
          <w:sz w:val="24"/>
          <w:szCs w:val="24"/>
        </w:rPr>
      </w:pPr>
      <w:r>
        <w:rPr>
          <w:rFonts w:hint="eastAsia" w:ascii="宋体" w:hAnsi="宋体" w:cs="宋体"/>
          <w:sz w:val="24"/>
          <w:szCs w:val="24"/>
        </w:rPr>
        <w:t>第三章  投标文件的编制</w:t>
      </w:r>
    </w:p>
    <w:p>
      <w:pPr>
        <w:spacing w:line="480" w:lineRule="auto"/>
        <w:ind w:left="630" w:leftChars="300" w:firstLine="720" w:firstLineChars="300"/>
        <w:rPr>
          <w:rFonts w:ascii="宋体" w:hAnsi="宋体" w:cs="宋体"/>
          <w:sz w:val="24"/>
          <w:szCs w:val="24"/>
        </w:rPr>
      </w:pPr>
      <w:r>
        <w:rPr>
          <w:rFonts w:hint="eastAsia" w:ascii="宋体" w:hAnsi="宋体" w:cs="宋体"/>
          <w:sz w:val="24"/>
          <w:szCs w:val="24"/>
        </w:rPr>
        <w:t>第四章  投标文件的递交</w:t>
      </w:r>
    </w:p>
    <w:p>
      <w:pPr>
        <w:spacing w:line="480" w:lineRule="auto"/>
        <w:ind w:left="630" w:leftChars="300" w:firstLine="720" w:firstLineChars="300"/>
        <w:rPr>
          <w:rFonts w:ascii="宋体" w:hAnsi="宋体" w:cs="宋体"/>
          <w:sz w:val="24"/>
          <w:szCs w:val="24"/>
        </w:rPr>
      </w:pPr>
      <w:r>
        <w:rPr>
          <w:rFonts w:hint="eastAsia" w:ascii="宋体" w:hAnsi="宋体" w:cs="宋体"/>
          <w:sz w:val="24"/>
          <w:szCs w:val="24"/>
        </w:rPr>
        <w:t>第五章  开标</w:t>
      </w:r>
    </w:p>
    <w:p>
      <w:pPr>
        <w:spacing w:line="480" w:lineRule="auto"/>
        <w:ind w:left="630" w:leftChars="300" w:firstLine="720" w:firstLineChars="300"/>
        <w:rPr>
          <w:rFonts w:ascii="宋体" w:hAnsi="宋体" w:cs="宋体"/>
          <w:sz w:val="24"/>
          <w:szCs w:val="24"/>
        </w:rPr>
      </w:pPr>
      <w:r>
        <w:rPr>
          <w:rFonts w:hint="eastAsia" w:ascii="宋体" w:hAnsi="宋体" w:cs="宋体"/>
          <w:sz w:val="24"/>
          <w:szCs w:val="24"/>
        </w:rPr>
        <w:t>第六章  评审要求</w:t>
      </w:r>
    </w:p>
    <w:p>
      <w:pPr>
        <w:spacing w:line="480" w:lineRule="auto"/>
        <w:ind w:left="630" w:leftChars="300" w:firstLine="720" w:firstLineChars="300"/>
        <w:rPr>
          <w:rFonts w:ascii="宋体" w:hAnsi="宋体" w:cs="宋体"/>
          <w:sz w:val="24"/>
          <w:szCs w:val="24"/>
        </w:rPr>
      </w:pPr>
      <w:r>
        <w:rPr>
          <w:rFonts w:hint="eastAsia" w:ascii="宋体" w:hAnsi="宋体" w:cs="宋体"/>
          <w:sz w:val="24"/>
          <w:szCs w:val="24"/>
        </w:rPr>
        <w:t>第七章  评审程序及评审方法</w:t>
      </w:r>
    </w:p>
    <w:p>
      <w:pPr>
        <w:spacing w:line="480" w:lineRule="auto"/>
        <w:ind w:left="630" w:leftChars="300" w:firstLine="720" w:firstLineChars="300"/>
        <w:rPr>
          <w:rFonts w:ascii="宋体" w:hAnsi="宋体" w:cs="宋体"/>
          <w:sz w:val="24"/>
          <w:szCs w:val="24"/>
        </w:rPr>
      </w:pPr>
      <w:r>
        <w:rPr>
          <w:rFonts w:hint="eastAsia" w:ascii="宋体" w:hAnsi="宋体" w:cs="宋体"/>
          <w:sz w:val="24"/>
          <w:szCs w:val="24"/>
        </w:rPr>
        <w:t>第八章  定标及公示</w:t>
      </w:r>
    </w:p>
    <w:p>
      <w:pPr>
        <w:spacing w:line="480" w:lineRule="auto"/>
        <w:ind w:left="630" w:leftChars="300" w:firstLine="720" w:firstLineChars="300"/>
        <w:rPr>
          <w:rFonts w:ascii="宋体" w:hAnsi="宋体" w:cs="宋体"/>
          <w:sz w:val="24"/>
          <w:szCs w:val="24"/>
        </w:rPr>
      </w:pPr>
      <w:r>
        <w:rPr>
          <w:rFonts w:hint="eastAsia" w:ascii="宋体" w:hAnsi="宋体" w:cs="宋体"/>
          <w:sz w:val="24"/>
          <w:szCs w:val="24"/>
        </w:rPr>
        <w:t>第九章  公开招标失败的后续处理</w:t>
      </w:r>
    </w:p>
    <w:p>
      <w:pPr>
        <w:spacing w:line="480" w:lineRule="auto"/>
        <w:ind w:left="630" w:leftChars="300" w:firstLine="720" w:firstLineChars="300"/>
        <w:rPr>
          <w:rFonts w:ascii="宋体" w:hAnsi="宋体" w:cs="宋体"/>
          <w:sz w:val="24"/>
          <w:szCs w:val="24"/>
        </w:rPr>
      </w:pPr>
      <w:r>
        <w:rPr>
          <w:rFonts w:hint="eastAsia" w:ascii="宋体" w:hAnsi="宋体" w:cs="宋体"/>
          <w:sz w:val="24"/>
          <w:szCs w:val="24"/>
        </w:rPr>
        <w:t>第十章  合同的授予与备案</w:t>
      </w:r>
    </w:p>
    <w:p>
      <w:pPr>
        <w:spacing w:line="480" w:lineRule="auto"/>
        <w:ind w:left="630" w:leftChars="300" w:firstLine="720" w:firstLineChars="300"/>
        <w:rPr>
          <w:rFonts w:ascii="宋体" w:hAnsi="宋体" w:cs="宋体"/>
          <w:sz w:val="24"/>
          <w:szCs w:val="24"/>
        </w:rPr>
      </w:pPr>
      <w:r>
        <w:rPr>
          <w:rFonts w:hint="eastAsia" w:ascii="宋体" w:hAnsi="宋体" w:cs="宋体"/>
          <w:sz w:val="24"/>
          <w:szCs w:val="24"/>
        </w:rPr>
        <w:t>第十一章  质疑处理</w:t>
      </w:r>
    </w:p>
    <w:bookmarkEnd w:id="4"/>
    <w:p>
      <w:pPr>
        <w:pStyle w:val="2"/>
        <w:pageBreakBefore/>
        <w:spacing w:line="240" w:lineRule="auto"/>
        <w:rPr>
          <w:rFonts w:ascii="宋体" w:hAnsi="宋体" w:eastAsia="宋体" w:cs="宋体"/>
          <w:color w:val="FF0000"/>
          <w:sz w:val="44"/>
          <w:szCs w:val="96"/>
        </w:rPr>
      </w:pPr>
      <w:bookmarkStart w:id="6" w:name="bt开标一览表"/>
      <w:bookmarkEnd w:id="6"/>
      <w:bookmarkStart w:id="7" w:name="bt投标文件签署授权委托书"/>
      <w:bookmarkEnd w:id="7"/>
      <w:bookmarkStart w:id="8" w:name="bt本工程承诺书"/>
      <w:bookmarkEnd w:id="8"/>
      <w:bookmarkStart w:id="9" w:name="bt商务标投标文件格式"/>
      <w:bookmarkEnd w:id="9"/>
      <w:bookmarkStart w:id="10" w:name="bt投标报价汇总表"/>
      <w:bookmarkEnd w:id="10"/>
      <w:bookmarkStart w:id="11" w:name="bt投标函"/>
      <w:bookmarkEnd w:id="11"/>
      <w:bookmarkStart w:id="12" w:name="bt其他资料由投标人自定"/>
      <w:bookmarkEnd w:id="12"/>
      <w:bookmarkStart w:id="13" w:name="bt投标人须知"/>
      <w:bookmarkEnd w:id="13"/>
      <w:bookmarkStart w:id="14" w:name="bt项目管理班子配备情况"/>
      <w:bookmarkEnd w:id="14"/>
      <w:bookmarkStart w:id="15" w:name="bt投标人情况介绍"/>
      <w:bookmarkEnd w:id="15"/>
      <w:bookmarkStart w:id="16" w:name="bt说明"/>
      <w:bookmarkEnd w:id="16"/>
      <w:bookmarkStart w:id="17" w:name="bt合同格式"/>
      <w:bookmarkEnd w:id="17"/>
      <w:bookmarkStart w:id="18" w:name="bt合同条款及格式"/>
      <w:bookmarkEnd w:id="18"/>
      <w:bookmarkStart w:id="19" w:name="bt其他资料2"/>
      <w:bookmarkEnd w:id="19"/>
      <w:bookmarkStart w:id="20" w:name="合同格式"/>
      <w:bookmarkEnd w:id="20"/>
      <w:bookmarkStart w:id="21" w:name="bt技术标投标文件格式"/>
      <w:bookmarkEnd w:id="21"/>
      <w:bookmarkStart w:id="22" w:name="bt合同条款"/>
      <w:bookmarkEnd w:id="22"/>
      <w:r>
        <w:rPr>
          <w:rFonts w:hint="eastAsia" w:ascii="宋体" w:hAnsi="宋体" w:eastAsia="宋体" w:cs="宋体"/>
          <w:sz w:val="36"/>
          <w:szCs w:val="96"/>
        </w:rPr>
        <w:t>第一册  专用条款</w:t>
      </w:r>
    </w:p>
    <w:p>
      <w:pPr>
        <w:pStyle w:val="3"/>
        <w:rPr>
          <w:rFonts w:cs="宋体"/>
          <w:sz w:val="28"/>
          <w:szCs w:val="28"/>
        </w:rPr>
      </w:pPr>
      <w:r>
        <w:rPr>
          <w:rFonts w:hint="eastAsia" w:cs="宋体"/>
          <w:sz w:val="28"/>
          <w:szCs w:val="28"/>
        </w:rPr>
        <w:t>第一章  招标公告</w:t>
      </w:r>
    </w:p>
    <w:p>
      <w:pPr>
        <w:pStyle w:val="7"/>
        <w:spacing w:beforeLines="25" w:afterLines="25"/>
        <w:ind w:firstLine="394" w:firstLineChars="187"/>
        <w:rPr>
          <w:rFonts w:ascii="宋体" w:hAnsi="宋体" w:cs="宋体"/>
          <w:b/>
          <w:kern w:val="0"/>
          <w:szCs w:val="21"/>
        </w:rPr>
      </w:pPr>
      <w:r>
        <w:rPr>
          <w:rFonts w:hint="eastAsia" w:ascii="宋体" w:hAnsi="宋体" w:cs="宋体"/>
          <w:b/>
          <w:kern w:val="0"/>
          <w:szCs w:val="21"/>
        </w:rPr>
        <w:t>投标人资格要求：</w:t>
      </w:r>
    </w:p>
    <w:p>
      <w:pPr>
        <w:pStyle w:val="7"/>
        <w:spacing w:beforeLines="25" w:afterLines="25"/>
        <w:ind w:firstLine="392" w:firstLineChars="187"/>
        <w:rPr>
          <w:rFonts w:ascii="宋体" w:hAnsi="宋体" w:cs="宋体"/>
          <w:szCs w:val="21"/>
        </w:rPr>
      </w:pPr>
      <w:r>
        <w:rPr>
          <w:rFonts w:hint="eastAsia" w:ascii="宋体" w:hAnsi="宋体" w:cs="宋体"/>
          <w:szCs w:val="21"/>
        </w:rPr>
        <w:t>（1）具有独立法人资格或具有独立承担民事责任的能力的其它组织（提供营业执照或事业单位法人证等法人证明扫描件，原件备查）。</w:t>
      </w:r>
    </w:p>
    <w:p>
      <w:pPr>
        <w:pStyle w:val="7"/>
        <w:spacing w:beforeLines="25" w:afterLines="25"/>
        <w:ind w:firstLine="392" w:firstLineChars="187"/>
        <w:rPr>
          <w:rFonts w:ascii="宋体" w:hAnsi="宋体"/>
          <w:szCs w:val="21"/>
        </w:rPr>
      </w:pPr>
      <w:r>
        <w:rPr>
          <w:rFonts w:hint="eastAsia" w:ascii="宋体" w:hAnsi="宋体"/>
          <w:szCs w:val="21"/>
        </w:rPr>
        <w:t>（2）本项目不接受联合体投标，不接受投标人选用进口产品参与投标。</w:t>
      </w:r>
    </w:p>
    <w:p>
      <w:pPr>
        <w:pStyle w:val="7"/>
        <w:spacing w:beforeLines="25" w:afterLines="25"/>
        <w:ind w:firstLine="392" w:firstLineChars="187"/>
        <w:rPr>
          <w:rFonts w:ascii="宋体" w:hAnsi="宋体"/>
          <w:szCs w:val="21"/>
        </w:rPr>
      </w:pPr>
      <w:r>
        <w:rPr>
          <w:rFonts w:hint="eastAsia" w:ascii="宋体" w:hAnsi="宋体"/>
          <w:szCs w:val="21"/>
        </w:rPr>
        <w:t>（3）参与本项目投标前三年内，在经营活动中没有重大违法记录（由供应商在《政府采购投标及履约承诺函》中作出声明）。</w:t>
      </w:r>
    </w:p>
    <w:p>
      <w:pPr>
        <w:pStyle w:val="7"/>
        <w:spacing w:beforeLines="25" w:afterLines="25"/>
        <w:ind w:firstLine="392" w:firstLineChars="187"/>
        <w:rPr>
          <w:rFonts w:ascii="宋体" w:hAnsi="宋体"/>
          <w:szCs w:val="21"/>
        </w:rPr>
      </w:pPr>
      <w:r>
        <w:rPr>
          <w:rFonts w:hint="eastAsia" w:ascii="宋体" w:hAnsi="宋体"/>
          <w:szCs w:val="21"/>
        </w:rPr>
        <w:t>（4）参与本项目政府采购活动时不存在被有关部门禁止参与政府采购活动且在有效期内的情况（由供应商在《政府采购投标及履约承诺函》中作出声明）。</w:t>
      </w:r>
    </w:p>
    <w:p>
      <w:pPr>
        <w:pStyle w:val="7"/>
        <w:spacing w:beforeLines="25" w:afterLines="25"/>
        <w:ind w:firstLine="392" w:firstLineChars="187"/>
        <w:rPr>
          <w:rFonts w:ascii="宋体" w:hAnsi="宋体"/>
          <w:szCs w:val="21"/>
        </w:rPr>
      </w:pPr>
      <w:r>
        <w:rPr>
          <w:rFonts w:hint="eastAsia" w:ascii="宋体" w:hAnsi="宋体"/>
          <w:szCs w:val="21"/>
        </w:rPr>
        <w:t>（5）具备《中华人民共和国政府采购法》第二十二条第一款的条件（由供应商在《政府采购投标及履约承诺函》中作出声明）。</w:t>
      </w:r>
    </w:p>
    <w:p>
      <w:pPr>
        <w:pStyle w:val="7"/>
        <w:spacing w:beforeLines="25" w:afterLines="25"/>
        <w:ind w:firstLine="392" w:firstLineChars="187"/>
        <w:rPr>
          <w:rFonts w:ascii="宋体" w:hAnsi="宋体"/>
          <w:szCs w:val="21"/>
        </w:rPr>
      </w:pPr>
      <w:r>
        <w:rPr>
          <w:rFonts w:hint="eastAsia" w:ascii="宋体" w:hAnsi="宋体"/>
          <w:szCs w:val="21"/>
        </w:rPr>
        <w:t>（6）未被列入失信被执行人、重大税收违法案件当事人名单、政府采购严重违法失信行为记录名单（由供应商在《政府采购投标及履约承诺函》中作出声明）。</w:t>
      </w:r>
    </w:p>
    <w:p>
      <w:pPr>
        <w:pStyle w:val="7"/>
        <w:spacing w:beforeLines="25" w:afterLines="25"/>
        <w:ind w:firstLine="392" w:firstLineChars="187"/>
        <w:rPr>
          <w:rFonts w:ascii="宋体" w:hAnsi="宋体" w:cs="宋体"/>
          <w:szCs w:val="21"/>
        </w:rPr>
      </w:pPr>
      <w:r>
        <w:rPr>
          <w:rFonts w:hint="eastAsia" w:ascii="宋体" w:hAnsi="宋体" w:cs="宋体"/>
          <w:szCs w:val="21"/>
        </w:rPr>
        <w:t>（7）</w:t>
      </w:r>
      <w:bookmarkStart w:id="23" w:name="_Hlk107587166"/>
      <w:r>
        <w:rPr>
          <w:rFonts w:hint="eastAsia" w:ascii="宋体" w:hAnsi="宋体" w:cs="宋体"/>
          <w:szCs w:val="21"/>
        </w:rPr>
        <w:t>本项目是（否）专门面向中小企业采购：否</w:t>
      </w:r>
    </w:p>
    <w:bookmarkEnd w:id="23"/>
    <w:p>
      <w:pPr>
        <w:ind w:firstLine="630" w:firstLineChars="300"/>
        <w:rPr>
          <w:szCs w:val="21"/>
        </w:rPr>
      </w:pPr>
      <w:r>
        <w:rPr>
          <w:rFonts w:hint="eastAsia" w:asciiTheme="minorEastAsia" w:hAnsiTheme="minorEastAsia"/>
          <w:szCs w:val="21"/>
        </w:rPr>
        <w:t>注：“信用中国”、“中国政府采购网”、“深圳信用网”以及“深圳市政府采购监管网”为供应商信用信息的查询渠道，相关信息以开标当日的查询结果为准。</w:t>
      </w:r>
    </w:p>
    <w:p>
      <w:pPr>
        <w:ind w:firstLine="630" w:firstLineChars="300"/>
        <w:rPr>
          <w:szCs w:val="21"/>
        </w:rPr>
      </w:pPr>
    </w:p>
    <w:p>
      <w:pPr>
        <w:pStyle w:val="7"/>
        <w:spacing w:beforeLines="25" w:afterLines="25"/>
        <w:ind w:firstLine="394" w:firstLineChars="187"/>
        <w:rPr>
          <w:rFonts w:hint="eastAsia" w:ascii="宋体" w:hAnsi="宋体" w:eastAsia="宋体"/>
          <w:b/>
          <w:bCs/>
          <w:color w:val="auto"/>
          <w:szCs w:val="21"/>
          <w:lang w:eastAsia="zh-CN"/>
        </w:rPr>
      </w:pPr>
      <w:r>
        <w:rPr>
          <w:rFonts w:hint="eastAsia" w:ascii="宋体" w:hAnsi="宋体"/>
          <w:b/>
          <w:bCs/>
          <w:color w:val="auto"/>
          <w:szCs w:val="21"/>
        </w:rPr>
        <w:t>完整公告内容详见：</w:t>
      </w:r>
      <w:r>
        <w:rPr>
          <w:rFonts w:hint="eastAsia" w:ascii="宋体" w:hAnsi="宋体"/>
          <w:b/>
          <w:bCs/>
          <w:color w:val="auto"/>
          <w:szCs w:val="21"/>
          <w:lang w:eastAsia="zh-CN"/>
        </w:rPr>
        <w:t>采购公告</w:t>
      </w:r>
    </w:p>
    <w:p>
      <w:pPr>
        <w:pStyle w:val="7"/>
        <w:spacing w:beforeLines="25" w:afterLines="25"/>
        <w:ind w:firstLine="392" w:firstLineChars="187"/>
        <w:jc w:val="right"/>
        <w:rPr>
          <w:rFonts w:ascii="宋体" w:hAnsi="宋体"/>
          <w:szCs w:val="21"/>
        </w:rPr>
      </w:pPr>
    </w:p>
    <w:p>
      <w:pPr>
        <w:ind w:firstLine="7200" w:firstLineChars="3000"/>
        <w:rPr>
          <w:sz w:val="24"/>
        </w:rPr>
      </w:pPr>
      <w:r>
        <w:rPr>
          <w:sz w:val="24"/>
        </w:rPr>
        <w:br w:type="page"/>
      </w:r>
    </w:p>
    <w:p>
      <w:pPr>
        <w:pStyle w:val="3"/>
        <w:rPr>
          <w:sz w:val="28"/>
          <w:szCs w:val="28"/>
        </w:rPr>
      </w:pPr>
      <w:r>
        <w:rPr>
          <w:rFonts w:hint="eastAsia"/>
          <w:sz w:val="28"/>
          <w:szCs w:val="28"/>
        </w:rPr>
        <w:t xml:space="preserve">第二章 </w:t>
      </w:r>
      <w:bookmarkStart w:id="24" w:name="_Hlk71926094"/>
      <w:r>
        <w:rPr>
          <w:rFonts w:hint="eastAsia"/>
          <w:sz w:val="28"/>
          <w:szCs w:val="28"/>
        </w:rPr>
        <w:t>对通用条款的补充内容及其他关键信息</w:t>
      </w:r>
      <w:bookmarkEnd w:id="24"/>
    </w:p>
    <w:p>
      <w:pPr>
        <w:pStyle w:val="4"/>
        <w:jc w:val="center"/>
        <w:rPr>
          <w:rFonts w:ascii="黑体" w:eastAsia="黑体"/>
          <w:b w:val="0"/>
          <w:sz w:val="24"/>
        </w:rPr>
      </w:pPr>
      <w:bookmarkStart w:id="25" w:name="_Toc60631620"/>
      <w:bookmarkStart w:id="26" w:name="_Toc73521635"/>
      <w:bookmarkStart w:id="27" w:name="_Toc73518117"/>
      <w:bookmarkStart w:id="28" w:name="_Toc73521547"/>
      <w:bookmarkStart w:id="29" w:name="_Toc60560625"/>
      <w:bookmarkStart w:id="30" w:name="_Toc73517639"/>
      <w:bookmarkStart w:id="31" w:name="_Toc101074876"/>
      <w:bookmarkStart w:id="32" w:name="_Toc100052364"/>
      <w:r>
        <w:rPr>
          <w:rFonts w:hint="eastAsia" w:ascii="黑体" w:eastAsia="黑体"/>
          <w:b w:val="0"/>
          <w:sz w:val="24"/>
        </w:rPr>
        <w:t>一、对通用条款的补充内容</w:t>
      </w:r>
    </w:p>
    <w:bookmarkEnd w:id="25"/>
    <w:bookmarkEnd w:id="26"/>
    <w:bookmarkEnd w:id="27"/>
    <w:bookmarkEnd w:id="28"/>
    <w:bookmarkEnd w:id="29"/>
    <w:bookmarkEnd w:id="30"/>
    <w:bookmarkEnd w:id="31"/>
    <w:bookmarkEnd w:id="32"/>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rPr>
            </w:pPr>
            <w:bookmarkStart w:id="33" w:name="_Hlk72218097"/>
            <w:r>
              <w:rPr>
                <w:rFonts w:hint="eastAsia" w:ascii="宋体" w:hAnsi="宋体"/>
                <w:b/>
                <w:bCs/>
              </w:rPr>
              <w:t>通用条款序号</w:t>
            </w:r>
          </w:p>
        </w:tc>
        <w:tc>
          <w:tcPr>
            <w:tcW w:w="2409" w:type="dxa"/>
            <w:vAlign w:val="center"/>
          </w:tcPr>
          <w:p>
            <w:pPr>
              <w:jc w:val="center"/>
              <w:rPr>
                <w:rFonts w:ascii="宋体" w:hAnsi="宋体"/>
                <w:b/>
                <w:bCs/>
              </w:rPr>
            </w:pPr>
            <w:r>
              <w:rPr>
                <w:rFonts w:hint="eastAsia" w:ascii="宋体" w:hAnsi="宋体"/>
                <w:b/>
                <w:bCs/>
              </w:rPr>
              <w:t>涉及事项</w:t>
            </w:r>
          </w:p>
        </w:tc>
        <w:tc>
          <w:tcPr>
            <w:tcW w:w="4980"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.1</w:t>
            </w:r>
          </w:p>
        </w:tc>
        <w:tc>
          <w:tcPr>
            <w:tcW w:w="2409" w:type="dxa"/>
            <w:vAlign w:val="center"/>
          </w:tcPr>
          <w:p>
            <w:pPr>
              <w:jc w:val="center"/>
            </w:pPr>
            <w:r>
              <w:rPr>
                <w:rFonts w:hint="eastAsia"/>
              </w:rPr>
              <w:t>采购人</w:t>
            </w:r>
          </w:p>
        </w:tc>
        <w:tc>
          <w:tcPr>
            <w:tcW w:w="4980" w:type="dxa"/>
            <w:vAlign w:val="center"/>
          </w:tcPr>
          <w:p>
            <w:pPr>
              <w:jc w:val="center"/>
              <w:rPr>
                <w:rFonts w:hint="eastAsia" w:ascii="宋体" w:hAnsi="宋体" w:eastAsia="宋体"/>
                <w:lang w:eastAsia="zh-CN"/>
              </w:rPr>
            </w:pPr>
            <w:r>
              <w:rPr>
                <w:rFonts w:hint="eastAsia" w:ascii="宋体" w:hAnsi="宋体"/>
                <w:lang w:eastAsia="zh-CN"/>
              </w:rPr>
              <w:t>深圳市福田区第二人民医院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eastAsia="宋体"/>
                <w:lang w:eastAsia="zh-CN"/>
              </w:rPr>
            </w:pPr>
            <w:r>
              <w:rPr>
                <w:rFonts w:hint="eastAsia" w:ascii="宋体" w:hAnsi="宋体"/>
              </w:rPr>
              <w:t>5</w:t>
            </w:r>
            <w:r>
              <w:rPr>
                <w:rFonts w:ascii="宋体" w:hAnsi="宋体"/>
              </w:rPr>
              <w:t>.</w:t>
            </w:r>
            <w:r>
              <w:rPr>
                <w:rFonts w:hint="eastAsia" w:ascii="宋体" w:hAnsi="宋体"/>
                <w:lang w:val="en-US" w:eastAsia="zh-CN"/>
              </w:rPr>
              <w:t>2</w:t>
            </w:r>
          </w:p>
        </w:tc>
        <w:tc>
          <w:tcPr>
            <w:tcW w:w="2409" w:type="dxa"/>
            <w:vAlign w:val="center"/>
          </w:tcPr>
          <w:p>
            <w:pPr>
              <w:jc w:val="center"/>
              <w:rPr>
                <w:rFonts w:ascii="宋体" w:hAnsi="宋体"/>
              </w:rPr>
            </w:pPr>
            <w:r>
              <w:rPr>
                <w:rFonts w:hint="eastAsia" w:ascii="宋体" w:hAnsi="宋体"/>
              </w:rPr>
              <w:t>联合体投标</w:t>
            </w:r>
          </w:p>
        </w:tc>
        <w:tc>
          <w:tcPr>
            <w:tcW w:w="4980" w:type="dxa"/>
            <w:vAlign w:val="center"/>
          </w:tcPr>
          <w:p>
            <w:pPr>
              <w:jc w:val="center"/>
              <w:rPr>
                <w:rFonts w:ascii="宋体" w:hAnsi="宋体"/>
              </w:rPr>
            </w:pPr>
            <w:r>
              <w:rPr>
                <w:rFonts w:hint="eastAsia" w:ascii="宋体" w:hAnsi="宋体"/>
              </w:rPr>
              <w:t>口接受   ■不接受；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9</w:t>
            </w:r>
          </w:p>
        </w:tc>
        <w:tc>
          <w:tcPr>
            <w:tcW w:w="2409" w:type="dxa"/>
            <w:vAlign w:val="center"/>
          </w:tcPr>
          <w:p>
            <w:pPr>
              <w:jc w:val="center"/>
              <w:rPr>
                <w:rFonts w:ascii="宋体" w:hAnsi="宋体"/>
              </w:rPr>
            </w:pPr>
            <w:r>
              <w:rPr>
                <w:rFonts w:hint="eastAsia" w:ascii="宋体" w:hAnsi="宋体"/>
              </w:rPr>
              <w:t>踏勘现场</w:t>
            </w:r>
          </w:p>
        </w:tc>
        <w:tc>
          <w:tcPr>
            <w:tcW w:w="4980" w:type="dxa"/>
            <w:vAlign w:val="center"/>
          </w:tcPr>
          <w:p>
            <w:pPr>
              <w:jc w:val="center"/>
              <w:rPr>
                <w:rFonts w:ascii="宋体" w:hAnsi="宋体"/>
              </w:rPr>
            </w:pPr>
            <w:r>
              <w:rPr>
                <w:rFonts w:hint="eastAsia" w:ascii="宋体" w:hAnsi="宋体"/>
              </w:rPr>
              <w:t>■组织   口不组织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0</w:t>
            </w:r>
          </w:p>
        </w:tc>
        <w:tc>
          <w:tcPr>
            <w:tcW w:w="2409" w:type="dxa"/>
            <w:vAlign w:val="center"/>
          </w:tcPr>
          <w:p>
            <w:pPr>
              <w:jc w:val="center"/>
              <w:rPr>
                <w:rFonts w:ascii="宋体" w:hAnsi="宋体"/>
              </w:rPr>
            </w:pPr>
            <w:r>
              <w:rPr>
                <w:rFonts w:hint="eastAsia" w:ascii="宋体" w:hAnsi="宋体"/>
              </w:rPr>
              <w:t>标前会议</w:t>
            </w:r>
          </w:p>
        </w:tc>
        <w:tc>
          <w:tcPr>
            <w:tcW w:w="4980" w:type="dxa"/>
            <w:vAlign w:val="center"/>
          </w:tcPr>
          <w:p>
            <w:pPr>
              <w:jc w:val="center"/>
              <w:rPr>
                <w:rFonts w:ascii="宋体" w:hAnsi="宋体"/>
              </w:rPr>
            </w:pPr>
            <w:r>
              <w:rPr>
                <w:rFonts w:hint="eastAsia" w:ascii="宋体" w:hAnsi="宋体"/>
              </w:rPr>
              <w:t>口组织   ■不组织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pPr>
              <w:jc w:val="center"/>
              <w:rPr>
                <w:rFonts w:ascii="宋体" w:hAnsi="宋体"/>
              </w:rPr>
            </w:pPr>
            <w:r>
              <w:rPr>
                <w:rFonts w:hint="eastAsia" w:ascii="宋体" w:hAnsi="宋体"/>
              </w:rPr>
              <w:t>招标文件的澄清和修改</w:t>
            </w:r>
          </w:p>
        </w:tc>
        <w:tc>
          <w:tcPr>
            <w:tcW w:w="4980" w:type="dxa"/>
            <w:vAlign w:val="center"/>
          </w:tcPr>
          <w:p>
            <w:pPr>
              <w:jc w:val="left"/>
              <w:rPr>
                <w:rFonts w:ascii="宋体" w:hAnsi="宋体"/>
              </w:rPr>
            </w:pPr>
            <w:r>
              <w:rPr>
                <w:rFonts w:hint="eastAsia" w:ascii="宋体" w:hAnsi="宋体"/>
              </w:rPr>
              <w:t>不晚于投标截止日三日前，投标人有义务在招标期间在我院官方网站浏览与本项目有关的澄清和修改信息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0</w:t>
            </w:r>
          </w:p>
        </w:tc>
        <w:tc>
          <w:tcPr>
            <w:tcW w:w="2409" w:type="dxa"/>
            <w:vAlign w:val="center"/>
          </w:tcPr>
          <w:p>
            <w:pPr>
              <w:jc w:val="center"/>
              <w:rPr>
                <w:rFonts w:ascii="宋体" w:hAnsi="宋体"/>
              </w:rPr>
            </w:pPr>
            <w:r>
              <w:rPr>
                <w:rFonts w:hint="eastAsia" w:ascii="宋体" w:hAnsi="宋体"/>
              </w:rPr>
              <w:t>投标有效期</w:t>
            </w:r>
          </w:p>
        </w:tc>
        <w:tc>
          <w:tcPr>
            <w:tcW w:w="4980" w:type="dxa"/>
            <w:vAlign w:val="center"/>
          </w:tcPr>
          <w:p>
            <w:pPr>
              <w:jc w:val="center"/>
              <w:rPr>
                <w:rFonts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2</w:t>
            </w:r>
          </w:p>
        </w:tc>
        <w:tc>
          <w:tcPr>
            <w:tcW w:w="2409" w:type="dxa"/>
            <w:vAlign w:val="center"/>
          </w:tcPr>
          <w:p>
            <w:pPr>
              <w:jc w:val="center"/>
              <w:rPr>
                <w:rFonts w:ascii="宋体" w:hAnsi="宋体"/>
              </w:rPr>
            </w:pPr>
            <w:r>
              <w:rPr>
                <w:rFonts w:hint="eastAsia" w:ascii="宋体" w:hAnsi="宋体"/>
              </w:rPr>
              <w:t>投标人的替代方案</w:t>
            </w:r>
          </w:p>
        </w:tc>
        <w:tc>
          <w:tcPr>
            <w:tcW w:w="4980" w:type="dxa"/>
            <w:vAlign w:val="center"/>
          </w:tcPr>
          <w:p>
            <w:pPr>
              <w:jc w:val="center"/>
              <w:rPr>
                <w:rFonts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color w:val="auto"/>
              </w:rPr>
            </w:pPr>
            <w:r>
              <w:rPr>
                <w:rFonts w:hint="eastAsia" w:ascii="宋体" w:hAnsi="宋体"/>
                <w:color w:val="auto"/>
              </w:rPr>
              <w:t>2</w:t>
            </w:r>
            <w:r>
              <w:rPr>
                <w:rFonts w:ascii="宋体" w:hAnsi="宋体"/>
                <w:color w:val="auto"/>
              </w:rPr>
              <w:t>5</w:t>
            </w:r>
          </w:p>
        </w:tc>
        <w:tc>
          <w:tcPr>
            <w:tcW w:w="2409" w:type="dxa"/>
            <w:vAlign w:val="center"/>
          </w:tcPr>
          <w:p>
            <w:pPr>
              <w:jc w:val="center"/>
              <w:rPr>
                <w:rFonts w:ascii="宋体" w:hAnsi="宋体"/>
                <w:color w:val="auto"/>
              </w:rPr>
            </w:pPr>
            <w:r>
              <w:rPr>
                <w:rFonts w:hint="eastAsia" w:ascii="宋体" w:hAnsi="宋体"/>
                <w:color w:val="auto"/>
              </w:rPr>
              <w:t>投标文件的大小</w:t>
            </w:r>
          </w:p>
        </w:tc>
        <w:tc>
          <w:tcPr>
            <w:tcW w:w="4980" w:type="dxa"/>
            <w:vAlign w:val="center"/>
          </w:tcPr>
          <w:p>
            <w:pPr>
              <w:jc w:val="center"/>
              <w:rPr>
                <w:rFonts w:ascii="宋体" w:hAnsi="宋体"/>
                <w:color w:val="auto"/>
              </w:rPr>
            </w:pPr>
            <w:r>
              <w:rPr>
                <w:rFonts w:hint="eastAsia" w:ascii="宋体" w:hAnsi="宋体"/>
                <w:color w:val="auto"/>
              </w:rPr>
              <w:t>投标文件大小不得超过</w:t>
            </w:r>
            <w:r>
              <w:rPr>
                <w:rFonts w:ascii="宋体" w:hAnsi="宋体"/>
                <w:color w:val="auto"/>
              </w:rPr>
              <w:t>1</w:t>
            </w:r>
            <w:r>
              <w:rPr>
                <w:rFonts w:hint="eastAsia" w:ascii="宋体" w:hAnsi="宋体"/>
                <w:color w:val="auto"/>
              </w:rPr>
              <w:t>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2</w:t>
            </w:r>
            <w:r>
              <w:rPr>
                <w:rFonts w:ascii="宋体" w:hAnsi="宋体"/>
              </w:rPr>
              <w:t>6</w:t>
            </w:r>
          </w:p>
        </w:tc>
        <w:tc>
          <w:tcPr>
            <w:tcW w:w="2409" w:type="dxa"/>
            <w:vAlign w:val="center"/>
          </w:tcPr>
          <w:p>
            <w:pPr>
              <w:jc w:val="center"/>
              <w:rPr>
                <w:rFonts w:ascii="宋体" w:hAnsi="宋体"/>
              </w:rPr>
            </w:pPr>
            <w:bookmarkStart w:id="34" w:name="_Hlk71664860"/>
            <w:r>
              <w:rPr>
                <w:rFonts w:hint="eastAsia" w:ascii="宋体" w:hAnsi="宋体"/>
              </w:rPr>
              <w:t>样品、现场演示、方案讲解</w:t>
            </w:r>
            <w:bookmarkEnd w:id="34"/>
          </w:p>
        </w:tc>
        <w:tc>
          <w:tcPr>
            <w:tcW w:w="4980" w:type="dxa"/>
            <w:vAlign w:val="center"/>
          </w:tcPr>
          <w:p>
            <w:pPr>
              <w:jc w:val="center"/>
              <w:rPr>
                <w:rFonts w:ascii="宋体" w:hAnsi="宋体"/>
              </w:rPr>
            </w:pPr>
            <w:r>
              <w:rPr>
                <w:rFonts w:hint="eastAsia" w:ascii="宋体" w:hAnsi="宋体"/>
              </w:rPr>
              <w:t>口需要   ■不需要；</w:t>
            </w:r>
          </w:p>
          <w:p>
            <w:pPr>
              <w:jc w:val="center"/>
              <w:rPr>
                <w:rFonts w:ascii="宋体" w:hAnsi="宋体"/>
              </w:rPr>
            </w:pPr>
            <w:r>
              <w:rPr>
                <w:rFonts w:hint="eastAsia" w:ascii="宋体" w:hAnsi="宋体"/>
              </w:rPr>
              <w:t>具体安排见其他关键信息章节。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7</w:t>
            </w:r>
          </w:p>
        </w:tc>
        <w:tc>
          <w:tcPr>
            <w:tcW w:w="2409" w:type="dxa"/>
            <w:vAlign w:val="center"/>
          </w:tcPr>
          <w:p>
            <w:pPr>
              <w:jc w:val="center"/>
              <w:rPr>
                <w:rFonts w:ascii="宋体" w:hAnsi="宋体"/>
              </w:rPr>
            </w:pPr>
            <w:r>
              <w:rPr>
                <w:rFonts w:hint="eastAsia" w:ascii="宋体" w:hAnsi="宋体"/>
              </w:rPr>
              <w:t>评审方法</w:t>
            </w:r>
          </w:p>
        </w:tc>
        <w:tc>
          <w:tcPr>
            <w:tcW w:w="4980" w:type="dxa"/>
            <w:vAlign w:val="center"/>
          </w:tcPr>
          <w:p>
            <w:pPr>
              <w:jc w:val="center"/>
              <w:rPr>
                <w:rFonts w:ascii="宋体" w:hAnsi="宋体"/>
              </w:rPr>
            </w:pPr>
            <w:r>
              <w:rPr>
                <w:rFonts w:hint="eastAsia" w:ascii="宋体" w:hAnsi="宋体"/>
              </w:rPr>
              <w:t>口最低价法   ■综合评分法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3</w:t>
            </w:r>
            <w:r>
              <w:rPr>
                <w:rFonts w:ascii="宋体" w:hAnsi="宋体"/>
              </w:rPr>
              <w:t>8</w:t>
            </w:r>
          </w:p>
        </w:tc>
        <w:tc>
          <w:tcPr>
            <w:tcW w:w="2409" w:type="dxa"/>
            <w:vAlign w:val="center"/>
          </w:tcPr>
          <w:p>
            <w:pPr>
              <w:jc w:val="center"/>
              <w:rPr>
                <w:rFonts w:ascii="宋体" w:hAnsi="宋体"/>
              </w:rPr>
            </w:pPr>
            <w:r>
              <w:rPr>
                <w:rFonts w:hint="eastAsia" w:ascii="宋体" w:hAnsi="宋体"/>
              </w:rPr>
              <w:t>定标方法</w:t>
            </w:r>
          </w:p>
        </w:tc>
        <w:tc>
          <w:tcPr>
            <w:tcW w:w="4980" w:type="dxa"/>
            <w:vAlign w:val="center"/>
          </w:tcPr>
          <w:p>
            <w:pPr>
              <w:jc w:val="center"/>
              <w:rPr>
                <w:rFonts w:ascii="宋体" w:hAnsi="宋体"/>
              </w:rPr>
            </w:pPr>
            <w:r>
              <w:rPr>
                <w:rFonts w:hint="eastAsia" w:ascii="宋体" w:hAnsi="宋体"/>
              </w:rPr>
              <w:t>■非评定分离   口评定分离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rPr>
            </w:pPr>
            <w:r>
              <w:rPr>
                <w:rFonts w:hint="eastAsia" w:ascii="宋体" w:hAnsi="宋体"/>
              </w:rPr>
              <w:t>4</w:t>
            </w:r>
            <w:r>
              <w:rPr>
                <w:rFonts w:ascii="宋体" w:hAnsi="宋体"/>
              </w:rPr>
              <w:t>6</w:t>
            </w:r>
          </w:p>
        </w:tc>
        <w:tc>
          <w:tcPr>
            <w:tcW w:w="2409" w:type="dxa"/>
            <w:vAlign w:val="center"/>
          </w:tcPr>
          <w:p>
            <w:pPr>
              <w:jc w:val="center"/>
              <w:rPr>
                <w:rFonts w:ascii="宋体" w:hAnsi="宋体"/>
              </w:rPr>
            </w:pPr>
            <w:r>
              <w:rPr>
                <w:rFonts w:hint="eastAsia" w:ascii="宋体" w:hAnsi="宋体"/>
              </w:rPr>
              <w:t>履约担保</w:t>
            </w:r>
          </w:p>
        </w:tc>
        <w:tc>
          <w:tcPr>
            <w:tcW w:w="4980" w:type="dxa"/>
            <w:vAlign w:val="center"/>
          </w:tcPr>
          <w:p>
            <w:pPr>
              <w:jc w:val="center"/>
              <w:rPr>
                <w:rFonts w:ascii="宋体" w:hAnsi="宋体"/>
              </w:rPr>
            </w:pPr>
            <w:r>
              <w:rPr>
                <w:rFonts w:hint="eastAsia" w:ascii="宋体" w:hAnsi="宋体"/>
              </w:rPr>
              <w:t>口需要   ■不需要；</w:t>
            </w:r>
          </w:p>
          <w:p>
            <w:pPr>
              <w:jc w:val="center"/>
              <w:rPr>
                <w:rFonts w:ascii="宋体" w:hAnsi="宋体"/>
              </w:rPr>
            </w:pPr>
            <w:r>
              <w:rPr>
                <w:rFonts w:hint="eastAsia" w:ascii="宋体" w:hAnsi="宋体"/>
              </w:rPr>
              <w:t>“为合同金额的</w:t>
            </w:r>
            <w:r>
              <w:rPr>
                <w:rFonts w:ascii="宋体" w:hAnsi="宋体"/>
                <w:b/>
                <w:bCs/>
              </w:rPr>
              <w:t>0</w:t>
            </w:r>
            <w:r>
              <w:rPr>
                <w:rFonts w:hint="eastAsia" w:ascii="宋体" w:hAnsi="宋体"/>
              </w:rPr>
              <w:t>%，具体见其他关键信息章节”；履约担保金额不能超过合同金额的10%。</w:t>
            </w:r>
          </w:p>
        </w:tc>
      </w:tr>
    </w:tbl>
    <w:p>
      <w:pPr>
        <w:rPr>
          <w:b/>
        </w:rPr>
      </w:pPr>
      <w:r>
        <w:rPr>
          <w:rFonts w:hint="eastAsia"/>
          <w:szCs w:val="21"/>
        </w:rPr>
        <w:t>备注：本表是通用条款相关条款的补充和明确，如与通用条款内容相冲突的，以本表为准。</w:t>
      </w:r>
    </w:p>
    <w:bookmarkEnd w:id="33"/>
    <w:p>
      <w:pPr>
        <w:pStyle w:val="4"/>
        <w:jc w:val="center"/>
        <w:rPr>
          <w:rFonts w:ascii="黑体" w:eastAsia="黑体"/>
          <w:b w:val="0"/>
          <w:sz w:val="24"/>
        </w:rPr>
      </w:pPr>
      <w:bookmarkStart w:id="35" w:name="_Hlk72218117"/>
      <w:r>
        <w:rPr>
          <w:rFonts w:hint="eastAsia" w:ascii="黑体" w:eastAsia="黑体"/>
          <w:b w:val="0"/>
          <w:sz w:val="24"/>
        </w:rPr>
        <w:t>二、其他关键信息</w:t>
      </w:r>
    </w:p>
    <w:p>
      <w:pPr>
        <w:ind w:firstLine="422" w:firstLineChars="200"/>
        <w:rPr>
          <w:b/>
          <w:bCs/>
        </w:rPr>
      </w:pPr>
      <w:bookmarkStart w:id="36" w:name="_Hlk72579427"/>
      <w:r>
        <w:rPr>
          <w:rFonts w:hint="eastAsia"/>
          <w:b/>
          <w:bCs/>
        </w:rPr>
        <w:t>（一）与“对通用条款的补充内容”章节相关的事项</w:t>
      </w:r>
    </w:p>
    <w:p>
      <w:pPr>
        <w:ind w:firstLine="422" w:firstLineChars="200"/>
        <w:rPr>
          <w:rFonts w:ascii="宋体" w:hAnsi="宋体"/>
          <w:b/>
        </w:rPr>
      </w:pPr>
      <w:r>
        <w:rPr>
          <w:rFonts w:hint="eastAsia" w:ascii="宋体" w:hAnsi="宋体"/>
          <w:b/>
        </w:rPr>
        <w:t>1、投标报价要求</w:t>
      </w:r>
    </w:p>
    <w:p>
      <w:pPr>
        <w:ind w:firstLine="420" w:firstLineChars="200"/>
      </w:pPr>
      <w:r>
        <w:rPr>
          <w:rFonts w:hint="eastAsia"/>
        </w:rPr>
        <w:t>（1）投标总价必须是完成该项目的一切费用总和，包括设备费、运输费、装卸费、保险费、技术培训费、设备安装费、调试费、售后服务费、国家规定的各项税费等；</w:t>
      </w:r>
    </w:p>
    <w:p>
      <w:pPr>
        <w:ind w:firstLine="420" w:firstLineChars="200"/>
      </w:pPr>
      <w:r>
        <w:rPr>
          <w:rFonts w:hint="eastAsia"/>
        </w:rPr>
        <w:t>（</w:t>
      </w:r>
      <w:r>
        <w:t>2</w:t>
      </w:r>
      <w:r>
        <w:rPr>
          <w:rFonts w:hint="eastAsia"/>
        </w:rPr>
        <w:t>）投标币种：人民币；</w:t>
      </w:r>
    </w:p>
    <w:p>
      <w:pPr>
        <w:ind w:firstLine="420" w:firstLineChars="200"/>
      </w:pPr>
      <w:r>
        <w:rPr>
          <w:rFonts w:hint="eastAsia"/>
        </w:rPr>
        <w:t>（3）投标报价超出财政预算，或者项目报价表中单个采购预算条目报价超过对应的财政预算的，投标无效。</w:t>
      </w:r>
    </w:p>
    <w:p>
      <w:pPr>
        <w:ind w:firstLine="422" w:firstLineChars="200"/>
        <w:rPr>
          <w:rFonts w:hint="eastAsia"/>
          <w:b/>
          <w:szCs w:val="20"/>
        </w:rPr>
      </w:pPr>
      <w:r>
        <w:rPr>
          <w:rFonts w:hint="eastAsia"/>
          <w:b/>
          <w:szCs w:val="20"/>
        </w:rPr>
        <w:t>（</w:t>
      </w:r>
      <w:r>
        <w:rPr>
          <w:b/>
          <w:szCs w:val="20"/>
        </w:rPr>
        <w:t>a</w:t>
      </w:r>
      <w:r>
        <w:rPr>
          <w:rFonts w:hint="eastAsia"/>
          <w:b/>
          <w:szCs w:val="20"/>
        </w:rPr>
        <w:t>）财政预算金额为：</w:t>
      </w:r>
      <w:r>
        <w:rPr>
          <w:rFonts w:hint="eastAsia" w:ascii="宋体" w:hAnsi="宋体" w:eastAsia="宋体" w:cs="宋体"/>
          <w:b/>
          <w:szCs w:val="20"/>
          <w:lang w:val="en-US" w:eastAsia="zh-CN"/>
        </w:rPr>
        <w:t>11</w:t>
      </w:r>
      <w:r>
        <w:rPr>
          <w:rFonts w:hint="eastAsia"/>
          <w:b/>
          <w:szCs w:val="20"/>
          <w:lang w:val="en-US" w:eastAsia="zh-CN"/>
        </w:rPr>
        <w:t>万</w:t>
      </w:r>
      <w:r>
        <w:rPr>
          <w:rFonts w:hint="eastAsia"/>
          <w:b/>
          <w:szCs w:val="20"/>
        </w:rPr>
        <w:t>元</w:t>
      </w:r>
      <w:r>
        <w:rPr>
          <w:rFonts w:hint="eastAsia"/>
          <w:b/>
          <w:szCs w:val="20"/>
          <w:lang w:eastAsia="zh-CN"/>
        </w:rPr>
        <w:t>。</w:t>
      </w:r>
      <w:r>
        <w:rPr>
          <w:rFonts w:hint="eastAsia"/>
          <w:b/>
          <w:szCs w:val="20"/>
        </w:rPr>
        <w:t xml:space="preserve">     </w:t>
      </w:r>
    </w:p>
    <w:p>
      <w:pPr>
        <w:ind w:firstLine="422" w:firstLineChars="200"/>
        <w:rPr>
          <w:b/>
          <w:szCs w:val="20"/>
        </w:rPr>
      </w:pPr>
      <w:r>
        <w:rPr>
          <w:rFonts w:hint="eastAsia"/>
          <w:b/>
          <w:szCs w:val="20"/>
        </w:rPr>
        <w:t>（b）</w:t>
      </w:r>
      <w:r>
        <w:rPr>
          <w:rFonts w:hint="eastAsia" w:ascii="宋体" w:hAnsi="宋体" w:cs="宋体"/>
          <w:b/>
          <w:bCs/>
          <w:szCs w:val="21"/>
        </w:rPr>
        <w:t>最高限价：</w:t>
      </w:r>
      <w:r>
        <w:rPr>
          <w:rFonts w:hint="eastAsia" w:ascii="宋体" w:hAnsi="宋体" w:eastAsia="宋体" w:cs="宋体"/>
          <w:b/>
          <w:szCs w:val="20"/>
          <w:lang w:val="en-US" w:eastAsia="zh-CN"/>
        </w:rPr>
        <w:t>11</w:t>
      </w:r>
      <w:r>
        <w:rPr>
          <w:rFonts w:hint="eastAsia"/>
          <w:b/>
          <w:szCs w:val="20"/>
          <w:lang w:val="en-US" w:eastAsia="zh-CN"/>
        </w:rPr>
        <w:t>万</w:t>
      </w:r>
      <w:r>
        <w:rPr>
          <w:rFonts w:hint="eastAsia"/>
          <w:b/>
          <w:szCs w:val="20"/>
        </w:rPr>
        <w:t>元</w:t>
      </w:r>
      <w:r>
        <w:rPr>
          <w:rFonts w:hint="eastAsia"/>
          <w:b/>
          <w:szCs w:val="20"/>
          <w:lang w:eastAsia="zh-CN"/>
        </w:rPr>
        <w:t>。</w:t>
      </w:r>
      <w:r>
        <w:rPr>
          <w:rFonts w:hint="eastAsia"/>
          <w:b/>
          <w:szCs w:val="20"/>
        </w:rPr>
        <w:t xml:space="preserve">   </w:t>
      </w:r>
    </w:p>
    <w:p>
      <w:pPr>
        <w:ind w:firstLine="420" w:firstLineChars="200"/>
      </w:pPr>
      <w:r>
        <w:rPr>
          <w:rFonts w:hint="eastAsia"/>
        </w:rPr>
        <w:t>（4）合理评判供应商报价；</w:t>
      </w:r>
    </w:p>
    <w:p>
      <w:pPr>
        <w:ind w:firstLine="420" w:firstLineChars="200"/>
      </w:pPr>
      <w:r>
        <w:rPr>
          <w:rFonts w:hint="eastAsia"/>
        </w:rPr>
        <w:t>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ind w:firstLine="420" w:firstLineChars="200"/>
      </w:pPr>
      <w:r>
        <w:rPr>
          <w:rFonts w:hint="eastAsia"/>
        </w:rPr>
        <w:t>若评标委员会成员对是否须由投标人作出报价合理性说明，以及书面说明是否采纳等判断不一致的，按照“少数服从多数”的原则确定评标委员会的意见。</w:t>
      </w:r>
    </w:p>
    <w:p>
      <w:pPr>
        <w:ind w:firstLine="422" w:firstLineChars="200"/>
        <w:rPr>
          <w:rFonts w:ascii="宋体" w:hAnsi="宋体"/>
          <w:b/>
        </w:rPr>
      </w:pPr>
      <w:r>
        <w:rPr>
          <w:rFonts w:ascii="宋体" w:hAnsi="宋体"/>
          <w:b/>
        </w:rPr>
        <w:t>2</w:t>
      </w:r>
      <w:r>
        <w:rPr>
          <w:rFonts w:hint="eastAsia" w:ascii="宋体" w:hAnsi="宋体"/>
          <w:b/>
        </w:rPr>
        <w:t>、履约担保</w:t>
      </w:r>
    </w:p>
    <w:p>
      <w:pPr>
        <w:ind w:firstLine="420" w:firstLineChars="200"/>
        <w:rPr>
          <w:rFonts w:ascii="宋体" w:hAnsi="宋体"/>
          <w:bCs/>
        </w:rPr>
      </w:pPr>
      <w:r>
        <w:rPr>
          <w:rFonts w:hint="eastAsia" w:ascii="宋体" w:hAnsi="宋体"/>
          <w:bCs/>
        </w:rPr>
        <w:t>涉及提供履约担保的，应当允许中标供应商自主选择以支票、汇票、本票、保函等非现金方式提交履约担保，并明确其他相关事项（包括但不限于履约担保退还的方式、时间、条件、不予退还情形、逾期退还的责任等），且不得以中标供应商提交履约担保作为合同签订的条件，不得要求中标供应商提供除法律、法规明确规定外的其他担保。</w:t>
      </w:r>
    </w:p>
    <w:p>
      <w:pPr>
        <w:ind w:firstLine="420" w:firstLineChars="200"/>
        <w:rPr>
          <w:rFonts w:ascii="宋体" w:hAnsi="宋体"/>
          <w:bCs/>
        </w:rPr>
      </w:pPr>
      <w:r>
        <w:rPr>
          <w:rFonts w:hint="eastAsia" w:ascii="宋体" w:hAnsi="宋体"/>
          <w:bCs/>
        </w:rPr>
        <w:t>具体表述可参考：“允许中标供应商自主选择以支票、汇票、本票、保函等非现金方式提交履约担保。</w:t>
      </w:r>
    </w:p>
    <w:p>
      <w:pPr>
        <w:ind w:firstLine="420" w:firstLineChars="200"/>
        <w:rPr>
          <w:rFonts w:ascii="宋体" w:hAnsi="宋体"/>
          <w:bCs/>
        </w:rPr>
      </w:pPr>
      <w:r>
        <w:rPr>
          <w:rFonts w:ascii="宋体" w:hAnsi="宋体"/>
          <w:bCs/>
        </w:rPr>
        <w:t xml:space="preserve"> </w:t>
      </w:r>
    </w:p>
    <w:p>
      <w:pPr>
        <w:ind w:firstLine="422" w:firstLineChars="200"/>
        <w:rPr>
          <w:rFonts w:asciiTheme="minorEastAsia" w:hAnsiTheme="minorEastAsia" w:eastAsiaTheme="minorEastAsia"/>
          <w:b/>
          <w:szCs w:val="21"/>
        </w:rPr>
      </w:pPr>
      <w:r>
        <w:rPr>
          <w:rFonts w:asciiTheme="minorEastAsia" w:hAnsiTheme="minorEastAsia" w:eastAsiaTheme="minorEastAsia"/>
          <w:b/>
          <w:szCs w:val="21"/>
        </w:rPr>
        <w:t>3</w:t>
      </w:r>
      <w:r>
        <w:rPr>
          <w:rFonts w:hint="eastAsia" w:asciiTheme="minorEastAsia" w:hAnsiTheme="minorEastAsia" w:eastAsiaTheme="minorEastAsia"/>
          <w:b/>
          <w:szCs w:val="21"/>
        </w:rPr>
        <w:t>、样品提供要求</w:t>
      </w:r>
    </w:p>
    <w:p>
      <w:pPr>
        <w:ind w:firstLine="420" w:firstLineChars="200"/>
        <w:rPr>
          <w:rFonts w:ascii="宋体" w:hAnsi="宋体"/>
          <w:bCs/>
        </w:rPr>
      </w:pPr>
      <w:r>
        <w:rPr>
          <w:rFonts w:hint="eastAsia" w:ascii="宋体" w:hAnsi="宋体"/>
          <w:bCs/>
        </w:rPr>
        <w:t>（1）样品上应当标注“项目名称及项目编号、样品编号、样品名称”等信息，但不得显示指向任何供应商的信息、生产厂家的商标，或者其他的标记标识。需要安装的样品必须为安装完整的成品，由供应商自行组织安装。</w:t>
      </w:r>
    </w:p>
    <w:p>
      <w:pPr>
        <w:ind w:firstLine="420" w:firstLineChars="200"/>
        <w:rPr>
          <w:rFonts w:ascii="宋体" w:hAnsi="宋体"/>
          <w:bCs/>
        </w:rPr>
      </w:pPr>
      <w:r>
        <w:rPr>
          <w:rFonts w:hint="eastAsia" w:ascii="宋体" w:hAnsi="宋体"/>
          <w:bCs/>
        </w:rPr>
        <w:t>（2）样品递交签到：</w:t>
      </w:r>
    </w:p>
    <w:p>
      <w:pPr>
        <w:ind w:firstLine="420" w:firstLineChars="200"/>
        <w:rPr>
          <w:rFonts w:ascii="宋体" w:hAnsi="宋体"/>
          <w:bCs/>
        </w:rPr>
      </w:pPr>
      <w:r>
        <w:rPr>
          <w:rFonts w:hint="eastAsia" w:ascii="宋体" w:hAnsi="宋体"/>
          <w:bCs/>
        </w:rPr>
        <w:t>供应商授权人需在本项目样品递交截止时间（开标当日，详见公告）前，</w:t>
      </w:r>
      <w:r>
        <w:rPr>
          <w:rFonts w:hint="eastAsia"/>
        </w:rPr>
        <w:t>提供法定代表人（负责人）授权委托书（加盖公章）、授权委托人身份证</w:t>
      </w:r>
      <w:bookmarkStart w:id="37" w:name="_Hlk75290105"/>
      <w:r>
        <w:rPr>
          <w:rFonts w:hint="eastAsia"/>
        </w:rPr>
        <w:t>（港澳台居民可提供来往通行证；非中国国籍管辖范围人员，可提供公安部门认可的身份证明材料，下同）</w:t>
      </w:r>
      <w:bookmarkEnd w:id="37"/>
      <w:r>
        <w:rPr>
          <w:rFonts w:hint="eastAsia"/>
        </w:rPr>
        <w:t>原件、样品清单（加盖公章），到我院</w:t>
      </w:r>
      <w:r>
        <w:rPr>
          <w:rFonts w:hint="eastAsia"/>
          <w:lang w:eastAsia="zh-CN"/>
        </w:rPr>
        <w:t>后勤管理部</w:t>
      </w:r>
      <w:r>
        <w:rPr>
          <w:rFonts w:hint="eastAsia"/>
        </w:rPr>
        <w:t>，按现场工作人员指引填写《样品递交签到表》。</w:t>
      </w:r>
    </w:p>
    <w:p>
      <w:pPr>
        <w:ind w:firstLine="422" w:firstLineChars="200"/>
        <w:rPr>
          <w:rFonts w:ascii="宋体" w:hAnsi="宋体"/>
          <w:b/>
        </w:rPr>
      </w:pPr>
      <w:r>
        <w:rPr>
          <w:rFonts w:hint="eastAsia" w:ascii="宋体" w:hAnsi="宋体"/>
          <w:b/>
        </w:rPr>
        <w:t>特别注意事项：（a）上述资料提供不齐全的，不予签到；（</w:t>
      </w:r>
      <w:r>
        <w:rPr>
          <w:rFonts w:ascii="宋体" w:hAnsi="宋体"/>
          <w:b/>
        </w:rPr>
        <w:t>b</w:t>
      </w:r>
      <w:r>
        <w:rPr>
          <w:rFonts w:hint="eastAsia" w:ascii="宋体" w:hAnsi="宋体"/>
          <w:b/>
        </w:rPr>
        <w:t>）样品递交截止时间后，不再受理签到；（</w:t>
      </w:r>
      <w:r>
        <w:rPr>
          <w:rFonts w:ascii="宋体" w:hAnsi="宋体"/>
          <w:b/>
        </w:rPr>
        <w:t>c</w:t>
      </w:r>
      <w:r>
        <w:rPr>
          <w:rFonts w:hint="eastAsia" w:ascii="宋体" w:hAnsi="宋体"/>
          <w:b/>
        </w:rPr>
        <w:t>）未进行签到的，样品不予接收：（</w:t>
      </w:r>
      <w:r>
        <w:rPr>
          <w:rFonts w:ascii="宋体" w:hAnsi="宋体"/>
          <w:b/>
        </w:rPr>
        <w:t>d</w:t>
      </w:r>
      <w:r>
        <w:rPr>
          <w:rFonts w:hint="eastAsia" w:ascii="宋体" w:hAnsi="宋体"/>
          <w:b/>
        </w:rPr>
        <w:t>）样品清单由供应商根据《样品要求表》自行确定格式，且应当列明所递交样品对应《样品要求表》的样品编号、样品名称、样品数量。</w:t>
      </w:r>
    </w:p>
    <w:p>
      <w:pPr>
        <w:ind w:firstLine="420" w:firstLineChars="200"/>
        <w:rPr>
          <w:rFonts w:ascii="宋体" w:hAnsi="宋体"/>
          <w:bCs/>
        </w:rPr>
      </w:pPr>
      <w:r>
        <w:rPr>
          <w:rFonts w:hint="eastAsia" w:ascii="宋体" w:hAnsi="宋体"/>
          <w:bCs/>
        </w:rPr>
        <w:t xml:space="preserve">（3）本项目样品递交截止时间后进行样品接收。样品接收必须进行身份核对、样品核对、登记确认、顺序编号。 </w:t>
      </w:r>
    </w:p>
    <w:p>
      <w:pPr>
        <w:ind w:firstLine="420" w:firstLineChars="200"/>
        <w:rPr>
          <w:rFonts w:ascii="宋体" w:hAnsi="宋体"/>
          <w:bCs/>
        </w:rPr>
      </w:pPr>
      <w:r>
        <w:rPr>
          <w:rFonts w:hint="eastAsia" w:ascii="宋体" w:hAnsi="宋体"/>
          <w:bCs/>
        </w:rPr>
        <w:t>（</w:t>
      </w:r>
      <w:r>
        <w:rPr>
          <w:rFonts w:ascii="宋体" w:hAnsi="宋体"/>
          <w:bCs/>
        </w:rPr>
        <w:t>a</w:t>
      </w:r>
      <w:r>
        <w:rPr>
          <w:rFonts w:hint="eastAsia" w:ascii="宋体" w:hAnsi="宋体"/>
          <w:bCs/>
        </w:rPr>
        <w:t>）身份核对。</w:t>
      </w:r>
      <w:r>
        <w:rPr>
          <w:rFonts w:hint="eastAsia" w:ascii="宋体" w:hAnsi="宋体"/>
          <w:bCs/>
          <w:lang w:eastAsia="zh-CN"/>
        </w:rPr>
        <w:t>招标采购人</w:t>
      </w:r>
      <w:r>
        <w:rPr>
          <w:rFonts w:hint="eastAsia" w:ascii="宋体" w:hAnsi="宋体"/>
          <w:bCs/>
        </w:rPr>
        <w:t>核对投标供应商授权委托人提供的法定代表人授权委托书（盖公章）、授权委托人身份证原件。资料不齐全的，不得接收样品。</w:t>
      </w:r>
    </w:p>
    <w:p>
      <w:pPr>
        <w:ind w:firstLine="420" w:firstLineChars="200"/>
        <w:rPr>
          <w:rFonts w:ascii="宋体" w:hAnsi="宋体"/>
          <w:bCs/>
        </w:rPr>
      </w:pPr>
      <w:r>
        <w:rPr>
          <w:rFonts w:hint="eastAsia" w:ascii="宋体" w:hAnsi="宋体"/>
          <w:bCs/>
        </w:rPr>
        <w:t>（</w:t>
      </w:r>
      <w:r>
        <w:rPr>
          <w:rFonts w:ascii="宋体" w:hAnsi="宋体"/>
          <w:bCs/>
        </w:rPr>
        <w:t>b</w:t>
      </w:r>
      <w:r>
        <w:rPr>
          <w:rFonts w:hint="eastAsia" w:ascii="宋体" w:hAnsi="宋体"/>
          <w:bCs/>
        </w:rPr>
        <w:t>）样品核对。</w:t>
      </w:r>
      <w:r>
        <w:rPr>
          <w:rFonts w:hint="eastAsia" w:ascii="宋体" w:hAnsi="宋体"/>
          <w:bCs/>
          <w:lang w:eastAsia="zh-CN"/>
        </w:rPr>
        <w:t>招标采购人</w:t>
      </w:r>
      <w:r>
        <w:rPr>
          <w:rFonts w:hint="eastAsia" w:ascii="宋体" w:hAnsi="宋体"/>
          <w:bCs/>
        </w:rPr>
        <w:t>工作人员将样品与供应商提供的《样品清单》（盖公章）进行一一核对。有不一致、损坏等特殊情况的，将要求供应商授权委托人在《样品清单》上注明。</w:t>
      </w:r>
    </w:p>
    <w:p>
      <w:pPr>
        <w:ind w:firstLine="420" w:firstLineChars="200"/>
        <w:rPr>
          <w:rFonts w:ascii="宋体" w:hAnsi="宋体"/>
          <w:bCs/>
        </w:rPr>
      </w:pPr>
      <w:r>
        <w:rPr>
          <w:rFonts w:hint="eastAsia" w:ascii="宋体" w:hAnsi="宋体"/>
          <w:bCs/>
        </w:rPr>
        <w:t>（</w:t>
      </w:r>
      <w:r>
        <w:rPr>
          <w:rFonts w:ascii="宋体" w:hAnsi="宋体"/>
          <w:bCs/>
        </w:rPr>
        <w:t>c</w:t>
      </w:r>
      <w:r>
        <w:rPr>
          <w:rFonts w:hint="eastAsia" w:ascii="宋体" w:hAnsi="宋体"/>
          <w:bCs/>
        </w:rPr>
        <w:t>）登记确认。在完成身份核对及样品核对后，</w:t>
      </w:r>
      <w:r>
        <w:rPr>
          <w:rFonts w:hint="eastAsia" w:ascii="宋体" w:hAnsi="宋体"/>
          <w:bCs/>
          <w:lang w:eastAsia="zh-CN"/>
        </w:rPr>
        <w:t>招标采购人</w:t>
      </w:r>
      <w:r>
        <w:rPr>
          <w:rFonts w:hint="eastAsia" w:ascii="宋体" w:hAnsi="宋体"/>
          <w:bCs/>
        </w:rPr>
        <w:t>工作人员将向供应商授权委托人发放《样品受理回执》。</w:t>
      </w:r>
    </w:p>
    <w:p>
      <w:pPr>
        <w:ind w:firstLine="420" w:firstLineChars="200"/>
        <w:rPr>
          <w:rFonts w:ascii="宋体" w:hAnsi="宋体"/>
          <w:bCs/>
        </w:rPr>
      </w:pPr>
      <w:r>
        <w:rPr>
          <w:rFonts w:hint="eastAsia" w:ascii="宋体" w:hAnsi="宋体"/>
          <w:bCs/>
        </w:rPr>
        <w:t>（</w:t>
      </w:r>
      <w:r>
        <w:rPr>
          <w:rFonts w:ascii="宋体" w:hAnsi="宋体"/>
          <w:bCs/>
        </w:rPr>
        <w:t>d</w:t>
      </w:r>
      <w:r>
        <w:rPr>
          <w:rFonts w:hint="eastAsia" w:ascii="宋体" w:hAnsi="宋体"/>
          <w:bCs/>
        </w:rPr>
        <w:t>）顺序编号。</w:t>
      </w:r>
      <w:r>
        <w:rPr>
          <w:rFonts w:hint="eastAsia" w:ascii="宋体" w:hAnsi="宋体"/>
          <w:bCs/>
          <w:lang w:eastAsia="zh-CN"/>
        </w:rPr>
        <w:t>招标采购人</w:t>
      </w:r>
      <w:r>
        <w:rPr>
          <w:rFonts w:hint="eastAsia" w:ascii="宋体" w:hAnsi="宋体"/>
          <w:bCs/>
        </w:rPr>
        <w:t>工作人员按样品接收的先后顺序进行编号。</w:t>
      </w:r>
    </w:p>
    <w:p>
      <w:pPr>
        <w:ind w:firstLine="420" w:firstLineChars="200"/>
        <w:rPr>
          <w:rFonts w:ascii="宋体" w:hAnsi="宋体"/>
          <w:bCs/>
        </w:rPr>
      </w:pPr>
      <w:r>
        <w:rPr>
          <w:rFonts w:hint="eastAsia" w:ascii="宋体" w:hAnsi="宋体"/>
          <w:bCs/>
        </w:rPr>
        <w:t>（4）招标采购工作人员负责组织样品摆样，指引供应商授权委托人将样品搬运到指定的样品摆样区进行摆放、拆除包装，并按要求摆放整齐。完成样品摆样后，供应商授权委托人应及时离场，不得在摆样现场逗留。</w:t>
      </w:r>
    </w:p>
    <w:p>
      <w:pPr>
        <w:ind w:firstLine="420" w:firstLineChars="200"/>
        <w:rPr>
          <w:rFonts w:ascii="宋体" w:hAnsi="宋体"/>
          <w:bCs/>
        </w:rPr>
      </w:pPr>
      <w:r>
        <w:rPr>
          <w:rFonts w:hint="eastAsia" w:ascii="宋体" w:hAnsi="宋体"/>
          <w:bCs/>
        </w:rPr>
        <w:t>（5）样品的退回：（</w:t>
      </w:r>
      <w:r>
        <w:rPr>
          <w:rFonts w:ascii="宋体" w:hAnsi="宋体"/>
          <w:bCs/>
        </w:rPr>
        <w:t>a</w:t>
      </w:r>
      <w:r>
        <w:rPr>
          <w:rFonts w:hint="eastAsia" w:ascii="宋体" w:hAnsi="宋体"/>
          <w:bCs/>
        </w:rPr>
        <w:t>）未中标（成交）供应商投标样品，招标采购工作人员将按规定进行通知，并要求供应商授权委托人在项目完成评审后的</w:t>
      </w:r>
      <w:r>
        <w:rPr>
          <w:rFonts w:ascii="宋体" w:hAnsi="宋体"/>
          <w:bCs/>
        </w:rPr>
        <w:t>5</w:t>
      </w:r>
      <w:r>
        <w:rPr>
          <w:rFonts w:hint="eastAsia" w:ascii="宋体" w:hAnsi="宋体"/>
          <w:bCs/>
        </w:rPr>
        <w:t>个工作日内凭身份证及样品受理回执原件办理退回手续。（</w:t>
      </w:r>
      <w:r>
        <w:rPr>
          <w:rFonts w:ascii="宋体" w:hAnsi="宋体"/>
          <w:bCs/>
        </w:rPr>
        <w:t>b</w:t>
      </w:r>
      <w:r>
        <w:rPr>
          <w:rFonts w:hint="eastAsia" w:ascii="宋体" w:hAnsi="宋体"/>
          <w:bCs/>
        </w:rPr>
        <w:t>）中标（成交）供应商投标样品，招标采购工作人员将按规定进行通知，并要求采购人代表在中标（成交）通知书发放后</w:t>
      </w:r>
      <w:r>
        <w:rPr>
          <w:rFonts w:ascii="宋体" w:hAnsi="宋体"/>
          <w:bCs/>
        </w:rPr>
        <w:t>5</w:t>
      </w:r>
      <w:r>
        <w:rPr>
          <w:rFonts w:hint="eastAsia" w:ascii="宋体" w:hAnsi="宋体"/>
          <w:bCs/>
        </w:rPr>
        <w:t>个工作日内凭中标通知书（复印件即可）及身份证原件办理领取手续。</w:t>
      </w:r>
    </w:p>
    <w:p>
      <w:pPr>
        <w:ind w:firstLine="420" w:firstLineChars="200"/>
        <w:rPr>
          <w:rFonts w:ascii="宋体" w:hAnsi="宋体"/>
          <w:bCs/>
        </w:rPr>
      </w:pPr>
      <w:r>
        <w:rPr>
          <w:rFonts w:hint="eastAsia" w:ascii="宋体" w:hAnsi="宋体"/>
          <w:bCs/>
        </w:rPr>
        <w:t>样品移交时，招标采购工作人员将再次核对供应商授权委托人或采购人代表身份、核对《样品清单》，签字确认后并取走样品。</w:t>
      </w:r>
    </w:p>
    <w:p>
      <w:pPr>
        <w:ind w:firstLine="420" w:firstLineChars="200"/>
        <w:rPr>
          <w:rFonts w:ascii="宋体" w:hAnsi="宋体"/>
          <w:bCs/>
        </w:rPr>
      </w:pPr>
      <w:r>
        <w:rPr>
          <w:rFonts w:hint="eastAsia" w:ascii="宋体" w:hAnsi="宋体"/>
          <w:bCs/>
        </w:rPr>
        <w:t>（6）未能及时退回的样品处理：</w:t>
      </w:r>
    </w:p>
    <w:p>
      <w:pPr>
        <w:ind w:firstLine="420" w:firstLineChars="200"/>
        <w:rPr>
          <w:rFonts w:ascii="宋体" w:hAnsi="宋体"/>
          <w:bCs/>
        </w:rPr>
      </w:pPr>
      <w:r>
        <w:rPr>
          <w:rFonts w:hint="eastAsia" w:ascii="宋体" w:hAnsi="宋体"/>
          <w:bCs/>
        </w:rPr>
        <w:t>（</w:t>
      </w:r>
      <w:r>
        <w:rPr>
          <w:rFonts w:ascii="宋体" w:hAnsi="宋体"/>
          <w:bCs/>
        </w:rPr>
        <w:t>a</w:t>
      </w:r>
      <w:r>
        <w:rPr>
          <w:rFonts w:hint="eastAsia" w:ascii="宋体" w:hAnsi="宋体"/>
          <w:bCs/>
        </w:rPr>
        <w:t>）未中标（成交）供应商未在规定时间内</w:t>
      </w:r>
      <w:r>
        <w:rPr>
          <w:rFonts w:hint="eastAsia"/>
        </w:rPr>
        <w:t>（项目完成评审后</w:t>
      </w:r>
      <w:r>
        <w:t>5</w:t>
      </w:r>
      <w:r>
        <w:rPr>
          <w:rFonts w:hint="eastAsia"/>
        </w:rPr>
        <w:t>个工作日）</w:t>
      </w:r>
      <w:r>
        <w:rPr>
          <w:rFonts w:hint="eastAsia" w:ascii="宋体" w:hAnsi="宋体"/>
          <w:bCs/>
        </w:rPr>
        <w:t>内取回样品的，视为放弃取回，招标采购</w:t>
      </w:r>
      <w:r>
        <w:rPr>
          <w:rFonts w:hint="eastAsia" w:ascii="宋体" w:hAnsi="宋体"/>
          <w:bCs/>
          <w:lang w:eastAsia="zh-CN"/>
        </w:rPr>
        <w:t>工作人员</w:t>
      </w:r>
      <w:r>
        <w:rPr>
          <w:rFonts w:hint="eastAsia" w:ascii="宋体" w:hAnsi="宋体"/>
          <w:bCs/>
        </w:rPr>
        <w:t>将定期清理。</w:t>
      </w:r>
    </w:p>
    <w:p>
      <w:pPr>
        <w:ind w:firstLine="420" w:firstLineChars="200"/>
        <w:rPr>
          <w:rFonts w:ascii="宋体" w:hAnsi="宋体"/>
          <w:bCs/>
        </w:rPr>
      </w:pPr>
      <w:r>
        <w:rPr>
          <w:rFonts w:hint="eastAsia" w:ascii="宋体" w:hAnsi="宋体"/>
          <w:bCs/>
        </w:rPr>
        <w:t>（</w:t>
      </w:r>
      <w:r>
        <w:rPr>
          <w:rFonts w:ascii="宋体" w:hAnsi="宋体"/>
          <w:bCs/>
        </w:rPr>
        <w:t>b</w:t>
      </w:r>
      <w:r>
        <w:rPr>
          <w:rFonts w:hint="eastAsia" w:ascii="宋体" w:hAnsi="宋体"/>
          <w:bCs/>
        </w:rPr>
        <w:t>）采购人未在规定时间内</w:t>
      </w:r>
      <w:r>
        <w:rPr>
          <w:rFonts w:hint="eastAsia"/>
        </w:rPr>
        <w:t>【中标（成交）通知书发放后</w:t>
      </w:r>
      <w:r>
        <w:t>5</w:t>
      </w:r>
      <w:r>
        <w:rPr>
          <w:rFonts w:hint="eastAsia"/>
        </w:rPr>
        <w:t>个工作日内】</w:t>
      </w:r>
      <w:r>
        <w:rPr>
          <w:rFonts w:hint="eastAsia" w:ascii="宋体" w:hAnsi="宋体"/>
          <w:bCs/>
        </w:rPr>
        <w:t>领取中标（成交）供应商投标样品的，招标采购工作人员将发函或电话催促。对于拒不领取的中标样品，视同采购人放弃取回，招标采购</w:t>
      </w:r>
      <w:r>
        <w:rPr>
          <w:rFonts w:hint="eastAsia" w:ascii="宋体" w:hAnsi="宋体"/>
          <w:bCs/>
          <w:lang w:eastAsia="zh-CN"/>
        </w:rPr>
        <w:t>工作人员</w:t>
      </w:r>
      <w:r>
        <w:rPr>
          <w:rFonts w:hint="eastAsia" w:ascii="宋体" w:hAnsi="宋体"/>
          <w:bCs/>
        </w:rPr>
        <w:t>将定期清理。</w:t>
      </w:r>
    </w:p>
    <w:p>
      <w:pPr>
        <w:ind w:firstLine="420" w:firstLineChars="200"/>
        <w:rPr>
          <w:rFonts w:ascii="宋体" w:hAnsi="宋体"/>
          <w:bCs/>
        </w:rPr>
      </w:pPr>
      <w:r>
        <w:rPr>
          <w:rFonts w:hint="eastAsia" w:ascii="宋体" w:hAnsi="宋体"/>
          <w:bCs/>
        </w:rPr>
        <w:t>备注：</w:t>
      </w:r>
    </w:p>
    <w:p>
      <w:pPr>
        <w:ind w:firstLine="420" w:firstLineChars="200"/>
        <w:rPr>
          <w:rFonts w:ascii="宋体" w:hAnsi="宋体"/>
          <w:bCs/>
        </w:rPr>
      </w:pPr>
      <w:r>
        <w:rPr>
          <w:rFonts w:hint="eastAsia" w:ascii="宋体" w:hAnsi="宋体"/>
          <w:bCs/>
        </w:rPr>
        <w:t>招标（采购）文件中编制以上“样品要求”时，应当注意以下事项：</w:t>
      </w:r>
    </w:p>
    <w:p>
      <w:pPr>
        <w:ind w:firstLine="420" w:firstLineChars="200"/>
        <w:rPr>
          <w:rFonts w:ascii="宋体" w:hAnsi="宋体"/>
          <w:bCs/>
        </w:rPr>
      </w:pPr>
      <w:r>
        <w:rPr>
          <w:rFonts w:hint="eastAsia" w:ascii="宋体" w:hAnsi="宋体"/>
          <w:bCs/>
        </w:rPr>
        <w:t>（1）样品递交截止时间</w:t>
      </w:r>
      <w:bookmarkStart w:id="38" w:name="_Hlk75290686"/>
      <w:r>
        <w:rPr>
          <w:rFonts w:hint="eastAsia" w:ascii="宋体" w:hAnsi="宋体"/>
          <w:bCs/>
        </w:rPr>
        <w:t>应当综合考虑供应商数量、样品情况及场地情况等因素合理设定，可以设定为投标（谈判）截止时间，也可以设定为投标（谈判）截止时间之后</w:t>
      </w:r>
      <w:bookmarkEnd w:id="38"/>
      <w:r>
        <w:rPr>
          <w:rFonts w:hint="eastAsia" w:ascii="宋体" w:hAnsi="宋体"/>
          <w:bCs/>
        </w:rPr>
        <w:t>；</w:t>
      </w:r>
    </w:p>
    <w:p>
      <w:pPr>
        <w:ind w:firstLine="420" w:firstLineChars="200"/>
        <w:rPr>
          <w:rFonts w:ascii="宋体" w:hAnsi="宋体"/>
          <w:bCs/>
        </w:rPr>
      </w:pPr>
      <w:r>
        <w:rPr>
          <w:rFonts w:hint="eastAsia" w:ascii="宋体" w:hAnsi="宋体"/>
          <w:bCs/>
        </w:rPr>
        <w:t>（2）招标采购</w:t>
      </w:r>
      <w:r>
        <w:rPr>
          <w:rFonts w:hint="eastAsia" w:ascii="宋体" w:hAnsi="宋体"/>
          <w:bCs/>
          <w:lang w:eastAsia="zh-CN"/>
        </w:rPr>
        <w:t>工作人员</w:t>
      </w:r>
      <w:r>
        <w:rPr>
          <w:rFonts w:hint="eastAsia" w:ascii="宋体" w:hAnsi="宋体"/>
          <w:bCs/>
        </w:rPr>
        <w:t>指定地点应当合理设定，便于供应商查找；</w:t>
      </w:r>
    </w:p>
    <w:p>
      <w:pPr>
        <w:ind w:firstLine="420" w:firstLineChars="200"/>
        <w:rPr>
          <w:rFonts w:ascii="宋体" w:hAnsi="宋体"/>
          <w:bCs/>
        </w:rPr>
      </w:pPr>
      <w:r>
        <w:rPr>
          <w:rFonts w:hint="eastAsia" w:ascii="宋体" w:hAnsi="宋体"/>
          <w:bCs/>
        </w:rPr>
        <w:t>（3）样品退回（取回）时间根据项目具体情况合理设定，一般不超过五个工作日；</w:t>
      </w:r>
    </w:p>
    <w:p>
      <w:pPr>
        <w:ind w:firstLine="420" w:firstLineChars="200"/>
        <w:rPr>
          <w:rFonts w:ascii="宋体" w:hAnsi="宋体"/>
          <w:bCs/>
        </w:rPr>
      </w:pPr>
      <w:r>
        <w:rPr>
          <w:rFonts w:hint="eastAsia" w:ascii="宋体" w:hAnsi="宋体"/>
          <w:bCs/>
        </w:rPr>
        <w:t>（4）样品的规格要求不应过细，可以使用“约200MM”等类似表述；</w:t>
      </w:r>
    </w:p>
    <w:p>
      <w:pPr>
        <w:ind w:firstLine="420" w:firstLineChars="200"/>
        <w:rPr>
          <w:rFonts w:ascii="宋体" w:hAnsi="宋体"/>
          <w:bCs/>
        </w:rPr>
      </w:pPr>
      <w:r>
        <w:rPr>
          <w:rFonts w:hint="eastAsia" w:ascii="宋体" w:hAnsi="宋体"/>
          <w:bCs/>
        </w:rPr>
        <w:t>（5）样品提供要求表可以按照项目情况增加或调整内容，如“样品对应的需求（货物）名称”、“样品制作的标准和要求”、“需要随样品提交相关检测报告（检测机构要求、检测内容要求等）”。“样品对应的需求（货物）名称”是为了便于在评审时建立采购需求清单与样品之间的对应关系。</w:t>
      </w:r>
    </w:p>
    <w:p>
      <w:pPr>
        <w:ind w:firstLine="420" w:firstLineChars="200"/>
        <w:rPr>
          <w:rFonts w:ascii="宋体" w:hAnsi="宋体"/>
          <w:bCs/>
        </w:rPr>
      </w:pPr>
    </w:p>
    <w:p>
      <w:pPr>
        <w:ind w:firstLine="422" w:firstLineChars="200"/>
        <w:rPr>
          <w:b/>
        </w:rPr>
      </w:pPr>
      <w:r>
        <w:rPr>
          <w:rFonts w:hint="eastAsia"/>
          <w:b/>
        </w:rPr>
        <w:t>（二）其他事项</w:t>
      </w:r>
      <w:bookmarkEnd w:id="36"/>
    </w:p>
    <w:p>
      <w:pPr>
        <w:ind w:firstLine="422" w:firstLineChars="200"/>
        <w:rPr>
          <w:b/>
          <w:bCs/>
        </w:rPr>
      </w:pPr>
      <w:r>
        <w:rPr>
          <w:rFonts w:hint="eastAsia"/>
          <w:b/>
          <w:bCs/>
        </w:rPr>
        <w:t>1、关于享受优惠政策的主体及价格扣除比例</w:t>
      </w:r>
    </w:p>
    <w:p>
      <w:pPr>
        <w:ind w:firstLine="420" w:firstLineChars="200"/>
        <w:rPr>
          <w:rFonts w:ascii="宋体" w:hAnsi="宋体"/>
          <w:szCs w:val="21"/>
        </w:rPr>
      </w:pPr>
      <w:r>
        <w:rPr>
          <w:rFonts w:hint="eastAsia" w:ascii="宋体" w:hAnsi="宋体"/>
          <w:szCs w:val="21"/>
        </w:rPr>
        <w:t>（1）投标人提供的货物</w:t>
      </w:r>
      <w:r>
        <w:rPr>
          <w:rFonts w:hint="eastAsia"/>
          <w:b/>
          <w:szCs w:val="20"/>
        </w:rPr>
        <w:t>（以招标文件用户需求书“货物清单明细”的“货物名称”一栏为准）</w:t>
      </w:r>
      <w:r>
        <w:rPr>
          <w:rFonts w:hint="eastAsia" w:ascii="宋体" w:hAnsi="宋体"/>
          <w:szCs w:val="21"/>
        </w:rPr>
        <w:t>全部均由优惠主体制造，则对其投标总价给予</w:t>
      </w:r>
      <w:r>
        <w:rPr>
          <w:rFonts w:hint="eastAsia"/>
          <w:b/>
        </w:rPr>
        <w:t>（</w:t>
      </w:r>
      <w:r>
        <w:rPr>
          <w:b/>
        </w:rPr>
        <w:t>10%</w:t>
      </w:r>
      <w:r>
        <w:rPr>
          <w:rFonts w:hint="eastAsia"/>
          <w:b/>
        </w:rPr>
        <w:t>）</w:t>
      </w:r>
      <w:r>
        <w:rPr>
          <w:rFonts w:hint="eastAsia" w:ascii="宋体" w:hAnsi="宋体"/>
          <w:szCs w:val="21"/>
        </w:rPr>
        <w:t xml:space="preserve"> 的扣除，用扣除后的价格参与评审。满足多项优惠政策的企业，不重复享受多项价格扣除政策。</w:t>
      </w:r>
    </w:p>
    <w:p>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ascii="宋体" w:hAnsi="宋体"/>
          <w:szCs w:val="21"/>
        </w:rPr>
      </w:pPr>
      <w:r>
        <w:rPr>
          <w:rFonts w:hint="eastAsia" w:ascii="宋体" w:hAnsi="宋体"/>
          <w:szCs w:val="21"/>
        </w:rPr>
        <w:t>（2）根据《工业和信息化部、国家统计局、国家发展和改革委员会、财政部关于印发中小企业划型标准规定的通知》（工信部联企业〔2011〕300 号），本项目采购标的</w:t>
      </w:r>
      <w:r>
        <w:rPr>
          <w:rFonts w:hint="eastAsia"/>
          <w:b/>
          <w:szCs w:val="20"/>
        </w:rPr>
        <w:t>（</w:t>
      </w:r>
      <w:r>
        <w:rPr>
          <w:rFonts w:hint="eastAsia"/>
          <w:b/>
        </w:rPr>
        <w:t>货物</w:t>
      </w:r>
      <w:r>
        <w:rPr>
          <w:rFonts w:hint="eastAsia"/>
          <w:b/>
          <w:szCs w:val="20"/>
        </w:rPr>
        <w:t>）</w:t>
      </w:r>
      <w:r>
        <w:rPr>
          <w:rFonts w:hint="eastAsia" w:ascii="宋体" w:hAnsi="宋体"/>
          <w:szCs w:val="21"/>
        </w:rPr>
        <w:t>对应的中小企业划分标准所属行业为</w:t>
      </w:r>
      <w:r>
        <w:rPr>
          <w:rFonts w:hint="eastAsia"/>
          <w:b/>
        </w:rPr>
        <w:t>（批发）</w:t>
      </w:r>
      <w:r>
        <w:rPr>
          <w:rFonts w:hint="eastAsia" w:ascii="宋体" w:hAnsi="宋体"/>
          <w:szCs w:val="21"/>
        </w:rPr>
        <w:t xml:space="preserve">业。 </w:t>
      </w:r>
    </w:p>
    <w:p>
      <w:pPr>
        <w:ind w:firstLine="420" w:firstLineChars="200"/>
        <w:rPr>
          <w:rFonts w:ascii="宋体" w:hAnsi="宋体"/>
          <w:szCs w:val="21"/>
        </w:rPr>
      </w:pPr>
      <w:r>
        <w:rPr>
          <w:rFonts w:hint="eastAsia" w:ascii="宋体" w:hAnsi="宋体"/>
          <w:szCs w:val="21"/>
        </w:rPr>
        <w:t>（3）小型企业、微型企业、残疾人福利性单位作为优惠主体的认定资料为《中小企业声明函》、《残疾人福利性单位声明函》；监狱企业作为优惠主体的认定资料为省级以上监狱管理局、戒毒管理局出具的监狱企业证明文件。</w:t>
      </w:r>
      <w:r>
        <w:rPr>
          <w:rFonts w:hint="eastAsia"/>
        </w:rPr>
        <w:t>声明函样式见</w:t>
      </w:r>
      <w:r>
        <w:rPr>
          <w:rFonts w:hint="eastAsia"/>
          <w:b/>
          <w:bCs/>
        </w:rPr>
        <w:t>“第四章 投标文件组成要求及格式”的“投标人情况及资格证明文件”</w:t>
      </w:r>
      <w:r>
        <w:rPr>
          <w:rFonts w:hint="eastAsia" w:ascii="宋体" w:hAnsi="宋体"/>
          <w:szCs w:val="21"/>
        </w:rPr>
        <w:t>，声明函须放入投标文件正文，否则不享受相应的价格扣除，但不作投标无效处理。</w:t>
      </w:r>
    </w:p>
    <w:p>
      <w:pPr>
        <w:ind w:firstLine="420" w:firstLineChars="200"/>
        <w:rPr>
          <w:rFonts w:ascii="宋体" w:hAnsi="宋体"/>
          <w:szCs w:val="21"/>
        </w:rPr>
      </w:pPr>
      <w:r>
        <w:rPr>
          <w:rFonts w:hint="eastAsia" w:ascii="宋体" w:hAnsi="宋体"/>
          <w:szCs w:val="21"/>
        </w:rPr>
        <w:t>（4）享受价格扣除获得政府采购合同的，小微企业不得将合同分包给大中型企业。</w:t>
      </w:r>
    </w:p>
    <w:p>
      <w:pPr>
        <w:ind w:firstLine="420" w:firstLineChars="200"/>
        <w:rPr>
          <w:color w:val="0000FF"/>
        </w:rPr>
      </w:pPr>
      <w:r>
        <w:rPr>
          <w:rFonts w:hint="eastAsia" w:ascii="宋体" w:hAnsi="宋体"/>
          <w:szCs w:val="21"/>
        </w:rPr>
        <w:t>（5）</w:t>
      </w:r>
      <w:r>
        <w:rPr>
          <w:rFonts w:hint="eastAsia"/>
          <w:b/>
        </w:rPr>
        <w:t>（不接受联合体投标的项目，本条不适用）</w:t>
      </w:r>
      <w:r>
        <w:rPr>
          <w:rFonts w:hint="eastAsia" w:ascii="宋体" w:hAnsi="宋体"/>
          <w:szCs w:val="21"/>
        </w:rPr>
        <w:t>联合体投标的情况下：1、联合体各方均为优惠主体的，该联合体视同为优惠主体享受同比例价格扣除；2、联合体共同投标协议中明确注明约定优惠主体的协议合同金额占到联合体协议总金额30%以上的，对该联合体的投标总价给予</w:t>
      </w:r>
      <w:r>
        <w:rPr>
          <w:rFonts w:hint="eastAsia"/>
          <w:b/>
        </w:rPr>
        <w:t>（</w:t>
      </w:r>
      <w:r>
        <w:rPr>
          <w:b/>
        </w:rPr>
        <w:t>4%-6%</w:t>
      </w:r>
      <w:r>
        <w:rPr>
          <w:rFonts w:hint="eastAsia"/>
          <w:b/>
        </w:rPr>
        <w:t>）</w:t>
      </w:r>
      <w:r>
        <w:rPr>
          <w:rFonts w:hint="eastAsia" w:ascii="宋体" w:hAnsi="宋体"/>
          <w:szCs w:val="21"/>
        </w:rPr>
        <w:t>的扣除，用扣除后的价格参与评审</w:t>
      </w:r>
      <w:r>
        <w:rPr>
          <w:rFonts w:hint="eastAsia"/>
          <w:color w:val="0000FF"/>
        </w:rPr>
        <w:t>。</w:t>
      </w:r>
    </w:p>
    <w:p>
      <w:pPr>
        <w:ind w:firstLine="420" w:firstLineChars="200"/>
        <w:rPr>
          <w:color w:val="0000FF"/>
        </w:rPr>
      </w:pPr>
    </w:p>
    <w:p>
      <w:pPr>
        <w:ind w:firstLine="420" w:firstLineChars="200"/>
        <w:rPr>
          <w:color w:val="0000FF"/>
        </w:rPr>
      </w:pPr>
    </w:p>
    <w:p>
      <w:pPr>
        <w:rPr>
          <w:b/>
        </w:rPr>
      </w:pPr>
    </w:p>
    <w:bookmarkEnd w:id="35"/>
    <w:p>
      <w:pPr>
        <w:pStyle w:val="3"/>
        <w:pageBreakBefore/>
        <w:rPr>
          <w:sz w:val="28"/>
          <w:szCs w:val="28"/>
        </w:rPr>
      </w:pPr>
      <w:r>
        <w:rPr>
          <w:rFonts w:hint="eastAsia"/>
          <w:sz w:val="28"/>
          <w:szCs w:val="28"/>
        </w:rPr>
        <w:t>第三章 用户需求书</w:t>
      </w:r>
    </w:p>
    <w:p>
      <w:pPr>
        <w:spacing w:beforeLines="50" w:afterLines="50" w:line="360" w:lineRule="auto"/>
        <w:ind w:firstLine="422" w:firstLineChars="200"/>
        <w:outlineLvl w:val="2"/>
        <w:rPr>
          <w:rFonts w:asciiTheme="minorEastAsia" w:hAnsiTheme="minorEastAsia" w:eastAsiaTheme="minorEastAsia"/>
          <w:b/>
          <w:szCs w:val="21"/>
        </w:rPr>
      </w:pPr>
      <w:r>
        <w:rPr>
          <w:rFonts w:hint="eastAsia" w:asciiTheme="minorEastAsia" w:hAnsiTheme="minorEastAsia" w:eastAsiaTheme="minorEastAsia"/>
          <w:b/>
          <w:szCs w:val="21"/>
        </w:rPr>
        <w:t>一、项目概况</w:t>
      </w:r>
    </w:p>
    <w:tbl>
      <w:tblPr>
        <w:tblStyle w:val="43"/>
        <w:tblpPr w:leftFromText="180" w:rightFromText="180" w:vertAnchor="text" w:horzAnchor="margin" w:tblpXSpec="center" w:tblpY="173"/>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2688"/>
        <w:gridCol w:w="3260"/>
        <w:gridCol w:w="2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45" w:type="dxa"/>
            <w:vAlign w:val="center"/>
          </w:tcPr>
          <w:p>
            <w:pPr>
              <w:jc w:val="center"/>
              <w:rPr>
                <w:bCs/>
                <w:szCs w:val="21"/>
              </w:rPr>
            </w:pPr>
            <w:r>
              <w:rPr>
                <w:rFonts w:hint="eastAsia"/>
                <w:bCs/>
                <w:szCs w:val="21"/>
              </w:rPr>
              <w:t>序号</w:t>
            </w:r>
          </w:p>
        </w:tc>
        <w:tc>
          <w:tcPr>
            <w:tcW w:w="2688" w:type="dxa"/>
            <w:vAlign w:val="center"/>
          </w:tcPr>
          <w:p>
            <w:pPr>
              <w:jc w:val="center"/>
              <w:rPr>
                <w:bCs/>
                <w:szCs w:val="21"/>
              </w:rPr>
            </w:pPr>
            <w:r>
              <w:rPr>
                <w:rFonts w:hint="eastAsia"/>
                <w:szCs w:val="21"/>
              </w:rPr>
              <w:t>采购计划编号</w:t>
            </w:r>
          </w:p>
        </w:tc>
        <w:tc>
          <w:tcPr>
            <w:tcW w:w="3260" w:type="dxa"/>
            <w:vAlign w:val="center"/>
          </w:tcPr>
          <w:p>
            <w:pPr>
              <w:jc w:val="center"/>
              <w:rPr>
                <w:bCs/>
                <w:szCs w:val="21"/>
              </w:rPr>
            </w:pPr>
            <w:r>
              <w:rPr>
                <w:rFonts w:hint="eastAsia"/>
                <w:bCs/>
                <w:szCs w:val="21"/>
              </w:rPr>
              <w:t>采购项目名称</w:t>
            </w:r>
          </w:p>
        </w:tc>
        <w:tc>
          <w:tcPr>
            <w:tcW w:w="2596" w:type="dxa"/>
            <w:vAlign w:val="center"/>
          </w:tcPr>
          <w:p>
            <w:pPr>
              <w:jc w:val="center"/>
              <w:rPr>
                <w:bCs/>
                <w:szCs w:val="21"/>
              </w:rPr>
            </w:pPr>
            <w:r>
              <w:rPr>
                <w:rFonts w:hint="eastAsia"/>
                <w:bCs/>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45" w:type="dxa"/>
            <w:vAlign w:val="center"/>
          </w:tcPr>
          <w:p>
            <w:pPr>
              <w:jc w:val="center"/>
              <w:rPr>
                <w:bCs/>
                <w:szCs w:val="21"/>
              </w:rPr>
            </w:pPr>
            <w:r>
              <w:rPr>
                <w:rFonts w:hint="eastAsia"/>
                <w:bCs/>
                <w:szCs w:val="21"/>
              </w:rPr>
              <w:t>1</w:t>
            </w:r>
          </w:p>
        </w:tc>
        <w:tc>
          <w:tcPr>
            <w:tcW w:w="2688" w:type="dxa"/>
            <w:vAlign w:val="center"/>
          </w:tcPr>
          <w:p>
            <w:pPr>
              <w:jc w:val="center"/>
              <w:rPr>
                <w:rFonts w:ascii="宋体" w:hAnsi="宋体"/>
                <w:bCs/>
                <w:szCs w:val="21"/>
              </w:rPr>
            </w:pPr>
            <w:r>
              <w:rPr>
                <w:rFonts w:hint="eastAsia" w:asciiTheme="minorEastAsia" w:hAnsiTheme="minorEastAsia" w:eastAsiaTheme="minorEastAsia" w:cstheme="minorEastAsia"/>
                <w:color w:val="auto"/>
                <w:sz w:val="24"/>
                <w:szCs w:val="24"/>
              </w:rPr>
              <w:t>FTEYXFWB202</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-01</w:t>
            </w:r>
          </w:p>
        </w:tc>
        <w:tc>
          <w:tcPr>
            <w:tcW w:w="3260" w:type="dxa"/>
            <w:vAlign w:val="center"/>
          </w:tcPr>
          <w:p>
            <w:pPr>
              <w:jc w:val="center"/>
              <w:rPr>
                <w:rFonts w:ascii="宋体" w:hAnsi="宋体"/>
                <w:bCs/>
                <w:szCs w:val="21"/>
              </w:rPr>
            </w:pPr>
            <w:r>
              <w:rPr>
                <w:rFonts w:hint="eastAsia" w:ascii="宋体" w:hAnsi="宋体"/>
                <w:bCs/>
                <w:sz w:val="21"/>
                <w:szCs w:val="21"/>
              </w:rPr>
              <w:t>深圳市福田区第二人民医院建筑消防设备设施维保服务项目</w:t>
            </w:r>
          </w:p>
        </w:tc>
        <w:tc>
          <w:tcPr>
            <w:tcW w:w="2596" w:type="dxa"/>
            <w:vAlign w:val="center"/>
          </w:tcPr>
          <w:p>
            <w:pPr>
              <w:jc w:val="center"/>
              <w:rPr>
                <w:rFonts w:hint="default" w:ascii="宋体" w:hAnsi="宋体" w:eastAsia="宋体"/>
                <w:bCs/>
                <w:szCs w:val="21"/>
                <w:lang w:val="en-US" w:eastAsia="zh-CN"/>
              </w:rPr>
            </w:pPr>
            <w:r>
              <w:rPr>
                <w:rFonts w:hint="eastAsia" w:ascii="宋体" w:hAnsi="宋体"/>
                <w:bCs/>
                <w:sz w:val="24"/>
                <w:szCs w:val="24"/>
                <w:lang w:val="en-US" w:eastAsia="zh-CN"/>
              </w:rPr>
              <w:t>¥11</w:t>
            </w:r>
            <w:r>
              <w:rPr>
                <w:rFonts w:hint="eastAsia" w:ascii="宋体" w:hAnsi="宋体"/>
                <w:bCs/>
                <w:szCs w:val="21"/>
                <w:lang w:val="en-US" w:eastAsia="zh-CN"/>
              </w:rPr>
              <w:t>万元</w:t>
            </w:r>
          </w:p>
        </w:tc>
      </w:tr>
    </w:tbl>
    <w:p>
      <w:pPr>
        <w:pStyle w:val="480"/>
        <w:numPr>
          <w:ilvl w:val="0"/>
          <w:numId w:val="8"/>
        </w:numPr>
        <w:rPr>
          <w:sz w:val="21"/>
          <w:szCs w:val="21"/>
        </w:rPr>
      </w:pPr>
      <w:r>
        <w:rPr>
          <w:rFonts w:hint="eastAsia"/>
          <w:sz w:val="21"/>
          <w:szCs w:val="21"/>
        </w:rPr>
        <w:t>实质性响应条款</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8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shd w:val="clear" w:color="auto" w:fill="C6D9F1"/>
            <w:vAlign w:val="center"/>
          </w:tcPr>
          <w:p>
            <w:pPr>
              <w:jc w:val="center"/>
              <w:rPr>
                <w:b/>
                <w:bCs/>
                <w:szCs w:val="21"/>
              </w:rPr>
            </w:pPr>
            <w:r>
              <w:rPr>
                <w:rFonts w:hint="eastAsia"/>
                <w:b/>
                <w:bCs/>
                <w:szCs w:val="21"/>
              </w:rPr>
              <w:t>序号</w:t>
            </w:r>
          </w:p>
        </w:tc>
        <w:tc>
          <w:tcPr>
            <w:tcW w:w="8910" w:type="dxa"/>
            <w:shd w:val="solid" w:color="C6D9F1" w:fill="C6D9F1"/>
            <w:vAlign w:val="center"/>
          </w:tcPr>
          <w:p>
            <w:pPr>
              <w:shd w:val="clear" w:color="C6D9F1" w:fill="C6D9F1"/>
              <w:jc w:val="center"/>
              <w:rPr>
                <w:b/>
                <w:bCs/>
                <w:szCs w:val="21"/>
              </w:rPr>
            </w:pPr>
            <w:r>
              <w:rPr>
                <w:rFonts w:hint="eastAsia"/>
                <w:b/>
                <w:bCs/>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vAlign w:val="center"/>
          </w:tcPr>
          <w:p>
            <w:pPr>
              <w:jc w:val="center"/>
              <w:rPr>
                <w:szCs w:val="21"/>
              </w:rPr>
            </w:pPr>
            <w:r>
              <w:rPr>
                <w:rFonts w:hint="eastAsia"/>
              </w:rPr>
              <w:t>1</w:t>
            </w:r>
          </w:p>
        </w:tc>
        <w:tc>
          <w:tcPr>
            <w:tcW w:w="8910" w:type="dxa"/>
            <w:vAlign w:val="center"/>
          </w:tcPr>
          <w:p>
            <w:pPr>
              <w:pStyle w:val="483"/>
            </w:pPr>
            <w:r>
              <w:rPr>
                <w:rFonts w:hint="eastAsia"/>
              </w:rPr>
              <w:t>凡出现《资格性审查表》及《符合性审查表》中情形之一的，将导致投标无效。以评审现场结论为准。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vAlign w:val="center"/>
          </w:tcPr>
          <w:p>
            <w:pPr>
              <w:jc w:val="center"/>
              <w:rPr>
                <w:szCs w:val="21"/>
              </w:rPr>
            </w:pPr>
            <w:r>
              <w:rPr>
                <w:rFonts w:hint="eastAsia"/>
              </w:rPr>
              <w:t>2</w:t>
            </w:r>
          </w:p>
        </w:tc>
        <w:tc>
          <w:tcPr>
            <w:tcW w:w="8910" w:type="dxa"/>
            <w:vAlign w:val="center"/>
          </w:tcPr>
          <w:p>
            <w:pPr>
              <w:pStyle w:val="483"/>
              <w:rPr>
                <w:color w:val="000000" w:themeColor="text1"/>
                <w14:textFill>
                  <w14:solidFill>
                    <w14:schemeClr w14:val="tx1"/>
                  </w14:solidFill>
                </w14:textFill>
              </w:rPr>
            </w:pPr>
            <w:r>
              <w:rPr>
                <w:rFonts w:hint="eastAsia"/>
                <w:color w:val="000000" w:themeColor="text1"/>
                <w14:textFill>
                  <w14:solidFill>
                    <w14:schemeClr w14:val="tx1"/>
                  </w14:solidFill>
                </w14:textFill>
              </w:rPr>
              <w:t>完全满足本项目服务期限、服务质量的要求。</w:t>
            </w:r>
          </w:p>
        </w:tc>
      </w:tr>
    </w:tbl>
    <w:p>
      <w:pPr>
        <w:spacing w:beforeLines="50" w:afterLines="50" w:line="360" w:lineRule="auto"/>
        <w:rPr>
          <w:rFonts w:asciiTheme="minorEastAsia" w:hAnsiTheme="minorEastAsia" w:eastAsiaTheme="minorEastAsia"/>
          <w:szCs w:val="21"/>
        </w:rPr>
      </w:pPr>
    </w:p>
    <w:p>
      <w:pPr>
        <w:pStyle w:val="484"/>
        <w:spacing w:before="120"/>
        <w:ind w:left="363" w:firstLine="0" w:firstLineChars="0"/>
        <w:outlineLvl w:val="2"/>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三、具体技术要求：</w:t>
      </w:r>
    </w:p>
    <w:p>
      <w:pPr>
        <w:pStyle w:val="484"/>
        <w:spacing w:before="120"/>
        <w:ind w:firstLine="0" w:firstLineChars="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1.1、采购清单需求</w:t>
      </w:r>
    </w:p>
    <w:tbl>
      <w:tblPr>
        <w:tblStyle w:val="43"/>
        <w:tblW w:w="10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6"/>
        <w:gridCol w:w="3151"/>
        <w:gridCol w:w="1596"/>
        <w:gridCol w:w="992"/>
        <w:gridCol w:w="1276"/>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3" w:hRule="atLeast"/>
          <w:jc w:val="center"/>
        </w:trPr>
        <w:tc>
          <w:tcPr>
            <w:tcW w:w="646" w:type="dxa"/>
            <w:noWrap/>
            <w:tcMar>
              <w:top w:w="10" w:type="dxa"/>
              <w:left w:w="10" w:type="dxa"/>
              <w:right w:w="10" w:type="dxa"/>
            </w:tcMar>
            <w:vAlign w:val="center"/>
          </w:tcPr>
          <w:p>
            <w:pPr>
              <w:widowControl/>
              <w:spacing w:line="0" w:lineRule="atLeast"/>
              <w:jc w:val="center"/>
              <w:textAlignment w:val="center"/>
              <w:rPr>
                <w:rFonts w:ascii="宋体" w:hAnsi="宋体" w:cs="宋体"/>
                <w:color w:val="000000"/>
                <w:kern w:val="0"/>
                <w:sz w:val="21"/>
                <w:szCs w:val="21"/>
              </w:rPr>
            </w:pPr>
            <w:r>
              <w:rPr>
                <w:rFonts w:hint="eastAsia" w:ascii="宋体" w:hAnsi="宋体" w:cs="宋体"/>
                <w:color w:val="000000"/>
                <w:kern w:val="0"/>
                <w:sz w:val="21"/>
                <w:szCs w:val="21"/>
              </w:rPr>
              <w:t>序号</w:t>
            </w:r>
          </w:p>
        </w:tc>
        <w:tc>
          <w:tcPr>
            <w:tcW w:w="3151" w:type="dxa"/>
            <w:noWrap/>
            <w:tcMar>
              <w:top w:w="10" w:type="dxa"/>
              <w:left w:w="10" w:type="dxa"/>
              <w:right w:w="10" w:type="dxa"/>
            </w:tcMar>
            <w:vAlign w:val="center"/>
          </w:tcPr>
          <w:p>
            <w:pPr>
              <w:widowControl/>
              <w:spacing w:line="0" w:lineRule="atLeast"/>
              <w:jc w:val="center"/>
              <w:textAlignment w:val="center"/>
              <w:rPr>
                <w:rFonts w:ascii="宋体" w:hAnsi="宋体" w:cs="宋体"/>
                <w:color w:val="000000"/>
                <w:kern w:val="0"/>
                <w:sz w:val="21"/>
                <w:szCs w:val="21"/>
              </w:rPr>
            </w:pPr>
            <w:r>
              <w:rPr>
                <w:rFonts w:hint="eastAsia" w:ascii="宋体" w:hAnsi="宋体" w:cs="宋体"/>
                <w:color w:val="000000"/>
                <w:kern w:val="0"/>
                <w:sz w:val="21"/>
                <w:szCs w:val="21"/>
              </w:rPr>
              <w:t>项目名称</w:t>
            </w:r>
          </w:p>
        </w:tc>
        <w:tc>
          <w:tcPr>
            <w:tcW w:w="1596" w:type="dxa"/>
            <w:noWrap/>
            <w:tcMar>
              <w:top w:w="10" w:type="dxa"/>
              <w:left w:w="10" w:type="dxa"/>
              <w:right w:w="10" w:type="dxa"/>
            </w:tcMar>
            <w:vAlign w:val="center"/>
          </w:tcPr>
          <w:p>
            <w:pPr>
              <w:widowControl/>
              <w:spacing w:line="0" w:lineRule="atLeast"/>
              <w:jc w:val="center"/>
              <w:textAlignment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数量</w:t>
            </w:r>
          </w:p>
        </w:tc>
        <w:tc>
          <w:tcPr>
            <w:tcW w:w="992" w:type="dxa"/>
            <w:noWrap/>
            <w:tcMar>
              <w:top w:w="10" w:type="dxa"/>
              <w:left w:w="10" w:type="dxa"/>
              <w:right w:w="10" w:type="dxa"/>
            </w:tcMar>
            <w:vAlign w:val="center"/>
          </w:tcPr>
          <w:p>
            <w:pPr>
              <w:widowControl/>
              <w:spacing w:line="0" w:lineRule="atLeast"/>
              <w:jc w:val="center"/>
              <w:textAlignment w:val="center"/>
              <w:rPr>
                <w:rFonts w:ascii="宋体" w:hAnsi="宋体" w:cs="宋体"/>
                <w:color w:val="000000"/>
                <w:kern w:val="0"/>
                <w:sz w:val="21"/>
                <w:szCs w:val="21"/>
              </w:rPr>
            </w:pPr>
            <w:r>
              <w:rPr>
                <w:rFonts w:hint="eastAsia" w:ascii="宋体" w:hAnsi="宋体" w:cs="宋体"/>
                <w:color w:val="000000"/>
                <w:kern w:val="0"/>
                <w:sz w:val="21"/>
                <w:szCs w:val="21"/>
              </w:rPr>
              <w:t>单位</w:t>
            </w:r>
          </w:p>
        </w:tc>
        <w:tc>
          <w:tcPr>
            <w:tcW w:w="1276" w:type="dxa"/>
            <w:noWrap/>
            <w:tcMar>
              <w:top w:w="10" w:type="dxa"/>
              <w:left w:w="10" w:type="dxa"/>
              <w:right w:w="10" w:type="dxa"/>
            </w:tcMar>
            <w:vAlign w:val="center"/>
          </w:tcPr>
          <w:p>
            <w:pPr>
              <w:widowControl/>
              <w:spacing w:line="0" w:lineRule="atLeast"/>
              <w:jc w:val="center"/>
              <w:textAlignment w:val="center"/>
              <w:rPr>
                <w:rFonts w:ascii="宋体" w:hAnsi="宋体" w:cs="宋体"/>
                <w:color w:val="000000"/>
                <w:kern w:val="0"/>
                <w:sz w:val="21"/>
                <w:szCs w:val="21"/>
              </w:rPr>
            </w:pPr>
            <w:r>
              <w:rPr>
                <w:rFonts w:hint="eastAsia" w:ascii="宋体" w:hAnsi="宋体" w:cs="宋体"/>
                <w:color w:val="000000"/>
                <w:kern w:val="0"/>
                <w:sz w:val="21"/>
                <w:szCs w:val="21"/>
              </w:rPr>
              <w:t>采购最高限价</w:t>
            </w:r>
          </w:p>
          <w:p>
            <w:pPr>
              <w:widowControl/>
              <w:spacing w:line="0" w:lineRule="atLeast"/>
              <w:jc w:val="center"/>
              <w:textAlignment w:val="center"/>
              <w:rPr>
                <w:rFonts w:ascii="宋体" w:hAnsi="宋体" w:cs="宋体"/>
                <w:color w:val="000000"/>
                <w:kern w:val="0"/>
                <w:sz w:val="21"/>
                <w:szCs w:val="21"/>
              </w:rPr>
            </w:pPr>
            <w:r>
              <w:rPr>
                <w:rFonts w:hint="eastAsia" w:ascii="宋体" w:hAnsi="宋体" w:cs="宋体"/>
                <w:color w:val="000000"/>
                <w:kern w:val="0"/>
                <w:sz w:val="21"/>
                <w:szCs w:val="21"/>
              </w:rPr>
              <w:t>（万元）</w:t>
            </w:r>
          </w:p>
        </w:tc>
        <w:tc>
          <w:tcPr>
            <w:tcW w:w="2367" w:type="dxa"/>
            <w:noWrap/>
            <w:tcMar>
              <w:top w:w="10" w:type="dxa"/>
              <w:left w:w="10" w:type="dxa"/>
              <w:right w:w="10" w:type="dxa"/>
            </w:tcMar>
            <w:vAlign w:val="center"/>
          </w:tcPr>
          <w:p>
            <w:pPr>
              <w:widowControl/>
              <w:spacing w:line="0" w:lineRule="atLeast"/>
              <w:jc w:val="center"/>
              <w:textAlignment w:val="center"/>
              <w:rPr>
                <w:rFonts w:ascii="宋体" w:hAnsi="宋体" w:cs="宋体"/>
                <w:color w:val="000000"/>
                <w:kern w:val="0"/>
                <w:sz w:val="21"/>
                <w:szCs w:val="21"/>
              </w:rPr>
            </w:pPr>
            <w:r>
              <w:rPr>
                <w:rFonts w:hint="eastAsia" w:ascii="宋体" w:hAnsi="宋体" w:cs="宋体"/>
                <w:color w:val="000000"/>
                <w:kern w:val="0"/>
                <w:sz w:val="21"/>
                <w:szCs w:val="21"/>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46" w:type="dxa"/>
            <w:noWrap/>
            <w:tcMar>
              <w:top w:w="10" w:type="dxa"/>
              <w:left w:w="10" w:type="dxa"/>
              <w:right w:w="10" w:type="dxa"/>
            </w:tcMar>
            <w:vAlign w:val="center"/>
          </w:tcPr>
          <w:p>
            <w:pPr>
              <w:widowControl/>
              <w:spacing w:line="0" w:lineRule="atLeast"/>
              <w:jc w:val="center"/>
              <w:textAlignment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3151" w:type="dxa"/>
            <w:noWrap/>
            <w:tcMar>
              <w:top w:w="10" w:type="dxa"/>
              <w:left w:w="10" w:type="dxa"/>
              <w:right w:w="10" w:type="dxa"/>
            </w:tcMar>
            <w:vAlign w:val="center"/>
          </w:tcPr>
          <w:p>
            <w:pPr>
              <w:widowControl/>
              <w:spacing w:line="240" w:lineRule="auto"/>
              <w:ind w:left="0" w:leftChars="0" w:firstLine="0" w:firstLineChars="0"/>
              <w:jc w:val="center"/>
              <w:rPr>
                <w:rFonts w:hint="eastAsia" w:asciiTheme="minorEastAsia" w:hAnsiTheme="minorEastAsia" w:eastAsiaTheme="minorEastAsia" w:cstheme="minorEastAsia"/>
                <w:b w:val="0"/>
                <w:bCs w:val="0"/>
                <w:color w:val="000000"/>
                <w:kern w:val="0"/>
                <w:sz w:val="21"/>
                <w:szCs w:val="21"/>
                <w:lang w:val="en-US" w:eastAsia="zh-CN" w:bidi="ar-SA"/>
              </w:rPr>
            </w:pPr>
            <w:r>
              <w:rPr>
                <w:rFonts w:hint="eastAsia" w:asciiTheme="minorEastAsia" w:hAnsiTheme="minorEastAsia" w:eastAsiaTheme="minorEastAsia" w:cstheme="minorEastAsia"/>
                <w:b w:val="0"/>
                <w:bCs w:val="0"/>
                <w:color w:val="000000"/>
                <w:kern w:val="0"/>
                <w:sz w:val="21"/>
                <w:szCs w:val="21"/>
                <w:lang w:val="en-US" w:eastAsia="zh-CN"/>
              </w:rPr>
              <w:t>院本部</w:t>
            </w:r>
            <w:r>
              <w:rPr>
                <w:rFonts w:hint="eastAsia" w:asciiTheme="minorEastAsia" w:hAnsiTheme="minorEastAsia" w:eastAsiaTheme="minorEastAsia" w:cstheme="minorEastAsia"/>
                <w:b w:val="0"/>
                <w:bCs w:val="0"/>
                <w:sz w:val="21"/>
                <w:szCs w:val="21"/>
              </w:rPr>
              <w:t>消防设施维护保养</w:t>
            </w:r>
          </w:p>
        </w:tc>
        <w:tc>
          <w:tcPr>
            <w:tcW w:w="1596" w:type="dxa"/>
            <w:noWrap/>
            <w:tcMar>
              <w:top w:w="10" w:type="dxa"/>
              <w:left w:w="10" w:type="dxa"/>
              <w:right w:w="10" w:type="dxa"/>
            </w:tcMar>
            <w:vAlign w:val="center"/>
          </w:tcPr>
          <w:p>
            <w:pPr>
              <w:widowControl/>
              <w:spacing w:line="240" w:lineRule="auto"/>
              <w:ind w:left="0" w:leftChars="0" w:firstLine="0" w:firstLineChars="0"/>
              <w:jc w:val="center"/>
              <w:rPr>
                <w:rFonts w:hint="eastAsia" w:asciiTheme="minorEastAsia" w:hAnsiTheme="minorEastAsia" w:eastAsiaTheme="minorEastAsia" w:cstheme="minorEastAsia"/>
                <w:b w:val="0"/>
                <w:bCs w:val="0"/>
                <w:color w:val="000000"/>
                <w:kern w:val="0"/>
                <w:sz w:val="21"/>
                <w:szCs w:val="21"/>
                <w:lang w:val="en-US" w:eastAsia="zh-CN" w:bidi="ar-SA"/>
              </w:rPr>
            </w:pPr>
            <w:r>
              <w:rPr>
                <w:rFonts w:hint="eastAsia" w:asciiTheme="minorEastAsia" w:hAnsiTheme="minorEastAsia" w:eastAsiaTheme="minorEastAsia" w:cstheme="minorEastAsia"/>
                <w:b w:val="0"/>
                <w:bCs w:val="0"/>
                <w:color w:val="000000"/>
                <w:kern w:val="0"/>
                <w:sz w:val="21"/>
                <w:szCs w:val="21"/>
                <w:lang w:val="en-US" w:eastAsia="zh-CN"/>
              </w:rPr>
              <w:t>16377</w:t>
            </w:r>
          </w:p>
        </w:tc>
        <w:tc>
          <w:tcPr>
            <w:tcW w:w="992" w:type="dxa"/>
            <w:noWrap/>
            <w:tcMar>
              <w:top w:w="10" w:type="dxa"/>
              <w:left w:w="10" w:type="dxa"/>
              <w:right w:w="10" w:type="dxa"/>
            </w:tcMar>
            <w:vAlign w:val="center"/>
          </w:tcPr>
          <w:p>
            <w:pPr>
              <w:widowControl/>
              <w:spacing w:line="240" w:lineRule="auto"/>
              <w:ind w:left="0" w:leftChars="0" w:firstLine="0" w:firstLineChars="0"/>
              <w:jc w:val="center"/>
              <w:rPr>
                <w:rFonts w:hint="eastAsia" w:ascii="汉仪中宋简" w:hAnsi="汉仪中宋简" w:eastAsia="汉仪中宋简" w:cs="汉仪中宋简"/>
                <w:b w:val="0"/>
                <w:bCs w:val="0"/>
                <w:color w:val="000000"/>
                <w:kern w:val="0"/>
                <w:sz w:val="21"/>
                <w:szCs w:val="21"/>
                <w:lang w:val="en-US" w:eastAsia="zh-CN" w:bidi="ar-SA"/>
              </w:rPr>
            </w:pPr>
            <w:r>
              <w:rPr>
                <w:rFonts w:hint="eastAsia" w:ascii="汉仪中宋简" w:hAnsi="汉仪中宋简" w:eastAsia="汉仪中宋简" w:cs="汉仪中宋简"/>
                <w:b w:val="0"/>
                <w:bCs w:val="0"/>
                <w:color w:val="000000"/>
                <w:kern w:val="0"/>
                <w:sz w:val="21"/>
                <w:szCs w:val="21"/>
                <w:lang w:val="en-US" w:eastAsia="zh-CN" w:bidi="ar-SA"/>
              </w:rPr>
              <w:t>平方米</w:t>
            </w:r>
          </w:p>
        </w:tc>
        <w:tc>
          <w:tcPr>
            <w:tcW w:w="1276" w:type="dxa"/>
            <w:vMerge w:val="restart"/>
            <w:noWrap/>
            <w:tcMar>
              <w:top w:w="10" w:type="dxa"/>
              <w:left w:w="10" w:type="dxa"/>
              <w:right w:w="10" w:type="dxa"/>
            </w:tcMar>
            <w:vAlign w:val="center"/>
          </w:tcPr>
          <w:p>
            <w:pPr>
              <w:spacing w:line="0" w:lineRule="atLeast"/>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8"/>
                <w:szCs w:val="28"/>
                <w:lang w:val="en-US" w:eastAsia="zh-CN"/>
              </w:rPr>
              <w:t>11</w:t>
            </w:r>
          </w:p>
        </w:tc>
        <w:tc>
          <w:tcPr>
            <w:tcW w:w="2367" w:type="dxa"/>
            <w:vMerge w:val="restart"/>
            <w:noWrap/>
            <w:tcMar>
              <w:top w:w="10" w:type="dxa"/>
              <w:left w:w="10" w:type="dxa"/>
              <w:right w:w="10" w:type="dxa"/>
            </w:tcMar>
            <w:vAlign w:val="center"/>
          </w:tcPr>
          <w:p>
            <w:pPr>
              <w:spacing w:line="0" w:lineRule="atLeast"/>
              <w:jc w:val="center"/>
              <w:rPr>
                <w:rFonts w:ascii="宋体" w:hAnsi="宋体" w:cs="宋体"/>
                <w:color w:val="000000"/>
                <w:kern w:val="0"/>
                <w:sz w:val="21"/>
                <w:szCs w:val="21"/>
              </w:rPr>
            </w:pPr>
            <w:r>
              <w:rPr>
                <w:rFonts w:hint="eastAsia" w:ascii="宋体" w:hAnsi="宋体" w:cs="宋体"/>
                <w:color w:val="000000"/>
                <w:kern w:val="0"/>
                <w:sz w:val="21"/>
                <w:szCs w:val="21"/>
                <w:lang w:eastAsia="zh-CN"/>
              </w:rPr>
              <w:t>消防</w:t>
            </w:r>
            <w:r>
              <w:rPr>
                <w:rFonts w:hint="eastAsia" w:ascii="宋体" w:hAnsi="宋体" w:cs="宋体"/>
                <w:color w:val="000000"/>
                <w:kern w:val="0"/>
                <w:sz w:val="21"/>
                <w:szCs w:val="21"/>
              </w:rPr>
              <w:t>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646" w:type="dxa"/>
            <w:noWrap/>
            <w:tcMar>
              <w:top w:w="10" w:type="dxa"/>
              <w:left w:w="10" w:type="dxa"/>
              <w:right w:w="10" w:type="dxa"/>
            </w:tcMar>
            <w:vAlign w:val="center"/>
          </w:tcPr>
          <w:p>
            <w:pPr>
              <w:widowControl/>
              <w:spacing w:line="0" w:lineRule="atLeast"/>
              <w:jc w:val="center"/>
              <w:textAlignment w:val="center"/>
              <w:rPr>
                <w:rFonts w:ascii="宋体" w:hAnsi="宋体" w:cs="宋体"/>
                <w:color w:val="000000"/>
                <w:kern w:val="0"/>
                <w:sz w:val="21"/>
                <w:szCs w:val="21"/>
              </w:rPr>
            </w:pPr>
            <w:r>
              <w:rPr>
                <w:rFonts w:hint="eastAsia" w:ascii="宋体" w:hAnsi="宋体" w:cs="宋体"/>
                <w:color w:val="000000"/>
                <w:kern w:val="0"/>
                <w:sz w:val="21"/>
                <w:szCs w:val="21"/>
              </w:rPr>
              <w:t>2</w:t>
            </w:r>
          </w:p>
        </w:tc>
        <w:tc>
          <w:tcPr>
            <w:tcW w:w="3151" w:type="dxa"/>
            <w:noWrap/>
            <w:tcMar>
              <w:top w:w="10" w:type="dxa"/>
              <w:left w:w="10" w:type="dxa"/>
              <w:right w:w="10" w:type="dxa"/>
            </w:tcMar>
            <w:vAlign w:val="center"/>
          </w:tcPr>
          <w:p>
            <w:pPr>
              <w:widowControl/>
              <w:spacing w:line="0" w:lineRule="atLeast"/>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b w:val="0"/>
                <w:bCs w:val="0"/>
                <w:color w:val="000000"/>
                <w:kern w:val="0"/>
                <w:sz w:val="21"/>
                <w:szCs w:val="21"/>
                <w:lang w:val="en-US" w:eastAsia="zh-CN"/>
              </w:rPr>
              <w:t>龙尾院区</w:t>
            </w:r>
            <w:r>
              <w:rPr>
                <w:rFonts w:hint="eastAsia" w:asciiTheme="minorEastAsia" w:hAnsiTheme="minorEastAsia" w:eastAsiaTheme="minorEastAsia" w:cstheme="minorEastAsia"/>
                <w:sz w:val="21"/>
                <w:szCs w:val="21"/>
              </w:rPr>
              <w:t>消防设施维护保养</w:t>
            </w:r>
          </w:p>
        </w:tc>
        <w:tc>
          <w:tcPr>
            <w:tcW w:w="1596" w:type="dxa"/>
            <w:noWrap/>
            <w:tcMar>
              <w:top w:w="10" w:type="dxa"/>
              <w:left w:w="10" w:type="dxa"/>
              <w:right w:w="10" w:type="dxa"/>
            </w:tcMar>
            <w:vAlign w:val="center"/>
          </w:tcPr>
          <w:p>
            <w:pPr>
              <w:widowControl/>
              <w:spacing w:line="0" w:lineRule="atLeast"/>
              <w:jc w:val="center"/>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15254</w:t>
            </w:r>
          </w:p>
        </w:tc>
        <w:tc>
          <w:tcPr>
            <w:tcW w:w="992" w:type="dxa"/>
            <w:noWrap/>
            <w:tcMar>
              <w:top w:w="10" w:type="dxa"/>
              <w:left w:w="10" w:type="dxa"/>
              <w:right w:w="10" w:type="dxa"/>
            </w:tcMar>
            <w:vAlign w:val="center"/>
          </w:tcPr>
          <w:p>
            <w:pPr>
              <w:widowControl/>
              <w:spacing w:line="0" w:lineRule="atLeast"/>
              <w:jc w:val="center"/>
              <w:textAlignment w:val="center"/>
              <w:rPr>
                <w:rFonts w:hint="eastAsia" w:ascii="宋体" w:hAnsi="宋体" w:eastAsia="宋体" w:cs="宋体"/>
                <w:color w:val="000000"/>
                <w:kern w:val="0"/>
                <w:sz w:val="21"/>
                <w:szCs w:val="21"/>
                <w:lang w:eastAsia="zh-CN"/>
              </w:rPr>
            </w:pPr>
            <w:r>
              <w:rPr>
                <w:rFonts w:hint="eastAsia" w:ascii="汉仪中宋简" w:hAnsi="汉仪中宋简" w:eastAsia="汉仪中宋简" w:cs="汉仪中宋简"/>
                <w:b w:val="0"/>
                <w:bCs w:val="0"/>
                <w:color w:val="000000"/>
                <w:kern w:val="0"/>
                <w:sz w:val="21"/>
                <w:szCs w:val="21"/>
                <w:lang w:val="en-US" w:eastAsia="zh-CN" w:bidi="ar-SA"/>
              </w:rPr>
              <w:t>平方米</w:t>
            </w:r>
          </w:p>
        </w:tc>
        <w:tc>
          <w:tcPr>
            <w:tcW w:w="1276" w:type="dxa"/>
            <w:vMerge w:val="continue"/>
            <w:noWrap/>
            <w:tcMar>
              <w:top w:w="10" w:type="dxa"/>
              <w:left w:w="10" w:type="dxa"/>
              <w:right w:w="10" w:type="dxa"/>
            </w:tcMar>
            <w:vAlign w:val="center"/>
          </w:tcPr>
          <w:p>
            <w:pPr>
              <w:spacing w:line="0" w:lineRule="atLeast"/>
              <w:jc w:val="center"/>
              <w:rPr>
                <w:rFonts w:ascii="宋体" w:hAnsi="宋体" w:cs="宋体"/>
                <w:color w:val="000000"/>
                <w:kern w:val="0"/>
                <w:sz w:val="21"/>
                <w:szCs w:val="21"/>
              </w:rPr>
            </w:pPr>
          </w:p>
        </w:tc>
        <w:tc>
          <w:tcPr>
            <w:tcW w:w="2367" w:type="dxa"/>
            <w:vMerge w:val="continue"/>
            <w:noWrap/>
            <w:tcMar>
              <w:top w:w="10" w:type="dxa"/>
              <w:left w:w="10" w:type="dxa"/>
              <w:right w:w="10" w:type="dxa"/>
            </w:tcMar>
            <w:vAlign w:val="center"/>
          </w:tcPr>
          <w:p>
            <w:pPr>
              <w:spacing w:line="0" w:lineRule="atLeast"/>
              <w:jc w:val="center"/>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646" w:type="dxa"/>
            <w:noWrap/>
            <w:tcMar>
              <w:top w:w="10" w:type="dxa"/>
              <w:left w:w="10" w:type="dxa"/>
              <w:right w:w="10" w:type="dxa"/>
            </w:tcMar>
            <w:vAlign w:val="center"/>
          </w:tcPr>
          <w:p>
            <w:pPr>
              <w:widowControl/>
              <w:spacing w:line="0" w:lineRule="atLeast"/>
              <w:jc w:val="center"/>
              <w:textAlignment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3</w:t>
            </w:r>
          </w:p>
        </w:tc>
        <w:tc>
          <w:tcPr>
            <w:tcW w:w="3151" w:type="dxa"/>
            <w:noWrap/>
            <w:tcMar>
              <w:top w:w="10" w:type="dxa"/>
              <w:left w:w="10" w:type="dxa"/>
              <w:right w:w="10" w:type="dxa"/>
            </w:tcMar>
            <w:vAlign w:val="center"/>
          </w:tcPr>
          <w:p>
            <w:pPr>
              <w:widowControl/>
              <w:spacing w:line="0" w:lineRule="atLeast"/>
              <w:jc w:val="center"/>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医院（</w:t>
            </w:r>
            <w:r>
              <w:rPr>
                <w:rFonts w:hint="eastAsia" w:asciiTheme="minorEastAsia" w:hAnsiTheme="minorEastAsia" w:eastAsiaTheme="minorEastAsia" w:cstheme="minorEastAsia"/>
                <w:color w:val="000000"/>
                <w:kern w:val="0"/>
                <w:sz w:val="21"/>
                <w:szCs w:val="21"/>
                <w:lang w:val="en-US" w:eastAsia="zh-CN"/>
              </w:rPr>
              <w:t>19家</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sz w:val="21"/>
                <w:szCs w:val="21"/>
              </w:rPr>
              <w:t>社康中心防设施维护保养</w:t>
            </w:r>
          </w:p>
        </w:tc>
        <w:tc>
          <w:tcPr>
            <w:tcW w:w="1596" w:type="dxa"/>
            <w:noWrap/>
            <w:tcMar>
              <w:top w:w="10" w:type="dxa"/>
              <w:left w:w="10" w:type="dxa"/>
              <w:right w:w="10" w:type="dxa"/>
            </w:tcMar>
            <w:vAlign w:val="center"/>
          </w:tcPr>
          <w:p>
            <w:pPr>
              <w:widowControl/>
              <w:spacing w:line="0" w:lineRule="atLeast"/>
              <w:jc w:val="center"/>
              <w:textAlignment w:val="center"/>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14276</w:t>
            </w:r>
          </w:p>
        </w:tc>
        <w:tc>
          <w:tcPr>
            <w:tcW w:w="992" w:type="dxa"/>
            <w:noWrap/>
            <w:tcMar>
              <w:top w:w="10" w:type="dxa"/>
              <w:left w:w="10" w:type="dxa"/>
              <w:right w:w="10" w:type="dxa"/>
            </w:tcMar>
            <w:vAlign w:val="center"/>
          </w:tcPr>
          <w:p>
            <w:pPr>
              <w:widowControl/>
              <w:spacing w:line="0" w:lineRule="atLeast"/>
              <w:jc w:val="center"/>
              <w:textAlignment w:val="center"/>
              <w:rPr>
                <w:rFonts w:ascii="宋体" w:hAnsi="宋体" w:cs="宋体"/>
                <w:color w:val="000000"/>
                <w:kern w:val="0"/>
                <w:sz w:val="21"/>
                <w:szCs w:val="21"/>
              </w:rPr>
            </w:pPr>
            <w:r>
              <w:rPr>
                <w:rFonts w:hint="eastAsia" w:ascii="汉仪中宋简" w:hAnsi="汉仪中宋简" w:eastAsia="汉仪中宋简" w:cs="汉仪中宋简"/>
                <w:b w:val="0"/>
                <w:bCs w:val="0"/>
                <w:color w:val="000000"/>
                <w:kern w:val="0"/>
                <w:sz w:val="21"/>
                <w:szCs w:val="21"/>
                <w:lang w:val="en-US" w:eastAsia="zh-CN" w:bidi="ar-SA"/>
              </w:rPr>
              <w:t>平方米</w:t>
            </w:r>
          </w:p>
        </w:tc>
        <w:tc>
          <w:tcPr>
            <w:tcW w:w="1276" w:type="dxa"/>
            <w:vMerge w:val="continue"/>
            <w:noWrap/>
            <w:tcMar>
              <w:top w:w="10" w:type="dxa"/>
              <w:left w:w="10" w:type="dxa"/>
              <w:right w:w="10" w:type="dxa"/>
            </w:tcMar>
            <w:vAlign w:val="center"/>
          </w:tcPr>
          <w:p>
            <w:pPr>
              <w:spacing w:line="0" w:lineRule="atLeast"/>
              <w:jc w:val="center"/>
              <w:rPr>
                <w:rFonts w:ascii="宋体" w:hAnsi="宋体" w:cs="宋体"/>
                <w:color w:val="000000"/>
                <w:kern w:val="0"/>
                <w:sz w:val="21"/>
                <w:szCs w:val="21"/>
              </w:rPr>
            </w:pPr>
          </w:p>
        </w:tc>
        <w:tc>
          <w:tcPr>
            <w:tcW w:w="2367" w:type="dxa"/>
            <w:vMerge w:val="continue"/>
            <w:noWrap/>
            <w:tcMar>
              <w:top w:w="10" w:type="dxa"/>
              <w:left w:w="10" w:type="dxa"/>
              <w:right w:w="10" w:type="dxa"/>
            </w:tcMar>
            <w:vAlign w:val="center"/>
          </w:tcPr>
          <w:p>
            <w:pPr>
              <w:spacing w:line="0" w:lineRule="atLeast"/>
              <w:jc w:val="center"/>
              <w:rPr>
                <w:rFonts w:ascii="宋体" w:hAnsi="宋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0028" w:type="dxa"/>
            <w:gridSpan w:val="6"/>
            <w:noWrap/>
            <w:tcMar>
              <w:top w:w="10" w:type="dxa"/>
              <w:left w:w="10" w:type="dxa"/>
              <w:right w:w="10" w:type="dxa"/>
            </w:tcMar>
            <w:vAlign w:val="center"/>
          </w:tcPr>
          <w:p>
            <w:pPr>
              <w:spacing w:line="0" w:lineRule="atLeast"/>
              <w:jc w:val="left"/>
              <w:rPr>
                <w:rFonts w:ascii="Calibri" w:hAnsi="Calibri"/>
                <w:kern w:val="0"/>
                <w:sz w:val="21"/>
                <w:szCs w:val="21"/>
              </w:rPr>
            </w:pPr>
            <w:r>
              <w:rPr>
                <w:rFonts w:hint="eastAsia" w:ascii="Calibri" w:hAnsi="Calibri"/>
                <w:kern w:val="0"/>
                <w:sz w:val="21"/>
                <w:szCs w:val="21"/>
              </w:rPr>
              <w:t>备注：</w:t>
            </w:r>
            <w:r>
              <w:rPr>
                <w:rFonts w:hint="eastAsia" w:ascii="Calibri" w:hAnsi="Calibri"/>
                <w:kern w:val="0"/>
                <w:sz w:val="21"/>
                <w:szCs w:val="21"/>
                <w:lang w:eastAsia="zh-CN"/>
              </w:rPr>
              <w:t>各类</w:t>
            </w:r>
            <w:r>
              <w:rPr>
                <w:rFonts w:hint="eastAsia" w:ascii="Calibri"/>
                <w:sz w:val="21"/>
                <w:szCs w:val="21"/>
              </w:rPr>
              <w:t>消防设施</w:t>
            </w:r>
            <w:r>
              <w:rPr>
                <w:rFonts w:hint="eastAsia" w:ascii="宋体" w:hAnsi="宋体" w:cs="宋体"/>
                <w:color w:val="000000"/>
                <w:kern w:val="0"/>
                <w:sz w:val="21"/>
                <w:szCs w:val="21"/>
                <w:lang w:eastAsia="zh-CN"/>
              </w:rPr>
              <w:t>消防</w:t>
            </w:r>
            <w:r>
              <w:rPr>
                <w:rFonts w:hint="eastAsia" w:ascii="宋体" w:hAnsi="宋体" w:cs="宋体"/>
                <w:color w:val="000000"/>
                <w:kern w:val="0"/>
                <w:sz w:val="21"/>
                <w:szCs w:val="21"/>
              </w:rPr>
              <w:t>技术服务</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三江、赋安等</w:t>
            </w:r>
            <w:r>
              <w:rPr>
                <w:rFonts w:hint="eastAsia" w:ascii="宋体" w:hAnsi="宋体" w:cs="宋体"/>
                <w:color w:val="000000"/>
                <w:kern w:val="0"/>
                <w:sz w:val="21"/>
                <w:szCs w:val="21"/>
              </w:rPr>
              <w:t>。</w:t>
            </w:r>
          </w:p>
        </w:tc>
      </w:tr>
    </w:tbl>
    <w:p>
      <w:pPr>
        <w:widowControl/>
        <w:spacing w:line="240" w:lineRule="auto"/>
        <w:ind w:firstLine="420" w:firstLineChars="200"/>
        <w:jc w:val="left"/>
        <w:rPr>
          <w:rFonts w:ascii="宋体" w:hAnsi="宋体"/>
          <w:szCs w:val="21"/>
        </w:rPr>
      </w:pPr>
    </w:p>
    <w:p>
      <w:pPr>
        <w:spacing w:line="240" w:lineRule="auto"/>
        <w:ind w:left="360"/>
        <w:jc w:val="left"/>
        <w:rPr>
          <w:rFonts w:hint="eastAsia" w:ascii="宋体" w:hAnsi="宋体" w:cs="宋体"/>
          <w:b/>
          <w:kern w:val="0"/>
          <w:szCs w:val="21"/>
        </w:rPr>
      </w:pPr>
      <w:r>
        <w:rPr>
          <w:rFonts w:hint="eastAsia" w:ascii="宋体" w:hAnsi="宋体" w:cs="宋体"/>
          <w:b/>
          <w:kern w:val="0"/>
          <w:szCs w:val="21"/>
        </w:rPr>
        <w:t>1.2、项目技术服务要求</w:t>
      </w:r>
    </w:p>
    <w:p>
      <w:pPr>
        <w:spacing w:line="240" w:lineRule="auto"/>
        <w:ind w:firstLine="411" w:firstLineChars="195"/>
        <w:rPr>
          <w:rFonts w:hint="eastAsia"/>
          <w:sz w:val="21"/>
          <w:szCs w:val="21"/>
        </w:rPr>
      </w:pPr>
      <w:r>
        <w:rPr>
          <w:rFonts w:hint="eastAsia" w:ascii="宋体" w:hAnsi="宋体" w:cs="宋体"/>
          <w:b/>
          <w:kern w:val="0"/>
          <w:szCs w:val="21"/>
          <w:lang w:val="en-US" w:eastAsia="zh-CN"/>
        </w:rPr>
        <w:t>1.2.1</w:t>
      </w:r>
      <w:r>
        <w:rPr>
          <w:rFonts w:hint="eastAsia" w:ascii="宋体" w:hAnsi="宋体" w:cs="宋体"/>
          <w:b/>
          <w:kern w:val="0"/>
          <w:szCs w:val="21"/>
        </w:rPr>
        <w:t>、</w:t>
      </w:r>
      <w:r>
        <w:rPr>
          <w:rFonts w:hint="eastAsia"/>
          <w:b/>
          <w:sz w:val="21"/>
          <w:szCs w:val="21"/>
        </w:rPr>
        <w:t>每</w:t>
      </w:r>
      <w:r>
        <w:rPr>
          <w:rFonts w:hint="eastAsia"/>
          <w:b/>
          <w:sz w:val="21"/>
          <w:szCs w:val="21"/>
          <w:lang w:val="en-US" w:eastAsia="zh-CN"/>
        </w:rPr>
        <w:t>月度、季度、</w:t>
      </w:r>
      <w:r>
        <w:rPr>
          <w:rFonts w:hint="eastAsia"/>
          <w:b/>
          <w:sz w:val="21"/>
          <w:szCs w:val="21"/>
        </w:rPr>
        <w:t>半年</w:t>
      </w:r>
      <w:r>
        <w:rPr>
          <w:rFonts w:hint="eastAsia"/>
          <w:b/>
          <w:sz w:val="21"/>
          <w:szCs w:val="21"/>
          <w:lang w:val="en-US" w:eastAsia="zh-CN"/>
        </w:rPr>
        <w:t>度、年度</w:t>
      </w:r>
      <w:r>
        <w:rPr>
          <w:rFonts w:hint="eastAsia"/>
          <w:b/>
          <w:sz w:val="21"/>
          <w:szCs w:val="21"/>
        </w:rPr>
        <w:t>保养内容</w:t>
      </w:r>
      <w:r>
        <w:rPr>
          <w:rFonts w:hint="eastAsia"/>
          <w:sz w:val="21"/>
          <w:szCs w:val="21"/>
        </w:rPr>
        <w:t>：</w:t>
      </w:r>
    </w:p>
    <w:p>
      <w:pPr>
        <w:spacing w:line="240" w:lineRule="auto"/>
        <w:ind w:firstLine="560"/>
        <w:rPr>
          <w:rFonts w:hint="eastAsia"/>
          <w:sz w:val="21"/>
          <w:szCs w:val="21"/>
        </w:rPr>
      </w:pPr>
      <w:r>
        <w:rPr>
          <w:rFonts w:hint="eastAsia" w:asciiTheme="minorEastAsia" w:hAnsiTheme="minorEastAsia" w:eastAsiaTheme="minorEastAsia" w:cstheme="minorEastAsia"/>
          <w:sz w:val="21"/>
          <w:szCs w:val="21"/>
        </w:rPr>
        <w:t>1、</w:t>
      </w:r>
      <w:r>
        <w:rPr>
          <w:rFonts w:hint="eastAsia"/>
          <w:sz w:val="21"/>
          <w:szCs w:val="21"/>
        </w:rPr>
        <w:t>消防监控室主机运行状况，记录运行数据。</w:t>
      </w:r>
    </w:p>
    <w:p>
      <w:pPr>
        <w:spacing w:line="240" w:lineRule="auto"/>
        <w:ind w:firstLine="560"/>
        <w:rPr>
          <w:rFonts w:hint="eastAsia"/>
          <w:sz w:val="21"/>
          <w:szCs w:val="21"/>
        </w:rPr>
      </w:pPr>
      <w:r>
        <w:rPr>
          <w:rFonts w:hint="eastAsia" w:asciiTheme="minorEastAsia" w:hAnsiTheme="minorEastAsia" w:eastAsiaTheme="minorEastAsia" w:cstheme="minorEastAsia"/>
          <w:sz w:val="21"/>
          <w:szCs w:val="21"/>
        </w:rPr>
        <w:t>2、</w:t>
      </w:r>
      <w:r>
        <w:rPr>
          <w:rFonts w:hint="eastAsia"/>
          <w:sz w:val="21"/>
          <w:szCs w:val="21"/>
        </w:rPr>
        <w:t>消防水泵机组运行是否正常。</w:t>
      </w:r>
    </w:p>
    <w:p>
      <w:pPr>
        <w:spacing w:line="240" w:lineRule="auto"/>
        <w:ind w:firstLine="560"/>
        <w:rPr>
          <w:rFonts w:hint="eastAsia"/>
          <w:sz w:val="21"/>
          <w:szCs w:val="21"/>
        </w:rPr>
      </w:pPr>
      <w:r>
        <w:rPr>
          <w:rFonts w:hint="eastAsia" w:asciiTheme="minorEastAsia" w:hAnsiTheme="minorEastAsia" w:eastAsiaTheme="minorEastAsia" w:cstheme="minorEastAsia"/>
          <w:sz w:val="21"/>
          <w:szCs w:val="21"/>
        </w:rPr>
        <w:t>3、</w:t>
      </w:r>
      <w:r>
        <w:rPr>
          <w:rFonts w:hint="eastAsia"/>
          <w:sz w:val="21"/>
          <w:szCs w:val="21"/>
        </w:rPr>
        <w:t>消防水泵机组运行观察电流表移动情况，对比电流表数据与实际是否相互。</w:t>
      </w:r>
    </w:p>
    <w:p>
      <w:pPr>
        <w:spacing w:line="240" w:lineRule="auto"/>
        <w:ind w:firstLine="560"/>
        <w:rPr>
          <w:rFonts w:hint="eastAsia"/>
          <w:sz w:val="21"/>
          <w:szCs w:val="21"/>
        </w:rPr>
      </w:pPr>
      <w:r>
        <w:rPr>
          <w:rFonts w:hint="eastAsia" w:asciiTheme="minorEastAsia" w:hAnsiTheme="minorEastAsia" w:eastAsiaTheme="minorEastAsia" w:cstheme="minorEastAsia"/>
          <w:sz w:val="21"/>
          <w:szCs w:val="21"/>
        </w:rPr>
        <w:t>4、</w:t>
      </w:r>
      <w:r>
        <w:rPr>
          <w:rFonts w:hint="eastAsia"/>
          <w:sz w:val="21"/>
          <w:szCs w:val="21"/>
        </w:rPr>
        <w:t>消防水泵机组运行检查润滑油系统。</w:t>
      </w:r>
    </w:p>
    <w:p>
      <w:pPr>
        <w:spacing w:line="240" w:lineRule="auto"/>
        <w:ind w:firstLine="560"/>
        <w:rPr>
          <w:rFonts w:hint="eastAsia"/>
          <w:sz w:val="21"/>
          <w:szCs w:val="21"/>
        </w:rPr>
      </w:pPr>
      <w:r>
        <w:rPr>
          <w:rFonts w:hint="eastAsia" w:asciiTheme="minorEastAsia" w:hAnsiTheme="minorEastAsia" w:eastAsiaTheme="minorEastAsia" w:cstheme="minorEastAsia"/>
          <w:sz w:val="21"/>
          <w:szCs w:val="21"/>
        </w:rPr>
        <w:t>5、</w:t>
      </w:r>
      <w:r>
        <w:rPr>
          <w:rFonts w:hint="eastAsia"/>
          <w:sz w:val="21"/>
          <w:szCs w:val="21"/>
        </w:rPr>
        <w:t>消防水泵机组运行检查机组是否有不正常的噪音及振动现象。</w:t>
      </w:r>
    </w:p>
    <w:p>
      <w:pPr>
        <w:spacing w:line="240" w:lineRule="auto"/>
        <w:ind w:firstLine="560"/>
        <w:rPr>
          <w:rFonts w:hint="eastAsia"/>
          <w:sz w:val="21"/>
          <w:szCs w:val="21"/>
        </w:rPr>
      </w:pPr>
      <w:r>
        <w:rPr>
          <w:rFonts w:hint="eastAsia" w:asciiTheme="minorEastAsia" w:hAnsiTheme="minorEastAsia" w:eastAsiaTheme="minorEastAsia" w:cstheme="minorEastAsia"/>
          <w:sz w:val="21"/>
          <w:szCs w:val="21"/>
        </w:rPr>
        <w:t>6、</w:t>
      </w:r>
      <w:r>
        <w:rPr>
          <w:rFonts w:hint="eastAsia"/>
          <w:sz w:val="21"/>
          <w:szCs w:val="21"/>
        </w:rPr>
        <w:t>消防低位水池及高位水池储存是否在正常范围。</w:t>
      </w:r>
    </w:p>
    <w:p>
      <w:pPr>
        <w:spacing w:line="240" w:lineRule="auto"/>
        <w:ind w:firstLine="560"/>
        <w:rPr>
          <w:rFonts w:hint="eastAsia"/>
          <w:sz w:val="21"/>
          <w:szCs w:val="21"/>
        </w:rPr>
      </w:pPr>
      <w:r>
        <w:rPr>
          <w:rFonts w:hint="eastAsia" w:asciiTheme="minorEastAsia" w:hAnsiTheme="minorEastAsia" w:eastAsiaTheme="minorEastAsia" w:cstheme="minorEastAsia"/>
          <w:sz w:val="21"/>
          <w:szCs w:val="21"/>
        </w:rPr>
        <w:t>7、</w:t>
      </w:r>
      <w:r>
        <w:rPr>
          <w:rFonts w:hint="eastAsia"/>
          <w:sz w:val="21"/>
          <w:szCs w:val="21"/>
        </w:rPr>
        <w:t>稳压泵控制系统是否正常。</w:t>
      </w:r>
    </w:p>
    <w:p>
      <w:pPr>
        <w:spacing w:line="240" w:lineRule="auto"/>
        <w:ind w:firstLine="560"/>
        <w:rPr>
          <w:rFonts w:hint="eastAsia"/>
          <w:sz w:val="21"/>
          <w:szCs w:val="21"/>
        </w:rPr>
      </w:pPr>
      <w:r>
        <w:rPr>
          <w:rFonts w:hint="eastAsia" w:asciiTheme="minorEastAsia" w:hAnsiTheme="minorEastAsia" w:eastAsiaTheme="minorEastAsia" w:cstheme="minorEastAsia"/>
          <w:sz w:val="21"/>
          <w:szCs w:val="21"/>
        </w:rPr>
        <w:t>8、</w:t>
      </w:r>
      <w:r>
        <w:rPr>
          <w:rFonts w:hint="eastAsia"/>
          <w:sz w:val="21"/>
          <w:szCs w:val="21"/>
        </w:rPr>
        <w:t>稳压泵稳压压力是否正常。</w:t>
      </w:r>
    </w:p>
    <w:p>
      <w:pPr>
        <w:spacing w:line="240" w:lineRule="auto"/>
        <w:ind w:firstLine="560"/>
        <w:rPr>
          <w:rFonts w:hint="eastAsia"/>
          <w:sz w:val="21"/>
          <w:szCs w:val="21"/>
        </w:rPr>
      </w:pPr>
      <w:r>
        <w:rPr>
          <w:rFonts w:hint="eastAsia" w:asciiTheme="minorEastAsia" w:hAnsiTheme="minorEastAsia" w:eastAsiaTheme="minorEastAsia" w:cstheme="minorEastAsia"/>
          <w:sz w:val="21"/>
          <w:szCs w:val="21"/>
        </w:rPr>
        <w:t>9、</w:t>
      </w:r>
      <w:r>
        <w:rPr>
          <w:rFonts w:hint="eastAsia"/>
          <w:sz w:val="21"/>
          <w:szCs w:val="21"/>
        </w:rPr>
        <w:t>烟感探头</w:t>
      </w:r>
      <w:r>
        <w:rPr>
          <w:rFonts w:hint="eastAsia" w:eastAsia="Times New Roman"/>
          <w:sz w:val="21"/>
          <w:szCs w:val="21"/>
        </w:rPr>
        <w:t>.</w:t>
      </w:r>
      <w:r>
        <w:rPr>
          <w:rFonts w:hint="eastAsia"/>
          <w:sz w:val="21"/>
          <w:szCs w:val="21"/>
        </w:rPr>
        <w:t>感温探头</w:t>
      </w:r>
      <w:r>
        <w:rPr>
          <w:rFonts w:hint="eastAsia" w:eastAsia="Times New Roman"/>
          <w:sz w:val="21"/>
          <w:szCs w:val="21"/>
        </w:rPr>
        <w:t>.</w:t>
      </w:r>
      <w:r>
        <w:rPr>
          <w:rFonts w:hint="eastAsia"/>
          <w:sz w:val="21"/>
          <w:szCs w:val="21"/>
        </w:rPr>
        <w:t>手报</w:t>
      </w:r>
      <w:r>
        <w:rPr>
          <w:rFonts w:hint="eastAsia" w:eastAsia="Times New Roman"/>
          <w:sz w:val="21"/>
          <w:szCs w:val="21"/>
        </w:rPr>
        <w:t>.</w:t>
      </w:r>
      <w:r>
        <w:rPr>
          <w:rFonts w:hint="eastAsia"/>
          <w:sz w:val="21"/>
          <w:szCs w:val="21"/>
        </w:rPr>
        <w:t>消防广播</w:t>
      </w:r>
      <w:r>
        <w:rPr>
          <w:rFonts w:hint="eastAsia" w:eastAsia="Times New Roman"/>
          <w:sz w:val="21"/>
          <w:szCs w:val="21"/>
        </w:rPr>
        <w:t>.</w:t>
      </w:r>
      <w:r>
        <w:rPr>
          <w:rFonts w:hint="eastAsia"/>
          <w:sz w:val="21"/>
          <w:szCs w:val="21"/>
        </w:rPr>
        <w:t>是否正常。</w:t>
      </w:r>
    </w:p>
    <w:p>
      <w:pPr>
        <w:spacing w:line="240" w:lineRule="auto"/>
        <w:ind w:firstLine="560"/>
        <w:rPr>
          <w:rFonts w:hint="eastAsia"/>
          <w:sz w:val="21"/>
          <w:szCs w:val="21"/>
        </w:rPr>
      </w:pPr>
      <w:r>
        <w:rPr>
          <w:rFonts w:hint="eastAsia" w:asciiTheme="minorEastAsia" w:hAnsiTheme="minorEastAsia" w:eastAsiaTheme="minorEastAsia" w:cstheme="minorEastAsia"/>
          <w:sz w:val="21"/>
          <w:szCs w:val="21"/>
        </w:rPr>
        <w:t>10、</w:t>
      </w:r>
      <w:r>
        <w:rPr>
          <w:rFonts w:hint="eastAsia"/>
          <w:sz w:val="21"/>
          <w:szCs w:val="21"/>
        </w:rPr>
        <w:t>室内消火栓</w:t>
      </w:r>
      <w:r>
        <w:rPr>
          <w:rFonts w:hint="eastAsia" w:eastAsia="Times New Roman"/>
          <w:sz w:val="21"/>
          <w:szCs w:val="21"/>
        </w:rPr>
        <w:t>.</w:t>
      </w:r>
      <w:r>
        <w:rPr>
          <w:rFonts w:hint="eastAsia"/>
          <w:sz w:val="21"/>
          <w:szCs w:val="21"/>
        </w:rPr>
        <w:t>水带</w:t>
      </w:r>
      <w:r>
        <w:rPr>
          <w:rFonts w:hint="eastAsia" w:eastAsia="Times New Roman"/>
          <w:sz w:val="21"/>
          <w:szCs w:val="21"/>
        </w:rPr>
        <w:t>.</w:t>
      </w:r>
      <w:r>
        <w:rPr>
          <w:rFonts w:hint="eastAsia"/>
          <w:sz w:val="21"/>
          <w:szCs w:val="21"/>
        </w:rPr>
        <w:t>各楼层末端排水是否正常</w:t>
      </w:r>
      <w:r>
        <w:rPr>
          <w:rFonts w:hint="eastAsia" w:eastAsia="Times New Roman"/>
          <w:sz w:val="21"/>
          <w:szCs w:val="21"/>
        </w:rPr>
        <w:t>.</w:t>
      </w:r>
      <w:r>
        <w:rPr>
          <w:rFonts w:hint="eastAsia"/>
          <w:sz w:val="21"/>
          <w:szCs w:val="21"/>
        </w:rPr>
        <w:t>。</w:t>
      </w:r>
    </w:p>
    <w:p>
      <w:pPr>
        <w:spacing w:line="240" w:lineRule="auto"/>
        <w:ind w:firstLine="560"/>
        <w:rPr>
          <w:rFonts w:hint="eastAsia"/>
          <w:sz w:val="21"/>
          <w:szCs w:val="21"/>
        </w:rPr>
      </w:pPr>
      <w:r>
        <w:rPr>
          <w:rFonts w:hint="eastAsia" w:asciiTheme="minorEastAsia" w:hAnsiTheme="minorEastAsia" w:eastAsiaTheme="minorEastAsia" w:cstheme="minorEastAsia"/>
          <w:sz w:val="21"/>
          <w:szCs w:val="21"/>
        </w:rPr>
        <w:t>11、</w:t>
      </w:r>
      <w:r>
        <w:rPr>
          <w:rFonts w:hint="eastAsia"/>
          <w:sz w:val="21"/>
          <w:szCs w:val="21"/>
        </w:rPr>
        <w:t>检查各楼层末端排水压力是否正常。</w:t>
      </w:r>
    </w:p>
    <w:p>
      <w:pPr>
        <w:spacing w:line="240" w:lineRule="auto"/>
        <w:ind w:firstLine="56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12、消防排烟风机及消防新风机是否正常。</w:t>
      </w:r>
    </w:p>
    <w:p>
      <w:pPr>
        <w:spacing w:line="240" w:lineRule="auto"/>
        <w:ind w:firstLine="56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13、出具《建筑消防设施维保报告》给采购方。</w:t>
      </w:r>
    </w:p>
    <w:p>
      <w:pPr>
        <w:spacing w:line="240" w:lineRule="auto"/>
        <w:ind w:firstLine="411" w:firstLineChars="195"/>
        <w:rPr>
          <w:rFonts w:hint="eastAsia" w:ascii="宋体" w:hAnsi="宋体" w:cs="宋体"/>
          <w:b/>
          <w:kern w:val="0"/>
          <w:szCs w:val="21"/>
          <w:lang w:val="en-US" w:eastAsia="zh-CN"/>
        </w:rPr>
      </w:pPr>
      <w:r>
        <w:rPr>
          <w:rFonts w:hint="eastAsia" w:ascii="宋体" w:hAnsi="宋体" w:cs="宋体"/>
          <w:b/>
          <w:kern w:val="0"/>
          <w:szCs w:val="21"/>
          <w:lang w:val="en-US" w:eastAsia="zh-CN"/>
        </w:rPr>
        <w:t>1.2.2、维保维修责任</w:t>
      </w:r>
    </w:p>
    <w:p>
      <w:pPr>
        <w:spacing w:line="240" w:lineRule="auto"/>
        <w:ind w:firstLine="56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在</w:t>
      </w:r>
      <w:r>
        <w:rPr>
          <w:rFonts w:hint="eastAsia" w:asciiTheme="minorEastAsia" w:hAnsiTheme="minorEastAsia" w:eastAsiaTheme="minorEastAsia" w:cstheme="minorEastAsia"/>
          <w:sz w:val="21"/>
          <w:szCs w:val="21"/>
          <w:lang w:val="en-US" w:eastAsia="zh-CN"/>
        </w:rPr>
        <w:t>后勤管理部</w:t>
      </w:r>
      <w:r>
        <w:rPr>
          <w:rFonts w:hint="eastAsia" w:asciiTheme="minorEastAsia" w:hAnsiTheme="minorEastAsia" w:eastAsiaTheme="minorEastAsia" w:cstheme="minorEastAsia"/>
          <w:sz w:val="21"/>
          <w:szCs w:val="21"/>
        </w:rPr>
        <w:t>的直接领导下,具体负责消防设备设施的维修、抢修任务，并保证维修后的设备设施处在正常运行状态。</w:t>
      </w:r>
    </w:p>
    <w:p>
      <w:pPr>
        <w:spacing w:line="240" w:lineRule="auto"/>
        <w:ind w:firstLine="56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2.按照</w:t>
      </w:r>
      <w:r>
        <w:rPr>
          <w:rFonts w:hint="eastAsia" w:asciiTheme="minorEastAsia" w:hAnsiTheme="minorEastAsia" w:eastAsiaTheme="minorEastAsia" w:cstheme="minorEastAsia"/>
          <w:sz w:val="21"/>
          <w:szCs w:val="21"/>
          <w:lang w:val="en-US" w:eastAsia="zh-CN"/>
        </w:rPr>
        <w:t>后勤管理部</w:t>
      </w:r>
      <w:r>
        <w:rPr>
          <w:rFonts w:hint="eastAsia" w:asciiTheme="minorEastAsia" w:hAnsiTheme="minorEastAsia" w:eastAsiaTheme="minorEastAsia" w:cstheme="minorEastAsia"/>
          <w:sz w:val="21"/>
          <w:szCs w:val="21"/>
        </w:rPr>
        <w:t>年度消防设备维修计划,定期做好月度、季度计划维修工作,按时完成消防设备的维修项目,确保对</w:t>
      </w:r>
      <w:r>
        <w:rPr>
          <w:rFonts w:hint="eastAsia" w:asciiTheme="minorEastAsia" w:hAnsiTheme="minorEastAsia" w:eastAsiaTheme="minorEastAsia" w:cstheme="minorEastAsia"/>
          <w:sz w:val="21"/>
          <w:szCs w:val="21"/>
          <w:lang w:val="en-US" w:eastAsia="zh-CN"/>
        </w:rPr>
        <w:t>医院范围</w:t>
      </w:r>
      <w:r>
        <w:rPr>
          <w:rFonts w:hint="eastAsia" w:asciiTheme="minorEastAsia" w:hAnsiTheme="minorEastAsia" w:eastAsiaTheme="minorEastAsia" w:cstheme="minorEastAsia"/>
          <w:sz w:val="21"/>
          <w:szCs w:val="21"/>
        </w:rPr>
        <w:t>内的消防设备处于正常状态。</w:t>
      </w:r>
    </w:p>
    <w:p>
      <w:pPr>
        <w:spacing w:line="240" w:lineRule="auto"/>
        <w:ind w:firstLine="56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3.发现故障及时维修，并做好相应记录，确保可追溯。</w:t>
      </w:r>
    </w:p>
    <w:p>
      <w:pPr>
        <w:spacing w:line="240" w:lineRule="auto"/>
        <w:ind w:firstLine="56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4.所修缮物必须符合中华人民共和国国家消防安全标准，并达到原厂产品的技术参数标准。</w:t>
      </w:r>
    </w:p>
    <w:p>
      <w:pPr>
        <w:spacing w:line="240" w:lineRule="auto"/>
        <w:ind w:firstLine="560"/>
        <w:rPr>
          <w:rFonts w:hint="default" w:ascii="宋体" w:hAnsi="宋体" w:cs="宋体"/>
          <w:b/>
          <w:kern w:val="0"/>
          <w:szCs w:val="21"/>
          <w:lang w:val="en-US" w:eastAsia="zh-CN"/>
        </w:rPr>
      </w:pPr>
      <w:r>
        <w:rPr>
          <w:rFonts w:hint="eastAsia" w:asciiTheme="minorEastAsia" w:hAnsiTheme="minorEastAsia" w:eastAsiaTheme="minorEastAsia" w:cstheme="minorEastAsia"/>
          <w:sz w:val="21"/>
          <w:szCs w:val="21"/>
        </w:rPr>
        <w:t>5.响应时间：接到医院报修电话后，派遣资深工程师或具备资质的维修人</w:t>
      </w:r>
      <w:r>
        <w:rPr>
          <w:rFonts w:hint="eastAsia" w:asciiTheme="minorEastAsia" w:hAnsiTheme="minorEastAsia" w:eastAsiaTheme="minorEastAsia" w:cstheme="minorEastAsia"/>
          <w:color w:val="FF0000"/>
          <w:sz w:val="21"/>
          <w:szCs w:val="21"/>
        </w:rPr>
        <w:t>员</w:t>
      </w:r>
      <w:r>
        <w:rPr>
          <w:rFonts w:hint="eastAsia" w:asciiTheme="minorEastAsia" w:hAnsiTheme="minorEastAsia" w:eastAsiaTheme="minorEastAsia" w:cstheme="minorEastAsia"/>
          <w:color w:val="FF0000"/>
          <w:sz w:val="21"/>
          <w:szCs w:val="21"/>
          <w:lang w:val="en-US" w:eastAsia="zh-CN"/>
        </w:rPr>
        <w:t>半</w:t>
      </w:r>
      <w:r>
        <w:rPr>
          <w:rFonts w:hint="eastAsia" w:asciiTheme="minorEastAsia" w:hAnsiTheme="minorEastAsia" w:eastAsiaTheme="minorEastAsia" w:cstheme="minorEastAsia"/>
          <w:color w:val="FF0000"/>
          <w:sz w:val="21"/>
          <w:szCs w:val="21"/>
        </w:rPr>
        <w:t>小时</w:t>
      </w:r>
      <w:r>
        <w:rPr>
          <w:rFonts w:hint="eastAsia" w:asciiTheme="minorEastAsia" w:hAnsiTheme="minorEastAsia" w:eastAsiaTheme="minorEastAsia" w:cstheme="minorEastAsia"/>
          <w:sz w:val="21"/>
          <w:szCs w:val="21"/>
        </w:rPr>
        <w:t>以内到达现场。</w:t>
      </w:r>
    </w:p>
    <w:tbl>
      <w:tblPr>
        <w:tblStyle w:val="43"/>
        <w:tblW w:w="0" w:type="auto"/>
        <w:tblInd w:w="454" w:type="dxa"/>
        <w:tblLayout w:type="fixed"/>
        <w:tblCellMar>
          <w:top w:w="0" w:type="dxa"/>
          <w:left w:w="0" w:type="dxa"/>
          <w:bottom w:w="0" w:type="dxa"/>
          <w:right w:w="0" w:type="dxa"/>
        </w:tblCellMar>
      </w:tblPr>
      <w:tblGrid>
        <w:gridCol w:w="928"/>
        <w:gridCol w:w="2045"/>
        <w:gridCol w:w="6218"/>
      </w:tblGrid>
      <w:tr>
        <w:tblPrEx>
          <w:tblCellMar>
            <w:top w:w="0" w:type="dxa"/>
            <w:left w:w="0" w:type="dxa"/>
            <w:bottom w:w="0" w:type="dxa"/>
            <w:right w:w="0" w:type="dxa"/>
          </w:tblCellMar>
        </w:tblPrEx>
        <w:trPr>
          <w:trHeight w:val="317" w:hRule="atLeast"/>
        </w:trPr>
        <w:tc>
          <w:tcPr>
            <w:tcW w:w="9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276" w:lineRule="auto"/>
              <w:jc w:val="center"/>
              <w:rPr>
                <w:rFonts w:hint="eastAsia" w:ascii="Calibri" w:hAnsi="Calibri"/>
                <w:sz w:val="21"/>
                <w:szCs w:val="21"/>
              </w:rPr>
            </w:pPr>
            <w:r>
              <w:rPr>
                <w:rFonts w:hint="eastAsia" w:ascii="Calibri" w:hAnsi="Calibri"/>
                <w:sz w:val="21"/>
                <w:szCs w:val="21"/>
              </w:rPr>
              <w:t>序号</w:t>
            </w:r>
          </w:p>
        </w:tc>
        <w:tc>
          <w:tcPr>
            <w:tcW w:w="20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76" w:lineRule="auto"/>
              <w:jc w:val="center"/>
              <w:rPr>
                <w:rFonts w:hint="eastAsia" w:ascii="Calibri" w:hAnsi="Calibri"/>
                <w:sz w:val="21"/>
                <w:szCs w:val="21"/>
              </w:rPr>
            </w:pPr>
            <w:r>
              <w:rPr>
                <w:rFonts w:hint="eastAsia" w:ascii="Calibri" w:hAnsi="Calibri"/>
                <w:sz w:val="21"/>
                <w:szCs w:val="21"/>
              </w:rPr>
              <w:t>名称</w:t>
            </w:r>
          </w:p>
        </w:tc>
        <w:tc>
          <w:tcPr>
            <w:tcW w:w="62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276" w:lineRule="auto"/>
              <w:jc w:val="center"/>
              <w:rPr>
                <w:rFonts w:hint="eastAsia" w:ascii="Calibri" w:hAnsi="Calibri"/>
                <w:sz w:val="21"/>
                <w:szCs w:val="21"/>
              </w:rPr>
            </w:pPr>
            <w:r>
              <w:rPr>
                <w:rFonts w:hint="eastAsia" w:ascii="Calibri" w:hAnsi="Calibri"/>
                <w:sz w:val="21"/>
                <w:szCs w:val="21"/>
              </w:rPr>
              <w:t>技术要求及规格</w:t>
            </w:r>
          </w:p>
        </w:tc>
      </w:tr>
      <w:tr>
        <w:tblPrEx>
          <w:tblCellMar>
            <w:top w:w="0" w:type="dxa"/>
            <w:left w:w="0" w:type="dxa"/>
            <w:bottom w:w="0" w:type="dxa"/>
            <w:right w:w="0" w:type="dxa"/>
          </w:tblCellMar>
        </w:tblPrEx>
        <w:tc>
          <w:tcPr>
            <w:tcW w:w="9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276" w:lineRule="auto"/>
              <w:jc w:val="center"/>
              <w:rPr>
                <w:rFonts w:hint="eastAsia" w:ascii="Calibri" w:hAnsi="Calibri"/>
                <w:sz w:val="21"/>
                <w:szCs w:val="21"/>
              </w:rPr>
            </w:pPr>
            <w:r>
              <w:rPr>
                <w:rFonts w:hint="eastAsia" w:ascii="Calibri" w:hAnsi="Calibri"/>
                <w:sz w:val="21"/>
                <w:szCs w:val="21"/>
              </w:rPr>
              <w:t>1</w:t>
            </w:r>
          </w:p>
        </w:tc>
        <w:tc>
          <w:tcPr>
            <w:tcW w:w="20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76" w:lineRule="auto"/>
              <w:jc w:val="center"/>
              <w:rPr>
                <w:rFonts w:hint="eastAsia" w:ascii="Calibri" w:hAnsi="Calibri"/>
                <w:sz w:val="21"/>
                <w:szCs w:val="21"/>
              </w:rPr>
            </w:pPr>
          </w:p>
        </w:tc>
        <w:tc>
          <w:tcPr>
            <w:tcW w:w="62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numPr>
                <w:ilvl w:val="0"/>
                <w:numId w:val="9"/>
              </w:numPr>
              <w:spacing w:line="276" w:lineRule="auto"/>
              <w:ind w:left="420"/>
              <w:rPr>
                <w:rFonts w:hint="eastAsia" w:ascii="Calibri" w:hAnsi="Calibri"/>
                <w:sz w:val="21"/>
                <w:szCs w:val="21"/>
              </w:rPr>
            </w:pPr>
          </w:p>
        </w:tc>
      </w:tr>
      <w:tr>
        <w:tblPrEx>
          <w:tblCellMar>
            <w:top w:w="0" w:type="dxa"/>
            <w:left w:w="0" w:type="dxa"/>
            <w:bottom w:w="0" w:type="dxa"/>
            <w:right w:w="0" w:type="dxa"/>
          </w:tblCellMar>
        </w:tblPrEx>
        <w:trPr>
          <w:trHeight w:val="260" w:hRule="atLeast"/>
        </w:trPr>
        <w:tc>
          <w:tcPr>
            <w:tcW w:w="9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276" w:lineRule="auto"/>
              <w:jc w:val="center"/>
              <w:rPr>
                <w:rFonts w:hint="eastAsia" w:ascii="Calibri" w:hAnsi="Calibri"/>
                <w:sz w:val="21"/>
                <w:szCs w:val="21"/>
              </w:rPr>
            </w:pPr>
            <w:r>
              <w:rPr>
                <w:rFonts w:hint="eastAsia" w:ascii="Calibri" w:hAnsi="Calibri"/>
                <w:sz w:val="21"/>
                <w:szCs w:val="21"/>
              </w:rPr>
              <w:t>2</w:t>
            </w:r>
          </w:p>
        </w:tc>
        <w:tc>
          <w:tcPr>
            <w:tcW w:w="20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76" w:lineRule="auto"/>
              <w:jc w:val="center"/>
              <w:rPr>
                <w:rFonts w:hint="eastAsia" w:ascii="Calibri" w:hAnsi="Calibri"/>
                <w:sz w:val="21"/>
                <w:szCs w:val="21"/>
              </w:rPr>
            </w:pPr>
          </w:p>
        </w:tc>
        <w:tc>
          <w:tcPr>
            <w:tcW w:w="62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numPr>
                <w:ilvl w:val="0"/>
                <w:numId w:val="10"/>
              </w:numPr>
              <w:spacing w:line="276" w:lineRule="auto"/>
              <w:ind w:left="420"/>
              <w:rPr>
                <w:rFonts w:hint="eastAsia" w:ascii="Calibri" w:hAnsi="Calibri"/>
                <w:sz w:val="21"/>
                <w:szCs w:val="21"/>
              </w:rPr>
            </w:pPr>
          </w:p>
        </w:tc>
      </w:tr>
      <w:tr>
        <w:tblPrEx>
          <w:tblCellMar>
            <w:top w:w="0" w:type="dxa"/>
            <w:left w:w="0" w:type="dxa"/>
            <w:bottom w:w="0" w:type="dxa"/>
            <w:right w:w="0" w:type="dxa"/>
          </w:tblCellMar>
        </w:tblPrEx>
        <w:tc>
          <w:tcPr>
            <w:tcW w:w="9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276" w:lineRule="auto"/>
              <w:jc w:val="center"/>
              <w:rPr>
                <w:rFonts w:hint="eastAsia" w:ascii="Calibri" w:hAnsi="Calibri"/>
                <w:sz w:val="21"/>
                <w:szCs w:val="21"/>
              </w:rPr>
            </w:pPr>
            <w:r>
              <w:rPr>
                <w:rFonts w:hint="eastAsia" w:ascii="Calibri" w:hAnsi="Calibri"/>
                <w:sz w:val="21"/>
                <w:szCs w:val="21"/>
              </w:rPr>
              <w:t>3</w:t>
            </w:r>
          </w:p>
        </w:tc>
        <w:tc>
          <w:tcPr>
            <w:tcW w:w="20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76" w:lineRule="auto"/>
              <w:jc w:val="center"/>
              <w:rPr>
                <w:rFonts w:hint="eastAsia" w:ascii="Calibri" w:hAnsi="Calibri"/>
                <w:sz w:val="21"/>
                <w:szCs w:val="21"/>
              </w:rPr>
            </w:pPr>
          </w:p>
        </w:tc>
        <w:tc>
          <w:tcPr>
            <w:tcW w:w="62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numPr>
                <w:ilvl w:val="0"/>
                <w:numId w:val="11"/>
              </w:numPr>
              <w:spacing w:line="276" w:lineRule="auto"/>
              <w:ind w:left="420"/>
              <w:rPr>
                <w:rFonts w:hint="eastAsia" w:ascii="Calibri" w:hAnsi="Calibri"/>
                <w:sz w:val="21"/>
                <w:szCs w:val="21"/>
              </w:rPr>
            </w:pPr>
          </w:p>
        </w:tc>
      </w:tr>
      <w:tr>
        <w:tblPrEx>
          <w:tblCellMar>
            <w:top w:w="0" w:type="dxa"/>
            <w:left w:w="0" w:type="dxa"/>
            <w:bottom w:w="0" w:type="dxa"/>
            <w:right w:w="0" w:type="dxa"/>
          </w:tblCellMar>
        </w:tblPrEx>
        <w:tc>
          <w:tcPr>
            <w:tcW w:w="9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276" w:lineRule="auto"/>
              <w:jc w:val="center"/>
              <w:rPr>
                <w:rFonts w:hint="eastAsia" w:ascii="Calibri" w:hAnsi="Calibri"/>
                <w:sz w:val="21"/>
                <w:szCs w:val="21"/>
              </w:rPr>
            </w:pPr>
            <w:r>
              <w:rPr>
                <w:rFonts w:hint="eastAsia" w:ascii="Calibri" w:hAnsi="Calibri"/>
                <w:sz w:val="21"/>
                <w:szCs w:val="21"/>
              </w:rPr>
              <w:t>4</w:t>
            </w:r>
          </w:p>
        </w:tc>
        <w:tc>
          <w:tcPr>
            <w:tcW w:w="20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76" w:lineRule="auto"/>
              <w:jc w:val="center"/>
              <w:rPr>
                <w:rFonts w:hint="eastAsia" w:ascii="Calibri" w:hAnsi="Calibri"/>
                <w:sz w:val="21"/>
                <w:szCs w:val="21"/>
              </w:rPr>
            </w:pPr>
          </w:p>
        </w:tc>
        <w:tc>
          <w:tcPr>
            <w:tcW w:w="62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numPr>
                <w:ilvl w:val="0"/>
                <w:numId w:val="12"/>
              </w:numPr>
              <w:spacing w:line="276" w:lineRule="auto"/>
              <w:ind w:left="420"/>
              <w:rPr>
                <w:rFonts w:hint="eastAsia" w:ascii="Calibri" w:hAnsi="Calibri"/>
                <w:sz w:val="21"/>
                <w:szCs w:val="21"/>
              </w:rPr>
            </w:pPr>
          </w:p>
        </w:tc>
      </w:tr>
      <w:tr>
        <w:tblPrEx>
          <w:tblCellMar>
            <w:top w:w="0" w:type="dxa"/>
            <w:left w:w="0" w:type="dxa"/>
            <w:bottom w:w="0" w:type="dxa"/>
            <w:right w:w="0" w:type="dxa"/>
          </w:tblCellMar>
        </w:tblPrEx>
        <w:tc>
          <w:tcPr>
            <w:tcW w:w="9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pacing w:line="276" w:lineRule="auto"/>
              <w:jc w:val="center"/>
              <w:rPr>
                <w:rFonts w:hint="eastAsia" w:ascii="Calibri" w:hAnsi="Calibri"/>
                <w:sz w:val="21"/>
                <w:szCs w:val="21"/>
              </w:rPr>
            </w:pPr>
            <w:r>
              <w:rPr>
                <w:rFonts w:hint="eastAsia" w:ascii="Calibri" w:hAnsi="Calibri"/>
                <w:sz w:val="21"/>
                <w:szCs w:val="21"/>
              </w:rPr>
              <w:t>5</w:t>
            </w:r>
          </w:p>
        </w:tc>
        <w:tc>
          <w:tcPr>
            <w:tcW w:w="20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76" w:lineRule="auto"/>
              <w:jc w:val="center"/>
              <w:rPr>
                <w:rFonts w:hint="eastAsia" w:ascii="Calibri" w:hAnsi="Calibri"/>
                <w:sz w:val="21"/>
                <w:szCs w:val="21"/>
              </w:rPr>
            </w:pPr>
          </w:p>
        </w:tc>
        <w:tc>
          <w:tcPr>
            <w:tcW w:w="62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numPr>
                <w:ilvl w:val="0"/>
                <w:numId w:val="13"/>
              </w:numPr>
              <w:spacing w:line="276" w:lineRule="auto"/>
              <w:ind w:left="420"/>
              <w:rPr>
                <w:rFonts w:hint="eastAsia" w:ascii="Calibri" w:hAnsi="Calibri"/>
                <w:sz w:val="21"/>
                <w:szCs w:val="21"/>
              </w:rPr>
            </w:pPr>
          </w:p>
        </w:tc>
      </w:tr>
      <w:tr>
        <w:tblPrEx>
          <w:tblCellMar>
            <w:top w:w="0" w:type="dxa"/>
            <w:left w:w="0" w:type="dxa"/>
            <w:bottom w:w="0" w:type="dxa"/>
            <w:right w:w="0" w:type="dxa"/>
          </w:tblCellMar>
        </w:tblPrEx>
        <w:tc>
          <w:tcPr>
            <w:tcW w:w="9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76" w:lineRule="auto"/>
              <w:jc w:val="center"/>
              <w:rPr>
                <w:rFonts w:hint="eastAsia" w:ascii="Calibri" w:hAnsi="Calibri"/>
                <w:sz w:val="21"/>
                <w:szCs w:val="21"/>
              </w:rPr>
            </w:pPr>
            <w:r>
              <w:rPr>
                <w:rFonts w:hint="eastAsia" w:ascii="Calibri" w:hAnsi="Calibri"/>
                <w:sz w:val="21"/>
                <w:szCs w:val="21"/>
              </w:rPr>
              <w:t>6</w:t>
            </w:r>
          </w:p>
        </w:tc>
        <w:tc>
          <w:tcPr>
            <w:tcW w:w="20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276" w:lineRule="auto"/>
              <w:jc w:val="center"/>
              <w:rPr>
                <w:rFonts w:hint="eastAsia" w:ascii="Calibri" w:hAnsi="Calibri"/>
                <w:sz w:val="21"/>
                <w:szCs w:val="21"/>
              </w:rPr>
            </w:pPr>
          </w:p>
        </w:tc>
        <w:tc>
          <w:tcPr>
            <w:tcW w:w="621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numPr>
                <w:ilvl w:val="0"/>
                <w:numId w:val="14"/>
              </w:numPr>
              <w:spacing w:line="276" w:lineRule="auto"/>
              <w:ind w:left="420"/>
              <w:rPr>
                <w:rFonts w:hint="eastAsia" w:ascii="Calibri" w:hAnsi="Calibri"/>
                <w:sz w:val="21"/>
                <w:szCs w:val="21"/>
              </w:rPr>
            </w:pPr>
          </w:p>
        </w:tc>
      </w:tr>
    </w:tbl>
    <w:p>
      <w:pPr>
        <w:spacing w:line="240" w:lineRule="auto"/>
        <w:ind w:firstLine="361"/>
        <w:rPr>
          <w:rFonts w:ascii="宋体" w:hAnsi="宋体" w:cs="宋体"/>
          <w:b/>
          <w:szCs w:val="21"/>
        </w:rPr>
      </w:pPr>
      <w:r>
        <w:rPr>
          <w:rFonts w:hint="eastAsia" w:ascii="仿宋" w:hAnsi="仿宋" w:eastAsia="仿宋"/>
          <w:b/>
          <w:sz w:val="22"/>
          <w:szCs w:val="22"/>
        </w:rPr>
        <w:t>备注：本项要求中，如标有“▲”的条款均为本项目重点指标，投标人若有部分“▲”条款未响应或负偏离，将导致其响应性评审严重扣分。</w:t>
      </w:r>
    </w:p>
    <w:p>
      <w:pPr>
        <w:spacing w:beforeLines="50" w:afterLines="50" w:line="0" w:lineRule="atLeast"/>
        <w:ind w:firstLine="422" w:firstLineChars="200"/>
        <w:rPr>
          <w:rFonts w:ascii="宋体" w:hAnsi="宋体" w:cs="宋体"/>
          <w:b/>
          <w:szCs w:val="21"/>
        </w:rPr>
      </w:pPr>
      <w:r>
        <w:rPr>
          <w:rFonts w:hint="eastAsia" w:ascii="宋体" w:hAnsi="宋体" w:cs="宋体"/>
          <w:b/>
          <w:szCs w:val="21"/>
        </w:rPr>
        <w:t>★四、商务要求（标★条款为实质性条款，否则按无效投标处理）</w:t>
      </w:r>
    </w:p>
    <w:p>
      <w:pPr>
        <w:pStyle w:val="485"/>
        <w:spacing w:line="360" w:lineRule="auto"/>
        <w:ind w:firstLine="0" w:firstLineChars="0"/>
        <w:rPr>
          <w:rFonts w:cs="宋体"/>
          <w:sz w:val="21"/>
          <w:szCs w:val="21"/>
        </w:rPr>
      </w:pPr>
      <w:r>
        <w:rPr>
          <w:rFonts w:hint="eastAsia" w:cs="宋体"/>
          <w:sz w:val="21"/>
          <w:szCs w:val="21"/>
        </w:rPr>
        <w:t>★1、服务期限：</w:t>
      </w:r>
    </w:p>
    <w:p>
      <w:pPr>
        <w:pStyle w:val="485"/>
        <w:spacing w:line="360" w:lineRule="auto"/>
        <w:ind w:left="0" w:leftChars="0" w:firstLine="420" w:firstLineChars="200"/>
        <w:rPr>
          <w:rFonts w:cs="宋体"/>
          <w:kern w:val="2"/>
          <w:sz w:val="21"/>
          <w:szCs w:val="21"/>
        </w:rPr>
      </w:pPr>
      <w:r>
        <w:rPr>
          <w:rFonts w:hint="eastAsia" w:cs="宋体"/>
          <w:kern w:val="2"/>
          <w:sz w:val="21"/>
          <w:szCs w:val="21"/>
        </w:rPr>
        <w:t>自合同签订生效之日起</w:t>
      </w:r>
      <w:r>
        <w:rPr>
          <w:rFonts w:hint="eastAsia" w:cs="宋体"/>
          <w:kern w:val="2"/>
          <w:sz w:val="21"/>
          <w:szCs w:val="21"/>
          <w:lang w:val="en-US" w:eastAsia="zh-CN"/>
        </w:rPr>
        <w:t>12个月</w:t>
      </w:r>
      <w:r>
        <w:rPr>
          <w:rFonts w:hint="eastAsia" w:cs="宋体"/>
          <w:kern w:val="2"/>
          <w:sz w:val="21"/>
          <w:szCs w:val="21"/>
        </w:rPr>
        <w:t>。本项目服务期满后，采购人根据深圳市相关规定</w:t>
      </w:r>
      <w:r>
        <w:rPr>
          <w:rFonts w:hint="eastAsia" w:cs="宋体"/>
          <w:kern w:val="2"/>
          <w:sz w:val="21"/>
          <w:szCs w:val="21"/>
          <w:lang w:val="en-US" w:eastAsia="zh-CN"/>
        </w:rPr>
        <w:t>另行采购。</w:t>
      </w:r>
    </w:p>
    <w:p>
      <w:pPr>
        <w:pStyle w:val="485"/>
        <w:spacing w:line="360" w:lineRule="auto"/>
        <w:ind w:left="0" w:firstLine="420" w:firstLineChars="200"/>
        <w:rPr>
          <w:rFonts w:cs="宋体"/>
          <w:sz w:val="21"/>
          <w:szCs w:val="21"/>
        </w:rPr>
      </w:pPr>
      <w:r>
        <w:rPr>
          <w:rFonts w:hint="eastAsia" w:cs="宋体"/>
          <w:sz w:val="21"/>
          <w:szCs w:val="21"/>
        </w:rPr>
        <w:t>★2、服务要求：</w:t>
      </w:r>
    </w:p>
    <w:p>
      <w:pPr>
        <w:pStyle w:val="485"/>
        <w:spacing w:line="240" w:lineRule="auto"/>
        <w:ind w:firstLine="199" w:firstLineChars="95"/>
        <w:rPr>
          <w:rFonts w:cs="宋体"/>
          <w:sz w:val="21"/>
          <w:szCs w:val="21"/>
        </w:rPr>
      </w:pPr>
      <w:r>
        <w:rPr>
          <w:rFonts w:hint="eastAsia" w:cs="宋体"/>
          <w:sz w:val="21"/>
          <w:szCs w:val="21"/>
        </w:rPr>
        <w:t>2.1服务地点：采购人指定地点。</w:t>
      </w:r>
    </w:p>
    <w:p>
      <w:pPr>
        <w:pStyle w:val="485"/>
        <w:spacing w:line="240" w:lineRule="auto"/>
        <w:ind w:firstLine="199" w:firstLineChars="95"/>
        <w:rPr>
          <w:rFonts w:cs="宋体"/>
          <w:sz w:val="21"/>
          <w:szCs w:val="21"/>
        </w:rPr>
      </w:pPr>
      <w:r>
        <w:rPr>
          <w:rFonts w:hint="eastAsia" w:cs="宋体"/>
          <w:sz w:val="21"/>
          <w:szCs w:val="21"/>
        </w:rPr>
        <w:t>2.2投标人根据约定服务项目范围与内容，向采购人提供系统计划的日常运维服务和例行检测服务。</w:t>
      </w:r>
    </w:p>
    <w:p>
      <w:pPr>
        <w:pStyle w:val="485"/>
        <w:spacing w:line="240" w:lineRule="auto"/>
        <w:ind w:firstLine="199" w:firstLineChars="95"/>
        <w:rPr>
          <w:rFonts w:cs="宋体"/>
          <w:sz w:val="21"/>
          <w:szCs w:val="21"/>
        </w:rPr>
      </w:pPr>
      <w:r>
        <w:rPr>
          <w:rFonts w:hint="eastAsia" w:cs="宋体"/>
          <w:sz w:val="21"/>
          <w:szCs w:val="21"/>
        </w:rPr>
        <w:t>2.3服务期间，投标人提供</w:t>
      </w:r>
      <w:r>
        <w:rPr>
          <w:rFonts w:hint="eastAsia" w:cs="宋体"/>
          <w:sz w:val="21"/>
          <w:szCs w:val="21"/>
          <w:lang w:eastAsia="zh-CN"/>
        </w:rPr>
        <w:t>建筑消防设备设施维护保养</w:t>
      </w:r>
      <w:r>
        <w:rPr>
          <w:rFonts w:hint="eastAsia" w:cs="宋体"/>
          <w:sz w:val="21"/>
          <w:szCs w:val="21"/>
        </w:rPr>
        <w:t>服务，详细内容见“1.2、项目服务要求”。</w:t>
      </w:r>
    </w:p>
    <w:p>
      <w:pPr>
        <w:pStyle w:val="485"/>
        <w:spacing w:line="240" w:lineRule="auto"/>
        <w:ind w:firstLine="199" w:firstLineChars="95"/>
        <w:rPr>
          <w:rFonts w:cs="宋体"/>
          <w:sz w:val="21"/>
          <w:szCs w:val="21"/>
        </w:rPr>
      </w:pPr>
      <w:r>
        <w:rPr>
          <w:rFonts w:hint="eastAsia" w:cs="宋体"/>
          <w:sz w:val="21"/>
          <w:szCs w:val="21"/>
        </w:rPr>
        <w:t>2.4对</w:t>
      </w:r>
      <w:r>
        <w:rPr>
          <w:rFonts w:hint="eastAsia" w:cs="宋体"/>
          <w:sz w:val="21"/>
          <w:szCs w:val="21"/>
          <w:lang w:eastAsia="zh-CN"/>
        </w:rPr>
        <w:t>采购人建筑消防</w:t>
      </w:r>
      <w:r>
        <w:rPr>
          <w:rFonts w:hint="eastAsia" w:cs="宋体"/>
          <w:sz w:val="21"/>
          <w:szCs w:val="21"/>
        </w:rPr>
        <w:t>系统实行</w:t>
      </w:r>
      <w:r>
        <w:rPr>
          <w:rFonts w:hint="eastAsia"/>
          <w:b w:val="0"/>
          <w:bCs/>
          <w:sz w:val="21"/>
          <w:szCs w:val="21"/>
        </w:rPr>
        <w:t>月度保养</w:t>
      </w:r>
      <w:r>
        <w:rPr>
          <w:rFonts w:hint="eastAsia" w:cs="宋体"/>
          <w:sz w:val="21"/>
          <w:szCs w:val="21"/>
        </w:rPr>
        <w:t>、季度维护与保养、检测，每季度安排至少2名技术人员对约定内的</w:t>
      </w:r>
      <w:r>
        <w:rPr>
          <w:rFonts w:hint="eastAsia" w:cs="宋体"/>
          <w:sz w:val="21"/>
          <w:szCs w:val="21"/>
          <w:lang w:eastAsia="zh-CN"/>
        </w:rPr>
        <w:t>消防</w:t>
      </w:r>
      <w:r>
        <w:rPr>
          <w:rFonts w:hint="eastAsia" w:cs="宋体"/>
          <w:sz w:val="21"/>
          <w:szCs w:val="21"/>
        </w:rPr>
        <w:t>系统例行抽查检测。</w:t>
      </w:r>
    </w:p>
    <w:p>
      <w:pPr>
        <w:pStyle w:val="485"/>
        <w:spacing w:line="240" w:lineRule="auto"/>
        <w:ind w:firstLine="199" w:firstLineChars="95"/>
        <w:rPr>
          <w:rFonts w:cs="宋体"/>
          <w:sz w:val="21"/>
          <w:szCs w:val="21"/>
        </w:rPr>
      </w:pPr>
      <w:r>
        <w:rPr>
          <w:rFonts w:hint="eastAsia" w:cs="宋体"/>
          <w:sz w:val="21"/>
          <w:szCs w:val="21"/>
          <w:lang w:val="en-US" w:eastAsia="zh-CN"/>
        </w:rPr>
        <w:t>2.5</w:t>
      </w:r>
      <w:r>
        <w:rPr>
          <w:rFonts w:hint="eastAsia" w:cs="宋体"/>
          <w:sz w:val="21"/>
          <w:szCs w:val="21"/>
        </w:rPr>
        <w:t>报价要求：投标人报价应以人民币报价，包括但不限于检测费用、人员费用、税费等与完成本项目服务工作有关的全部费用。</w:t>
      </w:r>
    </w:p>
    <w:p>
      <w:pPr>
        <w:pStyle w:val="485"/>
        <w:spacing w:line="240" w:lineRule="auto"/>
        <w:ind w:firstLine="199" w:firstLineChars="95"/>
        <w:rPr>
          <w:rFonts w:cs="宋体"/>
          <w:sz w:val="21"/>
          <w:szCs w:val="21"/>
        </w:rPr>
      </w:pPr>
      <w:r>
        <w:rPr>
          <w:rFonts w:hint="eastAsia" w:cs="宋体"/>
          <w:sz w:val="21"/>
          <w:szCs w:val="21"/>
          <w:lang w:val="en-US" w:eastAsia="zh-CN"/>
        </w:rPr>
        <w:t>2.6</w:t>
      </w:r>
      <w:r>
        <w:rPr>
          <w:rFonts w:hint="eastAsia" w:cs="宋体"/>
          <w:sz w:val="21"/>
          <w:szCs w:val="21"/>
        </w:rPr>
        <w:t>付款方式：签订合同后，采购人按照季度支付维保费用，分4个季度支付。每季度支付时间为：季度维保</w:t>
      </w:r>
      <w:r>
        <w:rPr>
          <w:rFonts w:hint="eastAsia" w:cs="宋体"/>
          <w:sz w:val="21"/>
          <w:szCs w:val="21"/>
          <w:lang w:eastAsia="zh-CN"/>
        </w:rPr>
        <w:t>结束的次月</w:t>
      </w:r>
      <w:r>
        <w:rPr>
          <w:rFonts w:hint="eastAsia" w:cs="宋体"/>
          <w:sz w:val="21"/>
          <w:szCs w:val="21"/>
        </w:rPr>
        <w:t>，中标人提供</w:t>
      </w:r>
      <w:r>
        <w:rPr>
          <w:rFonts w:hint="eastAsia" w:cs="宋体"/>
          <w:sz w:val="21"/>
          <w:szCs w:val="21"/>
          <w:lang w:eastAsia="zh-CN"/>
        </w:rPr>
        <w:t>维保报告及合格</w:t>
      </w:r>
      <w:r>
        <w:rPr>
          <w:rFonts w:hint="eastAsia" w:cs="宋体"/>
          <w:sz w:val="21"/>
          <w:szCs w:val="21"/>
        </w:rPr>
        <w:t>发票后。</w:t>
      </w:r>
    </w:p>
    <w:p>
      <w:pPr>
        <w:pStyle w:val="485"/>
        <w:spacing w:line="240" w:lineRule="auto"/>
        <w:ind w:firstLine="199" w:firstLineChars="95"/>
        <w:rPr>
          <w:rFonts w:ascii="宋体" w:hAnsi="宋体"/>
          <w:szCs w:val="21"/>
        </w:rPr>
      </w:pPr>
      <w:r>
        <w:rPr>
          <w:rFonts w:hint="eastAsia" w:cs="宋体"/>
          <w:sz w:val="21"/>
          <w:szCs w:val="21"/>
          <w:lang w:val="en-US" w:eastAsia="zh-CN"/>
        </w:rPr>
        <w:t>2.7</w:t>
      </w:r>
      <w:r>
        <w:rPr>
          <w:rFonts w:hint="eastAsia" w:cs="宋体"/>
          <w:sz w:val="21"/>
          <w:szCs w:val="21"/>
        </w:rPr>
        <w:t>验收要求：由中标人代表和采购人验收工作人员对项目服务成果进行验收。验收标准按照国家规定标准执行。经检验合格后签署验收报告。</w:t>
      </w:r>
    </w:p>
    <w:p>
      <w:pPr>
        <w:rPr>
          <w:rFonts w:cs="宋体"/>
          <w:bCs w:val="0"/>
          <w:sz w:val="21"/>
          <w:szCs w:val="21"/>
        </w:rPr>
      </w:pPr>
      <w:r>
        <w:rPr>
          <w:rFonts w:hint="eastAsia" w:cs="宋体"/>
          <w:bCs w:val="0"/>
          <w:sz w:val="21"/>
          <w:szCs w:val="21"/>
        </w:rPr>
        <w:t>五、其他重要条款</w:t>
      </w:r>
    </w:p>
    <w:p>
      <w:pPr>
        <w:ind w:firstLine="420" w:firstLineChars="200"/>
        <w:rPr>
          <w:rFonts w:ascii="宋体" w:hAnsi="宋体" w:cs="宋体"/>
          <w:bCs/>
          <w:szCs w:val="21"/>
        </w:rPr>
      </w:pPr>
      <w:r>
        <w:rPr>
          <w:rFonts w:hint="eastAsia" w:ascii="宋体" w:hAnsi="宋体" w:cs="宋体"/>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7"/>
        <w:spacing w:beforeLines="25" w:afterLines="25"/>
        <w:ind w:firstLine="392" w:firstLineChars="187"/>
        <w:rPr>
          <w:rFonts w:ascii="宋体" w:hAnsi="宋体" w:cs="宋体"/>
          <w:szCs w:val="21"/>
        </w:rPr>
      </w:pPr>
      <w:r>
        <w:rPr>
          <w:rFonts w:hint="eastAsia" w:ascii="宋体" w:hAnsi="宋体" w:cs="宋体"/>
          <w:bCs/>
          <w:szCs w:val="21"/>
        </w:rPr>
        <w:t>2、投标人应充分了解项目的位置、情况、道路及任何其它足以影响投标报价的情况，任何因忽视或误解项目情况而导致的索赔或服务期限延长申请将不获批准。</w:t>
      </w:r>
    </w:p>
    <w:p>
      <w:pPr>
        <w:ind w:firstLine="420" w:firstLineChars="200"/>
        <w:rPr>
          <w:rFonts w:ascii="宋体" w:hAnsi="宋体" w:cs="宋体"/>
          <w:bCs/>
          <w:szCs w:val="21"/>
        </w:rPr>
      </w:pPr>
      <w:r>
        <w:rPr>
          <w:rFonts w:hint="eastAsia" w:ascii="宋体" w:hAnsi="宋体" w:cs="宋体"/>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rFonts w:ascii="宋体" w:hAnsi="宋体" w:cs="宋体"/>
          <w:bCs/>
          <w:szCs w:val="21"/>
        </w:rPr>
      </w:pPr>
      <w:r>
        <w:rPr>
          <w:rFonts w:hint="eastAsia" w:ascii="宋体" w:hAnsi="宋体" w:cs="宋体"/>
          <w:bCs/>
          <w:szCs w:val="21"/>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ind w:firstLine="420" w:firstLineChars="200"/>
        <w:rPr>
          <w:rFonts w:ascii="宋体" w:hAnsi="宋体" w:cs="宋体"/>
          <w:bCs/>
          <w:szCs w:val="21"/>
        </w:rPr>
      </w:pPr>
      <w:r>
        <w:rPr>
          <w:rFonts w:hint="eastAsia" w:ascii="宋体" w:hAnsi="宋体" w:cs="宋体"/>
          <w:bCs/>
          <w:szCs w:val="21"/>
        </w:rPr>
        <w:t>5、除政府采购合同继续履行将损害国家利益和社会公共利益外，双方当事人不得擅自变更、中止或者终止合同。</w:t>
      </w:r>
    </w:p>
    <w:p>
      <w:pPr>
        <w:ind w:firstLine="420" w:firstLineChars="200"/>
        <w:rPr>
          <w:rFonts w:ascii="宋体" w:hAnsi="宋体" w:cs="宋体"/>
          <w:bCs/>
          <w:szCs w:val="21"/>
        </w:rPr>
      </w:pPr>
      <w:r>
        <w:rPr>
          <w:rFonts w:hint="eastAsia" w:ascii="宋体" w:hAnsi="宋体" w:cs="宋体"/>
          <w:bCs/>
          <w:szCs w:val="21"/>
        </w:rPr>
        <w:t>6、“信用中国”、“中国政府采购网”、“深圳信用网”以及“深圳市政府采购监管网”为供应商信用信息的查询渠道，相关信息以开标当日的查询结果为准。</w:t>
      </w:r>
    </w:p>
    <w:p>
      <w:pPr>
        <w:ind w:firstLine="420" w:firstLineChars="200"/>
        <w:rPr>
          <w:rFonts w:ascii="宋体" w:hAnsi="宋体" w:cs="宋体"/>
          <w:szCs w:val="21"/>
        </w:rPr>
      </w:pPr>
    </w:p>
    <w:p>
      <w:pPr>
        <w:pStyle w:val="3"/>
        <w:pageBreakBefore/>
        <w:rPr>
          <w:kern w:val="2"/>
        </w:rPr>
      </w:pPr>
      <w:r>
        <w:rPr>
          <w:rFonts w:hint="eastAsia"/>
          <w:kern w:val="2"/>
        </w:rPr>
        <w:t>第四章</w:t>
      </w:r>
      <w:r>
        <w:rPr>
          <w:kern w:val="2"/>
        </w:rPr>
        <w:t xml:space="preserve"> </w:t>
      </w:r>
      <w:r>
        <w:rPr>
          <w:rFonts w:hint="eastAsia"/>
          <w:kern w:val="2"/>
        </w:rPr>
        <w:t xml:space="preserve"> 投标文件组成要求及格式</w:t>
      </w:r>
    </w:p>
    <w:p>
      <w:pPr>
        <w:rPr>
          <w:rStyle w:val="59"/>
          <w:sz w:val="24"/>
        </w:rPr>
      </w:pPr>
    </w:p>
    <w:p>
      <w:pPr>
        <w:pStyle w:val="57"/>
        <w:rPr>
          <w:rFonts w:ascii="Times New Roman" w:hAnsi="Times New Roman"/>
          <w:lang w:eastAsia="zh-CN"/>
        </w:rPr>
      </w:pPr>
      <w:bookmarkStart w:id="39" w:name="_Hlk72257167"/>
    </w:p>
    <w:p>
      <w:pPr>
        <w:pStyle w:val="57"/>
        <w:rPr>
          <w:rFonts w:ascii="Times New Roman" w:hAnsi="Times New Roman"/>
          <w:lang w:eastAsia="zh-CN"/>
        </w:rPr>
      </w:pPr>
    </w:p>
    <w:p>
      <w:pPr>
        <w:pStyle w:val="57"/>
        <w:rPr>
          <w:rFonts w:ascii="Times New Roman" w:hAnsi="Times New Roman"/>
          <w:lang w:eastAsia="zh-CN"/>
        </w:rPr>
      </w:pPr>
    </w:p>
    <w:p>
      <w:pPr>
        <w:pStyle w:val="57"/>
        <w:rPr>
          <w:rFonts w:ascii="Times New Roman" w:hAnsi="Times New Roman"/>
          <w:lang w:eastAsia="zh-CN"/>
        </w:rPr>
      </w:pPr>
    </w:p>
    <w:p>
      <w:pPr>
        <w:pStyle w:val="57"/>
        <w:rPr>
          <w:rFonts w:ascii="Times New Roman" w:hAnsi="Times New Roman"/>
          <w:lang w:eastAsia="zh-CN"/>
        </w:rPr>
      </w:pPr>
    </w:p>
    <w:p>
      <w:pPr>
        <w:pStyle w:val="57"/>
        <w:rPr>
          <w:rFonts w:ascii="Times New Roman" w:hAnsi="Times New Roman"/>
          <w:lang w:eastAsia="zh-CN"/>
        </w:rPr>
      </w:pPr>
    </w:p>
    <w:p>
      <w:pPr>
        <w:ind w:left="1598" w:leftChars="456" w:hanging="640" w:hangingChars="200"/>
        <w:rPr>
          <w:rFonts w:hint="eastAsia" w:ascii="宋体" w:hAnsi="宋体"/>
          <w:bCs/>
          <w:sz w:val="32"/>
        </w:rPr>
      </w:pPr>
      <w:r>
        <w:rPr>
          <w:rFonts w:hint="eastAsia" w:ascii="宋体" w:hAnsi="宋体"/>
          <w:bCs/>
          <w:sz w:val="32"/>
        </w:rPr>
        <w:t>深圳市福田区第二人民医院建筑消防设备设施维保服务项目</w:t>
      </w:r>
    </w:p>
    <w:p>
      <w:pPr>
        <w:jc w:val="center"/>
        <w:rPr>
          <w:rFonts w:ascii="宋体" w:hAnsi="宋体"/>
          <w:b/>
          <w:sz w:val="44"/>
          <w:szCs w:val="44"/>
        </w:rPr>
      </w:pPr>
    </w:p>
    <w:p>
      <w:pPr>
        <w:jc w:val="center"/>
        <w:rPr>
          <w:rFonts w:ascii="宋体" w:hAnsi="宋体"/>
          <w:sz w:val="44"/>
          <w:szCs w:val="44"/>
        </w:rPr>
      </w:pPr>
      <w:r>
        <w:rPr>
          <w:rFonts w:ascii="宋体" w:hAnsi="宋体"/>
          <w:sz w:val="44"/>
          <w:szCs w:val="44"/>
        </w:rPr>
        <w:t>（唱标信封）</w:t>
      </w:r>
    </w:p>
    <w:p>
      <w:pPr>
        <w:jc w:val="center"/>
        <w:rPr>
          <w:rFonts w:ascii="宋体" w:hAnsi="宋体"/>
          <w:sz w:val="44"/>
          <w:szCs w:val="44"/>
        </w:rPr>
      </w:pPr>
    </w:p>
    <w:p>
      <w:pPr>
        <w:jc w:val="center"/>
        <w:rPr>
          <w:sz w:val="44"/>
          <w:szCs w:val="44"/>
        </w:rPr>
      </w:pPr>
    </w:p>
    <w:p>
      <w:pPr>
        <w:jc w:val="center"/>
        <w:rPr>
          <w:sz w:val="44"/>
          <w:szCs w:val="44"/>
        </w:rPr>
      </w:pPr>
    </w:p>
    <w:p>
      <w:pPr>
        <w:jc w:val="center"/>
        <w:rPr>
          <w:sz w:val="44"/>
          <w:szCs w:val="44"/>
        </w:rPr>
      </w:pPr>
    </w:p>
    <w:p>
      <w:pPr>
        <w:rPr>
          <w:sz w:val="44"/>
          <w:szCs w:val="44"/>
        </w:rPr>
      </w:pPr>
    </w:p>
    <w:p>
      <w:pPr>
        <w:spacing w:line="480" w:lineRule="auto"/>
        <w:ind w:firstLine="1400" w:firstLineChars="500"/>
        <w:rPr>
          <w:sz w:val="28"/>
          <w:szCs w:val="28"/>
        </w:rPr>
      </w:pPr>
      <w:r>
        <w:rPr>
          <w:sz w:val="28"/>
          <w:szCs w:val="28"/>
        </w:rPr>
        <w:t>项目编号：</w:t>
      </w:r>
      <w:r>
        <w:rPr>
          <w:sz w:val="30"/>
          <w:szCs w:val="30"/>
        </w:rPr>
        <w:t xml:space="preserve"> </w:t>
      </w:r>
    </w:p>
    <w:p>
      <w:pPr>
        <w:spacing w:line="480" w:lineRule="auto"/>
        <w:ind w:firstLine="1400" w:firstLineChars="500"/>
        <w:rPr>
          <w:sz w:val="28"/>
          <w:szCs w:val="28"/>
          <w:u w:val="single"/>
        </w:rPr>
      </w:pPr>
      <w:r>
        <w:rPr>
          <w:sz w:val="28"/>
          <w:szCs w:val="28"/>
        </w:rPr>
        <w:t>供应商（盖章）：___________________________</w:t>
      </w:r>
    </w:p>
    <w:p>
      <w:pPr>
        <w:spacing w:line="480" w:lineRule="auto"/>
        <w:ind w:firstLine="1400" w:firstLineChars="500"/>
        <w:rPr>
          <w:sz w:val="28"/>
          <w:szCs w:val="28"/>
        </w:rPr>
      </w:pPr>
      <w:r>
        <w:rPr>
          <w:sz w:val="28"/>
          <w:szCs w:val="28"/>
        </w:rPr>
        <w:t>法定代表人或授权委托人签字：__________________</w:t>
      </w:r>
    </w:p>
    <w:p>
      <w:pPr>
        <w:spacing w:line="360" w:lineRule="auto"/>
        <w:ind w:firstLine="1400" w:firstLineChars="500"/>
        <w:rPr>
          <w:sz w:val="28"/>
          <w:szCs w:val="28"/>
        </w:rPr>
      </w:pPr>
      <w:r>
        <w:rPr>
          <w:sz w:val="28"/>
          <w:szCs w:val="28"/>
        </w:rPr>
        <w:t>投标日期：____________年_____月______日</w:t>
      </w:r>
    </w:p>
    <w:p>
      <w:pPr>
        <w:rPr>
          <w:rFonts w:ascii="仿宋_GB2312" w:eastAsia="仿宋_GB2312"/>
          <w:sz w:val="24"/>
        </w:rPr>
        <w:sectPr>
          <w:pgSz w:w="11907" w:h="16840"/>
          <w:pgMar w:top="1440" w:right="1080" w:bottom="1440" w:left="1080" w:header="851" w:footer="992" w:gutter="0"/>
          <w:cols w:space="720" w:num="1"/>
          <w:titlePg/>
          <w:docGrid w:linePitch="462" w:charSpace="0"/>
        </w:sectPr>
      </w:pPr>
    </w:p>
    <w:p>
      <w:pPr>
        <w:pStyle w:val="4"/>
        <w:spacing w:before="120" w:after="120"/>
        <w:jc w:val="center"/>
      </w:pPr>
    </w:p>
    <w:p>
      <w:pPr>
        <w:pStyle w:val="4"/>
        <w:spacing w:before="120" w:after="120"/>
        <w:jc w:val="center"/>
      </w:pPr>
    </w:p>
    <w:p>
      <w:pPr>
        <w:pStyle w:val="4"/>
        <w:spacing w:before="120" w:after="120"/>
        <w:jc w:val="center"/>
        <w:rPr>
          <w:rFonts w:eastAsia="黑体"/>
          <w:b w:val="0"/>
          <w:sz w:val="44"/>
        </w:rPr>
      </w:pPr>
      <w:r>
        <w:t>一、开标一览表</w:t>
      </w:r>
    </w:p>
    <w:p>
      <w:pPr>
        <w:jc w:val="center"/>
        <w:rPr>
          <w:bCs/>
          <w:snapToGrid w:val="0"/>
          <w:kern w:val="0"/>
        </w:rPr>
      </w:pPr>
      <w:r>
        <w:rPr>
          <w:rFonts w:hint="eastAsia"/>
          <w:bCs/>
          <w:snapToGrid w:val="0"/>
          <w:kern w:val="0"/>
          <w:lang w:val="en-US" w:eastAsia="zh-CN"/>
        </w:rPr>
        <w:t xml:space="preserve">                                                                                                                                </w:t>
      </w:r>
      <w:r>
        <w:rPr>
          <w:bCs/>
          <w:snapToGrid w:val="0"/>
          <w:kern w:val="0"/>
        </w:rPr>
        <w:t xml:space="preserve"> 单位： 人民币元</w:t>
      </w:r>
    </w:p>
    <w:tbl>
      <w:tblPr>
        <w:tblStyle w:val="43"/>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135"/>
        <w:gridCol w:w="2976"/>
        <w:gridCol w:w="212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368" w:type="dxa"/>
            <w:tcBorders>
              <w:top w:val="double" w:color="auto" w:sz="4" w:space="0"/>
              <w:bottom w:val="single" w:color="auto" w:sz="4" w:space="0"/>
            </w:tcBorders>
            <w:vAlign w:val="center"/>
          </w:tcPr>
          <w:p>
            <w:pPr>
              <w:jc w:val="center"/>
              <w:rPr>
                <w:snapToGrid w:val="0"/>
                <w:kern w:val="0"/>
              </w:rPr>
            </w:pPr>
            <w:r>
              <w:rPr>
                <w:snapToGrid w:val="0"/>
                <w:kern w:val="0"/>
              </w:rPr>
              <w:t>项目编号</w:t>
            </w:r>
          </w:p>
        </w:tc>
        <w:tc>
          <w:tcPr>
            <w:tcW w:w="3135" w:type="dxa"/>
            <w:tcBorders>
              <w:top w:val="double" w:color="auto" w:sz="4" w:space="0"/>
              <w:bottom w:val="single" w:color="auto" w:sz="4" w:space="0"/>
            </w:tcBorders>
            <w:vAlign w:val="center"/>
          </w:tcPr>
          <w:p>
            <w:pPr>
              <w:jc w:val="center"/>
              <w:rPr>
                <w:snapToGrid w:val="0"/>
                <w:kern w:val="0"/>
              </w:rPr>
            </w:pPr>
            <w:r>
              <w:rPr>
                <w:snapToGrid w:val="0"/>
                <w:kern w:val="0"/>
              </w:rPr>
              <w:t>项目名称</w:t>
            </w:r>
          </w:p>
        </w:tc>
        <w:tc>
          <w:tcPr>
            <w:tcW w:w="2976" w:type="dxa"/>
            <w:tcBorders>
              <w:top w:val="double" w:color="auto" w:sz="4" w:space="0"/>
              <w:bottom w:val="single" w:color="auto" w:sz="4" w:space="0"/>
            </w:tcBorders>
            <w:vAlign w:val="center"/>
          </w:tcPr>
          <w:p>
            <w:pPr>
              <w:jc w:val="center"/>
              <w:rPr>
                <w:snapToGrid w:val="0"/>
                <w:kern w:val="0"/>
              </w:rPr>
            </w:pPr>
            <w:r>
              <w:rPr>
                <w:snapToGrid w:val="0"/>
                <w:kern w:val="0"/>
              </w:rPr>
              <w:t>投标总价</w:t>
            </w:r>
          </w:p>
        </w:tc>
        <w:tc>
          <w:tcPr>
            <w:tcW w:w="2127" w:type="dxa"/>
            <w:tcBorders>
              <w:top w:val="double" w:color="auto" w:sz="4" w:space="0"/>
              <w:bottom w:val="single" w:color="auto" w:sz="4" w:space="0"/>
            </w:tcBorders>
            <w:vAlign w:val="center"/>
          </w:tcPr>
          <w:p>
            <w:pPr>
              <w:jc w:val="center"/>
              <w:rPr>
                <w:snapToGrid w:val="0"/>
                <w:kern w:val="0"/>
              </w:rPr>
            </w:pPr>
            <w:r>
              <w:rPr>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1368" w:type="dxa"/>
            <w:tcBorders>
              <w:top w:val="single" w:color="auto" w:sz="4" w:space="0"/>
            </w:tcBorders>
            <w:vAlign w:val="center"/>
          </w:tcPr>
          <w:p>
            <w:pPr>
              <w:jc w:val="center"/>
              <w:rPr>
                <w:snapToGrid w:val="0"/>
                <w:kern w:val="0"/>
                <w:u w:val="single"/>
              </w:rPr>
            </w:pPr>
          </w:p>
        </w:tc>
        <w:tc>
          <w:tcPr>
            <w:tcW w:w="3135" w:type="dxa"/>
            <w:tcBorders>
              <w:top w:val="single" w:color="auto" w:sz="4" w:space="0"/>
            </w:tcBorders>
            <w:vAlign w:val="center"/>
          </w:tcPr>
          <w:p>
            <w:pPr>
              <w:rPr>
                <w:snapToGrid w:val="0"/>
                <w:kern w:val="0"/>
                <w:u w:val="single"/>
              </w:rPr>
            </w:pPr>
          </w:p>
        </w:tc>
        <w:tc>
          <w:tcPr>
            <w:tcW w:w="2976" w:type="dxa"/>
            <w:tcBorders>
              <w:top w:val="single" w:color="auto" w:sz="4" w:space="0"/>
            </w:tcBorders>
            <w:vAlign w:val="center"/>
          </w:tcPr>
          <w:p>
            <w:pPr>
              <w:rPr>
                <w:snapToGrid w:val="0"/>
                <w:kern w:val="0"/>
              </w:rPr>
            </w:pPr>
            <w:r>
              <w:rPr>
                <w:snapToGrid w:val="0"/>
                <w:kern w:val="0"/>
              </w:rPr>
              <w:t>大写：</w:t>
            </w:r>
          </w:p>
          <w:p>
            <w:pPr>
              <w:rPr>
                <w:snapToGrid w:val="0"/>
                <w:kern w:val="0"/>
              </w:rPr>
            </w:pPr>
            <w:r>
              <w:rPr>
                <w:snapToGrid w:val="0"/>
                <w:kern w:val="0"/>
              </w:rPr>
              <w:t>小写：</w:t>
            </w:r>
          </w:p>
        </w:tc>
        <w:tc>
          <w:tcPr>
            <w:tcW w:w="2127" w:type="dxa"/>
            <w:tcBorders>
              <w:top w:val="single" w:color="auto" w:sz="4" w:space="0"/>
            </w:tcBorders>
            <w:vAlign w:val="center"/>
          </w:tcPr>
          <w:p>
            <w:pPr>
              <w:jc w:val="center"/>
              <w:rPr>
                <w:snapToGrid w:val="0"/>
                <w:kern w:val="0"/>
              </w:rPr>
            </w:pPr>
          </w:p>
        </w:tc>
      </w:tr>
    </w:tbl>
    <w:p>
      <w:pPr>
        <w:rPr>
          <w:snapToGrid w:val="0"/>
          <w:kern w:val="0"/>
        </w:rPr>
      </w:pPr>
    </w:p>
    <w:p>
      <w:pPr>
        <w:rPr>
          <w:rFonts w:hint="eastAsia" w:ascii="宋体" w:hAnsi="宋体" w:eastAsia="宋体" w:cs="宋体"/>
          <w:snapToGrid w:val="0"/>
          <w:kern w:val="0"/>
        </w:rPr>
      </w:pPr>
      <w:r>
        <w:rPr>
          <w:snapToGrid w:val="0"/>
          <w:kern w:val="0"/>
        </w:rPr>
        <w:t>注：</w:t>
      </w:r>
      <w:r>
        <w:rPr>
          <w:rFonts w:hint="eastAsia" w:ascii="宋体" w:hAnsi="宋体" w:eastAsia="宋体" w:cs="宋体"/>
          <w:snapToGrid w:val="0"/>
          <w:kern w:val="0"/>
        </w:rPr>
        <w:t>1.价格应按“招标文件”中规定的货币单位填写。</w:t>
      </w:r>
    </w:p>
    <w:p>
      <w:pPr>
        <w:rPr>
          <w:rFonts w:hint="eastAsia" w:ascii="宋体" w:hAnsi="宋体" w:eastAsia="宋体" w:cs="宋体"/>
        </w:rPr>
      </w:pPr>
      <w:r>
        <w:rPr>
          <w:rFonts w:hint="eastAsia" w:ascii="宋体" w:hAnsi="宋体" w:eastAsia="宋体" w:cs="宋体"/>
          <w:snapToGrid w:val="0"/>
          <w:kern w:val="0"/>
        </w:rPr>
        <w:t xml:space="preserve"> </w:t>
      </w:r>
      <w:r>
        <w:rPr>
          <w:rFonts w:hint="eastAsia" w:ascii="宋体" w:hAnsi="宋体" w:eastAsia="宋体" w:cs="宋体"/>
          <w:snapToGrid w:val="0"/>
          <w:kern w:val="0"/>
          <w:lang w:val="en-US" w:eastAsia="zh-CN"/>
        </w:rPr>
        <w:t xml:space="preserve">   </w:t>
      </w:r>
      <w:r>
        <w:rPr>
          <w:rFonts w:hint="eastAsia" w:ascii="宋体" w:hAnsi="宋体" w:eastAsia="宋体" w:cs="宋体"/>
          <w:snapToGrid w:val="0"/>
          <w:kern w:val="0"/>
        </w:rPr>
        <w:t>2.投标人如果需要对报价或其它内容加以说明，可在备注栏填写。</w:t>
      </w:r>
    </w:p>
    <w:p>
      <w:pPr>
        <w:ind w:firstLine="420"/>
        <w:rPr>
          <w:rFonts w:hint="eastAsia" w:ascii="宋体" w:hAnsi="宋体" w:eastAsia="宋体" w:cs="宋体"/>
        </w:rPr>
      </w:pPr>
      <w:r>
        <w:rPr>
          <w:rFonts w:hint="eastAsia" w:ascii="宋体" w:hAnsi="宋体" w:eastAsia="宋体" w:cs="宋体"/>
        </w:rPr>
        <w:t>3.</w:t>
      </w:r>
      <w:r>
        <w:rPr>
          <w:rFonts w:hint="eastAsia" w:ascii="宋体" w:hAnsi="宋体" w:eastAsia="宋体" w:cs="宋体"/>
          <w:szCs w:val="21"/>
        </w:rPr>
        <w:t>开标一览表和投标文件（含正本和副本）应</w:t>
      </w:r>
      <w:r>
        <w:rPr>
          <w:rFonts w:hint="eastAsia" w:ascii="宋体" w:hAnsi="宋体" w:eastAsia="宋体" w:cs="宋体"/>
          <w:color w:val="auto"/>
          <w:szCs w:val="21"/>
        </w:rPr>
        <w:t>分</w:t>
      </w:r>
      <w:r>
        <w:rPr>
          <w:rFonts w:hint="eastAsia" w:ascii="宋体" w:hAnsi="宋体" w:eastAsia="宋体" w:cs="宋体"/>
          <w:szCs w:val="21"/>
        </w:rPr>
        <w:t>开独立密封包装。</w:t>
      </w:r>
    </w:p>
    <w:p>
      <w:pPr>
        <w:ind w:firstLine="420"/>
      </w:pPr>
    </w:p>
    <w:p>
      <w:pPr>
        <w:ind w:firstLine="420"/>
      </w:pPr>
    </w:p>
    <w:p>
      <w:pPr>
        <w:ind w:right="2100" w:rightChars="1000"/>
        <w:jc w:val="right"/>
        <w:rPr>
          <w:snapToGrid w:val="0"/>
          <w:kern w:val="0"/>
        </w:rPr>
      </w:pPr>
      <w:r>
        <w:rPr>
          <w:snapToGrid w:val="0"/>
          <w:kern w:val="0"/>
        </w:rPr>
        <w:t>法定代表人或被授权人签名：</w:t>
      </w:r>
    </w:p>
    <w:p>
      <w:pPr>
        <w:ind w:right="2100" w:rightChars="1000"/>
        <w:jc w:val="right"/>
        <w:rPr>
          <w:snapToGrid w:val="0"/>
          <w:kern w:val="0"/>
        </w:rPr>
      </w:pPr>
    </w:p>
    <w:p>
      <w:pPr>
        <w:ind w:right="2100" w:rightChars="1000"/>
        <w:jc w:val="right"/>
        <w:rPr>
          <w:snapToGrid w:val="0"/>
          <w:kern w:val="0"/>
        </w:rPr>
      </w:pPr>
      <w:r>
        <w:rPr>
          <w:snapToGrid w:val="0"/>
          <w:kern w:val="0"/>
        </w:rPr>
        <w:t>投标单位公章：</w:t>
      </w:r>
    </w:p>
    <w:p>
      <w:pPr>
        <w:rPr>
          <w:rFonts w:ascii="仿宋_GB2312" w:eastAsia="仿宋_GB2312"/>
          <w:sz w:val="24"/>
        </w:rPr>
      </w:pPr>
    </w:p>
    <w:bookmarkEnd w:id="39"/>
    <w:p>
      <w:pPr>
        <w:rPr>
          <w:rFonts w:ascii="仿宋_GB2312" w:eastAsia="仿宋_GB2312"/>
          <w:sz w:val="24"/>
        </w:rPr>
      </w:pPr>
    </w:p>
    <w:p>
      <w:pPr>
        <w:ind w:firstLine="482" w:firstLineChars="200"/>
        <w:jc w:val="center"/>
        <w:outlineLvl w:val="2"/>
        <w:rPr>
          <w:rFonts w:hint="eastAsia"/>
          <w:b/>
          <w:sz w:val="24"/>
          <w:szCs w:val="22"/>
        </w:rPr>
      </w:pPr>
    </w:p>
    <w:p>
      <w:pPr>
        <w:ind w:firstLine="482" w:firstLineChars="200"/>
        <w:jc w:val="center"/>
        <w:outlineLvl w:val="2"/>
        <w:rPr>
          <w:rFonts w:hint="eastAsia"/>
          <w:b/>
          <w:sz w:val="24"/>
          <w:szCs w:val="22"/>
        </w:rPr>
      </w:pPr>
    </w:p>
    <w:p>
      <w:pPr>
        <w:ind w:firstLine="482" w:firstLineChars="200"/>
        <w:jc w:val="center"/>
        <w:outlineLvl w:val="2"/>
        <w:rPr>
          <w:rFonts w:hint="eastAsia"/>
          <w:b/>
          <w:sz w:val="24"/>
          <w:szCs w:val="22"/>
        </w:rPr>
      </w:pPr>
    </w:p>
    <w:p>
      <w:pPr>
        <w:ind w:firstLine="482" w:firstLineChars="200"/>
        <w:jc w:val="center"/>
        <w:outlineLvl w:val="2"/>
        <w:rPr>
          <w:rFonts w:hint="eastAsia"/>
          <w:b/>
          <w:sz w:val="24"/>
          <w:szCs w:val="22"/>
        </w:rPr>
      </w:pPr>
    </w:p>
    <w:p>
      <w:pPr>
        <w:ind w:firstLine="482" w:firstLineChars="200"/>
        <w:jc w:val="center"/>
        <w:outlineLvl w:val="2"/>
        <w:rPr>
          <w:rFonts w:hint="eastAsia"/>
          <w:b/>
          <w:sz w:val="24"/>
          <w:szCs w:val="22"/>
        </w:rPr>
      </w:pPr>
    </w:p>
    <w:p>
      <w:pPr>
        <w:ind w:firstLine="482" w:firstLineChars="200"/>
        <w:jc w:val="center"/>
        <w:outlineLvl w:val="2"/>
        <w:rPr>
          <w:rFonts w:hint="eastAsia"/>
          <w:b/>
          <w:sz w:val="24"/>
          <w:szCs w:val="22"/>
        </w:rPr>
      </w:pPr>
    </w:p>
    <w:p>
      <w:pPr>
        <w:ind w:firstLine="482" w:firstLineChars="200"/>
        <w:jc w:val="center"/>
        <w:outlineLvl w:val="2"/>
        <w:rPr>
          <w:rFonts w:hint="eastAsia"/>
          <w:b/>
          <w:sz w:val="24"/>
          <w:szCs w:val="22"/>
        </w:rPr>
      </w:pPr>
    </w:p>
    <w:p>
      <w:pPr>
        <w:pStyle w:val="18"/>
        <w:rPr>
          <w:rFonts w:hint="eastAsia"/>
          <w:b/>
          <w:sz w:val="24"/>
          <w:szCs w:val="22"/>
        </w:rPr>
      </w:pPr>
    </w:p>
    <w:p>
      <w:pPr>
        <w:pStyle w:val="18"/>
        <w:rPr>
          <w:rFonts w:hint="eastAsia"/>
          <w:b/>
          <w:sz w:val="24"/>
          <w:szCs w:val="22"/>
        </w:rPr>
      </w:pPr>
    </w:p>
    <w:p>
      <w:pPr>
        <w:pStyle w:val="18"/>
        <w:rPr>
          <w:rFonts w:hint="eastAsia"/>
          <w:b/>
          <w:sz w:val="24"/>
          <w:szCs w:val="22"/>
        </w:rPr>
      </w:pPr>
    </w:p>
    <w:p>
      <w:pPr>
        <w:pStyle w:val="18"/>
        <w:rPr>
          <w:rFonts w:hint="eastAsia"/>
          <w:b/>
          <w:sz w:val="24"/>
          <w:szCs w:val="22"/>
        </w:rPr>
      </w:pPr>
    </w:p>
    <w:p>
      <w:pPr>
        <w:pStyle w:val="18"/>
        <w:rPr>
          <w:rFonts w:hint="eastAsia"/>
          <w:b/>
          <w:sz w:val="24"/>
          <w:szCs w:val="22"/>
        </w:rPr>
      </w:pPr>
    </w:p>
    <w:p>
      <w:pPr>
        <w:pStyle w:val="18"/>
        <w:rPr>
          <w:rFonts w:hint="eastAsia"/>
          <w:b/>
          <w:sz w:val="24"/>
          <w:szCs w:val="22"/>
        </w:rPr>
      </w:pPr>
    </w:p>
    <w:p>
      <w:pPr>
        <w:pStyle w:val="18"/>
        <w:rPr>
          <w:rFonts w:hint="eastAsia"/>
          <w:b/>
          <w:sz w:val="24"/>
          <w:szCs w:val="22"/>
        </w:rPr>
      </w:pPr>
    </w:p>
    <w:p>
      <w:pPr>
        <w:pStyle w:val="18"/>
        <w:rPr>
          <w:rFonts w:hint="eastAsia"/>
          <w:b/>
          <w:sz w:val="24"/>
          <w:szCs w:val="22"/>
        </w:rPr>
      </w:pPr>
    </w:p>
    <w:p>
      <w:pPr>
        <w:pStyle w:val="18"/>
        <w:rPr>
          <w:rFonts w:hint="eastAsia"/>
          <w:b/>
          <w:sz w:val="24"/>
          <w:szCs w:val="22"/>
        </w:rPr>
      </w:pPr>
    </w:p>
    <w:p>
      <w:pPr>
        <w:pStyle w:val="18"/>
        <w:rPr>
          <w:rFonts w:hint="eastAsia"/>
          <w:b/>
          <w:sz w:val="24"/>
          <w:szCs w:val="22"/>
        </w:rPr>
      </w:pPr>
    </w:p>
    <w:p>
      <w:pPr>
        <w:pStyle w:val="18"/>
        <w:rPr>
          <w:rFonts w:hint="eastAsia"/>
          <w:b/>
          <w:sz w:val="24"/>
          <w:szCs w:val="22"/>
        </w:rPr>
      </w:pPr>
    </w:p>
    <w:p>
      <w:pPr>
        <w:ind w:firstLine="482" w:firstLineChars="200"/>
        <w:jc w:val="center"/>
        <w:outlineLvl w:val="2"/>
        <w:rPr>
          <w:rFonts w:hint="eastAsia"/>
          <w:b/>
          <w:sz w:val="24"/>
          <w:szCs w:val="22"/>
        </w:rPr>
      </w:pPr>
    </w:p>
    <w:p>
      <w:pPr>
        <w:ind w:firstLine="482" w:firstLineChars="200"/>
        <w:jc w:val="center"/>
        <w:outlineLvl w:val="2"/>
        <w:rPr>
          <w:rFonts w:hint="eastAsia"/>
          <w:b/>
          <w:sz w:val="24"/>
          <w:szCs w:val="22"/>
        </w:rPr>
      </w:pPr>
    </w:p>
    <w:p>
      <w:pPr>
        <w:ind w:firstLine="482" w:firstLineChars="200"/>
        <w:jc w:val="center"/>
        <w:outlineLvl w:val="2"/>
        <w:rPr>
          <w:rFonts w:hint="eastAsia"/>
          <w:b/>
          <w:sz w:val="24"/>
          <w:szCs w:val="22"/>
        </w:rPr>
      </w:pPr>
    </w:p>
    <w:p>
      <w:pPr>
        <w:ind w:firstLine="482" w:firstLineChars="200"/>
        <w:jc w:val="center"/>
        <w:outlineLvl w:val="2"/>
        <w:rPr>
          <w:rFonts w:hint="eastAsia"/>
          <w:b/>
          <w:sz w:val="24"/>
          <w:szCs w:val="22"/>
        </w:rPr>
      </w:pPr>
    </w:p>
    <w:p>
      <w:pPr>
        <w:numPr>
          <w:ilvl w:val="0"/>
          <w:numId w:val="8"/>
        </w:numPr>
        <w:ind w:left="1428" w:leftChars="0" w:hanging="720" w:firstLineChars="0"/>
        <w:jc w:val="center"/>
        <w:outlineLvl w:val="2"/>
        <w:rPr>
          <w:rFonts w:hint="eastAsia"/>
          <w:b/>
          <w:sz w:val="24"/>
          <w:szCs w:val="22"/>
        </w:rPr>
      </w:pPr>
      <w:r>
        <w:rPr>
          <w:rFonts w:hint="eastAsia"/>
          <w:b/>
          <w:sz w:val="24"/>
          <w:szCs w:val="22"/>
        </w:rPr>
        <w:t>法定代表人资格证明书</w:t>
      </w:r>
    </w:p>
    <w:p>
      <w:pPr>
        <w:pStyle w:val="18"/>
        <w:numPr>
          <w:ilvl w:val="0"/>
          <w:numId w:val="0"/>
        </w:numPr>
        <w:ind w:left="708" w:leftChars="0"/>
      </w:pPr>
    </w:p>
    <w:p>
      <w:pPr>
        <w:snapToGrid w:val="0"/>
        <w:rPr>
          <w:bCs/>
          <w:sz w:val="24"/>
        </w:rPr>
      </w:pPr>
      <w:r>
        <w:rPr>
          <w:bCs/>
          <w:sz w:val="24"/>
        </w:rPr>
        <w:t>单位名称：</w:t>
      </w:r>
      <w:r>
        <w:rPr>
          <w:bCs/>
          <w:sz w:val="24"/>
          <w:u w:val="single"/>
        </w:rPr>
        <w:t xml:space="preserve">                                                </w:t>
      </w:r>
      <w:r>
        <w:rPr>
          <w:bCs/>
          <w:sz w:val="24"/>
        </w:rPr>
        <w:t xml:space="preserve">     </w:t>
      </w:r>
    </w:p>
    <w:p>
      <w:pPr>
        <w:snapToGrid w:val="0"/>
        <w:rPr>
          <w:bCs/>
          <w:sz w:val="24"/>
        </w:rPr>
      </w:pPr>
      <w:r>
        <w:rPr>
          <w:bCs/>
          <w:sz w:val="24"/>
        </w:rPr>
        <w:t>地    址：</w:t>
      </w:r>
      <w:r>
        <w:rPr>
          <w:bCs/>
          <w:sz w:val="24"/>
          <w:u w:val="single"/>
        </w:rPr>
        <w:t xml:space="preserve">                                                </w:t>
      </w:r>
    </w:p>
    <w:p>
      <w:pPr>
        <w:snapToGrid w:val="0"/>
        <w:rPr>
          <w:bCs/>
          <w:sz w:val="24"/>
        </w:rPr>
      </w:pPr>
      <w:r>
        <w:rPr>
          <w:bCs/>
          <w:sz w:val="24"/>
        </w:rPr>
        <w:t>姓名：</w:t>
      </w:r>
      <w:r>
        <w:rPr>
          <w:bCs/>
          <w:sz w:val="24"/>
          <w:u w:val="single"/>
        </w:rPr>
        <w:t xml:space="preserve">          </w:t>
      </w:r>
      <w:r>
        <w:rPr>
          <w:bCs/>
          <w:sz w:val="24"/>
        </w:rPr>
        <w:t xml:space="preserve"> 性别：</w:t>
      </w:r>
      <w:r>
        <w:rPr>
          <w:bCs/>
          <w:sz w:val="24"/>
          <w:u w:val="single"/>
        </w:rPr>
        <w:t xml:space="preserve">      </w:t>
      </w:r>
      <w:r>
        <w:rPr>
          <w:bCs/>
          <w:sz w:val="24"/>
        </w:rPr>
        <w:t>年龄：</w:t>
      </w:r>
      <w:r>
        <w:rPr>
          <w:bCs/>
          <w:sz w:val="24"/>
          <w:u w:val="single"/>
        </w:rPr>
        <w:t xml:space="preserve">      </w:t>
      </w:r>
      <w:r>
        <w:rPr>
          <w:bCs/>
          <w:sz w:val="24"/>
        </w:rPr>
        <w:t>职务：</w:t>
      </w:r>
      <w:r>
        <w:rPr>
          <w:bCs/>
          <w:sz w:val="24"/>
          <w:u w:val="single"/>
        </w:rPr>
        <w:t xml:space="preserve">          </w:t>
      </w:r>
      <w:r>
        <w:rPr>
          <w:bCs/>
          <w:sz w:val="24"/>
        </w:rPr>
        <w:t xml:space="preserve">系 </w:t>
      </w:r>
      <w:r>
        <w:rPr>
          <w:bCs/>
          <w:sz w:val="24"/>
          <w:u w:val="single"/>
        </w:rPr>
        <w:t xml:space="preserve">                      </w:t>
      </w:r>
      <w:r>
        <w:rPr>
          <w:bCs/>
          <w:sz w:val="24"/>
        </w:rPr>
        <w:t xml:space="preserve"> 的法定代表人。为维护的项目，签署上述项目的投标文件、进行合同投标、签署合同和处理与之有关的一切事务。</w:t>
      </w:r>
    </w:p>
    <w:p>
      <w:pPr>
        <w:snapToGrid w:val="0"/>
        <w:rPr>
          <w:bCs/>
          <w:sz w:val="24"/>
        </w:rPr>
      </w:pPr>
      <w:r>
        <w:rPr>
          <w:bCs/>
          <w:sz w:val="24"/>
        </w:rPr>
        <w:t>特此证明</w:t>
      </w:r>
    </w:p>
    <w:p>
      <w:pPr>
        <w:snapToGrid w:val="0"/>
        <w:rPr>
          <w:sz w:val="24"/>
        </w:rPr>
      </w:pPr>
      <w:r>
        <w:rPr>
          <w:sz w:val="24"/>
        </w:rPr>
        <w:t xml:space="preserve"> </w:t>
      </w:r>
    </w:p>
    <w:p>
      <w:pPr>
        <w:wordWrap w:val="0"/>
        <w:snapToGrid w:val="0"/>
        <w:ind w:firstLine="5040" w:firstLineChars="2100"/>
        <w:jc w:val="right"/>
        <w:rPr>
          <w:sz w:val="24"/>
        </w:rPr>
      </w:pPr>
      <w:r>
        <w:rPr>
          <w:sz w:val="24"/>
        </w:rPr>
        <w:t xml:space="preserve">供应商（盖章）：                           </w:t>
      </w:r>
    </w:p>
    <w:p>
      <w:pPr>
        <w:wordWrap w:val="0"/>
        <w:snapToGrid w:val="0"/>
        <w:ind w:firstLine="4080" w:firstLineChars="1700"/>
        <w:jc w:val="right"/>
        <w:rPr>
          <w:bCs/>
          <w:sz w:val="24"/>
        </w:rPr>
      </w:pPr>
      <w:r>
        <w:rPr>
          <w:bCs/>
          <w:sz w:val="24"/>
        </w:rPr>
        <w:t>日  期：       年    月   日</w:t>
      </w:r>
      <w:r>
        <w:rPr>
          <w:rFonts w:hint="eastAsia"/>
          <w:bCs/>
          <w:sz w:val="24"/>
        </w:rPr>
        <w:t xml:space="preserve"> </w:t>
      </w:r>
      <w:r>
        <w:rPr>
          <w:bCs/>
          <w:sz w:val="24"/>
        </w:rPr>
        <w:t xml:space="preserve">                        </w:t>
      </w:r>
    </w:p>
    <w:p>
      <w:pPr>
        <w:snapToGrid w:val="0"/>
        <w:ind w:firstLine="4080" w:firstLineChars="1700"/>
        <w:rPr>
          <w:bCs/>
          <w:sz w:val="24"/>
        </w:rPr>
      </w:pPr>
    </w:p>
    <w:p>
      <w:pPr>
        <w:snapToGrid w:val="0"/>
        <w:ind w:left="735" w:hanging="735" w:hangingChars="350"/>
        <w:rPr>
          <w:bCs/>
          <w:szCs w:val="21"/>
        </w:rPr>
      </w:pPr>
      <w:r>
        <w:rPr>
          <w:bCs/>
          <w:szCs w:val="21"/>
        </w:rPr>
        <w:t>说明：1. 本证明书要求投标人提供</w:t>
      </w:r>
      <w:r>
        <w:rPr>
          <w:b/>
          <w:bCs/>
          <w:szCs w:val="21"/>
        </w:rPr>
        <w:t>加盖公章</w:t>
      </w:r>
      <w:r>
        <w:rPr>
          <w:bCs/>
          <w:szCs w:val="21"/>
        </w:rPr>
        <w:t>后的原件方为有效。</w:t>
      </w:r>
    </w:p>
    <w:p>
      <w:pPr>
        <w:snapToGrid w:val="0"/>
        <w:ind w:left="823" w:leftChars="342" w:hanging="105" w:hangingChars="50"/>
        <w:rPr>
          <w:bCs/>
          <w:szCs w:val="21"/>
        </w:rPr>
      </w:pPr>
      <w:r>
        <w:rPr>
          <w:bCs/>
          <w:szCs w:val="21"/>
        </w:rPr>
        <w:t>2. 须提供法定代表人的身份证复印件（附后）。</w:t>
      </w:r>
    </w:p>
    <w:p>
      <w:pPr>
        <w:ind w:firstLine="482" w:firstLineChars="200"/>
        <w:jc w:val="center"/>
        <w:rPr>
          <w:b/>
          <w:sz w:val="24"/>
          <w:szCs w:val="22"/>
        </w:rPr>
      </w:pPr>
    </w:p>
    <w:p>
      <w:pPr>
        <w:rPr>
          <w:sz w:val="24"/>
        </w:rPr>
      </w:pPr>
    </w:p>
    <w:p>
      <w:pPr>
        <w:rPr>
          <w:sz w:val="24"/>
        </w:rPr>
      </w:pPr>
    </w:p>
    <w:p>
      <w:pPr>
        <w:pStyle w:val="4"/>
        <w:jc w:val="center"/>
        <w:rPr>
          <w:rFonts w:hint="eastAsia" w:ascii="黑体" w:eastAsia="黑体"/>
          <w:b w:val="0"/>
          <w:sz w:val="24"/>
          <w:szCs w:val="24"/>
        </w:rPr>
      </w:pPr>
    </w:p>
    <w:p>
      <w:pPr>
        <w:pStyle w:val="4"/>
        <w:jc w:val="center"/>
        <w:rPr>
          <w:rFonts w:hint="eastAsia" w:ascii="黑体" w:eastAsia="黑体"/>
          <w:b w:val="0"/>
          <w:sz w:val="24"/>
          <w:szCs w:val="24"/>
        </w:rPr>
      </w:pPr>
    </w:p>
    <w:p>
      <w:pPr>
        <w:pStyle w:val="4"/>
        <w:jc w:val="center"/>
        <w:rPr>
          <w:rFonts w:hint="eastAsia" w:ascii="黑体" w:eastAsia="黑体"/>
          <w:b w:val="0"/>
          <w:sz w:val="24"/>
          <w:szCs w:val="24"/>
        </w:rPr>
      </w:pPr>
    </w:p>
    <w:p>
      <w:pPr>
        <w:pStyle w:val="4"/>
        <w:jc w:val="center"/>
        <w:rPr>
          <w:rFonts w:hint="eastAsia" w:ascii="黑体" w:eastAsia="黑体"/>
          <w:b w:val="0"/>
          <w:sz w:val="24"/>
          <w:szCs w:val="24"/>
        </w:rPr>
      </w:pPr>
    </w:p>
    <w:p>
      <w:pPr>
        <w:pStyle w:val="4"/>
        <w:jc w:val="center"/>
        <w:rPr>
          <w:rFonts w:hint="eastAsia" w:ascii="黑体" w:eastAsia="黑体"/>
          <w:b w:val="0"/>
          <w:sz w:val="24"/>
          <w:szCs w:val="24"/>
        </w:rPr>
      </w:pPr>
    </w:p>
    <w:p>
      <w:pPr>
        <w:pStyle w:val="4"/>
        <w:jc w:val="center"/>
        <w:rPr>
          <w:rFonts w:hint="eastAsia" w:ascii="黑体" w:eastAsia="黑体"/>
          <w:b w:val="0"/>
          <w:sz w:val="24"/>
          <w:szCs w:val="24"/>
        </w:rPr>
      </w:pPr>
    </w:p>
    <w:p>
      <w:pPr>
        <w:pStyle w:val="4"/>
        <w:jc w:val="center"/>
        <w:rPr>
          <w:rFonts w:hint="eastAsia" w:ascii="黑体" w:eastAsia="黑体"/>
          <w:b w:val="0"/>
          <w:sz w:val="24"/>
          <w:szCs w:val="24"/>
        </w:rPr>
      </w:pPr>
    </w:p>
    <w:p>
      <w:pPr>
        <w:pStyle w:val="4"/>
        <w:jc w:val="center"/>
        <w:rPr>
          <w:rFonts w:hint="eastAsia" w:ascii="黑体" w:eastAsia="黑体"/>
          <w:b w:val="0"/>
          <w:sz w:val="24"/>
          <w:szCs w:val="24"/>
        </w:rPr>
      </w:pPr>
    </w:p>
    <w:p>
      <w:pPr>
        <w:pStyle w:val="4"/>
        <w:jc w:val="center"/>
        <w:rPr>
          <w:rFonts w:hint="eastAsia" w:ascii="黑体" w:eastAsia="黑体"/>
          <w:b w:val="0"/>
          <w:sz w:val="24"/>
          <w:szCs w:val="24"/>
        </w:rPr>
      </w:pPr>
    </w:p>
    <w:p>
      <w:pPr>
        <w:pStyle w:val="4"/>
        <w:jc w:val="center"/>
        <w:rPr>
          <w:rFonts w:hint="eastAsia" w:ascii="黑体" w:eastAsia="黑体"/>
          <w:b w:val="0"/>
          <w:sz w:val="24"/>
          <w:szCs w:val="24"/>
        </w:rPr>
      </w:pPr>
    </w:p>
    <w:p>
      <w:pPr>
        <w:pStyle w:val="4"/>
        <w:jc w:val="center"/>
        <w:rPr>
          <w:rFonts w:hint="eastAsia" w:ascii="黑体" w:eastAsia="黑体"/>
          <w:b w:val="0"/>
          <w:sz w:val="24"/>
          <w:szCs w:val="24"/>
        </w:rPr>
      </w:pPr>
    </w:p>
    <w:p>
      <w:pPr>
        <w:pStyle w:val="4"/>
        <w:jc w:val="center"/>
        <w:rPr>
          <w:rFonts w:hint="eastAsia" w:ascii="黑体" w:eastAsia="黑体"/>
          <w:b w:val="0"/>
          <w:sz w:val="24"/>
          <w:szCs w:val="24"/>
        </w:rPr>
      </w:pPr>
    </w:p>
    <w:p>
      <w:pPr>
        <w:rPr>
          <w:rFonts w:hint="eastAsia" w:ascii="黑体" w:eastAsia="黑体"/>
          <w:b w:val="0"/>
          <w:sz w:val="24"/>
          <w:szCs w:val="24"/>
        </w:rPr>
      </w:pPr>
    </w:p>
    <w:p>
      <w:pPr>
        <w:pStyle w:val="18"/>
        <w:rPr>
          <w:rFonts w:hint="eastAsia"/>
        </w:rPr>
      </w:pPr>
    </w:p>
    <w:p>
      <w:pPr>
        <w:pStyle w:val="4"/>
        <w:jc w:val="center"/>
        <w:rPr>
          <w:rFonts w:hint="eastAsia" w:ascii="黑体" w:eastAsia="黑体"/>
          <w:b w:val="0"/>
          <w:sz w:val="24"/>
          <w:szCs w:val="24"/>
        </w:rPr>
      </w:pPr>
    </w:p>
    <w:p>
      <w:pPr>
        <w:pStyle w:val="4"/>
        <w:jc w:val="center"/>
        <w:rPr>
          <w:rFonts w:ascii="黑体" w:eastAsia="黑体"/>
          <w:b w:val="0"/>
          <w:sz w:val="24"/>
          <w:szCs w:val="24"/>
        </w:rPr>
      </w:pPr>
      <w:r>
        <w:rPr>
          <w:rFonts w:hint="eastAsia" w:ascii="黑体" w:eastAsia="黑体"/>
          <w:b w:val="0"/>
          <w:sz w:val="24"/>
          <w:szCs w:val="24"/>
        </w:rPr>
        <w:t>三、法定代表人授权书</w:t>
      </w:r>
    </w:p>
    <w:p>
      <w:pPr>
        <w:rPr>
          <w:bCs/>
          <w:sz w:val="24"/>
        </w:rPr>
      </w:pPr>
      <w:r>
        <w:rPr>
          <w:sz w:val="24"/>
        </w:rPr>
        <w:t>致：</w:t>
      </w:r>
      <w:r>
        <w:rPr>
          <w:rFonts w:hint="eastAsia"/>
          <w:sz w:val="24"/>
          <w:lang w:eastAsia="zh-CN"/>
        </w:rPr>
        <w:t>深圳市福田区第二人民医院</w:t>
      </w:r>
      <w:r>
        <w:rPr>
          <w:bCs/>
          <w:sz w:val="24"/>
        </w:rPr>
        <w:t>：</w:t>
      </w:r>
    </w:p>
    <w:p>
      <w:pPr>
        <w:rPr>
          <w:bCs/>
          <w:sz w:val="24"/>
        </w:rPr>
      </w:pPr>
    </w:p>
    <w:p>
      <w:pPr>
        <w:rPr>
          <w:bCs/>
          <w:sz w:val="24"/>
        </w:rPr>
      </w:pPr>
      <w:r>
        <w:rPr>
          <w:bCs/>
          <w:sz w:val="24"/>
        </w:rPr>
        <w:t xml:space="preserve">     </w:t>
      </w:r>
      <w:r>
        <w:rPr>
          <w:bCs/>
          <w:sz w:val="24"/>
          <w:u w:val="single"/>
        </w:rPr>
        <w:t xml:space="preserve">          （投标人全称）     </w:t>
      </w:r>
      <w:r>
        <w:rPr>
          <w:bCs/>
          <w:sz w:val="24"/>
        </w:rPr>
        <w:t xml:space="preserve"> 法定代表人</w:t>
      </w:r>
      <w:r>
        <w:rPr>
          <w:bCs/>
          <w:sz w:val="24"/>
          <w:u w:val="single"/>
        </w:rPr>
        <w:t xml:space="preserve">  （姓名、职务）              </w:t>
      </w:r>
      <w:r>
        <w:rPr>
          <w:bCs/>
          <w:sz w:val="24"/>
        </w:rPr>
        <w:t xml:space="preserve">授权 </w:t>
      </w:r>
      <w:r>
        <w:rPr>
          <w:bCs/>
          <w:sz w:val="24"/>
          <w:u w:val="single"/>
        </w:rPr>
        <w:t xml:space="preserve">  （被授权代表姓名、职务）              </w:t>
      </w:r>
      <w:r>
        <w:rPr>
          <w:bCs/>
          <w:sz w:val="24"/>
        </w:rPr>
        <w:t>为本公司合法代理人，参加贵招标代理公司组织的</w:t>
      </w:r>
      <w:r>
        <w:rPr>
          <w:bCs/>
          <w:sz w:val="24"/>
          <w:u w:val="single"/>
        </w:rPr>
        <w:t xml:space="preserve">   (项目名称)（项目编号）                      </w:t>
      </w:r>
      <w:r>
        <w:rPr>
          <w:bCs/>
          <w:sz w:val="24"/>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pPr>
        <w:rPr>
          <w:bCs/>
          <w:sz w:val="24"/>
        </w:rPr>
      </w:pPr>
      <w:r>
        <w:rPr>
          <w:bCs/>
          <w:sz w:val="24"/>
        </w:rPr>
        <w:t xml:space="preserve">     本授权书于</w:t>
      </w:r>
      <w:r>
        <w:rPr>
          <w:bCs/>
          <w:sz w:val="24"/>
          <w:u w:val="single"/>
        </w:rPr>
        <w:t xml:space="preserve">       </w:t>
      </w:r>
      <w:r>
        <w:rPr>
          <w:bCs/>
          <w:sz w:val="24"/>
        </w:rPr>
        <w:t>年</w:t>
      </w:r>
      <w:r>
        <w:rPr>
          <w:bCs/>
          <w:sz w:val="24"/>
          <w:u w:val="single"/>
        </w:rPr>
        <w:t xml:space="preserve">  </w:t>
      </w:r>
      <w:r>
        <w:rPr>
          <w:rFonts w:hint="eastAsia"/>
          <w:bCs/>
          <w:sz w:val="24"/>
          <w:u w:val="single"/>
          <w:lang w:val="en-US" w:eastAsia="zh-CN"/>
        </w:rPr>
        <w:t xml:space="preserve">  </w:t>
      </w:r>
      <w:r>
        <w:rPr>
          <w:bCs/>
          <w:sz w:val="24"/>
          <w:u w:val="single"/>
        </w:rPr>
        <w:t xml:space="preserve"> </w:t>
      </w:r>
      <w:r>
        <w:rPr>
          <w:bCs/>
          <w:sz w:val="24"/>
        </w:rPr>
        <w:t>月</w:t>
      </w:r>
      <w:r>
        <w:rPr>
          <w:bCs/>
          <w:sz w:val="24"/>
          <w:u w:val="single"/>
        </w:rPr>
        <w:t xml:space="preserve"> </w:t>
      </w:r>
      <w:r>
        <w:rPr>
          <w:rFonts w:hint="eastAsia"/>
          <w:bCs/>
          <w:sz w:val="24"/>
          <w:u w:val="single"/>
          <w:lang w:val="en-US" w:eastAsia="zh-CN"/>
        </w:rPr>
        <w:t xml:space="preserve"> </w:t>
      </w:r>
      <w:r>
        <w:rPr>
          <w:bCs/>
          <w:sz w:val="24"/>
          <w:u w:val="single"/>
        </w:rPr>
        <w:t xml:space="preserve">   </w:t>
      </w:r>
      <w:r>
        <w:rPr>
          <w:bCs/>
          <w:sz w:val="24"/>
        </w:rPr>
        <w:t>日签字生效，特此声明。</w:t>
      </w:r>
    </w:p>
    <w:p>
      <w:pPr>
        <w:rPr>
          <w:bCs/>
          <w:sz w:val="24"/>
        </w:rPr>
      </w:pPr>
    </w:p>
    <w:p>
      <w:pPr>
        <w:ind w:firstLine="600" w:firstLineChars="250"/>
        <w:rPr>
          <w:bCs/>
          <w:sz w:val="24"/>
          <w:u w:val="single"/>
        </w:rPr>
      </w:pPr>
      <w:r>
        <w:rPr>
          <w:bCs/>
          <w:sz w:val="24"/>
        </w:rPr>
        <w:t>被授权人：</w:t>
      </w:r>
      <w:r>
        <w:rPr>
          <w:bCs/>
          <w:sz w:val="24"/>
          <w:u w:val="single"/>
        </w:rPr>
        <w:t xml:space="preserve">                  </w:t>
      </w:r>
      <w:r>
        <w:rPr>
          <w:bCs/>
          <w:sz w:val="24"/>
        </w:rPr>
        <w:t xml:space="preserve">   职务：</w:t>
      </w:r>
      <w:r>
        <w:rPr>
          <w:bCs/>
          <w:sz w:val="24"/>
          <w:u w:val="single"/>
        </w:rPr>
        <w:t xml:space="preserve">                  </w:t>
      </w:r>
    </w:p>
    <w:p>
      <w:pPr>
        <w:ind w:firstLine="600" w:firstLineChars="250"/>
        <w:rPr>
          <w:bCs/>
          <w:sz w:val="24"/>
          <w:u w:val="single"/>
        </w:rPr>
      </w:pPr>
      <w:r>
        <w:rPr>
          <w:bCs/>
          <w:sz w:val="24"/>
        </w:rPr>
        <w:t>联系电话：</w:t>
      </w:r>
      <w:r>
        <w:rPr>
          <w:bCs/>
          <w:sz w:val="24"/>
          <w:u w:val="single"/>
        </w:rPr>
        <w:t xml:space="preserve">                  </w:t>
      </w:r>
      <w:r>
        <w:rPr>
          <w:bCs/>
          <w:sz w:val="24"/>
        </w:rPr>
        <w:t xml:space="preserve">   手机：</w:t>
      </w:r>
      <w:r>
        <w:rPr>
          <w:bCs/>
          <w:sz w:val="24"/>
          <w:u w:val="single"/>
        </w:rPr>
        <w:t xml:space="preserve">                  </w:t>
      </w:r>
    </w:p>
    <w:p>
      <w:pPr>
        <w:ind w:firstLine="600" w:firstLineChars="250"/>
        <w:rPr>
          <w:bCs/>
          <w:sz w:val="24"/>
        </w:rPr>
      </w:pPr>
      <w:r>
        <w:rPr>
          <w:bCs/>
          <w:sz w:val="24"/>
        </w:rPr>
        <w:t>身份证号码：</w:t>
      </w:r>
      <w:r>
        <w:rPr>
          <w:bCs/>
          <w:sz w:val="24"/>
          <w:u w:val="single"/>
        </w:rPr>
        <w:t xml:space="preserve">                                           </w:t>
      </w:r>
    </w:p>
    <w:p>
      <w:pPr>
        <w:ind w:firstLine="600" w:firstLineChars="250"/>
        <w:rPr>
          <w:bCs/>
          <w:sz w:val="24"/>
          <w:u w:val="single"/>
        </w:rPr>
      </w:pPr>
      <w:r>
        <w:rPr>
          <w:bCs/>
          <w:sz w:val="24"/>
        </w:rPr>
        <w:t>投标人（盖章）：</w:t>
      </w:r>
      <w:r>
        <w:rPr>
          <w:bCs/>
          <w:sz w:val="24"/>
          <w:u w:val="single"/>
        </w:rPr>
        <w:t xml:space="preserve">                                        </w:t>
      </w:r>
    </w:p>
    <w:p>
      <w:pPr>
        <w:ind w:firstLine="600" w:firstLineChars="250"/>
        <w:rPr>
          <w:bCs/>
          <w:sz w:val="24"/>
          <w:u w:val="single"/>
        </w:rPr>
      </w:pPr>
      <w:r>
        <w:rPr>
          <w:bCs/>
          <w:sz w:val="24"/>
        </w:rPr>
        <w:t>法定代表人（签名）：</w:t>
      </w:r>
      <w:r>
        <w:rPr>
          <w:bCs/>
          <w:sz w:val="24"/>
          <w:u w:val="single"/>
        </w:rPr>
        <w:t xml:space="preserve">                                    </w:t>
      </w:r>
    </w:p>
    <w:p>
      <w:pPr>
        <w:ind w:firstLine="600" w:firstLineChars="250"/>
        <w:rPr>
          <w:bCs/>
          <w:sz w:val="24"/>
          <w:u w:val="single"/>
        </w:rPr>
      </w:pPr>
      <w:r>
        <w:rPr>
          <w:bCs/>
          <w:sz w:val="24"/>
        </w:rPr>
        <w:t>被授权人（签名）：</w:t>
      </w:r>
      <w:r>
        <w:rPr>
          <w:bCs/>
          <w:sz w:val="24"/>
          <w:u w:val="single"/>
        </w:rPr>
        <w:t xml:space="preserve">                                      </w:t>
      </w:r>
    </w:p>
    <w:p>
      <w:pPr>
        <w:rPr>
          <w:bCs/>
          <w:sz w:val="24"/>
        </w:rPr>
      </w:pPr>
    </w:p>
    <w:p>
      <w:pPr>
        <w:rPr>
          <w:bCs/>
          <w:szCs w:val="21"/>
        </w:rPr>
      </w:pPr>
      <w:r>
        <w:rPr>
          <w:bCs/>
          <w:szCs w:val="21"/>
        </w:rPr>
        <w:t>说明：</w:t>
      </w:r>
      <w:r>
        <w:rPr>
          <w:rFonts w:hint="eastAsia" w:asciiTheme="minorEastAsia" w:hAnsiTheme="minorEastAsia" w:eastAsiaTheme="minorEastAsia" w:cstheme="minorEastAsia"/>
          <w:bCs/>
          <w:szCs w:val="21"/>
        </w:rPr>
        <w:t>1.</w:t>
      </w:r>
      <w:r>
        <w:rPr>
          <w:bCs/>
          <w:szCs w:val="21"/>
        </w:rPr>
        <w:t>本授权委托书要求投标人提供有</w:t>
      </w:r>
      <w:r>
        <w:rPr>
          <w:b/>
          <w:bCs/>
          <w:szCs w:val="21"/>
        </w:rPr>
        <w:t>代理人签字、法定代表人的签字（或盖私章）和加盖公章</w:t>
      </w:r>
      <w:r>
        <w:rPr>
          <w:bCs/>
          <w:szCs w:val="21"/>
        </w:rPr>
        <w:t>后的原件方为有效；</w:t>
      </w:r>
    </w:p>
    <w:p>
      <w:pPr>
        <w:ind w:right="2100" w:rightChars="1000" w:firstLine="630" w:firstLineChars="300"/>
        <w:jc w:val="left"/>
        <w:rPr>
          <w:snapToGrid w:val="0"/>
          <w:kern w:val="0"/>
        </w:rPr>
      </w:pPr>
      <w:r>
        <w:rPr>
          <w:rFonts w:hint="eastAsia" w:asciiTheme="minorEastAsia" w:hAnsiTheme="minorEastAsia" w:eastAsiaTheme="minorEastAsia" w:cstheme="minorEastAsia"/>
          <w:bCs/>
          <w:szCs w:val="21"/>
        </w:rPr>
        <w:t>2.</w:t>
      </w:r>
      <w:r>
        <w:rPr>
          <w:bCs/>
          <w:szCs w:val="21"/>
        </w:rPr>
        <w:t>提供</w:t>
      </w:r>
      <w:r>
        <w:rPr>
          <w:rFonts w:hint="eastAsia" w:asciiTheme="minorEastAsia" w:hAnsiTheme="minorEastAsia" w:eastAsiaTheme="minorEastAsia" w:cstheme="minorEastAsia"/>
          <w:bCs/>
          <w:szCs w:val="21"/>
        </w:rPr>
        <w:t>代理人</w:t>
      </w:r>
      <w:r>
        <w:rPr>
          <w:bCs/>
          <w:szCs w:val="21"/>
        </w:rPr>
        <w:t>的身份证复印件（附后）。</w:t>
      </w:r>
    </w:p>
    <w:p/>
    <w:p>
      <w:pPr>
        <w:pStyle w:val="57"/>
        <w:rPr>
          <w:rFonts w:ascii="Times New Roman" w:hAnsi="Times New Roman"/>
          <w:lang w:eastAsia="zh-CN"/>
        </w:rPr>
      </w:pPr>
    </w:p>
    <w:p>
      <w:pPr>
        <w:pStyle w:val="57"/>
        <w:rPr>
          <w:rFonts w:ascii="Times New Roman" w:hAnsi="Times New Roman"/>
          <w:lang w:eastAsia="zh-CN"/>
        </w:rPr>
      </w:pPr>
    </w:p>
    <w:p>
      <w:pPr>
        <w:rPr>
          <w:rFonts w:ascii="宋体" w:hAnsi="宋体"/>
          <w:b/>
          <w:sz w:val="44"/>
          <w:szCs w:val="44"/>
        </w:rPr>
      </w:pPr>
      <w:r>
        <w:rPr>
          <w:rFonts w:hint="eastAsia" w:ascii="宋体" w:hAnsi="宋体"/>
          <w:b/>
          <w:sz w:val="44"/>
          <w:szCs w:val="44"/>
        </w:rPr>
        <w:br w:type="page"/>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ind w:left="1598" w:leftChars="456" w:hanging="640" w:hangingChars="200"/>
        <w:rPr>
          <w:rFonts w:hint="eastAsia" w:ascii="宋体" w:hAnsi="宋体"/>
          <w:bCs/>
          <w:sz w:val="32"/>
        </w:rPr>
      </w:pPr>
      <w:r>
        <w:rPr>
          <w:rFonts w:hint="eastAsia" w:ascii="宋体" w:hAnsi="宋体"/>
          <w:bCs/>
          <w:sz w:val="32"/>
        </w:rPr>
        <w:t>深圳市福田区第二人民医院建筑消防设备设施维保服务项目</w:t>
      </w:r>
    </w:p>
    <w:p>
      <w:pPr>
        <w:jc w:val="center"/>
        <w:rPr>
          <w:rFonts w:ascii="宋体" w:hAnsi="宋体"/>
          <w:b/>
          <w:sz w:val="44"/>
          <w:szCs w:val="44"/>
        </w:rPr>
      </w:pPr>
    </w:p>
    <w:p>
      <w:pPr>
        <w:jc w:val="center"/>
        <w:rPr>
          <w:rFonts w:ascii="宋体" w:hAnsi="宋体"/>
          <w:sz w:val="44"/>
          <w:szCs w:val="44"/>
        </w:rPr>
      </w:pPr>
      <w:r>
        <w:rPr>
          <w:rFonts w:ascii="宋体" w:hAnsi="宋体"/>
          <w:sz w:val="44"/>
          <w:szCs w:val="44"/>
        </w:rPr>
        <w:t>（投标文件）</w:t>
      </w:r>
    </w:p>
    <w:p>
      <w:pPr>
        <w:jc w:val="center"/>
        <w:rPr>
          <w:sz w:val="44"/>
          <w:szCs w:val="44"/>
        </w:rPr>
      </w:pPr>
    </w:p>
    <w:p>
      <w:pPr>
        <w:jc w:val="center"/>
        <w:rPr>
          <w:sz w:val="44"/>
          <w:szCs w:val="44"/>
        </w:rPr>
      </w:pPr>
    </w:p>
    <w:p>
      <w:pPr>
        <w:jc w:val="center"/>
        <w:rPr>
          <w:sz w:val="44"/>
          <w:szCs w:val="44"/>
        </w:rPr>
      </w:pPr>
    </w:p>
    <w:p>
      <w:pPr>
        <w:jc w:val="center"/>
        <w:rPr>
          <w:sz w:val="44"/>
          <w:szCs w:val="44"/>
        </w:rPr>
      </w:pPr>
    </w:p>
    <w:p>
      <w:pPr>
        <w:rPr>
          <w:sz w:val="44"/>
          <w:szCs w:val="44"/>
        </w:rPr>
      </w:pPr>
    </w:p>
    <w:p>
      <w:pPr>
        <w:spacing w:line="480" w:lineRule="auto"/>
        <w:ind w:firstLine="1400" w:firstLineChars="500"/>
        <w:rPr>
          <w:rFonts w:hint="eastAsia" w:asciiTheme="minorEastAsia" w:hAnsiTheme="minorEastAsia" w:eastAsiaTheme="minorEastAsia" w:cstheme="minorEastAsia"/>
          <w:sz w:val="44"/>
          <w:szCs w:val="44"/>
          <w:u w:val="single"/>
        </w:rPr>
      </w:pPr>
      <w:r>
        <w:rPr>
          <w:sz w:val="28"/>
          <w:szCs w:val="28"/>
        </w:rPr>
        <w:t>项</w:t>
      </w:r>
      <w:r>
        <w:rPr>
          <w:rFonts w:hint="eastAsia"/>
          <w:sz w:val="28"/>
          <w:szCs w:val="28"/>
          <w:lang w:val="en-US" w:eastAsia="zh-CN"/>
        </w:rPr>
        <w:t xml:space="preserve">   </w:t>
      </w:r>
      <w:r>
        <w:rPr>
          <w:sz w:val="28"/>
          <w:szCs w:val="28"/>
        </w:rPr>
        <w:t>目</w:t>
      </w:r>
      <w:r>
        <w:rPr>
          <w:rFonts w:hint="eastAsia"/>
          <w:sz w:val="28"/>
          <w:szCs w:val="28"/>
          <w:lang w:val="en-US" w:eastAsia="zh-CN"/>
        </w:rPr>
        <w:t xml:space="preserve">   </w:t>
      </w:r>
      <w:r>
        <w:rPr>
          <w:sz w:val="28"/>
          <w:szCs w:val="28"/>
        </w:rPr>
        <w:t>编</w:t>
      </w:r>
      <w:r>
        <w:rPr>
          <w:rFonts w:hint="eastAsia"/>
          <w:sz w:val="28"/>
          <w:szCs w:val="28"/>
          <w:lang w:val="en-US" w:eastAsia="zh-CN"/>
        </w:rPr>
        <w:t xml:space="preserve">   </w:t>
      </w:r>
      <w:r>
        <w:rPr>
          <w:sz w:val="28"/>
          <w:szCs w:val="28"/>
        </w:rPr>
        <w:t>号：</w:t>
      </w:r>
    </w:p>
    <w:p>
      <w:pPr>
        <w:spacing w:line="480" w:lineRule="auto"/>
        <w:ind w:firstLine="1400" w:firstLineChars="500"/>
        <w:rPr>
          <w:sz w:val="28"/>
          <w:szCs w:val="28"/>
          <w:u w:val="single"/>
        </w:rPr>
      </w:pPr>
      <w:r>
        <w:rPr>
          <w:sz w:val="28"/>
          <w:szCs w:val="28"/>
        </w:rPr>
        <w:t>供应商（盖章）：___________________________</w:t>
      </w:r>
    </w:p>
    <w:p>
      <w:pPr>
        <w:spacing w:line="480" w:lineRule="auto"/>
        <w:ind w:firstLine="1400" w:firstLineChars="500"/>
        <w:rPr>
          <w:sz w:val="28"/>
          <w:szCs w:val="28"/>
        </w:rPr>
      </w:pPr>
      <w:r>
        <w:rPr>
          <w:sz w:val="28"/>
          <w:szCs w:val="28"/>
        </w:rPr>
        <w:t>法定代表人或授权委托人签字：__________________</w:t>
      </w:r>
    </w:p>
    <w:p>
      <w:pPr>
        <w:ind w:firstLine="1400" w:firstLineChars="500"/>
        <w:rPr>
          <w:sz w:val="28"/>
          <w:szCs w:val="28"/>
        </w:rPr>
      </w:pPr>
      <w:r>
        <w:rPr>
          <w:sz w:val="28"/>
          <w:szCs w:val="28"/>
        </w:rPr>
        <w:t>投标日期：____________年_____月______日</w:t>
      </w:r>
    </w:p>
    <w:p>
      <w:pPr>
        <w:sectPr>
          <w:pgSz w:w="11907" w:h="16840"/>
          <w:pgMar w:top="1440" w:right="1080" w:bottom="1440" w:left="1080" w:header="851" w:footer="992" w:gutter="0"/>
          <w:cols w:space="720" w:num="1"/>
          <w:titlePg/>
          <w:docGrid w:linePitch="462" w:charSpace="0"/>
        </w:sectPr>
      </w:pPr>
    </w:p>
    <w:p>
      <w:pPr>
        <w:pStyle w:val="4"/>
        <w:jc w:val="center"/>
        <w:rPr>
          <w:rFonts w:cs="宋体"/>
          <w:bCs w:val="0"/>
          <w:sz w:val="24"/>
          <w:szCs w:val="24"/>
        </w:rPr>
      </w:pPr>
      <w:r>
        <w:rPr>
          <w:rFonts w:hint="eastAsia" w:cs="宋体"/>
          <w:bCs w:val="0"/>
          <w:sz w:val="24"/>
          <w:szCs w:val="24"/>
        </w:rPr>
        <w:t>投标文件目录</w:t>
      </w:r>
    </w:p>
    <w:p/>
    <w:p>
      <w:pPr>
        <w:spacing w:line="0" w:lineRule="atLeast"/>
        <w:rPr>
          <w:rFonts w:ascii="宋体" w:hAnsi="宋体"/>
          <w:szCs w:val="21"/>
        </w:rPr>
      </w:pPr>
      <w:r>
        <w:rPr>
          <w:rFonts w:ascii="宋体" w:hAnsi="宋体"/>
          <w:szCs w:val="21"/>
        </w:rPr>
        <w:t>一、评标指引表</w:t>
      </w:r>
    </w:p>
    <w:p>
      <w:pPr>
        <w:spacing w:line="0" w:lineRule="atLeast"/>
        <w:rPr>
          <w:rFonts w:ascii="宋体" w:hAnsi="宋体"/>
          <w:szCs w:val="21"/>
        </w:rPr>
      </w:pPr>
      <w:r>
        <w:rPr>
          <w:rFonts w:ascii="宋体" w:hAnsi="宋体"/>
          <w:szCs w:val="21"/>
        </w:rPr>
        <w:t>二、政府采购投标及履约承诺函</w:t>
      </w:r>
    </w:p>
    <w:p>
      <w:pPr>
        <w:spacing w:line="0" w:lineRule="atLeast"/>
        <w:rPr>
          <w:rFonts w:ascii="宋体" w:hAnsi="宋体"/>
          <w:szCs w:val="21"/>
        </w:rPr>
      </w:pPr>
      <w:r>
        <w:rPr>
          <w:rFonts w:ascii="宋体" w:hAnsi="宋体"/>
          <w:szCs w:val="21"/>
        </w:rPr>
        <w:t>三、法定代表人资格证明书</w:t>
      </w:r>
    </w:p>
    <w:p>
      <w:pPr>
        <w:spacing w:line="0" w:lineRule="atLeast"/>
        <w:rPr>
          <w:rFonts w:ascii="宋体" w:hAnsi="宋体"/>
          <w:szCs w:val="21"/>
        </w:rPr>
      </w:pPr>
      <w:r>
        <w:rPr>
          <w:rFonts w:ascii="宋体" w:hAnsi="宋体"/>
          <w:szCs w:val="21"/>
        </w:rPr>
        <w:t>四、法定代表人授权书</w:t>
      </w:r>
    </w:p>
    <w:p>
      <w:pPr>
        <w:spacing w:line="0" w:lineRule="atLeast"/>
        <w:rPr>
          <w:rFonts w:ascii="宋体" w:hAnsi="宋体"/>
          <w:szCs w:val="21"/>
        </w:rPr>
      </w:pPr>
      <w:r>
        <w:rPr>
          <w:rFonts w:ascii="宋体" w:hAnsi="宋体"/>
          <w:szCs w:val="21"/>
        </w:rPr>
        <w:t>五、投标函</w:t>
      </w:r>
    </w:p>
    <w:p>
      <w:pPr>
        <w:spacing w:line="0" w:lineRule="atLeast"/>
        <w:rPr>
          <w:rFonts w:ascii="宋体" w:hAnsi="宋体"/>
          <w:szCs w:val="21"/>
        </w:rPr>
      </w:pPr>
      <w:r>
        <w:rPr>
          <w:rFonts w:ascii="宋体" w:hAnsi="宋体"/>
          <w:szCs w:val="21"/>
        </w:rPr>
        <w:t>六、分项报价清单表</w:t>
      </w:r>
    </w:p>
    <w:p>
      <w:pPr>
        <w:spacing w:line="0" w:lineRule="atLeast"/>
        <w:rPr>
          <w:rFonts w:ascii="宋体" w:hAnsi="宋体"/>
          <w:szCs w:val="21"/>
        </w:rPr>
      </w:pPr>
      <w:r>
        <w:rPr>
          <w:rFonts w:ascii="宋体" w:hAnsi="宋体"/>
          <w:szCs w:val="21"/>
        </w:rPr>
        <w:t>七、供应商情况介绍</w:t>
      </w:r>
    </w:p>
    <w:p>
      <w:pPr>
        <w:spacing w:line="0" w:lineRule="atLeast"/>
        <w:rPr>
          <w:rFonts w:ascii="宋体" w:hAnsi="宋体"/>
          <w:szCs w:val="21"/>
        </w:rPr>
      </w:pPr>
      <w:r>
        <w:rPr>
          <w:rFonts w:hint="eastAsia" w:ascii="宋体" w:hAnsi="宋体"/>
          <w:szCs w:val="21"/>
        </w:rPr>
        <w:t>八、履约评价情况</w:t>
      </w:r>
    </w:p>
    <w:p>
      <w:pPr>
        <w:spacing w:line="0" w:lineRule="atLeast"/>
        <w:rPr>
          <w:rFonts w:ascii="宋体" w:hAnsi="宋体"/>
          <w:szCs w:val="21"/>
        </w:rPr>
      </w:pPr>
      <w:r>
        <w:rPr>
          <w:rFonts w:ascii="宋体" w:hAnsi="宋体"/>
          <w:szCs w:val="21"/>
        </w:rPr>
        <w:t>九、</w:t>
      </w:r>
      <w:r>
        <w:rPr>
          <w:rFonts w:hint="eastAsia" w:ascii="宋体" w:hAnsi="宋体" w:cs="仿宋"/>
          <w:szCs w:val="21"/>
        </w:rPr>
        <w:t>投标人资质及通过相关认证情况</w:t>
      </w:r>
    </w:p>
    <w:p>
      <w:pPr>
        <w:spacing w:line="0" w:lineRule="atLeast"/>
        <w:rPr>
          <w:rFonts w:ascii="宋体" w:hAnsi="宋体" w:cs="仿宋"/>
          <w:szCs w:val="21"/>
        </w:rPr>
      </w:pPr>
      <w:r>
        <w:rPr>
          <w:rFonts w:ascii="宋体" w:hAnsi="宋体"/>
          <w:szCs w:val="21"/>
        </w:rPr>
        <w:t>十、</w:t>
      </w:r>
      <w:r>
        <w:rPr>
          <w:rFonts w:hint="eastAsia" w:ascii="宋体" w:hAnsi="宋体" w:cs="仿宋"/>
          <w:szCs w:val="21"/>
        </w:rPr>
        <w:t>拟安排的项目团队成员（主要技术人员）情况</w:t>
      </w:r>
    </w:p>
    <w:p>
      <w:pPr>
        <w:spacing w:line="0" w:lineRule="atLeast"/>
        <w:rPr>
          <w:rFonts w:ascii="宋体" w:hAnsi="宋体" w:cs="仿宋"/>
          <w:szCs w:val="21"/>
        </w:rPr>
      </w:pPr>
      <w:r>
        <w:rPr>
          <w:rFonts w:hint="eastAsia" w:ascii="宋体" w:hAnsi="宋体" w:cs="仿宋"/>
          <w:szCs w:val="21"/>
        </w:rPr>
        <w:t>十一、售后服务机构</w:t>
      </w:r>
    </w:p>
    <w:p>
      <w:pPr>
        <w:spacing w:line="0" w:lineRule="atLeast"/>
        <w:rPr>
          <w:rFonts w:ascii="宋体" w:hAnsi="宋体" w:cs="仿宋"/>
          <w:color w:val="000000"/>
          <w:szCs w:val="21"/>
        </w:rPr>
      </w:pPr>
      <w:r>
        <w:rPr>
          <w:rFonts w:hint="eastAsia" w:ascii="宋体" w:hAnsi="宋体" w:cs="仿宋"/>
          <w:color w:val="000000"/>
          <w:szCs w:val="21"/>
        </w:rPr>
        <w:t>十二、投标人同类项目业绩情况</w:t>
      </w:r>
    </w:p>
    <w:p>
      <w:pPr>
        <w:spacing w:line="0" w:lineRule="atLeast"/>
        <w:rPr>
          <w:rFonts w:ascii="宋体" w:hAnsi="宋体" w:cs="仿宋"/>
          <w:szCs w:val="21"/>
        </w:rPr>
      </w:pPr>
      <w:r>
        <w:rPr>
          <w:rFonts w:hint="eastAsia" w:ascii="宋体" w:hAnsi="宋体" w:cs="仿宋"/>
          <w:szCs w:val="21"/>
        </w:rPr>
        <w:t>十三、现场踏勘、诚信评审</w:t>
      </w:r>
    </w:p>
    <w:p>
      <w:pPr>
        <w:spacing w:line="0" w:lineRule="atLeast"/>
        <w:rPr>
          <w:rFonts w:ascii="宋体" w:hAnsi="宋体"/>
          <w:szCs w:val="21"/>
        </w:rPr>
      </w:pPr>
      <w:r>
        <w:rPr>
          <w:rFonts w:hint="eastAsia" w:ascii="宋体" w:hAnsi="宋体"/>
          <w:szCs w:val="21"/>
        </w:rPr>
        <w:t>十四、违约承诺</w:t>
      </w:r>
    </w:p>
    <w:p>
      <w:pPr>
        <w:spacing w:line="0" w:lineRule="atLeast"/>
        <w:rPr>
          <w:rFonts w:ascii="宋体" w:hAnsi="宋体"/>
          <w:szCs w:val="21"/>
        </w:rPr>
      </w:pPr>
      <w:r>
        <w:rPr>
          <w:rFonts w:ascii="宋体" w:hAnsi="宋体"/>
          <w:szCs w:val="21"/>
        </w:rPr>
        <w:t>十</w:t>
      </w:r>
      <w:r>
        <w:rPr>
          <w:rFonts w:hint="eastAsia" w:ascii="宋体" w:hAnsi="宋体"/>
          <w:szCs w:val="21"/>
        </w:rPr>
        <w:t>五</w:t>
      </w:r>
      <w:r>
        <w:rPr>
          <w:rFonts w:ascii="宋体" w:hAnsi="宋体"/>
          <w:szCs w:val="21"/>
        </w:rPr>
        <w:t>、</w:t>
      </w:r>
      <w:r>
        <w:rPr>
          <w:rFonts w:hint="eastAsia" w:ascii="宋体" w:hAnsi="宋体"/>
          <w:szCs w:val="21"/>
        </w:rPr>
        <w:t>实质性条款响应情况表</w:t>
      </w:r>
    </w:p>
    <w:p>
      <w:pPr>
        <w:spacing w:line="0" w:lineRule="atLeast"/>
        <w:rPr>
          <w:rFonts w:ascii="宋体" w:hAnsi="宋体"/>
          <w:szCs w:val="21"/>
        </w:rPr>
      </w:pPr>
      <w:r>
        <w:rPr>
          <w:rFonts w:ascii="宋体" w:hAnsi="宋体"/>
          <w:szCs w:val="21"/>
        </w:rPr>
        <w:t>十</w:t>
      </w:r>
      <w:r>
        <w:rPr>
          <w:rFonts w:hint="eastAsia" w:ascii="宋体" w:hAnsi="宋体"/>
          <w:szCs w:val="21"/>
        </w:rPr>
        <w:t>六</w:t>
      </w:r>
      <w:r>
        <w:rPr>
          <w:rFonts w:ascii="宋体" w:hAnsi="宋体"/>
          <w:szCs w:val="21"/>
        </w:rPr>
        <w:t>、</w:t>
      </w:r>
      <w:r>
        <w:rPr>
          <w:rFonts w:hint="eastAsia" w:ascii="宋体" w:hAnsi="宋体"/>
          <w:szCs w:val="21"/>
        </w:rPr>
        <w:t>技术性条款响应情况表（</w:t>
      </w:r>
      <w:r>
        <w:rPr>
          <w:rFonts w:hint="eastAsia" w:ascii="宋体" w:hAnsi="宋体" w:cs="仿宋"/>
          <w:szCs w:val="21"/>
        </w:rPr>
        <w:t>服务响应程度）</w:t>
      </w:r>
    </w:p>
    <w:p>
      <w:pPr>
        <w:spacing w:line="0" w:lineRule="atLeast"/>
        <w:ind w:left="630" w:hanging="630" w:hangingChars="300"/>
        <w:rPr>
          <w:rFonts w:ascii="宋体" w:hAnsi="宋体"/>
          <w:szCs w:val="21"/>
        </w:rPr>
      </w:pPr>
      <w:r>
        <w:rPr>
          <w:rFonts w:ascii="宋体" w:hAnsi="宋体"/>
          <w:szCs w:val="21"/>
        </w:rPr>
        <w:t>十</w:t>
      </w:r>
      <w:r>
        <w:rPr>
          <w:rFonts w:hint="eastAsia" w:ascii="宋体" w:hAnsi="宋体"/>
          <w:szCs w:val="21"/>
        </w:rPr>
        <w:t>七</w:t>
      </w:r>
      <w:r>
        <w:rPr>
          <w:rFonts w:ascii="宋体" w:hAnsi="宋体"/>
          <w:szCs w:val="21"/>
        </w:rPr>
        <w:t>、中小企业声明函及残疾人福利性单位声明函（或省级以上监狱管理局、戒毒管理局（含新疆生产建设兵团）出具的属于监狱企业的证明文件）（可选）</w:t>
      </w:r>
    </w:p>
    <w:p>
      <w:pPr>
        <w:spacing w:line="0" w:lineRule="atLeast"/>
        <w:rPr>
          <w:rFonts w:ascii="宋体" w:hAnsi="宋体"/>
          <w:szCs w:val="21"/>
        </w:rPr>
      </w:pPr>
      <w:r>
        <w:rPr>
          <w:rFonts w:ascii="宋体" w:hAnsi="宋体"/>
          <w:szCs w:val="21"/>
        </w:rPr>
        <w:t>十</w:t>
      </w:r>
      <w:r>
        <w:rPr>
          <w:rFonts w:hint="eastAsia" w:ascii="宋体" w:hAnsi="宋体"/>
          <w:szCs w:val="21"/>
        </w:rPr>
        <w:t>八</w:t>
      </w:r>
      <w:r>
        <w:rPr>
          <w:rFonts w:ascii="宋体" w:hAnsi="宋体"/>
          <w:szCs w:val="21"/>
        </w:rPr>
        <w:t>、</w:t>
      </w:r>
      <w:r>
        <w:rPr>
          <w:rFonts w:ascii="宋体" w:hAnsi="宋体"/>
          <w:bCs/>
          <w:szCs w:val="21"/>
        </w:rPr>
        <w:t>诚信良好的承诺函</w:t>
      </w:r>
    </w:p>
    <w:p>
      <w:pPr>
        <w:spacing w:line="0" w:lineRule="atLeast"/>
        <w:rPr>
          <w:rFonts w:ascii="宋体" w:hAnsi="宋体"/>
          <w:szCs w:val="21"/>
        </w:rPr>
      </w:pPr>
      <w:r>
        <w:rPr>
          <w:rFonts w:ascii="宋体" w:hAnsi="宋体"/>
          <w:szCs w:val="21"/>
        </w:rPr>
        <w:t>十</w:t>
      </w:r>
      <w:r>
        <w:rPr>
          <w:rFonts w:hint="eastAsia" w:ascii="宋体" w:hAnsi="宋体"/>
          <w:szCs w:val="21"/>
        </w:rPr>
        <w:t>九</w:t>
      </w:r>
      <w:r>
        <w:rPr>
          <w:rFonts w:ascii="宋体" w:hAnsi="宋体"/>
          <w:szCs w:val="21"/>
        </w:rPr>
        <w:t>、招标文件要求的其他内容及投标人认为需要加以说明的其他内容</w:t>
      </w:r>
    </w:p>
    <w:p>
      <w:pPr>
        <w:pStyle w:val="4"/>
        <w:jc w:val="center"/>
        <w:rPr>
          <w:rFonts w:cs="宋体"/>
          <w:bCs w:val="0"/>
          <w:sz w:val="21"/>
          <w:szCs w:val="21"/>
        </w:rPr>
      </w:pPr>
    </w:p>
    <w:p>
      <w:pPr>
        <w:pStyle w:val="4"/>
        <w:jc w:val="center"/>
        <w:rPr>
          <w:rFonts w:cs="宋体"/>
          <w:bCs w:val="0"/>
          <w:sz w:val="24"/>
          <w:szCs w:val="24"/>
        </w:rPr>
      </w:pPr>
    </w:p>
    <w:p>
      <w:pPr>
        <w:pStyle w:val="4"/>
        <w:jc w:val="center"/>
        <w:rPr>
          <w:rFonts w:cs="宋体"/>
          <w:bCs w:val="0"/>
          <w:sz w:val="24"/>
          <w:szCs w:val="24"/>
        </w:rPr>
      </w:pPr>
      <w:r>
        <w:rPr>
          <w:rFonts w:hint="eastAsia" w:cs="宋体"/>
          <w:bCs w:val="0"/>
          <w:sz w:val="24"/>
          <w:szCs w:val="24"/>
        </w:rPr>
        <w:t>一、评标指引表</w:t>
      </w:r>
    </w:p>
    <w:p>
      <w:pPr>
        <w:jc w:val="center"/>
        <w:rPr>
          <w:b/>
        </w:rPr>
      </w:pPr>
      <w:r>
        <w:rPr>
          <w:b/>
        </w:rPr>
        <w:t>（置于投标文件的首页）</w:t>
      </w:r>
    </w:p>
    <w:p>
      <w:pPr>
        <w:jc w:val="center"/>
        <w:rPr>
          <w:b/>
        </w:rPr>
      </w:pPr>
    </w:p>
    <w:p>
      <w:pPr>
        <w:ind w:firstLine="420" w:firstLineChars="200"/>
      </w:pPr>
      <w:r>
        <w:rPr>
          <w:szCs w:val="21"/>
        </w:rPr>
        <w:t>为方便参与该项目的评委专家的评标，快速找到评标事项与该项目投标文件所对应的位置，请投标人参照下表格式，编制本项目评标指引表。</w:t>
      </w:r>
    </w:p>
    <w:p>
      <w:pPr>
        <w:jc w:val="center"/>
        <w:rPr>
          <w:b/>
        </w:rPr>
      </w:pPr>
      <w:r>
        <w:rPr>
          <w:rFonts w:hint="eastAsia"/>
          <w:b/>
          <w:kern w:val="0"/>
          <w:szCs w:val="21"/>
        </w:rPr>
        <w:t>深圳市福田区第二人民医院建筑消防设备设施维保服务商</w:t>
      </w:r>
      <w:r>
        <w:rPr>
          <w:b/>
        </w:rPr>
        <w:t>评标指引表</w:t>
      </w:r>
    </w:p>
    <w:p>
      <w:pPr>
        <w:jc w:val="center"/>
        <w:rPr>
          <w:b/>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82"/>
        <w:gridCol w:w="1198"/>
        <w:gridCol w:w="1620"/>
        <w:gridCol w:w="1307"/>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trPr>
        <w:tc>
          <w:tcPr>
            <w:tcW w:w="9854" w:type="dxa"/>
            <w:gridSpan w:val="6"/>
          </w:tcPr>
          <w:p>
            <w:pPr>
              <w:jc w:val="center"/>
              <w:rPr>
                <w:b/>
              </w:rPr>
            </w:pPr>
            <w:r>
              <w:rPr>
                <w:b/>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序号</w:t>
            </w:r>
          </w:p>
        </w:tc>
        <w:tc>
          <w:tcPr>
            <w:tcW w:w="3482" w:type="dxa"/>
            <w:vAlign w:val="center"/>
          </w:tcPr>
          <w:p>
            <w:pPr>
              <w:jc w:val="center"/>
              <w:rPr>
                <w:b/>
              </w:rPr>
            </w:pPr>
            <w:r>
              <w:rPr>
                <w:b/>
              </w:rPr>
              <w:t>资格性检查项目</w:t>
            </w:r>
          </w:p>
        </w:tc>
        <w:tc>
          <w:tcPr>
            <w:tcW w:w="4125" w:type="dxa"/>
            <w:gridSpan w:val="3"/>
            <w:vAlign w:val="center"/>
          </w:tcPr>
          <w:p>
            <w:pPr>
              <w:jc w:val="center"/>
              <w:rPr>
                <w:b/>
              </w:rPr>
            </w:pPr>
            <w:r>
              <w:rPr>
                <w:b/>
              </w:rPr>
              <w:t>证明文件</w:t>
            </w:r>
          </w:p>
        </w:tc>
        <w:tc>
          <w:tcPr>
            <w:tcW w:w="1419" w:type="dxa"/>
            <w:vAlign w:val="center"/>
          </w:tcPr>
          <w:p>
            <w:pPr>
              <w:jc w:val="center"/>
              <w:rPr>
                <w:b/>
              </w:rPr>
            </w:pPr>
            <w:r>
              <w:rPr>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1</w:t>
            </w:r>
          </w:p>
        </w:tc>
        <w:tc>
          <w:tcPr>
            <w:tcW w:w="3482" w:type="dxa"/>
            <w:vAlign w:val="center"/>
          </w:tcPr>
          <w:p>
            <w:pPr>
              <w:jc w:val="center"/>
              <w:rPr>
                <w:b/>
              </w:rPr>
            </w:pPr>
          </w:p>
        </w:tc>
        <w:tc>
          <w:tcPr>
            <w:tcW w:w="4125" w:type="dxa"/>
            <w:gridSpan w:val="3"/>
            <w:vAlign w:val="center"/>
          </w:tcPr>
          <w:p>
            <w:pPr>
              <w:jc w:val="center"/>
              <w:rPr>
                <w:b/>
              </w:rPr>
            </w:pPr>
          </w:p>
        </w:tc>
        <w:tc>
          <w:tcPr>
            <w:tcW w:w="1419"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2</w:t>
            </w:r>
          </w:p>
        </w:tc>
        <w:tc>
          <w:tcPr>
            <w:tcW w:w="3482" w:type="dxa"/>
            <w:vAlign w:val="center"/>
          </w:tcPr>
          <w:p>
            <w:pPr>
              <w:jc w:val="center"/>
              <w:rPr>
                <w:b/>
              </w:rPr>
            </w:pPr>
          </w:p>
        </w:tc>
        <w:tc>
          <w:tcPr>
            <w:tcW w:w="4125" w:type="dxa"/>
            <w:gridSpan w:val="3"/>
            <w:vAlign w:val="center"/>
          </w:tcPr>
          <w:p>
            <w:pPr>
              <w:jc w:val="center"/>
              <w:rPr>
                <w:b/>
              </w:rPr>
            </w:pPr>
          </w:p>
        </w:tc>
        <w:tc>
          <w:tcPr>
            <w:tcW w:w="1419"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w:t>
            </w:r>
          </w:p>
        </w:tc>
        <w:tc>
          <w:tcPr>
            <w:tcW w:w="3482" w:type="dxa"/>
            <w:vAlign w:val="center"/>
          </w:tcPr>
          <w:p>
            <w:pPr>
              <w:jc w:val="center"/>
              <w:rPr>
                <w:b/>
              </w:rPr>
            </w:pPr>
            <w:r>
              <w:rPr>
                <w:b/>
              </w:rPr>
              <w:t>…………</w:t>
            </w:r>
          </w:p>
        </w:tc>
        <w:tc>
          <w:tcPr>
            <w:tcW w:w="4125" w:type="dxa"/>
            <w:gridSpan w:val="3"/>
            <w:vAlign w:val="center"/>
          </w:tcPr>
          <w:p>
            <w:pPr>
              <w:jc w:val="center"/>
              <w:rPr>
                <w:b/>
              </w:rPr>
            </w:pPr>
          </w:p>
        </w:tc>
        <w:tc>
          <w:tcPr>
            <w:tcW w:w="1419"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9854" w:type="dxa"/>
            <w:gridSpan w:val="6"/>
          </w:tcPr>
          <w:p>
            <w:pPr>
              <w:jc w:val="center"/>
              <w:rPr>
                <w:b/>
              </w:rPr>
            </w:pPr>
            <w:r>
              <w:rPr>
                <w:b/>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序号</w:t>
            </w:r>
          </w:p>
        </w:tc>
        <w:tc>
          <w:tcPr>
            <w:tcW w:w="3482" w:type="dxa"/>
            <w:vAlign w:val="center"/>
          </w:tcPr>
          <w:p>
            <w:pPr>
              <w:jc w:val="center"/>
              <w:rPr>
                <w:b/>
              </w:rPr>
            </w:pPr>
            <w:r>
              <w:rPr>
                <w:b/>
              </w:rPr>
              <w:t>符合性检查项目</w:t>
            </w:r>
          </w:p>
        </w:tc>
        <w:tc>
          <w:tcPr>
            <w:tcW w:w="4125" w:type="dxa"/>
            <w:gridSpan w:val="3"/>
            <w:vAlign w:val="center"/>
          </w:tcPr>
          <w:p>
            <w:pPr>
              <w:jc w:val="center"/>
              <w:rPr>
                <w:b/>
              </w:rPr>
            </w:pPr>
            <w:r>
              <w:rPr>
                <w:b/>
              </w:rPr>
              <w:t>说明</w:t>
            </w:r>
          </w:p>
        </w:tc>
        <w:tc>
          <w:tcPr>
            <w:tcW w:w="1419" w:type="dxa"/>
            <w:vAlign w:val="center"/>
          </w:tcPr>
          <w:p>
            <w:pPr>
              <w:jc w:val="center"/>
              <w:rPr>
                <w:b/>
              </w:rPr>
            </w:pPr>
            <w:r>
              <w:rPr>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1</w:t>
            </w:r>
          </w:p>
        </w:tc>
        <w:tc>
          <w:tcPr>
            <w:tcW w:w="3482" w:type="dxa"/>
          </w:tcPr>
          <w:p>
            <w:pPr>
              <w:jc w:val="center"/>
              <w:rPr>
                <w:b/>
              </w:rPr>
            </w:pPr>
          </w:p>
        </w:tc>
        <w:tc>
          <w:tcPr>
            <w:tcW w:w="4125" w:type="dxa"/>
            <w:gridSpan w:val="3"/>
            <w:vAlign w:val="center"/>
          </w:tcPr>
          <w:p>
            <w:pPr>
              <w:jc w:val="center"/>
              <w:rPr>
                <w:b/>
              </w:rPr>
            </w:pPr>
          </w:p>
        </w:tc>
        <w:tc>
          <w:tcPr>
            <w:tcW w:w="1419"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2</w:t>
            </w:r>
          </w:p>
        </w:tc>
        <w:tc>
          <w:tcPr>
            <w:tcW w:w="3482" w:type="dxa"/>
          </w:tcPr>
          <w:p>
            <w:pPr>
              <w:jc w:val="center"/>
              <w:rPr>
                <w:b/>
              </w:rPr>
            </w:pPr>
          </w:p>
        </w:tc>
        <w:tc>
          <w:tcPr>
            <w:tcW w:w="4125" w:type="dxa"/>
            <w:gridSpan w:val="3"/>
            <w:vAlign w:val="center"/>
          </w:tcPr>
          <w:p>
            <w:pPr>
              <w:jc w:val="center"/>
              <w:rPr>
                <w:b/>
              </w:rPr>
            </w:pPr>
          </w:p>
        </w:tc>
        <w:tc>
          <w:tcPr>
            <w:tcW w:w="1419"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3</w:t>
            </w:r>
          </w:p>
        </w:tc>
        <w:tc>
          <w:tcPr>
            <w:tcW w:w="3482" w:type="dxa"/>
          </w:tcPr>
          <w:p>
            <w:pPr>
              <w:jc w:val="center"/>
              <w:rPr>
                <w:b/>
              </w:rPr>
            </w:pPr>
          </w:p>
        </w:tc>
        <w:tc>
          <w:tcPr>
            <w:tcW w:w="4125" w:type="dxa"/>
            <w:gridSpan w:val="3"/>
            <w:vAlign w:val="center"/>
          </w:tcPr>
          <w:p>
            <w:pPr>
              <w:jc w:val="center"/>
              <w:rPr>
                <w:b/>
              </w:rPr>
            </w:pPr>
          </w:p>
        </w:tc>
        <w:tc>
          <w:tcPr>
            <w:tcW w:w="1419"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4</w:t>
            </w:r>
          </w:p>
        </w:tc>
        <w:tc>
          <w:tcPr>
            <w:tcW w:w="3482" w:type="dxa"/>
          </w:tcPr>
          <w:p>
            <w:pPr>
              <w:jc w:val="center"/>
              <w:rPr>
                <w:b/>
              </w:rPr>
            </w:pPr>
          </w:p>
        </w:tc>
        <w:tc>
          <w:tcPr>
            <w:tcW w:w="4125" w:type="dxa"/>
            <w:gridSpan w:val="3"/>
            <w:vAlign w:val="center"/>
          </w:tcPr>
          <w:p>
            <w:pPr>
              <w:jc w:val="center"/>
              <w:rPr>
                <w:b/>
              </w:rPr>
            </w:pPr>
          </w:p>
        </w:tc>
        <w:tc>
          <w:tcPr>
            <w:tcW w:w="1419"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5</w:t>
            </w:r>
          </w:p>
        </w:tc>
        <w:tc>
          <w:tcPr>
            <w:tcW w:w="3482" w:type="dxa"/>
          </w:tcPr>
          <w:p>
            <w:pPr>
              <w:jc w:val="center"/>
              <w:rPr>
                <w:sz w:val="24"/>
              </w:rPr>
            </w:pPr>
          </w:p>
        </w:tc>
        <w:tc>
          <w:tcPr>
            <w:tcW w:w="4125" w:type="dxa"/>
            <w:gridSpan w:val="3"/>
            <w:vAlign w:val="center"/>
          </w:tcPr>
          <w:p>
            <w:pPr>
              <w:jc w:val="center"/>
              <w:rPr>
                <w:b/>
              </w:rPr>
            </w:pPr>
          </w:p>
        </w:tc>
        <w:tc>
          <w:tcPr>
            <w:tcW w:w="1419"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6</w:t>
            </w:r>
          </w:p>
        </w:tc>
        <w:tc>
          <w:tcPr>
            <w:tcW w:w="3482" w:type="dxa"/>
          </w:tcPr>
          <w:p>
            <w:pPr>
              <w:jc w:val="center"/>
              <w:rPr>
                <w:sz w:val="24"/>
              </w:rPr>
            </w:pPr>
          </w:p>
        </w:tc>
        <w:tc>
          <w:tcPr>
            <w:tcW w:w="4125" w:type="dxa"/>
            <w:gridSpan w:val="3"/>
            <w:vAlign w:val="center"/>
          </w:tcPr>
          <w:p>
            <w:pPr>
              <w:jc w:val="center"/>
              <w:rPr>
                <w:b/>
              </w:rPr>
            </w:pPr>
          </w:p>
        </w:tc>
        <w:tc>
          <w:tcPr>
            <w:tcW w:w="1419"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7</w:t>
            </w:r>
          </w:p>
        </w:tc>
        <w:tc>
          <w:tcPr>
            <w:tcW w:w="3482" w:type="dxa"/>
          </w:tcPr>
          <w:p>
            <w:pPr>
              <w:jc w:val="center"/>
              <w:rPr>
                <w:sz w:val="24"/>
              </w:rPr>
            </w:pPr>
          </w:p>
        </w:tc>
        <w:tc>
          <w:tcPr>
            <w:tcW w:w="4125" w:type="dxa"/>
            <w:gridSpan w:val="3"/>
            <w:vAlign w:val="center"/>
          </w:tcPr>
          <w:p>
            <w:pPr>
              <w:jc w:val="center"/>
              <w:rPr>
                <w:b/>
              </w:rPr>
            </w:pPr>
          </w:p>
        </w:tc>
        <w:tc>
          <w:tcPr>
            <w:tcW w:w="1419"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8</w:t>
            </w:r>
          </w:p>
        </w:tc>
        <w:tc>
          <w:tcPr>
            <w:tcW w:w="3482" w:type="dxa"/>
          </w:tcPr>
          <w:p>
            <w:pPr>
              <w:jc w:val="center"/>
              <w:rPr>
                <w:b/>
              </w:rPr>
            </w:pPr>
          </w:p>
        </w:tc>
        <w:tc>
          <w:tcPr>
            <w:tcW w:w="4125" w:type="dxa"/>
            <w:gridSpan w:val="3"/>
            <w:vAlign w:val="center"/>
          </w:tcPr>
          <w:p>
            <w:pPr>
              <w:jc w:val="center"/>
              <w:rPr>
                <w:b/>
              </w:rPr>
            </w:pPr>
          </w:p>
        </w:tc>
        <w:tc>
          <w:tcPr>
            <w:tcW w:w="1419"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9854" w:type="dxa"/>
            <w:gridSpan w:val="6"/>
          </w:tcPr>
          <w:p>
            <w:pPr>
              <w:jc w:val="center"/>
              <w:rPr>
                <w:b/>
              </w:rPr>
            </w:pPr>
            <w:r>
              <w:rPr>
                <w:b/>
              </w:rPr>
              <w:t>三、综合实力评分指引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tcPr>
          <w:p>
            <w:pPr>
              <w:jc w:val="center"/>
              <w:rPr>
                <w:b/>
              </w:rPr>
            </w:pPr>
            <w:r>
              <w:rPr>
                <w:b/>
              </w:rPr>
              <w:t>评分类别</w:t>
            </w:r>
          </w:p>
        </w:tc>
        <w:tc>
          <w:tcPr>
            <w:tcW w:w="4680" w:type="dxa"/>
            <w:gridSpan w:val="2"/>
            <w:vAlign w:val="center"/>
          </w:tcPr>
          <w:p>
            <w:pPr>
              <w:jc w:val="center"/>
              <w:rPr>
                <w:b/>
              </w:rPr>
            </w:pPr>
            <w:r>
              <w:rPr>
                <w:b/>
              </w:rPr>
              <w:t>评分项目</w:t>
            </w:r>
          </w:p>
        </w:tc>
        <w:tc>
          <w:tcPr>
            <w:tcW w:w="1620" w:type="dxa"/>
            <w:vAlign w:val="center"/>
          </w:tcPr>
          <w:p>
            <w:pPr>
              <w:jc w:val="center"/>
              <w:rPr>
                <w:b/>
              </w:rPr>
            </w:pPr>
            <w:r>
              <w:rPr>
                <w:b/>
              </w:rPr>
              <w:t>分值</w:t>
            </w:r>
          </w:p>
          <w:p>
            <w:pPr>
              <w:jc w:val="center"/>
              <w:rPr>
                <w:b/>
              </w:rPr>
            </w:pPr>
            <w:r>
              <w:rPr>
                <w:b/>
              </w:rPr>
              <w:t>（或权重）</w:t>
            </w:r>
          </w:p>
        </w:tc>
        <w:tc>
          <w:tcPr>
            <w:tcW w:w="1307" w:type="dxa"/>
            <w:vAlign w:val="center"/>
          </w:tcPr>
          <w:p>
            <w:pPr>
              <w:jc w:val="center"/>
              <w:rPr>
                <w:b/>
              </w:rPr>
            </w:pPr>
            <w:r>
              <w:rPr>
                <w:b/>
              </w:rPr>
              <w:t>对应章节</w:t>
            </w:r>
          </w:p>
        </w:tc>
        <w:tc>
          <w:tcPr>
            <w:tcW w:w="1419" w:type="dxa"/>
            <w:vAlign w:val="center"/>
          </w:tcPr>
          <w:p>
            <w:pPr>
              <w:jc w:val="center"/>
              <w:rPr>
                <w:b/>
              </w:rPr>
            </w:pPr>
            <w:r>
              <w:rPr>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828" w:type="dxa"/>
            <w:vMerge w:val="restart"/>
            <w:vAlign w:val="center"/>
          </w:tcPr>
          <w:p>
            <w:pPr>
              <w:jc w:val="center"/>
              <w:rPr>
                <w:b/>
              </w:rPr>
            </w:pPr>
            <w:r>
              <w:rPr>
                <w:rFonts w:hint="eastAsia"/>
                <w:b/>
                <w:lang w:eastAsia="zh-CN"/>
              </w:rPr>
              <w:t>技术</w:t>
            </w:r>
            <w:r>
              <w:rPr>
                <w:b/>
              </w:rPr>
              <w:t>部分</w:t>
            </w:r>
          </w:p>
        </w:tc>
        <w:tc>
          <w:tcPr>
            <w:tcW w:w="4680" w:type="dxa"/>
            <w:gridSpan w:val="2"/>
          </w:tcPr>
          <w:p>
            <w:pPr>
              <w:jc w:val="center"/>
              <w:rPr>
                <w:b/>
              </w:rPr>
            </w:pPr>
            <w:r>
              <w:rPr>
                <w:b/>
              </w:rPr>
              <w:t>1.…………</w:t>
            </w:r>
          </w:p>
        </w:tc>
        <w:tc>
          <w:tcPr>
            <w:tcW w:w="1620" w:type="dxa"/>
          </w:tcPr>
          <w:p>
            <w:pPr>
              <w:jc w:val="center"/>
              <w:rPr>
                <w:b/>
              </w:rPr>
            </w:pPr>
          </w:p>
        </w:tc>
        <w:tc>
          <w:tcPr>
            <w:tcW w:w="1307" w:type="dxa"/>
          </w:tcPr>
          <w:p>
            <w:pPr>
              <w:jc w:val="center"/>
              <w:rPr>
                <w:b/>
              </w:rPr>
            </w:pPr>
          </w:p>
        </w:tc>
        <w:tc>
          <w:tcPr>
            <w:tcW w:w="1419" w:type="dxa"/>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828" w:type="dxa"/>
            <w:vMerge w:val="continue"/>
            <w:vAlign w:val="center"/>
          </w:tcPr>
          <w:p>
            <w:pPr>
              <w:jc w:val="center"/>
              <w:rPr>
                <w:b/>
              </w:rPr>
            </w:pPr>
          </w:p>
        </w:tc>
        <w:tc>
          <w:tcPr>
            <w:tcW w:w="4680" w:type="dxa"/>
            <w:gridSpan w:val="2"/>
          </w:tcPr>
          <w:p>
            <w:pPr>
              <w:jc w:val="center"/>
              <w:rPr>
                <w:b/>
              </w:rPr>
            </w:pPr>
            <w:r>
              <w:rPr>
                <w:b/>
              </w:rPr>
              <w:t>2.…………</w:t>
            </w:r>
          </w:p>
        </w:tc>
        <w:tc>
          <w:tcPr>
            <w:tcW w:w="1620" w:type="dxa"/>
          </w:tcPr>
          <w:p>
            <w:pPr>
              <w:jc w:val="center"/>
              <w:rPr>
                <w:b/>
              </w:rPr>
            </w:pPr>
          </w:p>
        </w:tc>
        <w:tc>
          <w:tcPr>
            <w:tcW w:w="1307" w:type="dxa"/>
          </w:tcPr>
          <w:p>
            <w:pPr>
              <w:jc w:val="center"/>
              <w:rPr>
                <w:b/>
              </w:rPr>
            </w:pPr>
          </w:p>
        </w:tc>
        <w:tc>
          <w:tcPr>
            <w:tcW w:w="1419" w:type="dxa"/>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828" w:type="dxa"/>
            <w:vMerge w:val="continue"/>
            <w:vAlign w:val="center"/>
          </w:tcPr>
          <w:p>
            <w:pPr>
              <w:jc w:val="center"/>
              <w:rPr>
                <w:b/>
              </w:rPr>
            </w:pPr>
          </w:p>
        </w:tc>
        <w:tc>
          <w:tcPr>
            <w:tcW w:w="4680" w:type="dxa"/>
            <w:gridSpan w:val="2"/>
          </w:tcPr>
          <w:p>
            <w:pPr>
              <w:jc w:val="center"/>
              <w:rPr>
                <w:b/>
              </w:rPr>
            </w:pPr>
            <w:r>
              <w:rPr>
                <w:b/>
              </w:rPr>
              <w:t>…………</w:t>
            </w:r>
          </w:p>
        </w:tc>
        <w:tc>
          <w:tcPr>
            <w:tcW w:w="1620" w:type="dxa"/>
          </w:tcPr>
          <w:p>
            <w:pPr>
              <w:jc w:val="center"/>
              <w:rPr>
                <w:b/>
              </w:rPr>
            </w:pPr>
          </w:p>
        </w:tc>
        <w:tc>
          <w:tcPr>
            <w:tcW w:w="1307" w:type="dxa"/>
          </w:tcPr>
          <w:p>
            <w:pPr>
              <w:jc w:val="center"/>
              <w:rPr>
                <w:b/>
              </w:rPr>
            </w:pPr>
          </w:p>
        </w:tc>
        <w:tc>
          <w:tcPr>
            <w:tcW w:w="1419" w:type="dxa"/>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vMerge w:val="restart"/>
            <w:vAlign w:val="center"/>
          </w:tcPr>
          <w:p>
            <w:pPr>
              <w:jc w:val="center"/>
              <w:rPr>
                <w:b/>
              </w:rPr>
            </w:pPr>
            <w:r>
              <w:rPr>
                <w:rFonts w:hint="eastAsia"/>
                <w:b/>
                <w:lang w:eastAsia="zh-CN"/>
              </w:rPr>
              <w:t>商务</w:t>
            </w:r>
            <w:r>
              <w:rPr>
                <w:b/>
              </w:rPr>
              <w:t>部分</w:t>
            </w:r>
          </w:p>
        </w:tc>
        <w:tc>
          <w:tcPr>
            <w:tcW w:w="4680" w:type="dxa"/>
            <w:gridSpan w:val="2"/>
          </w:tcPr>
          <w:p>
            <w:pPr>
              <w:jc w:val="center"/>
              <w:rPr>
                <w:b/>
              </w:rPr>
            </w:pPr>
            <w:r>
              <w:rPr>
                <w:b/>
              </w:rPr>
              <w:t>1.…………</w:t>
            </w:r>
          </w:p>
        </w:tc>
        <w:tc>
          <w:tcPr>
            <w:tcW w:w="1620" w:type="dxa"/>
          </w:tcPr>
          <w:p>
            <w:pPr>
              <w:jc w:val="center"/>
              <w:rPr>
                <w:b/>
              </w:rPr>
            </w:pPr>
          </w:p>
        </w:tc>
        <w:tc>
          <w:tcPr>
            <w:tcW w:w="1307" w:type="dxa"/>
          </w:tcPr>
          <w:p>
            <w:pPr>
              <w:jc w:val="center"/>
              <w:rPr>
                <w:b/>
              </w:rPr>
            </w:pPr>
          </w:p>
        </w:tc>
        <w:tc>
          <w:tcPr>
            <w:tcW w:w="1419" w:type="dxa"/>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vMerge w:val="continue"/>
          </w:tcPr>
          <w:p>
            <w:pPr>
              <w:jc w:val="center"/>
              <w:rPr>
                <w:b/>
              </w:rPr>
            </w:pPr>
          </w:p>
        </w:tc>
        <w:tc>
          <w:tcPr>
            <w:tcW w:w="4680" w:type="dxa"/>
            <w:gridSpan w:val="2"/>
          </w:tcPr>
          <w:p>
            <w:pPr>
              <w:jc w:val="center"/>
              <w:rPr>
                <w:b/>
              </w:rPr>
            </w:pPr>
            <w:r>
              <w:rPr>
                <w:b/>
              </w:rPr>
              <w:t>2.…………</w:t>
            </w:r>
          </w:p>
        </w:tc>
        <w:tc>
          <w:tcPr>
            <w:tcW w:w="1620" w:type="dxa"/>
          </w:tcPr>
          <w:p>
            <w:pPr>
              <w:jc w:val="center"/>
              <w:rPr>
                <w:b/>
              </w:rPr>
            </w:pPr>
          </w:p>
        </w:tc>
        <w:tc>
          <w:tcPr>
            <w:tcW w:w="1307" w:type="dxa"/>
          </w:tcPr>
          <w:p>
            <w:pPr>
              <w:jc w:val="center"/>
              <w:rPr>
                <w:b/>
              </w:rPr>
            </w:pPr>
          </w:p>
        </w:tc>
        <w:tc>
          <w:tcPr>
            <w:tcW w:w="1419" w:type="dxa"/>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28" w:type="dxa"/>
            <w:vMerge w:val="continue"/>
          </w:tcPr>
          <w:p>
            <w:pPr>
              <w:jc w:val="center"/>
              <w:rPr>
                <w:b/>
              </w:rPr>
            </w:pPr>
          </w:p>
        </w:tc>
        <w:tc>
          <w:tcPr>
            <w:tcW w:w="4680" w:type="dxa"/>
            <w:gridSpan w:val="2"/>
          </w:tcPr>
          <w:p>
            <w:pPr>
              <w:jc w:val="center"/>
              <w:rPr>
                <w:b/>
              </w:rPr>
            </w:pPr>
            <w:r>
              <w:rPr>
                <w:b/>
              </w:rPr>
              <w:t>…………</w:t>
            </w:r>
          </w:p>
        </w:tc>
        <w:tc>
          <w:tcPr>
            <w:tcW w:w="1620" w:type="dxa"/>
          </w:tcPr>
          <w:p>
            <w:pPr>
              <w:jc w:val="center"/>
              <w:rPr>
                <w:b/>
              </w:rPr>
            </w:pPr>
          </w:p>
        </w:tc>
        <w:tc>
          <w:tcPr>
            <w:tcW w:w="1307" w:type="dxa"/>
          </w:tcPr>
          <w:p>
            <w:pPr>
              <w:jc w:val="center"/>
              <w:rPr>
                <w:b/>
              </w:rPr>
            </w:pPr>
          </w:p>
        </w:tc>
        <w:tc>
          <w:tcPr>
            <w:tcW w:w="1419" w:type="dxa"/>
          </w:tcPr>
          <w:p>
            <w:pPr>
              <w:jc w:val="center"/>
              <w:rPr>
                <w:b/>
              </w:rPr>
            </w:pPr>
          </w:p>
        </w:tc>
      </w:tr>
    </w:tbl>
    <w:p>
      <w:pPr>
        <w:ind w:firstLine="422" w:firstLineChars="200"/>
        <w:rPr>
          <w:b/>
        </w:rPr>
        <w:sectPr>
          <w:pgSz w:w="11907" w:h="16840"/>
          <w:pgMar w:top="1440" w:right="1080" w:bottom="1440" w:left="1080" w:header="851" w:footer="992" w:gutter="0"/>
          <w:cols w:space="720" w:num="1"/>
          <w:titlePg/>
          <w:docGrid w:linePitch="462" w:charSpace="0"/>
        </w:sectPr>
      </w:pPr>
      <w:r>
        <w:rPr>
          <w:b/>
          <w:szCs w:val="21"/>
        </w:rPr>
        <w:t>注：请投标人按照“关键信息——投标文件初审表、评标信息”的审查和评分内容，自上而下的顺序填写本表</w:t>
      </w:r>
      <w:r>
        <w:rPr>
          <w:b/>
        </w:rPr>
        <w:t>。因项目次序混乱而影响评标效率及评标结果者，投标人自负其责。</w:t>
      </w:r>
    </w:p>
    <w:p>
      <w:pPr>
        <w:ind w:firstLine="422" w:firstLineChars="200"/>
        <w:rPr>
          <w:b/>
        </w:rPr>
      </w:pPr>
    </w:p>
    <w:p>
      <w:pPr>
        <w:pStyle w:val="4"/>
        <w:jc w:val="center"/>
        <w:rPr>
          <w:rFonts w:cs="宋体"/>
          <w:bCs w:val="0"/>
          <w:sz w:val="24"/>
          <w:szCs w:val="24"/>
        </w:rPr>
      </w:pPr>
      <w:r>
        <w:rPr>
          <w:rFonts w:hint="eastAsia" w:cs="宋体"/>
          <w:bCs w:val="0"/>
          <w:sz w:val="24"/>
          <w:szCs w:val="24"/>
        </w:rPr>
        <w:t>二、采购投标及履约承诺函</w:t>
      </w:r>
    </w:p>
    <w:p>
      <w:pPr>
        <w:jc w:val="center"/>
        <w:rPr>
          <w:b/>
          <w:bCs/>
          <w:sz w:val="32"/>
          <w:szCs w:val="32"/>
        </w:rPr>
      </w:pPr>
    </w:p>
    <w:p>
      <w:pPr>
        <w:ind w:firstLine="480" w:firstLineChars="200"/>
        <w:rPr>
          <w:rFonts w:hint="default" w:eastAsia="宋体"/>
          <w:sz w:val="24"/>
          <w:lang w:val="en-US" w:eastAsia="zh-CN"/>
        </w:rPr>
      </w:pPr>
      <w:r>
        <w:rPr>
          <w:sz w:val="24"/>
        </w:rPr>
        <w:t>致：</w:t>
      </w:r>
      <w:r>
        <w:rPr>
          <w:rFonts w:hint="eastAsia"/>
          <w:sz w:val="24"/>
          <w:lang w:eastAsia="zh-CN"/>
        </w:rPr>
        <w:t>深圳市福田区第二人民医院</w:t>
      </w:r>
    </w:p>
    <w:p>
      <w:pPr>
        <w:ind w:firstLine="480" w:firstLineChars="200"/>
        <w:rPr>
          <w:sz w:val="24"/>
        </w:rPr>
      </w:pPr>
      <w:r>
        <w:rPr>
          <w:sz w:val="24"/>
        </w:rPr>
        <w:t>我公司承诺：</w:t>
      </w:r>
    </w:p>
    <w:p>
      <w:pPr>
        <w:ind w:firstLine="480" w:firstLineChars="200"/>
        <w:rPr>
          <w:sz w:val="24"/>
        </w:rPr>
      </w:pPr>
      <w:r>
        <w:rPr>
          <w:rFonts w:hint="eastAsia" w:asciiTheme="minorEastAsia" w:hAnsiTheme="minorEastAsia" w:eastAsiaTheme="minorEastAsia" w:cstheme="minorEastAsia"/>
          <w:sz w:val="24"/>
        </w:rPr>
        <w:t>1.</w:t>
      </w:r>
      <w:r>
        <w:rPr>
          <w:sz w:val="24"/>
        </w:rPr>
        <w:t>我公司本招标项目所提供的货物或服务未侵犯知识产权。</w:t>
      </w:r>
    </w:p>
    <w:p>
      <w:pPr>
        <w:ind w:firstLine="480" w:firstLineChars="200"/>
        <w:rPr>
          <w:sz w:val="24"/>
        </w:rPr>
      </w:pPr>
      <w:r>
        <w:rPr>
          <w:rFonts w:hint="eastAsia" w:asciiTheme="minorEastAsia" w:hAnsiTheme="minorEastAsia" w:eastAsiaTheme="minorEastAsia" w:cstheme="minorEastAsia"/>
          <w:sz w:val="24"/>
        </w:rPr>
        <w:t>2.</w:t>
      </w:r>
      <w:r>
        <w:rPr>
          <w:sz w:val="24"/>
        </w:rPr>
        <w:t>我公司参与本项目投标前三年内，在经营活动中没有重大违法记录。</w:t>
      </w:r>
    </w:p>
    <w:p>
      <w:pPr>
        <w:ind w:firstLine="480" w:firstLineChars="200"/>
        <w:rPr>
          <w:sz w:val="24"/>
        </w:rPr>
      </w:pPr>
      <w:r>
        <w:rPr>
          <w:sz w:val="24"/>
        </w:rPr>
        <w:t>3.我公司参与本项目政府采购活动时不存在被有关部门禁止参与政府采购活动且在有效期内的情况。</w:t>
      </w:r>
    </w:p>
    <w:p>
      <w:pPr>
        <w:ind w:firstLine="480" w:firstLineChars="200"/>
        <w:rPr>
          <w:sz w:val="24"/>
        </w:rPr>
      </w:pPr>
      <w:r>
        <w:rPr>
          <w:rFonts w:hint="eastAsia" w:asciiTheme="minorEastAsia" w:hAnsiTheme="minorEastAsia" w:eastAsiaTheme="minorEastAsia" w:cstheme="minorEastAsia"/>
          <w:sz w:val="24"/>
        </w:rPr>
        <w:t>4.</w:t>
      </w:r>
      <w:r>
        <w:rPr>
          <w:sz w:val="24"/>
        </w:rPr>
        <w:t>我公司具备《中华人民共和国政府采购法》第二十二条第一款的条件。</w:t>
      </w:r>
    </w:p>
    <w:p>
      <w:pPr>
        <w:ind w:firstLine="480" w:firstLineChars="200"/>
        <w:rPr>
          <w:sz w:val="24"/>
        </w:rPr>
      </w:pPr>
      <w:r>
        <w:rPr>
          <w:rFonts w:hint="eastAsia" w:asciiTheme="minorEastAsia" w:hAnsiTheme="minorEastAsia" w:eastAsiaTheme="minorEastAsia" w:cstheme="minorEastAsia"/>
          <w:sz w:val="24"/>
        </w:rPr>
        <w:t>5.</w:t>
      </w:r>
      <w:r>
        <w:rPr>
          <w:sz w:val="24"/>
        </w:rPr>
        <w:t>我公司未被列入失信被执行人、重大税收违法案件当事人名单、政府采购严重违法失信行为记录名单。</w:t>
      </w:r>
    </w:p>
    <w:p>
      <w:pPr>
        <w:ind w:firstLine="480" w:firstLineChars="200"/>
        <w:rPr>
          <w:sz w:val="24"/>
        </w:rPr>
      </w:pPr>
      <w:r>
        <w:rPr>
          <w:rFonts w:hint="eastAsia" w:asciiTheme="minorEastAsia" w:hAnsiTheme="minorEastAsia" w:eastAsiaTheme="minorEastAsia" w:cstheme="minorEastAsia"/>
          <w:sz w:val="24"/>
        </w:rPr>
        <w:t>6.</w:t>
      </w:r>
      <w:r>
        <w:rPr>
          <w:sz w:val="24"/>
        </w:rPr>
        <w:t>我公司参与该项目投标，严格遵循公平竞争的原则，不恶意串通，不妨碍其他投标人的竞争行为，不损害采购人或者其他投标人的合法权益。我公司已清楚，如违反上述要求，将作投标无效处理。</w:t>
      </w:r>
    </w:p>
    <w:p>
      <w:pPr>
        <w:ind w:firstLine="480" w:firstLineChars="200"/>
        <w:rPr>
          <w:sz w:val="24"/>
        </w:rPr>
      </w:pPr>
      <w:r>
        <w:rPr>
          <w:rFonts w:hint="eastAsia" w:asciiTheme="minorEastAsia" w:hAnsiTheme="minorEastAsia" w:eastAsiaTheme="minorEastAsia" w:cstheme="minorEastAsia"/>
          <w:sz w:val="24"/>
        </w:rPr>
        <w:t>7.</w:t>
      </w:r>
      <w:r>
        <w:rPr>
          <w:sz w:val="24"/>
        </w:rPr>
        <w:t>我公司如果中标，做到守信，不偷工减料，依照本项目招标文件需求内容、签署的采购合同及本公司在投标中所作的一切承诺履约。</w:t>
      </w:r>
    </w:p>
    <w:p>
      <w:pPr>
        <w:ind w:firstLine="480" w:firstLineChars="200"/>
        <w:rPr>
          <w:sz w:val="24"/>
        </w:rPr>
      </w:pPr>
      <w:r>
        <w:rPr>
          <w:rFonts w:hint="eastAsia" w:asciiTheme="minorEastAsia" w:hAnsiTheme="minorEastAsia" w:eastAsiaTheme="minorEastAsia" w:cstheme="minorEastAsia"/>
          <w:sz w:val="24"/>
        </w:rPr>
        <w:t>8.</w:t>
      </w:r>
      <w:r>
        <w:rPr>
          <w:sz w:val="24"/>
        </w:rPr>
        <w:t>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ind w:firstLine="480" w:firstLineChars="200"/>
        <w:rPr>
          <w:sz w:val="24"/>
        </w:rPr>
      </w:pPr>
      <w:r>
        <w:rPr>
          <w:rFonts w:hint="eastAsia" w:asciiTheme="minorEastAsia" w:hAnsiTheme="minorEastAsia" w:eastAsiaTheme="minorEastAsia" w:cstheme="minorEastAsia"/>
          <w:sz w:val="24"/>
        </w:rPr>
        <w:t>9.</w:t>
      </w:r>
      <w:r>
        <w:rPr>
          <w:sz w:val="24"/>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ind w:firstLine="480" w:firstLineChars="200"/>
        <w:rPr>
          <w:sz w:val="24"/>
        </w:rPr>
      </w:pPr>
      <w:r>
        <w:rPr>
          <w:rFonts w:hint="eastAsia" w:asciiTheme="minorEastAsia" w:hAnsiTheme="minorEastAsia" w:eastAsiaTheme="minorEastAsia" w:cstheme="minorEastAsia"/>
          <w:sz w:val="24"/>
        </w:rPr>
        <w:t>10.</w:t>
      </w:r>
      <w:r>
        <w:rPr>
          <w:sz w:val="24"/>
        </w:rPr>
        <w:t>我公司承诺不非法转包、分包。</w:t>
      </w:r>
    </w:p>
    <w:p>
      <w:pPr>
        <w:ind w:firstLine="480" w:firstLineChars="200"/>
        <w:rPr>
          <w:sz w:val="24"/>
        </w:rPr>
      </w:pPr>
      <w:r>
        <w:rPr>
          <w:rFonts w:hint="eastAsia" w:asciiTheme="minorEastAsia" w:hAnsiTheme="minorEastAsia" w:eastAsiaTheme="minorEastAsia" w:cstheme="minorEastAsia"/>
          <w:sz w:val="24"/>
        </w:rPr>
        <w:t>11.</w:t>
      </w:r>
      <w:r>
        <w:rPr>
          <w:rFonts w:hint="eastAsia"/>
          <w:sz w:val="24"/>
        </w:rPr>
        <w:t>我司承诺不存在单位负责人为同一人或者存在直接控股、管理关系的不同供应商，参加同一合同项下的政府采购活动情形。</w:t>
      </w:r>
    </w:p>
    <w:p>
      <w:pPr>
        <w:ind w:firstLine="480" w:firstLineChars="200"/>
        <w:rPr>
          <w:sz w:val="24"/>
        </w:rPr>
      </w:pPr>
      <w:r>
        <w:rPr>
          <w:rFonts w:hint="eastAsia" w:asciiTheme="minorEastAsia" w:hAnsiTheme="minorEastAsia" w:eastAsiaTheme="minorEastAsia" w:cstheme="minorEastAsia"/>
          <w:sz w:val="24"/>
        </w:rPr>
        <w:t>12.</w:t>
      </w:r>
      <w:r>
        <w:rPr>
          <w:rFonts w:hint="eastAsia"/>
          <w:sz w:val="24"/>
        </w:rPr>
        <w:t>我司承诺不存在为本项目提供整体设计、规范编制或者项目管理、监理、检测等服务的情形。</w:t>
      </w:r>
    </w:p>
    <w:p>
      <w:pPr>
        <w:ind w:firstLine="480" w:firstLineChars="200"/>
        <w:rPr>
          <w:color w:val="000000"/>
          <w:kern w:val="0"/>
        </w:rPr>
      </w:pPr>
      <w:r>
        <w:rPr>
          <w:sz w:val="24"/>
        </w:rPr>
        <w:t>以上承诺，如有违反，愿依照国家相关法律处理，并承担由此给采购人带来的损失。</w:t>
      </w:r>
    </w:p>
    <w:p>
      <w:pPr>
        <w:pStyle w:val="18"/>
        <w:ind w:firstLine="480" w:firstLineChars="200"/>
        <w:rPr>
          <w:b w:val="0"/>
        </w:rPr>
      </w:pPr>
    </w:p>
    <w:p>
      <w:pPr>
        <w:pStyle w:val="18"/>
        <w:ind w:firstLine="480" w:firstLineChars="200"/>
        <w:rPr>
          <w:b w:val="0"/>
        </w:rPr>
      </w:pPr>
    </w:p>
    <w:p>
      <w:pPr>
        <w:snapToGrid w:val="0"/>
        <w:ind w:right="1440"/>
        <w:jc w:val="right"/>
        <w:rPr>
          <w:sz w:val="24"/>
        </w:rPr>
      </w:pPr>
      <w:r>
        <w:rPr>
          <w:sz w:val="24"/>
        </w:rPr>
        <w:t xml:space="preserve">供应商（盖章）： </w:t>
      </w:r>
    </w:p>
    <w:p>
      <w:pPr>
        <w:snapToGrid w:val="0"/>
        <w:ind w:right="1440"/>
        <w:jc w:val="right"/>
        <w:rPr>
          <w:b/>
        </w:rPr>
      </w:pPr>
      <w:r>
        <w:rPr>
          <w:bCs/>
          <w:sz w:val="24"/>
        </w:rPr>
        <w:t>日期：    年    月   日</w:t>
      </w:r>
    </w:p>
    <w:p>
      <w:pPr>
        <w:jc w:val="center"/>
        <w:rPr>
          <w:kern w:val="0"/>
          <w:sz w:val="24"/>
        </w:rPr>
        <w:sectPr>
          <w:pgSz w:w="11907" w:h="16840"/>
          <w:pgMar w:top="1440" w:right="1080" w:bottom="1440" w:left="1080" w:header="851" w:footer="992" w:gutter="0"/>
          <w:cols w:space="720" w:num="1"/>
          <w:titlePg/>
          <w:docGrid w:linePitch="462" w:charSpace="0"/>
        </w:sectPr>
      </w:pPr>
      <w:r>
        <w:rPr>
          <w:kern w:val="0"/>
          <w:sz w:val="24"/>
        </w:rPr>
        <w:br w:type="page"/>
      </w:r>
    </w:p>
    <w:p>
      <w:pPr>
        <w:pStyle w:val="4"/>
        <w:jc w:val="center"/>
        <w:rPr>
          <w:rFonts w:cs="宋体"/>
          <w:bCs w:val="0"/>
          <w:sz w:val="24"/>
          <w:szCs w:val="24"/>
        </w:rPr>
      </w:pPr>
      <w:r>
        <w:rPr>
          <w:rFonts w:hint="eastAsia" w:cs="宋体"/>
          <w:bCs w:val="0"/>
          <w:sz w:val="24"/>
          <w:szCs w:val="24"/>
        </w:rPr>
        <w:t>三、法定代表人资格证明书</w:t>
      </w:r>
    </w:p>
    <w:p>
      <w:pPr>
        <w:snapToGrid w:val="0"/>
        <w:rPr>
          <w:bCs/>
          <w:sz w:val="24"/>
        </w:rPr>
      </w:pPr>
      <w:r>
        <w:rPr>
          <w:bCs/>
          <w:sz w:val="24"/>
        </w:rPr>
        <w:t>单位名称：</w:t>
      </w:r>
      <w:r>
        <w:rPr>
          <w:bCs/>
          <w:sz w:val="24"/>
          <w:u w:val="single"/>
        </w:rPr>
        <w:t xml:space="preserve">                                                </w:t>
      </w:r>
      <w:r>
        <w:rPr>
          <w:bCs/>
          <w:sz w:val="24"/>
        </w:rPr>
        <w:t xml:space="preserve">     </w:t>
      </w:r>
    </w:p>
    <w:p>
      <w:pPr>
        <w:snapToGrid w:val="0"/>
        <w:rPr>
          <w:bCs/>
          <w:sz w:val="24"/>
        </w:rPr>
      </w:pPr>
      <w:r>
        <w:rPr>
          <w:bCs/>
          <w:sz w:val="24"/>
        </w:rPr>
        <w:t>地    址：</w:t>
      </w:r>
      <w:r>
        <w:rPr>
          <w:bCs/>
          <w:sz w:val="24"/>
          <w:u w:val="single"/>
        </w:rPr>
        <w:t xml:space="preserve">                                                </w:t>
      </w:r>
    </w:p>
    <w:p>
      <w:pPr>
        <w:snapToGrid w:val="0"/>
        <w:rPr>
          <w:bCs/>
          <w:sz w:val="24"/>
        </w:rPr>
      </w:pPr>
      <w:r>
        <w:rPr>
          <w:bCs/>
          <w:sz w:val="24"/>
        </w:rPr>
        <w:t>姓名：</w:t>
      </w:r>
      <w:r>
        <w:rPr>
          <w:bCs/>
          <w:sz w:val="24"/>
          <w:u w:val="single"/>
        </w:rPr>
        <w:t xml:space="preserve">          </w:t>
      </w:r>
      <w:r>
        <w:rPr>
          <w:bCs/>
          <w:sz w:val="24"/>
        </w:rPr>
        <w:t xml:space="preserve"> 性别：</w:t>
      </w:r>
      <w:r>
        <w:rPr>
          <w:bCs/>
          <w:sz w:val="24"/>
          <w:u w:val="single"/>
        </w:rPr>
        <w:t xml:space="preserve">      </w:t>
      </w:r>
      <w:r>
        <w:rPr>
          <w:bCs/>
          <w:sz w:val="24"/>
        </w:rPr>
        <w:t>年龄：</w:t>
      </w:r>
      <w:r>
        <w:rPr>
          <w:bCs/>
          <w:sz w:val="24"/>
          <w:u w:val="single"/>
        </w:rPr>
        <w:t xml:space="preserve">      </w:t>
      </w:r>
      <w:r>
        <w:rPr>
          <w:bCs/>
          <w:sz w:val="24"/>
        </w:rPr>
        <w:t>职务：</w:t>
      </w:r>
      <w:r>
        <w:rPr>
          <w:bCs/>
          <w:sz w:val="24"/>
          <w:u w:val="single"/>
        </w:rPr>
        <w:t xml:space="preserve">                   </w:t>
      </w:r>
      <w:r>
        <w:rPr>
          <w:bCs/>
          <w:sz w:val="24"/>
        </w:rPr>
        <w:t xml:space="preserve">系 </w:t>
      </w:r>
      <w:r>
        <w:rPr>
          <w:bCs/>
          <w:sz w:val="24"/>
          <w:u w:val="single"/>
        </w:rPr>
        <w:t xml:space="preserve">                      </w:t>
      </w:r>
      <w:r>
        <w:rPr>
          <w:bCs/>
          <w:sz w:val="24"/>
        </w:rPr>
        <w:t xml:space="preserve"> 的法定代表人。为维护的项目，签署上述项目的投标文件、进行合同投标、签署合同和处理与之有关的一切事务。</w:t>
      </w:r>
    </w:p>
    <w:p>
      <w:pPr>
        <w:snapToGrid w:val="0"/>
        <w:rPr>
          <w:bCs/>
          <w:sz w:val="24"/>
        </w:rPr>
      </w:pPr>
      <w:r>
        <w:rPr>
          <w:bCs/>
          <w:sz w:val="24"/>
        </w:rPr>
        <w:t>特此证明</w:t>
      </w:r>
    </w:p>
    <w:p>
      <w:pPr>
        <w:snapToGrid w:val="0"/>
        <w:rPr>
          <w:sz w:val="24"/>
        </w:rPr>
      </w:pPr>
      <w:r>
        <w:rPr>
          <w:sz w:val="24"/>
        </w:rPr>
        <w:t xml:space="preserve"> </w:t>
      </w:r>
    </w:p>
    <w:p>
      <w:pPr>
        <w:wordWrap w:val="0"/>
        <w:snapToGrid w:val="0"/>
        <w:ind w:firstLine="5040" w:firstLineChars="2100"/>
        <w:jc w:val="right"/>
        <w:rPr>
          <w:sz w:val="24"/>
        </w:rPr>
      </w:pPr>
      <w:r>
        <w:rPr>
          <w:sz w:val="24"/>
        </w:rPr>
        <w:t xml:space="preserve">供应商（盖章）：                              </w:t>
      </w:r>
    </w:p>
    <w:p>
      <w:pPr>
        <w:wordWrap w:val="0"/>
        <w:snapToGrid w:val="0"/>
        <w:ind w:firstLine="4080" w:firstLineChars="1700"/>
        <w:jc w:val="right"/>
        <w:rPr>
          <w:bCs/>
          <w:sz w:val="24"/>
        </w:rPr>
      </w:pPr>
      <w:r>
        <w:rPr>
          <w:bCs/>
          <w:sz w:val="24"/>
        </w:rPr>
        <w:t>日  期：       年    月   日</w:t>
      </w:r>
      <w:r>
        <w:rPr>
          <w:rFonts w:hint="eastAsia"/>
          <w:bCs/>
          <w:sz w:val="24"/>
        </w:rPr>
        <w:t xml:space="preserve"> </w:t>
      </w:r>
      <w:r>
        <w:rPr>
          <w:bCs/>
          <w:sz w:val="24"/>
        </w:rPr>
        <w:t xml:space="preserve">                             </w:t>
      </w:r>
    </w:p>
    <w:p>
      <w:pPr>
        <w:snapToGrid w:val="0"/>
        <w:ind w:firstLine="4080" w:firstLineChars="1700"/>
        <w:rPr>
          <w:bCs/>
          <w:sz w:val="24"/>
        </w:rPr>
      </w:pPr>
    </w:p>
    <w:p>
      <w:pPr>
        <w:snapToGrid w:val="0"/>
        <w:ind w:left="735" w:hanging="735" w:hangingChars="350"/>
        <w:rPr>
          <w:bCs/>
          <w:szCs w:val="21"/>
        </w:rPr>
      </w:pPr>
      <w:r>
        <w:rPr>
          <w:bCs/>
          <w:szCs w:val="21"/>
        </w:rPr>
        <w:t>说明：1. 本证明书要求投标人提供</w:t>
      </w:r>
      <w:r>
        <w:rPr>
          <w:b/>
          <w:bCs/>
          <w:szCs w:val="21"/>
        </w:rPr>
        <w:t>加盖公章</w:t>
      </w:r>
      <w:r>
        <w:rPr>
          <w:bCs/>
          <w:szCs w:val="21"/>
        </w:rPr>
        <w:t>后的原件方为有效。</w:t>
      </w:r>
    </w:p>
    <w:p>
      <w:pPr>
        <w:snapToGrid w:val="0"/>
        <w:ind w:left="823" w:leftChars="342" w:hanging="105" w:hangingChars="50"/>
        <w:rPr>
          <w:bCs/>
          <w:szCs w:val="21"/>
        </w:rPr>
      </w:pPr>
      <w:r>
        <w:rPr>
          <w:bCs/>
          <w:szCs w:val="21"/>
        </w:rPr>
        <w:t>2. 须提供法定代表人的身份证复印件（附后）。</w:t>
      </w:r>
    </w:p>
    <w:p>
      <w:pPr>
        <w:jc w:val="center"/>
        <w:rPr>
          <w:b/>
          <w:bCs/>
          <w:sz w:val="32"/>
          <w:szCs w:val="32"/>
        </w:rPr>
      </w:pPr>
    </w:p>
    <w:p>
      <w:pPr>
        <w:pStyle w:val="4"/>
        <w:jc w:val="center"/>
        <w:rPr>
          <w:rFonts w:cs="宋体"/>
          <w:bCs w:val="0"/>
          <w:sz w:val="24"/>
          <w:szCs w:val="24"/>
        </w:rPr>
      </w:pPr>
      <w:r>
        <w:rPr>
          <w:rFonts w:hint="eastAsia" w:cs="宋体"/>
          <w:bCs w:val="0"/>
          <w:sz w:val="24"/>
          <w:szCs w:val="24"/>
        </w:rPr>
        <w:t>四、法定代表人授权书</w:t>
      </w:r>
    </w:p>
    <w:p>
      <w:pPr>
        <w:jc w:val="center"/>
        <w:rPr>
          <w:b/>
          <w:bCs/>
          <w:sz w:val="32"/>
          <w:szCs w:val="32"/>
        </w:rPr>
      </w:pPr>
    </w:p>
    <w:p>
      <w:pPr>
        <w:rPr>
          <w:rFonts w:hint="eastAsia" w:eastAsia="宋体"/>
          <w:bCs/>
          <w:sz w:val="24"/>
          <w:lang w:eastAsia="zh-CN"/>
        </w:rPr>
      </w:pPr>
      <w:r>
        <w:rPr>
          <w:bCs/>
          <w:sz w:val="24"/>
        </w:rPr>
        <w:t>致：</w:t>
      </w:r>
      <w:r>
        <w:rPr>
          <w:rFonts w:hint="eastAsia"/>
          <w:bCs/>
          <w:sz w:val="24"/>
          <w:lang w:eastAsia="zh-CN"/>
        </w:rPr>
        <w:t>深圳市福田区第二人民医院</w:t>
      </w:r>
    </w:p>
    <w:p>
      <w:pPr>
        <w:rPr>
          <w:bCs/>
          <w:sz w:val="24"/>
        </w:rPr>
      </w:pPr>
    </w:p>
    <w:p>
      <w:pPr>
        <w:rPr>
          <w:bCs/>
          <w:sz w:val="24"/>
        </w:rPr>
      </w:pPr>
      <w:r>
        <w:rPr>
          <w:bCs/>
          <w:sz w:val="24"/>
        </w:rPr>
        <w:t xml:space="preserve">     </w:t>
      </w:r>
      <w:r>
        <w:rPr>
          <w:bCs/>
          <w:sz w:val="24"/>
          <w:u w:val="single"/>
        </w:rPr>
        <w:t xml:space="preserve">          （投标人全称）     </w:t>
      </w:r>
      <w:r>
        <w:rPr>
          <w:bCs/>
          <w:sz w:val="24"/>
        </w:rPr>
        <w:t xml:space="preserve"> 法定代表人</w:t>
      </w:r>
      <w:r>
        <w:rPr>
          <w:bCs/>
          <w:sz w:val="24"/>
          <w:u w:val="single"/>
        </w:rPr>
        <w:t xml:space="preserve">  （姓名、职务）              </w:t>
      </w:r>
      <w:r>
        <w:rPr>
          <w:bCs/>
          <w:sz w:val="24"/>
        </w:rPr>
        <w:t xml:space="preserve">授权 </w:t>
      </w:r>
      <w:r>
        <w:rPr>
          <w:bCs/>
          <w:sz w:val="24"/>
          <w:u w:val="single"/>
        </w:rPr>
        <w:t xml:space="preserve">  （被授权代表姓名、职务）              </w:t>
      </w:r>
      <w:r>
        <w:rPr>
          <w:bCs/>
          <w:sz w:val="24"/>
        </w:rPr>
        <w:t>为本公司合法代理人，参加贵招标代理公司组织的</w:t>
      </w:r>
      <w:r>
        <w:rPr>
          <w:bCs/>
          <w:sz w:val="24"/>
          <w:u w:val="single"/>
        </w:rPr>
        <w:t xml:space="preserve">   (项目名称)（项目编号）                      </w:t>
      </w:r>
      <w:r>
        <w:rPr>
          <w:bCs/>
          <w:sz w:val="24"/>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pPr>
        <w:rPr>
          <w:bCs/>
          <w:sz w:val="24"/>
        </w:rPr>
      </w:pPr>
      <w:r>
        <w:rPr>
          <w:bCs/>
          <w:sz w:val="24"/>
        </w:rPr>
        <w:t xml:space="preserve">     本授权书于</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日签字生效，特此声明。</w:t>
      </w:r>
    </w:p>
    <w:p>
      <w:pPr>
        <w:rPr>
          <w:bCs/>
          <w:sz w:val="24"/>
        </w:rPr>
      </w:pPr>
    </w:p>
    <w:p>
      <w:pPr>
        <w:ind w:firstLine="120" w:firstLineChars="50"/>
        <w:rPr>
          <w:bCs/>
          <w:sz w:val="24"/>
          <w:u w:val="single"/>
        </w:rPr>
      </w:pPr>
      <w:r>
        <w:rPr>
          <w:bCs/>
          <w:sz w:val="24"/>
        </w:rPr>
        <w:t>被授权人：</w:t>
      </w:r>
      <w:r>
        <w:rPr>
          <w:bCs/>
          <w:sz w:val="24"/>
          <w:u w:val="single"/>
        </w:rPr>
        <w:t xml:space="preserve">                  </w:t>
      </w:r>
      <w:r>
        <w:rPr>
          <w:bCs/>
          <w:sz w:val="24"/>
        </w:rPr>
        <w:t xml:space="preserve">   职务：</w:t>
      </w:r>
      <w:r>
        <w:rPr>
          <w:bCs/>
          <w:sz w:val="24"/>
          <w:u w:val="single"/>
        </w:rPr>
        <w:t xml:space="preserve">                  </w:t>
      </w:r>
    </w:p>
    <w:p>
      <w:pPr>
        <w:ind w:firstLine="120" w:firstLineChars="50"/>
        <w:rPr>
          <w:bCs/>
          <w:sz w:val="24"/>
          <w:u w:val="single"/>
        </w:rPr>
      </w:pPr>
      <w:r>
        <w:rPr>
          <w:bCs/>
          <w:sz w:val="24"/>
        </w:rPr>
        <w:t>联系电话：</w:t>
      </w:r>
      <w:r>
        <w:rPr>
          <w:bCs/>
          <w:sz w:val="24"/>
          <w:u w:val="single"/>
        </w:rPr>
        <w:t xml:space="preserve">                  </w:t>
      </w:r>
      <w:r>
        <w:rPr>
          <w:bCs/>
          <w:sz w:val="24"/>
        </w:rPr>
        <w:t xml:space="preserve">   手机：</w:t>
      </w:r>
      <w:r>
        <w:rPr>
          <w:bCs/>
          <w:sz w:val="24"/>
          <w:u w:val="single"/>
        </w:rPr>
        <w:t xml:space="preserve">                  </w:t>
      </w:r>
    </w:p>
    <w:p>
      <w:pPr>
        <w:ind w:firstLine="120" w:firstLineChars="50"/>
        <w:rPr>
          <w:bCs/>
          <w:sz w:val="24"/>
        </w:rPr>
      </w:pPr>
      <w:r>
        <w:rPr>
          <w:bCs/>
          <w:sz w:val="24"/>
        </w:rPr>
        <w:t>身份证号码：</w:t>
      </w:r>
      <w:r>
        <w:rPr>
          <w:bCs/>
          <w:sz w:val="24"/>
          <w:u w:val="single"/>
        </w:rPr>
        <w:t xml:space="preserve">                                           </w:t>
      </w:r>
    </w:p>
    <w:p>
      <w:pPr>
        <w:ind w:firstLine="120" w:firstLineChars="50"/>
        <w:rPr>
          <w:bCs/>
          <w:sz w:val="24"/>
          <w:u w:val="single"/>
        </w:rPr>
      </w:pPr>
      <w:r>
        <w:rPr>
          <w:bCs/>
          <w:sz w:val="24"/>
        </w:rPr>
        <w:t>投标人（盖章）：</w:t>
      </w:r>
      <w:r>
        <w:rPr>
          <w:bCs/>
          <w:sz w:val="24"/>
          <w:u w:val="single"/>
        </w:rPr>
        <w:t xml:space="preserve">                                        </w:t>
      </w:r>
    </w:p>
    <w:p>
      <w:pPr>
        <w:ind w:firstLine="120" w:firstLineChars="50"/>
        <w:rPr>
          <w:bCs/>
          <w:sz w:val="24"/>
          <w:u w:val="single"/>
        </w:rPr>
      </w:pPr>
      <w:r>
        <w:rPr>
          <w:bCs/>
          <w:sz w:val="24"/>
        </w:rPr>
        <w:t>法定代表人（签名）：</w:t>
      </w:r>
      <w:r>
        <w:rPr>
          <w:bCs/>
          <w:sz w:val="24"/>
          <w:u w:val="single"/>
        </w:rPr>
        <w:t xml:space="preserve">                                    </w:t>
      </w:r>
    </w:p>
    <w:p>
      <w:pPr>
        <w:ind w:firstLine="120" w:firstLineChars="50"/>
        <w:rPr>
          <w:bCs/>
          <w:sz w:val="24"/>
          <w:u w:val="single"/>
        </w:rPr>
      </w:pPr>
      <w:r>
        <w:rPr>
          <w:bCs/>
          <w:sz w:val="24"/>
        </w:rPr>
        <w:t>被授权人（签名）：</w:t>
      </w:r>
      <w:r>
        <w:rPr>
          <w:bCs/>
          <w:sz w:val="24"/>
          <w:u w:val="single"/>
        </w:rPr>
        <w:t xml:space="preserve">                                      </w:t>
      </w:r>
    </w:p>
    <w:p>
      <w:pPr>
        <w:rPr>
          <w:bCs/>
          <w:sz w:val="24"/>
        </w:rPr>
      </w:pPr>
    </w:p>
    <w:p>
      <w:pPr>
        <w:rPr>
          <w:bCs/>
          <w:szCs w:val="21"/>
        </w:rPr>
      </w:pPr>
      <w:r>
        <w:rPr>
          <w:bCs/>
          <w:szCs w:val="21"/>
        </w:rPr>
        <w:t>说明：1.本授权委托书要求投标人提供有</w:t>
      </w:r>
      <w:r>
        <w:rPr>
          <w:b/>
          <w:bCs/>
          <w:szCs w:val="21"/>
        </w:rPr>
        <w:t>代理人签字、法定代表人的签字（或盖私章）和加盖公章</w:t>
      </w:r>
      <w:r>
        <w:rPr>
          <w:bCs/>
          <w:szCs w:val="21"/>
        </w:rPr>
        <w:t>后的原件方为有效；</w:t>
      </w:r>
    </w:p>
    <w:p>
      <w:pPr>
        <w:ind w:firstLine="630" w:firstLineChars="300"/>
        <w:rPr>
          <w:bCs/>
          <w:szCs w:val="21"/>
        </w:rPr>
      </w:pPr>
      <w:r>
        <w:rPr>
          <w:bCs/>
          <w:szCs w:val="21"/>
        </w:rPr>
        <w:t>2.提供代理人的身份证复印件（附后）。</w:t>
      </w:r>
    </w:p>
    <w:p>
      <w:pPr>
        <w:jc w:val="center"/>
        <w:rPr>
          <w:b/>
          <w:bCs/>
          <w:sz w:val="32"/>
          <w:szCs w:val="32"/>
        </w:rPr>
        <w:sectPr>
          <w:pgSz w:w="11907" w:h="16840"/>
          <w:pgMar w:top="1440" w:right="1080" w:bottom="1440" w:left="1080" w:header="851" w:footer="992" w:gutter="0"/>
          <w:cols w:space="720" w:num="1"/>
          <w:titlePg/>
          <w:docGrid w:linePitch="462" w:charSpace="0"/>
        </w:sectPr>
      </w:pPr>
    </w:p>
    <w:p>
      <w:pPr>
        <w:pStyle w:val="4"/>
        <w:jc w:val="center"/>
        <w:rPr>
          <w:sz w:val="32"/>
        </w:rPr>
      </w:pPr>
      <w:r>
        <w:rPr>
          <w:rFonts w:hint="eastAsia" w:cs="宋体"/>
          <w:bCs w:val="0"/>
          <w:sz w:val="24"/>
          <w:szCs w:val="24"/>
        </w:rPr>
        <w:t>五、投标函</w:t>
      </w:r>
    </w:p>
    <w:p>
      <w:pPr>
        <w:pStyle w:val="5"/>
        <w:jc w:val="center"/>
        <w:rPr>
          <w:rFonts w:ascii="宋体" w:hAnsi="宋体" w:eastAsia="宋体" w:cs="宋体"/>
          <w:sz w:val="21"/>
          <w:szCs w:val="21"/>
        </w:rPr>
      </w:pPr>
      <w:r>
        <w:rPr>
          <w:rFonts w:hint="eastAsia" w:ascii="宋体" w:hAnsi="宋体" w:eastAsia="宋体" w:cs="宋体"/>
          <w:sz w:val="21"/>
          <w:szCs w:val="21"/>
        </w:rPr>
        <w:t>投标函</w:t>
      </w:r>
    </w:p>
    <w:p>
      <w:pPr>
        <w:rPr>
          <w:rFonts w:hint="eastAsia" w:eastAsia="宋体"/>
          <w:szCs w:val="21"/>
          <w:lang w:eastAsia="zh-CN"/>
        </w:rPr>
      </w:pPr>
      <w:r>
        <w:rPr>
          <w:szCs w:val="21"/>
        </w:rPr>
        <w:t>致：</w:t>
      </w:r>
      <w:r>
        <w:rPr>
          <w:rFonts w:hint="eastAsia"/>
          <w:szCs w:val="21"/>
          <w:lang w:eastAsia="zh-CN"/>
        </w:rPr>
        <w:t>深圳市福田区第二人民医院</w:t>
      </w:r>
    </w:p>
    <w:p>
      <w:pPr>
        <w:ind w:firstLine="420" w:firstLineChars="200"/>
        <w:rPr>
          <w:szCs w:val="21"/>
        </w:rPr>
      </w:pPr>
      <w:r>
        <w:rPr>
          <w:szCs w:val="21"/>
        </w:rPr>
        <w:t>根据贵方</w:t>
      </w:r>
      <w:r>
        <w:rPr>
          <w:szCs w:val="21"/>
          <w:u w:val="single"/>
        </w:rPr>
        <w:t xml:space="preserve">                     （项目名称）</w:t>
      </w:r>
      <w:r>
        <w:rPr>
          <w:szCs w:val="21"/>
        </w:rPr>
        <w:t>的招标公告</w:t>
      </w:r>
      <w:r>
        <w:rPr>
          <w:szCs w:val="21"/>
          <w:u w:val="single"/>
        </w:rPr>
        <w:t>（项目编号为      ）</w:t>
      </w:r>
      <w:r>
        <w:rPr>
          <w:szCs w:val="21"/>
        </w:rPr>
        <w:t>，本人经我方法定代表人授权正式代表投标人</w:t>
      </w:r>
      <w:r>
        <w:rPr>
          <w:szCs w:val="21"/>
          <w:u w:val="single"/>
        </w:rPr>
        <w:t xml:space="preserve">                    </w:t>
      </w:r>
      <w:r>
        <w:rPr>
          <w:szCs w:val="21"/>
        </w:rPr>
        <w:t>（投标人的名称），提交唱标信封1份及投标文件正本1份，副本4份。</w:t>
      </w:r>
    </w:p>
    <w:p>
      <w:pPr>
        <w:rPr>
          <w:szCs w:val="21"/>
        </w:rPr>
      </w:pPr>
      <w:r>
        <w:rPr>
          <w:szCs w:val="21"/>
        </w:rPr>
        <w:t xml:space="preserve">    据此函，本人代表投标方保证，所提供的全部资料是真实的。本人承诺：</w:t>
      </w:r>
    </w:p>
    <w:p>
      <w:pPr>
        <w:ind w:firstLine="420" w:firstLineChars="200"/>
        <w:rPr>
          <w:szCs w:val="21"/>
        </w:rPr>
      </w:pPr>
      <w:r>
        <w:rPr>
          <w:szCs w:val="21"/>
        </w:rPr>
        <w:t>（1）我方愿以开标一览表中的投标报价并按招标文件要求承包上述项目并修补其任何缺陷；</w:t>
      </w:r>
    </w:p>
    <w:p>
      <w:pPr>
        <w:ind w:firstLine="420" w:firstLineChars="200"/>
        <w:rPr>
          <w:szCs w:val="21"/>
        </w:rPr>
      </w:pPr>
      <w:r>
        <w:rPr>
          <w:szCs w:val="21"/>
        </w:rPr>
        <w:t>（2）我方承担根据招标文件的规定，完成合同的责任和义务。</w:t>
      </w:r>
    </w:p>
    <w:p>
      <w:pPr>
        <w:ind w:firstLine="420" w:firstLineChars="200"/>
        <w:rPr>
          <w:szCs w:val="21"/>
        </w:rPr>
      </w:pPr>
      <w:r>
        <w:rPr>
          <w:szCs w:val="21"/>
        </w:rPr>
        <w:t>（3）我方已详细阅读了全部招标文件，包括招标文件修改书（如果有的话），参考资料及有关附件，我们完全理解并同意放弃对这方面有不清楚或误解的问题和质疑投诉的权利。</w:t>
      </w:r>
    </w:p>
    <w:p>
      <w:pPr>
        <w:ind w:firstLine="420" w:firstLineChars="200"/>
        <w:rPr>
          <w:szCs w:val="21"/>
        </w:rPr>
      </w:pPr>
      <w:r>
        <w:rPr>
          <w:szCs w:val="21"/>
        </w:rPr>
        <w:t>（4）我方同意所递交的投标文件在“关键信息-项目信息”规定的投标有效期内有效，在此期间内我方的投标有可能中标，我方将受此约束。</w:t>
      </w:r>
    </w:p>
    <w:p>
      <w:pPr>
        <w:spacing w:afterLines="50"/>
        <w:ind w:firstLine="420" w:firstLineChars="200"/>
        <w:rPr>
          <w:szCs w:val="21"/>
        </w:rPr>
      </w:pPr>
      <w:r>
        <w:rPr>
          <w:szCs w:val="21"/>
        </w:rPr>
        <w:t>（5）除非另外达成协议并生效，贵方的中标通知书和本投标文件将构成约束我们双方的合同。</w:t>
      </w:r>
    </w:p>
    <w:p>
      <w:pPr>
        <w:spacing w:afterLines="50"/>
        <w:ind w:firstLine="420" w:firstLineChars="200"/>
        <w:rPr>
          <w:szCs w:val="21"/>
        </w:rPr>
      </w:pPr>
      <w:r>
        <w:rPr>
          <w:szCs w:val="21"/>
        </w:rPr>
        <w:t>（6）同意向贵方提供贵方可能要求的与本投标有关的任何证据或资料。</w:t>
      </w:r>
    </w:p>
    <w:p>
      <w:pPr>
        <w:ind w:firstLine="420" w:firstLineChars="200"/>
        <w:rPr>
          <w:szCs w:val="21"/>
        </w:rPr>
      </w:pPr>
      <w:r>
        <w:rPr>
          <w:szCs w:val="21"/>
        </w:rPr>
        <w:t>（7）我方完全理解贵方不一定要接受最低报价的投标或收到的任何投标。</w:t>
      </w:r>
    </w:p>
    <w:p>
      <w:pPr>
        <w:ind w:firstLine="420" w:firstLineChars="200"/>
        <w:rPr>
          <w:szCs w:val="21"/>
        </w:rPr>
      </w:pPr>
    </w:p>
    <w:p>
      <w:pPr>
        <w:ind w:firstLine="420" w:firstLineChars="200"/>
        <w:rPr>
          <w:szCs w:val="21"/>
        </w:rPr>
      </w:pPr>
    </w:p>
    <w:p>
      <w:pPr>
        <w:ind w:firstLine="420" w:firstLineChars="200"/>
        <w:rPr>
          <w:szCs w:val="21"/>
        </w:rPr>
      </w:pPr>
      <w:r>
        <w:rPr>
          <w:szCs w:val="21"/>
        </w:rPr>
        <w:t>与本投标有关的正式通信方式：</w:t>
      </w:r>
    </w:p>
    <w:p>
      <w:pPr>
        <w:ind w:firstLine="420" w:firstLineChars="200"/>
        <w:rPr>
          <w:szCs w:val="21"/>
          <w:u w:val="single"/>
        </w:rPr>
      </w:pPr>
      <w:r>
        <w:rPr>
          <w:szCs w:val="21"/>
        </w:rPr>
        <w:t>地址：</w:t>
      </w:r>
      <w:r>
        <w:rPr>
          <w:szCs w:val="21"/>
          <w:u w:val="single"/>
        </w:rPr>
        <w:t xml:space="preserve">                                          </w:t>
      </w:r>
      <w:r>
        <w:rPr>
          <w:szCs w:val="21"/>
        </w:rPr>
        <w:t xml:space="preserve"> 邮政编码：</w:t>
      </w:r>
      <w:r>
        <w:rPr>
          <w:szCs w:val="21"/>
          <w:u w:val="single"/>
        </w:rPr>
        <w:t xml:space="preserve">         </w:t>
      </w:r>
    </w:p>
    <w:p>
      <w:pPr>
        <w:ind w:firstLine="420" w:firstLineChars="200"/>
        <w:rPr>
          <w:szCs w:val="21"/>
          <w:u w:val="single"/>
        </w:rPr>
      </w:pPr>
      <w:r>
        <w:rPr>
          <w:szCs w:val="21"/>
        </w:rPr>
        <w:t>电话、手机、传真或电传：</w:t>
      </w:r>
      <w:r>
        <w:rPr>
          <w:szCs w:val="21"/>
          <w:u w:val="single"/>
        </w:rPr>
        <w:t xml:space="preserve">                                            </w:t>
      </w:r>
    </w:p>
    <w:p>
      <w:pPr>
        <w:ind w:firstLine="420" w:firstLineChars="200"/>
        <w:rPr>
          <w:szCs w:val="21"/>
          <w:u w:val="single"/>
        </w:rPr>
      </w:pPr>
      <w:r>
        <w:rPr>
          <w:szCs w:val="21"/>
        </w:rPr>
        <w:t>开户银行名称：</w:t>
      </w:r>
      <w:r>
        <w:rPr>
          <w:szCs w:val="21"/>
          <w:u w:val="single"/>
        </w:rPr>
        <w:t xml:space="preserve">               </w:t>
      </w:r>
      <w:r>
        <w:rPr>
          <w:szCs w:val="21"/>
        </w:rPr>
        <w:t xml:space="preserve"> 开户银行帐号：</w:t>
      </w:r>
      <w:r>
        <w:rPr>
          <w:szCs w:val="21"/>
          <w:u w:val="single"/>
        </w:rPr>
        <w:t xml:space="preserve">               </w:t>
      </w:r>
    </w:p>
    <w:p>
      <w:pPr>
        <w:ind w:firstLine="420" w:firstLineChars="200"/>
        <w:rPr>
          <w:szCs w:val="21"/>
          <w:u w:val="single"/>
        </w:rPr>
      </w:pPr>
      <w:r>
        <w:rPr>
          <w:szCs w:val="21"/>
        </w:rPr>
        <w:t>开户银行地址：</w:t>
      </w:r>
      <w:r>
        <w:rPr>
          <w:szCs w:val="21"/>
          <w:u w:val="single"/>
        </w:rPr>
        <w:t xml:space="preserve">               </w:t>
      </w:r>
      <w:r>
        <w:rPr>
          <w:szCs w:val="21"/>
        </w:rPr>
        <w:t xml:space="preserve"> 开户银行电话：</w:t>
      </w:r>
      <w:r>
        <w:rPr>
          <w:szCs w:val="21"/>
          <w:u w:val="single"/>
        </w:rPr>
        <w:t xml:space="preserve">               </w:t>
      </w:r>
    </w:p>
    <w:p>
      <w:pPr>
        <w:ind w:firstLine="420" w:firstLineChars="200"/>
        <w:rPr>
          <w:szCs w:val="21"/>
          <w:u w:val="single"/>
        </w:rPr>
      </w:pPr>
      <w:r>
        <w:rPr>
          <w:szCs w:val="21"/>
        </w:rPr>
        <w:t>投标人代表姓名（签字）：</w:t>
      </w:r>
      <w:r>
        <w:rPr>
          <w:szCs w:val="21"/>
          <w:u w:val="single"/>
        </w:rPr>
        <w:t xml:space="preserve">                                              </w:t>
      </w:r>
    </w:p>
    <w:p>
      <w:pPr>
        <w:ind w:firstLine="5075" w:firstLineChars="2417"/>
        <w:rPr>
          <w:szCs w:val="21"/>
        </w:rPr>
      </w:pPr>
    </w:p>
    <w:p>
      <w:pPr>
        <w:ind w:firstLine="6125" w:firstLineChars="2917"/>
        <w:rPr>
          <w:szCs w:val="21"/>
        </w:rPr>
      </w:pPr>
      <w:r>
        <w:rPr>
          <w:szCs w:val="21"/>
        </w:rPr>
        <w:t>公章：</w:t>
      </w:r>
    </w:p>
    <w:p>
      <w:pPr>
        <w:ind w:firstLine="6020" w:firstLineChars="2867"/>
        <w:rPr>
          <w:szCs w:val="21"/>
        </w:rPr>
      </w:pPr>
    </w:p>
    <w:p>
      <w:pPr>
        <w:ind w:firstLine="6230" w:firstLineChars="2967"/>
        <w:rPr>
          <w:szCs w:val="21"/>
        </w:rPr>
      </w:pPr>
      <w:r>
        <w:rPr>
          <w:szCs w:val="21"/>
        </w:rPr>
        <w:t>日期：       年   月   日</w:t>
      </w:r>
    </w:p>
    <w:p>
      <w:pPr>
        <w:jc w:val="center"/>
        <w:rPr>
          <w:b/>
          <w:bCs/>
          <w:sz w:val="32"/>
          <w:szCs w:val="32"/>
        </w:rPr>
        <w:sectPr>
          <w:pgSz w:w="11907" w:h="16840"/>
          <w:pgMar w:top="1440" w:right="1080" w:bottom="1440" w:left="1080" w:header="851" w:footer="992" w:gutter="0"/>
          <w:cols w:space="720" w:num="1"/>
          <w:titlePg/>
          <w:docGrid w:linePitch="462" w:charSpace="0"/>
        </w:sectPr>
      </w:pPr>
    </w:p>
    <w:p>
      <w:pPr>
        <w:pStyle w:val="4"/>
        <w:jc w:val="center"/>
        <w:rPr>
          <w:rFonts w:cs="宋体"/>
          <w:bCs w:val="0"/>
          <w:sz w:val="24"/>
          <w:szCs w:val="24"/>
        </w:rPr>
      </w:pPr>
      <w:r>
        <w:rPr>
          <w:rFonts w:hint="eastAsia" w:cs="宋体"/>
          <w:bCs w:val="0"/>
          <w:sz w:val="24"/>
          <w:szCs w:val="24"/>
        </w:rPr>
        <w:t>六、投标分项报价表</w:t>
      </w:r>
    </w:p>
    <w:p>
      <w:pPr>
        <w:pStyle w:val="5"/>
        <w:jc w:val="center"/>
        <w:rPr>
          <w:rFonts w:ascii="宋体" w:hAnsi="宋体" w:eastAsia="宋体" w:cs="宋体"/>
          <w:sz w:val="21"/>
          <w:szCs w:val="21"/>
        </w:rPr>
      </w:pPr>
      <w:bookmarkStart w:id="40" w:name="_Toc275865611"/>
      <w:bookmarkStart w:id="41" w:name="_Toc480756076"/>
      <w:bookmarkStart w:id="42" w:name="_Toc480789480"/>
      <w:bookmarkStart w:id="43" w:name="_Toc480754209"/>
      <w:bookmarkStart w:id="44" w:name="_Toc192662843"/>
      <w:bookmarkStart w:id="45" w:name="_Toc480755930"/>
      <w:r>
        <w:rPr>
          <w:rFonts w:hint="eastAsia" w:ascii="宋体" w:hAnsi="宋体" w:eastAsia="宋体" w:cs="宋体"/>
          <w:sz w:val="21"/>
          <w:szCs w:val="21"/>
        </w:rPr>
        <w:t>投标分项报价表</w:t>
      </w:r>
      <w:bookmarkEnd w:id="40"/>
      <w:bookmarkEnd w:id="41"/>
      <w:bookmarkEnd w:id="42"/>
      <w:bookmarkEnd w:id="43"/>
      <w:bookmarkEnd w:id="44"/>
      <w:bookmarkEnd w:id="45"/>
    </w:p>
    <w:p>
      <w:pPr>
        <w:wordWrap w:val="0"/>
      </w:pPr>
    </w:p>
    <w:p>
      <w:pPr>
        <w:wordWrap w:val="0"/>
      </w:pPr>
      <w:r>
        <w:rPr>
          <w:rFonts w:hint="eastAsia"/>
        </w:rPr>
        <w:t>项目名称：</w:t>
      </w:r>
      <w:r>
        <w:rPr>
          <w:rFonts w:hint="eastAsia"/>
          <w:u w:val="single"/>
        </w:rPr>
        <w:t>______________________________________________</w:t>
      </w:r>
      <w:r>
        <w:rPr>
          <w:rFonts w:hint="eastAsia"/>
        </w:rPr>
        <w:t>招标项目编号：</w:t>
      </w:r>
      <w:r>
        <w:rPr>
          <w:rFonts w:hint="eastAsia" w:ascii="ˎ̥" w:hAnsi="ˎ̥"/>
          <w:sz w:val="18"/>
          <w:szCs w:val="18"/>
          <w:u w:val="single"/>
        </w:rPr>
        <w:t>______________________</w:t>
      </w:r>
    </w:p>
    <w:p>
      <w:pPr>
        <w:jc w:val="center"/>
        <w:rPr>
          <w:b/>
          <w:spacing w:val="4"/>
          <w:sz w:val="24"/>
        </w:rPr>
      </w:pPr>
      <w:r>
        <w:rPr>
          <w:rFonts w:hint="eastAsia"/>
          <w:b/>
          <w:spacing w:val="4"/>
          <w:sz w:val="24"/>
        </w:rPr>
        <w:t>（格式自定）</w:t>
      </w:r>
    </w:p>
    <w:p>
      <w:pPr>
        <w:spacing w:line="500" w:lineRule="exact"/>
        <w:rPr>
          <w:spacing w:val="4"/>
        </w:rPr>
      </w:pPr>
    </w:p>
    <w:p>
      <w:pPr>
        <w:spacing w:line="500" w:lineRule="exact"/>
        <w:rPr>
          <w:spacing w:val="4"/>
        </w:rPr>
      </w:pPr>
    </w:p>
    <w:p>
      <w:pPr>
        <w:spacing w:line="500" w:lineRule="exact"/>
        <w:rPr>
          <w:spacing w:val="4"/>
        </w:rPr>
      </w:pPr>
    </w:p>
    <w:p>
      <w:pPr>
        <w:spacing w:line="500" w:lineRule="exact"/>
        <w:rPr>
          <w:spacing w:val="4"/>
        </w:rPr>
      </w:pPr>
    </w:p>
    <w:p>
      <w:pPr>
        <w:spacing w:line="500" w:lineRule="exact"/>
        <w:rPr>
          <w:spacing w:val="4"/>
        </w:rPr>
      </w:pPr>
    </w:p>
    <w:p>
      <w:pPr>
        <w:spacing w:line="500" w:lineRule="exact"/>
        <w:rPr>
          <w:spacing w:val="4"/>
        </w:rPr>
      </w:pPr>
    </w:p>
    <w:p>
      <w:pPr>
        <w:spacing w:line="500" w:lineRule="exact"/>
        <w:rPr>
          <w:spacing w:val="4"/>
        </w:rPr>
      </w:pPr>
    </w:p>
    <w:p>
      <w:pPr>
        <w:spacing w:line="500" w:lineRule="exact"/>
        <w:rPr>
          <w:spacing w:val="4"/>
        </w:rPr>
      </w:pPr>
    </w:p>
    <w:p>
      <w:pPr>
        <w:spacing w:line="500" w:lineRule="exact"/>
        <w:rPr>
          <w:spacing w:val="4"/>
        </w:rPr>
      </w:pPr>
    </w:p>
    <w:p>
      <w:pPr>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pPr>
        <w:spacing w:line="520" w:lineRule="exact"/>
      </w:pPr>
    </w:p>
    <w:p>
      <w:pPr>
        <w:spacing w:line="520" w:lineRule="exact"/>
        <w:rPr>
          <w:spacing w:val="4"/>
        </w:rPr>
      </w:pPr>
      <w:r>
        <w:rPr>
          <w:rFonts w:hint="eastAsia"/>
        </w:rPr>
        <w:t>法定代表人或投标人授权代表（签名或盖章）：</w:t>
      </w:r>
      <w:r>
        <w:rPr>
          <w:spacing w:val="4"/>
          <w:u w:val="single"/>
        </w:rPr>
        <w:t>__________</w:t>
      </w:r>
      <w:r>
        <w:rPr>
          <w:rFonts w:hint="eastAsia"/>
          <w:spacing w:val="4"/>
          <w:u w:val="single"/>
        </w:rPr>
        <w:t>_</w:t>
      </w:r>
      <w:r>
        <w:rPr>
          <w:spacing w:val="4"/>
          <w:u w:val="single"/>
        </w:rPr>
        <w:t>___</w:t>
      </w:r>
      <w:r>
        <w:rPr>
          <w:spacing w:val="4"/>
        </w:rPr>
        <w:t xml:space="preserve"> </w:t>
      </w:r>
      <w:r>
        <w:rPr>
          <w:rFonts w:hint="eastAsia"/>
          <w:spacing w:val="4"/>
        </w:rPr>
        <w:t>职务：</w:t>
      </w:r>
      <w:r>
        <w:rPr>
          <w:spacing w:val="4"/>
          <w:u w:val="single"/>
        </w:rPr>
        <w:t>________</w:t>
      </w:r>
      <w:r>
        <w:rPr>
          <w:spacing w:val="4"/>
        </w:rPr>
        <w:t xml:space="preserve"> </w:t>
      </w:r>
      <w:r>
        <w:rPr>
          <w:rFonts w:hint="eastAsia"/>
          <w:spacing w:val="4"/>
        </w:rPr>
        <w:t>日期</w:t>
      </w:r>
      <w:r>
        <w:rPr>
          <w:spacing w:val="4"/>
          <w:u w:val="single"/>
        </w:rPr>
        <w:t>_________</w:t>
      </w:r>
    </w:p>
    <w:p>
      <w:pPr>
        <w:spacing w:line="400" w:lineRule="exact"/>
        <w:ind w:left="750" w:hanging="749" w:hangingChars="357"/>
      </w:pPr>
      <w:r>
        <w:rPr>
          <w:rFonts w:hint="eastAsia"/>
        </w:rPr>
        <w:t>备注：</w:t>
      </w:r>
    </w:p>
    <w:p>
      <w:pPr>
        <w:spacing w:line="400" w:lineRule="exact"/>
        <w:ind w:left="749" w:leftChars="200" w:hanging="329" w:hangingChars="157"/>
      </w:pPr>
      <w:r>
        <w:t>1.</w:t>
      </w:r>
      <w:r>
        <w:rPr>
          <w:rFonts w:hint="eastAsia"/>
        </w:rPr>
        <w:t xml:space="preserve"> 此表为《开标一览表(报价表)》的报价明细表。</w:t>
      </w:r>
    </w:p>
    <w:p>
      <w:pPr>
        <w:spacing w:line="400" w:lineRule="exact"/>
        <w:ind w:left="749" w:leftChars="200" w:hanging="329" w:hangingChars="157"/>
      </w:pPr>
      <w:r>
        <w:rPr>
          <w:rFonts w:hint="eastAsia"/>
        </w:rPr>
        <w:t>2. 所有价格均以人民币作为货币单位填写及计算。</w:t>
      </w:r>
    </w:p>
    <w:p>
      <w:pPr>
        <w:spacing w:line="400" w:lineRule="exact"/>
        <w:ind w:left="539" w:leftChars="200" w:hanging="119" w:hangingChars="57"/>
        <w:rPr>
          <w:rFonts w:hint="eastAsia" w:eastAsia="宋体"/>
          <w:lang w:eastAsia="zh-CN"/>
        </w:rPr>
      </w:pPr>
      <w:r>
        <w:rPr>
          <w:rFonts w:hint="eastAsia"/>
        </w:rPr>
        <w:t>3. 该格式仅作参考，投标人的详细报价表格式可自定</w:t>
      </w:r>
      <w:r>
        <w:rPr>
          <w:rFonts w:hint="eastAsia"/>
          <w:lang w:eastAsia="zh-CN"/>
        </w:rPr>
        <w:t>。</w:t>
      </w:r>
    </w:p>
    <w:p>
      <w:pPr>
        <w:spacing w:line="300" w:lineRule="auto"/>
        <w:jc w:val="left"/>
        <w:rPr>
          <w:b/>
          <w:bCs/>
          <w:sz w:val="24"/>
        </w:rPr>
      </w:pPr>
    </w:p>
    <w:p>
      <w:pPr>
        <w:spacing w:line="300" w:lineRule="auto"/>
        <w:jc w:val="left"/>
        <w:rPr>
          <w:b/>
          <w:bCs/>
          <w:sz w:val="24"/>
        </w:rPr>
      </w:pPr>
    </w:p>
    <w:p>
      <w:pPr>
        <w:spacing w:line="300" w:lineRule="auto"/>
        <w:jc w:val="left"/>
        <w:rPr>
          <w:b/>
          <w:bCs/>
          <w:sz w:val="24"/>
        </w:rPr>
      </w:pPr>
    </w:p>
    <w:p>
      <w:pPr>
        <w:spacing w:line="300" w:lineRule="auto"/>
        <w:jc w:val="left"/>
        <w:rPr>
          <w:b/>
          <w:bCs/>
          <w:sz w:val="24"/>
        </w:rPr>
      </w:pPr>
    </w:p>
    <w:p>
      <w:pPr>
        <w:spacing w:line="300" w:lineRule="auto"/>
        <w:jc w:val="left"/>
        <w:rPr>
          <w:b/>
          <w:bCs/>
          <w:sz w:val="24"/>
        </w:rPr>
      </w:pPr>
    </w:p>
    <w:p>
      <w:pPr>
        <w:spacing w:line="300" w:lineRule="auto"/>
        <w:jc w:val="left"/>
        <w:rPr>
          <w:b/>
          <w:bCs/>
          <w:sz w:val="24"/>
        </w:rPr>
      </w:pPr>
    </w:p>
    <w:p>
      <w:pPr>
        <w:spacing w:line="300" w:lineRule="auto"/>
        <w:jc w:val="left"/>
        <w:rPr>
          <w:b/>
          <w:bCs/>
          <w:sz w:val="24"/>
        </w:rPr>
      </w:pPr>
    </w:p>
    <w:p>
      <w:pPr>
        <w:spacing w:line="300" w:lineRule="auto"/>
        <w:jc w:val="left"/>
        <w:rPr>
          <w:b/>
          <w:bCs/>
          <w:sz w:val="24"/>
        </w:rPr>
      </w:pPr>
    </w:p>
    <w:p>
      <w:pPr>
        <w:spacing w:line="300" w:lineRule="auto"/>
        <w:jc w:val="left"/>
        <w:rPr>
          <w:b/>
          <w:bCs/>
          <w:sz w:val="24"/>
        </w:rPr>
      </w:pPr>
    </w:p>
    <w:p>
      <w:pPr>
        <w:pStyle w:val="4"/>
        <w:jc w:val="center"/>
        <w:rPr>
          <w:rFonts w:cs="宋体"/>
          <w:bCs w:val="0"/>
          <w:sz w:val="24"/>
          <w:szCs w:val="24"/>
        </w:rPr>
      </w:pPr>
      <w:r>
        <w:rPr>
          <w:rFonts w:hint="eastAsia" w:cs="宋体"/>
          <w:bCs w:val="0"/>
          <w:sz w:val="24"/>
          <w:szCs w:val="24"/>
        </w:rPr>
        <w:t>七、供应商情况介绍</w:t>
      </w:r>
    </w:p>
    <w:p>
      <w:pPr>
        <w:adjustRightInd w:val="0"/>
        <w:snapToGrid w:val="0"/>
        <w:spacing w:line="360" w:lineRule="auto"/>
        <w:rPr>
          <w:rFonts w:ascii="宋体" w:hAnsi="宋体" w:cs="宋体"/>
          <w:bCs/>
          <w:szCs w:val="21"/>
        </w:rPr>
      </w:pPr>
      <w:r>
        <w:rPr>
          <w:rFonts w:hint="eastAsia" w:ascii="宋体" w:hAnsi="宋体" w:cs="宋体"/>
          <w:bCs/>
          <w:szCs w:val="21"/>
        </w:rPr>
        <w:t>（一）供应商一览表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240"/>
        <w:gridCol w:w="3322"/>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adjustRightInd w:val="0"/>
              <w:snapToGrid w:val="0"/>
              <w:spacing w:line="360" w:lineRule="auto"/>
              <w:rPr>
                <w:rFonts w:ascii="宋体" w:hAnsi="宋体" w:cs="宋体"/>
                <w:bCs/>
                <w:szCs w:val="21"/>
              </w:rPr>
            </w:pPr>
            <w:r>
              <w:rPr>
                <w:rFonts w:hint="eastAsia" w:ascii="宋体" w:hAnsi="宋体" w:cs="宋体"/>
                <w:bCs/>
                <w:szCs w:val="21"/>
              </w:rPr>
              <w:t>序号</w:t>
            </w:r>
          </w:p>
        </w:tc>
        <w:tc>
          <w:tcPr>
            <w:tcW w:w="3240" w:type="dxa"/>
          </w:tcPr>
          <w:p>
            <w:pPr>
              <w:adjustRightInd w:val="0"/>
              <w:snapToGrid w:val="0"/>
              <w:spacing w:line="360" w:lineRule="auto"/>
              <w:rPr>
                <w:rFonts w:ascii="宋体" w:hAnsi="宋体" w:cs="宋体"/>
                <w:bCs/>
                <w:szCs w:val="21"/>
              </w:rPr>
            </w:pPr>
            <w:r>
              <w:rPr>
                <w:rFonts w:hint="eastAsia" w:ascii="宋体" w:hAnsi="宋体" w:cs="宋体"/>
                <w:bCs/>
                <w:szCs w:val="21"/>
              </w:rPr>
              <w:t>项  目</w:t>
            </w:r>
          </w:p>
        </w:tc>
        <w:tc>
          <w:tcPr>
            <w:tcW w:w="3322" w:type="dxa"/>
          </w:tcPr>
          <w:p>
            <w:pPr>
              <w:adjustRightInd w:val="0"/>
              <w:snapToGrid w:val="0"/>
              <w:spacing w:line="360" w:lineRule="auto"/>
              <w:rPr>
                <w:rFonts w:ascii="宋体" w:hAnsi="宋体" w:cs="宋体"/>
                <w:bCs/>
                <w:szCs w:val="21"/>
              </w:rPr>
            </w:pPr>
            <w:r>
              <w:rPr>
                <w:rFonts w:hint="eastAsia" w:ascii="宋体" w:hAnsi="宋体" w:cs="宋体"/>
                <w:bCs/>
                <w:szCs w:val="21"/>
              </w:rPr>
              <w:t>内容及说明</w:t>
            </w:r>
          </w:p>
        </w:tc>
        <w:tc>
          <w:tcPr>
            <w:tcW w:w="2464" w:type="dxa"/>
          </w:tcPr>
          <w:p>
            <w:pPr>
              <w:adjustRightInd w:val="0"/>
              <w:snapToGrid w:val="0"/>
              <w:spacing w:line="360" w:lineRule="auto"/>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28" w:type="dxa"/>
            <w:vMerge w:val="restart"/>
          </w:tcPr>
          <w:p>
            <w:pPr>
              <w:adjustRightInd w:val="0"/>
              <w:snapToGrid w:val="0"/>
              <w:spacing w:line="360" w:lineRule="auto"/>
              <w:rPr>
                <w:rFonts w:ascii="宋体" w:hAnsi="宋体" w:cs="宋体"/>
                <w:bCs/>
                <w:szCs w:val="21"/>
              </w:rPr>
            </w:pPr>
            <w:r>
              <w:rPr>
                <w:rFonts w:hint="eastAsia" w:ascii="宋体" w:hAnsi="宋体" w:cs="宋体"/>
                <w:bCs/>
                <w:szCs w:val="21"/>
              </w:rPr>
              <w:t>一</w:t>
            </w:r>
          </w:p>
        </w:tc>
        <w:tc>
          <w:tcPr>
            <w:tcW w:w="3240" w:type="dxa"/>
          </w:tcPr>
          <w:p>
            <w:pPr>
              <w:adjustRightInd w:val="0"/>
              <w:snapToGrid w:val="0"/>
              <w:spacing w:line="360" w:lineRule="auto"/>
              <w:rPr>
                <w:rFonts w:ascii="宋体" w:hAnsi="宋体" w:cs="宋体"/>
                <w:bCs/>
                <w:szCs w:val="21"/>
              </w:rPr>
            </w:pPr>
            <w:r>
              <w:rPr>
                <w:rFonts w:hint="eastAsia" w:ascii="宋体" w:hAnsi="宋体" w:cs="宋体"/>
                <w:bCs/>
                <w:szCs w:val="21"/>
              </w:rPr>
              <w:t>营业执照</w:t>
            </w:r>
          </w:p>
        </w:tc>
        <w:tc>
          <w:tcPr>
            <w:tcW w:w="3322" w:type="dxa"/>
          </w:tcPr>
          <w:p>
            <w:pPr>
              <w:adjustRightInd w:val="0"/>
              <w:snapToGrid w:val="0"/>
              <w:spacing w:line="360" w:lineRule="auto"/>
              <w:rPr>
                <w:rFonts w:ascii="宋体" w:hAnsi="宋体" w:cs="宋体"/>
                <w:bCs/>
                <w:szCs w:val="21"/>
              </w:rPr>
            </w:pPr>
          </w:p>
        </w:tc>
        <w:tc>
          <w:tcPr>
            <w:tcW w:w="2464" w:type="dxa"/>
            <w:vMerge w:val="restart"/>
          </w:tcPr>
          <w:p>
            <w:pPr>
              <w:adjustRightInd w:val="0"/>
              <w:snapToGrid w:val="0"/>
              <w:spacing w:line="360" w:lineRule="auto"/>
              <w:rPr>
                <w:rFonts w:ascii="宋体" w:hAnsi="宋体" w:cs="宋体"/>
                <w:bCs/>
                <w:szCs w:val="21"/>
              </w:rPr>
            </w:pPr>
            <w:r>
              <w:rPr>
                <w:rFonts w:hint="eastAsia" w:ascii="宋体" w:hAnsi="宋体" w:cs="宋体"/>
                <w:bCs/>
                <w:szCs w:val="21"/>
              </w:rPr>
              <w:t>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8" w:type="dxa"/>
            <w:vMerge w:val="continue"/>
          </w:tcPr>
          <w:p>
            <w:pPr>
              <w:adjustRightInd w:val="0"/>
              <w:snapToGrid w:val="0"/>
              <w:spacing w:line="360" w:lineRule="auto"/>
              <w:rPr>
                <w:rFonts w:ascii="宋体" w:hAnsi="宋体" w:cs="宋体"/>
                <w:bCs/>
                <w:szCs w:val="21"/>
              </w:rPr>
            </w:pPr>
          </w:p>
        </w:tc>
        <w:tc>
          <w:tcPr>
            <w:tcW w:w="3240" w:type="dxa"/>
          </w:tcPr>
          <w:p>
            <w:pPr>
              <w:adjustRightInd w:val="0"/>
              <w:snapToGrid w:val="0"/>
              <w:spacing w:line="360" w:lineRule="auto"/>
              <w:rPr>
                <w:rFonts w:ascii="宋体" w:hAnsi="宋体" w:cs="宋体"/>
                <w:bCs/>
                <w:szCs w:val="21"/>
              </w:rPr>
            </w:pPr>
            <w:r>
              <w:rPr>
                <w:rFonts w:hint="eastAsia" w:ascii="宋体" w:hAnsi="宋体" w:cs="宋体"/>
                <w:bCs/>
                <w:szCs w:val="21"/>
              </w:rPr>
              <w:t>1.注册年度及注册编号</w:t>
            </w:r>
          </w:p>
        </w:tc>
        <w:tc>
          <w:tcPr>
            <w:tcW w:w="3322" w:type="dxa"/>
          </w:tcPr>
          <w:p>
            <w:pPr>
              <w:adjustRightInd w:val="0"/>
              <w:snapToGrid w:val="0"/>
              <w:spacing w:line="360" w:lineRule="auto"/>
              <w:rPr>
                <w:rFonts w:ascii="宋体" w:hAnsi="宋体" w:cs="宋体"/>
                <w:bCs/>
                <w:szCs w:val="21"/>
              </w:rPr>
            </w:pPr>
          </w:p>
        </w:tc>
        <w:tc>
          <w:tcPr>
            <w:tcW w:w="2464" w:type="dxa"/>
            <w:vMerge w:val="continue"/>
          </w:tcPr>
          <w:p>
            <w:pPr>
              <w:adjustRightInd w:val="0"/>
              <w:snapToGrid w:val="0"/>
              <w:spacing w:line="360" w:lineRule="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28" w:type="dxa"/>
            <w:vMerge w:val="continue"/>
          </w:tcPr>
          <w:p>
            <w:pPr>
              <w:adjustRightInd w:val="0"/>
              <w:snapToGrid w:val="0"/>
              <w:spacing w:line="360" w:lineRule="auto"/>
              <w:rPr>
                <w:rFonts w:ascii="宋体" w:hAnsi="宋体" w:cs="宋体"/>
                <w:bCs/>
                <w:szCs w:val="21"/>
              </w:rPr>
            </w:pPr>
          </w:p>
        </w:tc>
        <w:tc>
          <w:tcPr>
            <w:tcW w:w="3240" w:type="dxa"/>
          </w:tcPr>
          <w:p>
            <w:pPr>
              <w:adjustRightInd w:val="0"/>
              <w:snapToGrid w:val="0"/>
              <w:spacing w:line="360" w:lineRule="auto"/>
              <w:rPr>
                <w:rFonts w:ascii="宋体" w:hAnsi="宋体" w:cs="宋体"/>
                <w:bCs/>
                <w:szCs w:val="21"/>
              </w:rPr>
            </w:pPr>
            <w:r>
              <w:rPr>
                <w:rFonts w:hint="eastAsia" w:ascii="宋体" w:hAnsi="宋体" w:cs="宋体"/>
                <w:bCs/>
                <w:szCs w:val="21"/>
              </w:rPr>
              <w:t>2.注册资金（万元）：</w:t>
            </w:r>
          </w:p>
        </w:tc>
        <w:tc>
          <w:tcPr>
            <w:tcW w:w="3322" w:type="dxa"/>
          </w:tcPr>
          <w:p>
            <w:pPr>
              <w:adjustRightInd w:val="0"/>
              <w:snapToGrid w:val="0"/>
              <w:spacing w:line="360" w:lineRule="auto"/>
              <w:rPr>
                <w:rFonts w:ascii="宋体" w:hAnsi="宋体" w:cs="宋体"/>
                <w:bCs/>
                <w:szCs w:val="21"/>
              </w:rPr>
            </w:pPr>
          </w:p>
        </w:tc>
        <w:tc>
          <w:tcPr>
            <w:tcW w:w="2464" w:type="dxa"/>
            <w:vMerge w:val="continue"/>
          </w:tcPr>
          <w:p>
            <w:pPr>
              <w:adjustRightInd w:val="0"/>
              <w:snapToGrid w:val="0"/>
              <w:spacing w:line="360" w:lineRule="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trPr>
        <w:tc>
          <w:tcPr>
            <w:tcW w:w="828" w:type="dxa"/>
            <w:vMerge w:val="continue"/>
          </w:tcPr>
          <w:p>
            <w:pPr>
              <w:adjustRightInd w:val="0"/>
              <w:snapToGrid w:val="0"/>
              <w:spacing w:line="360" w:lineRule="auto"/>
              <w:rPr>
                <w:rFonts w:ascii="宋体" w:hAnsi="宋体" w:cs="宋体"/>
                <w:bCs/>
                <w:szCs w:val="21"/>
              </w:rPr>
            </w:pPr>
          </w:p>
        </w:tc>
        <w:tc>
          <w:tcPr>
            <w:tcW w:w="3240" w:type="dxa"/>
          </w:tcPr>
          <w:p>
            <w:pPr>
              <w:adjustRightInd w:val="0"/>
              <w:snapToGrid w:val="0"/>
              <w:spacing w:line="360" w:lineRule="auto"/>
              <w:rPr>
                <w:rFonts w:ascii="宋体" w:hAnsi="宋体" w:cs="宋体"/>
                <w:bCs/>
                <w:szCs w:val="21"/>
              </w:rPr>
            </w:pPr>
            <w:r>
              <w:rPr>
                <w:rFonts w:hint="eastAsia" w:ascii="宋体" w:hAnsi="宋体" w:cs="宋体"/>
                <w:bCs/>
                <w:szCs w:val="21"/>
              </w:rPr>
              <w:t>3.经营场所：</w:t>
            </w:r>
          </w:p>
        </w:tc>
        <w:tc>
          <w:tcPr>
            <w:tcW w:w="3322" w:type="dxa"/>
          </w:tcPr>
          <w:p>
            <w:pPr>
              <w:adjustRightInd w:val="0"/>
              <w:snapToGrid w:val="0"/>
              <w:spacing w:line="360" w:lineRule="auto"/>
              <w:rPr>
                <w:rFonts w:ascii="宋体" w:hAnsi="宋体" w:cs="宋体"/>
                <w:bCs/>
                <w:szCs w:val="21"/>
              </w:rPr>
            </w:pPr>
          </w:p>
        </w:tc>
        <w:tc>
          <w:tcPr>
            <w:tcW w:w="2464" w:type="dxa"/>
            <w:vMerge w:val="continue"/>
          </w:tcPr>
          <w:p>
            <w:pPr>
              <w:adjustRightInd w:val="0"/>
              <w:snapToGrid w:val="0"/>
              <w:spacing w:line="360" w:lineRule="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trPr>
        <w:tc>
          <w:tcPr>
            <w:tcW w:w="828" w:type="dxa"/>
            <w:vMerge w:val="continue"/>
          </w:tcPr>
          <w:p>
            <w:pPr>
              <w:adjustRightInd w:val="0"/>
              <w:snapToGrid w:val="0"/>
              <w:spacing w:line="360" w:lineRule="auto"/>
              <w:rPr>
                <w:rFonts w:ascii="宋体" w:hAnsi="宋体" w:cs="宋体"/>
                <w:bCs/>
                <w:szCs w:val="21"/>
              </w:rPr>
            </w:pPr>
          </w:p>
        </w:tc>
        <w:tc>
          <w:tcPr>
            <w:tcW w:w="3240" w:type="dxa"/>
          </w:tcPr>
          <w:p>
            <w:pPr>
              <w:adjustRightInd w:val="0"/>
              <w:snapToGrid w:val="0"/>
              <w:spacing w:line="360" w:lineRule="auto"/>
              <w:rPr>
                <w:rFonts w:ascii="宋体" w:hAnsi="宋体" w:cs="宋体"/>
                <w:bCs/>
                <w:szCs w:val="21"/>
              </w:rPr>
            </w:pPr>
            <w:r>
              <w:rPr>
                <w:rFonts w:hint="eastAsia" w:ascii="宋体" w:hAnsi="宋体" w:cs="宋体"/>
                <w:bCs/>
                <w:szCs w:val="21"/>
              </w:rPr>
              <w:t>4.有效期</w:t>
            </w:r>
            <w:r>
              <w:rPr>
                <w:rFonts w:hint="eastAsia" w:ascii="宋体" w:hAnsi="宋体" w:cs="宋体"/>
                <w:bCs/>
                <w:szCs w:val="21"/>
              </w:rPr>
              <w:tab/>
            </w:r>
            <w:r>
              <w:rPr>
                <w:rFonts w:hint="eastAsia" w:ascii="宋体" w:hAnsi="宋体" w:cs="宋体"/>
                <w:bCs/>
                <w:szCs w:val="21"/>
              </w:rPr>
              <w:t>：</w:t>
            </w:r>
          </w:p>
        </w:tc>
        <w:tc>
          <w:tcPr>
            <w:tcW w:w="3322" w:type="dxa"/>
          </w:tcPr>
          <w:p>
            <w:pPr>
              <w:adjustRightInd w:val="0"/>
              <w:snapToGrid w:val="0"/>
              <w:spacing w:line="360" w:lineRule="auto"/>
              <w:rPr>
                <w:rFonts w:ascii="宋体" w:hAnsi="宋体" w:cs="宋体"/>
                <w:bCs/>
                <w:szCs w:val="21"/>
              </w:rPr>
            </w:pPr>
          </w:p>
        </w:tc>
        <w:tc>
          <w:tcPr>
            <w:tcW w:w="2464" w:type="dxa"/>
            <w:vMerge w:val="continue"/>
          </w:tcPr>
          <w:p>
            <w:pPr>
              <w:adjustRightInd w:val="0"/>
              <w:snapToGrid w:val="0"/>
              <w:spacing w:line="360" w:lineRule="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tcPr>
          <w:p>
            <w:pPr>
              <w:adjustRightInd w:val="0"/>
              <w:snapToGrid w:val="0"/>
              <w:spacing w:line="360" w:lineRule="auto"/>
              <w:rPr>
                <w:rFonts w:ascii="宋体" w:hAnsi="宋体" w:cs="宋体"/>
                <w:bCs/>
                <w:szCs w:val="21"/>
              </w:rPr>
            </w:pPr>
            <w:r>
              <w:rPr>
                <w:rFonts w:hint="eastAsia" w:ascii="宋体" w:hAnsi="宋体" w:cs="宋体"/>
                <w:bCs/>
                <w:szCs w:val="21"/>
              </w:rPr>
              <w:t>二</w:t>
            </w:r>
          </w:p>
        </w:tc>
        <w:tc>
          <w:tcPr>
            <w:tcW w:w="3240" w:type="dxa"/>
          </w:tcPr>
          <w:p>
            <w:pPr>
              <w:adjustRightInd w:val="0"/>
              <w:snapToGrid w:val="0"/>
              <w:spacing w:line="360" w:lineRule="auto"/>
              <w:rPr>
                <w:rFonts w:ascii="宋体" w:hAnsi="宋体" w:cs="宋体"/>
                <w:bCs/>
                <w:szCs w:val="21"/>
              </w:rPr>
            </w:pPr>
            <w:r>
              <w:rPr>
                <w:rFonts w:hint="eastAsia" w:ascii="宋体" w:hAnsi="宋体" w:cs="宋体"/>
                <w:bCs/>
                <w:szCs w:val="21"/>
              </w:rPr>
              <w:t>税务登记证</w:t>
            </w:r>
          </w:p>
        </w:tc>
        <w:tc>
          <w:tcPr>
            <w:tcW w:w="3322" w:type="dxa"/>
          </w:tcPr>
          <w:p>
            <w:pPr>
              <w:adjustRightInd w:val="0"/>
              <w:snapToGrid w:val="0"/>
              <w:spacing w:line="360" w:lineRule="auto"/>
              <w:rPr>
                <w:rFonts w:ascii="宋体" w:hAnsi="宋体" w:cs="宋体"/>
                <w:bCs/>
                <w:szCs w:val="21"/>
              </w:rPr>
            </w:pPr>
          </w:p>
        </w:tc>
        <w:tc>
          <w:tcPr>
            <w:tcW w:w="2464" w:type="dxa"/>
            <w:vMerge w:val="restart"/>
          </w:tcPr>
          <w:p>
            <w:pPr>
              <w:adjustRightInd w:val="0"/>
              <w:snapToGrid w:val="0"/>
              <w:spacing w:line="360" w:lineRule="auto"/>
              <w:rPr>
                <w:rFonts w:ascii="宋体" w:hAnsi="宋体" w:cs="宋体"/>
                <w:bCs/>
                <w:szCs w:val="21"/>
              </w:rPr>
            </w:pPr>
            <w:r>
              <w:rPr>
                <w:rFonts w:hint="eastAsia" w:ascii="宋体" w:hAnsi="宋体" w:cs="宋体"/>
                <w:bCs/>
                <w:szCs w:val="21"/>
              </w:rPr>
              <w:t>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adjustRightInd w:val="0"/>
              <w:snapToGrid w:val="0"/>
              <w:spacing w:line="360" w:lineRule="auto"/>
              <w:rPr>
                <w:rFonts w:ascii="宋体" w:hAnsi="宋体" w:cs="宋体"/>
                <w:bCs/>
                <w:szCs w:val="21"/>
              </w:rPr>
            </w:pPr>
          </w:p>
        </w:tc>
        <w:tc>
          <w:tcPr>
            <w:tcW w:w="3240" w:type="dxa"/>
          </w:tcPr>
          <w:p>
            <w:pPr>
              <w:adjustRightInd w:val="0"/>
              <w:snapToGrid w:val="0"/>
              <w:spacing w:line="360" w:lineRule="auto"/>
              <w:rPr>
                <w:rFonts w:ascii="宋体" w:hAnsi="宋体" w:cs="宋体"/>
                <w:bCs/>
                <w:szCs w:val="21"/>
              </w:rPr>
            </w:pPr>
            <w:r>
              <w:rPr>
                <w:rFonts w:hint="eastAsia" w:ascii="宋体" w:hAnsi="宋体" w:cs="宋体"/>
                <w:bCs/>
                <w:szCs w:val="21"/>
              </w:rPr>
              <w:t>1.税务登记证编号：</w:t>
            </w:r>
          </w:p>
        </w:tc>
        <w:tc>
          <w:tcPr>
            <w:tcW w:w="3322" w:type="dxa"/>
          </w:tcPr>
          <w:p>
            <w:pPr>
              <w:adjustRightInd w:val="0"/>
              <w:snapToGrid w:val="0"/>
              <w:spacing w:line="360" w:lineRule="auto"/>
              <w:rPr>
                <w:rFonts w:ascii="宋体" w:hAnsi="宋体" w:cs="宋体"/>
                <w:bCs/>
                <w:szCs w:val="21"/>
              </w:rPr>
            </w:pPr>
          </w:p>
        </w:tc>
        <w:tc>
          <w:tcPr>
            <w:tcW w:w="2464" w:type="dxa"/>
            <w:vMerge w:val="continue"/>
          </w:tcPr>
          <w:p>
            <w:pPr>
              <w:adjustRightInd w:val="0"/>
              <w:snapToGrid w:val="0"/>
              <w:spacing w:line="360" w:lineRule="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adjustRightInd w:val="0"/>
              <w:snapToGrid w:val="0"/>
              <w:spacing w:line="360" w:lineRule="auto"/>
              <w:rPr>
                <w:rFonts w:ascii="宋体" w:hAnsi="宋体" w:cs="宋体"/>
                <w:bCs/>
                <w:szCs w:val="21"/>
              </w:rPr>
            </w:pPr>
            <w:r>
              <w:rPr>
                <w:rFonts w:hint="eastAsia" w:ascii="宋体" w:hAnsi="宋体" w:cs="宋体"/>
                <w:bCs/>
                <w:szCs w:val="21"/>
              </w:rPr>
              <w:t>三</w:t>
            </w:r>
            <w:r>
              <w:rPr>
                <w:rFonts w:hint="eastAsia" w:ascii="宋体" w:hAnsi="宋体" w:cs="宋体"/>
                <w:bCs/>
                <w:szCs w:val="21"/>
              </w:rPr>
              <w:tab/>
            </w:r>
          </w:p>
        </w:tc>
        <w:tc>
          <w:tcPr>
            <w:tcW w:w="3240" w:type="dxa"/>
          </w:tcPr>
          <w:p>
            <w:pPr>
              <w:adjustRightInd w:val="0"/>
              <w:snapToGrid w:val="0"/>
              <w:spacing w:line="360" w:lineRule="auto"/>
              <w:rPr>
                <w:rFonts w:ascii="宋体" w:hAnsi="宋体" w:cs="宋体"/>
                <w:bCs/>
                <w:szCs w:val="21"/>
              </w:rPr>
            </w:pPr>
            <w:r>
              <w:rPr>
                <w:rFonts w:hint="eastAsia" w:ascii="宋体" w:hAnsi="宋体" w:cs="宋体"/>
                <w:bCs/>
                <w:szCs w:val="21"/>
              </w:rPr>
              <w:t>其他资格（质）证书</w:t>
            </w:r>
          </w:p>
        </w:tc>
        <w:tc>
          <w:tcPr>
            <w:tcW w:w="3322" w:type="dxa"/>
          </w:tcPr>
          <w:p>
            <w:pPr>
              <w:adjustRightInd w:val="0"/>
              <w:snapToGrid w:val="0"/>
              <w:spacing w:line="360" w:lineRule="auto"/>
              <w:rPr>
                <w:rFonts w:ascii="宋体" w:hAnsi="宋体" w:cs="宋体"/>
                <w:bCs/>
                <w:szCs w:val="21"/>
              </w:rPr>
            </w:pPr>
            <w:r>
              <w:rPr>
                <w:rFonts w:hint="eastAsia" w:ascii="宋体" w:hAnsi="宋体" w:cs="宋体"/>
                <w:bCs/>
                <w:szCs w:val="21"/>
              </w:rPr>
              <w:t>（若有其他资质证书，可按表格格式扩展</w:t>
            </w:r>
          </w:p>
        </w:tc>
        <w:tc>
          <w:tcPr>
            <w:tcW w:w="2464" w:type="dxa"/>
            <w:vMerge w:val="restart"/>
          </w:tcPr>
          <w:p>
            <w:pPr>
              <w:adjustRightInd w:val="0"/>
              <w:snapToGrid w:val="0"/>
              <w:spacing w:line="360" w:lineRule="auto"/>
              <w:rPr>
                <w:rFonts w:ascii="宋体" w:hAnsi="宋体" w:cs="宋体"/>
                <w:bCs/>
                <w:szCs w:val="21"/>
              </w:rPr>
            </w:pPr>
            <w:r>
              <w:rPr>
                <w:rFonts w:hint="eastAsia" w:ascii="宋体" w:hAnsi="宋体" w:cs="宋体"/>
                <w:bCs/>
                <w:szCs w:val="21"/>
              </w:rPr>
              <w:t>提供复印件</w:t>
            </w:r>
          </w:p>
          <w:p>
            <w:pPr>
              <w:adjustRightInd w:val="0"/>
              <w:snapToGrid w:val="0"/>
              <w:spacing w:line="360" w:lineRule="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restart"/>
          </w:tcPr>
          <w:p>
            <w:pPr>
              <w:adjustRightInd w:val="0"/>
              <w:snapToGrid w:val="0"/>
              <w:spacing w:line="360" w:lineRule="auto"/>
              <w:rPr>
                <w:rFonts w:ascii="宋体" w:hAnsi="宋体" w:cs="宋体"/>
                <w:bCs/>
                <w:szCs w:val="21"/>
              </w:rPr>
            </w:pPr>
          </w:p>
        </w:tc>
        <w:tc>
          <w:tcPr>
            <w:tcW w:w="3240" w:type="dxa"/>
          </w:tcPr>
          <w:p>
            <w:pPr>
              <w:adjustRightInd w:val="0"/>
              <w:snapToGrid w:val="0"/>
              <w:spacing w:line="360" w:lineRule="auto"/>
              <w:rPr>
                <w:rFonts w:ascii="宋体" w:hAnsi="宋体" w:cs="宋体"/>
                <w:bCs/>
                <w:szCs w:val="21"/>
              </w:rPr>
            </w:pPr>
            <w:r>
              <w:rPr>
                <w:rFonts w:hint="eastAsia" w:ascii="宋体" w:hAnsi="宋体" w:cs="宋体"/>
                <w:bCs/>
                <w:szCs w:val="21"/>
              </w:rPr>
              <w:t>1.证书名称</w:t>
            </w:r>
            <w:r>
              <w:rPr>
                <w:rFonts w:hint="eastAsia" w:ascii="宋体" w:hAnsi="宋体" w:cs="宋体"/>
                <w:bCs/>
                <w:szCs w:val="21"/>
              </w:rPr>
              <w:tab/>
            </w:r>
          </w:p>
        </w:tc>
        <w:tc>
          <w:tcPr>
            <w:tcW w:w="3322" w:type="dxa"/>
          </w:tcPr>
          <w:p>
            <w:pPr>
              <w:adjustRightInd w:val="0"/>
              <w:snapToGrid w:val="0"/>
              <w:spacing w:line="360" w:lineRule="auto"/>
              <w:rPr>
                <w:rFonts w:ascii="宋体" w:hAnsi="宋体" w:cs="宋体"/>
                <w:bCs/>
                <w:szCs w:val="21"/>
              </w:rPr>
            </w:pPr>
          </w:p>
        </w:tc>
        <w:tc>
          <w:tcPr>
            <w:tcW w:w="2464" w:type="dxa"/>
            <w:vMerge w:val="continue"/>
          </w:tcPr>
          <w:p>
            <w:pPr>
              <w:adjustRightInd w:val="0"/>
              <w:snapToGrid w:val="0"/>
              <w:spacing w:line="360" w:lineRule="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adjustRightInd w:val="0"/>
              <w:snapToGrid w:val="0"/>
              <w:spacing w:line="360" w:lineRule="auto"/>
              <w:rPr>
                <w:rFonts w:ascii="宋体" w:hAnsi="宋体" w:cs="宋体"/>
                <w:bCs/>
                <w:szCs w:val="21"/>
              </w:rPr>
            </w:pPr>
          </w:p>
        </w:tc>
        <w:tc>
          <w:tcPr>
            <w:tcW w:w="3240" w:type="dxa"/>
          </w:tcPr>
          <w:p>
            <w:pPr>
              <w:adjustRightInd w:val="0"/>
              <w:snapToGrid w:val="0"/>
              <w:spacing w:line="360" w:lineRule="auto"/>
              <w:rPr>
                <w:rFonts w:ascii="宋体" w:hAnsi="宋体" w:cs="宋体"/>
                <w:bCs/>
                <w:szCs w:val="21"/>
              </w:rPr>
            </w:pPr>
            <w:r>
              <w:rPr>
                <w:rFonts w:hint="eastAsia" w:ascii="宋体" w:hAnsi="宋体" w:cs="宋体"/>
                <w:bCs/>
                <w:szCs w:val="21"/>
              </w:rPr>
              <w:t>2.批准单位</w:t>
            </w:r>
          </w:p>
        </w:tc>
        <w:tc>
          <w:tcPr>
            <w:tcW w:w="3322" w:type="dxa"/>
          </w:tcPr>
          <w:p>
            <w:pPr>
              <w:adjustRightInd w:val="0"/>
              <w:snapToGrid w:val="0"/>
              <w:spacing w:line="360" w:lineRule="auto"/>
              <w:rPr>
                <w:rFonts w:ascii="宋体" w:hAnsi="宋体" w:cs="宋体"/>
                <w:bCs/>
                <w:szCs w:val="21"/>
              </w:rPr>
            </w:pPr>
          </w:p>
        </w:tc>
        <w:tc>
          <w:tcPr>
            <w:tcW w:w="2464" w:type="dxa"/>
            <w:vMerge w:val="continue"/>
          </w:tcPr>
          <w:p>
            <w:pPr>
              <w:adjustRightInd w:val="0"/>
              <w:snapToGrid w:val="0"/>
              <w:spacing w:line="360" w:lineRule="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adjustRightInd w:val="0"/>
              <w:snapToGrid w:val="0"/>
              <w:spacing w:line="360" w:lineRule="auto"/>
              <w:rPr>
                <w:rFonts w:ascii="宋体" w:hAnsi="宋体" w:cs="宋体"/>
                <w:bCs/>
                <w:szCs w:val="21"/>
              </w:rPr>
            </w:pPr>
          </w:p>
        </w:tc>
        <w:tc>
          <w:tcPr>
            <w:tcW w:w="3240" w:type="dxa"/>
          </w:tcPr>
          <w:p>
            <w:pPr>
              <w:adjustRightInd w:val="0"/>
              <w:snapToGrid w:val="0"/>
              <w:spacing w:line="360" w:lineRule="auto"/>
              <w:rPr>
                <w:rFonts w:ascii="宋体" w:hAnsi="宋体" w:cs="宋体"/>
                <w:bCs/>
                <w:szCs w:val="21"/>
              </w:rPr>
            </w:pPr>
            <w:r>
              <w:rPr>
                <w:rFonts w:hint="eastAsia" w:ascii="宋体" w:hAnsi="宋体" w:cs="宋体"/>
                <w:bCs/>
                <w:szCs w:val="21"/>
              </w:rPr>
              <w:t>3.等级</w:t>
            </w:r>
          </w:p>
        </w:tc>
        <w:tc>
          <w:tcPr>
            <w:tcW w:w="3322" w:type="dxa"/>
          </w:tcPr>
          <w:p>
            <w:pPr>
              <w:adjustRightInd w:val="0"/>
              <w:snapToGrid w:val="0"/>
              <w:spacing w:line="360" w:lineRule="auto"/>
              <w:rPr>
                <w:rFonts w:ascii="宋体" w:hAnsi="宋体" w:cs="宋体"/>
                <w:bCs/>
                <w:szCs w:val="21"/>
              </w:rPr>
            </w:pPr>
          </w:p>
        </w:tc>
        <w:tc>
          <w:tcPr>
            <w:tcW w:w="2464" w:type="dxa"/>
            <w:vMerge w:val="continue"/>
          </w:tcPr>
          <w:p>
            <w:pPr>
              <w:adjustRightInd w:val="0"/>
              <w:snapToGrid w:val="0"/>
              <w:spacing w:line="360" w:lineRule="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adjustRightInd w:val="0"/>
              <w:snapToGrid w:val="0"/>
              <w:spacing w:line="360" w:lineRule="auto"/>
              <w:rPr>
                <w:rFonts w:ascii="宋体" w:hAnsi="宋体" w:cs="宋体"/>
                <w:bCs/>
                <w:szCs w:val="21"/>
              </w:rPr>
            </w:pPr>
          </w:p>
        </w:tc>
        <w:tc>
          <w:tcPr>
            <w:tcW w:w="3240" w:type="dxa"/>
          </w:tcPr>
          <w:p>
            <w:pPr>
              <w:adjustRightInd w:val="0"/>
              <w:snapToGrid w:val="0"/>
              <w:spacing w:line="360" w:lineRule="auto"/>
              <w:rPr>
                <w:rFonts w:ascii="宋体" w:hAnsi="宋体" w:cs="宋体"/>
                <w:bCs/>
                <w:szCs w:val="21"/>
              </w:rPr>
            </w:pPr>
            <w:r>
              <w:rPr>
                <w:rFonts w:hint="eastAsia" w:ascii="宋体" w:hAnsi="宋体" w:cs="宋体"/>
                <w:bCs/>
                <w:szCs w:val="21"/>
              </w:rPr>
              <w:t>4.批准时间及编号</w:t>
            </w:r>
          </w:p>
        </w:tc>
        <w:tc>
          <w:tcPr>
            <w:tcW w:w="3322" w:type="dxa"/>
          </w:tcPr>
          <w:p>
            <w:pPr>
              <w:adjustRightInd w:val="0"/>
              <w:snapToGrid w:val="0"/>
              <w:spacing w:line="360" w:lineRule="auto"/>
              <w:rPr>
                <w:rFonts w:ascii="宋体" w:hAnsi="宋体" w:cs="宋体"/>
                <w:bCs/>
                <w:szCs w:val="21"/>
              </w:rPr>
            </w:pPr>
          </w:p>
        </w:tc>
        <w:tc>
          <w:tcPr>
            <w:tcW w:w="2464" w:type="dxa"/>
            <w:vMerge w:val="continue"/>
          </w:tcPr>
          <w:p>
            <w:pPr>
              <w:adjustRightInd w:val="0"/>
              <w:snapToGrid w:val="0"/>
              <w:spacing w:line="360" w:lineRule="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Merge w:val="continue"/>
          </w:tcPr>
          <w:p>
            <w:pPr>
              <w:adjustRightInd w:val="0"/>
              <w:snapToGrid w:val="0"/>
              <w:spacing w:line="360" w:lineRule="auto"/>
              <w:rPr>
                <w:rFonts w:ascii="宋体" w:hAnsi="宋体" w:cs="宋体"/>
                <w:bCs/>
                <w:szCs w:val="21"/>
              </w:rPr>
            </w:pPr>
          </w:p>
        </w:tc>
        <w:tc>
          <w:tcPr>
            <w:tcW w:w="3240" w:type="dxa"/>
          </w:tcPr>
          <w:p>
            <w:pPr>
              <w:adjustRightInd w:val="0"/>
              <w:snapToGrid w:val="0"/>
              <w:spacing w:line="360" w:lineRule="auto"/>
              <w:rPr>
                <w:rFonts w:ascii="宋体" w:hAnsi="宋体" w:cs="宋体"/>
                <w:bCs/>
                <w:szCs w:val="21"/>
              </w:rPr>
            </w:pPr>
            <w:r>
              <w:rPr>
                <w:rFonts w:hint="eastAsia" w:ascii="宋体" w:hAnsi="宋体" w:cs="宋体"/>
                <w:bCs/>
                <w:szCs w:val="21"/>
              </w:rPr>
              <w:t>5.有效期</w:t>
            </w:r>
            <w:r>
              <w:rPr>
                <w:rFonts w:hint="eastAsia" w:ascii="宋体" w:hAnsi="宋体" w:cs="宋体"/>
                <w:bCs/>
                <w:szCs w:val="21"/>
              </w:rPr>
              <w:tab/>
            </w:r>
          </w:p>
        </w:tc>
        <w:tc>
          <w:tcPr>
            <w:tcW w:w="3322" w:type="dxa"/>
          </w:tcPr>
          <w:p>
            <w:pPr>
              <w:adjustRightInd w:val="0"/>
              <w:snapToGrid w:val="0"/>
              <w:spacing w:line="360" w:lineRule="auto"/>
              <w:rPr>
                <w:rFonts w:ascii="宋体" w:hAnsi="宋体" w:cs="宋体"/>
                <w:bCs/>
                <w:szCs w:val="21"/>
              </w:rPr>
            </w:pPr>
          </w:p>
        </w:tc>
        <w:tc>
          <w:tcPr>
            <w:tcW w:w="2464" w:type="dxa"/>
            <w:vMerge w:val="continue"/>
          </w:tcPr>
          <w:p>
            <w:pPr>
              <w:adjustRightInd w:val="0"/>
              <w:snapToGrid w:val="0"/>
              <w:spacing w:line="360" w:lineRule="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pPr>
              <w:adjustRightInd w:val="0"/>
              <w:snapToGrid w:val="0"/>
              <w:spacing w:line="360" w:lineRule="auto"/>
              <w:rPr>
                <w:rFonts w:ascii="宋体" w:hAnsi="宋体" w:cs="宋体"/>
                <w:bCs/>
                <w:szCs w:val="21"/>
              </w:rPr>
            </w:pPr>
            <w:r>
              <w:rPr>
                <w:rFonts w:hint="eastAsia" w:ascii="宋体" w:hAnsi="宋体" w:cs="宋体"/>
                <w:bCs/>
                <w:szCs w:val="21"/>
              </w:rPr>
              <w:t>四</w:t>
            </w:r>
          </w:p>
        </w:tc>
        <w:tc>
          <w:tcPr>
            <w:tcW w:w="3240" w:type="dxa"/>
          </w:tcPr>
          <w:p>
            <w:pPr>
              <w:adjustRightInd w:val="0"/>
              <w:snapToGrid w:val="0"/>
              <w:spacing w:line="360" w:lineRule="auto"/>
              <w:rPr>
                <w:rFonts w:ascii="宋体" w:hAnsi="宋体" w:cs="宋体"/>
                <w:bCs/>
                <w:szCs w:val="21"/>
              </w:rPr>
            </w:pPr>
            <w:r>
              <w:rPr>
                <w:rFonts w:hint="eastAsia" w:ascii="宋体" w:hAnsi="宋体" w:cs="宋体"/>
                <w:bCs/>
                <w:szCs w:val="21"/>
              </w:rPr>
              <w:t>其他</w:t>
            </w:r>
          </w:p>
        </w:tc>
        <w:tc>
          <w:tcPr>
            <w:tcW w:w="3322" w:type="dxa"/>
          </w:tcPr>
          <w:p>
            <w:pPr>
              <w:adjustRightInd w:val="0"/>
              <w:snapToGrid w:val="0"/>
              <w:spacing w:line="360" w:lineRule="auto"/>
              <w:rPr>
                <w:rFonts w:ascii="宋体" w:hAnsi="宋体" w:cs="宋体"/>
                <w:bCs/>
                <w:szCs w:val="21"/>
              </w:rPr>
            </w:pPr>
            <w:r>
              <w:rPr>
                <w:rFonts w:hint="eastAsia" w:ascii="宋体" w:hAnsi="宋体" w:cs="宋体"/>
                <w:bCs/>
                <w:szCs w:val="21"/>
              </w:rPr>
              <w:t>投标人认为需补充的其他说明</w:t>
            </w:r>
          </w:p>
        </w:tc>
        <w:tc>
          <w:tcPr>
            <w:tcW w:w="2464" w:type="dxa"/>
          </w:tcPr>
          <w:p>
            <w:pPr>
              <w:adjustRightInd w:val="0"/>
              <w:snapToGrid w:val="0"/>
              <w:spacing w:line="360" w:lineRule="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adjustRightInd w:val="0"/>
              <w:snapToGrid w:val="0"/>
              <w:spacing w:line="360" w:lineRule="auto"/>
              <w:rPr>
                <w:rFonts w:ascii="宋体" w:hAnsi="宋体" w:cs="宋体"/>
                <w:bCs/>
                <w:szCs w:val="21"/>
              </w:rPr>
            </w:pPr>
          </w:p>
        </w:tc>
        <w:tc>
          <w:tcPr>
            <w:tcW w:w="3240" w:type="dxa"/>
          </w:tcPr>
          <w:p>
            <w:pPr>
              <w:adjustRightInd w:val="0"/>
              <w:snapToGrid w:val="0"/>
              <w:spacing w:line="360" w:lineRule="auto"/>
              <w:rPr>
                <w:rFonts w:ascii="宋体" w:hAnsi="宋体" w:cs="宋体"/>
                <w:bCs/>
                <w:szCs w:val="21"/>
              </w:rPr>
            </w:pPr>
            <w:r>
              <w:rPr>
                <w:rFonts w:hint="eastAsia" w:ascii="宋体" w:hAnsi="宋体" w:cs="宋体"/>
                <w:bCs/>
                <w:szCs w:val="21"/>
              </w:rPr>
              <w:t>1.……………………</w:t>
            </w:r>
          </w:p>
        </w:tc>
        <w:tc>
          <w:tcPr>
            <w:tcW w:w="3322" w:type="dxa"/>
          </w:tcPr>
          <w:p>
            <w:pPr>
              <w:adjustRightInd w:val="0"/>
              <w:snapToGrid w:val="0"/>
              <w:spacing w:line="360" w:lineRule="auto"/>
              <w:rPr>
                <w:rFonts w:ascii="宋体" w:hAnsi="宋体" w:cs="宋体"/>
                <w:bCs/>
                <w:szCs w:val="21"/>
              </w:rPr>
            </w:pPr>
          </w:p>
        </w:tc>
        <w:tc>
          <w:tcPr>
            <w:tcW w:w="2464" w:type="dxa"/>
          </w:tcPr>
          <w:p>
            <w:pPr>
              <w:adjustRightInd w:val="0"/>
              <w:snapToGrid w:val="0"/>
              <w:spacing w:line="360" w:lineRule="auto"/>
              <w:rPr>
                <w:rFonts w:ascii="宋体" w:hAnsi="宋体" w:cs="宋体"/>
                <w:bCs/>
                <w:szCs w:val="21"/>
              </w:rPr>
            </w:pPr>
          </w:p>
        </w:tc>
      </w:tr>
    </w:tbl>
    <w:p>
      <w:pPr>
        <w:adjustRightInd w:val="0"/>
        <w:snapToGrid w:val="0"/>
        <w:spacing w:line="360" w:lineRule="auto"/>
        <w:rPr>
          <w:rFonts w:ascii="宋体" w:hAnsi="宋体" w:cs="宋体"/>
          <w:bCs/>
          <w:szCs w:val="21"/>
        </w:rPr>
      </w:pPr>
      <w:r>
        <w:rPr>
          <w:rFonts w:hint="eastAsia" w:ascii="宋体" w:hAnsi="宋体" w:cs="宋体"/>
          <w:bCs/>
          <w:szCs w:val="21"/>
        </w:rPr>
        <w:tab/>
      </w:r>
    </w:p>
    <w:p>
      <w:pPr>
        <w:adjustRightInd w:val="0"/>
        <w:snapToGrid w:val="0"/>
        <w:spacing w:line="360" w:lineRule="auto"/>
        <w:rPr>
          <w:rFonts w:ascii="宋体" w:hAnsi="宋体" w:cs="宋体"/>
          <w:bCs/>
          <w:szCs w:val="21"/>
        </w:rPr>
      </w:pPr>
      <w:r>
        <w:rPr>
          <w:rFonts w:hint="eastAsia" w:ascii="宋体" w:hAnsi="宋体" w:cs="宋体"/>
          <w:bCs/>
          <w:szCs w:val="21"/>
        </w:rPr>
        <w:t>注：在按要求填写好此表格后，各投标单位可以用其它的方式，就公司整体情况作出详细的介绍（可以提供相应文字、照片等）。</w:t>
      </w:r>
    </w:p>
    <w:p>
      <w:pPr>
        <w:adjustRightInd w:val="0"/>
        <w:snapToGrid w:val="0"/>
        <w:spacing w:line="360" w:lineRule="auto"/>
        <w:rPr>
          <w:rFonts w:ascii="宋体" w:hAnsi="宋体" w:cs="宋体"/>
          <w:bCs/>
          <w:szCs w:val="21"/>
        </w:rPr>
      </w:pPr>
      <w:r>
        <w:rPr>
          <w:rFonts w:hint="eastAsia" w:ascii="宋体" w:hAnsi="宋体" w:cs="宋体"/>
          <w:bCs/>
          <w:szCs w:val="21"/>
        </w:rPr>
        <w:t>（二）供应商资格证明文件</w:t>
      </w:r>
    </w:p>
    <w:p>
      <w:pPr>
        <w:adjustRightInd w:val="0"/>
        <w:snapToGrid w:val="0"/>
        <w:spacing w:line="360" w:lineRule="auto"/>
        <w:rPr>
          <w:rFonts w:ascii="宋体" w:hAnsi="宋体" w:cs="宋体"/>
          <w:bCs/>
          <w:szCs w:val="21"/>
        </w:rPr>
      </w:pPr>
      <w:r>
        <w:rPr>
          <w:rFonts w:hint="eastAsia" w:ascii="宋体" w:hAnsi="宋体" w:cs="宋体"/>
          <w:bCs/>
          <w:szCs w:val="21"/>
        </w:rPr>
        <w:t>1. 投标人资格要求的证明文件：</w:t>
      </w:r>
    </w:p>
    <w:p>
      <w:pPr>
        <w:adjustRightInd w:val="0"/>
        <w:snapToGrid w:val="0"/>
        <w:spacing w:line="360" w:lineRule="auto"/>
        <w:rPr>
          <w:rFonts w:ascii="宋体" w:hAnsi="宋体" w:cs="宋体"/>
          <w:bCs/>
          <w:szCs w:val="21"/>
        </w:rPr>
      </w:pPr>
      <w:r>
        <w:rPr>
          <w:rFonts w:hint="eastAsia" w:ascii="宋体" w:hAnsi="宋体" w:cs="宋体"/>
          <w:bCs/>
          <w:szCs w:val="21"/>
        </w:rPr>
        <w:t>（1）工商营业执照复印件；</w:t>
      </w:r>
    </w:p>
    <w:p>
      <w:pPr>
        <w:adjustRightInd w:val="0"/>
        <w:snapToGrid w:val="0"/>
        <w:spacing w:line="360" w:lineRule="auto"/>
        <w:rPr>
          <w:rFonts w:ascii="宋体" w:hAnsi="宋体" w:cs="宋体"/>
          <w:bCs/>
          <w:szCs w:val="21"/>
        </w:rPr>
      </w:pPr>
      <w:r>
        <w:rPr>
          <w:rFonts w:hint="eastAsia" w:ascii="宋体" w:hAnsi="宋体" w:cs="宋体"/>
          <w:bCs/>
          <w:szCs w:val="21"/>
        </w:rPr>
        <w:t>（2）提供招标公告中关于投标人资格要求的相关资格证明文件复印件。</w:t>
      </w:r>
    </w:p>
    <w:p>
      <w:pPr>
        <w:adjustRightInd w:val="0"/>
        <w:snapToGrid w:val="0"/>
        <w:spacing w:line="360" w:lineRule="auto"/>
        <w:rPr>
          <w:rFonts w:ascii="宋体" w:hAnsi="宋体" w:cs="宋体"/>
          <w:bCs/>
          <w:szCs w:val="21"/>
        </w:rPr>
      </w:pPr>
      <w:r>
        <w:rPr>
          <w:rFonts w:hint="eastAsia" w:ascii="宋体" w:hAnsi="宋体" w:cs="宋体"/>
          <w:bCs/>
          <w:szCs w:val="21"/>
        </w:rPr>
        <w:t>2. 评分标准中涉及的有关资格（质）证明文件：</w:t>
      </w:r>
    </w:p>
    <w:p>
      <w:pPr>
        <w:adjustRightInd w:val="0"/>
        <w:snapToGrid w:val="0"/>
        <w:spacing w:line="360" w:lineRule="auto"/>
        <w:rPr>
          <w:rFonts w:ascii="宋体" w:hAnsi="宋体" w:cs="宋体"/>
          <w:bCs/>
          <w:szCs w:val="21"/>
        </w:rPr>
      </w:pPr>
    </w:p>
    <w:p>
      <w:pPr>
        <w:adjustRightInd w:val="0"/>
        <w:snapToGrid w:val="0"/>
        <w:spacing w:line="360" w:lineRule="auto"/>
        <w:rPr>
          <w:rFonts w:ascii="宋体" w:hAnsi="宋体" w:cs="宋体"/>
          <w:bCs/>
          <w:szCs w:val="21"/>
        </w:rPr>
      </w:pPr>
    </w:p>
    <w:p>
      <w:pPr>
        <w:pStyle w:val="18"/>
      </w:pPr>
    </w:p>
    <w:p>
      <w:pPr>
        <w:pStyle w:val="18"/>
      </w:pPr>
    </w:p>
    <w:p>
      <w:pPr>
        <w:pStyle w:val="18"/>
      </w:pPr>
    </w:p>
    <w:p>
      <w:pPr>
        <w:adjustRightInd w:val="0"/>
        <w:snapToGrid w:val="0"/>
        <w:spacing w:line="360" w:lineRule="auto"/>
        <w:rPr>
          <w:rFonts w:ascii="宋体" w:hAnsi="宋体" w:cs="宋体"/>
          <w:bCs/>
          <w:szCs w:val="21"/>
        </w:rPr>
      </w:pPr>
      <w:r>
        <w:rPr>
          <w:rFonts w:hint="eastAsia" w:ascii="宋体" w:hAnsi="宋体" w:cs="宋体"/>
          <w:bCs/>
          <w:szCs w:val="21"/>
        </w:rPr>
        <w:t>（三）“关键信息-评标信息”规定的业绩、已做项目简介</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23"/>
        <w:gridCol w:w="1260"/>
        <w:gridCol w:w="1938"/>
        <w:gridCol w:w="1232"/>
        <w:gridCol w:w="1232"/>
        <w:gridCol w:w="1232"/>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序号</w:t>
            </w:r>
          </w:p>
        </w:tc>
        <w:tc>
          <w:tcPr>
            <w:tcW w:w="1123" w:type="dxa"/>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采购人</w:t>
            </w:r>
          </w:p>
        </w:tc>
        <w:tc>
          <w:tcPr>
            <w:tcW w:w="1260" w:type="dxa"/>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项目名称</w:t>
            </w:r>
          </w:p>
        </w:tc>
        <w:tc>
          <w:tcPr>
            <w:tcW w:w="1938" w:type="dxa"/>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规模（金额/元）</w:t>
            </w:r>
          </w:p>
        </w:tc>
        <w:tc>
          <w:tcPr>
            <w:tcW w:w="1232" w:type="dxa"/>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完成时间</w:t>
            </w:r>
          </w:p>
        </w:tc>
        <w:tc>
          <w:tcPr>
            <w:tcW w:w="1232" w:type="dxa"/>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运行情况</w:t>
            </w:r>
          </w:p>
        </w:tc>
        <w:tc>
          <w:tcPr>
            <w:tcW w:w="1232" w:type="dxa"/>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联系人</w:t>
            </w:r>
          </w:p>
        </w:tc>
        <w:tc>
          <w:tcPr>
            <w:tcW w:w="1232" w:type="dxa"/>
            <w:vAlign w:val="center"/>
          </w:tcPr>
          <w:p>
            <w:pPr>
              <w:adjustRightInd w:val="0"/>
              <w:snapToGrid w:val="0"/>
              <w:spacing w:line="360" w:lineRule="auto"/>
              <w:jc w:val="center"/>
              <w:rPr>
                <w:rFonts w:ascii="宋体" w:hAnsi="宋体" w:cs="宋体"/>
                <w:bCs/>
                <w:szCs w:val="21"/>
              </w:rPr>
            </w:pPr>
            <w:r>
              <w:rPr>
                <w:rFonts w:hint="eastAsia" w:ascii="宋体" w:hAnsi="宋体" w:cs="宋体"/>
                <w:bCs/>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adjustRightInd w:val="0"/>
              <w:snapToGrid w:val="0"/>
              <w:spacing w:line="360" w:lineRule="auto"/>
              <w:rPr>
                <w:rFonts w:ascii="宋体" w:hAnsi="宋体" w:cs="宋体"/>
                <w:bCs/>
                <w:szCs w:val="21"/>
              </w:rPr>
            </w:pPr>
          </w:p>
        </w:tc>
        <w:tc>
          <w:tcPr>
            <w:tcW w:w="1123" w:type="dxa"/>
          </w:tcPr>
          <w:p>
            <w:pPr>
              <w:adjustRightInd w:val="0"/>
              <w:snapToGrid w:val="0"/>
              <w:spacing w:line="360" w:lineRule="auto"/>
              <w:rPr>
                <w:rFonts w:ascii="宋体" w:hAnsi="宋体" w:cs="宋体"/>
                <w:bCs/>
                <w:szCs w:val="21"/>
              </w:rPr>
            </w:pPr>
          </w:p>
        </w:tc>
        <w:tc>
          <w:tcPr>
            <w:tcW w:w="1260" w:type="dxa"/>
          </w:tcPr>
          <w:p>
            <w:pPr>
              <w:adjustRightInd w:val="0"/>
              <w:snapToGrid w:val="0"/>
              <w:spacing w:line="360" w:lineRule="auto"/>
              <w:rPr>
                <w:rFonts w:ascii="宋体" w:hAnsi="宋体" w:cs="宋体"/>
                <w:bCs/>
                <w:szCs w:val="21"/>
              </w:rPr>
            </w:pPr>
          </w:p>
        </w:tc>
        <w:tc>
          <w:tcPr>
            <w:tcW w:w="1938" w:type="dxa"/>
          </w:tcPr>
          <w:p>
            <w:pPr>
              <w:adjustRightInd w:val="0"/>
              <w:snapToGrid w:val="0"/>
              <w:spacing w:line="360" w:lineRule="auto"/>
              <w:rPr>
                <w:rFonts w:ascii="宋体" w:hAnsi="宋体" w:cs="宋体"/>
                <w:bCs/>
                <w:szCs w:val="21"/>
              </w:rPr>
            </w:pPr>
          </w:p>
        </w:tc>
        <w:tc>
          <w:tcPr>
            <w:tcW w:w="1232" w:type="dxa"/>
          </w:tcPr>
          <w:p>
            <w:pPr>
              <w:adjustRightInd w:val="0"/>
              <w:snapToGrid w:val="0"/>
              <w:spacing w:line="360" w:lineRule="auto"/>
              <w:rPr>
                <w:rFonts w:ascii="宋体" w:hAnsi="宋体" w:cs="宋体"/>
                <w:bCs/>
                <w:szCs w:val="21"/>
              </w:rPr>
            </w:pPr>
          </w:p>
        </w:tc>
        <w:tc>
          <w:tcPr>
            <w:tcW w:w="1232" w:type="dxa"/>
          </w:tcPr>
          <w:p>
            <w:pPr>
              <w:adjustRightInd w:val="0"/>
              <w:snapToGrid w:val="0"/>
              <w:spacing w:line="360" w:lineRule="auto"/>
              <w:rPr>
                <w:rFonts w:ascii="宋体" w:hAnsi="宋体" w:cs="宋体"/>
                <w:bCs/>
                <w:szCs w:val="21"/>
              </w:rPr>
            </w:pPr>
          </w:p>
        </w:tc>
        <w:tc>
          <w:tcPr>
            <w:tcW w:w="1232" w:type="dxa"/>
          </w:tcPr>
          <w:p>
            <w:pPr>
              <w:adjustRightInd w:val="0"/>
              <w:snapToGrid w:val="0"/>
              <w:spacing w:line="360" w:lineRule="auto"/>
              <w:rPr>
                <w:rFonts w:ascii="宋体" w:hAnsi="宋体" w:cs="宋体"/>
                <w:bCs/>
                <w:szCs w:val="21"/>
              </w:rPr>
            </w:pPr>
          </w:p>
        </w:tc>
        <w:tc>
          <w:tcPr>
            <w:tcW w:w="1232" w:type="dxa"/>
          </w:tcPr>
          <w:p>
            <w:pPr>
              <w:adjustRightInd w:val="0"/>
              <w:snapToGrid w:val="0"/>
              <w:spacing w:line="360" w:lineRule="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adjustRightInd w:val="0"/>
              <w:snapToGrid w:val="0"/>
              <w:spacing w:line="360" w:lineRule="auto"/>
              <w:rPr>
                <w:rFonts w:ascii="宋体" w:hAnsi="宋体" w:cs="宋体"/>
                <w:bCs/>
                <w:szCs w:val="21"/>
              </w:rPr>
            </w:pPr>
          </w:p>
        </w:tc>
        <w:tc>
          <w:tcPr>
            <w:tcW w:w="1123" w:type="dxa"/>
          </w:tcPr>
          <w:p>
            <w:pPr>
              <w:adjustRightInd w:val="0"/>
              <w:snapToGrid w:val="0"/>
              <w:spacing w:line="360" w:lineRule="auto"/>
              <w:rPr>
                <w:rFonts w:ascii="宋体" w:hAnsi="宋体" w:cs="宋体"/>
                <w:bCs/>
                <w:szCs w:val="21"/>
              </w:rPr>
            </w:pPr>
          </w:p>
        </w:tc>
        <w:tc>
          <w:tcPr>
            <w:tcW w:w="1260" w:type="dxa"/>
          </w:tcPr>
          <w:p>
            <w:pPr>
              <w:adjustRightInd w:val="0"/>
              <w:snapToGrid w:val="0"/>
              <w:spacing w:line="360" w:lineRule="auto"/>
              <w:rPr>
                <w:rFonts w:ascii="宋体" w:hAnsi="宋体" w:cs="宋体"/>
                <w:bCs/>
                <w:szCs w:val="21"/>
              </w:rPr>
            </w:pPr>
          </w:p>
        </w:tc>
        <w:tc>
          <w:tcPr>
            <w:tcW w:w="1938" w:type="dxa"/>
          </w:tcPr>
          <w:p>
            <w:pPr>
              <w:adjustRightInd w:val="0"/>
              <w:snapToGrid w:val="0"/>
              <w:spacing w:line="360" w:lineRule="auto"/>
              <w:rPr>
                <w:rFonts w:ascii="宋体" w:hAnsi="宋体" w:cs="宋体"/>
                <w:bCs/>
                <w:szCs w:val="21"/>
              </w:rPr>
            </w:pPr>
          </w:p>
        </w:tc>
        <w:tc>
          <w:tcPr>
            <w:tcW w:w="1232" w:type="dxa"/>
          </w:tcPr>
          <w:p>
            <w:pPr>
              <w:adjustRightInd w:val="0"/>
              <w:snapToGrid w:val="0"/>
              <w:spacing w:line="360" w:lineRule="auto"/>
              <w:rPr>
                <w:rFonts w:ascii="宋体" w:hAnsi="宋体" w:cs="宋体"/>
                <w:bCs/>
                <w:szCs w:val="21"/>
              </w:rPr>
            </w:pPr>
          </w:p>
        </w:tc>
        <w:tc>
          <w:tcPr>
            <w:tcW w:w="1232" w:type="dxa"/>
          </w:tcPr>
          <w:p>
            <w:pPr>
              <w:adjustRightInd w:val="0"/>
              <w:snapToGrid w:val="0"/>
              <w:spacing w:line="360" w:lineRule="auto"/>
              <w:rPr>
                <w:rFonts w:ascii="宋体" w:hAnsi="宋体" w:cs="宋体"/>
                <w:bCs/>
                <w:szCs w:val="21"/>
              </w:rPr>
            </w:pPr>
          </w:p>
        </w:tc>
        <w:tc>
          <w:tcPr>
            <w:tcW w:w="1232" w:type="dxa"/>
          </w:tcPr>
          <w:p>
            <w:pPr>
              <w:adjustRightInd w:val="0"/>
              <w:snapToGrid w:val="0"/>
              <w:spacing w:line="360" w:lineRule="auto"/>
              <w:rPr>
                <w:rFonts w:ascii="宋体" w:hAnsi="宋体" w:cs="宋体"/>
                <w:bCs/>
                <w:szCs w:val="21"/>
              </w:rPr>
            </w:pPr>
          </w:p>
        </w:tc>
        <w:tc>
          <w:tcPr>
            <w:tcW w:w="1232" w:type="dxa"/>
          </w:tcPr>
          <w:p>
            <w:pPr>
              <w:adjustRightInd w:val="0"/>
              <w:snapToGrid w:val="0"/>
              <w:spacing w:line="360" w:lineRule="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adjustRightInd w:val="0"/>
              <w:snapToGrid w:val="0"/>
              <w:spacing w:line="360" w:lineRule="auto"/>
              <w:rPr>
                <w:rFonts w:ascii="宋体" w:hAnsi="宋体" w:cs="宋体"/>
                <w:bCs/>
                <w:szCs w:val="21"/>
              </w:rPr>
            </w:pPr>
          </w:p>
        </w:tc>
        <w:tc>
          <w:tcPr>
            <w:tcW w:w="1123" w:type="dxa"/>
          </w:tcPr>
          <w:p>
            <w:pPr>
              <w:adjustRightInd w:val="0"/>
              <w:snapToGrid w:val="0"/>
              <w:spacing w:line="360" w:lineRule="auto"/>
              <w:rPr>
                <w:rFonts w:ascii="宋体" w:hAnsi="宋体" w:cs="宋体"/>
                <w:bCs/>
                <w:szCs w:val="21"/>
              </w:rPr>
            </w:pPr>
          </w:p>
        </w:tc>
        <w:tc>
          <w:tcPr>
            <w:tcW w:w="1260" w:type="dxa"/>
          </w:tcPr>
          <w:p>
            <w:pPr>
              <w:adjustRightInd w:val="0"/>
              <w:snapToGrid w:val="0"/>
              <w:spacing w:line="360" w:lineRule="auto"/>
              <w:rPr>
                <w:rFonts w:ascii="宋体" w:hAnsi="宋体" w:cs="宋体"/>
                <w:bCs/>
                <w:szCs w:val="21"/>
              </w:rPr>
            </w:pPr>
          </w:p>
        </w:tc>
        <w:tc>
          <w:tcPr>
            <w:tcW w:w="1938" w:type="dxa"/>
          </w:tcPr>
          <w:p>
            <w:pPr>
              <w:adjustRightInd w:val="0"/>
              <w:snapToGrid w:val="0"/>
              <w:spacing w:line="360" w:lineRule="auto"/>
              <w:rPr>
                <w:rFonts w:ascii="宋体" w:hAnsi="宋体" w:cs="宋体"/>
                <w:bCs/>
                <w:szCs w:val="21"/>
              </w:rPr>
            </w:pPr>
          </w:p>
        </w:tc>
        <w:tc>
          <w:tcPr>
            <w:tcW w:w="1232" w:type="dxa"/>
          </w:tcPr>
          <w:p>
            <w:pPr>
              <w:adjustRightInd w:val="0"/>
              <w:snapToGrid w:val="0"/>
              <w:spacing w:line="360" w:lineRule="auto"/>
              <w:rPr>
                <w:rFonts w:ascii="宋体" w:hAnsi="宋体" w:cs="宋体"/>
                <w:bCs/>
                <w:szCs w:val="21"/>
              </w:rPr>
            </w:pPr>
          </w:p>
        </w:tc>
        <w:tc>
          <w:tcPr>
            <w:tcW w:w="1232" w:type="dxa"/>
          </w:tcPr>
          <w:p>
            <w:pPr>
              <w:adjustRightInd w:val="0"/>
              <w:snapToGrid w:val="0"/>
              <w:spacing w:line="360" w:lineRule="auto"/>
              <w:rPr>
                <w:rFonts w:ascii="宋体" w:hAnsi="宋体" w:cs="宋体"/>
                <w:bCs/>
                <w:szCs w:val="21"/>
              </w:rPr>
            </w:pPr>
          </w:p>
        </w:tc>
        <w:tc>
          <w:tcPr>
            <w:tcW w:w="1232" w:type="dxa"/>
          </w:tcPr>
          <w:p>
            <w:pPr>
              <w:adjustRightInd w:val="0"/>
              <w:snapToGrid w:val="0"/>
              <w:spacing w:line="360" w:lineRule="auto"/>
              <w:rPr>
                <w:rFonts w:ascii="宋体" w:hAnsi="宋体" w:cs="宋体"/>
                <w:bCs/>
                <w:szCs w:val="21"/>
              </w:rPr>
            </w:pPr>
          </w:p>
        </w:tc>
        <w:tc>
          <w:tcPr>
            <w:tcW w:w="1232" w:type="dxa"/>
          </w:tcPr>
          <w:p>
            <w:pPr>
              <w:adjustRightInd w:val="0"/>
              <w:snapToGrid w:val="0"/>
              <w:spacing w:line="360" w:lineRule="auto"/>
              <w:rPr>
                <w:rFonts w:ascii="宋体" w:hAnsi="宋体" w:cs="宋体"/>
                <w:bCs/>
                <w:szCs w:val="21"/>
              </w:rPr>
            </w:pPr>
          </w:p>
        </w:tc>
      </w:tr>
    </w:tbl>
    <w:p>
      <w:pPr>
        <w:adjustRightInd w:val="0"/>
        <w:snapToGrid w:val="0"/>
        <w:spacing w:line="360" w:lineRule="auto"/>
        <w:rPr>
          <w:rFonts w:ascii="宋体" w:hAnsi="宋体" w:cs="宋体"/>
          <w:szCs w:val="21"/>
        </w:rPr>
      </w:pPr>
      <w:r>
        <w:rPr>
          <w:rFonts w:hint="eastAsia" w:ascii="宋体" w:hAnsi="宋体" w:cs="宋体"/>
          <w:szCs w:val="21"/>
        </w:rPr>
        <w:t>投标单位公章：</w:t>
      </w:r>
    </w:p>
    <w:p>
      <w:pPr>
        <w:tabs>
          <w:tab w:val="left" w:pos="414"/>
          <w:tab w:val="left" w:pos="1974"/>
          <w:tab w:val="left" w:pos="3414"/>
          <w:tab w:val="left" w:pos="4854"/>
          <w:tab w:val="left" w:pos="6174"/>
          <w:tab w:val="left" w:pos="7614"/>
          <w:tab w:val="left" w:pos="9414"/>
        </w:tabs>
        <w:adjustRightInd w:val="0"/>
        <w:snapToGrid w:val="0"/>
        <w:spacing w:line="360" w:lineRule="auto"/>
        <w:rPr>
          <w:rFonts w:ascii="宋体" w:hAnsi="宋体" w:cs="宋体"/>
          <w:szCs w:val="21"/>
        </w:rPr>
      </w:pPr>
      <w:r>
        <w:rPr>
          <w:rFonts w:hint="eastAsia" w:ascii="宋体" w:hAnsi="宋体" w:cs="宋体"/>
          <w:szCs w:val="21"/>
        </w:rPr>
        <w:t>法人代表或被授权人签字：</w:t>
      </w:r>
    </w:p>
    <w:p>
      <w:pPr>
        <w:tabs>
          <w:tab w:val="left" w:pos="414"/>
          <w:tab w:val="left" w:pos="1974"/>
          <w:tab w:val="left" w:pos="3414"/>
          <w:tab w:val="left" w:pos="4854"/>
          <w:tab w:val="left" w:pos="6174"/>
          <w:tab w:val="left" w:pos="7614"/>
          <w:tab w:val="left" w:pos="9414"/>
        </w:tabs>
        <w:adjustRightInd w:val="0"/>
        <w:snapToGrid w:val="0"/>
        <w:spacing w:line="360" w:lineRule="auto"/>
        <w:rPr>
          <w:rFonts w:ascii="宋体" w:hAnsi="宋体" w:cs="宋体"/>
          <w:szCs w:val="21"/>
        </w:rPr>
      </w:pPr>
      <w:r>
        <w:rPr>
          <w:rFonts w:hint="eastAsia" w:ascii="宋体" w:hAnsi="宋体" w:cs="宋体"/>
          <w:szCs w:val="21"/>
        </w:rPr>
        <w:t>注：1. 在备注中填写项目单位名称、联系人、联系电话等内容。</w:t>
      </w:r>
    </w:p>
    <w:p>
      <w:pPr>
        <w:tabs>
          <w:tab w:val="left" w:pos="414"/>
          <w:tab w:val="left" w:pos="1974"/>
          <w:tab w:val="left" w:pos="3414"/>
          <w:tab w:val="left" w:pos="4854"/>
          <w:tab w:val="left" w:pos="6174"/>
          <w:tab w:val="left" w:pos="7614"/>
          <w:tab w:val="left" w:pos="9414"/>
        </w:tabs>
        <w:adjustRightInd w:val="0"/>
        <w:snapToGrid w:val="0"/>
        <w:spacing w:line="360" w:lineRule="auto"/>
        <w:rPr>
          <w:rFonts w:ascii="宋体" w:hAnsi="宋体" w:cs="宋体"/>
          <w:szCs w:val="21"/>
        </w:rPr>
      </w:pPr>
      <w:r>
        <w:rPr>
          <w:rFonts w:hint="eastAsia" w:ascii="宋体" w:hAnsi="宋体" w:cs="宋体"/>
          <w:szCs w:val="21"/>
        </w:rPr>
        <w:t>2. 需递交上述项目的证明材料（中标通知书或合同关键页）扫描件（加盖公章）。</w:t>
      </w:r>
    </w:p>
    <w:p>
      <w:pPr>
        <w:tabs>
          <w:tab w:val="left" w:pos="414"/>
          <w:tab w:val="left" w:pos="1974"/>
          <w:tab w:val="left" w:pos="3414"/>
          <w:tab w:val="left" w:pos="4854"/>
          <w:tab w:val="left" w:pos="6174"/>
          <w:tab w:val="left" w:pos="7614"/>
          <w:tab w:val="left" w:pos="9414"/>
        </w:tabs>
        <w:adjustRightInd w:val="0"/>
        <w:snapToGrid w:val="0"/>
        <w:spacing w:line="360" w:lineRule="auto"/>
        <w:rPr>
          <w:rFonts w:ascii="宋体" w:hAnsi="宋体" w:cs="宋体"/>
          <w:szCs w:val="21"/>
        </w:rPr>
      </w:pPr>
      <w:r>
        <w:rPr>
          <w:rFonts w:hint="eastAsia" w:ascii="宋体" w:hAnsi="宋体" w:cs="宋体"/>
          <w:szCs w:val="21"/>
        </w:rPr>
        <w:t>3. 提供的资料须齐全。</w:t>
      </w:r>
    </w:p>
    <w:p>
      <w:pPr>
        <w:tabs>
          <w:tab w:val="left" w:pos="414"/>
          <w:tab w:val="left" w:pos="1974"/>
          <w:tab w:val="left" w:pos="3414"/>
          <w:tab w:val="left" w:pos="4854"/>
          <w:tab w:val="left" w:pos="6174"/>
          <w:tab w:val="left" w:pos="7614"/>
          <w:tab w:val="left" w:pos="9414"/>
        </w:tabs>
        <w:adjustRightInd w:val="0"/>
        <w:snapToGrid w:val="0"/>
        <w:spacing w:line="360" w:lineRule="auto"/>
        <w:rPr>
          <w:rFonts w:ascii="宋体" w:hAnsi="宋体" w:cs="宋体"/>
          <w:bCs/>
          <w:szCs w:val="21"/>
        </w:rPr>
      </w:pPr>
      <w:r>
        <w:rPr>
          <w:rFonts w:hint="eastAsia" w:ascii="宋体" w:hAnsi="宋体" w:cs="宋体"/>
          <w:bCs/>
          <w:szCs w:val="21"/>
        </w:rPr>
        <w:t>（四）同类项目经验（表格自定，需要证明材料）</w:t>
      </w:r>
    </w:p>
    <w:p>
      <w:pPr>
        <w:adjustRightInd w:val="0"/>
        <w:snapToGrid w:val="0"/>
        <w:spacing w:line="360" w:lineRule="auto"/>
        <w:rPr>
          <w:rFonts w:ascii="宋体" w:hAnsi="宋体" w:cs="宋体"/>
          <w:bCs/>
          <w:szCs w:val="21"/>
        </w:rPr>
      </w:pPr>
      <w:r>
        <w:rPr>
          <w:rFonts w:hint="eastAsia" w:ascii="宋体" w:hAnsi="宋体" w:cs="宋体"/>
          <w:bCs/>
          <w:szCs w:val="21"/>
        </w:rPr>
        <w:t>（五）拥有相关专利情况</w:t>
      </w:r>
    </w:p>
    <w:p>
      <w:pPr>
        <w:adjustRightInd w:val="0"/>
        <w:snapToGrid w:val="0"/>
        <w:spacing w:line="360" w:lineRule="auto"/>
        <w:rPr>
          <w:rFonts w:ascii="宋体" w:hAnsi="宋体" w:cs="宋体"/>
          <w:bCs/>
          <w:szCs w:val="21"/>
        </w:rPr>
      </w:pPr>
      <w:r>
        <w:rPr>
          <w:rFonts w:hint="eastAsia" w:ascii="宋体" w:hAnsi="宋体" w:cs="宋体"/>
          <w:bCs/>
          <w:szCs w:val="21"/>
        </w:rPr>
        <w:t xml:space="preserve">  1. 专利一览表</w:t>
      </w:r>
    </w:p>
    <w:p>
      <w:pPr>
        <w:adjustRightInd w:val="0"/>
        <w:snapToGrid w:val="0"/>
        <w:spacing w:line="360" w:lineRule="auto"/>
        <w:rPr>
          <w:rFonts w:ascii="宋体" w:hAnsi="宋体" w:cs="宋体"/>
          <w:bCs/>
          <w:szCs w:val="21"/>
        </w:rPr>
      </w:pPr>
      <w:r>
        <w:rPr>
          <w:rFonts w:hint="eastAsia" w:ascii="宋体" w:hAnsi="宋体" w:cs="宋体"/>
          <w:bCs/>
          <w:szCs w:val="21"/>
        </w:rPr>
        <w:t xml:space="preserve">  2. 专利证书复印件</w:t>
      </w:r>
    </w:p>
    <w:p>
      <w:pPr>
        <w:adjustRightInd w:val="0"/>
        <w:snapToGrid w:val="0"/>
        <w:spacing w:line="360" w:lineRule="auto"/>
        <w:rPr>
          <w:rFonts w:ascii="宋体" w:hAnsi="宋体" w:cs="宋体"/>
          <w:bCs/>
          <w:szCs w:val="21"/>
        </w:rPr>
      </w:pPr>
      <w:r>
        <w:rPr>
          <w:rFonts w:hint="eastAsia" w:ascii="宋体" w:hAnsi="宋体" w:cs="宋体"/>
          <w:bCs/>
          <w:szCs w:val="21"/>
        </w:rPr>
        <w:t>（六）所获荣誉或奖励</w:t>
      </w:r>
    </w:p>
    <w:p>
      <w:pPr>
        <w:adjustRightInd w:val="0"/>
        <w:snapToGrid w:val="0"/>
        <w:spacing w:line="360" w:lineRule="auto"/>
        <w:rPr>
          <w:rFonts w:ascii="宋体" w:hAnsi="宋体" w:cs="宋体"/>
          <w:bCs/>
          <w:szCs w:val="21"/>
        </w:rPr>
      </w:pPr>
      <w:r>
        <w:rPr>
          <w:rFonts w:hint="eastAsia" w:ascii="宋体" w:hAnsi="宋体" w:cs="宋体"/>
          <w:bCs/>
          <w:szCs w:val="21"/>
        </w:rPr>
        <w:t xml:space="preserve">  1. 荣誉或奖励一览表</w:t>
      </w:r>
    </w:p>
    <w:p>
      <w:pPr>
        <w:adjustRightInd w:val="0"/>
        <w:snapToGrid w:val="0"/>
        <w:spacing w:line="360" w:lineRule="auto"/>
        <w:rPr>
          <w:rFonts w:ascii="宋体" w:hAnsi="宋体" w:cs="宋体"/>
          <w:bCs/>
          <w:szCs w:val="21"/>
        </w:rPr>
      </w:pPr>
      <w:r>
        <w:rPr>
          <w:rFonts w:hint="eastAsia" w:ascii="宋体" w:hAnsi="宋体" w:cs="宋体"/>
          <w:bCs/>
          <w:szCs w:val="21"/>
        </w:rPr>
        <w:t xml:space="preserve">  2. 相应荣誉或奖励证明文件</w:t>
      </w:r>
    </w:p>
    <w:p>
      <w:pPr>
        <w:adjustRightInd w:val="0"/>
        <w:snapToGrid w:val="0"/>
        <w:spacing w:line="360" w:lineRule="auto"/>
        <w:rPr>
          <w:b/>
          <w:bCs/>
          <w:sz w:val="24"/>
        </w:rPr>
      </w:pPr>
    </w:p>
    <w:p>
      <w:pPr>
        <w:adjustRightInd w:val="0"/>
        <w:snapToGrid w:val="0"/>
        <w:spacing w:line="360" w:lineRule="auto"/>
        <w:ind w:firstLine="3202" w:firstLineChars="1519"/>
        <w:rPr>
          <w:bCs/>
          <w:szCs w:val="21"/>
        </w:rPr>
      </w:pPr>
      <w:r>
        <w:rPr>
          <w:b/>
          <w:bCs/>
          <w:szCs w:val="21"/>
        </w:rPr>
        <w:t>附：获奖项目案例</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956"/>
        <w:gridCol w:w="2399"/>
        <w:gridCol w:w="2099"/>
        <w:gridCol w:w="2099"/>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54" w:hRule="atLeast"/>
          <w:jc w:val="center"/>
        </w:trPr>
        <w:tc>
          <w:tcPr>
            <w:tcW w:w="956" w:type="dxa"/>
            <w:vAlign w:val="center"/>
          </w:tcPr>
          <w:p>
            <w:pPr>
              <w:adjustRightInd w:val="0"/>
              <w:snapToGrid w:val="0"/>
              <w:spacing w:line="360" w:lineRule="auto"/>
              <w:jc w:val="center"/>
              <w:rPr>
                <w:szCs w:val="21"/>
              </w:rPr>
            </w:pPr>
            <w:r>
              <w:rPr>
                <w:szCs w:val="21"/>
              </w:rPr>
              <w:t>年份</w:t>
            </w:r>
          </w:p>
        </w:tc>
        <w:tc>
          <w:tcPr>
            <w:tcW w:w="2399" w:type="dxa"/>
            <w:vAlign w:val="center"/>
          </w:tcPr>
          <w:p>
            <w:pPr>
              <w:adjustRightInd w:val="0"/>
              <w:snapToGrid w:val="0"/>
              <w:spacing w:line="360" w:lineRule="auto"/>
              <w:jc w:val="center"/>
              <w:rPr>
                <w:szCs w:val="21"/>
              </w:rPr>
            </w:pPr>
            <w:r>
              <w:rPr>
                <w:szCs w:val="21"/>
              </w:rPr>
              <w:t>项目名称</w:t>
            </w:r>
          </w:p>
        </w:tc>
        <w:tc>
          <w:tcPr>
            <w:tcW w:w="2099" w:type="dxa"/>
            <w:vAlign w:val="center"/>
          </w:tcPr>
          <w:p>
            <w:pPr>
              <w:adjustRightInd w:val="0"/>
              <w:snapToGrid w:val="0"/>
              <w:spacing w:line="360" w:lineRule="auto"/>
              <w:jc w:val="center"/>
              <w:rPr>
                <w:szCs w:val="21"/>
              </w:rPr>
            </w:pPr>
            <w:r>
              <w:rPr>
                <w:szCs w:val="21"/>
              </w:rPr>
              <w:t>项目获奖情况</w:t>
            </w:r>
          </w:p>
        </w:tc>
        <w:tc>
          <w:tcPr>
            <w:tcW w:w="2099" w:type="dxa"/>
            <w:vAlign w:val="center"/>
          </w:tcPr>
          <w:p>
            <w:pPr>
              <w:adjustRightInd w:val="0"/>
              <w:snapToGrid w:val="0"/>
              <w:spacing w:line="360" w:lineRule="auto"/>
              <w:jc w:val="center"/>
              <w:rPr>
                <w:szCs w:val="21"/>
              </w:rPr>
            </w:pPr>
            <w:r>
              <w:rPr>
                <w:szCs w:val="21"/>
              </w:rPr>
              <w:t>项目简介</w:t>
            </w:r>
          </w:p>
        </w:tc>
        <w:tc>
          <w:tcPr>
            <w:tcW w:w="2193" w:type="dxa"/>
            <w:vAlign w:val="center"/>
          </w:tcPr>
          <w:p>
            <w:pPr>
              <w:adjustRightInd w:val="0"/>
              <w:snapToGrid w:val="0"/>
              <w:spacing w:line="360" w:lineRule="auto"/>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54" w:hRule="atLeast"/>
          <w:jc w:val="center"/>
        </w:trPr>
        <w:tc>
          <w:tcPr>
            <w:tcW w:w="956" w:type="dxa"/>
            <w:vAlign w:val="center"/>
          </w:tcPr>
          <w:p>
            <w:pPr>
              <w:adjustRightInd w:val="0"/>
              <w:snapToGrid w:val="0"/>
              <w:spacing w:line="360" w:lineRule="auto"/>
              <w:rPr>
                <w:szCs w:val="21"/>
              </w:rPr>
            </w:pPr>
          </w:p>
        </w:tc>
        <w:tc>
          <w:tcPr>
            <w:tcW w:w="2399" w:type="dxa"/>
            <w:vAlign w:val="center"/>
          </w:tcPr>
          <w:p>
            <w:pPr>
              <w:adjustRightInd w:val="0"/>
              <w:snapToGrid w:val="0"/>
              <w:spacing w:line="360" w:lineRule="auto"/>
              <w:rPr>
                <w:szCs w:val="21"/>
              </w:rPr>
            </w:pPr>
          </w:p>
        </w:tc>
        <w:tc>
          <w:tcPr>
            <w:tcW w:w="2099" w:type="dxa"/>
            <w:vAlign w:val="center"/>
          </w:tcPr>
          <w:p>
            <w:pPr>
              <w:adjustRightInd w:val="0"/>
              <w:snapToGrid w:val="0"/>
              <w:spacing w:line="360" w:lineRule="auto"/>
              <w:rPr>
                <w:szCs w:val="21"/>
              </w:rPr>
            </w:pPr>
          </w:p>
        </w:tc>
        <w:tc>
          <w:tcPr>
            <w:tcW w:w="2099" w:type="dxa"/>
            <w:vAlign w:val="center"/>
          </w:tcPr>
          <w:p>
            <w:pPr>
              <w:adjustRightInd w:val="0"/>
              <w:snapToGrid w:val="0"/>
              <w:spacing w:line="360" w:lineRule="auto"/>
              <w:rPr>
                <w:szCs w:val="21"/>
              </w:rPr>
            </w:pPr>
          </w:p>
        </w:tc>
        <w:tc>
          <w:tcPr>
            <w:tcW w:w="2193" w:type="dxa"/>
            <w:vAlign w:val="center"/>
          </w:tcPr>
          <w:p>
            <w:pPr>
              <w:adjustRightInd w:val="0"/>
              <w:snapToGrid w:val="0"/>
              <w:spacing w:line="360" w:lineRule="auto"/>
              <w:rPr>
                <w:szCs w:val="21"/>
              </w:rPr>
            </w:pPr>
          </w:p>
        </w:tc>
      </w:tr>
    </w:tbl>
    <w:p>
      <w:pPr>
        <w:adjustRightInd w:val="0"/>
        <w:snapToGrid w:val="0"/>
        <w:spacing w:line="360" w:lineRule="auto"/>
        <w:rPr>
          <w:szCs w:val="21"/>
        </w:rPr>
      </w:pPr>
    </w:p>
    <w:p>
      <w:pPr>
        <w:adjustRightInd w:val="0"/>
        <w:snapToGrid w:val="0"/>
        <w:spacing w:line="360" w:lineRule="auto"/>
        <w:rPr>
          <w:szCs w:val="21"/>
        </w:rPr>
      </w:pPr>
      <w:r>
        <w:rPr>
          <w:szCs w:val="21"/>
        </w:rPr>
        <w:t>注：提供相关获奖证明文件。</w:t>
      </w:r>
    </w:p>
    <w:p>
      <w:pPr>
        <w:spacing w:line="300" w:lineRule="auto"/>
        <w:jc w:val="left"/>
        <w:rPr>
          <w:b/>
          <w:bCs/>
          <w:sz w:val="24"/>
        </w:rPr>
      </w:pPr>
    </w:p>
    <w:p>
      <w:pPr>
        <w:spacing w:line="300" w:lineRule="auto"/>
        <w:jc w:val="left"/>
        <w:rPr>
          <w:b/>
          <w:bCs/>
          <w:sz w:val="24"/>
        </w:rPr>
      </w:pPr>
    </w:p>
    <w:p>
      <w:pPr>
        <w:spacing w:line="300" w:lineRule="auto"/>
        <w:jc w:val="left"/>
        <w:rPr>
          <w:b/>
          <w:bCs/>
          <w:sz w:val="24"/>
        </w:rPr>
      </w:pPr>
    </w:p>
    <w:p>
      <w:pPr>
        <w:spacing w:line="300" w:lineRule="auto"/>
        <w:jc w:val="left"/>
        <w:rPr>
          <w:b/>
          <w:bCs/>
          <w:sz w:val="24"/>
        </w:rPr>
      </w:pPr>
    </w:p>
    <w:p>
      <w:pPr>
        <w:pStyle w:val="4"/>
        <w:jc w:val="center"/>
        <w:rPr>
          <w:rFonts w:cs="宋体"/>
          <w:bCs w:val="0"/>
          <w:sz w:val="24"/>
          <w:szCs w:val="24"/>
        </w:rPr>
      </w:pPr>
      <w:r>
        <w:rPr>
          <w:rFonts w:hint="eastAsia" w:cs="宋体"/>
          <w:bCs w:val="0"/>
          <w:sz w:val="24"/>
          <w:szCs w:val="24"/>
        </w:rPr>
        <w:t>八、 履约评价情况（汇总表及扫描件）</w:t>
      </w:r>
    </w:p>
    <w:p>
      <w:pPr>
        <w:widowControl/>
        <w:overflowPunct w:val="0"/>
        <w:autoSpaceDE w:val="0"/>
        <w:autoSpaceDN w:val="0"/>
        <w:adjustRightInd w:val="0"/>
        <w:snapToGrid w:val="0"/>
        <w:rPr>
          <w:rFonts w:ascii="宋体" w:hAnsi="宋体" w:cs="宋体"/>
          <w:sz w:val="24"/>
        </w:rPr>
      </w:pPr>
    </w:p>
    <w:p>
      <w:pPr>
        <w:widowControl/>
        <w:overflowPunct w:val="0"/>
        <w:autoSpaceDE w:val="0"/>
        <w:autoSpaceDN w:val="0"/>
        <w:adjustRightInd w:val="0"/>
        <w:snapToGrid w:val="0"/>
        <w:rPr>
          <w:rFonts w:ascii="宋体" w:hAnsi="宋体" w:cs="宋体"/>
          <w:sz w:val="24"/>
        </w:rPr>
      </w:pPr>
    </w:p>
    <w:p>
      <w:pPr>
        <w:spacing w:line="300" w:lineRule="auto"/>
        <w:jc w:val="left"/>
        <w:rPr>
          <w:b/>
          <w:bCs/>
          <w:sz w:val="24"/>
        </w:rPr>
      </w:pPr>
    </w:p>
    <w:p>
      <w:pPr>
        <w:spacing w:line="300" w:lineRule="auto"/>
        <w:jc w:val="left"/>
        <w:rPr>
          <w:b/>
          <w:bCs/>
          <w:sz w:val="24"/>
        </w:rPr>
      </w:pPr>
    </w:p>
    <w:p>
      <w:pPr>
        <w:spacing w:line="0" w:lineRule="atLeast"/>
        <w:ind w:firstLine="2409" w:firstLineChars="1000"/>
        <w:rPr>
          <w:rFonts w:ascii="宋体" w:hAnsi="宋体" w:cs="仿宋"/>
          <w:b/>
          <w:sz w:val="24"/>
        </w:rPr>
      </w:pPr>
      <w:r>
        <w:rPr>
          <w:rFonts w:hint="eastAsia" w:ascii="宋体" w:hAnsi="宋体" w:cs="宋体"/>
          <w:b/>
          <w:sz w:val="24"/>
        </w:rPr>
        <w:t>九、</w:t>
      </w:r>
      <w:r>
        <w:rPr>
          <w:rFonts w:hint="eastAsia" w:ascii="宋体" w:hAnsi="宋体" w:cs="仿宋"/>
          <w:b/>
          <w:sz w:val="24"/>
        </w:rPr>
        <w:t>投标人资质及通过相关认证情况</w:t>
      </w:r>
    </w:p>
    <w:p>
      <w:pPr>
        <w:pStyle w:val="53"/>
      </w:pPr>
      <w:r>
        <w:rPr>
          <w:rFonts w:hint="eastAsia"/>
        </w:rPr>
        <w:t xml:space="preserve">   </w:t>
      </w:r>
    </w:p>
    <w:p>
      <w:pPr>
        <w:pStyle w:val="53"/>
      </w:pPr>
    </w:p>
    <w:p>
      <w:pPr>
        <w:spacing w:line="0" w:lineRule="atLeast"/>
        <w:ind w:firstLine="2168" w:firstLineChars="900"/>
        <w:rPr>
          <w:rFonts w:ascii="宋体" w:hAnsi="宋体" w:cs="仿宋"/>
          <w:b/>
          <w:sz w:val="24"/>
        </w:rPr>
      </w:pPr>
      <w:r>
        <w:rPr>
          <w:rFonts w:ascii="宋体" w:hAnsi="宋体"/>
          <w:b/>
          <w:sz w:val="24"/>
        </w:rPr>
        <w:t>十、</w:t>
      </w:r>
      <w:r>
        <w:rPr>
          <w:rFonts w:hint="eastAsia" w:ascii="宋体" w:hAnsi="宋体" w:cs="仿宋"/>
          <w:b/>
          <w:sz w:val="24"/>
        </w:rPr>
        <w:t>拟安排的项目团队成员（主要技术人员）情况</w:t>
      </w:r>
    </w:p>
    <w:p>
      <w:pPr>
        <w:spacing w:line="0" w:lineRule="atLeast"/>
        <w:ind w:firstLine="2650" w:firstLineChars="1100"/>
        <w:rPr>
          <w:rFonts w:ascii="宋体" w:hAnsi="宋体" w:cs="仿宋"/>
          <w:b/>
          <w:sz w:val="24"/>
        </w:rPr>
      </w:pPr>
      <w:r>
        <w:rPr>
          <w:rFonts w:hint="eastAsia" w:ascii="宋体" w:hAnsi="宋体" w:cs="仿宋"/>
          <w:b/>
          <w:sz w:val="24"/>
        </w:rPr>
        <w:t>十一、售后服务机构</w:t>
      </w:r>
    </w:p>
    <w:p>
      <w:pPr>
        <w:pStyle w:val="53"/>
        <w:ind w:firstLine="422"/>
        <w:rPr>
          <w:b/>
        </w:rPr>
      </w:pPr>
    </w:p>
    <w:p>
      <w:pPr>
        <w:pStyle w:val="53"/>
        <w:ind w:firstLine="422"/>
        <w:rPr>
          <w:b/>
        </w:rPr>
      </w:pPr>
    </w:p>
    <w:p>
      <w:pPr>
        <w:pStyle w:val="53"/>
        <w:ind w:firstLine="422"/>
        <w:rPr>
          <w:b/>
        </w:rPr>
      </w:pPr>
    </w:p>
    <w:p>
      <w:pPr>
        <w:pStyle w:val="53"/>
        <w:ind w:firstLine="422"/>
        <w:rPr>
          <w:b/>
        </w:rPr>
      </w:pPr>
    </w:p>
    <w:p>
      <w:pPr>
        <w:spacing w:line="0" w:lineRule="atLeast"/>
        <w:ind w:firstLine="2650" w:firstLineChars="1100"/>
        <w:rPr>
          <w:rFonts w:ascii="宋体" w:hAnsi="宋体" w:cs="仿宋"/>
          <w:b/>
          <w:color w:val="000000"/>
          <w:sz w:val="24"/>
        </w:rPr>
      </w:pPr>
      <w:r>
        <w:rPr>
          <w:rFonts w:hint="eastAsia" w:ascii="宋体" w:hAnsi="宋体" w:cs="仿宋"/>
          <w:b/>
          <w:color w:val="000000"/>
          <w:sz w:val="24"/>
        </w:rPr>
        <w:t>十二、投标人同类项目业绩情况</w:t>
      </w:r>
    </w:p>
    <w:p>
      <w:pPr>
        <w:pStyle w:val="53"/>
        <w:ind w:firstLine="422"/>
        <w:rPr>
          <w:b/>
        </w:rPr>
      </w:pPr>
    </w:p>
    <w:p>
      <w:pPr>
        <w:pStyle w:val="53"/>
        <w:ind w:firstLine="422"/>
        <w:rPr>
          <w:b/>
        </w:rPr>
      </w:pPr>
    </w:p>
    <w:p>
      <w:pPr>
        <w:pStyle w:val="53"/>
        <w:ind w:firstLine="422"/>
        <w:rPr>
          <w:b/>
        </w:rPr>
      </w:pPr>
    </w:p>
    <w:p>
      <w:pPr>
        <w:pStyle w:val="53"/>
        <w:ind w:firstLine="422"/>
        <w:rPr>
          <w:b/>
        </w:rPr>
      </w:pPr>
    </w:p>
    <w:p>
      <w:pPr>
        <w:spacing w:line="0" w:lineRule="atLeast"/>
        <w:ind w:firstLine="2650" w:firstLineChars="1100"/>
        <w:rPr>
          <w:rFonts w:ascii="宋体" w:hAnsi="宋体" w:cs="仿宋"/>
          <w:b/>
          <w:sz w:val="24"/>
        </w:rPr>
      </w:pPr>
      <w:r>
        <w:rPr>
          <w:rFonts w:hint="eastAsia" w:ascii="宋体" w:hAnsi="宋体" w:cs="仿宋"/>
          <w:b/>
          <w:sz w:val="24"/>
        </w:rPr>
        <w:t>十三、现场踏勘、诚信评审</w:t>
      </w:r>
    </w:p>
    <w:p>
      <w:pPr>
        <w:pStyle w:val="53"/>
        <w:ind w:firstLine="422"/>
        <w:rPr>
          <w:b/>
        </w:rPr>
      </w:pPr>
    </w:p>
    <w:p>
      <w:pPr>
        <w:pStyle w:val="53"/>
        <w:ind w:firstLine="422"/>
        <w:rPr>
          <w:b/>
        </w:rPr>
      </w:pPr>
    </w:p>
    <w:p>
      <w:pPr>
        <w:pStyle w:val="53"/>
        <w:ind w:firstLine="422"/>
        <w:rPr>
          <w:b/>
        </w:rPr>
      </w:pPr>
    </w:p>
    <w:p>
      <w:pPr>
        <w:spacing w:line="0" w:lineRule="atLeast"/>
        <w:ind w:firstLine="2650" w:firstLineChars="1100"/>
        <w:rPr>
          <w:rFonts w:ascii="宋体" w:hAnsi="宋体"/>
          <w:b/>
          <w:sz w:val="24"/>
        </w:rPr>
      </w:pPr>
      <w:r>
        <w:rPr>
          <w:rFonts w:hint="eastAsia" w:ascii="宋体" w:hAnsi="宋体"/>
          <w:b/>
          <w:sz w:val="24"/>
        </w:rPr>
        <w:t>十四、违约承诺</w:t>
      </w:r>
    </w:p>
    <w:p>
      <w:pPr>
        <w:pStyle w:val="53"/>
        <w:ind w:firstLine="422"/>
        <w:rPr>
          <w:b/>
        </w:rPr>
      </w:pPr>
    </w:p>
    <w:p>
      <w:pPr>
        <w:pStyle w:val="53"/>
        <w:ind w:firstLine="422"/>
        <w:rPr>
          <w:b/>
        </w:rPr>
      </w:pPr>
    </w:p>
    <w:p>
      <w:pPr>
        <w:pStyle w:val="4"/>
        <w:jc w:val="center"/>
        <w:rPr>
          <w:rFonts w:cs="宋体"/>
          <w:bCs w:val="0"/>
          <w:sz w:val="24"/>
          <w:szCs w:val="24"/>
        </w:rPr>
      </w:pPr>
    </w:p>
    <w:p>
      <w:pPr>
        <w:spacing w:line="300" w:lineRule="auto"/>
        <w:jc w:val="left"/>
        <w:rPr>
          <w:b/>
          <w:bCs/>
          <w:sz w:val="24"/>
        </w:rPr>
      </w:pPr>
    </w:p>
    <w:p>
      <w:pPr>
        <w:pStyle w:val="4"/>
        <w:jc w:val="center"/>
        <w:rPr>
          <w:rFonts w:cs="宋体"/>
          <w:bCs w:val="0"/>
          <w:sz w:val="24"/>
          <w:szCs w:val="24"/>
        </w:rPr>
      </w:pPr>
      <w:r>
        <w:rPr>
          <w:rFonts w:hint="eastAsia" w:cs="宋体"/>
          <w:bCs w:val="0"/>
          <w:sz w:val="24"/>
          <w:szCs w:val="24"/>
        </w:rPr>
        <w:t>十五．实质性条款响应情况表</w:t>
      </w:r>
    </w:p>
    <w:p>
      <w:pPr>
        <w:rPr>
          <w:rFonts w:ascii="宋体" w:hAnsi="宋体" w:cs="宋体"/>
          <w:szCs w:val="21"/>
        </w:rPr>
      </w:pPr>
      <w:r>
        <w:rPr>
          <w:rFonts w:hint="eastAsia" w:ascii="宋体" w:hAnsi="宋体" w:cs="宋体"/>
          <w:szCs w:val="21"/>
        </w:rPr>
        <w:t>项目名称：</w:t>
      </w:r>
      <w:r>
        <w:rPr>
          <w:rFonts w:hint="eastAsia" w:ascii="宋体" w:hAnsi="宋体" w:cs="宋体"/>
          <w:szCs w:val="21"/>
          <w:u w:val="single"/>
        </w:rPr>
        <w:t>___________________________________</w:t>
      </w:r>
      <w:r>
        <w:rPr>
          <w:rFonts w:hint="eastAsia" w:ascii="宋体" w:hAnsi="宋体" w:cs="宋体"/>
          <w:szCs w:val="21"/>
        </w:rPr>
        <w:t>采购项目编号：</w:t>
      </w:r>
      <w:r>
        <w:rPr>
          <w:rFonts w:hint="eastAsia" w:ascii="宋体" w:hAnsi="宋体" w:cs="宋体"/>
          <w:szCs w:val="21"/>
          <w:u w:val="single"/>
        </w:rPr>
        <w:t>_______________________</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4412"/>
        <w:gridCol w:w="3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 w:type="pct"/>
            <w:vAlign w:val="center"/>
          </w:tcPr>
          <w:p>
            <w:pPr>
              <w:jc w:val="center"/>
              <w:rPr>
                <w:rFonts w:ascii="宋体" w:hAnsi="宋体" w:cs="宋体"/>
                <w:szCs w:val="21"/>
              </w:rPr>
            </w:pPr>
            <w:r>
              <w:rPr>
                <w:rFonts w:hint="eastAsia" w:ascii="宋体" w:hAnsi="宋体" w:cs="宋体"/>
                <w:szCs w:val="21"/>
              </w:rPr>
              <w:t>序号</w:t>
            </w:r>
          </w:p>
        </w:tc>
        <w:tc>
          <w:tcPr>
            <w:tcW w:w="2305" w:type="pct"/>
            <w:vAlign w:val="center"/>
          </w:tcPr>
          <w:p>
            <w:pPr>
              <w:jc w:val="center"/>
              <w:rPr>
                <w:rFonts w:ascii="宋体" w:hAnsi="宋体" w:cs="宋体"/>
                <w:szCs w:val="21"/>
              </w:rPr>
            </w:pPr>
            <w:r>
              <w:rPr>
                <w:rFonts w:hint="eastAsia" w:ascii="宋体" w:hAnsi="宋体" w:cs="宋体"/>
                <w:szCs w:val="21"/>
              </w:rPr>
              <w:t>招标文件要求内容</w:t>
            </w:r>
          </w:p>
        </w:tc>
        <w:tc>
          <w:tcPr>
            <w:tcW w:w="2083" w:type="pct"/>
            <w:vAlign w:val="center"/>
          </w:tcPr>
          <w:p>
            <w:pPr>
              <w:jc w:val="center"/>
              <w:rPr>
                <w:rFonts w:ascii="宋体" w:hAnsi="宋体" w:cs="宋体"/>
                <w:szCs w:val="21"/>
              </w:rPr>
            </w:pPr>
            <w:r>
              <w:rPr>
                <w:rFonts w:hint="eastAsia" w:ascii="宋体" w:hAnsi="宋体" w:cs="宋体"/>
                <w:szCs w:val="21"/>
              </w:rPr>
              <w:t>投标文件响应情况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 w:type="pct"/>
            <w:vAlign w:val="center"/>
          </w:tcPr>
          <w:p>
            <w:pPr>
              <w:jc w:val="center"/>
              <w:rPr>
                <w:rFonts w:ascii="宋体" w:hAnsi="宋体" w:cs="宋体"/>
                <w:szCs w:val="21"/>
              </w:rPr>
            </w:pPr>
            <w:r>
              <w:rPr>
                <w:rFonts w:hint="eastAsia" w:ascii="宋体" w:hAnsi="宋体" w:cs="宋体"/>
                <w:szCs w:val="21"/>
              </w:rPr>
              <w:t>1</w:t>
            </w:r>
          </w:p>
        </w:tc>
        <w:tc>
          <w:tcPr>
            <w:tcW w:w="2305" w:type="pct"/>
            <w:vAlign w:val="center"/>
          </w:tcPr>
          <w:p>
            <w:pPr>
              <w:jc w:val="left"/>
              <w:rPr>
                <w:rFonts w:ascii="宋体" w:hAnsi="宋体" w:cs="宋体"/>
                <w:szCs w:val="21"/>
              </w:rPr>
            </w:pPr>
            <w:r>
              <w:rPr>
                <w:rFonts w:hint="eastAsia" w:ascii="宋体" w:hAnsi="宋体" w:cs="宋体"/>
                <w:szCs w:val="21"/>
              </w:rPr>
              <w:t>凡出现《资格性审查表》及《符合性审查表》中情形之一的，将导致投标无效。以评审现场结论为准。</w:t>
            </w:r>
          </w:p>
        </w:tc>
        <w:tc>
          <w:tcPr>
            <w:tcW w:w="2083" w:type="pct"/>
            <w:vAlign w:val="center"/>
          </w:tcPr>
          <w:p>
            <w:pPr>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 w:type="pct"/>
            <w:vAlign w:val="center"/>
          </w:tcPr>
          <w:p>
            <w:pPr>
              <w:jc w:val="center"/>
              <w:rPr>
                <w:rFonts w:ascii="宋体" w:hAnsi="宋体" w:cs="宋体"/>
                <w:szCs w:val="21"/>
              </w:rPr>
            </w:pPr>
            <w:r>
              <w:rPr>
                <w:rFonts w:hint="eastAsia" w:ascii="宋体" w:hAnsi="宋体" w:cs="宋体"/>
                <w:szCs w:val="21"/>
              </w:rPr>
              <w:t>2</w:t>
            </w:r>
          </w:p>
        </w:tc>
        <w:tc>
          <w:tcPr>
            <w:tcW w:w="2305" w:type="pct"/>
            <w:vAlign w:val="center"/>
          </w:tcPr>
          <w:p>
            <w:pPr>
              <w:jc w:val="left"/>
              <w:rPr>
                <w:rFonts w:ascii="宋体" w:hAnsi="宋体" w:cs="宋体"/>
                <w:szCs w:val="21"/>
              </w:rPr>
            </w:pPr>
            <w:r>
              <w:rPr>
                <w:rFonts w:hint="eastAsia" w:ascii="宋体" w:hAnsi="宋体" w:cs="宋体"/>
                <w:szCs w:val="21"/>
              </w:rPr>
              <w:t>完全满足本项目服务期限的要求。</w:t>
            </w:r>
          </w:p>
        </w:tc>
        <w:tc>
          <w:tcPr>
            <w:tcW w:w="2083" w:type="pct"/>
            <w:vAlign w:val="center"/>
          </w:tcPr>
          <w:p>
            <w:pPr>
              <w:jc w:val="left"/>
              <w:rPr>
                <w:rFonts w:ascii="宋体" w:hAnsi="宋体" w:cs="宋体"/>
                <w:szCs w:val="21"/>
              </w:rPr>
            </w:pPr>
          </w:p>
        </w:tc>
      </w:tr>
    </w:tbl>
    <w:p>
      <w:pPr>
        <w:widowControl/>
        <w:shd w:val="clear" w:color="auto" w:fill="FFFFFF"/>
        <w:spacing w:before="280" w:after="290" w:line="377" w:lineRule="auto"/>
        <w:ind w:left="283"/>
        <w:jc w:val="left"/>
        <w:rPr>
          <w:b/>
          <w:bCs/>
          <w:sz w:val="24"/>
        </w:rPr>
      </w:pPr>
    </w:p>
    <w:p>
      <w:pPr>
        <w:pStyle w:val="4"/>
        <w:jc w:val="center"/>
        <w:rPr>
          <w:rFonts w:cs="宋体"/>
          <w:bCs w:val="0"/>
          <w:sz w:val="24"/>
          <w:szCs w:val="24"/>
        </w:rPr>
      </w:pPr>
      <w:r>
        <w:rPr>
          <w:rFonts w:hint="eastAsia" w:cs="宋体"/>
          <w:bCs w:val="0"/>
          <w:sz w:val="24"/>
          <w:szCs w:val="24"/>
        </w:rPr>
        <w:t>十六．技术性条款响应情况表</w:t>
      </w:r>
    </w:p>
    <w:tbl>
      <w:tblPr>
        <w:tblStyle w:val="43"/>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48"/>
        <w:gridCol w:w="3743"/>
        <w:gridCol w:w="1356"/>
        <w:gridCol w:w="1368"/>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blHeader/>
          <w:jc w:val="center"/>
        </w:trPr>
        <w:tc>
          <w:tcPr>
            <w:tcW w:w="737" w:type="dxa"/>
            <w:vAlign w:val="center"/>
          </w:tcPr>
          <w:p>
            <w:pPr>
              <w:widowControl/>
              <w:overflowPunct w:val="0"/>
              <w:autoSpaceDE w:val="0"/>
              <w:autoSpaceDN w:val="0"/>
              <w:adjustRightInd w:val="0"/>
              <w:snapToGrid w:val="0"/>
              <w:jc w:val="center"/>
              <w:rPr>
                <w:rFonts w:ascii="宋体" w:hAnsi="宋体" w:cs="宋体"/>
                <w:szCs w:val="21"/>
              </w:rPr>
            </w:pPr>
            <w:r>
              <w:rPr>
                <w:rFonts w:hint="eastAsia" w:ascii="宋体" w:hAnsi="宋体" w:cs="宋体"/>
                <w:szCs w:val="21"/>
              </w:rPr>
              <w:t>序号</w:t>
            </w:r>
          </w:p>
        </w:tc>
        <w:tc>
          <w:tcPr>
            <w:tcW w:w="1248" w:type="dxa"/>
            <w:vAlign w:val="center"/>
          </w:tcPr>
          <w:p>
            <w:pPr>
              <w:widowControl/>
              <w:overflowPunct w:val="0"/>
              <w:autoSpaceDE w:val="0"/>
              <w:autoSpaceDN w:val="0"/>
              <w:adjustRightInd w:val="0"/>
              <w:snapToGrid w:val="0"/>
              <w:jc w:val="center"/>
              <w:rPr>
                <w:rFonts w:ascii="宋体" w:hAnsi="宋体" w:cs="宋体"/>
                <w:szCs w:val="21"/>
              </w:rPr>
            </w:pPr>
            <w:r>
              <w:rPr>
                <w:rFonts w:hint="eastAsia" w:ascii="宋体" w:hAnsi="宋体" w:cs="宋体"/>
                <w:szCs w:val="21"/>
              </w:rPr>
              <w:t>内容</w:t>
            </w:r>
          </w:p>
        </w:tc>
        <w:tc>
          <w:tcPr>
            <w:tcW w:w="3743" w:type="dxa"/>
            <w:vAlign w:val="center"/>
          </w:tcPr>
          <w:p>
            <w:pPr>
              <w:widowControl/>
              <w:overflowPunct w:val="0"/>
              <w:autoSpaceDE w:val="0"/>
              <w:autoSpaceDN w:val="0"/>
              <w:adjustRightInd w:val="0"/>
              <w:snapToGrid w:val="0"/>
              <w:jc w:val="center"/>
              <w:rPr>
                <w:rFonts w:ascii="宋体" w:hAnsi="宋体" w:cs="宋体"/>
                <w:szCs w:val="21"/>
              </w:rPr>
            </w:pPr>
            <w:r>
              <w:rPr>
                <w:rFonts w:hint="eastAsia" w:ascii="宋体" w:hAnsi="宋体" w:cs="宋体"/>
                <w:szCs w:val="21"/>
              </w:rPr>
              <w:t>技术要求</w:t>
            </w:r>
          </w:p>
        </w:tc>
        <w:tc>
          <w:tcPr>
            <w:tcW w:w="1356" w:type="dxa"/>
            <w:vAlign w:val="center"/>
          </w:tcPr>
          <w:p>
            <w:pPr>
              <w:widowControl/>
              <w:overflowPunct w:val="0"/>
              <w:autoSpaceDE w:val="0"/>
              <w:autoSpaceDN w:val="0"/>
              <w:adjustRightInd w:val="0"/>
              <w:snapToGrid w:val="0"/>
              <w:jc w:val="center"/>
              <w:rPr>
                <w:rFonts w:ascii="宋体" w:hAnsi="宋体" w:cs="宋体"/>
                <w:szCs w:val="21"/>
              </w:rPr>
            </w:pPr>
            <w:r>
              <w:rPr>
                <w:rFonts w:hint="eastAsia" w:ascii="宋体" w:hAnsi="宋体" w:cs="宋体"/>
                <w:szCs w:val="21"/>
              </w:rPr>
              <w:t>响应情况</w:t>
            </w:r>
          </w:p>
        </w:tc>
        <w:tc>
          <w:tcPr>
            <w:tcW w:w="1368" w:type="dxa"/>
            <w:vAlign w:val="center"/>
          </w:tcPr>
          <w:p>
            <w:pPr>
              <w:widowControl/>
              <w:overflowPunct w:val="0"/>
              <w:autoSpaceDE w:val="0"/>
              <w:autoSpaceDN w:val="0"/>
              <w:adjustRightInd w:val="0"/>
              <w:snapToGrid w:val="0"/>
              <w:jc w:val="center"/>
              <w:rPr>
                <w:rFonts w:ascii="宋体" w:hAnsi="宋体" w:cs="宋体"/>
                <w:szCs w:val="21"/>
              </w:rPr>
            </w:pPr>
            <w:r>
              <w:rPr>
                <w:rFonts w:hint="eastAsia" w:ascii="宋体" w:hAnsi="宋体" w:cs="宋体"/>
                <w:szCs w:val="21"/>
              </w:rPr>
              <w:t>偏离情况</w:t>
            </w:r>
          </w:p>
        </w:tc>
        <w:tc>
          <w:tcPr>
            <w:tcW w:w="1236" w:type="dxa"/>
            <w:vAlign w:val="center"/>
          </w:tcPr>
          <w:p>
            <w:pPr>
              <w:widowControl/>
              <w:overflowPunct w:val="0"/>
              <w:autoSpaceDE w:val="0"/>
              <w:autoSpaceDN w:val="0"/>
              <w:adjustRightInd w:val="0"/>
              <w:snapToGrid w:val="0"/>
              <w:jc w:val="cente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7" w:type="dxa"/>
            <w:vAlign w:val="center"/>
          </w:tcPr>
          <w:p>
            <w:pPr>
              <w:jc w:val="center"/>
              <w:rPr>
                <w:szCs w:val="21"/>
              </w:rPr>
            </w:pPr>
          </w:p>
        </w:tc>
        <w:tc>
          <w:tcPr>
            <w:tcW w:w="1248" w:type="dxa"/>
            <w:vAlign w:val="center"/>
          </w:tcPr>
          <w:p>
            <w:pPr>
              <w:jc w:val="center"/>
              <w:rPr>
                <w:szCs w:val="21"/>
              </w:rPr>
            </w:pPr>
          </w:p>
        </w:tc>
        <w:tc>
          <w:tcPr>
            <w:tcW w:w="3743" w:type="dxa"/>
          </w:tcPr>
          <w:p>
            <w:pPr>
              <w:rPr>
                <w:szCs w:val="21"/>
              </w:rPr>
            </w:pPr>
          </w:p>
        </w:tc>
        <w:tc>
          <w:tcPr>
            <w:tcW w:w="1356" w:type="dxa"/>
          </w:tcPr>
          <w:p>
            <w:pPr>
              <w:rPr>
                <w:rFonts w:ascii="宋体" w:hAnsi="宋体" w:cs="宋体"/>
                <w:szCs w:val="21"/>
              </w:rPr>
            </w:pPr>
          </w:p>
        </w:tc>
        <w:tc>
          <w:tcPr>
            <w:tcW w:w="1368" w:type="dxa"/>
          </w:tcPr>
          <w:p>
            <w:pPr>
              <w:rPr>
                <w:rFonts w:ascii="宋体" w:hAnsi="宋体" w:cs="宋体"/>
                <w:szCs w:val="21"/>
              </w:rPr>
            </w:pPr>
          </w:p>
        </w:tc>
        <w:tc>
          <w:tcPr>
            <w:tcW w:w="1236" w:type="dxa"/>
            <w:vAlign w:val="center"/>
          </w:tcPr>
          <w:p>
            <w:pPr>
              <w:jc w:val="center"/>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37" w:type="dxa"/>
            <w:vAlign w:val="center"/>
          </w:tcPr>
          <w:p>
            <w:pPr>
              <w:jc w:val="center"/>
              <w:rPr>
                <w:szCs w:val="21"/>
              </w:rPr>
            </w:pPr>
          </w:p>
        </w:tc>
        <w:tc>
          <w:tcPr>
            <w:tcW w:w="1248" w:type="dxa"/>
            <w:vAlign w:val="center"/>
          </w:tcPr>
          <w:p>
            <w:pPr>
              <w:jc w:val="center"/>
              <w:rPr>
                <w:szCs w:val="21"/>
              </w:rPr>
            </w:pPr>
          </w:p>
        </w:tc>
        <w:tc>
          <w:tcPr>
            <w:tcW w:w="3743" w:type="dxa"/>
          </w:tcPr>
          <w:p>
            <w:pPr>
              <w:rPr>
                <w:szCs w:val="21"/>
              </w:rPr>
            </w:pPr>
          </w:p>
        </w:tc>
        <w:tc>
          <w:tcPr>
            <w:tcW w:w="1356" w:type="dxa"/>
          </w:tcPr>
          <w:p>
            <w:pPr>
              <w:rPr>
                <w:rFonts w:ascii="宋体" w:hAnsi="宋体" w:cs="宋体"/>
                <w:szCs w:val="21"/>
              </w:rPr>
            </w:pPr>
          </w:p>
        </w:tc>
        <w:tc>
          <w:tcPr>
            <w:tcW w:w="1368" w:type="dxa"/>
          </w:tcPr>
          <w:p>
            <w:pPr>
              <w:rPr>
                <w:rFonts w:ascii="宋体" w:hAnsi="宋体" w:cs="宋体"/>
                <w:szCs w:val="21"/>
              </w:rPr>
            </w:pPr>
          </w:p>
        </w:tc>
        <w:tc>
          <w:tcPr>
            <w:tcW w:w="1236"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37" w:type="dxa"/>
            <w:vAlign w:val="center"/>
          </w:tcPr>
          <w:p>
            <w:pPr>
              <w:jc w:val="center"/>
              <w:rPr>
                <w:szCs w:val="21"/>
              </w:rPr>
            </w:pPr>
          </w:p>
        </w:tc>
        <w:tc>
          <w:tcPr>
            <w:tcW w:w="1248" w:type="dxa"/>
            <w:vAlign w:val="center"/>
          </w:tcPr>
          <w:p>
            <w:pPr>
              <w:jc w:val="center"/>
              <w:rPr>
                <w:szCs w:val="21"/>
              </w:rPr>
            </w:pPr>
          </w:p>
        </w:tc>
        <w:tc>
          <w:tcPr>
            <w:tcW w:w="3743" w:type="dxa"/>
          </w:tcPr>
          <w:p>
            <w:pPr>
              <w:rPr>
                <w:szCs w:val="21"/>
              </w:rPr>
            </w:pPr>
          </w:p>
        </w:tc>
        <w:tc>
          <w:tcPr>
            <w:tcW w:w="1356" w:type="dxa"/>
          </w:tcPr>
          <w:p>
            <w:pPr>
              <w:widowControl/>
              <w:overflowPunct w:val="0"/>
              <w:autoSpaceDE w:val="0"/>
              <w:autoSpaceDN w:val="0"/>
              <w:adjustRightInd w:val="0"/>
              <w:snapToGrid w:val="0"/>
              <w:rPr>
                <w:rFonts w:ascii="宋体" w:hAnsi="宋体" w:cs="宋体"/>
                <w:szCs w:val="21"/>
              </w:rPr>
            </w:pPr>
          </w:p>
        </w:tc>
        <w:tc>
          <w:tcPr>
            <w:tcW w:w="1368" w:type="dxa"/>
          </w:tcPr>
          <w:p>
            <w:pPr>
              <w:widowControl/>
              <w:overflowPunct w:val="0"/>
              <w:autoSpaceDE w:val="0"/>
              <w:autoSpaceDN w:val="0"/>
              <w:adjustRightInd w:val="0"/>
              <w:snapToGrid w:val="0"/>
              <w:rPr>
                <w:rFonts w:ascii="宋体" w:hAnsi="宋体" w:cs="宋体"/>
                <w:szCs w:val="21"/>
              </w:rPr>
            </w:pPr>
          </w:p>
        </w:tc>
        <w:tc>
          <w:tcPr>
            <w:tcW w:w="1236" w:type="dxa"/>
            <w:vAlign w:val="center"/>
          </w:tcPr>
          <w:p>
            <w:pPr>
              <w:widowControl/>
              <w:overflowPunct w:val="0"/>
              <w:autoSpaceDE w:val="0"/>
              <w:autoSpaceDN w:val="0"/>
              <w:adjustRightInd w:val="0"/>
              <w:snapToGrid w:val="0"/>
              <w:rPr>
                <w:rFonts w:ascii="宋体" w:hAnsi="宋体" w:cs="宋体"/>
                <w:szCs w:val="21"/>
              </w:rPr>
            </w:pPr>
          </w:p>
        </w:tc>
      </w:tr>
    </w:tbl>
    <w:p>
      <w:pPr>
        <w:spacing w:line="400" w:lineRule="exact"/>
        <w:ind w:left="360"/>
        <w:jc w:val="left"/>
        <w:rPr>
          <w:rFonts w:ascii="宋体" w:hAnsi="宋体" w:cs="Arial"/>
          <w:b/>
          <w:bCs/>
          <w:kern w:val="0"/>
          <w:szCs w:val="21"/>
        </w:rPr>
      </w:pPr>
      <w:r>
        <w:rPr>
          <w:rFonts w:hint="eastAsia" w:ascii="宋体" w:hAnsi="宋体" w:cs="Arial"/>
          <w:bCs/>
          <w:kern w:val="0"/>
          <w:szCs w:val="21"/>
        </w:rPr>
        <w:t>备注： “</w:t>
      </w:r>
      <w:r>
        <w:rPr>
          <w:rFonts w:hint="eastAsia" w:ascii="宋体" w:hAnsi="宋体" w:cs="Arial"/>
          <w:b/>
          <w:bCs/>
          <w:kern w:val="0"/>
          <w:szCs w:val="21"/>
        </w:rPr>
        <w:t>1.2、</w:t>
      </w:r>
      <w:r>
        <w:rPr>
          <w:rFonts w:hint="eastAsia" w:ascii="宋体" w:hAnsi="宋体"/>
          <w:b/>
          <w:bCs/>
          <w:snapToGrid w:val="0"/>
          <w:kern w:val="0"/>
          <w:szCs w:val="21"/>
        </w:rPr>
        <w:t>项目技术服务要求</w:t>
      </w:r>
      <w:r>
        <w:rPr>
          <w:rFonts w:hint="eastAsia" w:ascii="宋体" w:hAnsi="宋体" w:cs="Arial"/>
          <w:bCs/>
          <w:kern w:val="0"/>
          <w:szCs w:val="21"/>
        </w:rPr>
        <w:t>”的内容；“</w:t>
      </w:r>
      <w:r>
        <w:rPr>
          <w:rFonts w:hint="eastAsia" w:ascii="宋体" w:hAnsi="宋体"/>
          <w:kern w:val="0"/>
          <w:szCs w:val="21"/>
        </w:rPr>
        <w:t>投标技术响应</w:t>
      </w:r>
      <w:r>
        <w:rPr>
          <w:rFonts w:hint="eastAsia" w:ascii="宋体" w:hAnsi="宋体" w:cs="Arial"/>
          <w:bCs/>
          <w:kern w:val="0"/>
          <w:szCs w:val="21"/>
        </w:rPr>
        <w:t>”一栏应详细填写投标产品的具体参数响应情况。</w:t>
      </w:r>
    </w:p>
    <w:p>
      <w:pPr>
        <w:spacing w:line="400" w:lineRule="exact"/>
        <w:ind w:left="360" w:firstLine="424" w:firstLineChars="202"/>
        <w:jc w:val="left"/>
        <w:rPr>
          <w:rFonts w:ascii="宋体" w:hAnsi="宋体" w:cs="Arial"/>
          <w:bCs/>
          <w:kern w:val="0"/>
          <w:szCs w:val="21"/>
        </w:rPr>
      </w:pPr>
      <w:r>
        <w:rPr>
          <w:rFonts w:hint="eastAsia" w:ascii="宋体" w:hAnsi="宋体" w:cs="Arial"/>
          <w:bCs/>
          <w:kern w:val="0"/>
          <w:szCs w:val="21"/>
        </w:rPr>
        <w:t>2、“偏离情况”栏中应如实填写“正偏离”、“负偏离”或“无偏离”。</w:t>
      </w:r>
      <w:r>
        <w:rPr>
          <w:rFonts w:hint="eastAsia" w:ascii="宋体" w:hAnsi="宋体"/>
          <w:kern w:val="0"/>
          <w:szCs w:val="21"/>
        </w:rPr>
        <w:t>★、</w:t>
      </w:r>
      <w:r>
        <w:rPr>
          <w:rFonts w:hint="eastAsia" w:ascii="宋体" w:hAnsi="宋体" w:cs="宋体"/>
          <w:kern w:val="0"/>
          <w:szCs w:val="21"/>
        </w:rPr>
        <w:t>▲</w:t>
      </w:r>
      <w:r>
        <w:rPr>
          <w:rFonts w:hint="eastAsia" w:ascii="宋体" w:hAnsi="宋体"/>
          <w:kern w:val="0"/>
          <w:szCs w:val="21"/>
        </w:rPr>
        <w:t>条款为不可负偏离条款，投标文件响应为“负偏离”或未响应的，投标文件将按无效投标处理。</w:t>
      </w:r>
    </w:p>
    <w:p>
      <w:pPr>
        <w:spacing w:line="400" w:lineRule="exact"/>
        <w:ind w:left="360" w:firstLine="424" w:firstLineChars="202"/>
        <w:jc w:val="left"/>
        <w:rPr>
          <w:rFonts w:ascii="宋体" w:hAnsi="宋体"/>
          <w:kern w:val="0"/>
          <w:szCs w:val="21"/>
        </w:rPr>
      </w:pPr>
      <w:r>
        <w:rPr>
          <w:rFonts w:hint="eastAsia" w:ascii="宋体" w:hAnsi="宋体" w:cs="Arial"/>
          <w:bCs/>
          <w:kern w:val="0"/>
          <w:szCs w:val="21"/>
        </w:rPr>
        <w:t>3、</w:t>
      </w:r>
      <w:r>
        <w:rPr>
          <w:rFonts w:hint="eastAsia" w:ascii="宋体" w:hAnsi="宋体" w:cs="Arial"/>
          <w:b/>
          <w:bCs/>
          <w:kern w:val="0"/>
          <w:szCs w:val="21"/>
        </w:rPr>
        <w:t>1.2、项目技术服务要求”</w:t>
      </w:r>
      <w:r>
        <w:rPr>
          <w:rFonts w:hint="eastAsia" w:ascii="宋体" w:hAnsi="宋体"/>
          <w:b/>
          <w:kern w:val="0"/>
          <w:szCs w:val="21"/>
        </w:rPr>
        <w:t>中的要求提供相应的证明资料，以证明投标人响应的真实性。</w:t>
      </w:r>
      <w:r>
        <w:rPr>
          <w:rFonts w:hint="eastAsia" w:ascii="宋体" w:hAnsi="宋体"/>
          <w:kern w:val="0"/>
          <w:szCs w:val="21"/>
        </w:rPr>
        <w:t>投标人应在“说明”一栏中列出技术参数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pPr>
        <w:spacing w:line="400" w:lineRule="exact"/>
        <w:ind w:left="360" w:firstLine="424" w:firstLineChars="202"/>
        <w:jc w:val="left"/>
        <w:rPr>
          <w:b/>
          <w:bCs/>
          <w:szCs w:val="21"/>
        </w:rPr>
      </w:pPr>
      <w:r>
        <w:rPr>
          <w:rFonts w:hint="eastAsia" w:ascii="宋体" w:hAnsi="宋体"/>
          <w:kern w:val="0"/>
          <w:szCs w:val="21"/>
        </w:rPr>
        <w:t>4、证明资料均为复印件或扫描件并加盖投标人公章。</w:t>
      </w:r>
    </w:p>
    <w:p>
      <w:pPr>
        <w:pStyle w:val="4"/>
        <w:jc w:val="center"/>
        <w:rPr>
          <w:rFonts w:cs="宋体"/>
          <w:bCs w:val="0"/>
          <w:sz w:val="24"/>
          <w:szCs w:val="24"/>
        </w:rPr>
      </w:pPr>
      <w:bookmarkStart w:id="46" w:name="_Hlk98321785"/>
      <w:r>
        <w:rPr>
          <w:rFonts w:hint="eastAsia" w:cs="宋体"/>
          <w:bCs w:val="0"/>
          <w:sz w:val="24"/>
          <w:szCs w:val="24"/>
        </w:rPr>
        <w:t>十七、优惠政策声明函等证明文件（可选）</w:t>
      </w:r>
    </w:p>
    <w:p>
      <w:pPr>
        <w:jc w:val="left"/>
        <w:rPr>
          <w:szCs w:val="21"/>
        </w:rPr>
      </w:pPr>
    </w:p>
    <w:p>
      <w:pPr>
        <w:rPr>
          <w:szCs w:val="21"/>
        </w:rPr>
      </w:pPr>
      <w:r>
        <w:rPr>
          <w:szCs w:val="21"/>
        </w:rPr>
        <w:t>填写指引：</w:t>
      </w:r>
    </w:p>
    <w:p>
      <w:pPr>
        <w:ind w:left="-2" w:leftChars="-1" w:firstLine="420" w:firstLineChars="200"/>
        <w:rPr>
          <w:bCs/>
          <w:szCs w:val="21"/>
        </w:rPr>
      </w:pPr>
      <w:r>
        <w:rPr>
          <w:bCs/>
          <w:szCs w:val="21"/>
        </w:rPr>
        <w:t xml:space="preserve">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或向深圳市中小企业服务局咨询。 </w:t>
      </w:r>
    </w:p>
    <w:p>
      <w:pPr>
        <w:ind w:left="-2" w:leftChars="-1" w:firstLine="420" w:firstLineChars="200"/>
        <w:rPr>
          <w:bCs/>
          <w:szCs w:val="21"/>
        </w:rPr>
      </w:pPr>
      <w:r>
        <w:rPr>
          <w:bCs/>
          <w:szCs w:val="21"/>
        </w:rPr>
        <w:t>2.该部分内容填写需要参考的相关文件：</w:t>
      </w:r>
    </w:p>
    <w:p>
      <w:pPr>
        <w:ind w:left="-2" w:leftChars="-1" w:firstLine="420" w:firstLineChars="200"/>
        <w:rPr>
          <w:bCs/>
          <w:szCs w:val="21"/>
        </w:rPr>
      </w:pPr>
      <w:r>
        <w:rPr>
          <w:bCs/>
          <w:szCs w:val="21"/>
        </w:rPr>
        <w:t>（1）《关于印发〈政府采购促进中小企业发展管理办法〉的通知》（财库〔2020〕46号）；</w:t>
      </w:r>
    </w:p>
    <w:p>
      <w:pPr>
        <w:ind w:left="-2" w:leftChars="-1" w:firstLine="420" w:firstLineChars="200"/>
        <w:rPr>
          <w:bCs/>
          <w:szCs w:val="21"/>
        </w:rPr>
      </w:pPr>
      <w:r>
        <w:rPr>
          <w:bCs/>
          <w:szCs w:val="21"/>
        </w:rPr>
        <w:t>（2）《工业和信息化部、国家统计局、国家发展和改革委员会、财政部关于印发中小企业划型标准规定的通知》（工信部联企业〔2011〕300号）；</w:t>
      </w:r>
    </w:p>
    <w:p>
      <w:pPr>
        <w:ind w:left="-2" w:leftChars="-1" w:firstLine="420" w:firstLineChars="200"/>
        <w:rPr>
          <w:bCs/>
          <w:szCs w:val="21"/>
        </w:rPr>
      </w:pPr>
      <w:r>
        <w:rPr>
          <w:bCs/>
          <w:szCs w:val="21"/>
        </w:rPr>
        <w:t>（3）《关于印发〈统计上大中小微型企业划分办法（2017）〉的通知》；</w:t>
      </w:r>
    </w:p>
    <w:p>
      <w:pPr>
        <w:ind w:left="-2" w:leftChars="-1" w:firstLine="420" w:firstLineChars="200"/>
        <w:rPr>
          <w:bCs/>
          <w:szCs w:val="21"/>
        </w:rPr>
      </w:pPr>
      <w:r>
        <w:rPr>
          <w:bCs/>
          <w:szCs w:val="21"/>
        </w:rPr>
        <w:t xml:space="preserve">（4）《关于促进残疾人就业政府采购政策的通知》（财库〔2017〕141号）。 </w:t>
      </w:r>
    </w:p>
    <w:p>
      <w:pPr>
        <w:ind w:left="-2" w:leftChars="-1" w:firstLine="420" w:firstLineChars="200"/>
        <w:rPr>
          <w:bCs/>
          <w:szCs w:val="21"/>
        </w:rPr>
      </w:pPr>
      <w:r>
        <w:rPr>
          <w:bCs/>
          <w:szCs w:val="21"/>
        </w:rPr>
        <w:t xml:space="preserve">3.请依照提供的格式和内容填写声明函，不要随意变更格式或增删内容；满足多项优惠政策的企业，不重复享受多项价格扣除政策。 </w:t>
      </w:r>
    </w:p>
    <w:p>
      <w:pPr>
        <w:ind w:left="-2" w:leftChars="-1" w:firstLine="420" w:firstLineChars="200"/>
        <w:rPr>
          <w:bCs/>
          <w:szCs w:val="21"/>
        </w:rPr>
      </w:pPr>
      <w:r>
        <w:rPr>
          <w:bCs/>
          <w:szCs w:val="21"/>
        </w:rPr>
        <w:t xml:space="preserve">4.声明函具体填写要求： </w:t>
      </w:r>
    </w:p>
    <w:p>
      <w:pPr>
        <w:ind w:left="-2" w:leftChars="-1" w:firstLine="420" w:firstLineChars="200"/>
        <w:rPr>
          <w:bCs/>
          <w:szCs w:val="21"/>
        </w:rPr>
      </w:pPr>
      <w:r>
        <w:rPr>
          <w:bCs/>
          <w:szCs w:val="21"/>
        </w:rPr>
        <w:t xml:space="preserve">（1）声明是中小企业须填写《中小企业声明函》的以下五项内容（填写位置的字体已加粗）： </w:t>
      </w:r>
    </w:p>
    <w:p>
      <w:pPr>
        <w:ind w:left="-2" w:leftChars="-1" w:firstLine="420" w:firstLineChars="200"/>
        <w:rPr>
          <w:bCs/>
          <w:szCs w:val="21"/>
        </w:rPr>
      </w:pPr>
      <w:r>
        <w:rPr>
          <w:bCs/>
          <w:szCs w:val="21"/>
        </w:rPr>
        <w:t xml:space="preserve">第一处，在下划线上如实填写中型或小型或微型； </w:t>
      </w:r>
    </w:p>
    <w:p>
      <w:pPr>
        <w:ind w:left="-2" w:leftChars="-1" w:firstLine="420" w:firstLineChars="200"/>
        <w:rPr>
          <w:bCs/>
          <w:szCs w:val="21"/>
        </w:rPr>
      </w:pPr>
      <w:r>
        <w:rPr>
          <w:bCs/>
          <w:szCs w:val="21"/>
        </w:rPr>
        <w:t xml:space="preserve">第二处，在下划线上如实填写中型或小型或微型； </w:t>
      </w:r>
    </w:p>
    <w:p>
      <w:pPr>
        <w:ind w:left="-2" w:leftChars="-1" w:firstLine="420" w:firstLineChars="200"/>
        <w:rPr>
          <w:bCs/>
          <w:szCs w:val="21"/>
        </w:rPr>
      </w:pPr>
      <w:r>
        <w:rPr>
          <w:bCs/>
          <w:szCs w:val="21"/>
        </w:rPr>
        <w:t xml:space="preserve">第三处，在“采购单位名称”下划线处填写本项目的实际采购单位名称； </w:t>
      </w:r>
    </w:p>
    <w:p>
      <w:pPr>
        <w:ind w:left="-2" w:leftChars="-1" w:firstLine="420" w:firstLineChars="200"/>
        <w:rPr>
          <w:bCs/>
          <w:szCs w:val="21"/>
        </w:rPr>
      </w:pPr>
      <w:r>
        <w:rPr>
          <w:bCs/>
          <w:szCs w:val="21"/>
        </w:rPr>
        <w:t xml:space="preserve">第四处，在“采购项目名称”下划线处填写本项目的实际项目名称（项目名称可在招标公告处查看）； </w:t>
      </w:r>
    </w:p>
    <w:p>
      <w:pPr>
        <w:ind w:left="-2" w:leftChars="-1" w:firstLine="420" w:firstLineChars="200"/>
        <w:rPr>
          <w:bCs/>
          <w:szCs w:val="21"/>
        </w:rPr>
      </w:pPr>
      <w:r>
        <w:rPr>
          <w:bCs/>
          <w:szCs w:val="21"/>
        </w:rPr>
        <w:t>第五处，在“□本企业制造的货物” 或“□提供其他</w:t>
      </w:r>
      <w:r>
        <w:rPr>
          <w:bCs/>
          <w:szCs w:val="21"/>
          <w:u w:val="single"/>
        </w:rPr>
        <w:t>______</w:t>
      </w:r>
      <w:r>
        <w:rPr>
          <w:bCs/>
          <w:szCs w:val="21"/>
        </w:rPr>
        <w:t>企业（请填写：中型、小型、微型）制造的货物”两处中选择一处打√；如选择在“□提供其他</w:t>
      </w:r>
      <w:r>
        <w:rPr>
          <w:bCs/>
          <w:szCs w:val="21"/>
          <w:u w:val="single"/>
        </w:rPr>
        <w:t>______</w:t>
      </w:r>
      <w:r>
        <w:rPr>
          <w:bCs/>
          <w:szCs w:val="21"/>
        </w:rPr>
        <w:t xml:space="preserve">企业（请填写：中型、小型、微型）制造的货物”一处打√，还须在此下划线处如实填写中型或小型或微型； </w:t>
      </w:r>
    </w:p>
    <w:p>
      <w:pPr>
        <w:ind w:left="-2" w:leftChars="-1" w:firstLine="420" w:firstLineChars="200"/>
        <w:rPr>
          <w:bCs/>
          <w:szCs w:val="21"/>
        </w:rPr>
      </w:pPr>
      <w:r>
        <w:rPr>
          <w:bCs/>
          <w:szCs w:val="21"/>
        </w:rPr>
        <w:t>同时请注意：“□本企业制造的货物” 、“□提供其他</w:t>
      </w:r>
      <w:r>
        <w:rPr>
          <w:bCs/>
          <w:szCs w:val="21"/>
          <w:u w:val="single"/>
        </w:rPr>
        <w:t>______</w:t>
      </w:r>
      <w:r>
        <w:rPr>
          <w:bCs/>
          <w:szCs w:val="21"/>
        </w:rPr>
        <w:t xml:space="preserve">企业（请填写：中型、小型、微型）制造的货物”中所称的货物是指单一产品采购项目中的货物，或者非单一产品采购项目中的核心产品（货物），不包括使用大型企业注册商标的货物；本项中的货物制造商应当在投标文件“分项报价清单”中明确列明。 </w:t>
      </w:r>
    </w:p>
    <w:p>
      <w:pPr>
        <w:ind w:left="-2" w:leftChars="-1" w:firstLine="420" w:firstLineChars="200"/>
        <w:rPr>
          <w:bCs/>
          <w:szCs w:val="21"/>
        </w:rPr>
      </w:pPr>
      <w:r>
        <w:rPr>
          <w:bCs/>
          <w:szCs w:val="21"/>
        </w:rPr>
        <w:t xml:space="preserve">（2）声明是残疾人福利性单位须填写《残疾人福利性单位声明函》的三项内容（填写位置的字体已加粗），具体参照以上《中小企业声明函》填写要求执行。 </w:t>
      </w:r>
    </w:p>
    <w:p>
      <w:pPr>
        <w:ind w:left="-2" w:leftChars="-1" w:firstLine="420" w:firstLineChars="200"/>
        <w:rPr>
          <w:bCs/>
          <w:szCs w:val="21"/>
        </w:rPr>
      </w:pPr>
      <w:r>
        <w:rPr>
          <w:bCs/>
          <w:szCs w:val="21"/>
        </w:rPr>
        <w:t xml:space="preserve">（3）声明是监狱企业须填写《监狱企业声明函》的三项内容（填写位置的字体已加粗），具体参照以上《中小企业声明函》填写要求执行。 </w:t>
      </w:r>
    </w:p>
    <w:p>
      <w:pPr>
        <w:ind w:left="-2" w:leftChars="-1" w:firstLine="420" w:firstLineChars="200"/>
        <w:rPr>
          <w:bCs/>
          <w:szCs w:val="21"/>
        </w:rPr>
      </w:pPr>
      <w:r>
        <w:rPr>
          <w:bCs/>
          <w:szCs w:val="21"/>
        </w:rPr>
        <w:t>5.声明函的有效性最终由评审委员会判定；如评审委员会判定声明函无效，相关供应商不享受价格扣除（但不作投标无效处理）。</w:t>
      </w:r>
    </w:p>
    <w:p>
      <w:pPr>
        <w:ind w:left="-2" w:leftChars="-1" w:firstLine="420" w:firstLineChars="200"/>
        <w:rPr>
          <w:bCs/>
          <w:szCs w:val="21"/>
        </w:rPr>
      </w:pPr>
    </w:p>
    <w:p>
      <w:pPr>
        <w:ind w:left="-2" w:leftChars="-1" w:firstLine="420" w:firstLineChars="200"/>
        <w:rPr>
          <w:bCs/>
          <w:szCs w:val="21"/>
        </w:rPr>
      </w:pPr>
    </w:p>
    <w:p>
      <w:pPr>
        <w:ind w:left="-2" w:leftChars="-1" w:firstLine="420" w:firstLineChars="200"/>
        <w:rPr>
          <w:bCs/>
          <w:szCs w:val="21"/>
        </w:rPr>
      </w:pPr>
    </w:p>
    <w:p>
      <w:pPr>
        <w:jc w:val="left"/>
        <w:rPr>
          <w:szCs w:val="21"/>
        </w:rPr>
      </w:pPr>
      <w:r>
        <w:rPr>
          <w:szCs w:val="21"/>
        </w:rPr>
        <w:br w:type="page"/>
      </w:r>
    </w:p>
    <w:p/>
    <w:p>
      <w:pPr>
        <w:jc w:val="center"/>
        <w:outlineLvl w:val="3"/>
        <w:rPr>
          <w:b/>
          <w:sz w:val="24"/>
        </w:rPr>
      </w:pPr>
      <w:r>
        <w:rPr>
          <w:b/>
          <w:sz w:val="24"/>
        </w:rPr>
        <w:t>（一）中小企业声明函（样表）</w:t>
      </w:r>
    </w:p>
    <w:p>
      <w:pPr>
        <w:ind w:firstLine="420" w:firstLineChars="200"/>
        <w:rPr>
          <w:szCs w:val="21"/>
        </w:rPr>
      </w:pPr>
    </w:p>
    <w:p>
      <w:pPr>
        <w:ind w:firstLine="420" w:firstLineChars="200"/>
        <w:jc w:val="left"/>
        <w:rPr>
          <w:szCs w:val="21"/>
        </w:rPr>
      </w:pPr>
      <w:r>
        <w:rPr>
          <w:szCs w:val="21"/>
        </w:rPr>
        <w:t>本公司郑重声明，根据《关于印发&lt;政府采购促进中小企业发展管理办法&gt;的通知》（财库〔2020〕46号）的规定，本公司（联合体）参加(采购单位名称全称)的</w:t>
      </w:r>
      <w:r>
        <w:rPr>
          <w:rFonts w:hint="eastAsia"/>
          <w:szCs w:val="21"/>
        </w:rPr>
        <w:t>（项目名称）</w:t>
      </w:r>
      <w:r>
        <w:rPr>
          <w:szCs w:val="21"/>
        </w:rPr>
        <w:t>采购活动，________________________（填写说明：货物类：提供的货物全部由符合政策要求的中小企业制造。服务类：服务全部由符合政策要求的中小企业承接。工程类：工程的施工单位全部为符合政策要求的中小企业。）相关企业（含联合体中的中小企业、签订分包意向协议的中小企业）的具体情况如下：</w:t>
      </w:r>
    </w:p>
    <w:p>
      <w:pPr>
        <w:ind w:firstLine="420" w:firstLineChars="200"/>
        <w:jc w:val="left"/>
        <w:rPr>
          <w:szCs w:val="21"/>
        </w:rPr>
      </w:pPr>
      <w:r>
        <w:rPr>
          <w:szCs w:val="21"/>
        </w:rPr>
        <w:t>1.（标的名称），属于（采购文件中明确的所属行业）；承建（承接）企业为（企业名称），从业人员____人，营业收入为____万元，资产总额为____万元1，属于（中型企业、小型企业、微型企业）；</w:t>
      </w:r>
    </w:p>
    <w:p>
      <w:pPr>
        <w:ind w:firstLine="420" w:firstLineChars="200"/>
        <w:jc w:val="left"/>
        <w:rPr>
          <w:szCs w:val="21"/>
        </w:rPr>
      </w:pPr>
      <w:r>
        <w:rPr>
          <w:szCs w:val="21"/>
        </w:rPr>
        <w:t>2.（标的名称），属于（采购文件中明确的所属行业）；承建（承接）企业为（企业名称），从业人员____人，营业收入为____万元，资产总额为____万元，属于（中型企业、小型企业、微型企业）；</w:t>
      </w:r>
    </w:p>
    <w:p>
      <w:pPr>
        <w:ind w:firstLine="420" w:firstLineChars="200"/>
        <w:jc w:val="left"/>
        <w:rPr>
          <w:szCs w:val="21"/>
        </w:rPr>
      </w:pPr>
      <w:r>
        <w:rPr>
          <w:szCs w:val="21"/>
        </w:rPr>
        <w:t>……</w:t>
      </w:r>
    </w:p>
    <w:p>
      <w:pPr>
        <w:ind w:firstLine="420" w:firstLineChars="200"/>
        <w:jc w:val="left"/>
        <w:rPr>
          <w:szCs w:val="21"/>
        </w:rPr>
      </w:pPr>
      <w:r>
        <w:rPr>
          <w:szCs w:val="21"/>
        </w:rPr>
        <w:t>以上企业，不属于大企业的分支机构，不存在控股股东为大企业的情形，也不存在与大企业的负责人为同一人的情形。</w:t>
      </w:r>
    </w:p>
    <w:p>
      <w:pPr>
        <w:ind w:firstLine="420" w:firstLineChars="200"/>
        <w:jc w:val="left"/>
        <w:rPr>
          <w:szCs w:val="21"/>
        </w:rPr>
      </w:pPr>
      <w:r>
        <w:rPr>
          <w:szCs w:val="21"/>
        </w:rPr>
        <w:t>本企业对上述声明内容的真实性负责。如有虚假，将依法承担相应责任。</w:t>
      </w:r>
    </w:p>
    <w:p>
      <w:pPr>
        <w:ind w:firstLine="420" w:firstLineChars="200"/>
        <w:jc w:val="left"/>
        <w:rPr>
          <w:szCs w:val="21"/>
        </w:rPr>
      </w:pPr>
      <w:r>
        <w:rPr>
          <w:szCs w:val="21"/>
        </w:rPr>
        <w:t>本企业</w:t>
      </w:r>
      <w:r>
        <w:rPr>
          <w:bCs/>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20" w:firstLineChars="200"/>
        <w:jc w:val="left"/>
        <w:rPr>
          <w:szCs w:val="21"/>
        </w:rPr>
      </w:pPr>
      <w:r>
        <w:rPr>
          <w:szCs w:val="21"/>
        </w:rPr>
        <w:t>企业名称（盖章）：</w:t>
      </w:r>
    </w:p>
    <w:p>
      <w:pPr>
        <w:ind w:firstLine="420" w:firstLineChars="200"/>
        <w:jc w:val="left"/>
        <w:rPr>
          <w:szCs w:val="21"/>
        </w:rPr>
      </w:pPr>
      <w:r>
        <w:rPr>
          <w:szCs w:val="21"/>
        </w:rPr>
        <w:t>日期：</w:t>
      </w:r>
    </w:p>
    <w:p>
      <w:pPr>
        <w:ind w:firstLine="420" w:firstLineChars="200"/>
        <w:jc w:val="left"/>
        <w:rPr>
          <w:szCs w:val="21"/>
        </w:rPr>
      </w:pPr>
    </w:p>
    <w:p>
      <w:pPr>
        <w:ind w:firstLine="420" w:firstLineChars="200"/>
        <w:jc w:val="left"/>
        <w:rPr>
          <w:szCs w:val="21"/>
        </w:rPr>
      </w:pPr>
      <w:r>
        <w:rPr>
          <w:szCs w:val="21"/>
        </w:rPr>
        <w:t>备注：1、从业人员、营业收入、资产总额填报上一年度数据，无上一年度数据的新成立企业可不填报。</w:t>
      </w:r>
    </w:p>
    <w:p>
      <w:pPr>
        <w:jc w:val="center"/>
        <w:outlineLvl w:val="3"/>
        <w:rPr>
          <w:b/>
          <w:sz w:val="24"/>
        </w:rPr>
      </w:pPr>
      <w:r>
        <w:rPr>
          <w:b/>
          <w:sz w:val="24"/>
        </w:rPr>
        <w:t>（二）残疾人福利性单位声明函（样表）</w:t>
      </w:r>
    </w:p>
    <w:p>
      <w:pPr>
        <w:ind w:firstLine="420" w:firstLineChars="200"/>
        <w:rPr>
          <w:szCs w:val="21"/>
        </w:rPr>
      </w:pPr>
    </w:p>
    <w:p>
      <w:pPr>
        <w:ind w:firstLine="420" w:firstLineChars="200"/>
        <w:rPr>
          <w:szCs w:val="21"/>
        </w:rPr>
      </w:pPr>
      <w:r>
        <w:rPr>
          <w:szCs w:val="21"/>
        </w:rPr>
        <w:t>本单位郑重声明，根据《财政部民政部中国残疾人联合会关于促进残疾人就业政府采购政策的通知》（财库〔2017〕141</w:t>
      </w:r>
      <w:r>
        <w:rPr>
          <w:szCs w:val="21"/>
          <w:u w:val="single"/>
        </w:rPr>
        <w:t>_</w:t>
      </w:r>
      <w:r>
        <w:rPr>
          <w:szCs w:val="21"/>
        </w:rPr>
        <w:t>号）的规定，本单位为符合条件的残疾人福利性单位，且本单位参加</w:t>
      </w:r>
      <w:r>
        <w:rPr>
          <w:szCs w:val="21"/>
          <w:u w:val="single"/>
        </w:rPr>
        <w:t>_</w:t>
      </w:r>
      <w:r>
        <w:rPr>
          <w:szCs w:val="21"/>
        </w:rPr>
        <w:t>（采购单位名称）</w:t>
      </w:r>
      <w:r>
        <w:rPr>
          <w:szCs w:val="21"/>
          <w:u w:val="single"/>
        </w:rPr>
        <w:t>_</w:t>
      </w:r>
      <w:r>
        <w:rPr>
          <w:szCs w:val="21"/>
        </w:rPr>
        <w:t>单位的</w:t>
      </w:r>
      <w:r>
        <w:rPr>
          <w:szCs w:val="21"/>
          <w:u w:val="single"/>
        </w:rPr>
        <w:t>_</w:t>
      </w:r>
      <w:r>
        <w:rPr>
          <w:szCs w:val="21"/>
        </w:rPr>
        <w:t>（采购项目名称）项目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本单位知悉《关于促进残疾人就业政府采购政策的通知》（财库〔2017〕141 号）的规定，承诺提供的声明函内容是真实的，如提供声明函内容不实，则依法追究相关法律责任。</w:t>
      </w:r>
    </w:p>
    <w:p>
      <w:pPr>
        <w:ind w:firstLine="420" w:firstLineChars="200"/>
        <w:jc w:val="right"/>
        <w:rPr>
          <w:szCs w:val="21"/>
        </w:rPr>
      </w:pPr>
      <w:r>
        <w:rPr>
          <w:szCs w:val="21"/>
        </w:rPr>
        <w:t>单位名称（盖章）：</w:t>
      </w:r>
      <w:r>
        <w:rPr>
          <w:szCs w:val="21"/>
          <w:u w:val="single"/>
        </w:rPr>
        <w:t>__________________</w:t>
      </w:r>
    </w:p>
    <w:p>
      <w:pPr>
        <w:ind w:firstLine="420" w:firstLineChars="200"/>
        <w:jc w:val="right"/>
        <w:rPr>
          <w:szCs w:val="21"/>
        </w:rPr>
      </w:pPr>
      <w:r>
        <w:rPr>
          <w:szCs w:val="21"/>
        </w:rPr>
        <w:t>日期：</w:t>
      </w:r>
      <w:r>
        <w:rPr>
          <w:szCs w:val="21"/>
          <w:u w:val="single"/>
        </w:rPr>
        <w:t>_________________</w:t>
      </w:r>
    </w:p>
    <w:p>
      <w:pPr>
        <w:ind w:firstLine="420" w:firstLineChars="200"/>
        <w:jc w:val="right"/>
        <w:rPr>
          <w:szCs w:val="21"/>
        </w:rPr>
      </w:pPr>
    </w:p>
    <w:p>
      <w:pPr>
        <w:ind w:firstLine="420" w:firstLineChars="200"/>
        <w:jc w:val="right"/>
        <w:rPr>
          <w:szCs w:val="21"/>
        </w:rPr>
      </w:pPr>
    </w:p>
    <w:p>
      <w:pPr>
        <w:ind w:firstLine="420" w:firstLineChars="200"/>
        <w:jc w:val="right"/>
        <w:rPr>
          <w:szCs w:val="21"/>
        </w:rPr>
      </w:pPr>
    </w:p>
    <w:p>
      <w:pPr>
        <w:ind w:firstLine="643" w:firstLineChars="200"/>
        <w:jc w:val="center"/>
        <w:rPr>
          <w:b/>
          <w:sz w:val="32"/>
          <w:szCs w:val="32"/>
        </w:rPr>
      </w:pPr>
      <w:r>
        <w:rPr>
          <w:b/>
          <w:sz w:val="32"/>
          <w:szCs w:val="32"/>
        </w:rPr>
        <w:br w:type="page"/>
      </w:r>
      <w:r>
        <w:rPr>
          <w:b/>
          <w:sz w:val="24"/>
        </w:rPr>
        <w:t>（三）省级以上监狱管理局、戒毒管理局（含新疆生产建设兵团）出具的属于监狱企业的证明文件（样表）</w:t>
      </w:r>
    </w:p>
    <w:p>
      <w:pPr>
        <w:ind w:firstLine="420" w:firstLineChars="200"/>
        <w:rPr>
          <w:szCs w:val="21"/>
        </w:rPr>
      </w:pPr>
    </w:p>
    <w:p>
      <w:pPr>
        <w:ind w:firstLine="420" w:firstLineChars="200"/>
        <w:rPr>
          <w:szCs w:val="21"/>
        </w:rPr>
      </w:pPr>
      <w:r>
        <w:rPr>
          <w:szCs w:val="21"/>
        </w:rPr>
        <w:t>本单位郑重声明，根据《财政部司法部关于政府采购支持监狱企业发展有关问题的通知》（财库〔2014〕68号）的规定，本单位为符合条件的监狱企业，且本单位参加</w:t>
      </w:r>
      <w:r>
        <w:rPr>
          <w:szCs w:val="21"/>
          <w:u w:val="single"/>
        </w:rPr>
        <w:t>_</w:t>
      </w:r>
      <w:r>
        <w:rPr>
          <w:szCs w:val="21"/>
        </w:rPr>
        <w:t>（采购单位名称）</w:t>
      </w:r>
      <w:r>
        <w:rPr>
          <w:szCs w:val="21"/>
          <w:u w:val="single"/>
        </w:rPr>
        <w:t>_</w:t>
      </w:r>
      <w:r>
        <w:rPr>
          <w:szCs w:val="21"/>
        </w:rPr>
        <w:t>单位的（采购项目名称）项目采购活动，并提供：□本单位制造的货物;□由本单位承担的工程、提供服务;□提供其他监狱企业制造的货物（承诺人在□处打√）。本条所称货物是指单一产品采购项目中的货物，或者非单一产品采购项目中的核心产品（货物）。</w:t>
      </w:r>
    </w:p>
    <w:p>
      <w:pPr>
        <w:ind w:firstLine="420" w:firstLineChars="200"/>
        <w:rPr>
          <w:szCs w:val="21"/>
        </w:rPr>
      </w:pPr>
      <w:r>
        <w:rPr>
          <w:szCs w:val="21"/>
        </w:rPr>
        <w:t>本单位对上述声明的真实性负责。如有虚假，将依法承担相应责任。</w:t>
      </w:r>
    </w:p>
    <w:p>
      <w:pPr>
        <w:ind w:firstLine="420" w:firstLineChars="200"/>
        <w:rPr>
          <w:szCs w:val="21"/>
        </w:rPr>
      </w:pPr>
      <w:r>
        <w:rPr>
          <w:szCs w:val="21"/>
        </w:rPr>
        <w:t>附：省级以上监狱管理局、戒毒管理局（含新疆生产建设兵团）出具的监狱企业证明文件。</w:t>
      </w:r>
    </w:p>
    <w:p>
      <w:pPr>
        <w:ind w:firstLine="420" w:firstLineChars="200"/>
        <w:jc w:val="right"/>
        <w:rPr>
          <w:szCs w:val="21"/>
        </w:rPr>
      </w:pPr>
      <w:r>
        <w:rPr>
          <w:szCs w:val="21"/>
        </w:rPr>
        <w:t>单位名称（盖章）：</w:t>
      </w:r>
      <w:r>
        <w:rPr>
          <w:szCs w:val="21"/>
          <w:u w:val="single"/>
        </w:rPr>
        <w:t>__________________</w:t>
      </w:r>
    </w:p>
    <w:p>
      <w:pPr>
        <w:ind w:firstLine="420" w:firstLineChars="200"/>
        <w:jc w:val="right"/>
        <w:rPr>
          <w:szCs w:val="21"/>
        </w:rPr>
      </w:pPr>
      <w:r>
        <w:rPr>
          <w:szCs w:val="21"/>
        </w:rPr>
        <w:t>日期：</w:t>
      </w:r>
      <w:r>
        <w:rPr>
          <w:szCs w:val="21"/>
          <w:u w:val="single"/>
        </w:rPr>
        <w:t>_________________</w:t>
      </w:r>
    </w:p>
    <w:p>
      <w:pPr>
        <w:ind w:firstLine="420" w:firstLineChars="200"/>
        <w:jc w:val="right"/>
        <w:rPr>
          <w:szCs w:val="21"/>
        </w:rPr>
      </w:pPr>
    </w:p>
    <w:p>
      <w:pPr>
        <w:ind w:firstLine="420" w:firstLineChars="200"/>
        <w:jc w:val="right"/>
        <w:rPr>
          <w:szCs w:val="21"/>
        </w:rPr>
      </w:pPr>
    </w:p>
    <w:p>
      <w:pPr>
        <w:ind w:firstLine="420" w:firstLineChars="200"/>
        <w:jc w:val="right"/>
        <w:rPr>
          <w:szCs w:val="21"/>
        </w:rPr>
      </w:pPr>
    </w:p>
    <w:p>
      <w:pPr>
        <w:ind w:firstLine="482" w:firstLineChars="200"/>
        <w:jc w:val="center"/>
        <w:rPr>
          <w:b/>
          <w:sz w:val="24"/>
        </w:rPr>
      </w:pPr>
      <w:r>
        <w:rPr>
          <w:b/>
          <w:sz w:val="24"/>
        </w:rPr>
        <w:t>（四）含有小型、微型企业的联合体声明函（样表）</w:t>
      </w:r>
    </w:p>
    <w:p>
      <w:pPr>
        <w:ind w:firstLine="420" w:firstLineChars="200"/>
        <w:rPr>
          <w:szCs w:val="21"/>
        </w:rPr>
      </w:pPr>
    </w:p>
    <w:p>
      <w:pPr>
        <w:ind w:firstLine="420" w:firstLineChars="200"/>
        <w:rPr>
          <w:szCs w:val="21"/>
        </w:rPr>
      </w:pPr>
      <w:r>
        <w:rPr>
          <w:szCs w:val="21"/>
        </w:rPr>
        <w:t>1.</w:t>
      </w:r>
      <w:r>
        <w:rPr>
          <w:szCs w:val="21"/>
          <w:u w:val="single"/>
        </w:rPr>
        <w:t>___</w:t>
      </w:r>
      <w:r>
        <w:rPr>
          <w:szCs w:val="21"/>
        </w:rPr>
        <w:t>（供应商名称、供应商名称）</w:t>
      </w:r>
      <w:r>
        <w:rPr>
          <w:szCs w:val="21"/>
          <w:u w:val="single"/>
        </w:rPr>
        <w:t>____</w:t>
      </w:r>
      <w:r>
        <w:rPr>
          <w:szCs w:val="21"/>
        </w:rPr>
        <w:t>共同组成联合体（详见联合体协议）。根据《工业和信息化部、国家统计局、国家发展和改革委员会、财政部关于印发中小企业划型标准规定的通知》（工信部联企业〔2011〕300</w:t>
      </w:r>
      <w:r>
        <w:rPr>
          <w:szCs w:val="21"/>
          <w:u w:val="single"/>
        </w:rPr>
        <w:t>_</w:t>
      </w:r>
      <w:r>
        <w:rPr>
          <w:szCs w:val="21"/>
        </w:rPr>
        <w:t>号）规定的划分标准，本联合体中：</w:t>
      </w:r>
      <w:r>
        <w:rPr>
          <w:szCs w:val="21"/>
        </w:rPr>
        <w:sym w:font="Wingdings 2" w:char="0052"/>
      </w:r>
      <w:r>
        <w:rPr>
          <w:szCs w:val="21"/>
          <w:u w:val="single"/>
        </w:rPr>
        <w:t>______</w:t>
      </w:r>
      <w:r>
        <w:rPr>
          <w:szCs w:val="21"/>
        </w:rPr>
        <w:t>单位为</w:t>
      </w:r>
      <w:r>
        <w:rPr>
          <w:szCs w:val="21"/>
          <w:u w:val="single"/>
        </w:rPr>
        <w:t>______</w:t>
      </w:r>
      <w:r>
        <w:rPr>
          <w:szCs w:val="21"/>
        </w:rPr>
        <w:t>（请填写：中型、小型、微型）企业，</w:t>
      </w:r>
      <w:r>
        <w:rPr>
          <w:szCs w:val="21"/>
          <w:u w:val="single"/>
        </w:rPr>
        <w:t>______</w:t>
      </w:r>
      <w:r>
        <w:rPr>
          <w:szCs w:val="21"/>
        </w:rPr>
        <w:t>单位为</w:t>
      </w:r>
      <w:r>
        <w:rPr>
          <w:szCs w:val="21"/>
          <w:u w:val="single"/>
        </w:rPr>
        <w:t>______</w:t>
      </w:r>
      <w:r>
        <w:rPr>
          <w:szCs w:val="21"/>
        </w:rPr>
        <w:t>（请填写：中型、小型、微型）企业；□联合体各方均为小微企业（承诺人在□处打√）。</w:t>
      </w:r>
    </w:p>
    <w:p>
      <w:pPr>
        <w:ind w:firstLine="420" w:firstLineChars="200"/>
        <w:rPr>
          <w:szCs w:val="21"/>
        </w:rPr>
      </w:pPr>
      <w:r>
        <w:rPr>
          <w:szCs w:val="21"/>
        </w:rPr>
        <w:t>2.本联合体参加</w:t>
      </w:r>
      <w:r>
        <w:rPr>
          <w:szCs w:val="21"/>
          <w:u w:val="single"/>
        </w:rPr>
        <w:t>_</w:t>
      </w:r>
      <w:r>
        <w:rPr>
          <w:szCs w:val="21"/>
        </w:rPr>
        <w:t>（采购单位名称）</w:t>
      </w:r>
      <w:r>
        <w:rPr>
          <w:szCs w:val="21"/>
          <w:u w:val="single"/>
        </w:rPr>
        <w:t>_</w:t>
      </w:r>
      <w:r>
        <w:rPr>
          <w:szCs w:val="21"/>
        </w:rPr>
        <w:t>单位的</w:t>
      </w:r>
      <w:r>
        <w:rPr>
          <w:szCs w:val="21"/>
          <w:u w:val="single"/>
        </w:rPr>
        <w:t>_</w:t>
      </w:r>
      <w:r>
        <w:rPr>
          <w:szCs w:val="21"/>
        </w:rPr>
        <w:t>（采购项目名称）</w:t>
      </w:r>
      <w:r>
        <w:rPr>
          <w:szCs w:val="21"/>
          <w:u w:val="single"/>
        </w:rPr>
        <w:t>_</w:t>
      </w:r>
      <w:r>
        <w:rPr>
          <w:szCs w:val="21"/>
        </w:rPr>
        <w:t>项目采购活动，其中，小型、微型企业协议合同金额占到联合体协议总金额比例为</w:t>
      </w:r>
      <w:r>
        <w:rPr>
          <w:szCs w:val="21"/>
          <w:u w:val="single"/>
        </w:rPr>
        <w:t>_____</w:t>
      </w:r>
      <w:r>
        <w:rPr>
          <w:szCs w:val="21"/>
        </w:rPr>
        <w:t>%（该合同金额为：□小微企业制造的货物，□小微企业承担的工程、提供服务，□提供其他小微企业制造的货物；不包括使用大型企业注册商标的货物；请承诺人在□处打√），符合《政府采购促进中小企业发展暂行办法》(财库〔2011〕181</w:t>
      </w:r>
      <w:r>
        <w:rPr>
          <w:szCs w:val="21"/>
          <w:u w:val="single"/>
        </w:rPr>
        <w:t>_</w:t>
      </w:r>
      <w:r>
        <w:rPr>
          <w:szCs w:val="21"/>
        </w:rPr>
        <w:t>号)第六条规定的优惠政策。本联合体对上述声明的真实性负责。如有虚假，将依法承担相应责任。</w:t>
      </w:r>
    </w:p>
    <w:p>
      <w:pPr>
        <w:ind w:left="424" w:leftChars="202"/>
        <w:jc w:val="left"/>
        <w:rPr>
          <w:szCs w:val="21"/>
        </w:rPr>
      </w:pPr>
      <w:r>
        <w:rPr>
          <w:szCs w:val="21"/>
        </w:rPr>
        <w:t>企业1名称（盖章）：</w:t>
      </w:r>
      <w:r>
        <w:rPr>
          <w:szCs w:val="21"/>
          <w:u w:val="single"/>
        </w:rPr>
        <w:t>_______________________</w:t>
      </w:r>
      <w:r>
        <w:rPr>
          <w:szCs w:val="21"/>
        </w:rPr>
        <w:t xml:space="preserve"> </w:t>
      </w:r>
    </w:p>
    <w:p>
      <w:pPr>
        <w:ind w:left="424" w:leftChars="202"/>
        <w:jc w:val="left"/>
        <w:rPr>
          <w:szCs w:val="21"/>
        </w:rPr>
      </w:pPr>
      <w:r>
        <w:rPr>
          <w:szCs w:val="21"/>
        </w:rPr>
        <w:t>日期：</w:t>
      </w:r>
      <w:r>
        <w:rPr>
          <w:szCs w:val="21"/>
          <w:u w:val="single"/>
        </w:rPr>
        <w:t>_____________________________________</w:t>
      </w:r>
      <w:r>
        <w:rPr>
          <w:szCs w:val="21"/>
        </w:rPr>
        <w:t xml:space="preserve"> </w:t>
      </w:r>
    </w:p>
    <w:p>
      <w:pPr>
        <w:ind w:left="424" w:leftChars="202"/>
        <w:jc w:val="left"/>
        <w:rPr>
          <w:szCs w:val="21"/>
        </w:rPr>
      </w:pPr>
      <w:r>
        <w:rPr>
          <w:szCs w:val="21"/>
        </w:rPr>
        <w:t>企业2名称（盖章）：</w:t>
      </w:r>
      <w:r>
        <w:rPr>
          <w:szCs w:val="21"/>
          <w:u w:val="single"/>
        </w:rPr>
        <w:t>_______________________</w:t>
      </w:r>
    </w:p>
    <w:p>
      <w:pPr>
        <w:ind w:left="424" w:leftChars="202"/>
        <w:rPr>
          <w:szCs w:val="21"/>
        </w:rPr>
      </w:pPr>
      <w:r>
        <w:rPr>
          <w:szCs w:val="21"/>
        </w:rPr>
        <w:t>日期：</w:t>
      </w:r>
      <w:r>
        <w:rPr>
          <w:szCs w:val="21"/>
          <w:u w:val="single"/>
        </w:rPr>
        <w:t>_____________________________________</w:t>
      </w:r>
    </w:p>
    <w:p>
      <w:pPr>
        <w:ind w:left="424" w:leftChars="202"/>
        <w:rPr>
          <w:bCs/>
          <w:szCs w:val="21"/>
        </w:rPr>
      </w:pPr>
      <w:r>
        <w:rPr>
          <w:bCs/>
          <w:szCs w:val="21"/>
        </w:rPr>
        <w:t>……</w:t>
      </w:r>
    </w:p>
    <w:p>
      <w:pPr>
        <w:ind w:left="424" w:leftChars="202"/>
        <w:rPr>
          <w:bCs/>
          <w:szCs w:val="21"/>
        </w:rPr>
      </w:pPr>
    </w:p>
    <w:p>
      <w:pPr>
        <w:pStyle w:val="4"/>
        <w:jc w:val="center"/>
        <w:rPr>
          <w:rFonts w:ascii="黑体" w:eastAsia="黑体"/>
          <w:b w:val="0"/>
          <w:sz w:val="24"/>
          <w:szCs w:val="24"/>
        </w:rPr>
      </w:pPr>
      <w:r>
        <w:rPr>
          <w:rFonts w:hint="eastAsia" w:ascii="黑体" w:eastAsia="黑体"/>
          <w:b w:val="0"/>
          <w:sz w:val="24"/>
          <w:szCs w:val="24"/>
        </w:rPr>
        <w:t>十八、诚信良好的承诺函</w:t>
      </w:r>
    </w:p>
    <w:p>
      <w:pPr>
        <w:jc w:val="center"/>
        <w:rPr>
          <w:b/>
          <w:bCs/>
          <w:sz w:val="32"/>
          <w:szCs w:val="32"/>
        </w:rPr>
      </w:pPr>
    </w:p>
    <w:p>
      <w:pPr>
        <w:rPr>
          <w:rFonts w:hint="default" w:eastAsia="宋体"/>
          <w:sz w:val="24"/>
          <w:lang w:val="en-US" w:eastAsia="zh-CN"/>
        </w:rPr>
      </w:pPr>
      <w:r>
        <w:rPr>
          <w:sz w:val="24"/>
        </w:rPr>
        <w:t>致：</w:t>
      </w:r>
      <w:r>
        <w:rPr>
          <w:rFonts w:hint="eastAsia"/>
          <w:kern w:val="0"/>
          <w:sz w:val="24"/>
          <w:lang w:val="en-US" w:eastAsia="zh-CN"/>
        </w:rPr>
        <w:t>深圳市福田区第二人民医院</w:t>
      </w:r>
    </w:p>
    <w:p>
      <w:pPr>
        <w:rPr>
          <w:sz w:val="24"/>
        </w:rPr>
      </w:pPr>
    </w:p>
    <w:p>
      <w:pPr>
        <w:ind w:firstLine="540"/>
        <w:rPr>
          <w:sz w:val="24"/>
        </w:rPr>
      </w:pPr>
      <w:r>
        <w:rPr>
          <w:sz w:val="24"/>
        </w:rPr>
        <w:t>我公司承诺，在政府采购中无下列行为：</w:t>
      </w:r>
    </w:p>
    <w:p>
      <w:pPr>
        <w:ind w:firstLine="540"/>
        <w:rPr>
          <w:sz w:val="24"/>
        </w:rPr>
      </w:pPr>
      <w:r>
        <w:rPr>
          <w:sz w:val="24"/>
        </w:rPr>
        <w:t>（一）被纪检监察部门立案调查，违法违规事实成立的；</w:t>
      </w:r>
    </w:p>
    <w:p>
      <w:pPr>
        <w:ind w:firstLine="540"/>
        <w:rPr>
          <w:sz w:val="24"/>
        </w:rPr>
      </w:pPr>
      <w:r>
        <w:rPr>
          <w:sz w:val="24"/>
        </w:rPr>
        <w:t>（二）未按规定签订、履行采购合同，造成严重后果的；</w:t>
      </w:r>
    </w:p>
    <w:p>
      <w:pPr>
        <w:ind w:firstLine="540"/>
        <w:rPr>
          <w:sz w:val="24"/>
        </w:rPr>
      </w:pPr>
      <w:r>
        <w:rPr>
          <w:sz w:val="24"/>
        </w:rPr>
        <w:t>（三）隐瞒真实情况，提供虚假资料的；</w:t>
      </w:r>
    </w:p>
    <w:p>
      <w:pPr>
        <w:ind w:firstLine="540"/>
        <w:rPr>
          <w:sz w:val="24"/>
        </w:rPr>
      </w:pPr>
      <w:r>
        <w:rPr>
          <w:sz w:val="24"/>
        </w:rPr>
        <w:t>（四）以非法手段排斥其他供应商参与竞争的；</w:t>
      </w:r>
    </w:p>
    <w:p>
      <w:pPr>
        <w:ind w:firstLine="540"/>
        <w:rPr>
          <w:sz w:val="24"/>
        </w:rPr>
      </w:pPr>
      <w:r>
        <w:rPr>
          <w:sz w:val="24"/>
        </w:rPr>
        <w:t>（五）与其他采购参加人串通投标的；</w:t>
      </w:r>
    </w:p>
    <w:p>
      <w:pPr>
        <w:ind w:firstLine="540"/>
        <w:rPr>
          <w:sz w:val="24"/>
        </w:rPr>
      </w:pPr>
      <w:r>
        <w:rPr>
          <w:sz w:val="24"/>
        </w:rPr>
        <w:t>（六）在采购活动中应当回避而未回避的；</w:t>
      </w:r>
    </w:p>
    <w:p>
      <w:pPr>
        <w:ind w:firstLine="540"/>
        <w:rPr>
          <w:sz w:val="24"/>
        </w:rPr>
      </w:pPr>
      <w:r>
        <w:rPr>
          <w:sz w:val="24"/>
        </w:rPr>
        <w:t>（七）恶意投诉的；</w:t>
      </w:r>
    </w:p>
    <w:p>
      <w:pPr>
        <w:ind w:firstLine="540"/>
        <w:rPr>
          <w:sz w:val="24"/>
        </w:rPr>
      </w:pPr>
      <w:r>
        <w:rPr>
          <w:sz w:val="24"/>
        </w:rPr>
        <w:t>（八）向采购项目相关人行贿或者提供其他不当利益的；</w:t>
      </w:r>
    </w:p>
    <w:p>
      <w:pPr>
        <w:ind w:firstLine="540"/>
        <w:rPr>
          <w:sz w:val="24"/>
        </w:rPr>
      </w:pPr>
      <w:r>
        <w:rPr>
          <w:sz w:val="24"/>
        </w:rPr>
        <w:t>（九）阻碍、抗拒主管部门监督检查的；</w:t>
      </w:r>
    </w:p>
    <w:p>
      <w:pPr>
        <w:ind w:firstLine="540"/>
        <w:rPr>
          <w:sz w:val="24"/>
        </w:rPr>
      </w:pPr>
      <w:r>
        <w:rPr>
          <w:sz w:val="24"/>
        </w:rPr>
        <w:t>（十）履约检查不及格或评价为差的；</w:t>
      </w:r>
    </w:p>
    <w:p>
      <w:pPr>
        <w:ind w:firstLine="540"/>
        <w:rPr>
          <w:sz w:val="24"/>
        </w:rPr>
      </w:pPr>
      <w:r>
        <w:rPr>
          <w:sz w:val="24"/>
        </w:rPr>
        <w:t>（十一）主管部门认为的其他情形。</w:t>
      </w:r>
    </w:p>
    <w:p>
      <w:pPr>
        <w:ind w:firstLine="645"/>
        <w:rPr>
          <w:sz w:val="24"/>
        </w:rPr>
      </w:pPr>
    </w:p>
    <w:p>
      <w:pPr>
        <w:ind w:firstLine="645"/>
        <w:rPr>
          <w:sz w:val="24"/>
        </w:rPr>
      </w:pPr>
      <w:r>
        <w:rPr>
          <w:sz w:val="24"/>
        </w:rPr>
        <w:t xml:space="preserve">                                   </w:t>
      </w:r>
    </w:p>
    <w:p>
      <w:pPr>
        <w:ind w:firstLine="4960" w:firstLineChars="2067"/>
        <w:rPr>
          <w:sz w:val="24"/>
        </w:rPr>
      </w:pPr>
      <w:r>
        <w:rPr>
          <w:sz w:val="24"/>
        </w:rPr>
        <w:t xml:space="preserve">    公司名称</w:t>
      </w:r>
      <w:r>
        <w:t>（</w:t>
      </w:r>
      <w:r>
        <w:rPr>
          <w:b/>
        </w:rPr>
        <w:t>加盖单位公章）</w:t>
      </w:r>
      <w:r>
        <w:rPr>
          <w:sz w:val="24"/>
        </w:rPr>
        <w:t>：</w:t>
      </w:r>
    </w:p>
    <w:p>
      <w:pPr>
        <w:ind w:firstLine="645"/>
        <w:rPr>
          <w:sz w:val="24"/>
        </w:rPr>
      </w:pPr>
    </w:p>
    <w:p>
      <w:pPr>
        <w:jc w:val="center"/>
        <w:rPr>
          <w:b/>
          <w:bCs/>
          <w:sz w:val="32"/>
          <w:szCs w:val="32"/>
        </w:rPr>
      </w:pPr>
      <w:r>
        <w:rPr>
          <w:b/>
        </w:rPr>
        <w:t xml:space="preserve">                                               年     月     日</w:t>
      </w:r>
    </w:p>
    <w:p>
      <w:pPr>
        <w:jc w:val="center"/>
        <w:rPr>
          <w:b/>
          <w:bCs/>
          <w:sz w:val="32"/>
          <w:szCs w:val="32"/>
        </w:rPr>
      </w:pPr>
    </w:p>
    <w:p>
      <w:pPr>
        <w:pStyle w:val="4"/>
        <w:jc w:val="center"/>
        <w:rPr>
          <w:rFonts w:ascii="黑体" w:eastAsia="黑体"/>
          <w:b w:val="0"/>
          <w:sz w:val="24"/>
          <w:szCs w:val="24"/>
        </w:rPr>
      </w:pPr>
      <w:r>
        <w:rPr>
          <w:rFonts w:hint="eastAsia" w:ascii="黑体" w:eastAsia="黑体"/>
          <w:b w:val="0"/>
          <w:sz w:val="24"/>
          <w:szCs w:val="24"/>
        </w:rPr>
        <w:t>十九、招标文件要求的其他内容</w:t>
      </w:r>
    </w:p>
    <w:p>
      <w:pPr>
        <w:pStyle w:val="4"/>
        <w:jc w:val="center"/>
        <w:rPr>
          <w:rFonts w:hint="eastAsia" w:ascii="黑体" w:eastAsia="黑体"/>
          <w:b w:val="0"/>
          <w:sz w:val="28"/>
          <w:szCs w:val="28"/>
        </w:rPr>
      </w:pPr>
      <w:r>
        <w:rPr>
          <w:rFonts w:hint="eastAsia" w:ascii="黑体" w:eastAsia="黑体"/>
          <w:b w:val="0"/>
          <w:sz w:val="28"/>
          <w:szCs w:val="28"/>
        </w:rPr>
        <w:t>及投标人认为需要加以说明的其他内容</w:t>
      </w:r>
    </w:p>
    <w:p>
      <w:pPr>
        <w:pStyle w:val="3"/>
        <w:ind w:left="0"/>
        <w:jc w:val="left"/>
        <w:rPr>
          <w:sz w:val="28"/>
          <w:szCs w:val="21"/>
        </w:rPr>
      </w:pPr>
      <w:r>
        <w:rPr>
          <w:rFonts w:hint="eastAsia"/>
          <w:sz w:val="28"/>
          <w:szCs w:val="21"/>
        </w:rPr>
        <w:t>投标报名表</w:t>
      </w:r>
    </w:p>
    <w:tbl>
      <w:tblPr>
        <w:tblStyle w:val="43"/>
        <w:tblW w:w="10806" w:type="dxa"/>
        <w:jc w:val="center"/>
        <w:tblLayout w:type="autofit"/>
        <w:tblCellMar>
          <w:top w:w="0" w:type="dxa"/>
          <w:left w:w="108" w:type="dxa"/>
          <w:bottom w:w="0" w:type="dxa"/>
          <w:right w:w="108" w:type="dxa"/>
        </w:tblCellMar>
      </w:tblPr>
      <w:tblGrid>
        <w:gridCol w:w="1459"/>
        <w:gridCol w:w="1607"/>
        <w:gridCol w:w="1734"/>
        <w:gridCol w:w="1900"/>
        <w:gridCol w:w="1937"/>
        <w:gridCol w:w="2169"/>
      </w:tblGrid>
      <w:tr>
        <w:tblPrEx>
          <w:tblCellMar>
            <w:top w:w="0" w:type="dxa"/>
            <w:left w:w="108" w:type="dxa"/>
            <w:bottom w:w="0" w:type="dxa"/>
            <w:right w:w="108" w:type="dxa"/>
          </w:tblCellMar>
        </w:tblPrEx>
        <w:trPr>
          <w:trHeight w:val="622"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ind w:left="0"/>
              <w:jc w:val="center"/>
              <w:rPr>
                <w:rFonts w:cs="宋体"/>
                <w:sz w:val="28"/>
                <w:szCs w:val="28"/>
              </w:rPr>
            </w:pPr>
            <w:r>
              <w:rPr>
                <w:rFonts w:hint="eastAsia" w:cs="宋体"/>
                <w:sz w:val="28"/>
                <w:szCs w:val="28"/>
              </w:rPr>
              <w:t>投标项目名称</w:t>
            </w:r>
          </w:p>
        </w:tc>
        <w:tc>
          <w:tcPr>
            <w:tcW w:w="1607" w:type="dxa"/>
            <w:tcBorders>
              <w:top w:val="single" w:color="auto" w:sz="4" w:space="0"/>
              <w:left w:val="nil"/>
              <w:bottom w:val="single" w:color="auto" w:sz="4" w:space="0"/>
              <w:right w:val="single" w:color="auto" w:sz="4" w:space="0"/>
            </w:tcBorders>
            <w:noWrap w:val="0"/>
            <w:vAlign w:val="center"/>
          </w:tcPr>
          <w:p>
            <w:pPr>
              <w:widowControl/>
              <w:ind w:left="0"/>
              <w:jc w:val="center"/>
              <w:rPr>
                <w:rFonts w:cs="宋体"/>
                <w:sz w:val="28"/>
                <w:szCs w:val="28"/>
              </w:rPr>
            </w:pPr>
            <w:r>
              <w:rPr>
                <w:rFonts w:hint="eastAsia" w:cs="宋体"/>
                <w:sz w:val="28"/>
                <w:szCs w:val="28"/>
              </w:rPr>
              <w:t>公司全称</w:t>
            </w:r>
          </w:p>
        </w:tc>
        <w:tc>
          <w:tcPr>
            <w:tcW w:w="1734" w:type="dxa"/>
            <w:tcBorders>
              <w:top w:val="single" w:color="auto" w:sz="4" w:space="0"/>
              <w:left w:val="nil"/>
              <w:bottom w:val="single" w:color="auto" w:sz="4" w:space="0"/>
              <w:right w:val="single" w:color="auto" w:sz="4" w:space="0"/>
            </w:tcBorders>
            <w:noWrap w:val="0"/>
            <w:vAlign w:val="center"/>
          </w:tcPr>
          <w:p>
            <w:pPr>
              <w:widowControl/>
              <w:ind w:left="0"/>
              <w:jc w:val="center"/>
              <w:rPr>
                <w:rFonts w:cs="宋体"/>
                <w:sz w:val="28"/>
                <w:szCs w:val="28"/>
              </w:rPr>
            </w:pPr>
            <w:r>
              <w:rPr>
                <w:rFonts w:hint="eastAsia" w:cs="宋体"/>
                <w:sz w:val="28"/>
                <w:szCs w:val="28"/>
              </w:rPr>
              <w:t>投标授权人姓名</w:t>
            </w:r>
          </w:p>
        </w:tc>
        <w:tc>
          <w:tcPr>
            <w:tcW w:w="1900" w:type="dxa"/>
            <w:tcBorders>
              <w:top w:val="single" w:color="auto" w:sz="4" w:space="0"/>
              <w:left w:val="nil"/>
              <w:bottom w:val="single" w:color="auto" w:sz="4" w:space="0"/>
              <w:right w:val="single" w:color="auto" w:sz="4" w:space="0"/>
            </w:tcBorders>
            <w:noWrap w:val="0"/>
            <w:vAlign w:val="center"/>
          </w:tcPr>
          <w:p>
            <w:pPr>
              <w:widowControl/>
              <w:ind w:left="0"/>
              <w:jc w:val="center"/>
              <w:rPr>
                <w:rFonts w:cs="宋体"/>
                <w:sz w:val="28"/>
                <w:szCs w:val="28"/>
              </w:rPr>
            </w:pPr>
            <w:r>
              <w:rPr>
                <w:rFonts w:hint="eastAsia" w:cs="宋体"/>
                <w:sz w:val="28"/>
                <w:szCs w:val="28"/>
              </w:rPr>
              <w:t>联系电话</w:t>
            </w:r>
          </w:p>
        </w:tc>
        <w:tc>
          <w:tcPr>
            <w:tcW w:w="1937" w:type="dxa"/>
            <w:tcBorders>
              <w:top w:val="single" w:color="auto" w:sz="4" w:space="0"/>
              <w:left w:val="nil"/>
              <w:bottom w:val="single" w:color="auto" w:sz="4" w:space="0"/>
              <w:right w:val="single" w:color="auto" w:sz="4" w:space="0"/>
            </w:tcBorders>
            <w:noWrap w:val="0"/>
            <w:vAlign w:val="center"/>
          </w:tcPr>
          <w:p>
            <w:pPr>
              <w:widowControl/>
              <w:ind w:left="0"/>
              <w:jc w:val="center"/>
              <w:rPr>
                <w:rFonts w:cs="宋体"/>
                <w:sz w:val="28"/>
                <w:szCs w:val="28"/>
              </w:rPr>
            </w:pPr>
            <w:r>
              <w:rPr>
                <w:rFonts w:hint="eastAsia" w:cs="宋体"/>
                <w:sz w:val="28"/>
                <w:szCs w:val="28"/>
              </w:rPr>
              <w:t>公司电话（座机）</w:t>
            </w:r>
          </w:p>
        </w:tc>
        <w:tc>
          <w:tcPr>
            <w:tcW w:w="2169" w:type="dxa"/>
            <w:tcBorders>
              <w:top w:val="single" w:color="auto" w:sz="4" w:space="0"/>
              <w:left w:val="nil"/>
              <w:bottom w:val="single" w:color="auto" w:sz="4" w:space="0"/>
              <w:right w:val="single" w:color="auto" w:sz="4" w:space="0"/>
            </w:tcBorders>
            <w:noWrap w:val="0"/>
            <w:vAlign w:val="center"/>
          </w:tcPr>
          <w:p>
            <w:pPr>
              <w:widowControl/>
              <w:ind w:left="0"/>
              <w:jc w:val="center"/>
              <w:rPr>
                <w:rFonts w:cs="宋体"/>
                <w:sz w:val="28"/>
                <w:szCs w:val="28"/>
              </w:rPr>
            </w:pPr>
            <w:r>
              <w:rPr>
                <w:rFonts w:hint="eastAsia" w:cs="宋体"/>
                <w:sz w:val="28"/>
                <w:szCs w:val="28"/>
              </w:rPr>
              <w:t>邮箱地址</w:t>
            </w:r>
          </w:p>
        </w:tc>
      </w:tr>
      <w:tr>
        <w:tblPrEx>
          <w:tblCellMar>
            <w:top w:w="0" w:type="dxa"/>
            <w:left w:w="108" w:type="dxa"/>
            <w:bottom w:w="0" w:type="dxa"/>
            <w:right w:w="108" w:type="dxa"/>
          </w:tblCellMar>
        </w:tblPrEx>
        <w:trPr>
          <w:trHeight w:val="369" w:hRule="atLeast"/>
          <w:jc w:val="center"/>
        </w:trPr>
        <w:tc>
          <w:tcPr>
            <w:tcW w:w="1459" w:type="dxa"/>
            <w:tcBorders>
              <w:top w:val="nil"/>
              <w:left w:val="single" w:color="auto" w:sz="4" w:space="0"/>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1607"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1734"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1900"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1937"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2169"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r>
      <w:tr>
        <w:tblPrEx>
          <w:tblCellMar>
            <w:top w:w="0" w:type="dxa"/>
            <w:left w:w="108" w:type="dxa"/>
            <w:bottom w:w="0" w:type="dxa"/>
            <w:right w:w="108" w:type="dxa"/>
          </w:tblCellMar>
        </w:tblPrEx>
        <w:trPr>
          <w:trHeight w:val="369" w:hRule="atLeast"/>
          <w:jc w:val="center"/>
        </w:trPr>
        <w:tc>
          <w:tcPr>
            <w:tcW w:w="1459" w:type="dxa"/>
            <w:tcBorders>
              <w:top w:val="nil"/>
              <w:left w:val="single" w:color="auto" w:sz="4" w:space="0"/>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1607"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1734"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1900"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1937"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2169"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r>
      <w:tr>
        <w:tblPrEx>
          <w:tblCellMar>
            <w:top w:w="0" w:type="dxa"/>
            <w:left w:w="108" w:type="dxa"/>
            <w:bottom w:w="0" w:type="dxa"/>
            <w:right w:w="108" w:type="dxa"/>
          </w:tblCellMar>
        </w:tblPrEx>
        <w:trPr>
          <w:trHeight w:val="369" w:hRule="atLeast"/>
          <w:jc w:val="center"/>
        </w:trPr>
        <w:tc>
          <w:tcPr>
            <w:tcW w:w="1459" w:type="dxa"/>
            <w:tcBorders>
              <w:top w:val="nil"/>
              <w:left w:val="single" w:color="auto" w:sz="4" w:space="0"/>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1607"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1734"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1900"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1937"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2169"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r>
      <w:tr>
        <w:tblPrEx>
          <w:tblCellMar>
            <w:top w:w="0" w:type="dxa"/>
            <w:left w:w="108" w:type="dxa"/>
            <w:bottom w:w="0" w:type="dxa"/>
            <w:right w:w="108" w:type="dxa"/>
          </w:tblCellMar>
        </w:tblPrEx>
        <w:trPr>
          <w:trHeight w:val="369" w:hRule="atLeast"/>
          <w:jc w:val="center"/>
        </w:trPr>
        <w:tc>
          <w:tcPr>
            <w:tcW w:w="1459" w:type="dxa"/>
            <w:tcBorders>
              <w:top w:val="nil"/>
              <w:left w:val="single" w:color="auto" w:sz="4" w:space="0"/>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1607"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1734"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1900"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1937"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2169"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r>
      <w:tr>
        <w:tblPrEx>
          <w:tblCellMar>
            <w:top w:w="0" w:type="dxa"/>
            <w:left w:w="108" w:type="dxa"/>
            <w:bottom w:w="0" w:type="dxa"/>
            <w:right w:w="108" w:type="dxa"/>
          </w:tblCellMar>
        </w:tblPrEx>
        <w:trPr>
          <w:trHeight w:val="369" w:hRule="atLeast"/>
          <w:jc w:val="center"/>
        </w:trPr>
        <w:tc>
          <w:tcPr>
            <w:tcW w:w="1459" w:type="dxa"/>
            <w:tcBorders>
              <w:top w:val="nil"/>
              <w:left w:val="single" w:color="auto" w:sz="4" w:space="0"/>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1607"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1734"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1900"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1937"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2169"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r>
      <w:tr>
        <w:tblPrEx>
          <w:tblCellMar>
            <w:top w:w="0" w:type="dxa"/>
            <w:left w:w="108" w:type="dxa"/>
            <w:bottom w:w="0" w:type="dxa"/>
            <w:right w:w="108" w:type="dxa"/>
          </w:tblCellMar>
        </w:tblPrEx>
        <w:trPr>
          <w:trHeight w:val="378" w:hRule="atLeast"/>
          <w:jc w:val="center"/>
        </w:trPr>
        <w:tc>
          <w:tcPr>
            <w:tcW w:w="1459" w:type="dxa"/>
            <w:tcBorders>
              <w:top w:val="nil"/>
              <w:left w:val="single" w:color="auto" w:sz="4" w:space="0"/>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1607"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1734"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1900"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1937"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c>
          <w:tcPr>
            <w:tcW w:w="2169" w:type="dxa"/>
            <w:tcBorders>
              <w:top w:val="nil"/>
              <w:left w:val="nil"/>
              <w:bottom w:val="single" w:color="auto" w:sz="4" w:space="0"/>
              <w:right w:val="single" w:color="auto" w:sz="4" w:space="0"/>
            </w:tcBorders>
            <w:noWrap w:val="0"/>
            <w:vAlign w:val="center"/>
          </w:tcPr>
          <w:p>
            <w:pPr>
              <w:widowControl/>
              <w:jc w:val="center"/>
              <w:rPr>
                <w:rFonts w:cs="宋体"/>
                <w:sz w:val="28"/>
                <w:szCs w:val="28"/>
              </w:rPr>
            </w:pPr>
            <w:r>
              <w:rPr>
                <w:rFonts w:hint="eastAsia" w:cs="宋体"/>
                <w:sz w:val="28"/>
                <w:szCs w:val="28"/>
              </w:rPr>
              <w:t>　</w:t>
            </w:r>
          </w:p>
        </w:tc>
      </w:tr>
    </w:tbl>
    <w:p>
      <w:pPr>
        <w:pStyle w:val="3"/>
        <w:ind w:left="0"/>
        <w:jc w:val="left"/>
        <w:rPr>
          <w:rFonts w:hint="default"/>
          <w:sz w:val="28"/>
          <w:szCs w:val="21"/>
          <w:lang w:val="en-US" w:eastAsia="zh-CN"/>
        </w:rPr>
      </w:pPr>
      <w:r>
        <w:rPr>
          <w:rFonts w:hint="eastAsia"/>
          <w:sz w:val="28"/>
          <w:szCs w:val="21"/>
          <w:lang w:val="en-US" w:eastAsia="zh-CN"/>
        </w:rPr>
        <w:t>注：1.投标资格证明文件（见招标公告）。</w:t>
      </w:r>
    </w:p>
    <w:p>
      <w:pPr>
        <w:pStyle w:val="3"/>
        <w:pageBreakBefore/>
        <w:rPr>
          <w:kern w:val="2"/>
        </w:rPr>
      </w:pPr>
      <w:r>
        <w:rPr>
          <w:rFonts w:hint="eastAsia"/>
          <w:kern w:val="2"/>
        </w:rPr>
        <w:t xml:space="preserve">第五章  </w:t>
      </w:r>
      <w:r>
        <w:rPr>
          <w:rFonts w:hint="eastAsia"/>
        </w:rPr>
        <w:t>合同及履约情况反馈格式</w:t>
      </w:r>
    </w:p>
    <w:p>
      <w:pPr>
        <w:pStyle w:val="4"/>
        <w:jc w:val="center"/>
        <w:rPr>
          <w:rFonts w:ascii="黑体" w:eastAsia="黑体"/>
          <w:b w:val="0"/>
          <w:bCs w:val="0"/>
          <w:sz w:val="24"/>
          <w:szCs w:val="20"/>
        </w:rPr>
      </w:pPr>
      <w:r>
        <w:rPr>
          <w:rFonts w:hint="eastAsia" w:ascii="黑体" w:eastAsia="黑体"/>
          <w:b w:val="0"/>
          <w:bCs w:val="0"/>
          <w:sz w:val="24"/>
          <w:szCs w:val="20"/>
        </w:rPr>
        <w:t>一、合同条款及格式（仅供参考）</w:t>
      </w:r>
    </w:p>
    <w:p>
      <w:pPr>
        <w:jc w:val="center"/>
        <w:rPr>
          <w:rFonts w:ascii="宋体" w:hAnsi="宋体"/>
          <w:b/>
          <w:bCs/>
          <w:szCs w:val="21"/>
        </w:rPr>
      </w:pPr>
      <w:bookmarkStart w:id="47" w:name="_Hlk72574405"/>
      <w:bookmarkStart w:id="48" w:name="_Hlk72260917"/>
      <w:r>
        <w:rPr>
          <w:rFonts w:hint="eastAsia" w:ascii="宋体" w:hAnsi="宋体"/>
          <w:b/>
          <w:bCs/>
          <w:szCs w:val="21"/>
        </w:rPr>
        <w:t>（仅供参考，具体以项目需求及采购结果为准）</w:t>
      </w:r>
      <w:bookmarkEnd w:id="47"/>
    </w:p>
    <w:bookmarkEnd w:id="48"/>
    <w:p>
      <w:bookmarkStart w:id="49" w:name="_Toc144974826"/>
      <w:bookmarkStart w:id="50" w:name="_Toc179632785"/>
      <w:bookmarkStart w:id="51" w:name="_Toc152045767"/>
      <w:bookmarkStart w:id="52" w:name="_Toc152042546"/>
    </w:p>
    <w:p/>
    <w:p>
      <w:pPr>
        <w:wordWrap w:val="0"/>
        <w:jc w:val="right"/>
        <w:rPr>
          <w:rFonts w:ascii="宋体" w:hAnsi="宋体" w:cs="宋体"/>
          <w:szCs w:val="21"/>
        </w:rPr>
      </w:pPr>
      <w:r>
        <w:rPr>
          <w:rFonts w:hint="eastAsia" w:ascii="宋体" w:hAnsi="宋体"/>
          <w:b/>
          <w:bCs/>
          <w:sz w:val="28"/>
          <w:szCs w:val="36"/>
        </w:rPr>
        <w:t>合同号:</w:t>
      </w:r>
      <w:r>
        <w:rPr>
          <w:rFonts w:hint="eastAsia" w:ascii="宋体" w:hAnsi="宋体"/>
          <w:b/>
          <w:bCs/>
          <w:sz w:val="28"/>
          <w:szCs w:val="36"/>
          <w:u w:val="single"/>
        </w:rPr>
        <w:t xml:space="preserve"> </w:t>
      </w:r>
      <w:r>
        <w:rPr>
          <w:rFonts w:ascii="宋体" w:hAnsi="宋体"/>
          <w:b/>
          <w:bCs/>
          <w:sz w:val="28"/>
          <w:szCs w:val="36"/>
          <w:u w:val="single"/>
        </w:rPr>
        <w:t xml:space="preserve">                       </w:t>
      </w:r>
    </w:p>
    <w:bookmarkEnd w:id="49"/>
    <w:bookmarkEnd w:id="50"/>
    <w:bookmarkEnd w:id="51"/>
    <w:bookmarkEnd w:id="52"/>
    <w:p>
      <w:pPr>
        <w:widowControl/>
        <w:jc w:val="left"/>
        <w:rPr>
          <w:rFonts w:ascii="方正粗宋_GBK" w:eastAsia="方正粗宋_GBK" w:hAnsiTheme="minorEastAsia"/>
          <w:sz w:val="52"/>
          <w:szCs w:val="52"/>
        </w:rPr>
      </w:pPr>
      <w:bookmarkStart w:id="53" w:name="_Toc467278594"/>
    </w:p>
    <w:p>
      <w:pPr>
        <w:spacing w:line="360" w:lineRule="auto"/>
        <w:rPr>
          <w:rFonts w:asciiTheme="minorEastAsia" w:hAnsiTheme="minorEastAsia"/>
          <w:sz w:val="24"/>
        </w:rPr>
      </w:pPr>
    </w:p>
    <w:p>
      <w:pPr>
        <w:spacing w:line="360" w:lineRule="auto"/>
        <w:rPr>
          <w:rFonts w:asciiTheme="minorEastAsia" w:hAnsiTheme="minorEastAsia"/>
          <w:sz w:val="24"/>
        </w:rPr>
      </w:pPr>
    </w:p>
    <w:p>
      <w:pPr>
        <w:spacing w:line="360" w:lineRule="auto"/>
        <w:jc w:val="center"/>
        <w:rPr>
          <w:rFonts w:hint="eastAsia" w:ascii="黑体" w:hAnsi="黑体" w:eastAsia="黑体"/>
          <w:sz w:val="52"/>
          <w:szCs w:val="52"/>
          <w:lang w:eastAsia="zh-CN"/>
        </w:rPr>
      </w:pPr>
      <w:r>
        <w:rPr>
          <w:rFonts w:hint="eastAsia" w:ascii="黑体" w:hAnsi="黑体" w:eastAsia="黑体"/>
          <w:sz w:val="52"/>
          <w:szCs w:val="52"/>
          <w:lang w:eastAsia="zh-CN"/>
        </w:rPr>
        <w:t>深圳市福田区第二人民医院</w:t>
      </w:r>
    </w:p>
    <w:p>
      <w:pPr>
        <w:spacing w:line="360" w:lineRule="auto"/>
        <w:jc w:val="center"/>
        <w:rPr>
          <w:rFonts w:ascii="黑体" w:hAnsi="黑体" w:eastAsia="黑体"/>
          <w:sz w:val="52"/>
          <w:szCs w:val="52"/>
        </w:rPr>
      </w:pPr>
      <w:r>
        <w:rPr>
          <w:rFonts w:hint="eastAsia" w:ascii="黑体" w:hAnsi="黑体" w:eastAsia="黑体"/>
          <w:sz w:val="52"/>
          <w:szCs w:val="52"/>
        </w:rPr>
        <w:t>购买社会服务项目合同</w:t>
      </w:r>
    </w:p>
    <w:p>
      <w:pPr>
        <w:spacing w:line="360" w:lineRule="auto"/>
        <w:rPr>
          <w:rFonts w:asciiTheme="minorEastAsia" w:hAnsiTheme="minorEastAsia"/>
          <w:sz w:val="24"/>
        </w:rPr>
      </w:pPr>
    </w:p>
    <w:p>
      <w:pPr>
        <w:spacing w:line="360" w:lineRule="auto"/>
        <w:rPr>
          <w:rFonts w:asciiTheme="minorEastAsia" w:hAnsiTheme="minorEastAsia"/>
          <w:sz w:val="24"/>
        </w:rPr>
      </w:pPr>
    </w:p>
    <w:p>
      <w:pPr>
        <w:spacing w:line="360" w:lineRule="auto"/>
        <w:ind w:firstLine="660" w:firstLineChars="236"/>
        <w:jc w:val="center"/>
        <w:rPr>
          <w:rFonts w:hint="default" w:asciiTheme="minorEastAsia" w:hAnsiTheme="minorEastAsia"/>
          <w:sz w:val="28"/>
          <w:szCs w:val="28"/>
          <w:u w:val="single"/>
          <w:lang w:val="en-US" w:eastAsia="zh-CN"/>
        </w:rPr>
      </w:pPr>
      <w:r>
        <w:rPr>
          <w:rFonts w:hint="eastAsia" w:asciiTheme="minorEastAsia" w:hAnsiTheme="minorEastAsia"/>
          <w:sz w:val="28"/>
          <w:szCs w:val="28"/>
        </w:rPr>
        <w:t>甲  方：</w:t>
      </w:r>
      <w:r>
        <w:rPr>
          <w:rFonts w:hint="eastAsia" w:asciiTheme="minorEastAsia" w:hAnsiTheme="minorEastAsia"/>
          <w:sz w:val="28"/>
          <w:szCs w:val="28"/>
          <w:u w:val="single"/>
          <w:lang w:val="en-US" w:eastAsia="zh-CN"/>
        </w:rPr>
        <w:t xml:space="preserve"> </w:t>
      </w:r>
      <w:r>
        <w:rPr>
          <w:rFonts w:hint="eastAsia" w:asciiTheme="minorEastAsia" w:hAnsiTheme="minorEastAsia"/>
          <w:i w:val="0"/>
          <w:iCs w:val="0"/>
          <w:sz w:val="28"/>
          <w:szCs w:val="28"/>
          <w:u w:val="single"/>
          <w:lang w:eastAsia="zh-CN"/>
        </w:rPr>
        <w:t>深圳市福田区第二人民医院</w:t>
      </w:r>
      <w:r>
        <w:rPr>
          <w:rFonts w:hint="eastAsia" w:asciiTheme="minorEastAsia" w:hAnsiTheme="minorEastAsia"/>
          <w:i w:val="0"/>
          <w:iCs w:val="0"/>
          <w:sz w:val="28"/>
          <w:szCs w:val="28"/>
          <w:u w:val="single"/>
          <w:lang w:val="en-US" w:eastAsia="zh-CN"/>
        </w:rPr>
        <w:t xml:space="preserve">  </w:t>
      </w:r>
    </w:p>
    <w:p>
      <w:pPr>
        <w:spacing w:line="360" w:lineRule="auto"/>
        <w:ind w:firstLine="660" w:firstLineChars="236"/>
        <w:jc w:val="center"/>
        <w:rPr>
          <w:rFonts w:asciiTheme="minorEastAsia" w:hAnsiTheme="minorEastAsia"/>
          <w:sz w:val="28"/>
          <w:szCs w:val="28"/>
        </w:rPr>
      </w:pPr>
    </w:p>
    <w:p>
      <w:pPr>
        <w:spacing w:line="360" w:lineRule="auto"/>
        <w:ind w:firstLine="660" w:firstLineChars="236"/>
        <w:jc w:val="center"/>
        <w:rPr>
          <w:rFonts w:asciiTheme="minorEastAsia" w:hAnsiTheme="minorEastAsia"/>
          <w:sz w:val="28"/>
          <w:szCs w:val="28"/>
        </w:rPr>
      </w:pPr>
      <w:r>
        <w:rPr>
          <w:rFonts w:hint="eastAsia" w:asciiTheme="minorEastAsia" w:hAnsiTheme="minorEastAsia"/>
          <w:sz w:val="28"/>
          <w:szCs w:val="28"/>
        </w:rPr>
        <w:t>乙  方：___________________________</w:t>
      </w:r>
    </w:p>
    <w:p>
      <w:pPr>
        <w:spacing w:line="360" w:lineRule="auto"/>
        <w:ind w:firstLine="660" w:firstLineChars="236"/>
        <w:jc w:val="center"/>
        <w:rPr>
          <w:rFonts w:asciiTheme="minorEastAsia" w:hAnsiTheme="minorEastAsia"/>
          <w:sz w:val="28"/>
          <w:szCs w:val="28"/>
        </w:rPr>
      </w:pPr>
    </w:p>
    <w:p>
      <w:pPr>
        <w:spacing w:line="360" w:lineRule="auto"/>
        <w:ind w:firstLine="660" w:firstLineChars="236"/>
        <w:jc w:val="center"/>
        <w:rPr>
          <w:rFonts w:asciiTheme="minorEastAsia" w:hAnsiTheme="minorEastAsia"/>
          <w:sz w:val="28"/>
          <w:szCs w:val="28"/>
        </w:rPr>
      </w:pPr>
      <w:r>
        <w:rPr>
          <w:rFonts w:hint="eastAsia" w:asciiTheme="minorEastAsia" w:hAnsiTheme="minorEastAsia"/>
          <w:sz w:val="28"/>
          <w:szCs w:val="28"/>
        </w:rPr>
        <w:t>签订日期：_______年______月______日</w:t>
      </w:r>
    </w:p>
    <w:p>
      <w:pPr>
        <w:spacing w:line="360" w:lineRule="auto"/>
        <w:ind w:firstLine="660" w:firstLineChars="236"/>
        <w:rPr>
          <w:rFonts w:asciiTheme="minorEastAsia" w:hAnsiTheme="minorEastAsia"/>
          <w:sz w:val="28"/>
          <w:szCs w:val="28"/>
        </w:rPr>
      </w:pPr>
    </w:p>
    <w:p>
      <w:pPr>
        <w:spacing w:line="360" w:lineRule="auto"/>
        <w:ind w:firstLine="660" w:firstLineChars="236"/>
        <w:rPr>
          <w:rFonts w:asciiTheme="minorEastAsia" w:hAnsiTheme="minorEastAsia"/>
          <w:sz w:val="28"/>
          <w:szCs w:val="28"/>
        </w:rPr>
      </w:pPr>
    </w:p>
    <w:p>
      <w:pPr>
        <w:spacing w:line="360" w:lineRule="auto"/>
        <w:ind w:firstLine="660" w:firstLineChars="236"/>
        <w:rPr>
          <w:rFonts w:asciiTheme="minorEastAsia" w:hAnsiTheme="minorEastAsia"/>
          <w:sz w:val="28"/>
          <w:szCs w:val="28"/>
        </w:rPr>
      </w:pPr>
    </w:p>
    <w:p>
      <w:pPr>
        <w:spacing w:line="360" w:lineRule="auto"/>
        <w:ind w:firstLine="660" w:firstLineChars="236"/>
        <w:rPr>
          <w:rFonts w:asciiTheme="minorEastAsia" w:hAnsiTheme="minorEastAsia"/>
          <w:sz w:val="28"/>
          <w:szCs w:val="28"/>
        </w:rPr>
      </w:pPr>
    </w:p>
    <w:p>
      <w:pPr>
        <w:spacing w:line="360" w:lineRule="auto"/>
        <w:jc w:val="center"/>
        <w:rPr>
          <w:rFonts w:asciiTheme="minorEastAsia" w:hAnsiTheme="minorEastAsia"/>
          <w:sz w:val="24"/>
        </w:rPr>
        <w:sectPr>
          <w:footerReference r:id="rId3" w:type="default"/>
          <w:pgSz w:w="11906" w:h="16838"/>
          <w:pgMar w:top="1440" w:right="1133" w:bottom="1440" w:left="1418" w:header="851" w:footer="992" w:gutter="0"/>
          <w:pgNumType w:start="1"/>
          <w:cols w:space="425" w:num="1"/>
          <w:docGrid w:type="lines" w:linePitch="312" w:charSpace="0"/>
        </w:sectPr>
      </w:pPr>
    </w:p>
    <w:p>
      <w:pPr>
        <w:spacing w:line="420" w:lineRule="atLeast"/>
        <w:jc w:val="left"/>
        <w:rPr>
          <w:rFonts w:asciiTheme="minorEastAsia" w:hAnsiTheme="minorEastAsia"/>
          <w:spacing w:val="10"/>
          <w:szCs w:val="21"/>
        </w:rPr>
        <w:sectPr>
          <w:type w:val="continuous"/>
          <w:pgSz w:w="11906" w:h="16838"/>
          <w:pgMar w:top="1440" w:right="1133" w:bottom="1440" w:left="1418" w:header="851" w:footer="992" w:gutter="0"/>
          <w:cols w:space="425" w:num="2"/>
          <w:docGrid w:type="lines" w:linePitch="312" w:charSpace="0"/>
        </w:sectPr>
      </w:pPr>
    </w:p>
    <w:p>
      <w:pPr>
        <w:spacing w:line="420" w:lineRule="atLeast"/>
        <w:jc w:val="left"/>
        <w:rPr>
          <w:rFonts w:asciiTheme="minorEastAsia" w:hAnsiTheme="minorEastAsia"/>
          <w:spacing w:val="10"/>
          <w:szCs w:val="21"/>
        </w:rPr>
      </w:pPr>
    </w:p>
    <w:p>
      <w:pPr>
        <w:spacing w:line="420" w:lineRule="atLeast"/>
        <w:jc w:val="left"/>
        <w:rPr>
          <w:rFonts w:asciiTheme="minorEastAsia" w:hAnsiTheme="minorEastAsia"/>
          <w:spacing w:val="10"/>
          <w:szCs w:val="21"/>
        </w:rPr>
      </w:pPr>
      <w:r>
        <w:rPr>
          <w:rFonts w:hint="eastAsia" w:asciiTheme="minorEastAsia" w:hAnsiTheme="minorEastAsia"/>
          <w:spacing w:val="10"/>
          <w:szCs w:val="21"/>
        </w:rPr>
        <w:t xml:space="preserve">甲方：  </w:t>
      </w:r>
      <w:r>
        <w:rPr>
          <w:rFonts w:hint="eastAsia" w:asciiTheme="minorEastAsia" w:hAnsiTheme="minorEastAsia"/>
          <w:spacing w:val="10"/>
          <w:szCs w:val="21"/>
          <w:lang w:eastAsia="zh-CN"/>
        </w:rPr>
        <w:t>深圳市福田区第二人民医院</w:t>
      </w:r>
      <w:r>
        <w:rPr>
          <w:rFonts w:hint="eastAsia" w:asciiTheme="minorEastAsia" w:hAnsiTheme="minorEastAsia"/>
          <w:spacing w:val="10"/>
          <w:szCs w:val="21"/>
        </w:rPr>
        <w:t xml:space="preserve">   （购买方）</w:t>
      </w:r>
    </w:p>
    <w:p>
      <w:pPr>
        <w:spacing w:line="420" w:lineRule="atLeast"/>
        <w:jc w:val="left"/>
        <w:rPr>
          <w:rFonts w:asciiTheme="minorEastAsia" w:hAnsiTheme="minorEastAsia"/>
          <w:spacing w:val="10"/>
          <w:szCs w:val="21"/>
        </w:rPr>
      </w:pPr>
      <w:r>
        <w:rPr>
          <w:rFonts w:hint="eastAsia" w:asciiTheme="minorEastAsia" w:hAnsiTheme="minorEastAsia"/>
          <w:spacing w:val="10"/>
          <w:szCs w:val="21"/>
        </w:rPr>
        <w:t>乙方：                            （服务方）</w:t>
      </w:r>
    </w:p>
    <w:p>
      <w:pPr>
        <w:spacing w:line="420" w:lineRule="atLeast"/>
        <w:jc w:val="left"/>
        <w:rPr>
          <w:rFonts w:asciiTheme="minorEastAsia" w:hAnsiTheme="minorEastAsia"/>
          <w:spacing w:val="10"/>
          <w:szCs w:val="21"/>
        </w:rPr>
      </w:pPr>
    </w:p>
    <w:p>
      <w:pPr>
        <w:spacing w:line="420" w:lineRule="atLeast"/>
        <w:ind w:firstLine="460" w:firstLineChars="200"/>
        <w:jc w:val="left"/>
        <w:rPr>
          <w:rFonts w:asciiTheme="minorEastAsia" w:hAnsiTheme="minorEastAsia"/>
          <w:spacing w:val="10"/>
          <w:szCs w:val="21"/>
        </w:rPr>
      </w:pPr>
      <w:r>
        <w:rPr>
          <w:rFonts w:hint="eastAsia" w:asciiTheme="minorEastAsia" w:hAnsiTheme="minorEastAsia"/>
          <w:spacing w:val="10"/>
          <w:szCs w:val="21"/>
        </w:rPr>
        <w:t>根据《中华人民共和国民法典》和《深圳经济特区政府采购条例》等有关法律法规规定。为保证所购的服务质量，明确双方的权利义务，甲乙双方在平等、自愿、协商一致的基础上，就有关事宜达成如下协议：</w:t>
      </w:r>
    </w:p>
    <w:p>
      <w:pPr>
        <w:spacing w:line="420" w:lineRule="atLeast"/>
        <w:ind w:firstLine="345" w:firstLineChars="150"/>
        <w:jc w:val="left"/>
        <w:rPr>
          <w:rFonts w:asciiTheme="minorEastAsia" w:hAnsiTheme="minorEastAsia"/>
          <w:spacing w:val="10"/>
          <w:szCs w:val="21"/>
        </w:rPr>
      </w:pPr>
      <w:r>
        <w:rPr>
          <w:rFonts w:hint="eastAsia" w:asciiTheme="minorEastAsia" w:hAnsiTheme="minorEastAsia"/>
          <w:spacing w:val="10"/>
          <w:szCs w:val="21"/>
        </w:rPr>
        <w:t>第一条 服务内容</w:t>
      </w:r>
    </w:p>
    <w:p>
      <w:pPr>
        <w:spacing w:line="420" w:lineRule="atLeast"/>
        <w:jc w:val="left"/>
        <w:rPr>
          <w:rFonts w:asciiTheme="minorEastAsia" w:hAnsiTheme="minorEastAsia"/>
          <w:spacing w:val="10"/>
          <w:szCs w:val="21"/>
        </w:rPr>
      </w:pPr>
      <w:r>
        <w:rPr>
          <w:rFonts w:hint="eastAsia" w:asciiTheme="minorEastAsia" w:hAnsiTheme="minorEastAsia"/>
          <w:spacing w:val="10"/>
          <w:szCs w:val="21"/>
        </w:rPr>
        <w:t>（具体说明委托开展服务的事项、服务内容、服务成果）</w:t>
      </w:r>
    </w:p>
    <w:p>
      <w:pPr>
        <w:spacing w:line="420" w:lineRule="atLeast"/>
        <w:ind w:firstLine="345" w:firstLineChars="150"/>
        <w:jc w:val="left"/>
        <w:rPr>
          <w:rFonts w:asciiTheme="minorEastAsia" w:hAnsiTheme="minorEastAsia"/>
          <w:spacing w:val="10"/>
          <w:szCs w:val="21"/>
        </w:rPr>
      </w:pPr>
      <w:r>
        <w:rPr>
          <w:rFonts w:hint="eastAsia" w:asciiTheme="minorEastAsia" w:hAnsiTheme="minorEastAsia"/>
          <w:spacing w:val="10"/>
          <w:szCs w:val="21"/>
        </w:rPr>
        <w:t>第二条 服务要求</w:t>
      </w:r>
    </w:p>
    <w:p>
      <w:pPr>
        <w:spacing w:line="420" w:lineRule="atLeast"/>
        <w:jc w:val="left"/>
        <w:rPr>
          <w:rFonts w:asciiTheme="minorEastAsia" w:hAnsiTheme="minorEastAsia"/>
          <w:spacing w:val="10"/>
          <w:szCs w:val="21"/>
        </w:rPr>
      </w:pPr>
      <w:r>
        <w:rPr>
          <w:rFonts w:hint="eastAsia" w:asciiTheme="minorEastAsia" w:hAnsiTheme="minorEastAsia"/>
          <w:spacing w:val="10"/>
          <w:szCs w:val="21"/>
        </w:rPr>
        <w:t>（具体分条说明服务要求、服务标准、时间节点等事项，明确提交服务成果的具体时间，可另附明细附件）</w:t>
      </w:r>
    </w:p>
    <w:p>
      <w:pPr>
        <w:spacing w:line="420" w:lineRule="atLeast"/>
        <w:ind w:firstLine="345" w:firstLineChars="150"/>
        <w:jc w:val="left"/>
        <w:rPr>
          <w:rFonts w:asciiTheme="minorEastAsia" w:hAnsiTheme="minorEastAsia"/>
          <w:spacing w:val="10"/>
          <w:szCs w:val="21"/>
        </w:rPr>
      </w:pPr>
      <w:r>
        <w:rPr>
          <w:rFonts w:hint="eastAsia" w:asciiTheme="minorEastAsia" w:hAnsiTheme="minorEastAsia"/>
          <w:spacing w:val="10"/>
          <w:szCs w:val="21"/>
        </w:rPr>
        <w:t>第三条 服务费用及支付方式</w:t>
      </w:r>
    </w:p>
    <w:p>
      <w:pPr>
        <w:spacing w:line="420" w:lineRule="atLeast"/>
        <w:ind w:firstLine="345" w:firstLineChars="150"/>
        <w:jc w:val="left"/>
        <w:rPr>
          <w:rFonts w:asciiTheme="minorEastAsia" w:hAnsiTheme="minorEastAsia"/>
          <w:spacing w:val="10"/>
          <w:szCs w:val="21"/>
        </w:rPr>
      </w:pPr>
      <w:r>
        <w:rPr>
          <w:rFonts w:hint="eastAsia" w:asciiTheme="minorEastAsia" w:hAnsiTheme="minorEastAsia"/>
          <w:spacing w:val="10"/>
          <w:szCs w:val="21"/>
        </w:rPr>
        <w:t>1.本合同总服务费用为人民币    元 （大写：</w:t>
      </w:r>
      <w:r>
        <w:rPr>
          <w:rFonts w:hint="eastAsia" w:asciiTheme="minorEastAsia" w:hAnsiTheme="minorEastAsia"/>
          <w:spacing w:val="10"/>
          <w:szCs w:val="21"/>
          <w:lang w:val="en-US" w:eastAsia="zh-CN"/>
        </w:rPr>
        <w:t>元</w:t>
      </w:r>
      <w:r>
        <w:rPr>
          <w:rFonts w:hint="eastAsia" w:asciiTheme="minorEastAsia" w:hAnsiTheme="minorEastAsia"/>
          <w:spacing w:val="10"/>
          <w:szCs w:val="21"/>
        </w:rPr>
        <w:t>整）。【如采取分期付款，在本条增加分期付款节点及相应金额】，该费用已包括了乙方履行本合同约定服务的所有费用，甲方无须支付其他费用。</w:t>
      </w:r>
    </w:p>
    <w:p>
      <w:pPr>
        <w:spacing w:line="420" w:lineRule="atLeast"/>
        <w:ind w:firstLine="345" w:firstLineChars="150"/>
        <w:jc w:val="left"/>
        <w:rPr>
          <w:rFonts w:asciiTheme="minorEastAsia" w:hAnsiTheme="minorEastAsia"/>
          <w:spacing w:val="10"/>
          <w:szCs w:val="21"/>
        </w:rPr>
      </w:pPr>
      <w:r>
        <w:rPr>
          <w:rFonts w:hint="eastAsia" w:asciiTheme="minorEastAsia" w:hAnsiTheme="minorEastAsia"/>
          <w:spacing w:val="10"/>
          <w:szCs w:val="21"/>
        </w:rPr>
        <w:t>2.服务费用在乙方完成服务事项提交服务成果且经甲方验收合格后十五个工作日内支付。</w:t>
      </w:r>
    </w:p>
    <w:p>
      <w:pPr>
        <w:spacing w:line="420" w:lineRule="atLeast"/>
        <w:ind w:firstLine="345" w:firstLineChars="150"/>
        <w:jc w:val="left"/>
        <w:rPr>
          <w:rFonts w:asciiTheme="minorEastAsia" w:hAnsiTheme="minorEastAsia"/>
          <w:spacing w:val="10"/>
          <w:szCs w:val="21"/>
        </w:rPr>
      </w:pPr>
      <w:r>
        <w:rPr>
          <w:rFonts w:hint="eastAsia" w:asciiTheme="minorEastAsia" w:hAnsiTheme="minorEastAsia"/>
          <w:spacing w:val="10"/>
          <w:szCs w:val="21"/>
        </w:rPr>
        <w:t>3.乙方向甲方请款前应向甲方提供与请款金额一致的合法、有效的增值税发票，因乙方未按约定提供增值税发票的，甲方可暂不支付合同款项，乙方不得因此拒绝履行合同义务。因乙方原因未能及时提供发票导致甲方延迟付款的，甲方不承担违约责任。</w:t>
      </w:r>
    </w:p>
    <w:p>
      <w:pPr>
        <w:spacing w:line="420" w:lineRule="atLeast"/>
        <w:ind w:firstLine="345" w:firstLineChars="150"/>
        <w:jc w:val="left"/>
        <w:rPr>
          <w:rFonts w:asciiTheme="minorEastAsia" w:hAnsiTheme="minorEastAsia"/>
          <w:spacing w:val="10"/>
          <w:szCs w:val="21"/>
        </w:rPr>
      </w:pPr>
      <w:r>
        <w:rPr>
          <w:rFonts w:hint="eastAsia" w:asciiTheme="minorEastAsia" w:hAnsiTheme="minorEastAsia"/>
          <w:spacing w:val="10"/>
          <w:szCs w:val="21"/>
        </w:rPr>
        <w:t>4.乙方指定收款的银行账户信息如下：</w:t>
      </w:r>
    </w:p>
    <w:p>
      <w:pPr>
        <w:spacing w:line="420" w:lineRule="atLeast"/>
        <w:ind w:firstLine="345" w:firstLineChars="150"/>
        <w:jc w:val="left"/>
        <w:rPr>
          <w:rFonts w:asciiTheme="minorEastAsia" w:hAnsiTheme="minorEastAsia"/>
          <w:spacing w:val="10"/>
          <w:szCs w:val="21"/>
        </w:rPr>
      </w:pPr>
      <w:r>
        <w:rPr>
          <w:rFonts w:hint="eastAsia" w:asciiTheme="minorEastAsia" w:hAnsiTheme="minorEastAsia"/>
          <w:spacing w:val="10"/>
          <w:szCs w:val="21"/>
        </w:rPr>
        <w:t>户名：</w:t>
      </w:r>
    </w:p>
    <w:p>
      <w:pPr>
        <w:spacing w:line="420" w:lineRule="atLeast"/>
        <w:ind w:firstLine="345" w:firstLineChars="150"/>
        <w:jc w:val="left"/>
        <w:rPr>
          <w:rFonts w:asciiTheme="minorEastAsia" w:hAnsiTheme="minorEastAsia"/>
          <w:spacing w:val="10"/>
          <w:szCs w:val="21"/>
        </w:rPr>
      </w:pPr>
      <w:r>
        <w:rPr>
          <w:rFonts w:hint="eastAsia" w:asciiTheme="minorEastAsia" w:hAnsiTheme="minorEastAsia"/>
          <w:spacing w:val="10"/>
          <w:szCs w:val="21"/>
        </w:rPr>
        <w:t>开户行：</w:t>
      </w:r>
    </w:p>
    <w:p>
      <w:pPr>
        <w:spacing w:line="420" w:lineRule="atLeast"/>
        <w:ind w:firstLine="345" w:firstLineChars="150"/>
        <w:jc w:val="left"/>
        <w:rPr>
          <w:rFonts w:asciiTheme="minorEastAsia" w:hAnsiTheme="minorEastAsia"/>
          <w:spacing w:val="10"/>
          <w:szCs w:val="21"/>
        </w:rPr>
      </w:pPr>
      <w:r>
        <w:rPr>
          <w:rFonts w:hint="eastAsia" w:asciiTheme="minorEastAsia" w:hAnsiTheme="minorEastAsia"/>
          <w:spacing w:val="10"/>
          <w:szCs w:val="21"/>
        </w:rPr>
        <w:t>账号：</w:t>
      </w:r>
    </w:p>
    <w:p>
      <w:pPr>
        <w:spacing w:line="420" w:lineRule="atLeast"/>
        <w:ind w:firstLine="460" w:firstLineChars="200"/>
        <w:jc w:val="left"/>
        <w:rPr>
          <w:rFonts w:asciiTheme="minorEastAsia" w:hAnsiTheme="minorEastAsia"/>
          <w:spacing w:val="10"/>
          <w:szCs w:val="21"/>
        </w:rPr>
      </w:pPr>
      <w:r>
        <w:rPr>
          <w:rFonts w:hint="eastAsia" w:asciiTheme="minorEastAsia" w:hAnsiTheme="minorEastAsia"/>
          <w:spacing w:val="10"/>
          <w:szCs w:val="21"/>
        </w:rPr>
        <w:t>第四条 合同期限与终止</w:t>
      </w:r>
    </w:p>
    <w:p>
      <w:pPr>
        <w:spacing w:line="420" w:lineRule="atLeast"/>
        <w:ind w:firstLine="460" w:firstLineChars="200"/>
        <w:jc w:val="left"/>
        <w:rPr>
          <w:rFonts w:asciiTheme="minorEastAsia" w:hAnsiTheme="minorEastAsia"/>
          <w:spacing w:val="10"/>
          <w:szCs w:val="21"/>
        </w:rPr>
      </w:pPr>
      <w:r>
        <w:rPr>
          <w:rFonts w:hint="eastAsia" w:asciiTheme="minorEastAsia" w:hAnsiTheme="minorEastAsia"/>
          <w:spacing w:val="10"/>
          <w:szCs w:val="21"/>
        </w:rPr>
        <w:t>1.合同期限：自  年  月  日至  年  月  日止。</w:t>
      </w:r>
    </w:p>
    <w:p>
      <w:pPr>
        <w:spacing w:line="420" w:lineRule="atLeast"/>
        <w:ind w:firstLine="460" w:firstLineChars="200"/>
        <w:jc w:val="left"/>
        <w:rPr>
          <w:rFonts w:asciiTheme="minorEastAsia" w:hAnsiTheme="minorEastAsia"/>
          <w:spacing w:val="10"/>
          <w:szCs w:val="21"/>
        </w:rPr>
      </w:pPr>
      <w:r>
        <w:rPr>
          <w:rFonts w:hint="eastAsia" w:asciiTheme="minorEastAsia" w:hAnsiTheme="minorEastAsia"/>
          <w:spacing w:val="10"/>
          <w:szCs w:val="21"/>
        </w:rPr>
        <w:t>2.合同的终止：</w:t>
      </w:r>
    </w:p>
    <w:p>
      <w:pPr>
        <w:spacing w:line="420" w:lineRule="atLeast"/>
        <w:ind w:firstLine="345" w:firstLineChars="150"/>
        <w:jc w:val="left"/>
        <w:rPr>
          <w:rFonts w:asciiTheme="minorEastAsia" w:hAnsiTheme="minorEastAsia"/>
          <w:spacing w:val="10"/>
          <w:szCs w:val="21"/>
        </w:rPr>
      </w:pPr>
      <w:r>
        <w:rPr>
          <w:rFonts w:hint="eastAsia" w:asciiTheme="minorEastAsia" w:hAnsiTheme="minorEastAsia"/>
          <w:spacing w:val="10"/>
          <w:szCs w:val="21"/>
        </w:rPr>
        <w:t>（1）合同义务履行完毕；</w:t>
      </w:r>
    </w:p>
    <w:p>
      <w:pPr>
        <w:spacing w:line="420" w:lineRule="atLeast"/>
        <w:ind w:firstLine="345" w:firstLineChars="150"/>
        <w:jc w:val="left"/>
        <w:rPr>
          <w:rFonts w:asciiTheme="minorEastAsia" w:hAnsiTheme="minorEastAsia"/>
          <w:spacing w:val="10"/>
          <w:szCs w:val="21"/>
        </w:rPr>
      </w:pPr>
      <w:r>
        <w:rPr>
          <w:rFonts w:hint="eastAsia" w:asciiTheme="minorEastAsia" w:hAnsiTheme="minorEastAsia"/>
          <w:spacing w:val="10"/>
          <w:szCs w:val="21"/>
        </w:rPr>
        <w:t>（2）乙方服务能力丧失，致使服务无法正常进行的；</w:t>
      </w:r>
    </w:p>
    <w:p>
      <w:pPr>
        <w:spacing w:line="420" w:lineRule="atLeast"/>
        <w:ind w:firstLine="345" w:firstLineChars="150"/>
        <w:jc w:val="left"/>
        <w:rPr>
          <w:rFonts w:asciiTheme="minorEastAsia" w:hAnsiTheme="minorEastAsia"/>
          <w:spacing w:val="10"/>
          <w:szCs w:val="21"/>
        </w:rPr>
      </w:pPr>
      <w:r>
        <w:rPr>
          <w:rFonts w:hint="eastAsia" w:asciiTheme="minorEastAsia" w:hAnsiTheme="minorEastAsia"/>
          <w:spacing w:val="10"/>
          <w:szCs w:val="21"/>
        </w:rPr>
        <w:t>（3）在履行合同过程中，发现乙方不符合《深圳经济特区政府采购条例》及《深圳经济特区政府采购条例实施细则》等相关法律法规中规定的服务供应方（社会组织）应具备的条件，造成合同无法履行的。</w:t>
      </w:r>
    </w:p>
    <w:p>
      <w:pPr>
        <w:spacing w:line="420" w:lineRule="atLeast"/>
        <w:ind w:firstLine="460" w:firstLineChars="200"/>
        <w:jc w:val="left"/>
        <w:rPr>
          <w:rFonts w:asciiTheme="minorEastAsia" w:hAnsiTheme="minorEastAsia"/>
          <w:spacing w:val="10"/>
          <w:szCs w:val="21"/>
        </w:rPr>
      </w:pPr>
      <w:r>
        <w:rPr>
          <w:rFonts w:hint="eastAsia" w:asciiTheme="minorEastAsia" w:hAnsiTheme="minorEastAsia"/>
          <w:spacing w:val="10"/>
          <w:szCs w:val="21"/>
        </w:rPr>
        <w:t>第五条 服务绩效评估</w:t>
      </w:r>
    </w:p>
    <w:p>
      <w:pPr>
        <w:spacing w:line="420" w:lineRule="atLeast"/>
        <w:jc w:val="left"/>
        <w:rPr>
          <w:rFonts w:asciiTheme="minorEastAsia" w:hAnsiTheme="minorEastAsia"/>
          <w:spacing w:val="10"/>
          <w:szCs w:val="21"/>
        </w:rPr>
      </w:pPr>
      <w:r>
        <w:rPr>
          <w:rFonts w:hint="eastAsia" w:asciiTheme="minorEastAsia" w:hAnsiTheme="minorEastAsia"/>
          <w:spacing w:val="10"/>
          <w:szCs w:val="21"/>
        </w:rPr>
        <w:t>乙方承接服务项目后，甲方可对项目实施情况进行全程跟踪和监督，乙方应当积极配合。项目完成后，甲方有权对项目的工作绩效、服务对象受益情况、满意度等进行评估并对资金使用情况进行审计。</w:t>
      </w:r>
    </w:p>
    <w:p>
      <w:pPr>
        <w:spacing w:line="420" w:lineRule="atLeast"/>
        <w:ind w:firstLine="460" w:firstLineChars="200"/>
        <w:jc w:val="left"/>
        <w:rPr>
          <w:rFonts w:asciiTheme="minorEastAsia" w:hAnsiTheme="minorEastAsia"/>
          <w:spacing w:val="10"/>
          <w:szCs w:val="21"/>
        </w:rPr>
      </w:pPr>
      <w:r>
        <w:rPr>
          <w:rFonts w:hint="eastAsia" w:asciiTheme="minorEastAsia" w:hAnsiTheme="minorEastAsia"/>
          <w:spacing w:val="10"/>
          <w:szCs w:val="21"/>
        </w:rPr>
        <w:t>第六条 双方权利和义务</w:t>
      </w:r>
    </w:p>
    <w:p>
      <w:pPr>
        <w:spacing w:line="420" w:lineRule="atLeast"/>
        <w:ind w:firstLine="345" w:firstLineChars="150"/>
        <w:jc w:val="left"/>
        <w:rPr>
          <w:rFonts w:asciiTheme="minorEastAsia" w:hAnsiTheme="minorEastAsia"/>
          <w:spacing w:val="10"/>
          <w:szCs w:val="21"/>
        </w:rPr>
      </w:pPr>
      <w:r>
        <w:rPr>
          <w:rFonts w:hint="eastAsia" w:asciiTheme="minorEastAsia" w:hAnsiTheme="minorEastAsia"/>
          <w:spacing w:val="10"/>
          <w:szCs w:val="21"/>
        </w:rPr>
        <w:t>（一）甲方权利、义务</w:t>
      </w:r>
    </w:p>
    <w:p>
      <w:pPr>
        <w:spacing w:line="420" w:lineRule="atLeast"/>
        <w:ind w:firstLine="460" w:firstLineChars="200"/>
        <w:jc w:val="left"/>
        <w:rPr>
          <w:rFonts w:asciiTheme="minorEastAsia" w:hAnsiTheme="minorEastAsia"/>
          <w:spacing w:val="10"/>
          <w:szCs w:val="21"/>
        </w:rPr>
      </w:pPr>
      <w:r>
        <w:rPr>
          <w:rFonts w:hint="eastAsia" w:asciiTheme="minorEastAsia" w:hAnsiTheme="minorEastAsia"/>
          <w:spacing w:val="10"/>
          <w:szCs w:val="21"/>
        </w:rPr>
        <w:t>1.在合同服务期限内，甲方可以随时了解掌握项目工作进度，对乙方经费使用情况和各项制度落实情况进行监管，乙方应当配合。</w:t>
      </w:r>
    </w:p>
    <w:p>
      <w:pPr>
        <w:spacing w:line="420" w:lineRule="atLeast"/>
        <w:ind w:firstLine="460" w:firstLineChars="200"/>
        <w:jc w:val="left"/>
        <w:rPr>
          <w:rFonts w:asciiTheme="minorEastAsia" w:hAnsiTheme="minorEastAsia"/>
          <w:spacing w:val="10"/>
          <w:szCs w:val="21"/>
        </w:rPr>
      </w:pPr>
      <w:r>
        <w:rPr>
          <w:rFonts w:hint="eastAsia" w:asciiTheme="minorEastAsia" w:hAnsiTheme="minorEastAsia"/>
          <w:spacing w:val="10"/>
          <w:szCs w:val="21"/>
        </w:rPr>
        <w:t>2.根据乙方要求，协调相关单位，为项目服务工作提供必要的支持和帮助。</w:t>
      </w:r>
    </w:p>
    <w:p>
      <w:pPr>
        <w:spacing w:line="420" w:lineRule="atLeast"/>
        <w:ind w:firstLine="460" w:firstLineChars="200"/>
        <w:jc w:val="left"/>
        <w:rPr>
          <w:rFonts w:asciiTheme="minorEastAsia" w:hAnsiTheme="minorEastAsia"/>
          <w:spacing w:val="10"/>
          <w:szCs w:val="21"/>
        </w:rPr>
      </w:pPr>
      <w:r>
        <w:rPr>
          <w:rFonts w:hint="eastAsia" w:asciiTheme="minorEastAsia" w:hAnsiTheme="minorEastAsia"/>
          <w:spacing w:val="10"/>
          <w:szCs w:val="21"/>
        </w:rPr>
        <w:t>3.为开展绩效评估，甲方应对乙方制定具体的考评意见。</w:t>
      </w:r>
    </w:p>
    <w:p>
      <w:pPr>
        <w:spacing w:line="420" w:lineRule="atLeast"/>
        <w:ind w:firstLine="345" w:firstLineChars="150"/>
        <w:jc w:val="left"/>
        <w:rPr>
          <w:rFonts w:asciiTheme="minorEastAsia" w:hAnsiTheme="minorEastAsia"/>
          <w:spacing w:val="10"/>
          <w:szCs w:val="21"/>
        </w:rPr>
      </w:pPr>
      <w:r>
        <w:rPr>
          <w:rFonts w:hint="eastAsia" w:asciiTheme="minorEastAsia" w:hAnsiTheme="minorEastAsia"/>
          <w:spacing w:val="10"/>
          <w:szCs w:val="21"/>
        </w:rPr>
        <w:t>（二）乙方权利、义务</w:t>
      </w:r>
    </w:p>
    <w:p>
      <w:pPr>
        <w:spacing w:line="420" w:lineRule="atLeast"/>
        <w:ind w:firstLine="460" w:firstLineChars="200"/>
        <w:jc w:val="left"/>
        <w:rPr>
          <w:rFonts w:asciiTheme="minorEastAsia" w:hAnsiTheme="minorEastAsia"/>
          <w:spacing w:val="10"/>
          <w:szCs w:val="21"/>
        </w:rPr>
      </w:pPr>
      <w:r>
        <w:rPr>
          <w:rFonts w:hint="eastAsia" w:asciiTheme="minorEastAsia" w:hAnsiTheme="minorEastAsia"/>
          <w:spacing w:val="10"/>
          <w:szCs w:val="21"/>
        </w:rPr>
        <w:t>1.乙方可要求甲方按本合同的规定按时足额拨付项目经费。</w:t>
      </w:r>
    </w:p>
    <w:p>
      <w:pPr>
        <w:spacing w:line="420" w:lineRule="atLeast"/>
        <w:ind w:firstLine="460" w:firstLineChars="200"/>
        <w:jc w:val="left"/>
        <w:rPr>
          <w:rFonts w:asciiTheme="minorEastAsia" w:hAnsiTheme="minorEastAsia"/>
          <w:spacing w:val="10"/>
          <w:szCs w:val="21"/>
        </w:rPr>
      </w:pPr>
      <w:r>
        <w:rPr>
          <w:rFonts w:hint="eastAsia" w:asciiTheme="minorEastAsia" w:hAnsiTheme="minorEastAsia"/>
          <w:spacing w:val="10"/>
          <w:szCs w:val="21"/>
        </w:rPr>
        <w:t>2.乙方应配备具有相应资质、工作经验并受到良好培训的工作人员，按照合同要求的标准和时限做好服务工作，并督导工作人员严格遵守有关工作纪律。</w:t>
      </w:r>
    </w:p>
    <w:p>
      <w:pPr>
        <w:spacing w:line="420" w:lineRule="atLeast"/>
        <w:ind w:firstLine="460" w:firstLineChars="200"/>
        <w:jc w:val="left"/>
        <w:rPr>
          <w:rFonts w:asciiTheme="minorEastAsia" w:hAnsiTheme="minorEastAsia"/>
          <w:spacing w:val="10"/>
          <w:szCs w:val="21"/>
        </w:rPr>
      </w:pPr>
      <w:r>
        <w:rPr>
          <w:rFonts w:hint="eastAsia" w:asciiTheme="minorEastAsia" w:hAnsiTheme="minorEastAsia"/>
          <w:spacing w:val="10"/>
          <w:szCs w:val="21"/>
        </w:rPr>
        <w:t>3.乙方在履行合同过程中，不得将服务项目委托给第三人，应按本合同如实报告项目进展情况。如乙方未能在合同期内完成全部项目的服务内容，合同结束后，应将甲方已经支付但未发生的款项返还甲方，并承担违约责任。</w:t>
      </w:r>
    </w:p>
    <w:p>
      <w:pPr>
        <w:spacing w:line="420" w:lineRule="atLeast"/>
        <w:ind w:firstLine="460" w:firstLineChars="200"/>
        <w:jc w:val="left"/>
        <w:rPr>
          <w:rFonts w:asciiTheme="minorEastAsia" w:hAnsiTheme="minorEastAsia"/>
          <w:spacing w:val="10"/>
          <w:szCs w:val="21"/>
        </w:rPr>
      </w:pPr>
      <w:r>
        <w:rPr>
          <w:rFonts w:hint="eastAsia" w:asciiTheme="minorEastAsia" w:hAnsiTheme="minorEastAsia"/>
          <w:spacing w:val="10"/>
          <w:szCs w:val="21"/>
        </w:rPr>
        <w:t>4.乙方应妥善保管、及时归还甲方移交的项目资料。</w:t>
      </w:r>
    </w:p>
    <w:p>
      <w:pPr>
        <w:spacing w:line="420" w:lineRule="atLeast"/>
        <w:ind w:firstLine="460" w:firstLineChars="200"/>
        <w:jc w:val="left"/>
        <w:rPr>
          <w:rFonts w:asciiTheme="minorEastAsia" w:hAnsiTheme="minorEastAsia"/>
          <w:spacing w:val="10"/>
          <w:szCs w:val="21"/>
        </w:rPr>
      </w:pPr>
      <w:r>
        <w:rPr>
          <w:rFonts w:hint="eastAsia" w:asciiTheme="minorEastAsia" w:hAnsiTheme="minorEastAsia"/>
          <w:spacing w:val="10"/>
          <w:szCs w:val="21"/>
        </w:rPr>
        <w:t>第七条 保密义务</w:t>
      </w:r>
    </w:p>
    <w:p>
      <w:pPr>
        <w:spacing w:line="420" w:lineRule="atLeast"/>
        <w:ind w:firstLine="460" w:firstLineChars="200"/>
        <w:jc w:val="left"/>
        <w:rPr>
          <w:rFonts w:asciiTheme="minorEastAsia" w:hAnsiTheme="minorEastAsia"/>
          <w:spacing w:val="10"/>
          <w:szCs w:val="21"/>
        </w:rPr>
      </w:pPr>
      <w:r>
        <w:rPr>
          <w:rFonts w:hint="eastAsia" w:asciiTheme="minorEastAsia" w:hAnsiTheme="minorEastAsia"/>
          <w:spacing w:val="10"/>
          <w:szCs w:val="21"/>
        </w:rPr>
        <w:t>1.双方应当对本协议的内容、因履行本协议或在本协议期间收到的商务、财务、技术、产品的信息、项目资料、用户资料或其他标明保密的文件或信息(简称“保密资料”)保守秘密，未经甲方书面事先同意，不得向本协议以外的任何第三方披露。乙方可仅为本协议目的向其确有知悉必要的雇员披露对方提供的保密资料，但同时须指示其雇员遵守本条规定的保密及不披露义务。</w:t>
      </w:r>
    </w:p>
    <w:p>
      <w:pPr>
        <w:spacing w:line="420" w:lineRule="atLeast"/>
        <w:ind w:firstLine="460" w:firstLineChars="200"/>
        <w:jc w:val="left"/>
        <w:rPr>
          <w:rFonts w:asciiTheme="minorEastAsia" w:hAnsiTheme="minorEastAsia"/>
          <w:spacing w:val="10"/>
          <w:szCs w:val="21"/>
        </w:rPr>
      </w:pPr>
      <w:r>
        <w:rPr>
          <w:rFonts w:hint="eastAsia" w:asciiTheme="minorEastAsia" w:hAnsiTheme="minorEastAsia"/>
          <w:spacing w:val="10"/>
          <w:szCs w:val="21"/>
        </w:rPr>
        <w:t>2.除非得到另一方的书面许可，甲乙双方均不得将本合同中的内容及在本合同执行过程中获得的对方的信息向任何第三方泄露。（因国家行政机关、司法机关及行业主管部门依据法律法规规定的需要披露相关信息的除外）</w:t>
      </w:r>
    </w:p>
    <w:p>
      <w:pPr>
        <w:spacing w:line="420" w:lineRule="atLeast"/>
        <w:ind w:firstLine="460" w:firstLineChars="200"/>
        <w:jc w:val="left"/>
        <w:rPr>
          <w:rFonts w:asciiTheme="minorEastAsia" w:hAnsiTheme="minorEastAsia"/>
          <w:spacing w:val="10"/>
          <w:szCs w:val="21"/>
        </w:rPr>
      </w:pPr>
      <w:r>
        <w:rPr>
          <w:rFonts w:hint="eastAsia" w:asciiTheme="minorEastAsia" w:hAnsiTheme="minorEastAsia"/>
          <w:spacing w:val="10"/>
          <w:szCs w:val="21"/>
        </w:rPr>
        <w:t>3.乙方人员违反上述保密规定的，应向甲方支付本合同总额的20%作为违约金，并承担由此造成的所有经济损失（包括但不限于诉讼费、律师费、鉴定费、评估费、公证费、差旅费以及因此造成的其他实际损失等）及相应的法律责任。</w:t>
      </w:r>
    </w:p>
    <w:p>
      <w:pPr>
        <w:spacing w:line="420" w:lineRule="atLeast"/>
        <w:ind w:firstLine="460" w:firstLineChars="200"/>
        <w:jc w:val="left"/>
        <w:rPr>
          <w:rFonts w:asciiTheme="minorEastAsia" w:hAnsiTheme="minorEastAsia"/>
          <w:spacing w:val="10"/>
          <w:szCs w:val="21"/>
        </w:rPr>
      </w:pPr>
      <w:r>
        <w:rPr>
          <w:rFonts w:hint="eastAsia" w:asciiTheme="minorEastAsia" w:hAnsiTheme="minorEastAsia"/>
          <w:spacing w:val="10"/>
          <w:szCs w:val="21"/>
        </w:rPr>
        <w:t>4.本保密义务应在本协议期满、解除或终止后仍然有效。</w:t>
      </w:r>
    </w:p>
    <w:p>
      <w:pPr>
        <w:spacing w:line="420" w:lineRule="atLeast"/>
        <w:ind w:firstLine="460" w:firstLineChars="200"/>
        <w:jc w:val="left"/>
        <w:rPr>
          <w:rFonts w:asciiTheme="minorEastAsia" w:hAnsiTheme="minorEastAsia"/>
          <w:spacing w:val="10"/>
          <w:szCs w:val="21"/>
        </w:rPr>
      </w:pPr>
      <w:r>
        <w:rPr>
          <w:rFonts w:hint="eastAsia" w:asciiTheme="minorEastAsia" w:hAnsiTheme="minorEastAsia"/>
          <w:spacing w:val="10"/>
          <w:szCs w:val="21"/>
        </w:rPr>
        <w:t>第八条 违约责任</w:t>
      </w:r>
    </w:p>
    <w:p>
      <w:pPr>
        <w:spacing w:line="420" w:lineRule="atLeast"/>
        <w:ind w:firstLine="460" w:firstLineChars="200"/>
        <w:jc w:val="left"/>
        <w:rPr>
          <w:rFonts w:asciiTheme="minorEastAsia" w:hAnsiTheme="minorEastAsia"/>
          <w:spacing w:val="10"/>
          <w:szCs w:val="21"/>
        </w:rPr>
      </w:pPr>
      <w:r>
        <w:rPr>
          <w:rFonts w:hint="eastAsia" w:asciiTheme="minorEastAsia" w:hAnsiTheme="minorEastAsia"/>
          <w:spacing w:val="10"/>
          <w:szCs w:val="21"/>
        </w:rPr>
        <w:t>1.在合同履行过程中，双方因违约或重大过失造成对方经济损失的应当赔偿，如甲方无正当理由未按合同规定期限或金额向乙方支付合同价款逾期超过十个工作日的，乙方有权要求甲方支付应付金额并补偿因此造成的损失。如乙方未在约定时间内按要求完成合同义务逾期超过十个工作日的，除赔偿甲方所有损失外，应支付合同总价20%的违约金。</w:t>
      </w:r>
    </w:p>
    <w:p>
      <w:pPr>
        <w:spacing w:line="420" w:lineRule="atLeast"/>
        <w:ind w:firstLine="420"/>
        <w:jc w:val="left"/>
        <w:rPr>
          <w:rFonts w:asciiTheme="minorEastAsia" w:hAnsiTheme="minorEastAsia"/>
          <w:spacing w:val="10"/>
          <w:szCs w:val="21"/>
        </w:rPr>
      </w:pPr>
      <w:r>
        <w:rPr>
          <w:rFonts w:hint="eastAsia" w:asciiTheme="minorEastAsia" w:hAnsiTheme="minorEastAsia"/>
          <w:spacing w:val="10"/>
          <w:szCs w:val="21"/>
        </w:rPr>
        <w:t>2.如乙方违反本协议约定，甲方有权告知乙方在指定的期限内进行整改，采取补救措施以防止违约损失的进一步扩大。如乙方未在甲方指定的期限内进行整改，为防止损失的进一步扩大，甲方有权解除本次合同，另行委托第三方进行整改，因此产生的支付第三方的全部费用及给甲方造成的损失赔偿责任由乙方承担。如乙方拒不向甲方支付该费用的，甲方通过法律途径向乙方追索该费用，因向追索乙方承担该费用而支付的律师费、差旅费、调查费、评估费、诉讼费等由乙方承担。</w:t>
      </w:r>
    </w:p>
    <w:p>
      <w:pPr>
        <w:spacing w:line="420" w:lineRule="atLeast"/>
        <w:ind w:firstLine="420"/>
        <w:jc w:val="left"/>
        <w:rPr>
          <w:rFonts w:asciiTheme="minorEastAsia" w:hAnsiTheme="minorEastAsia"/>
          <w:spacing w:val="10"/>
          <w:szCs w:val="21"/>
        </w:rPr>
      </w:pPr>
      <w:r>
        <w:rPr>
          <w:rFonts w:hint="eastAsia" w:asciiTheme="minorEastAsia" w:hAnsiTheme="minorEastAsia"/>
          <w:spacing w:val="10"/>
          <w:szCs w:val="21"/>
        </w:rPr>
        <w:t>3.如因乙方原因，造成甲方任何资料泄露致使甲方遭受相关损失或不良后果，甲方有权解除与乙方签订的本次合同，解除合同通知书送达至乙方立即发生法律效力，且乙方对因其违约行为给甲方造成全部损失的承担赔偿责任。</w:t>
      </w:r>
    </w:p>
    <w:p>
      <w:pPr>
        <w:spacing w:line="420" w:lineRule="atLeast"/>
        <w:ind w:firstLine="420"/>
        <w:jc w:val="left"/>
        <w:rPr>
          <w:rFonts w:asciiTheme="minorEastAsia" w:hAnsiTheme="minorEastAsia"/>
          <w:spacing w:val="10"/>
          <w:szCs w:val="21"/>
        </w:rPr>
      </w:pPr>
      <w:r>
        <w:rPr>
          <w:rFonts w:hint="eastAsia" w:asciiTheme="minorEastAsia" w:hAnsiTheme="minorEastAsia"/>
          <w:spacing w:val="10"/>
          <w:szCs w:val="21"/>
        </w:rPr>
        <w:t>第九条 不可抗力</w:t>
      </w:r>
    </w:p>
    <w:p>
      <w:pPr>
        <w:spacing w:line="420" w:lineRule="atLeast"/>
        <w:ind w:firstLine="420"/>
        <w:jc w:val="left"/>
        <w:rPr>
          <w:rFonts w:asciiTheme="minorEastAsia" w:hAnsiTheme="minorEastAsia"/>
          <w:spacing w:val="10"/>
          <w:szCs w:val="21"/>
        </w:rPr>
      </w:pPr>
      <w:r>
        <w:rPr>
          <w:rFonts w:hint="eastAsia" w:asciiTheme="minorEastAsia" w:hAnsiTheme="minorEastAsia"/>
          <w:spacing w:val="10"/>
          <w:szCs w:val="21"/>
        </w:rPr>
        <w:t>1.不可抗力系指双方在缔结协议时不能预见、并且它的发生及后果是不能克服和不能避免的客观情况。一方因不可抗力不能履行合同或不能完全履行合同的，根据不可抗力的影响，可以部分或全部地免除责任。由于不可抗力原因致使合同无法履行时，无法履行合同义务的一方应以合理方式立即将不能履行合同的事实通知另一方，并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pPr>
        <w:spacing w:line="420" w:lineRule="atLeast"/>
        <w:ind w:firstLine="420"/>
        <w:jc w:val="left"/>
        <w:rPr>
          <w:rFonts w:asciiTheme="minorEastAsia" w:hAnsiTheme="minorEastAsia"/>
          <w:spacing w:val="10"/>
          <w:szCs w:val="21"/>
        </w:rPr>
      </w:pPr>
      <w:r>
        <w:rPr>
          <w:rFonts w:hint="eastAsia" w:asciiTheme="minorEastAsia" w:hAnsiTheme="minorEastAsia"/>
          <w:spacing w:val="10"/>
          <w:szCs w:val="21"/>
        </w:rPr>
        <w:t>2.一方迟延履行后发生不可抗力的，不能免除责任。</w:t>
      </w:r>
    </w:p>
    <w:p>
      <w:pPr>
        <w:spacing w:line="420" w:lineRule="atLeast"/>
        <w:jc w:val="left"/>
        <w:rPr>
          <w:rFonts w:asciiTheme="minorEastAsia" w:hAnsiTheme="minorEastAsia"/>
          <w:spacing w:val="10"/>
          <w:szCs w:val="21"/>
        </w:rPr>
      </w:pPr>
      <w:r>
        <w:rPr>
          <w:rFonts w:hint="eastAsia" w:asciiTheme="minorEastAsia" w:hAnsiTheme="minorEastAsia"/>
          <w:spacing w:val="10"/>
          <w:szCs w:val="21"/>
        </w:rPr>
        <w:t>第十条 送达条款</w:t>
      </w:r>
    </w:p>
    <w:p>
      <w:pPr>
        <w:spacing w:line="420" w:lineRule="atLeast"/>
        <w:jc w:val="left"/>
        <w:rPr>
          <w:rFonts w:asciiTheme="minorEastAsia" w:hAnsiTheme="minorEastAsia"/>
          <w:spacing w:val="10"/>
          <w:szCs w:val="21"/>
        </w:rPr>
      </w:pPr>
      <w:r>
        <w:rPr>
          <w:rFonts w:hint="eastAsia" w:asciiTheme="minorEastAsia" w:hAnsiTheme="minorEastAsia"/>
          <w:spacing w:val="10"/>
          <w:szCs w:val="21"/>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pPr>
        <w:spacing w:line="420" w:lineRule="atLeast"/>
        <w:ind w:firstLine="420"/>
        <w:jc w:val="left"/>
        <w:rPr>
          <w:rFonts w:asciiTheme="minorEastAsia" w:hAnsiTheme="minorEastAsia"/>
          <w:spacing w:val="10"/>
          <w:szCs w:val="21"/>
        </w:rPr>
      </w:pPr>
      <w:r>
        <w:rPr>
          <w:rFonts w:hint="eastAsia" w:asciiTheme="minorEastAsia" w:hAnsiTheme="minorEastAsia"/>
          <w:spacing w:val="10"/>
          <w:szCs w:val="21"/>
        </w:rPr>
        <w:t>第十一条 争议解决</w:t>
      </w:r>
    </w:p>
    <w:p>
      <w:pPr>
        <w:spacing w:line="420" w:lineRule="atLeast"/>
        <w:ind w:firstLine="420"/>
        <w:jc w:val="left"/>
        <w:rPr>
          <w:rFonts w:asciiTheme="minorEastAsia" w:hAnsiTheme="minorEastAsia"/>
          <w:spacing w:val="10"/>
          <w:szCs w:val="21"/>
        </w:rPr>
      </w:pPr>
      <w:r>
        <w:rPr>
          <w:rFonts w:hint="eastAsia" w:asciiTheme="minorEastAsia" w:hAnsiTheme="minorEastAsia"/>
          <w:spacing w:val="10"/>
          <w:szCs w:val="21"/>
        </w:rPr>
        <w:t>本合同在履行过程中发生争议，由甲、乙方协商解决，协商不成的，可以向甲方所在地的人民法院提起诉讼。</w:t>
      </w:r>
    </w:p>
    <w:p>
      <w:pPr>
        <w:spacing w:line="420" w:lineRule="atLeast"/>
        <w:ind w:firstLine="420"/>
        <w:jc w:val="left"/>
        <w:rPr>
          <w:rFonts w:asciiTheme="minorEastAsia" w:hAnsiTheme="minorEastAsia"/>
          <w:spacing w:val="10"/>
          <w:szCs w:val="21"/>
        </w:rPr>
      </w:pPr>
      <w:r>
        <w:rPr>
          <w:rFonts w:hint="eastAsia" w:asciiTheme="minorEastAsia" w:hAnsiTheme="minorEastAsia"/>
          <w:spacing w:val="10"/>
          <w:szCs w:val="21"/>
        </w:rPr>
        <w:t>第十二条 其他</w:t>
      </w:r>
    </w:p>
    <w:p>
      <w:pPr>
        <w:spacing w:line="420" w:lineRule="atLeast"/>
        <w:ind w:firstLine="420"/>
        <w:jc w:val="left"/>
        <w:rPr>
          <w:rFonts w:asciiTheme="minorEastAsia" w:hAnsiTheme="minorEastAsia"/>
          <w:spacing w:val="10"/>
          <w:szCs w:val="21"/>
        </w:rPr>
      </w:pPr>
      <w:r>
        <w:rPr>
          <w:rFonts w:hint="eastAsia" w:asciiTheme="minorEastAsia" w:hAnsiTheme="minorEastAsia"/>
          <w:spacing w:val="10"/>
          <w:szCs w:val="21"/>
        </w:rPr>
        <w:t>本协议一式   份，甲方、乙方各执   份，经甲、乙双方法定代表人或授权代表签字并加盖公章之日起生效。附件系本合同组成部分，与本合同具有同等法律效力，附件以邮件方式送达为准。</w:t>
      </w:r>
    </w:p>
    <w:p>
      <w:pPr>
        <w:spacing w:line="420" w:lineRule="atLeast"/>
        <w:jc w:val="left"/>
        <w:rPr>
          <w:rFonts w:asciiTheme="minorEastAsia" w:hAnsiTheme="minorEastAsia"/>
          <w:spacing w:val="10"/>
          <w:szCs w:val="21"/>
        </w:rPr>
      </w:pPr>
      <w:r>
        <w:rPr>
          <w:rFonts w:hint="eastAsia" w:asciiTheme="minorEastAsia" w:hAnsiTheme="minorEastAsia"/>
          <w:spacing w:val="10"/>
          <w:szCs w:val="21"/>
        </w:rPr>
        <w:t>（以下无正文，为各方签字盖章处）</w:t>
      </w:r>
    </w:p>
    <w:p>
      <w:pPr>
        <w:spacing w:line="420" w:lineRule="atLeast"/>
        <w:jc w:val="left"/>
        <w:rPr>
          <w:rFonts w:asciiTheme="minorEastAsia" w:hAnsiTheme="minorEastAsia"/>
          <w:spacing w:val="10"/>
          <w:szCs w:val="21"/>
        </w:rPr>
      </w:pPr>
    </w:p>
    <w:p>
      <w:pPr>
        <w:spacing w:line="420" w:lineRule="atLeast"/>
        <w:jc w:val="left"/>
        <w:rPr>
          <w:rFonts w:asciiTheme="minorEastAsia" w:hAnsiTheme="minorEastAsia"/>
          <w:spacing w:val="10"/>
          <w:szCs w:val="21"/>
        </w:rPr>
      </w:pPr>
    </w:p>
    <w:p>
      <w:pPr>
        <w:spacing w:line="420" w:lineRule="atLeast"/>
        <w:jc w:val="left"/>
        <w:rPr>
          <w:rFonts w:asciiTheme="minorEastAsia" w:hAnsiTheme="minorEastAsia"/>
          <w:spacing w:val="10"/>
          <w:szCs w:val="21"/>
        </w:rPr>
      </w:pPr>
      <w:r>
        <w:rPr>
          <w:rFonts w:hint="eastAsia" w:asciiTheme="minorEastAsia" w:hAnsiTheme="minorEastAsia"/>
          <w:spacing w:val="10"/>
          <w:szCs w:val="21"/>
        </w:rPr>
        <w:t>甲方：</w:t>
      </w:r>
      <w:r>
        <w:rPr>
          <w:rFonts w:hint="eastAsia" w:asciiTheme="minorEastAsia" w:hAnsiTheme="minorEastAsia"/>
          <w:spacing w:val="10"/>
          <w:szCs w:val="21"/>
          <w:lang w:eastAsia="zh-CN"/>
        </w:rPr>
        <w:t>深圳市福田区第二人民医院</w:t>
      </w:r>
      <w:r>
        <w:rPr>
          <w:rFonts w:hint="eastAsia" w:asciiTheme="minorEastAsia" w:hAnsiTheme="minorEastAsia"/>
          <w:spacing w:val="10"/>
          <w:szCs w:val="21"/>
        </w:rPr>
        <w:t xml:space="preserve">  </w:t>
      </w:r>
      <w:r>
        <w:rPr>
          <w:rFonts w:asciiTheme="minorEastAsia" w:hAnsiTheme="minorEastAsia"/>
          <w:spacing w:val="10"/>
          <w:szCs w:val="21"/>
        </w:rPr>
        <w:t xml:space="preserve">   </w:t>
      </w:r>
      <w:r>
        <w:rPr>
          <w:rFonts w:hint="eastAsia" w:asciiTheme="minorEastAsia" w:hAnsiTheme="minorEastAsia"/>
          <w:spacing w:val="10"/>
          <w:szCs w:val="21"/>
          <w:lang w:val="en-US" w:eastAsia="zh-CN"/>
        </w:rPr>
        <w:t xml:space="preserve">       </w:t>
      </w:r>
      <w:r>
        <w:rPr>
          <w:rFonts w:asciiTheme="minorEastAsia" w:hAnsiTheme="minorEastAsia"/>
          <w:spacing w:val="10"/>
          <w:szCs w:val="21"/>
        </w:rPr>
        <w:t xml:space="preserve"> </w:t>
      </w:r>
      <w:r>
        <w:rPr>
          <w:rFonts w:hint="eastAsia" w:asciiTheme="minorEastAsia" w:hAnsiTheme="minorEastAsia"/>
          <w:spacing w:val="10"/>
          <w:szCs w:val="21"/>
        </w:rPr>
        <w:t>乙方：</w:t>
      </w:r>
    </w:p>
    <w:p>
      <w:pPr>
        <w:spacing w:line="420" w:lineRule="atLeast"/>
        <w:jc w:val="left"/>
        <w:rPr>
          <w:rFonts w:asciiTheme="minorEastAsia" w:hAnsiTheme="minorEastAsia"/>
          <w:spacing w:val="10"/>
          <w:szCs w:val="21"/>
        </w:rPr>
      </w:pPr>
      <w:r>
        <w:rPr>
          <w:rFonts w:hint="eastAsia" w:asciiTheme="minorEastAsia" w:hAnsiTheme="minorEastAsia"/>
          <w:spacing w:val="10"/>
          <w:szCs w:val="21"/>
        </w:rPr>
        <w:t>住所地：</w:t>
      </w:r>
      <w:r>
        <w:rPr>
          <w:rFonts w:hint="eastAsia" w:asciiTheme="minorEastAsia" w:hAnsiTheme="minorEastAsia"/>
          <w:spacing w:val="10"/>
          <w:szCs w:val="21"/>
          <w:lang w:val="en-US" w:eastAsia="zh-CN"/>
        </w:rPr>
        <w:t xml:space="preserve">                           </w:t>
      </w:r>
      <w:r>
        <w:rPr>
          <w:rFonts w:hint="eastAsia" w:asciiTheme="minorEastAsia" w:hAnsiTheme="minorEastAsia"/>
          <w:spacing w:val="10"/>
          <w:szCs w:val="21"/>
        </w:rPr>
        <w:t xml:space="preserve">   </w:t>
      </w:r>
      <w:r>
        <w:rPr>
          <w:rFonts w:asciiTheme="minorEastAsia" w:hAnsiTheme="minorEastAsia"/>
          <w:spacing w:val="10"/>
          <w:szCs w:val="21"/>
        </w:rPr>
        <w:t xml:space="preserve">    </w:t>
      </w:r>
      <w:r>
        <w:rPr>
          <w:rFonts w:hint="eastAsia" w:asciiTheme="minorEastAsia" w:hAnsiTheme="minorEastAsia"/>
          <w:spacing w:val="10"/>
          <w:szCs w:val="21"/>
        </w:rPr>
        <w:t>住所地：</w:t>
      </w:r>
    </w:p>
    <w:p>
      <w:pPr>
        <w:spacing w:line="420" w:lineRule="atLeast"/>
        <w:jc w:val="left"/>
        <w:rPr>
          <w:rFonts w:asciiTheme="minorEastAsia" w:hAnsiTheme="minorEastAsia"/>
          <w:spacing w:val="10"/>
          <w:szCs w:val="21"/>
        </w:rPr>
      </w:pPr>
      <w:r>
        <w:rPr>
          <w:rFonts w:hint="eastAsia" w:asciiTheme="minorEastAsia" w:hAnsiTheme="minorEastAsia"/>
          <w:spacing w:val="10"/>
          <w:szCs w:val="21"/>
        </w:rPr>
        <w:t xml:space="preserve">法定代表人：                          </w:t>
      </w:r>
      <w:r>
        <w:rPr>
          <w:rFonts w:asciiTheme="minorEastAsia" w:hAnsiTheme="minorEastAsia"/>
          <w:spacing w:val="10"/>
          <w:szCs w:val="21"/>
        </w:rPr>
        <w:t xml:space="preserve">  </w:t>
      </w:r>
      <w:r>
        <w:rPr>
          <w:rFonts w:hint="eastAsia" w:asciiTheme="minorEastAsia" w:hAnsiTheme="minorEastAsia"/>
          <w:spacing w:val="10"/>
          <w:szCs w:val="21"/>
        </w:rPr>
        <w:t>法定代表人：</w:t>
      </w:r>
    </w:p>
    <w:p>
      <w:pPr>
        <w:spacing w:line="420" w:lineRule="atLeast"/>
        <w:jc w:val="left"/>
        <w:rPr>
          <w:rFonts w:asciiTheme="minorEastAsia" w:hAnsiTheme="minorEastAsia"/>
          <w:spacing w:val="10"/>
          <w:szCs w:val="21"/>
        </w:rPr>
      </w:pPr>
      <w:r>
        <w:rPr>
          <w:rFonts w:hint="eastAsia" w:asciiTheme="minorEastAsia" w:hAnsiTheme="minorEastAsia"/>
          <w:spacing w:val="10"/>
          <w:szCs w:val="21"/>
        </w:rPr>
        <w:t xml:space="preserve">委托代理人：                          </w:t>
      </w:r>
      <w:r>
        <w:rPr>
          <w:rFonts w:asciiTheme="minorEastAsia" w:hAnsiTheme="minorEastAsia"/>
          <w:spacing w:val="10"/>
          <w:szCs w:val="21"/>
        </w:rPr>
        <w:t xml:space="preserve">  </w:t>
      </w:r>
      <w:r>
        <w:rPr>
          <w:rFonts w:hint="eastAsia" w:asciiTheme="minorEastAsia" w:hAnsiTheme="minorEastAsia"/>
          <w:spacing w:val="10"/>
          <w:szCs w:val="21"/>
        </w:rPr>
        <w:t>委托代理人：</w:t>
      </w:r>
    </w:p>
    <w:p>
      <w:pPr>
        <w:spacing w:line="420" w:lineRule="atLeast"/>
        <w:jc w:val="left"/>
        <w:rPr>
          <w:rFonts w:asciiTheme="minorEastAsia" w:hAnsiTheme="minorEastAsia"/>
          <w:spacing w:val="10"/>
          <w:szCs w:val="21"/>
        </w:rPr>
      </w:pPr>
      <w:r>
        <w:rPr>
          <w:rFonts w:hint="eastAsia" w:asciiTheme="minorEastAsia" w:hAnsiTheme="minorEastAsia"/>
          <w:spacing w:val="10"/>
          <w:szCs w:val="21"/>
        </w:rPr>
        <w:t xml:space="preserve">联系电话：                            </w:t>
      </w:r>
      <w:r>
        <w:rPr>
          <w:rFonts w:asciiTheme="minorEastAsia" w:hAnsiTheme="minorEastAsia"/>
          <w:spacing w:val="10"/>
          <w:szCs w:val="21"/>
        </w:rPr>
        <w:t xml:space="preserve">  </w:t>
      </w:r>
      <w:r>
        <w:rPr>
          <w:rFonts w:hint="eastAsia" w:asciiTheme="minorEastAsia" w:hAnsiTheme="minorEastAsia"/>
          <w:spacing w:val="10"/>
          <w:szCs w:val="21"/>
        </w:rPr>
        <w:t>联系电话：</w:t>
      </w:r>
    </w:p>
    <w:p>
      <w:pPr>
        <w:spacing w:line="420" w:lineRule="atLeast"/>
        <w:jc w:val="left"/>
        <w:rPr>
          <w:rFonts w:asciiTheme="minorEastAsia" w:hAnsiTheme="minorEastAsia"/>
          <w:spacing w:val="10"/>
          <w:szCs w:val="21"/>
        </w:rPr>
      </w:pPr>
      <w:r>
        <w:rPr>
          <w:rFonts w:hint="eastAsia" w:asciiTheme="minorEastAsia" w:hAnsiTheme="minorEastAsia"/>
          <w:spacing w:val="10"/>
          <w:szCs w:val="21"/>
        </w:rPr>
        <w:t xml:space="preserve">开户银行：                           </w:t>
      </w:r>
      <w:r>
        <w:rPr>
          <w:rFonts w:asciiTheme="minorEastAsia" w:hAnsiTheme="minorEastAsia"/>
          <w:spacing w:val="10"/>
          <w:szCs w:val="21"/>
        </w:rPr>
        <w:t xml:space="preserve">  </w:t>
      </w:r>
      <w:r>
        <w:rPr>
          <w:rFonts w:hint="eastAsia" w:asciiTheme="minorEastAsia" w:hAnsiTheme="minorEastAsia"/>
          <w:spacing w:val="10"/>
          <w:szCs w:val="21"/>
        </w:rPr>
        <w:t xml:space="preserve"> 开户银行：</w:t>
      </w:r>
    </w:p>
    <w:p>
      <w:pPr>
        <w:spacing w:line="420" w:lineRule="atLeast"/>
        <w:jc w:val="left"/>
        <w:rPr>
          <w:rFonts w:asciiTheme="minorEastAsia" w:hAnsiTheme="minorEastAsia"/>
          <w:spacing w:val="10"/>
          <w:szCs w:val="21"/>
        </w:rPr>
      </w:pPr>
      <w:r>
        <w:rPr>
          <w:rFonts w:hint="eastAsia" w:asciiTheme="minorEastAsia" w:hAnsiTheme="minorEastAsia"/>
          <w:spacing w:val="10"/>
          <w:szCs w:val="21"/>
        </w:rPr>
        <w:t xml:space="preserve">账号：                               </w:t>
      </w:r>
      <w:r>
        <w:rPr>
          <w:rFonts w:asciiTheme="minorEastAsia" w:hAnsiTheme="minorEastAsia"/>
          <w:spacing w:val="10"/>
          <w:szCs w:val="21"/>
        </w:rPr>
        <w:t xml:space="preserve">  </w:t>
      </w:r>
      <w:r>
        <w:rPr>
          <w:rFonts w:hint="eastAsia" w:asciiTheme="minorEastAsia" w:hAnsiTheme="minorEastAsia"/>
          <w:spacing w:val="10"/>
          <w:szCs w:val="21"/>
        </w:rPr>
        <w:t xml:space="preserve"> 账号：</w:t>
      </w:r>
    </w:p>
    <w:p>
      <w:pPr>
        <w:spacing w:line="420" w:lineRule="atLeast"/>
        <w:jc w:val="left"/>
        <w:rPr>
          <w:rFonts w:asciiTheme="minorEastAsia" w:hAnsiTheme="minorEastAsia"/>
          <w:spacing w:val="10"/>
          <w:szCs w:val="21"/>
        </w:rPr>
      </w:pPr>
      <w:r>
        <w:rPr>
          <w:rFonts w:hint="eastAsia" w:asciiTheme="minorEastAsia" w:hAnsiTheme="minorEastAsia"/>
          <w:spacing w:val="10"/>
          <w:szCs w:val="21"/>
        </w:rPr>
        <w:t xml:space="preserve">签约时间：     年   月   日       </w:t>
      </w:r>
    </w:p>
    <w:p>
      <w:pPr>
        <w:spacing w:line="420" w:lineRule="atLeast"/>
        <w:jc w:val="left"/>
        <w:rPr>
          <w:rFonts w:hint="eastAsia" w:eastAsia="宋体" w:asciiTheme="minorEastAsia" w:hAnsiTheme="minorEastAsia"/>
          <w:spacing w:val="10"/>
          <w:szCs w:val="21"/>
          <w:lang w:eastAsia="zh-CN"/>
        </w:rPr>
        <w:sectPr>
          <w:pgSz w:w="11906" w:h="16838"/>
          <w:pgMar w:top="1440" w:right="1133" w:bottom="1440" w:left="1418" w:header="851" w:footer="992" w:gutter="0"/>
          <w:cols w:space="425" w:num="1"/>
          <w:docGrid w:type="lines" w:linePitch="312" w:charSpace="0"/>
        </w:sectPr>
      </w:pPr>
      <w:r>
        <w:rPr>
          <w:rFonts w:hint="eastAsia" w:asciiTheme="minorEastAsia" w:hAnsiTheme="minorEastAsia"/>
          <w:spacing w:val="10"/>
          <w:szCs w:val="21"/>
        </w:rPr>
        <w:t>签约地址：</w:t>
      </w:r>
      <w:r>
        <w:rPr>
          <w:rFonts w:hint="eastAsia" w:asciiTheme="minorEastAsia" w:hAnsiTheme="minorEastAsia"/>
          <w:spacing w:val="10"/>
          <w:szCs w:val="21"/>
          <w:lang w:eastAsia="zh-CN"/>
        </w:rPr>
        <w:t>深圳市福田区第二人民医院</w:t>
      </w:r>
    </w:p>
    <w:bookmarkEnd w:id="53"/>
    <w:p>
      <w:pPr>
        <w:pStyle w:val="4"/>
        <w:jc w:val="center"/>
        <w:rPr>
          <w:rFonts w:ascii="黑体" w:eastAsia="黑体"/>
          <w:b w:val="0"/>
          <w:kern w:val="0"/>
          <w:sz w:val="24"/>
          <w:szCs w:val="24"/>
        </w:rPr>
      </w:pPr>
      <w:r>
        <w:rPr>
          <w:rFonts w:hint="eastAsia" w:ascii="黑体" w:eastAsia="黑体"/>
          <w:b w:val="0"/>
          <w:kern w:val="0"/>
          <w:sz w:val="24"/>
          <w:szCs w:val="24"/>
        </w:rPr>
        <w:t>二、采购履约情况反馈表</w:t>
      </w:r>
    </w:p>
    <w:p>
      <w:pPr>
        <w:spacing w:line="240" w:lineRule="atLeast"/>
        <w:rPr>
          <w:rFonts w:ascii="宋体" w:hAnsi="宋体"/>
          <w:b/>
          <w:szCs w:val="21"/>
        </w:rPr>
      </w:pPr>
      <w:r>
        <w:rPr>
          <w:rFonts w:hint="eastAsia" w:ascii="宋体" w:hAnsi="宋体"/>
          <w:b/>
          <w:szCs w:val="21"/>
        </w:rPr>
        <w:t>采购人名称：                       联系人及电话：</w:t>
      </w:r>
    </w:p>
    <w:p>
      <w:pPr>
        <w:spacing w:line="60" w:lineRule="exact"/>
        <w:rPr>
          <w:rFonts w:ascii="宋体" w:hAnsi="宋体"/>
          <w:b/>
          <w:szCs w:val="21"/>
        </w:rPr>
      </w:pPr>
    </w:p>
    <w:tbl>
      <w:tblPr>
        <w:tblStyle w:val="43"/>
        <w:tblW w:w="891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2"/>
        <w:gridCol w:w="720"/>
        <w:gridCol w:w="720"/>
        <w:gridCol w:w="2520"/>
        <w:gridCol w:w="1980"/>
        <w:gridCol w:w="21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2282" w:type="dxa"/>
            <w:gridSpan w:val="3"/>
            <w:vAlign w:val="center"/>
          </w:tcPr>
          <w:p>
            <w:pPr>
              <w:spacing w:line="240" w:lineRule="atLeast"/>
              <w:jc w:val="center"/>
              <w:rPr>
                <w:rFonts w:ascii="宋体" w:hAnsi="宋体"/>
                <w:szCs w:val="21"/>
              </w:rPr>
            </w:pPr>
            <w:r>
              <w:rPr>
                <w:rFonts w:hint="eastAsia" w:ascii="宋体" w:hAnsi="宋体"/>
                <w:szCs w:val="21"/>
              </w:rPr>
              <w:t>采购项目名称</w:t>
            </w:r>
          </w:p>
        </w:tc>
        <w:tc>
          <w:tcPr>
            <w:tcW w:w="2520" w:type="dxa"/>
            <w:vAlign w:val="center"/>
          </w:tcPr>
          <w:p>
            <w:pPr>
              <w:spacing w:line="240" w:lineRule="atLeast"/>
              <w:jc w:val="center"/>
              <w:rPr>
                <w:rFonts w:ascii="宋体" w:hAnsi="宋体"/>
                <w:szCs w:val="21"/>
              </w:rPr>
            </w:pPr>
          </w:p>
        </w:tc>
        <w:tc>
          <w:tcPr>
            <w:tcW w:w="1980" w:type="dxa"/>
            <w:vAlign w:val="center"/>
          </w:tcPr>
          <w:p>
            <w:pPr>
              <w:spacing w:line="240" w:lineRule="atLeast"/>
              <w:jc w:val="center"/>
              <w:rPr>
                <w:rFonts w:ascii="宋体" w:hAnsi="宋体"/>
                <w:szCs w:val="21"/>
              </w:rPr>
            </w:pPr>
            <w:r>
              <w:rPr>
                <w:rFonts w:hint="eastAsia" w:ascii="宋体" w:hAnsi="宋体"/>
                <w:szCs w:val="21"/>
              </w:rPr>
              <w:t>项目编号</w:t>
            </w:r>
          </w:p>
        </w:tc>
        <w:tc>
          <w:tcPr>
            <w:tcW w:w="2135" w:type="dxa"/>
            <w:vAlign w:val="center"/>
          </w:tcPr>
          <w:p>
            <w:pPr>
              <w:spacing w:line="240" w:lineRule="atLeas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282" w:type="dxa"/>
            <w:gridSpan w:val="3"/>
            <w:vAlign w:val="center"/>
          </w:tcPr>
          <w:p>
            <w:pPr>
              <w:spacing w:line="240" w:lineRule="atLeast"/>
              <w:jc w:val="center"/>
              <w:rPr>
                <w:rFonts w:ascii="宋体" w:hAnsi="宋体"/>
                <w:szCs w:val="21"/>
              </w:rPr>
            </w:pPr>
            <w:r>
              <w:rPr>
                <w:rFonts w:hint="eastAsia" w:ascii="宋体" w:hAnsi="宋体"/>
                <w:szCs w:val="21"/>
              </w:rPr>
              <w:t>中标供应商名称</w:t>
            </w:r>
          </w:p>
        </w:tc>
        <w:tc>
          <w:tcPr>
            <w:tcW w:w="2520" w:type="dxa"/>
            <w:vAlign w:val="center"/>
          </w:tcPr>
          <w:p>
            <w:pPr>
              <w:spacing w:line="240" w:lineRule="atLeast"/>
              <w:jc w:val="center"/>
              <w:rPr>
                <w:rFonts w:ascii="宋体" w:hAnsi="宋体"/>
                <w:szCs w:val="21"/>
              </w:rPr>
            </w:pPr>
          </w:p>
        </w:tc>
        <w:tc>
          <w:tcPr>
            <w:tcW w:w="1980" w:type="dxa"/>
            <w:vAlign w:val="center"/>
          </w:tcPr>
          <w:p>
            <w:pPr>
              <w:spacing w:line="240" w:lineRule="atLeast"/>
              <w:jc w:val="center"/>
              <w:rPr>
                <w:rFonts w:ascii="宋体" w:hAnsi="宋体"/>
                <w:szCs w:val="21"/>
              </w:rPr>
            </w:pPr>
            <w:r>
              <w:rPr>
                <w:rFonts w:hint="eastAsia" w:ascii="宋体" w:hAnsi="宋体"/>
                <w:szCs w:val="21"/>
              </w:rPr>
              <w:t>供应商</w:t>
            </w:r>
          </w:p>
          <w:p>
            <w:pPr>
              <w:spacing w:line="240" w:lineRule="atLeast"/>
              <w:jc w:val="center"/>
              <w:rPr>
                <w:rFonts w:ascii="宋体" w:hAnsi="宋体"/>
                <w:szCs w:val="21"/>
              </w:rPr>
            </w:pPr>
            <w:r>
              <w:rPr>
                <w:rFonts w:hint="eastAsia" w:ascii="宋体" w:hAnsi="宋体"/>
                <w:szCs w:val="21"/>
              </w:rPr>
              <w:t>联系人及电话</w:t>
            </w:r>
          </w:p>
        </w:tc>
        <w:tc>
          <w:tcPr>
            <w:tcW w:w="2135" w:type="dxa"/>
            <w:vAlign w:val="center"/>
          </w:tcPr>
          <w:p>
            <w:pPr>
              <w:spacing w:line="240" w:lineRule="atLeas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2282" w:type="dxa"/>
            <w:gridSpan w:val="3"/>
            <w:vAlign w:val="center"/>
          </w:tcPr>
          <w:p>
            <w:pPr>
              <w:spacing w:line="240" w:lineRule="atLeast"/>
              <w:jc w:val="center"/>
              <w:rPr>
                <w:rFonts w:ascii="宋体" w:hAnsi="宋体"/>
                <w:szCs w:val="21"/>
              </w:rPr>
            </w:pPr>
            <w:r>
              <w:rPr>
                <w:rFonts w:hint="eastAsia" w:ascii="宋体" w:hAnsi="宋体"/>
                <w:szCs w:val="21"/>
              </w:rPr>
              <w:t>中标金额</w:t>
            </w:r>
          </w:p>
        </w:tc>
        <w:tc>
          <w:tcPr>
            <w:tcW w:w="2520" w:type="dxa"/>
            <w:vAlign w:val="center"/>
          </w:tcPr>
          <w:p>
            <w:pPr>
              <w:spacing w:line="240" w:lineRule="atLeast"/>
              <w:jc w:val="center"/>
              <w:rPr>
                <w:rFonts w:ascii="宋体" w:hAnsi="宋体"/>
                <w:szCs w:val="21"/>
              </w:rPr>
            </w:pPr>
          </w:p>
        </w:tc>
        <w:tc>
          <w:tcPr>
            <w:tcW w:w="1980" w:type="dxa"/>
            <w:vAlign w:val="center"/>
          </w:tcPr>
          <w:p>
            <w:pPr>
              <w:spacing w:line="240" w:lineRule="atLeast"/>
              <w:jc w:val="center"/>
              <w:rPr>
                <w:rFonts w:ascii="宋体" w:hAnsi="宋体"/>
                <w:szCs w:val="21"/>
              </w:rPr>
            </w:pPr>
            <w:r>
              <w:rPr>
                <w:rFonts w:hint="eastAsia" w:ascii="宋体" w:hAnsi="宋体"/>
                <w:szCs w:val="21"/>
              </w:rPr>
              <w:t>合同履约时间</w:t>
            </w:r>
          </w:p>
        </w:tc>
        <w:tc>
          <w:tcPr>
            <w:tcW w:w="2135" w:type="dxa"/>
            <w:vAlign w:val="center"/>
          </w:tcPr>
          <w:p>
            <w:pPr>
              <w:spacing w:line="240" w:lineRule="atLeast"/>
              <w:rPr>
                <w:rFonts w:ascii="宋体" w:hAnsi="宋体"/>
                <w:szCs w:val="21"/>
              </w:rPr>
            </w:pPr>
            <w:r>
              <w:rPr>
                <w:rFonts w:hint="eastAsia" w:ascii="宋体" w:hAnsi="宋体"/>
                <w:szCs w:val="21"/>
              </w:rPr>
              <w:t>自       至</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842" w:type="dxa"/>
            <w:vMerge w:val="restart"/>
            <w:vAlign w:val="center"/>
          </w:tcPr>
          <w:p>
            <w:pPr>
              <w:spacing w:line="240" w:lineRule="atLeast"/>
              <w:jc w:val="center"/>
              <w:rPr>
                <w:rFonts w:ascii="宋体" w:hAnsi="宋体"/>
                <w:b/>
                <w:szCs w:val="21"/>
              </w:rPr>
            </w:pPr>
            <w:r>
              <w:rPr>
                <w:rFonts w:hint="eastAsia" w:ascii="宋体" w:hAnsi="宋体"/>
                <w:b/>
                <w:szCs w:val="21"/>
              </w:rPr>
              <w:t>履约情况评价</w:t>
            </w:r>
          </w:p>
        </w:tc>
        <w:tc>
          <w:tcPr>
            <w:tcW w:w="1440" w:type="dxa"/>
            <w:gridSpan w:val="2"/>
            <w:tcBorders>
              <w:right w:val="single" w:color="auto" w:sz="4" w:space="0"/>
            </w:tcBorders>
            <w:vAlign w:val="center"/>
          </w:tcPr>
          <w:p>
            <w:pPr>
              <w:spacing w:line="240" w:lineRule="atLeast"/>
              <w:jc w:val="center"/>
              <w:rPr>
                <w:rFonts w:ascii="宋体" w:hAnsi="宋体"/>
                <w:szCs w:val="21"/>
              </w:rPr>
            </w:pPr>
            <w:r>
              <w:rPr>
                <w:rFonts w:hint="eastAsia" w:ascii="宋体" w:hAnsi="宋体"/>
                <w:szCs w:val="21"/>
              </w:rPr>
              <w:t>总体评价</w:t>
            </w:r>
          </w:p>
        </w:tc>
        <w:tc>
          <w:tcPr>
            <w:tcW w:w="6635" w:type="dxa"/>
            <w:gridSpan w:val="3"/>
            <w:tcBorders>
              <w:left w:val="single" w:color="auto" w:sz="4" w:space="0"/>
            </w:tcBorders>
            <w:vAlign w:val="center"/>
          </w:tcPr>
          <w:p>
            <w:pPr>
              <w:spacing w:line="240" w:lineRule="atLeast"/>
              <w:ind w:firstLine="105" w:firstLineChars="50"/>
              <w:jc w:val="center"/>
              <w:rPr>
                <w:rFonts w:ascii="宋体" w:hAnsi="宋体"/>
                <w:szCs w:val="21"/>
              </w:rPr>
            </w:pPr>
            <w:r>
              <w:rPr>
                <w:rFonts w:hint="eastAsia" w:ascii="宋体" w:hAnsi="宋体"/>
                <w:szCs w:val="21"/>
              </w:rPr>
              <w:t>□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szCs w:val="21"/>
              </w:rPr>
            </w:pPr>
          </w:p>
        </w:tc>
        <w:tc>
          <w:tcPr>
            <w:tcW w:w="720" w:type="dxa"/>
            <w:vMerge w:val="restart"/>
            <w:tcBorders>
              <w:right w:val="single" w:color="auto" w:sz="4" w:space="0"/>
            </w:tcBorders>
            <w:vAlign w:val="center"/>
          </w:tcPr>
          <w:p>
            <w:pPr>
              <w:spacing w:line="240" w:lineRule="atLeast"/>
              <w:jc w:val="center"/>
              <w:rPr>
                <w:rFonts w:ascii="宋体" w:hAnsi="宋体"/>
                <w:szCs w:val="21"/>
              </w:rPr>
            </w:pPr>
            <w:r>
              <w:rPr>
                <w:rFonts w:hint="eastAsia" w:ascii="宋体" w:hAnsi="宋体"/>
                <w:szCs w:val="21"/>
              </w:rPr>
              <w:t>分项评价</w:t>
            </w: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质量方面</w:t>
            </w:r>
          </w:p>
        </w:tc>
        <w:tc>
          <w:tcPr>
            <w:tcW w:w="6635" w:type="dxa"/>
            <w:gridSpan w:val="3"/>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szCs w:val="21"/>
              </w:rPr>
            </w:pPr>
          </w:p>
        </w:tc>
        <w:tc>
          <w:tcPr>
            <w:tcW w:w="720" w:type="dxa"/>
            <w:vMerge w:val="continue"/>
            <w:tcBorders>
              <w:right w:val="single" w:color="auto" w:sz="4" w:space="0"/>
            </w:tcBorders>
            <w:vAlign w:val="center"/>
          </w:tcPr>
          <w:p>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价格方面</w:t>
            </w:r>
          </w:p>
        </w:tc>
        <w:tc>
          <w:tcPr>
            <w:tcW w:w="6635" w:type="dxa"/>
            <w:gridSpan w:val="3"/>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szCs w:val="21"/>
              </w:rPr>
            </w:pPr>
          </w:p>
        </w:tc>
        <w:tc>
          <w:tcPr>
            <w:tcW w:w="720" w:type="dxa"/>
            <w:vMerge w:val="continue"/>
            <w:tcBorders>
              <w:right w:val="single" w:color="auto" w:sz="4" w:space="0"/>
            </w:tcBorders>
            <w:vAlign w:val="center"/>
          </w:tcPr>
          <w:p>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服务方面</w:t>
            </w:r>
          </w:p>
        </w:tc>
        <w:tc>
          <w:tcPr>
            <w:tcW w:w="6635" w:type="dxa"/>
            <w:gridSpan w:val="3"/>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szCs w:val="21"/>
              </w:rPr>
            </w:pPr>
          </w:p>
        </w:tc>
        <w:tc>
          <w:tcPr>
            <w:tcW w:w="720" w:type="dxa"/>
            <w:vMerge w:val="continue"/>
            <w:tcBorders>
              <w:right w:val="single" w:color="auto" w:sz="4" w:space="0"/>
            </w:tcBorders>
            <w:vAlign w:val="center"/>
          </w:tcPr>
          <w:p>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时间方面</w:t>
            </w:r>
          </w:p>
        </w:tc>
        <w:tc>
          <w:tcPr>
            <w:tcW w:w="6635" w:type="dxa"/>
            <w:gridSpan w:val="3"/>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szCs w:val="21"/>
              </w:rPr>
            </w:pPr>
          </w:p>
        </w:tc>
        <w:tc>
          <w:tcPr>
            <w:tcW w:w="720" w:type="dxa"/>
            <w:vMerge w:val="continue"/>
            <w:tcBorders>
              <w:right w:val="single" w:color="auto" w:sz="4" w:space="0"/>
            </w:tcBorders>
            <w:vAlign w:val="center"/>
          </w:tcPr>
          <w:p>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环境保护</w:t>
            </w:r>
          </w:p>
        </w:tc>
        <w:tc>
          <w:tcPr>
            <w:tcW w:w="6635" w:type="dxa"/>
            <w:gridSpan w:val="3"/>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 xml:space="preserve">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pPr>
              <w:spacing w:line="240" w:lineRule="atLeast"/>
              <w:jc w:val="center"/>
              <w:rPr>
                <w:rFonts w:ascii="宋体" w:hAnsi="宋体"/>
                <w:szCs w:val="21"/>
              </w:rPr>
            </w:pPr>
          </w:p>
        </w:tc>
        <w:tc>
          <w:tcPr>
            <w:tcW w:w="720" w:type="dxa"/>
            <w:vMerge w:val="continue"/>
            <w:tcBorders>
              <w:right w:val="single" w:color="auto" w:sz="4" w:space="0"/>
            </w:tcBorders>
            <w:vAlign w:val="center"/>
          </w:tcPr>
          <w:p>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其他</w:t>
            </w:r>
          </w:p>
        </w:tc>
        <w:tc>
          <w:tcPr>
            <w:tcW w:w="6635" w:type="dxa"/>
            <w:gridSpan w:val="3"/>
            <w:tcBorders>
              <w:left w:val="single" w:color="auto" w:sz="4" w:space="0"/>
            </w:tcBorders>
            <w:vAlign w:val="center"/>
          </w:tcPr>
          <w:p>
            <w:pPr>
              <w:spacing w:beforeLines="50" w:afterLines="50" w:line="240" w:lineRule="atLeast"/>
              <w:rPr>
                <w:rFonts w:ascii="宋体" w:hAnsi="宋体"/>
                <w:szCs w:val="21"/>
                <w:u w:val="single"/>
              </w:rPr>
            </w:pPr>
            <w:r>
              <w:rPr>
                <w:rFonts w:hint="eastAsia" w:ascii="宋体" w:hAnsi="宋体"/>
                <w:szCs w:val="21"/>
              </w:rPr>
              <w:t>评价内容为：</w:t>
            </w:r>
            <w:r>
              <w:rPr>
                <w:rFonts w:hint="eastAsia" w:ascii="宋体" w:hAnsi="宋体"/>
                <w:szCs w:val="21"/>
                <w:u w:val="single"/>
              </w:rPr>
              <w:t xml:space="preserve">                    </w:t>
            </w:r>
          </w:p>
          <w:p>
            <w:pPr>
              <w:spacing w:beforeLines="50" w:afterLines="50" w:line="240" w:lineRule="atLeast"/>
              <w:rPr>
                <w:rFonts w:ascii="宋体" w:hAnsi="宋体"/>
                <w:szCs w:val="21"/>
              </w:rPr>
            </w:pPr>
            <w:r>
              <w:rPr>
                <w:rFonts w:hint="eastAsia" w:ascii="宋体" w:hAnsi="宋体"/>
                <w:szCs w:val="21"/>
              </w:rPr>
              <w:t>评价等级为：  □ 优       □ 良        □ 中         □ 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993" w:hRule="atLeast"/>
          <w:jc w:val="center"/>
        </w:trPr>
        <w:tc>
          <w:tcPr>
            <w:tcW w:w="1562" w:type="dxa"/>
            <w:gridSpan w:val="2"/>
            <w:vAlign w:val="center"/>
          </w:tcPr>
          <w:p>
            <w:pPr>
              <w:spacing w:line="240" w:lineRule="atLeast"/>
              <w:jc w:val="center"/>
              <w:rPr>
                <w:rFonts w:ascii="宋体" w:hAnsi="宋体"/>
                <w:szCs w:val="21"/>
              </w:rPr>
            </w:pPr>
            <w:r>
              <w:rPr>
                <w:rFonts w:hint="eastAsia" w:ascii="宋体" w:hAnsi="宋体"/>
                <w:szCs w:val="21"/>
              </w:rPr>
              <w:t>具体情况说明</w:t>
            </w:r>
          </w:p>
        </w:tc>
        <w:tc>
          <w:tcPr>
            <w:tcW w:w="7355" w:type="dxa"/>
            <w:gridSpan w:val="4"/>
          </w:tcPr>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510" w:hRule="atLeast"/>
          <w:jc w:val="center"/>
        </w:trPr>
        <w:tc>
          <w:tcPr>
            <w:tcW w:w="1562" w:type="dxa"/>
            <w:gridSpan w:val="2"/>
            <w:vAlign w:val="center"/>
          </w:tcPr>
          <w:p>
            <w:pPr>
              <w:spacing w:line="240" w:lineRule="atLeast"/>
              <w:jc w:val="center"/>
              <w:rPr>
                <w:rFonts w:ascii="宋体" w:hAnsi="宋体"/>
                <w:szCs w:val="21"/>
              </w:rPr>
            </w:pPr>
            <w:r>
              <w:rPr>
                <w:rFonts w:hint="eastAsia" w:ascii="宋体" w:hAnsi="宋体"/>
                <w:szCs w:val="21"/>
              </w:rPr>
              <w:t>采购人意见</w:t>
            </w:r>
          </w:p>
          <w:p>
            <w:pPr>
              <w:spacing w:line="240" w:lineRule="atLeast"/>
              <w:jc w:val="center"/>
              <w:rPr>
                <w:rFonts w:ascii="宋体" w:hAnsi="宋体"/>
                <w:szCs w:val="21"/>
              </w:rPr>
            </w:pPr>
            <w:r>
              <w:rPr>
                <w:rFonts w:hint="eastAsia" w:ascii="宋体" w:hAnsi="宋体"/>
                <w:szCs w:val="21"/>
              </w:rPr>
              <w:t>（公章）</w:t>
            </w:r>
          </w:p>
        </w:tc>
        <w:tc>
          <w:tcPr>
            <w:tcW w:w="7355" w:type="dxa"/>
            <w:gridSpan w:val="4"/>
            <w:vAlign w:val="center"/>
          </w:tcPr>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r>
              <w:rPr>
                <w:rFonts w:hint="eastAsia" w:ascii="宋体" w:hAnsi="宋体"/>
                <w:szCs w:val="21"/>
              </w:rPr>
              <w:t xml:space="preserve">                                        </w:t>
            </w:r>
          </w:p>
          <w:p>
            <w:pPr>
              <w:spacing w:line="240" w:lineRule="atLeast"/>
              <w:ind w:firstLine="3780" w:firstLineChars="1800"/>
              <w:rPr>
                <w:rFonts w:ascii="宋体" w:hAnsi="宋体"/>
                <w:szCs w:val="21"/>
              </w:rPr>
            </w:pPr>
          </w:p>
          <w:p>
            <w:pPr>
              <w:spacing w:line="240" w:lineRule="atLeast"/>
              <w:ind w:firstLine="3780" w:firstLineChars="1800"/>
              <w:rPr>
                <w:rFonts w:ascii="宋体" w:hAnsi="宋体"/>
                <w:szCs w:val="21"/>
              </w:rPr>
            </w:pPr>
            <w:r>
              <w:rPr>
                <w:rFonts w:hint="eastAsia" w:ascii="宋体" w:hAnsi="宋体"/>
                <w:szCs w:val="21"/>
              </w:rPr>
              <w:t>日期：   年   月   日</w:t>
            </w:r>
          </w:p>
        </w:tc>
      </w:tr>
    </w:tbl>
    <w:p>
      <w:pPr>
        <w:spacing w:line="240" w:lineRule="atLeast"/>
        <w:rPr>
          <w:rFonts w:ascii="宋体" w:hAnsi="宋体"/>
          <w:szCs w:val="21"/>
        </w:rPr>
      </w:pPr>
      <w:r>
        <w:rPr>
          <w:rFonts w:hint="eastAsia" w:ascii="宋体" w:hAnsi="宋体"/>
          <w:szCs w:val="21"/>
        </w:rPr>
        <w:t>说明：</w:t>
      </w:r>
    </w:p>
    <w:p>
      <w:pPr>
        <w:spacing w:line="240" w:lineRule="atLeast"/>
        <w:rPr>
          <w:rFonts w:ascii="宋体" w:hAnsi="宋体"/>
          <w:szCs w:val="21"/>
        </w:rPr>
      </w:pPr>
      <w:r>
        <w:rPr>
          <w:rFonts w:hint="eastAsia" w:ascii="宋体" w:hAnsi="宋体"/>
          <w:szCs w:val="21"/>
        </w:rPr>
        <w:t>1、本表为采购人向履约评价工作实施机构反映政府采购项目履约情况时所用；</w:t>
      </w:r>
    </w:p>
    <w:p>
      <w:pPr>
        <w:spacing w:line="240" w:lineRule="atLeast"/>
        <w:jc w:val="left"/>
        <w:rPr>
          <w:rFonts w:ascii="宋体" w:hAnsi="宋体"/>
          <w:szCs w:val="21"/>
        </w:rPr>
      </w:pPr>
      <w:r>
        <w:rPr>
          <w:rFonts w:hint="eastAsia" w:ascii="宋体" w:hAnsi="宋体"/>
          <w:szCs w:val="21"/>
        </w:rPr>
        <w:t>2、履约情况评价分为优、良、中、差四个等级，请在对应的框前打“√”，然后在“具体情况说明”一栏详细说明有关情况。</w:t>
      </w:r>
    </w:p>
    <w:p/>
    <w:p>
      <w:pPr>
        <w:pStyle w:val="2"/>
        <w:pageBreakBefore/>
        <w:rPr>
          <w:rFonts w:ascii="宋体" w:hAnsi="宋体" w:eastAsia="宋体" w:cs="宋体"/>
          <w:szCs w:val="21"/>
        </w:rPr>
      </w:pPr>
      <w:r>
        <w:rPr>
          <w:rFonts w:hint="eastAsia" w:ascii="宋体" w:hAnsi="宋体" w:eastAsia="宋体" w:cs="宋体"/>
          <w:szCs w:val="21"/>
        </w:rPr>
        <w:t>第二册  通用条款（公开招标）</w:t>
      </w:r>
    </w:p>
    <w:p>
      <w:pPr>
        <w:pStyle w:val="3"/>
        <w:numPr>
          <w:ilvl w:val="0"/>
          <w:numId w:val="15"/>
        </w:numPr>
        <w:spacing w:beforeLines="50" w:afterLines="50"/>
        <w:ind w:left="562" w:hanging="562"/>
        <w:rPr>
          <w:rFonts w:cs="宋体"/>
          <w:sz w:val="21"/>
          <w:szCs w:val="21"/>
        </w:rPr>
      </w:pPr>
      <w:bookmarkStart w:id="54" w:name="_Hlk72399513"/>
      <w:r>
        <w:rPr>
          <w:rFonts w:hint="eastAsia" w:cs="宋体"/>
          <w:sz w:val="21"/>
          <w:szCs w:val="21"/>
        </w:rPr>
        <w:t>总则</w:t>
      </w:r>
    </w:p>
    <w:bookmarkEnd w:id="54"/>
    <w:p>
      <w:pPr>
        <w:rPr>
          <w:rFonts w:ascii="宋体" w:hAnsi="宋体" w:cs="宋体"/>
          <w:szCs w:val="21"/>
        </w:rPr>
      </w:pPr>
      <w:r>
        <w:rPr>
          <w:rFonts w:hint="eastAsia" w:ascii="宋体" w:hAnsi="宋体" w:cs="宋体"/>
          <w:szCs w:val="21"/>
        </w:rPr>
        <w:t>1. 通用条款说明</w:t>
      </w:r>
    </w:p>
    <w:p>
      <w:pPr>
        <w:ind w:firstLine="411" w:firstLineChars="196"/>
        <w:rPr>
          <w:rFonts w:ascii="宋体" w:hAnsi="宋体" w:cs="宋体"/>
          <w:szCs w:val="21"/>
        </w:rPr>
      </w:pPr>
      <w:r>
        <w:rPr>
          <w:rFonts w:hint="eastAsia" w:ascii="宋体" w:hAnsi="宋体" w:cs="宋体"/>
          <w:szCs w:val="21"/>
        </w:rPr>
        <w:t>1.1</w:t>
      </w:r>
      <w:r>
        <w:rPr>
          <w:rFonts w:hint="eastAsia" w:ascii="宋体" w:hAnsi="宋体" w:cs="宋体"/>
          <w:szCs w:val="21"/>
          <w:lang w:eastAsia="zh-CN"/>
        </w:rPr>
        <w:t>招标采购人</w:t>
      </w:r>
      <w:r>
        <w:rPr>
          <w:rFonts w:hint="eastAsia" w:ascii="宋体" w:hAnsi="宋体" w:cs="宋体"/>
          <w:szCs w:val="21"/>
        </w:rPr>
        <w:t>发出招标文件通用条款版本，列出</w:t>
      </w:r>
      <w:r>
        <w:rPr>
          <w:rFonts w:hint="eastAsia" w:ascii="宋体" w:hAnsi="宋体" w:cs="宋体"/>
          <w:szCs w:val="21"/>
          <w:lang w:val="en-US" w:eastAsia="zh-CN"/>
        </w:rPr>
        <w:t>深圳市福田区第二人民医院</w:t>
      </w:r>
      <w:r>
        <w:rPr>
          <w:rFonts w:hint="eastAsia" w:ascii="宋体" w:hAnsi="宋体" w:cs="宋体"/>
          <w:szCs w:val="21"/>
        </w:rPr>
        <w:t>自行采购项目进行招标采购所适用的通用条款内容。</w:t>
      </w:r>
      <w:bookmarkStart w:id="55" w:name="_Hlk72399729"/>
      <w:r>
        <w:rPr>
          <w:rFonts w:hint="eastAsia" w:ascii="宋体" w:hAnsi="宋体" w:cs="宋体"/>
          <w:szCs w:val="21"/>
        </w:rPr>
        <w:t>如有需要，</w:t>
      </w:r>
      <w:r>
        <w:rPr>
          <w:rFonts w:hint="eastAsia" w:ascii="宋体" w:hAnsi="宋体" w:cs="宋体"/>
          <w:szCs w:val="21"/>
          <w:lang w:eastAsia="zh-CN"/>
        </w:rPr>
        <w:t>招标采购人</w:t>
      </w:r>
      <w:r>
        <w:rPr>
          <w:rFonts w:hint="eastAsia" w:ascii="宋体" w:hAnsi="宋体" w:cs="宋体"/>
          <w:szCs w:val="21"/>
        </w:rPr>
        <w:t>可以对通用条款的内容进行补充。</w:t>
      </w:r>
      <w:bookmarkEnd w:id="55"/>
    </w:p>
    <w:p>
      <w:pPr>
        <w:ind w:firstLine="411" w:firstLineChars="196"/>
        <w:rPr>
          <w:rFonts w:ascii="宋体" w:hAnsi="宋体" w:cs="宋体"/>
          <w:szCs w:val="21"/>
        </w:rPr>
      </w:pPr>
      <w:r>
        <w:rPr>
          <w:rFonts w:hint="eastAsia" w:ascii="宋体" w:hAnsi="宋体" w:cs="宋体"/>
          <w:szCs w:val="21"/>
        </w:rPr>
        <w:t>1.2招标文件分为第一册“专用条款”和第二册“通用条款”。</w:t>
      </w:r>
    </w:p>
    <w:p>
      <w:pPr>
        <w:ind w:firstLine="411" w:firstLineChars="196"/>
        <w:rPr>
          <w:rFonts w:ascii="宋体" w:hAnsi="宋体" w:cs="宋体"/>
          <w:szCs w:val="21"/>
        </w:rPr>
      </w:pPr>
      <w:r>
        <w:rPr>
          <w:rFonts w:hint="eastAsia" w:ascii="宋体" w:hAnsi="宋体" w:cs="宋体"/>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cs="宋体"/>
          <w:szCs w:val="21"/>
        </w:rPr>
      </w:pPr>
      <w:r>
        <w:rPr>
          <w:rFonts w:hint="eastAsia" w:ascii="宋体" w:hAnsi="宋体" w:cs="宋体"/>
          <w:szCs w:val="21"/>
        </w:rPr>
        <w:t>1.4“通用条款”是适用于政府采购公开招标项目的基础性条款，具有普遍性和通用性。</w:t>
      </w:r>
    </w:p>
    <w:p>
      <w:pPr>
        <w:ind w:firstLine="411" w:firstLineChars="196"/>
        <w:rPr>
          <w:rFonts w:ascii="宋体" w:hAnsi="宋体" w:cs="宋体"/>
          <w:szCs w:val="21"/>
        </w:rPr>
      </w:pPr>
      <w:r>
        <w:rPr>
          <w:rFonts w:hint="eastAsia" w:ascii="宋体" w:hAnsi="宋体" w:cs="宋体"/>
          <w:szCs w:val="21"/>
        </w:rPr>
        <w:t>1.5 “专用条款”和“通用条款”表述不一致或有冲突时，以“专用条款”为准。</w:t>
      </w:r>
    </w:p>
    <w:p>
      <w:pPr>
        <w:rPr>
          <w:rFonts w:ascii="宋体" w:hAnsi="宋体" w:cs="宋体"/>
          <w:szCs w:val="21"/>
        </w:rPr>
      </w:pPr>
      <w:r>
        <w:rPr>
          <w:rFonts w:hint="eastAsia" w:ascii="宋体" w:hAnsi="宋体" w:cs="宋体"/>
          <w:szCs w:val="21"/>
        </w:rPr>
        <w:t>2．招标说明</w:t>
      </w:r>
    </w:p>
    <w:p>
      <w:pPr>
        <w:ind w:firstLine="411" w:firstLineChars="196"/>
        <w:rPr>
          <w:rFonts w:ascii="宋体" w:hAnsi="宋体" w:cs="宋体"/>
          <w:szCs w:val="21"/>
        </w:rPr>
      </w:pPr>
      <w:r>
        <w:rPr>
          <w:rFonts w:hint="eastAsia" w:ascii="宋体" w:hAnsi="宋体" w:cs="宋体"/>
          <w:szCs w:val="21"/>
        </w:rPr>
        <w:t>本项目按照《深圳经济特区政府采购条例》、《深圳经济特区政府采购条例实施细则》及政府采购其他法律法规，通过公开招标方式确定中标供应商。</w:t>
      </w:r>
    </w:p>
    <w:p>
      <w:pPr>
        <w:rPr>
          <w:rFonts w:ascii="宋体" w:hAnsi="宋体" w:cs="宋体"/>
          <w:szCs w:val="21"/>
        </w:rPr>
      </w:pPr>
      <w:r>
        <w:rPr>
          <w:rFonts w:hint="eastAsia" w:ascii="宋体" w:hAnsi="宋体" w:cs="宋体"/>
          <w:szCs w:val="21"/>
        </w:rPr>
        <w:t>3．定义</w:t>
      </w:r>
    </w:p>
    <w:p>
      <w:pPr>
        <w:ind w:firstLine="411" w:firstLineChars="196"/>
        <w:rPr>
          <w:rFonts w:ascii="宋体" w:hAnsi="宋体" w:cs="宋体"/>
          <w:szCs w:val="21"/>
        </w:rPr>
      </w:pPr>
      <w:r>
        <w:rPr>
          <w:rFonts w:hint="eastAsia" w:ascii="宋体" w:hAnsi="宋体" w:cs="宋体"/>
          <w:szCs w:val="21"/>
        </w:rPr>
        <w:t>招标文件中下列术语应解释为：</w:t>
      </w:r>
    </w:p>
    <w:p>
      <w:pPr>
        <w:ind w:firstLine="411" w:firstLineChars="196"/>
        <w:rPr>
          <w:rFonts w:ascii="宋体" w:hAnsi="宋体" w:cs="宋体"/>
          <w:szCs w:val="21"/>
        </w:rPr>
      </w:pPr>
      <w:r>
        <w:rPr>
          <w:rFonts w:hint="eastAsia" w:ascii="宋体" w:hAnsi="宋体" w:cs="宋体"/>
          <w:szCs w:val="21"/>
        </w:rPr>
        <w:t>3.1“采购人”：指利用财政性资金依法进行政府采购的国家机关、事业单位、团体组织；</w:t>
      </w:r>
    </w:p>
    <w:p>
      <w:pPr>
        <w:ind w:firstLine="411" w:firstLineChars="196"/>
        <w:rPr>
          <w:rFonts w:ascii="宋体" w:hAnsi="宋体" w:cs="宋体"/>
          <w:szCs w:val="21"/>
        </w:rPr>
      </w:pPr>
      <w:r>
        <w:rPr>
          <w:rFonts w:hint="eastAsia" w:ascii="宋体" w:hAnsi="宋体" w:cs="宋体"/>
          <w:szCs w:val="21"/>
        </w:rPr>
        <w:t>3.2 “政府集中采购机构”是指市政府设立的，组织实施政府采购项目，并对政府采购活动提供服务的专门机构；本文件所述的“政府集中采购机构”指</w:t>
      </w:r>
      <w:r>
        <w:rPr>
          <w:rFonts w:hint="eastAsia" w:ascii="宋体" w:hAnsi="宋体" w:cs="宋体"/>
          <w:b/>
          <w:bCs/>
          <w:szCs w:val="21"/>
        </w:rPr>
        <w:t>深圳公共资源交易中心</w:t>
      </w:r>
      <w:r>
        <w:rPr>
          <w:rFonts w:hint="eastAsia" w:ascii="宋体" w:hAnsi="宋体" w:cs="宋体"/>
          <w:szCs w:val="21"/>
        </w:rPr>
        <w:t>；</w:t>
      </w:r>
    </w:p>
    <w:p>
      <w:pPr>
        <w:ind w:firstLine="411" w:firstLineChars="196"/>
        <w:rPr>
          <w:rFonts w:ascii="宋体" w:hAnsi="宋体" w:cs="宋体"/>
          <w:szCs w:val="21"/>
        </w:rPr>
      </w:pPr>
      <w:r>
        <w:rPr>
          <w:rFonts w:hint="eastAsia" w:ascii="宋体" w:hAnsi="宋体" w:cs="宋体"/>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cs="宋体"/>
          <w:szCs w:val="21"/>
        </w:rPr>
      </w:pPr>
      <w:r>
        <w:rPr>
          <w:rFonts w:hint="eastAsia" w:ascii="宋体" w:hAnsi="宋体" w:cs="宋体"/>
          <w:szCs w:val="21"/>
        </w:rPr>
        <w:t>3.4“评审委员会”是依据《深圳经济特区政府采购条例》、《深圳经济特区政府采购条例实施细则》等有关规定组建的专门负责本次招标其评审工作的临时性机构；</w:t>
      </w:r>
    </w:p>
    <w:p>
      <w:pPr>
        <w:ind w:firstLine="411" w:firstLineChars="196"/>
        <w:rPr>
          <w:rFonts w:ascii="宋体" w:hAnsi="宋体" w:cs="宋体"/>
          <w:szCs w:val="21"/>
        </w:rPr>
      </w:pPr>
      <w:r>
        <w:rPr>
          <w:rFonts w:hint="eastAsia" w:ascii="宋体" w:hAnsi="宋体" w:cs="宋体"/>
          <w:szCs w:val="21"/>
        </w:rPr>
        <w:t>3.5“日期”指公历日；</w:t>
      </w:r>
    </w:p>
    <w:p>
      <w:pPr>
        <w:ind w:firstLine="411" w:firstLineChars="196"/>
        <w:rPr>
          <w:rFonts w:ascii="宋体" w:hAnsi="宋体" w:cs="宋体"/>
          <w:szCs w:val="21"/>
        </w:rPr>
      </w:pPr>
      <w:r>
        <w:rPr>
          <w:rFonts w:hint="eastAsia" w:ascii="宋体" w:hAnsi="宋体" w:cs="宋体"/>
          <w:szCs w:val="21"/>
        </w:rPr>
        <w:t>3.6“合同”指由本次招标所产生的合同或合约文件；</w:t>
      </w:r>
    </w:p>
    <w:p>
      <w:pPr>
        <w:ind w:firstLine="411" w:firstLineChars="196"/>
        <w:rPr>
          <w:rFonts w:ascii="宋体" w:hAnsi="宋体" w:cs="宋体"/>
          <w:szCs w:val="21"/>
        </w:rPr>
      </w:pPr>
      <w:r>
        <w:rPr>
          <w:rFonts w:hint="eastAsia" w:ascii="宋体" w:hAnsi="宋体" w:cs="宋体"/>
          <w:szCs w:val="21"/>
        </w:rPr>
        <w:t>3.7招标文件中的标题或题名仅起引导作用，而不应视为对招标文件内容的理解和解释。</w:t>
      </w:r>
    </w:p>
    <w:p>
      <w:pPr>
        <w:rPr>
          <w:rFonts w:ascii="宋体" w:hAnsi="宋体" w:cs="宋体"/>
          <w:szCs w:val="21"/>
        </w:rPr>
      </w:pPr>
      <w:r>
        <w:rPr>
          <w:rFonts w:hint="eastAsia" w:ascii="宋体" w:hAnsi="宋体" w:cs="宋体"/>
          <w:szCs w:val="21"/>
        </w:rPr>
        <w:t xml:space="preserve">4. </w:t>
      </w:r>
      <w:bookmarkStart w:id="56" w:name="_Hlk72398643"/>
      <w:r>
        <w:rPr>
          <w:rFonts w:hint="eastAsia" w:ascii="宋体" w:hAnsi="宋体" w:cs="宋体"/>
          <w:szCs w:val="21"/>
        </w:rPr>
        <w:t>政府采购供应商责任</w:t>
      </w:r>
    </w:p>
    <w:p>
      <w:pPr>
        <w:ind w:firstLine="411" w:firstLineChars="196"/>
        <w:rPr>
          <w:rFonts w:ascii="宋体" w:hAnsi="宋体" w:cs="宋体"/>
          <w:szCs w:val="21"/>
        </w:rPr>
      </w:pPr>
      <w:r>
        <w:rPr>
          <w:rFonts w:hint="eastAsia" w:ascii="宋体" w:hAnsi="宋体" w:cs="宋体"/>
          <w:szCs w:val="21"/>
        </w:rPr>
        <w:t>4.1欢迎诚信、有实力和有社会责任心的供应商参与政府采购事业。</w:t>
      </w:r>
    </w:p>
    <w:p>
      <w:pPr>
        <w:ind w:firstLine="411" w:firstLineChars="196"/>
        <w:rPr>
          <w:rFonts w:ascii="宋体" w:hAnsi="宋体" w:cs="宋体"/>
          <w:szCs w:val="21"/>
        </w:rPr>
      </w:pPr>
      <w:r>
        <w:rPr>
          <w:rFonts w:hint="eastAsia" w:ascii="宋体" w:hAnsi="宋体" w:cs="宋体"/>
          <w:szCs w:val="21"/>
        </w:rPr>
        <w:t>4.2投标人应当遵循公平竞争的原则，不得恶意串通，不得妨碍其他投标人的竞争行为，不得损害采购人或者其他投标人的合法权益。如违反上述要求，经核实后，供应商的投标无效。</w:t>
      </w:r>
    </w:p>
    <w:p>
      <w:pPr>
        <w:rPr>
          <w:rFonts w:ascii="宋体" w:hAnsi="宋体" w:cs="宋体"/>
          <w:szCs w:val="21"/>
        </w:rPr>
      </w:pPr>
      <w:r>
        <w:rPr>
          <w:rFonts w:hint="eastAsia" w:ascii="宋体" w:hAnsi="宋体" w:cs="宋体"/>
          <w:szCs w:val="21"/>
        </w:rPr>
        <w:t>5．投标人参加政府采购的条件</w:t>
      </w:r>
    </w:p>
    <w:p>
      <w:pPr>
        <w:ind w:firstLine="411" w:firstLineChars="196"/>
        <w:rPr>
          <w:rFonts w:ascii="宋体" w:hAnsi="宋体" w:cs="宋体"/>
          <w:szCs w:val="21"/>
        </w:rPr>
      </w:pPr>
      <w:r>
        <w:rPr>
          <w:rFonts w:hint="eastAsia" w:ascii="宋体" w:hAnsi="宋体" w:cs="宋体"/>
          <w:szCs w:val="21"/>
        </w:rPr>
        <w:t>5.1投标人资格要求</w:t>
      </w:r>
    </w:p>
    <w:p>
      <w:pPr>
        <w:ind w:firstLine="411" w:firstLineChars="196"/>
        <w:rPr>
          <w:rFonts w:ascii="宋体" w:hAnsi="宋体" w:cs="宋体"/>
          <w:szCs w:val="21"/>
        </w:rPr>
      </w:pPr>
      <w:r>
        <w:rPr>
          <w:rFonts w:hint="eastAsia" w:ascii="宋体" w:hAnsi="宋体" w:cs="宋体"/>
          <w:szCs w:val="21"/>
        </w:rPr>
        <w:t>参加本项目的投标人应具备的资格条件详见本项目招标公告中 “投标人资格要求”（即申请人的资格要求）的内容。</w:t>
      </w:r>
    </w:p>
    <w:p>
      <w:pPr>
        <w:ind w:firstLine="411" w:firstLineChars="196"/>
        <w:rPr>
          <w:rFonts w:ascii="宋体" w:hAnsi="宋体" w:cs="宋体"/>
          <w:szCs w:val="21"/>
        </w:rPr>
      </w:pPr>
      <w:r>
        <w:rPr>
          <w:rFonts w:hint="eastAsia" w:ascii="宋体" w:hAnsi="宋体" w:cs="宋体"/>
          <w:szCs w:val="21"/>
        </w:rPr>
        <w:t>5.2联合体投标</w:t>
      </w:r>
    </w:p>
    <w:p>
      <w:pPr>
        <w:ind w:firstLine="411" w:firstLineChars="196"/>
        <w:rPr>
          <w:rFonts w:ascii="宋体" w:hAnsi="宋体" w:cs="宋体"/>
          <w:szCs w:val="21"/>
        </w:rPr>
      </w:pPr>
      <w:r>
        <w:rPr>
          <w:rFonts w:hint="eastAsia" w:ascii="宋体" w:hAnsi="宋体" w:cs="宋体"/>
          <w:szCs w:val="21"/>
        </w:rPr>
        <w:t>5.2.1　以下有关联合体投标的条款仅适用于允许投标人组成联合体投标的项目。</w:t>
      </w:r>
    </w:p>
    <w:p>
      <w:pPr>
        <w:ind w:firstLine="411" w:firstLineChars="196"/>
        <w:rPr>
          <w:rFonts w:ascii="宋体" w:hAnsi="宋体" w:cs="宋体"/>
          <w:szCs w:val="21"/>
        </w:rPr>
      </w:pPr>
      <w:r>
        <w:rPr>
          <w:rFonts w:hint="eastAsia" w:ascii="宋体" w:hAnsi="宋体" w:cs="宋体"/>
          <w:szCs w:val="21"/>
        </w:rPr>
        <w:t>5.2.2  由两个或两个以上的自然人、法人或者其他组织可以组成一个联合体，以一个供应商的身份共同投标时，应符合以下原则：</w:t>
      </w:r>
    </w:p>
    <w:p>
      <w:pPr>
        <w:ind w:firstLine="411" w:firstLineChars="196"/>
        <w:rPr>
          <w:rFonts w:ascii="宋体" w:hAnsi="宋体" w:cs="宋体"/>
          <w:szCs w:val="21"/>
        </w:rPr>
      </w:pPr>
      <w:r>
        <w:rPr>
          <w:rFonts w:hint="eastAsia" w:ascii="宋体" w:hAnsi="宋体" w:cs="宋体"/>
          <w:szCs w:val="21"/>
        </w:rPr>
        <w:t>（1）投标联合体各方参加政府采购活动应当具备下列条件：</w:t>
      </w:r>
    </w:p>
    <w:p>
      <w:pPr>
        <w:ind w:firstLine="420" w:firstLineChars="200"/>
        <w:rPr>
          <w:rFonts w:ascii="宋体" w:hAnsi="宋体" w:cs="宋体"/>
          <w:szCs w:val="21"/>
        </w:rPr>
      </w:pPr>
      <w:r>
        <w:rPr>
          <w:rFonts w:hint="eastAsia" w:ascii="宋体" w:hAnsi="宋体" w:cs="宋体"/>
          <w:szCs w:val="21"/>
        </w:rPr>
        <w:t>1、具有独立承担民事责任的能力；</w:t>
      </w:r>
    </w:p>
    <w:p>
      <w:pPr>
        <w:ind w:firstLine="420" w:firstLineChars="200"/>
        <w:rPr>
          <w:rFonts w:ascii="宋体" w:hAnsi="宋体" w:cs="宋体"/>
          <w:szCs w:val="21"/>
        </w:rPr>
      </w:pPr>
      <w:r>
        <w:rPr>
          <w:rFonts w:hint="eastAsia" w:ascii="宋体" w:hAnsi="宋体" w:cs="宋体"/>
          <w:szCs w:val="21"/>
        </w:rPr>
        <w:t>2、有良好的商业信誉和健全的财务会计制度；</w:t>
      </w:r>
    </w:p>
    <w:p>
      <w:pPr>
        <w:ind w:firstLine="420" w:firstLineChars="200"/>
        <w:rPr>
          <w:rFonts w:ascii="宋体" w:hAnsi="宋体" w:cs="宋体"/>
          <w:szCs w:val="21"/>
        </w:rPr>
      </w:pPr>
      <w:r>
        <w:rPr>
          <w:rFonts w:hint="eastAsia" w:ascii="宋体" w:hAnsi="宋体" w:cs="宋体"/>
          <w:szCs w:val="21"/>
        </w:rPr>
        <w:t>3、具有履行合同所必需的设备和专业技术能力；</w:t>
      </w:r>
    </w:p>
    <w:p>
      <w:pPr>
        <w:ind w:firstLine="420" w:firstLineChars="200"/>
        <w:rPr>
          <w:rFonts w:ascii="宋体" w:hAnsi="宋体" w:cs="宋体"/>
          <w:szCs w:val="21"/>
        </w:rPr>
      </w:pPr>
      <w:r>
        <w:rPr>
          <w:rFonts w:hint="eastAsia" w:ascii="宋体" w:hAnsi="宋体" w:cs="宋体"/>
          <w:szCs w:val="21"/>
        </w:rPr>
        <w:t>4、有依法缴纳税收和社会保障资金的良好记录；</w:t>
      </w:r>
    </w:p>
    <w:p>
      <w:pPr>
        <w:ind w:firstLine="420" w:firstLineChars="200"/>
        <w:rPr>
          <w:rFonts w:ascii="宋体" w:hAnsi="宋体" w:cs="宋体"/>
          <w:szCs w:val="21"/>
        </w:rPr>
      </w:pPr>
      <w:r>
        <w:rPr>
          <w:rFonts w:hint="eastAsia" w:ascii="宋体" w:hAnsi="宋体" w:cs="宋体"/>
          <w:szCs w:val="21"/>
        </w:rPr>
        <w:t>5、参加政府采购活动前三年内，在经营活动中没有重大违法记录；</w:t>
      </w:r>
    </w:p>
    <w:p>
      <w:pPr>
        <w:ind w:firstLine="420" w:firstLineChars="200"/>
        <w:rPr>
          <w:rFonts w:ascii="宋体" w:hAnsi="宋体" w:cs="宋体"/>
          <w:szCs w:val="21"/>
        </w:rPr>
      </w:pPr>
      <w:r>
        <w:rPr>
          <w:rFonts w:hint="eastAsia" w:ascii="宋体" w:hAnsi="宋体" w:cs="宋体"/>
          <w:szCs w:val="21"/>
        </w:rPr>
        <w:t>6、法律、行政法规规定的其他条件。</w:t>
      </w:r>
    </w:p>
    <w:p>
      <w:pPr>
        <w:ind w:firstLine="411" w:firstLineChars="196"/>
        <w:rPr>
          <w:rFonts w:ascii="宋体" w:hAnsi="宋体" w:cs="宋体"/>
          <w:szCs w:val="21"/>
        </w:rPr>
      </w:pPr>
      <w:r>
        <w:rPr>
          <w:rFonts w:hint="eastAsia" w:ascii="宋体" w:hAnsi="宋体" w:cs="宋体"/>
          <w:szCs w:val="21"/>
        </w:rPr>
        <w:t>（2）联合体中有同类资质的供应商按照联合体分工承担相同工作的，应当按照资质等级较低的供应商确定资质等级；</w:t>
      </w:r>
    </w:p>
    <w:p>
      <w:pPr>
        <w:ind w:firstLine="411" w:firstLineChars="196"/>
        <w:rPr>
          <w:rFonts w:ascii="宋体" w:hAnsi="宋体" w:cs="宋体"/>
          <w:szCs w:val="21"/>
        </w:rPr>
      </w:pPr>
      <w:r>
        <w:rPr>
          <w:rFonts w:hint="eastAsia" w:ascii="宋体" w:hAnsi="宋体" w:cs="宋体"/>
          <w:szCs w:val="21"/>
        </w:rPr>
        <w:t>（3）是否允许联合体参加投标，应当由采购人和采购代理机构根据项目的实际情况和潜在供应商的数量自主决定，如果决定接受联合体投标则应当在招标公告中明示；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cs="宋体"/>
          <w:szCs w:val="21"/>
        </w:rPr>
      </w:pPr>
      <w:r>
        <w:rPr>
          <w:rFonts w:hint="eastAsia" w:ascii="宋体" w:hAnsi="宋体" w:cs="宋体"/>
          <w:szCs w:val="21"/>
        </w:rPr>
        <w:t>（4）投标人的投标文件及中标后签署的合同协议对联合体各方均具法律约束力；</w:t>
      </w:r>
    </w:p>
    <w:p>
      <w:pPr>
        <w:ind w:firstLine="411" w:firstLineChars="196"/>
        <w:rPr>
          <w:rFonts w:ascii="宋体" w:hAnsi="宋体" w:cs="宋体"/>
          <w:szCs w:val="21"/>
        </w:rPr>
      </w:pPr>
      <w:r>
        <w:rPr>
          <w:rFonts w:hint="eastAsia" w:ascii="宋体" w:hAnsi="宋体" w:cs="宋体"/>
          <w:szCs w:val="21"/>
        </w:rPr>
        <w:t>（5）联合体各方应当签订联合体投标协议，明确约定各方拟承担的工作和责任，并将该协议随投标文件一并递交给</w:t>
      </w:r>
      <w:r>
        <w:rPr>
          <w:rFonts w:hint="eastAsia" w:ascii="宋体" w:hAnsi="宋体" w:cs="宋体"/>
          <w:szCs w:val="21"/>
          <w:lang w:eastAsia="zh-CN"/>
        </w:rPr>
        <w:t>招标采购人</w:t>
      </w:r>
      <w:r>
        <w:rPr>
          <w:rFonts w:hint="eastAsia" w:ascii="宋体" w:hAnsi="宋体" w:cs="宋体"/>
          <w:szCs w:val="21"/>
        </w:rPr>
        <w:t>；</w:t>
      </w:r>
    </w:p>
    <w:p>
      <w:pPr>
        <w:ind w:firstLine="411" w:firstLineChars="196"/>
        <w:rPr>
          <w:rFonts w:ascii="宋体" w:hAnsi="宋体" w:cs="宋体"/>
          <w:szCs w:val="21"/>
        </w:rPr>
      </w:pPr>
      <w:r>
        <w:rPr>
          <w:rFonts w:hint="eastAsia" w:ascii="宋体" w:hAnsi="宋体" w:cs="宋体"/>
          <w:szCs w:val="21"/>
        </w:rPr>
        <w:t>（6）联合体中标后，联合体各方应当共同与采购人签订合同，就中标项目向采购人承担连带责任；</w:t>
      </w:r>
    </w:p>
    <w:p>
      <w:pPr>
        <w:ind w:firstLine="411" w:firstLineChars="196"/>
        <w:rPr>
          <w:rFonts w:ascii="宋体" w:hAnsi="宋体" w:cs="宋体"/>
          <w:szCs w:val="21"/>
        </w:rPr>
      </w:pPr>
      <w:r>
        <w:rPr>
          <w:rFonts w:hint="eastAsia" w:ascii="宋体" w:hAnsi="宋体" w:cs="宋体"/>
          <w:szCs w:val="21"/>
        </w:rPr>
        <w:t>（7）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firstLineChars="196"/>
        <w:rPr>
          <w:rFonts w:ascii="宋体" w:hAnsi="宋体" w:cs="宋体"/>
          <w:szCs w:val="21"/>
        </w:rPr>
      </w:pPr>
      <w:r>
        <w:rPr>
          <w:rFonts w:hint="eastAsia" w:ascii="宋体" w:hAnsi="宋体" w:cs="宋体"/>
          <w:szCs w:val="21"/>
        </w:rPr>
        <w:t>（8）本通用条款中“投标人”一词亦指联合体各方，专用条款另有规定或说明的除外。</w:t>
      </w:r>
    </w:p>
    <w:p>
      <w:pPr>
        <w:rPr>
          <w:rFonts w:ascii="宋体" w:hAnsi="宋体" w:cs="宋体"/>
          <w:szCs w:val="21"/>
        </w:rPr>
      </w:pPr>
      <w:r>
        <w:rPr>
          <w:rFonts w:hint="eastAsia" w:ascii="宋体" w:hAnsi="宋体" w:cs="宋体"/>
          <w:szCs w:val="21"/>
        </w:rPr>
        <w:t>6．政策导向</w:t>
      </w:r>
    </w:p>
    <w:p>
      <w:pPr>
        <w:ind w:firstLine="411" w:firstLineChars="196"/>
        <w:rPr>
          <w:rFonts w:ascii="宋体" w:hAnsi="宋体" w:cs="宋体"/>
          <w:szCs w:val="21"/>
        </w:rPr>
      </w:pPr>
      <w:r>
        <w:rPr>
          <w:rFonts w:hint="eastAsia" w:ascii="宋体" w:hAnsi="宋体" w:cs="宋体"/>
          <w:szCs w:val="21"/>
        </w:rPr>
        <w:t>6.1政府采购扶持贫困地区、中小企业、监狱企业和残疾人福利性单位发展，支持节能减排、环境保护。</w:t>
      </w:r>
    </w:p>
    <w:p>
      <w:pPr>
        <w:ind w:firstLine="405"/>
        <w:rPr>
          <w:rFonts w:ascii="宋体" w:hAnsi="宋体" w:cs="宋体"/>
          <w:szCs w:val="21"/>
          <w:shd w:val="clear" w:color="auto" w:fill="FFFFFF"/>
        </w:rPr>
      </w:pPr>
      <w:r>
        <w:rPr>
          <w:rFonts w:hint="eastAsia" w:ascii="宋体" w:hAnsi="宋体" w:cs="宋体"/>
          <w:szCs w:val="21"/>
        </w:rPr>
        <w:t>6.2本项目落实深圳市政府采购供应商诚信管理政策要求。</w:t>
      </w:r>
    </w:p>
    <w:p>
      <w:pPr>
        <w:rPr>
          <w:rFonts w:ascii="宋体" w:hAnsi="宋体" w:cs="宋体"/>
          <w:szCs w:val="21"/>
        </w:rPr>
      </w:pPr>
      <w:r>
        <w:rPr>
          <w:rFonts w:hint="eastAsia" w:ascii="宋体" w:hAnsi="宋体" w:cs="宋体"/>
          <w:szCs w:val="21"/>
        </w:rPr>
        <w:t>7. 本项目若涉及采购货物，则合格的货物及相应服务应满足以下要求：</w:t>
      </w:r>
    </w:p>
    <w:p>
      <w:pPr>
        <w:ind w:firstLine="411" w:firstLineChars="196"/>
        <w:rPr>
          <w:rFonts w:ascii="宋体" w:hAnsi="宋体" w:cs="宋体"/>
          <w:szCs w:val="21"/>
        </w:rPr>
      </w:pPr>
      <w:r>
        <w:rPr>
          <w:rFonts w:hint="eastAsia" w:ascii="宋体" w:hAnsi="宋体" w:cs="宋体"/>
          <w:szCs w:val="21"/>
        </w:rPr>
        <w:t>7.1  必须是全新、未使用过的原装合格正品（包括零部件），如安装或配置了软件的，须为正版软件。</w:t>
      </w:r>
    </w:p>
    <w:p>
      <w:pPr>
        <w:ind w:firstLine="411" w:firstLineChars="196"/>
        <w:rPr>
          <w:rFonts w:ascii="宋体" w:hAnsi="宋体" w:cs="宋体"/>
          <w:szCs w:val="21"/>
        </w:rPr>
      </w:pPr>
      <w:r>
        <w:rPr>
          <w:rFonts w:hint="eastAsia" w:ascii="宋体" w:hAnsi="宋体" w:cs="宋体"/>
          <w:szCs w:val="21"/>
        </w:rPr>
        <w:t>7.2  国产的货物及其有关服务必须符合中华人民共和国的设计、制造生产标准及行业标准。招标公告有其他要求的，亦应符合其要求。</w:t>
      </w:r>
    </w:p>
    <w:p>
      <w:pPr>
        <w:ind w:firstLine="411" w:firstLineChars="196"/>
        <w:rPr>
          <w:rFonts w:ascii="宋体" w:hAnsi="宋体" w:cs="宋体"/>
          <w:szCs w:val="21"/>
        </w:rPr>
      </w:pPr>
      <w:r>
        <w:rPr>
          <w:rFonts w:hint="eastAsia" w:ascii="宋体" w:hAnsi="宋体" w:cs="宋体"/>
          <w:szCs w:val="21"/>
        </w:rPr>
        <w:t>7.3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cs="宋体"/>
          <w:szCs w:val="21"/>
        </w:rPr>
      </w:pPr>
      <w:r>
        <w:rPr>
          <w:rFonts w:hint="eastAsia" w:ascii="宋体" w:hAnsi="宋体" w:cs="宋体"/>
          <w:szCs w:val="21"/>
        </w:rPr>
        <w:t>7.4投标人</w:t>
      </w:r>
      <w:bookmarkStart w:id="57" w:name="_Hlk72152753"/>
      <w:r>
        <w:rPr>
          <w:rFonts w:hint="eastAsia" w:ascii="宋体" w:hAnsi="宋体" w:cs="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7"/>
    </w:p>
    <w:p>
      <w:pPr>
        <w:ind w:firstLine="411" w:firstLineChars="196"/>
        <w:rPr>
          <w:rFonts w:ascii="宋体" w:hAnsi="宋体" w:cs="宋体"/>
          <w:szCs w:val="21"/>
        </w:rPr>
      </w:pPr>
      <w:r>
        <w:rPr>
          <w:rFonts w:hint="eastAsia" w:ascii="宋体" w:hAnsi="宋体" w:cs="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cs="宋体"/>
          <w:szCs w:val="21"/>
        </w:rPr>
      </w:pPr>
      <w:r>
        <w:rPr>
          <w:rFonts w:hint="eastAsia" w:ascii="宋体" w:hAnsi="宋体" w:cs="宋体"/>
          <w:szCs w:val="21"/>
        </w:rPr>
        <w:t>7.6  工期要求：投标人在投标时对其所投项目应提交交货进度、交货计划等，在合同规定的时间内完成项目实施工作。</w:t>
      </w:r>
    </w:p>
    <w:p>
      <w:pPr>
        <w:ind w:firstLine="411" w:firstLineChars="196"/>
        <w:rPr>
          <w:rFonts w:ascii="宋体" w:hAnsi="宋体" w:cs="宋体"/>
          <w:szCs w:val="21"/>
        </w:rPr>
      </w:pPr>
      <w:r>
        <w:rPr>
          <w:rFonts w:hint="eastAsia" w:ascii="宋体" w:hAnsi="宋体" w:cs="宋体"/>
          <w:szCs w:val="21"/>
        </w:rPr>
        <w:t>7.7  投标人必须承担的设备运输、安装调试、验收检测和提供设备操作说明书、图纸等其他相关及类似的义务。</w:t>
      </w:r>
    </w:p>
    <w:p>
      <w:pPr>
        <w:rPr>
          <w:rFonts w:ascii="宋体" w:hAnsi="宋体" w:cs="宋体"/>
          <w:szCs w:val="21"/>
        </w:rPr>
      </w:pPr>
      <w:r>
        <w:rPr>
          <w:rFonts w:hint="eastAsia" w:ascii="宋体" w:hAnsi="宋体" w:cs="宋体"/>
          <w:szCs w:val="21"/>
        </w:rPr>
        <w:t>8．投标费用</w:t>
      </w:r>
    </w:p>
    <w:p>
      <w:pPr>
        <w:ind w:firstLine="411" w:firstLineChars="196"/>
        <w:rPr>
          <w:rFonts w:ascii="宋体" w:hAnsi="宋体" w:cs="宋体"/>
          <w:szCs w:val="21"/>
        </w:rPr>
      </w:pPr>
      <w:r>
        <w:rPr>
          <w:rFonts w:hint="eastAsia" w:ascii="宋体" w:hAnsi="宋体" w:cs="宋体"/>
          <w:szCs w:val="21"/>
        </w:rPr>
        <w:t>不论投标结果如何，投标人应承担其编制投标文件与递交投标文件所涉及的一切费用。</w:t>
      </w:r>
    </w:p>
    <w:p>
      <w:pPr>
        <w:rPr>
          <w:rFonts w:ascii="宋体" w:hAnsi="宋体" w:cs="宋体"/>
          <w:szCs w:val="21"/>
        </w:rPr>
      </w:pPr>
      <w:r>
        <w:rPr>
          <w:rFonts w:hint="eastAsia" w:ascii="宋体" w:hAnsi="宋体" w:cs="宋体"/>
          <w:szCs w:val="21"/>
        </w:rPr>
        <w:t>9．踏勘现场</w:t>
      </w:r>
    </w:p>
    <w:p>
      <w:pPr>
        <w:ind w:firstLine="411" w:firstLineChars="196"/>
        <w:rPr>
          <w:rFonts w:ascii="宋体" w:hAnsi="宋体" w:cs="宋体"/>
          <w:szCs w:val="21"/>
        </w:rPr>
      </w:pPr>
      <w:r>
        <w:rPr>
          <w:rFonts w:hint="eastAsia" w:ascii="宋体" w:hAnsi="宋体" w:cs="宋体"/>
          <w:szCs w:val="21"/>
        </w:rPr>
        <w:t>9.1如有需要（详见专用条款），采购人或</w:t>
      </w:r>
      <w:r>
        <w:rPr>
          <w:rFonts w:hint="eastAsia" w:ascii="宋体" w:hAnsi="宋体" w:cs="宋体"/>
          <w:szCs w:val="21"/>
          <w:lang w:eastAsia="zh-CN"/>
        </w:rPr>
        <w:t>招标采购人</w:t>
      </w:r>
      <w:r>
        <w:rPr>
          <w:rFonts w:hint="eastAsia" w:ascii="宋体" w:hAnsi="宋体" w:cs="宋体"/>
          <w:szCs w:val="21"/>
        </w:rPr>
        <w:t>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cs="宋体"/>
          <w:szCs w:val="21"/>
        </w:rPr>
      </w:pPr>
      <w:r>
        <w:rPr>
          <w:rFonts w:hint="eastAsia" w:ascii="宋体" w:hAnsi="宋体" w:cs="宋体"/>
          <w:szCs w:val="21"/>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cs="宋体"/>
          <w:szCs w:val="21"/>
        </w:rPr>
      </w:pPr>
      <w:r>
        <w:rPr>
          <w:rFonts w:hint="eastAsia" w:ascii="宋体" w:hAnsi="宋体" w:cs="宋体"/>
          <w:szCs w:val="21"/>
        </w:rPr>
        <w:t>9.3采购人应当通过</w:t>
      </w:r>
      <w:r>
        <w:rPr>
          <w:rFonts w:hint="eastAsia" w:ascii="宋体" w:hAnsi="宋体" w:cs="宋体"/>
          <w:szCs w:val="21"/>
          <w:lang w:eastAsia="zh-CN"/>
        </w:rPr>
        <w:t>招标采购人</w:t>
      </w:r>
      <w:r>
        <w:rPr>
          <w:rFonts w:hint="eastAsia" w:ascii="宋体" w:hAnsi="宋体" w:cs="宋体"/>
          <w:szCs w:val="21"/>
        </w:rPr>
        <w:t>向投标人提供有关现场的书面资料和数据。</w:t>
      </w:r>
    </w:p>
    <w:p>
      <w:pPr>
        <w:ind w:firstLine="411" w:firstLineChars="196"/>
        <w:rPr>
          <w:rFonts w:ascii="宋体" w:hAnsi="宋体" w:cs="宋体"/>
          <w:szCs w:val="21"/>
        </w:rPr>
      </w:pPr>
      <w:r>
        <w:rPr>
          <w:rFonts w:hint="eastAsia" w:ascii="宋体" w:hAnsi="宋体" w:cs="宋体"/>
          <w:szCs w:val="21"/>
        </w:rPr>
        <w:t>9.4任何人或任何组织在踏勘现场时向投标人提供的任何书面资料或口头承诺，未经</w:t>
      </w:r>
      <w:r>
        <w:rPr>
          <w:rFonts w:hint="eastAsia" w:ascii="宋体" w:hAnsi="宋体" w:cs="宋体"/>
          <w:szCs w:val="21"/>
          <w:lang w:eastAsia="zh-CN"/>
        </w:rPr>
        <w:t>招标采购人</w:t>
      </w:r>
      <w:r>
        <w:rPr>
          <w:rFonts w:hint="eastAsia" w:ascii="宋体" w:hAnsi="宋体" w:cs="宋体"/>
          <w:szCs w:val="21"/>
        </w:rPr>
        <w:t>在网上发布或书面通知，均作无效处理。</w:t>
      </w:r>
    </w:p>
    <w:p>
      <w:pPr>
        <w:ind w:firstLine="411" w:firstLineChars="196"/>
        <w:rPr>
          <w:rFonts w:ascii="宋体" w:hAnsi="宋体" w:cs="宋体"/>
          <w:szCs w:val="21"/>
        </w:rPr>
      </w:pPr>
      <w:r>
        <w:rPr>
          <w:rFonts w:hint="eastAsia" w:ascii="宋体" w:hAnsi="宋体" w:cs="宋体"/>
          <w:szCs w:val="21"/>
        </w:rPr>
        <w:t>9.5未参与踏勘现场不作为否定投标人资格的理由。</w:t>
      </w:r>
    </w:p>
    <w:p>
      <w:pPr>
        <w:rPr>
          <w:rFonts w:ascii="宋体" w:hAnsi="宋体" w:cs="宋体"/>
          <w:szCs w:val="21"/>
        </w:rPr>
      </w:pPr>
      <w:r>
        <w:rPr>
          <w:rFonts w:hint="eastAsia" w:ascii="宋体" w:hAnsi="宋体" w:cs="宋体"/>
          <w:szCs w:val="21"/>
        </w:rPr>
        <w:t>10．标前会议</w:t>
      </w:r>
    </w:p>
    <w:p>
      <w:pPr>
        <w:ind w:firstLine="411" w:firstLineChars="196"/>
        <w:rPr>
          <w:rFonts w:ascii="宋体" w:hAnsi="宋体" w:cs="宋体"/>
          <w:szCs w:val="21"/>
        </w:rPr>
      </w:pPr>
      <w:r>
        <w:rPr>
          <w:rFonts w:hint="eastAsia" w:ascii="宋体" w:hAnsi="宋体" w:cs="宋体"/>
          <w:szCs w:val="21"/>
        </w:rPr>
        <w:t>10.1如采购人或</w:t>
      </w:r>
      <w:r>
        <w:rPr>
          <w:rFonts w:hint="eastAsia" w:ascii="宋体" w:hAnsi="宋体" w:cs="宋体"/>
          <w:szCs w:val="21"/>
          <w:lang w:eastAsia="zh-CN"/>
        </w:rPr>
        <w:t>招标采购人</w:t>
      </w:r>
      <w:r>
        <w:rPr>
          <w:rFonts w:hint="eastAsia" w:ascii="宋体" w:hAnsi="宋体" w:cs="宋体"/>
          <w:szCs w:val="21"/>
        </w:rPr>
        <w:t>认为有必要组织标前会议，投标人应按照招标文件规定的时间或</w:t>
      </w:r>
      <w:r>
        <w:rPr>
          <w:rFonts w:hint="eastAsia" w:ascii="宋体" w:hAnsi="宋体" w:cs="宋体"/>
          <w:szCs w:val="21"/>
          <w:lang w:eastAsia="zh-CN"/>
        </w:rPr>
        <w:t>招标采购人</w:t>
      </w:r>
      <w:r>
        <w:rPr>
          <w:rFonts w:hint="eastAsia" w:ascii="宋体" w:hAnsi="宋体" w:cs="宋体"/>
          <w:szCs w:val="21"/>
        </w:rPr>
        <w:t>另行书面通知（包括医院官方网站发布方式，如更正公告等）的时间和地点，参与标前会议。</w:t>
      </w:r>
    </w:p>
    <w:p>
      <w:pPr>
        <w:ind w:firstLine="411" w:firstLineChars="196"/>
        <w:rPr>
          <w:rFonts w:ascii="宋体" w:hAnsi="宋体" w:cs="宋体"/>
          <w:szCs w:val="21"/>
        </w:rPr>
      </w:pPr>
      <w:r>
        <w:rPr>
          <w:rFonts w:hint="eastAsia" w:ascii="宋体" w:hAnsi="宋体" w:cs="宋体"/>
          <w:szCs w:val="21"/>
        </w:rPr>
        <w:t>10.2任何人或任何组织在标前会议时向投标人提供的任何书面资料或口头承诺，未经</w:t>
      </w:r>
      <w:r>
        <w:rPr>
          <w:rFonts w:hint="eastAsia" w:ascii="宋体" w:hAnsi="宋体" w:cs="宋体"/>
          <w:szCs w:val="21"/>
          <w:lang w:eastAsia="zh-CN"/>
        </w:rPr>
        <w:t>招标采购人</w:t>
      </w:r>
      <w:r>
        <w:rPr>
          <w:rFonts w:hint="eastAsia" w:ascii="宋体" w:hAnsi="宋体" w:cs="宋体"/>
          <w:szCs w:val="21"/>
        </w:rPr>
        <w:t>在网上发布或书面通知，均作无效处理。</w:t>
      </w:r>
    </w:p>
    <w:p>
      <w:pPr>
        <w:ind w:firstLine="411" w:firstLineChars="196"/>
        <w:rPr>
          <w:rFonts w:ascii="宋体" w:hAnsi="宋体" w:cs="宋体"/>
          <w:szCs w:val="21"/>
        </w:rPr>
      </w:pPr>
      <w:r>
        <w:rPr>
          <w:rFonts w:hint="eastAsia" w:ascii="宋体" w:hAnsi="宋体" w:cs="宋体"/>
          <w:szCs w:val="21"/>
        </w:rPr>
        <w:t>10.3未参与标前会议不作为否定投标人资格的理由。</w:t>
      </w:r>
    </w:p>
    <w:bookmarkEnd w:id="56"/>
    <w:p>
      <w:pPr>
        <w:pStyle w:val="3"/>
        <w:numPr>
          <w:ilvl w:val="0"/>
          <w:numId w:val="15"/>
        </w:numPr>
        <w:spacing w:beforeLines="50" w:afterLines="50"/>
        <w:ind w:left="562" w:hanging="562"/>
        <w:rPr>
          <w:rFonts w:cs="宋体"/>
          <w:sz w:val="21"/>
          <w:szCs w:val="21"/>
        </w:rPr>
      </w:pPr>
      <w:r>
        <w:rPr>
          <w:rFonts w:hint="eastAsia" w:cs="宋体"/>
          <w:sz w:val="21"/>
          <w:szCs w:val="21"/>
        </w:rPr>
        <w:t>招标文件</w:t>
      </w:r>
    </w:p>
    <w:p>
      <w:pPr>
        <w:rPr>
          <w:rFonts w:ascii="宋体" w:hAnsi="宋体" w:cs="宋体"/>
          <w:szCs w:val="21"/>
        </w:rPr>
      </w:pPr>
      <w:r>
        <w:rPr>
          <w:rFonts w:hint="eastAsia" w:ascii="宋体" w:hAnsi="宋体" w:cs="宋体"/>
          <w:szCs w:val="21"/>
        </w:rPr>
        <w:t>11．</w:t>
      </w:r>
      <w:bookmarkStart w:id="58" w:name="_Hlk72399819"/>
      <w:r>
        <w:rPr>
          <w:rFonts w:hint="eastAsia" w:ascii="宋体" w:hAnsi="宋体" w:cs="宋体"/>
          <w:szCs w:val="21"/>
        </w:rPr>
        <w:t>招标文件的编制与组成</w:t>
      </w:r>
    </w:p>
    <w:p>
      <w:pPr>
        <w:snapToGrid w:val="0"/>
        <w:ind w:firstLine="420" w:firstLineChars="200"/>
        <w:rPr>
          <w:rFonts w:ascii="宋体" w:hAnsi="宋体" w:cs="宋体"/>
          <w:szCs w:val="21"/>
        </w:rPr>
      </w:pPr>
      <w:r>
        <w:rPr>
          <w:rFonts w:hint="eastAsia" w:ascii="宋体" w:hAnsi="宋体" w:cs="宋体"/>
          <w:szCs w:val="21"/>
        </w:rPr>
        <w:t>11.1招标文件除以下内容外，</w:t>
      </w:r>
      <w:r>
        <w:rPr>
          <w:rFonts w:hint="eastAsia" w:ascii="宋体" w:hAnsi="宋体" w:cs="宋体"/>
          <w:szCs w:val="21"/>
          <w:lang w:eastAsia="zh-CN"/>
        </w:rPr>
        <w:t>招标采购人</w:t>
      </w:r>
      <w:r>
        <w:rPr>
          <w:rFonts w:hint="eastAsia" w:ascii="宋体" w:hAnsi="宋体" w:cs="宋体"/>
          <w:szCs w:val="21"/>
        </w:rPr>
        <w:t>在招标期间发出的澄清或修改等相关公告或通知内容，均是招标文件的组成部分，对投标人起约束作用；</w:t>
      </w:r>
    </w:p>
    <w:p>
      <w:pPr>
        <w:ind w:firstLine="411" w:firstLineChars="196"/>
        <w:rPr>
          <w:rFonts w:ascii="宋体" w:hAnsi="宋体" w:cs="宋体"/>
          <w:szCs w:val="21"/>
        </w:rPr>
      </w:pPr>
      <w:r>
        <w:rPr>
          <w:rFonts w:hint="eastAsia" w:ascii="宋体" w:hAnsi="宋体" w:cs="宋体"/>
          <w:szCs w:val="21"/>
        </w:rPr>
        <w:t>招标文件包括下列内容：</w:t>
      </w:r>
    </w:p>
    <w:p>
      <w:pPr>
        <w:widowControl/>
        <w:ind w:firstLine="422" w:firstLineChars="200"/>
        <w:rPr>
          <w:rFonts w:ascii="宋体" w:hAnsi="宋体" w:cs="宋体"/>
          <w:b/>
          <w:szCs w:val="21"/>
        </w:rPr>
      </w:pPr>
      <w:r>
        <w:rPr>
          <w:rFonts w:hint="eastAsia" w:ascii="宋体" w:hAnsi="宋体" w:cs="宋体"/>
          <w:b/>
          <w:szCs w:val="21"/>
        </w:rPr>
        <w:t>第一册  专用条款</w:t>
      </w:r>
    </w:p>
    <w:p>
      <w:pPr>
        <w:widowControl/>
        <w:ind w:firstLine="422" w:firstLineChars="200"/>
        <w:rPr>
          <w:rFonts w:ascii="宋体" w:hAnsi="宋体" w:cs="宋体"/>
          <w:b/>
          <w:szCs w:val="21"/>
        </w:rPr>
      </w:pPr>
      <w:r>
        <w:rPr>
          <w:rFonts w:hint="eastAsia" w:ascii="宋体" w:hAnsi="宋体" w:cs="宋体"/>
          <w:b/>
          <w:szCs w:val="21"/>
        </w:rPr>
        <w:t>关键信息</w:t>
      </w:r>
    </w:p>
    <w:p>
      <w:pPr>
        <w:widowControl/>
        <w:ind w:firstLine="420" w:firstLineChars="200"/>
        <w:rPr>
          <w:rFonts w:ascii="宋体" w:hAnsi="宋体" w:cs="宋体"/>
          <w:szCs w:val="21"/>
        </w:rPr>
      </w:pPr>
      <w:r>
        <w:rPr>
          <w:rFonts w:hint="eastAsia" w:ascii="宋体" w:hAnsi="宋体" w:cs="宋体"/>
          <w:szCs w:val="21"/>
        </w:rPr>
        <w:t>第一章  招标公告</w:t>
      </w:r>
    </w:p>
    <w:p>
      <w:pPr>
        <w:widowControl/>
        <w:ind w:firstLine="420" w:firstLineChars="200"/>
        <w:rPr>
          <w:rFonts w:ascii="宋体" w:hAnsi="宋体" w:cs="宋体"/>
          <w:szCs w:val="21"/>
        </w:rPr>
      </w:pPr>
      <w:r>
        <w:rPr>
          <w:rFonts w:hint="eastAsia" w:ascii="宋体" w:hAnsi="宋体" w:cs="宋体"/>
          <w:szCs w:val="21"/>
        </w:rPr>
        <w:t>第二章  对通用条款的补充内容及其他关键信息</w:t>
      </w:r>
    </w:p>
    <w:p>
      <w:pPr>
        <w:widowControl/>
        <w:ind w:firstLine="420" w:firstLineChars="200"/>
        <w:rPr>
          <w:rFonts w:ascii="宋体" w:hAnsi="宋体" w:cs="宋体"/>
          <w:szCs w:val="21"/>
        </w:rPr>
      </w:pPr>
      <w:r>
        <w:rPr>
          <w:rFonts w:hint="eastAsia" w:ascii="宋体" w:hAnsi="宋体" w:cs="宋体"/>
          <w:szCs w:val="21"/>
        </w:rPr>
        <w:t>第三章  用户需求书</w:t>
      </w:r>
    </w:p>
    <w:p>
      <w:pPr>
        <w:widowControl/>
        <w:ind w:firstLine="420" w:firstLineChars="200"/>
        <w:rPr>
          <w:rFonts w:ascii="宋体" w:hAnsi="宋体" w:cs="宋体"/>
          <w:szCs w:val="21"/>
        </w:rPr>
      </w:pPr>
      <w:r>
        <w:rPr>
          <w:rFonts w:hint="eastAsia" w:ascii="宋体" w:hAnsi="宋体" w:cs="宋体"/>
          <w:szCs w:val="21"/>
        </w:rPr>
        <w:t>第四章 投标文件格式及附件</w:t>
      </w:r>
    </w:p>
    <w:p>
      <w:pPr>
        <w:widowControl/>
        <w:ind w:firstLine="420" w:firstLineChars="200"/>
        <w:rPr>
          <w:rFonts w:ascii="宋体" w:hAnsi="宋体" w:cs="宋体"/>
          <w:szCs w:val="21"/>
        </w:rPr>
      </w:pPr>
      <w:r>
        <w:rPr>
          <w:rFonts w:hint="eastAsia" w:ascii="宋体" w:hAnsi="宋体" w:cs="宋体"/>
          <w:szCs w:val="21"/>
        </w:rPr>
        <w:t>第五章  合同条款及格式</w:t>
      </w:r>
    </w:p>
    <w:p>
      <w:pPr>
        <w:widowControl/>
        <w:ind w:firstLine="422" w:firstLineChars="200"/>
        <w:rPr>
          <w:rFonts w:ascii="宋体" w:hAnsi="宋体" w:cs="宋体"/>
          <w:b/>
          <w:szCs w:val="21"/>
        </w:rPr>
      </w:pPr>
      <w:r>
        <w:rPr>
          <w:rFonts w:hint="eastAsia" w:ascii="宋体" w:hAnsi="宋体" w:cs="宋体"/>
          <w:b/>
          <w:szCs w:val="21"/>
        </w:rPr>
        <w:t>第二册  通用条款</w:t>
      </w:r>
    </w:p>
    <w:p>
      <w:pPr>
        <w:widowControl/>
        <w:ind w:firstLine="420" w:firstLineChars="200"/>
        <w:rPr>
          <w:rFonts w:ascii="宋体" w:hAnsi="宋体" w:cs="宋体"/>
          <w:szCs w:val="21"/>
        </w:rPr>
      </w:pPr>
      <w:r>
        <w:rPr>
          <w:rFonts w:hint="eastAsia" w:ascii="宋体" w:hAnsi="宋体" w:cs="宋体"/>
          <w:szCs w:val="21"/>
        </w:rPr>
        <w:t>第一章  总则</w:t>
      </w:r>
    </w:p>
    <w:p>
      <w:pPr>
        <w:widowControl/>
        <w:ind w:firstLine="420" w:firstLineChars="200"/>
        <w:rPr>
          <w:rFonts w:ascii="宋体" w:hAnsi="宋体" w:cs="宋体"/>
          <w:szCs w:val="21"/>
        </w:rPr>
      </w:pPr>
      <w:r>
        <w:rPr>
          <w:rFonts w:hint="eastAsia" w:ascii="宋体" w:hAnsi="宋体" w:cs="宋体"/>
          <w:szCs w:val="21"/>
        </w:rPr>
        <w:t>第二章  招标文件</w:t>
      </w:r>
    </w:p>
    <w:p>
      <w:pPr>
        <w:widowControl/>
        <w:ind w:firstLine="420" w:firstLineChars="200"/>
        <w:rPr>
          <w:rFonts w:ascii="宋体" w:hAnsi="宋体" w:cs="宋体"/>
          <w:szCs w:val="21"/>
        </w:rPr>
      </w:pPr>
      <w:r>
        <w:rPr>
          <w:rFonts w:hint="eastAsia" w:ascii="宋体" w:hAnsi="宋体" w:cs="宋体"/>
          <w:szCs w:val="21"/>
        </w:rPr>
        <w:t>第三章  投标文件的编制</w:t>
      </w:r>
    </w:p>
    <w:p>
      <w:pPr>
        <w:widowControl/>
        <w:ind w:firstLine="420" w:firstLineChars="200"/>
        <w:rPr>
          <w:rFonts w:ascii="宋体" w:hAnsi="宋体" w:cs="宋体"/>
          <w:szCs w:val="21"/>
        </w:rPr>
      </w:pPr>
      <w:r>
        <w:rPr>
          <w:rFonts w:hint="eastAsia" w:ascii="宋体" w:hAnsi="宋体" w:cs="宋体"/>
          <w:szCs w:val="21"/>
        </w:rPr>
        <w:t>第四章  投标文件的递交</w:t>
      </w:r>
    </w:p>
    <w:p>
      <w:pPr>
        <w:widowControl/>
        <w:ind w:firstLine="420" w:firstLineChars="200"/>
        <w:rPr>
          <w:rFonts w:ascii="宋体" w:hAnsi="宋体" w:cs="宋体"/>
          <w:szCs w:val="21"/>
        </w:rPr>
      </w:pPr>
      <w:r>
        <w:rPr>
          <w:rFonts w:hint="eastAsia" w:ascii="宋体" w:hAnsi="宋体" w:cs="宋体"/>
          <w:szCs w:val="21"/>
        </w:rPr>
        <w:t>第五章  开标</w:t>
      </w:r>
    </w:p>
    <w:p>
      <w:pPr>
        <w:widowControl/>
        <w:ind w:firstLine="420" w:firstLineChars="200"/>
        <w:rPr>
          <w:rFonts w:ascii="宋体" w:hAnsi="宋体" w:cs="宋体"/>
          <w:szCs w:val="21"/>
        </w:rPr>
      </w:pPr>
      <w:r>
        <w:rPr>
          <w:rFonts w:hint="eastAsia" w:ascii="宋体" w:hAnsi="宋体" w:cs="宋体"/>
          <w:szCs w:val="21"/>
        </w:rPr>
        <w:t>第六章  评审要求</w:t>
      </w:r>
    </w:p>
    <w:p>
      <w:pPr>
        <w:widowControl/>
        <w:ind w:firstLine="420" w:firstLineChars="200"/>
        <w:rPr>
          <w:rFonts w:ascii="宋体" w:hAnsi="宋体" w:cs="宋体"/>
          <w:szCs w:val="21"/>
        </w:rPr>
      </w:pPr>
      <w:r>
        <w:rPr>
          <w:rFonts w:hint="eastAsia" w:ascii="宋体" w:hAnsi="宋体" w:cs="宋体"/>
          <w:szCs w:val="21"/>
        </w:rPr>
        <w:t>第七章  评审程序及评审方法</w:t>
      </w:r>
    </w:p>
    <w:p>
      <w:pPr>
        <w:widowControl/>
        <w:ind w:firstLine="420" w:firstLineChars="200"/>
        <w:rPr>
          <w:rFonts w:ascii="宋体" w:hAnsi="宋体" w:cs="宋体"/>
          <w:szCs w:val="21"/>
        </w:rPr>
      </w:pPr>
      <w:r>
        <w:rPr>
          <w:rFonts w:hint="eastAsia" w:ascii="宋体" w:hAnsi="宋体" w:cs="宋体"/>
          <w:szCs w:val="21"/>
        </w:rPr>
        <w:t>第八章  定标及公示</w:t>
      </w:r>
    </w:p>
    <w:p>
      <w:pPr>
        <w:widowControl/>
        <w:ind w:firstLine="420" w:firstLineChars="200"/>
        <w:rPr>
          <w:rFonts w:ascii="宋体" w:hAnsi="宋体" w:cs="宋体"/>
          <w:szCs w:val="21"/>
        </w:rPr>
      </w:pPr>
      <w:r>
        <w:rPr>
          <w:rFonts w:hint="eastAsia" w:ascii="宋体" w:hAnsi="宋体" w:cs="宋体"/>
          <w:szCs w:val="21"/>
        </w:rPr>
        <w:t>第九章  公开招标失败的后续处理</w:t>
      </w:r>
    </w:p>
    <w:p>
      <w:pPr>
        <w:widowControl/>
        <w:ind w:firstLine="420" w:firstLineChars="200"/>
        <w:rPr>
          <w:rFonts w:ascii="宋体" w:hAnsi="宋体" w:cs="宋体"/>
          <w:szCs w:val="21"/>
        </w:rPr>
      </w:pPr>
      <w:r>
        <w:rPr>
          <w:rFonts w:hint="eastAsia" w:ascii="宋体" w:hAnsi="宋体" w:cs="宋体"/>
          <w:szCs w:val="21"/>
        </w:rPr>
        <w:t>第十章  合同的授予与备案</w:t>
      </w:r>
    </w:p>
    <w:p>
      <w:pPr>
        <w:widowControl/>
        <w:ind w:firstLine="420" w:firstLineChars="200"/>
        <w:rPr>
          <w:rFonts w:ascii="宋体" w:hAnsi="宋体" w:cs="宋体"/>
          <w:szCs w:val="21"/>
        </w:rPr>
      </w:pPr>
      <w:r>
        <w:rPr>
          <w:rFonts w:hint="eastAsia" w:ascii="宋体" w:hAnsi="宋体" w:cs="宋体"/>
          <w:szCs w:val="21"/>
        </w:rPr>
        <w:t>第十一章  质疑处理</w:t>
      </w:r>
    </w:p>
    <w:p>
      <w:pPr>
        <w:ind w:firstLine="411" w:firstLineChars="196"/>
        <w:rPr>
          <w:rFonts w:ascii="宋体" w:hAnsi="宋体" w:cs="宋体"/>
          <w:szCs w:val="21"/>
        </w:rPr>
      </w:pPr>
      <w:r>
        <w:rPr>
          <w:rFonts w:hint="eastAsia" w:ascii="宋体" w:hAnsi="宋体" w:cs="宋体"/>
          <w:szCs w:val="21"/>
        </w:rPr>
        <w:t>11.2 投标人下载招标文件后，应仔细检查招标文件的所有内容，如有疑问应在答疑截止时间之前向</w:t>
      </w:r>
      <w:r>
        <w:rPr>
          <w:rFonts w:hint="eastAsia" w:ascii="宋体" w:hAnsi="宋体" w:cs="宋体"/>
          <w:szCs w:val="21"/>
          <w:lang w:eastAsia="zh-CN"/>
        </w:rPr>
        <w:t>招标采购人</w:t>
      </w:r>
      <w:r>
        <w:rPr>
          <w:rFonts w:hint="eastAsia" w:ascii="宋体" w:hAnsi="宋体" w:cs="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ascii="宋体" w:hAnsi="宋体" w:cs="宋体"/>
          <w:szCs w:val="21"/>
        </w:rPr>
      </w:pPr>
      <w:r>
        <w:rPr>
          <w:rFonts w:hint="eastAsia" w:ascii="宋体" w:hAnsi="宋体" w:cs="宋体"/>
          <w:szCs w:val="21"/>
        </w:rPr>
        <w:t>11.3任何人或任何组织向投标人提交的任何书面或口头资料，未经</w:t>
      </w:r>
      <w:r>
        <w:rPr>
          <w:rFonts w:hint="eastAsia" w:ascii="宋体" w:hAnsi="宋体" w:cs="宋体"/>
          <w:szCs w:val="21"/>
          <w:lang w:eastAsia="zh-CN"/>
        </w:rPr>
        <w:t>招标采购人</w:t>
      </w:r>
      <w:r>
        <w:rPr>
          <w:rFonts w:hint="eastAsia" w:ascii="宋体" w:hAnsi="宋体" w:cs="宋体"/>
          <w:szCs w:val="21"/>
        </w:rPr>
        <w:t>在网上发布或书面通知，均作无效处理，不得作为招标文件的组成部分。</w:t>
      </w:r>
      <w:r>
        <w:rPr>
          <w:rFonts w:hint="eastAsia" w:ascii="宋体" w:hAnsi="宋体" w:cs="宋体"/>
          <w:szCs w:val="21"/>
          <w:lang w:eastAsia="zh-CN"/>
        </w:rPr>
        <w:t>招标采购人</w:t>
      </w:r>
      <w:r>
        <w:rPr>
          <w:rFonts w:hint="eastAsia" w:ascii="宋体" w:hAnsi="宋体" w:cs="宋体"/>
          <w:szCs w:val="21"/>
        </w:rPr>
        <w:t>对投标人由此而做出的推论、理解和结论概不负责。</w:t>
      </w:r>
    </w:p>
    <w:p>
      <w:pPr>
        <w:rPr>
          <w:rFonts w:ascii="宋体" w:hAnsi="宋体" w:cs="宋体"/>
          <w:szCs w:val="21"/>
        </w:rPr>
      </w:pPr>
      <w:r>
        <w:rPr>
          <w:rFonts w:hint="eastAsia" w:ascii="宋体" w:hAnsi="宋体" w:cs="宋体"/>
          <w:szCs w:val="21"/>
        </w:rPr>
        <w:t>12．招标文件的澄清</w:t>
      </w:r>
    </w:p>
    <w:p>
      <w:pPr>
        <w:ind w:firstLine="411" w:firstLineChars="196"/>
        <w:rPr>
          <w:rFonts w:ascii="宋体" w:hAnsi="宋体" w:cs="宋体"/>
          <w:szCs w:val="21"/>
        </w:rPr>
      </w:pPr>
      <w:r>
        <w:rPr>
          <w:rFonts w:hint="eastAsia" w:ascii="宋体" w:hAnsi="宋体" w:cs="宋体"/>
          <w:szCs w:val="21"/>
        </w:rPr>
        <w:t>12.1招标文件澄清的目的是澄清、解答投标人在查阅招标文件后或现场踏勘中可能提出的与投标有关的疑问或询问。</w:t>
      </w:r>
    </w:p>
    <w:p>
      <w:pPr>
        <w:ind w:firstLine="411" w:firstLineChars="196"/>
        <w:rPr>
          <w:rFonts w:ascii="宋体" w:hAnsi="宋体" w:cs="宋体"/>
          <w:szCs w:val="21"/>
        </w:rPr>
      </w:pPr>
      <w:r>
        <w:rPr>
          <w:rFonts w:hint="eastAsia" w:ascii="宋体" w:hAnsi="宋体" w:cs="宋体"/>
          <w:szCs w:val="21"/>
        </w:rPr>
        <w:t>12.2投标人如对招标文件内容有疑问，应当在招标公告规定的澄清（提问）截止时间前以网上提问的形式通过网上政府采购系统提交</w:t>
      </w:r>
      <w:r>
        <w:rPr>
          <w:rFonts w:hint="eastAsia" w:ascii="宋体" w:hAnsi="宋体" w:cs="宋体"/>
          <w:szCs w:val="21"/>
          <w:lang w:eastAsia="zh-CN"/>
        </w:rPr>
        <w:t>招标采购人</w:t>
      </w:r>
      <w:r>
        <w:rPr>
          <w:rFonts w:hint="eastAsia" w:ascii="宋体" w:hAnsi="宋体" w:cs="宋体"/>
          <w:szCs w:val="21"/>
        </w:rPr>
        <w:t>。</w:t>
      </w:r>
    </w:p>
    <w:p>
      <w:pPr>
        <w:ind w:firstLine="411" w:firstLineChars="196"/>
        <w:rPr>
          <w:rFonts w:ascii="宋体" w:hAnsi="宋体" w:cs="宋体"/>
          <w:szCs w:val="21"/>
        </w:rPr>
      </w:pPr>
      <w:r>
        <w:rPr>
          <w:rFonts w:hint="eastAsia" w:ascii="宋体" w:hAnsi="宋体" w:cs="宋体"/>
          <w:szCs w:val="21"/>
        </w:rPr>
        <w:t>12.3不论是</w:t>
      </w:r>
      <w:r>
        <w:rPr>
          <w:rFonts w:hint="eastAsia" w:ascii="宋体" w:hAnsi="宋体" w:cs="宋体"/>
          <w:szCs w:val="21"/>
          <w:lang w:eastAsia="zh-CN"/>
        </w:rPr>
        <w:t>招标采购人</w:t>
      </w:r>
      <w:r>
        <w:rPr>
          <w:rFonts w:hint="eastAsia" w:ascii="宋体" w:hAnsi="宋体" w:cs="宋体"/>
          <w:szCs w:val="21"/>
        </w:rPr>
        <w:t>根据需要主动对招标文件进行必要的澄清或是根据投标人的要求对招标文件做出澄清，</w:t>
      </w:r>
      <w:r>
        <w:rPr>
          <w:rFonts w:hint="eastAsia" w:ascii="宋体" w:hAnsi="宋体" w:cs="宋体"/>
          <w:szCs w:val="21"/>
          <w:lang w:eastAsia="zh-CN"/>
        </w:rPr>
        <w:t>招标采购人</w:t>
      </w:r>
      <w:r>
        <w:rPr>
          <w:rFonts w:hint="eastAsia" w:ascii="宋体" w:hAnsi="宋体" w:cs="宋体"/>
          <w:szCs w:val="21"/>
        </w:rPr>
        <w:t>都将在投标截止日期前以书面形式（包括</w:t>
      </w:r>
      <w:r>
        <w:rPr>
          <w:rFonts w:hint="eastAsia" w:ascii="宋体" w:hAnsi="宋体" w:cs="宋体"/>
          <w:szCs w:val="21"/>
          <w:lang w:eastAsia="zh-CN"/>
        </w:rPr>
        <w:t>招标采购人</w:t>
      </w:r>
      <w:r>
        <w:rPr>
          <w:rFonts w:hint="eastAsia" w:ascii="宋体" w:hAnsi="宋体" w:cs="宋体"/>
          <w:szCs w:val="21"/>
        </w:rPr>
        <w:t>网站发布方式）答复或发送给所有投标人。答复内容是招标文件的组成部分，对投标人起约束作用，其有效性按照本通用条款第13.3、13.4款规定执行。</w:t>
      </w:r>
    </w:p>
    <w:p>
      <w:pPr>
        <w:rPr>
          <w:rFonts w:ascii="宋体" w:hAnsi="宋体" w:cs="宋体"/>
          <w:szCs w:val="21"/>
        </w:rPr>
      </w:pPr>
      <w:r>
        <w:rPr>
          <w:rFonts w:hint="eastAsia" w:ascii="宋体" w:hAnsi="宋体" w:cs="宋体"/>
          <w:szCs w:val="21"/>
        </w:rPr>
        <w:t>13．招标文件的修改</w:t>
      </w:r>
    </w:p>
    <w:p>
      <w:pPr>
        <w:ind w:firstLine="411" w:firstLineChars="196"/>
        <w:rPr>
          <w:rFonts w:ascii="宋体" w:hAnsi="宋体" w:cs="宋体"/>
          <w:szCs w:val="21"/>
        </w:rPr>
      </w:pPr>
      <w:r>
        <w:rPr>
          <w:rFonts w:hint="eastAsia" w:ascii="宋体" w:hAnsi="宋体" w:cs="宋体"/>
          <w:szCs w:val="21"/>
        </w:rPr>
        <w:t>13.1招标文件发出后，在投标截止日期前任何时候，确需要变更招标文件内容的，</w:t>
      </w:r>
      <w:r>
        <w:rPr>
          <w:rFonts w:hint="eastAsia" w:ascii="宋体" w:hAnsi="宋体" w:cs="宋体"/>
          <w:szCs w:val="21"/>
          <w:lang w:eastAsia="zh-CN"/>
        </w:rPr>
        <w:t>招标采购人</w:t>
      </w:r>
      <w:r>
        <w:rPr>
          <w:rFonts w:hint="eastAsia" w:ascii="宋体" w:hAnsi="宋体" w:cs="宋体"/>
          <w:szCs w:val="21"/>
        </w:rPr>
        <w:t>可主动或在解答投标人提出的澄清问题时对招标文件进行修改。</w:t>
      </w:r>
    </w:p>
    <w:p>
      <w:pPr>
        <w:ind w:firstLine="411" w:firstLineChars="196"/>
        <w:rPr>
          <w:rFonts w:ascii="宋体" w:hAnsi="宋体" w:cs="宋体"/>
          <w:szCs w:val="21"/>
        </w:rPr>
      </w:pPr>
      <w:r>
        <w:rPr>
          <w:rFonts w:hint="eastAsia" w:ascii="宋体" w:hAnsi="宋体" w:cs="宋体"/>
          <w:szCs w:val="21"/>
        </w:rPr>
        <w:t>13.2招标文件的修改以书面形式（包括</w:t>
      </w:r>
      <w:r>
        <w:rPr>
          <w:rFonts w:hint="eastAsia" w:ascii="宋体" w:hAnsi="宋体" w:cs="宋体"/>
          <w:szCs w:val="21"/>
          <w:lang w:eastAsia="zh-CN"/>
        </w:rPr>
        <w:t>招标采购人</w:t>
      </w:r>
      <w:r>
        <w:rPr>
          <w:rFonts w:hint="eastAsia" w:ascii="宋体" w:hAnsi="宋体" w:cs="宋体"/>
          <w:szCs w:val="21"/>
        </w:rPr>
        <w:t>网站发布方式，如更正公告等）发送给所有投标人，招标文件的修改内容作为招标文件的组成部分，并具有约束力。</w:t>
      </w:r>
    </w:p>
    <w:p>
      <w:pPr>
        <w:ind w:firstLine="411" w:firstLineChars="196"/>
        <w:rPr>
          <w:rFonts w:ascii="宋体" w:hAnsi="宋体" w:cs="宋体"/>
          <w:szCs w:val="21"/>
        </w:rPr>
      </w:pPr>
      <w:r>
        <w:rPr>
          <w:rFonts w:hint="eastAsia" w:ascii="宋体" w:hAnsi="宋体" w:cs="宋体"/>
          <w:szCs w:val="21"/>
        </w:rPr>
        <w:t>13.3招标文件、招标文件澄清答复内容、招标文件修改补充内容均以书面形式（包括</w:t>
      </w:r>
      <w:r>
        <w:rPr>
          <w:rFonts w:hint="eastAsia" w:ascii="宋体" w:hAnsi="宋体" w:cs="宋体"/>
          <w:szCs w:val="21"/>
          <w:lang w:eastAsia="zh-CN"/>
        </w:rPr>
        <w:t>招标采购人</w:t>
      </w:r>
      <w:r>
        <w:rPr>
          <w:rFonts w:hint="eastAsia" w:ascii="宋体" w:hAnsi="宋体" w:cs="宋体"/>
          <w:szCs w:val="21"/>
        </w:rPr>
        <w:t>网站公开发布方式，如更正公告等）明确的内容为准。当招标文件、修改补充通知、招标文件澄清答复内容相互矛盾时，以最后发出的内容为准。</w:t>
      </w:r>
    </w:p>
    <w:p>
      <w:pPr>
        <w:ind w:firstLine="411" w:firstLineChars="196"/>
        <w:rPr>
          <w:rFonts w:ascii="宋体" w:hAnsi="宋体" w:cs="宋体"/>
          <w:szCs w:val="21"/>
        </w:rPr>
      </w:pPr>
      <w:r>
        <w:rPr>
          <w:rFonts w:hint="eastAsia" w:ascii="宋体" w:hAnsi="宋体" w:cs="宋体"/>
          <w:szCs w:val="21"/>
        </w:rPr>
        <w:t>13.4</w:t>
      </w:r>
      <w:r>
        <w:rPr>
          <w:rFonts w:hint="eastAsia" w:ascii="宋体" w:hAnsi="宋体" w:cs="宋体"/>
          <w:szCs w:val="21"/>
          <w:lang w:eastAsia="zh-CN"/>
        </w:rPr>
        <w:t>招标采购人</w:t>
      </w:r>
      <w:r>
        <w:rPr>
          <w:rFonts w:hint="eastAsia" w:ascii="宋体" w:hAnsi="宋体" w:cs="宋体"/>
          <w:szCs w:val="21"/>
        </w:rPr>
        <w:t>保证招标文件澄清答复内容和招标文件修改补充内容在投标截止时间前以书面形式（包括</w:t>
      </w:r>
      <w:r>
        <w:rPr>
          <w:rFonts w:hint="eastAsia" w:ascii="宋体" w:hAnsi="宋体" w:cs="宋体"/>
          <w:szCs w:val="21"/>
          <w:lang w:eastAsia="zh-CN"/>
        </w:rPr>
        <w:t>招标采购人</w:t>
      </w:r>
      <w:r>
        <w:rPr>
          <w:rFonts w:hint="eastAsia" w:ascii="宋体" w:hAnsi="宋体" w:cs="宋体"/>
          <w:szCs w:val="21"/>
        </w:rPr>
        <w:t>网站发布方式，如更正公告等）发送给所有投标人。为使投标人在编制投标文件时有充分时间对招标文件的修改部分进行研究，</w:t>
      </w:r>
      <w:r>
        <w:rPr>
          <w:rFonts w:hint="eastAsia" w:ascii="宋体" w:hAnsi="宋体" w:cs="宋体"/>
          <w:szCs w:val="21"/>
          <w:lang w:eastAsia="zh-CN"/>
        </w:rPr>
        <w:t>招标采购人</w:t>
      </w:r>
      <w:r>
        <w:rPr>
          <w:rFonts w:hint="eastAsia" w:ascii="宋体" w:hAnsi="宋体" w:cs="宋体"/>
          <w:szCs w:val="21"/>
        </w:rPr>
        <w:t>可以酌情延长递交投标文件的截止日期。</w:t>
      </w:r>
      <w:bookmarkEnd w:id="58"/>
    </w:p>
    <w:p>
      <w:pPr>
        <w:pStyle w:val="3"/>
        <w:numPr>
          <w:ilvl w:val="0"/>
          <w:numId w:val="15"/>
        </w:numPr>
        <w:spacing w:beforeLines="50" w:afterLines="50"/>
        <w:ind w:left="562" w:hanging="562"/>
        <w:rPr>
          <w:rFonts w:cs="宋体"/>
          <w:sz w:val="21"/>
          <w:szCs w:val="21"/>
        </w:rPr>
      </w:pPr>
      <w:r>
        <w:rPr>
          <w:rFonts w:hint="eastAsia" w:cs="宋体"/>
          <w:sz w:val="21"/>
          <w:szCs w:val="21"/>
        </w:rPr>
        <w:t>投标文件的编制</w:t>
      </w:r>
    </w:p>
    <w:p>
      <w:pPr>
        <w:rPr>
          <w:rFonts w:ascii="宋体" w:hAnsi="宋体" w:cs="宋体"/>
          <w:szCs w:val="21"/>
        </w:rPr>
      </w:pPr>
      <w:r>
        <w:rPr>
          <w:rFonts w:hint="eastAsia" w:ascii="宋体" w:hAnsi="宋体" w:cs="宋体"/>
          <w:szCs w:val="21"/>
        </w:rPr>
        <w:t>14．</w:t>
      </w:r>
      <w:bookmarkStart w:id="59" w:name="_Hlk72400236"/>
      <w:r>
        <w:rPr>
          <w:rFonts w:hint="eastAsia" w:ascii="宋体" w:hAnsi="宋体" w:cs="宋体"/>
          <w:szCs w:val="21"/>
        </w:rPr>
        <w:t>投标文件的语言及度量单位</w:t>
      </w:r>
    </w:p>
    <w:p>
      <w:pPr>
        <w:ind w:firstLine="411" w:firstLineChars="196"/>
        <w:rPr>
          <w:rFonts w:ascii="宋体" w:hAnsi="宋体" w:cs="宋体"/>
          <w:szCs w:val="21"/>
        </w:rPr>
      </w:pPr>
      <w:r>
        <w:rPr>
          <w:rFonts w:hint="eastAsia" w:ascii="宋体" w:hAnsi="宋体" w:cs="宋体"/>
          <w:szCs w:val="21"/>
        </w:rPr>
        <w:t>14.1 投标人与</w:t>
      </w:r>
      <w:r>
        <w:rPr>
          <w:rFonts w:hint="eastAsia" w:ascii="宋体" w:hAnsi="宋体" w:cs="宋体"/>
          <w:szCs w:val="21"/>
          <w:lang w:eastAsia="zh-CN"/>
        </w:rPr>
        <w:t>招标采购人</w:t>
      </w:r>
      <w:r>
        <w:rPr>
          <w:rFonts w:hint="eastAsia" w:ascii="宋体" w:hAnsi="宋体" w:cs="宋体"/>
          <w:szCs w:val="21"/>
        </w:rPr>
        <w:t>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11" w:firstLineChars="196"/>
        <w:rPr>
          <w:rFonts w:ascii="宋体" w:hAnsi="宋体" w:cs="宋体"/>
          <w:szCs w:val="21"/>
        </w:rPr>
      </w:pPr>
      <w:r>
        <w:rPr>
          <w:rFonts w:hint="eastAsia" w:ascii="宋体" w:hAnsi="宋体" w:cs="宋体"/>
          <w:szCs w:val="21"/>
        </w:rPr>
        <w:t>14.2 除技术规范另有规定外，投标文件使用的度量单位，均采用中华人民共和国法定计量单位。</w:t>
      </w:r>
    </w:p>
    <w:bookmarkEnd w:id="59"/>
    <w:p>
      <w:pPr>
        <w:rPr>
          <w:rFonts w:ascii="宋体" w:hAnsi="宋体" w:cs="宋体"/>
          <w:szCs w:val="21"/>
        </w:rPr>
      </w:pPr>
      <w:r>
        <w:rPr>
          <w:rFonts w:hint="eastAsia" w:ascii="宋体" w:hAnsi="宋体" w:cs="宋体"/>
          <w:szCs w:val="21"/>
        </w:rPr>
        <w:t>15．</w:t>
      </w:r>
      <w:bookmarkStart w:id="60" w:name="_Hlk72401567"/>
      <w:r>
        <w:rPr>
          <w:rFonts w:hint="eastAsia" w:ascii="宋体" w:hAnsi="宋体" w:cs="宋体"/>
          <w:szCs w:val="21"/>
        </w:rPr>
        <w:t>投标文件的组成</w:t>
      </w:r>
    </w:p>
    <w:p>
      <w:pPr>
        <w:ind w:firstLine="411" w:firstLineChars="196"/>
        <w:rPr>
          <w:rFonts w:ascii="宋体" w:hAnsi="宋体" w:cs="宋体"/>
          <w:szCs w:val="21"/>
        </w:rPr>
      </w:pPr>
      <w:r>
        <w:rPr>
          <w:rFonts w:hint="eastAsia" w:ascii="宋体" w:hAnsi="宋体" w:cs="宋体"/>
          <w:szCs w:val="21"/>
        </w:rPr>
        <w:t>具体内容在招标文件专用条款中进行规定。</w:t>
      </w:r>
    </w:p>
    <w:p>
      <w:pPr>
        <w:rPr>
          <w:rFonts w:ascii="宋体" w:hAnsi="宋体" w:cs="宋体"/>
          <w:szCs w:val="21"/>
        </w:rPr>
      </w:pPr>
      <w:r>
        <w:rPr>
          <w:rFonts w:hint="eastAsia" w:ascii="宋体" w:hAnsi="宋体" w:cs="宋体"/>
          <w:szCs w:val="21"/>
        </w:rPr>
        <w:t>16．投标文件格式</w:t>
      </w:r>
    </w:p>
    <w:p>
      <w:pPr>
        <w:ind w:firstLine="411" w:firstLineChars="196"/>
        <w:rPr>
          <w:rFonts w:ascii="宋体" w:hAnsi="宋体" w:cs="宋体"/>
          <w:szCs w:val="21"/>
        </w:rPr>
      </w:pPr>
      <w:r>
        <w:rPr>
          <w:rFonts w:hint="eastAsia" w:ascii="宋体" w:hAnsi="宋体" w:cs="宋体"/>
          <w:szCs w:val="21"/>
        </w:rPr>
        <w:t>投标文件包括本通用条款第15条中规定的内容。如招标文件提供了投标文件格式，则</w:t>
      </w:r>
      <w:r>
        <w:rPr>
          <w:rFonts w:hint="eastAsia" w:ascii="宋体" w:hAnsi="宋体" w:cs="宋体"/>
          <w:b/>
          <w:bCs/>
          <w:szCs w:val="21"/>
        </w:rPr>
        <w:t>投标人提交的投标文件应毫无例外地使用招标文件所提供的相应格式</w:t>
      </w:r>
      <w:r>
        <w:rPr>
          <w:rFonts w:hint="eastAsia" w:ascii="宋体" w:hAnsi="宋体" w:cs="宋体"/>
          <w:szCs w:val="21"/>
        </w:rPr>
        <w:t>（表格均可按同样格式扩展）。</w:t>
      </w:r>
    </w:p>
    <w:p>
      <w:pPr>
        <w:rPr>
          <w:rFonts w:ascii="宋体" w:hAnsi="宋体" w:cs="宋体"/>
          <w:szCs w:val="21"/>
        </w:rPr>
      </w:pPr>
      <w:r>
        <w:rPr>
          <w:rFonts w:hint="eastAsia" w:ascii="宋体" w:hAnsi="宋体" w:cs="宋体"/>
          <w:szCs w:val="21"/>
        </w:rPr>
        <w:t>17．投标货币</w:t>
      </w:r>
    </w:p>
    <w:p>
      <w:pPr>
        <w:ind w:firstLine="411" w:firstLineChars="196"/>
        <w:rPr>
          <w:rFonts w:ascii="宋体" w:hAnsi="宋体" w:cs="宋体"/>
          <w:szCs w:val="21"/>
        </w:rPr>
      </w:pPr>
      <w:r>
        <w:rPr>
          <w:rFonts w:hint="eastAsia" w:ascii="宋体" w:hAnsi="宋体" w:cs="宋体"/>
          <w:szCs w:val="21"/>
        </w:rPr>
        <w:t>本项目的投标报价应以人民币计。</w:t>
      </w:r>
    </w:p>
    <w:bookmarkEnd w:id="60"/>
    <w:p>
      <w:pPr>
        <w:rPr>
          <w:rFonts w:ascii="宋体" w:hAnsi="宋体" w:cs="宋体"/>
          <w:szCs w:val="21"/>
        </w:rPr>
      </w:pPr>
      <w:r>
        <w:rPr>
          <w:rFonts w:hint="eastAsia" w:ascii="宋体" w:hAnsi="宋体" w:cs="宋体"/>
          <w:szCs w:val="21"/>
        </w:rPr>
        <w:t>18．</w:t>
      </w:r>
      <w:bookmarkStart w:id="61" w:name="_Hlk72401735"/>
      <w:r>
        <w:rPr>
          <w:rFonts w:hint="eastAsia" w:ascii="宋体" w:hAnsi="宋体" w:cs="宋体"/>
          <w:szCs w:val="21"/>
        </w:rPr>
        <w:t>证明投标文件投标技术方案的合格性和符合招标文件规定的文件要求</w:t>
      </w:r>
    </w:p>
    <w:p>
      <w:pPr>
        <w:ind w:firstLine="411" w:firstLineChars="196"/>
        <w:rPr>
          <w:rFonts w:ascii="宋体" w:hAnsi="宋体" w:cs="宋体"/>
          <w:szCs w:val="21"/>
        </w:rPr>
      </w:pPr>
      <w:r>
        <w:rPr>
          <w:rFonts w:hint="eastAsia" w:ascii="宋体" w:hAnsi="宋体" w:cs="宋体"/>
          <w:szCs w:val="21"/>
        </w:rPr>
        <w:t>18.1 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cs="宋体"/>
          <w:szCs w:val="21"/>
        </w:rPr>
      </w:pPr>
      <w:r>
        <w:rPr>
          <w:rFonts w:hint="eastAsia" w:ascii="宋体" w:hAnsi="宋体" w:cs="宋体"/>
          <w:szCs w:val="21"/>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cs="宋体"/>
          <w:szCs w:val="21"/>
        </w:rPr>
      </w:pPr>
      <w:r>
        <w:rPr>
          <w:rFonts w:hint="eastAsia" w:ascii="宋体" w:hAnsi="宋体" w:cs="宋体"/>
          <w:szCs w:val="21"/>
        </w:rPr>
        <w:t>18.2.1主要技术指标和性能的详细说明。</w:t>
      </w:r>
    </w:p>
    <w:p>
      <w:pPr>
        <w:ind w:firstLine="411" w:firstLineChars="196"/>
        <w:rPr>
          <w:rFonts w:ascii="宋体" w:hAnsi="宋体" w:cs="宋体"/>
          <w:szCs w:val="21"/>
        </w:rPr>
      </w:pPr>
      <w:r>
        <w:rPr>
          <w:rFonts w:hint="eastAsia" w:ascii="宋体" w:hAnsi="宋体" w:cs="宋体"/>
          <w:szCs w:val="21"/>
        </w:rPr>
        <w:t>18.2.2投标产品从采购人开始使用至招标文件中规定的周期内正常、连续地使用所必须的备件和专用工具清单，包括备件和专用工具的货源及现行价格。</w:t>
      </w:r>
    </w:p>
    <w:p>
      <w:pPr>
        <w:ind w:firstLine="411" w:firstLineChars="196"/>
        <w:rPr>
          <w:rFonts w:ascii="宋体" w:hAnsi="宋体" w:cs="宋体"/>
          <w:szCs w:val="21"/>
        </w:rPr>
      </w:pPr>
      <w:r>
        <w:rPr>
          <w:rFonts w:hint="eastAsia" w:ascii="宋体" w:hAnsi="宋体" w:cs="宋体"/>
          <w:szCs w:val="21"/>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cs="宋体"/>
          <w:szCs w:val="21"/>
        </w:rPr>
      </w:pPr>
      <w:r>
        <w:rPr>
          <w:rFonts w:hint="eastAsia" w:ascii="宋体" w:hAnsi="宋体" w:cs="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ind w:firstLine="411" w:firstLineChars="196"/>
        <w:rPr>
          <w:rFonts w:ascii="宋体" w:hAnsi="宋体" w:cs="宋体"/>
          <w:szCs w:val="21"/>
        </w:rPr>
      </w:pPr>
      <w:r>
        <w:rPr>
          <w:rFonts w:hint="eastAsia" w:ascii="宋体" w:hAnsi="宋体" w:cs="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cs="宋体"/>
          <w:szCs w:val="21"/>
        </w:rPr>
      </w:pPr>
      <w:r>
        <w:rPr>
          <w:rFonts w:hint="eastAsia" w:ascii="宋体" w:hAnsi="宋体" w:cs="宋体"/>
          <w:szCs w:val="21"/>
        </w:rPr>
        <w:t>18.3相关资料不符合18.2款要求的，评审委员会有权认定为投标技术方案不合格响应，其相关分数予以扣减或作投标无效处理。</w:t>
      </w:r>
    </w:p>
    <w:p>
      <w:pPr>
        <w:ind w:firstLine="411" w:firstLineChars="196"/>
        <w:rPr>
          <w:rFonts w:ascii="宋体" w:hAnsi="宋体" w:cs="宋体"/>
          <w:szCs w:val="21"/>
        </w:rPr>
      </w:pPr>
      <w:r>
        <w:rPr>
          <w:rFonts w:hint="eastAsia" w:ascii="宋体" w:hAnsi="宋体" w:cs="宋体"/>
          <w:szCs w:val="21"/>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ind w:firstLine="411" w:firstLineChars="196"/>
        <w:rPr>
          <w:rFonts w:ascii="宋体" w:hAnsi="宋体" w:cs="宋体"/>
          <w:szCs w:val="21"/>
        </w:rPr>
      </w:pPr>
      <w:r>
        <w:rPr>
          <w:rFonts w:hint="eastAsia" w:ascii="宋体" w:hAnsi="宋体" w:cs="宋体"/>
          <w:szCs w:val="21"/>
        </w:rPr>
        <w:t>18.5除非另有规定或说明，投标人对同一项目投标时，不得同时提供两套或两套以上的投标方案。</w:t>
      </w:r>
    </w:p>
    <w:bookmarkEnd w:id="61"/>
    <w:p>
      <w:pPr>
        <w:rPr>
          <w:rFonts w:ascii="宋体" w:hAnsi="宋体" w:cs="宋体"/>
          <w:szCs w:val="21"/>
        </w:rPr>
      </w:pPr>
      <w:r>
        <w:rPr>
          <w:rFonts w:hint="eastAsia" w:ascii="宋体" w:hAnsi="宋体" w:cs="宋体"/>
          <w:szCs w:val="21"/>
        </w:rPr>
        <w:t>19．</w:t>
      </w:r>
      <w:bookmarkStart w:id="62" w:name="_Hlk72402034"/>
      <w:r>
        <w:rPr>
          <w:rFonts w:hint="eastAsia" w:ascii="宋体" w:hAnsi="宋体" w:cs="宋体"/>
          <w:szCs w:val="21"/>
        </w:rPr>
        <w:t>投标文件其他证明文件的要求</w:t>
      </w:r>
    </w:p>
    <w:p>
      <w:pPr>
        <w:rPr>
          <w:rFonts w:ascii="宋体" w:hAnsi="宋体" w:cs="宋体"/>
          <w:color w:val="FF0000"/>
          <w:szCs w:val="21"/>
        </w:rPr>
      </w:pPr>
      <w:r>
        <w:rPr>
          <w:rFonts w:hint="eastAsia" w:ascii="宋体" w:hAnsi="宋体" w:cs="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63" w:name="_Hlk71407299"/>
    </w:p>
    <w:bookmarkEnd w:id="63"/>
    <w:p>
      <w:pPr>
        <w:ind w:firstLine="411" w:firstLineChars="196"/>
        <w:rPr>
          <w:rFonts w:ascii="宋体" w:hAnsi="宋体" w:cs="宋体"/>
          <w:szCs w:val="21"/>
        </w:rPr>
      </w:pPr>
      <w:r>
        <w:rPr>
          <w:rFonts w:hint="eastAsia" w:ascii="宋体" w:hAnsi="宋体" w:cs="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宋体" w:hAnsi="宋体" w:cs="宋体"/>
          <w:szCs w:val="21"/>
        </w:rPr>
      </w:pPr>
      <w:r>
        <w:rPr>
          <w:rFonts w:hint="eastAsia" w:ascii="宋体" w:hAnsi="宋体" w:cs="宋体"/>
          <w:szCs w:val="21"/>
        </w:rPr>
        <w:t>20．投标有效期</w:t>
      </w:r>
    </w:p>
    <w:bookmarkEnd w:id="62"/>
    <w:p>
      <w:pPr>
        <w:ind w:firstLine="411" w:firstLineChars="196"/>
        <w:rPr>
          <w:rFonts w:ascii="宋体" w:hAnsi="宋体" w:cs="宋体"/>
          <w:szCs w:val="21"/>
        </w:rPr>
      </w:pPr>
      <w:bookmarkStart w:id="64" w:name="_Hlk72402214"/>
      <w:r>
        <w:rPr>
          <w:rFonts w:hint="eastAsia" w:ascii="宋体" w:hAnsi="宋体" w:cs="宋体"/>
          <w:szCs w:val="21"/>
        </w:rPr>
        <w:t>20.1 投标有效期为从投标截止之日算起的日历天数。在此期限内，所有投标文件均保持有效。</w:t>
      </w:r>
    </w:p>
    <w:p>
      <w:pPr>
        <w:ind w:firstLine="411" w:firstLineChars="196"/>
        <w:rPr>
          <w:rFonts w:ascii="宋体" w:hAnsi="宋体" w:cs="宋体"/>
          <w:szCs w:val="21"/>
        </w:rPr>
      </w:pPr>
      <w:r>
        <w:rPr>
          <w:rFonts w:hint="eastAsia" w:ascii="宋体" w:hAnsi="宋体" w:cs="宋体"/>
          <w:szCs w:val="21"/>
        </w:rPr>
        <w:t>20.2 在特殊情况下，</w:t>
      </w:r>
      <w:r>
        <w:rPr>
          <w:rFonts w:hint="eastAsia" w:ascii="宋体" w:hAnsi="宋体" w:cs="宋体"/>
          <w:szCs w:val="21"/>
          <w:lang w:eastAsia="zh-CN"/>
        </w:rPr>
        <w:t>招标采购人</w:t>
      </w:r>
      <w:r>
        <w:rPr>
          <w:rFonts w:hint="eastAsia" w:ascii="宋体" w:hAnsi="宋体" w:cs="宋体"/>
          <w:szCs w:val="21"/>
        </w:rPr>
        <w:t>在原定的投标有效期满之前，</w:t>
      </w:r>
      <w:r>
        <w:rPr>
          <w:rFonts w:hint="eastAsia" w:ascii="宋体" w:hAnsi="宋体" w:cs="宋体"/>
          <w:szCs w:val="21"/>
          <w:lang w:eastAsia="zh-CN"/>
        </w:rPr>
        <w:t>招标采购人</w:t>
      </w:r>
      <w:r>
        <w:rPr>
          <w:rFonts w:hint="eastAsia" w:ascii="宋体" w:hAnsi="宋体" w:cs="宋体"/>
          <w:szCs w:val="21"/>
        </w:rPr>
        <w:t>可以根据需要以书面形式（包括</w:t>
      </w:r>
      <w:r>
        <w:rPr>
          <w:rFonts w:hint="eastAsia" w:ascii="宋体" w:hAnsi="宋体" w:cs="宋体"/>
          <w:szCs w:val="21"/>
          <w:lang w:eastAsia="zh-CN"/>
        </w:rPr>
        <w:t>招标采购人</w:t>
      </w:r>
      <w:r>
        <w:rPr>
          <w:rFonts w:hint="eastAsia" w:ascii="宋体" w:hAnsi="宋体" w:cs="宋体"/>
          <w:szCs w:val="21"/>
        </w:rPr>
        <w:t>网站公开发布方式）向投标人提出延长投标有效期的要求，对此要求投标人须以书面形式予以答复，投标人可以拒绝</w:t>
      </w:r>
      <w:r>
        <w:rPr>
          <w:rFonts w:hint="eastAsia" w:ascii="宋体" w:hAnsi="宋体" w:cs="宋体"/>
          <w:szCs w:val="21"/>
          <w:lang w:eastAsia="zh-CN"/>
        </w:rPr>
        <w:t>招标采购人</w:t>
      </w:r>
      <w:r>
        <w:rPr>
          <w:rFonts w:hint="eastAsia" w:ascii="宋体" w:hAnsi="宋体" w:cs="宋体"/>
          <w:szCs w:val="21"/>
        </w:rPr>
        <w:t>此项要求，其投标在原投标有效期满后不再有效。同意延长投标有效期的投标人不能要求也不允许修改其投标文件。</w:t>
      </w:r>
    </w:p>
    <w:p>
      <w:pPr>
        <w:ind w:firstLine="411" w:firstLineChars="196"/>
        <w:rPr>
          <w:rFonts w:ascii="宋体" w:hAnsi="宋体" w:cs="宋体"/>
          <w:szCs w:val="21"/>
        </w:rPr>
      </w:pPr>
      <w:r>
        <w:rPr>
          <w:rFonts w:hint="eastAsia" w:ascii="宋体" w:hAnsi="宋体" w:cs="宋体"/>
          <w:szCs w:val="21"/>
        </w:rPr>
        <w:t>20.3 中标供应商的投标文件有效期，截止于完成本招标文件规定的全部项目内容，并通过竣工验收及保修期结束。</w:t>
      </w:r>
    </w:p>
    <w:bookmarkEnd w:id="64"/>
    <w:p>
      <w:pPr>
        <w:rPr>
          <w:rFonts w:ascii="宋体" w:hAnsi="宋体" w:cs="宋体"/>
          <w:szCs w:val="21"/>
        </w:rPr>
      </w:pPr>
      <w:r>
        <w:rPr>
          <w:rFonts w:hint="eastAsia" w:ascii="宋体" w:hAnsi="宋体" w:cs="宋体"/>
          <w:szCs w:val="21"/>
        </w:rPr>
        <w:t>21．</w:t>
      </w:r>
      <w:bookmarkStart w:id="65" w:name="_Hlk72402325"/>
      <w:r>
        <w:rPr>
          <w:rFonts w:hint="eastAsia" w:ascii="宋体" w:hAnsi="宋体" w:cs="宋体"/>
          <w:szCs w:val="21"/>
        </w:rPr>
        <w:t xml:space="preserve">关于投标保证金 </w:t>
      </w:r>
    </w:p>
    <w:p>
      <w:pPr>
        <w:rPr>
          <w:rFonts w:ascii="宋体" w:hAnsi="宋体" w:cs="宋体"/>
          <w:szCs w:val="21"/>
        </w:rPr>
      </w:pPr>
      <w:r>
        <w:rPr>
          <w:rFonts w:hint="eastAsia" w:ascii="宋体" w:hAnsi="宋体" w:cs="宋体"/>
          <w:szCs w:val="21"/>
        </w:rPr>
        <w:t xml:space="preserve">    21.1 根据《深圳市财政局关于明确政府采购保证金管理工作的通知》（深财购[2019]42号）文的规定，本项目不收取投标保证金。</w:t>
      </w:r>
    </w:p>
    <w:p>
      <w:pPr>
        <w:rPr>
          <w:rFonts w:ascii="宋体" w:hAnsi="宋体" w:cs="宋体"/>
          <w:szCs w:val="21"/>
        </w:rPr>
      </w:pPr>
      <w:r>
        <w:rPr>
          <w:rFonts w:hint="eastAsia" w:ascii="宋体" w:hAnsi="宋体" w:cs="宋体"/>
          <w:szCs w:val="21"/>
        </w:rPr>
        <w:t>22．投标人的替代方案</w:t>
      </w:r>
    </w:p>
    <w:p>
      <w:pPr>
        <w:ind w:firstLine="411" w:firstLineChars="196"/>
        <w:rPr>
          <w:rFonts w:ascii="宋体" w:hAnsi="宋体" w:cs="宋体"/>
          <w:szCs w:val="21"/>
        </w:rPr>
      </w:pPr>
      <w:r>
        <w:rPr>
          <w:rFonts w:hint="eastAsia" w:ascii="宋体" w:hAnsi="宋体" w:cs="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cs="宋体"/>
          <w:szCs w:val="21"/>
        </w:rPr>
      </w:pPr>
      <w:r>
        <w:rPr>
          <w:rFonts w:hint="eastAsia" w:ascii="宋体" w:hAnsi="宋体" w:cs="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5"/>
    <w:p>
      <w:pPr>
        <w:rPr>
          <w:rFonts w:ascii="宋体" w:hAnsi="宋体" w:cs="宋体"/>
          <w:szCs w:val="21"/>
        </w:rPr>
      </w:pPr>
      <w:r>
        <w:rPr>
          <w:rFonts w:hint="eastAsia" w:ascii="宋体" w:hAnsi="宋体" w:cs="宋体"/>
          <w:szCs w:val="21"/>
        </w:rPr>
        <w:t>23．</w:t>
      </w:r>
      <w:bookmarkStart w:id="66" w:name="_Hlk72402860"/>
      <w:r>
        <w:rPr>
          <w:rFonts w:hint="eastAsia" w:ascii="宋体" w:hAnsi="宋体" w:cs="宋体"/>
          <w:szCs w:val="21"/>
        </w:rPr>
        <w:t>投标文件的制作要求</w:t>
      </w:r>
    </w:p>
    <w:p>
      <w:pPr>
        <w:ind w:firstLine="411" w:firstLineChars="196"/>
        <w:rPr>
          <w:rFonts w:ascii="宋体" w:hAnsi="宋体" w:cs="宋体"/>
          <w:szCs w:val="21"/>
        </w:rPr>
      </w:pPr>
      <w:r>
        <w:rPr>
          <w:rFonts w:hint="eastAsia" w:ascii="宋体" w:hAnsi="宋体" w:cs="宋体"/>
          <w:szCs w:val="21"/>
        </w:rPr>
        <w:t>23.1投标人在编辑投标文件时，</w:t>
      </w:r>
      <w:r>
        <w:rPr>
          <w:rFonts w:hint="eastAsia" w:ascii="宋体" w:hAnsi="宋体" w:cs="宋体"/>
          <w:b/>
          <w:szCs w:val="21"/>
        </w:rPr>
        <w:t>在投标文件目录中属于本节点内容的必须在本节点中填写，填写到其他节点或附件，</w:t>
      </w:r>
      <w:r>
        <w:rPr>
          <w:rFonts w:hint="eastAsia" w:ascii="宋体" w:hAnsi="宋体" w:cs="宋体"/>
          <w:szCs w:val="21"/>
        </w:rPr>
        <w:t>一切后果由供应商自行承担。</w:t>
      </w:r>
    </w:p>
    <w:p>
      <w:pPr>
        <w:ind w:firstLine="411" w:firstLineChars="196"/>
        <w:rPr>
          <w:rFonts w:ascii="宋体" w:hAnsi="宋体" w:cs="宋体"/>
          <w:szCs w:val="21"/>
        </w:rPr>
      </w:pPr>
      <w:r>
        <w:rPr>
          <w:rFonts w:hint="eastAsia" w:ascii="宋体" w:hAnsi="宋体" w:cs="宋体"/>
          <w:szCs w:val="21"/>
        </w:rPr>
        <w:t>23.2招标采购</w:t>
      </w:r>
      <w:r>
        <w:rPr>
          <w:rFonts w:hint="eastAsia" w:ascii="宋体" w:hAnsi="宋体" w:cs="宋体"/>
          <w:szCs w:val="21"/>
          <w:lang w:val="en-US" w:eastAsia="zh-CN"/>
        </w:rPr>
        <w:t>人</w:t>
      </w:r>
      <w:r>
        <w:rPr>
          <w:rFonts w:hint="eastAsia" w:ascii="宋体" w:hAnsi="宋体" w:cs="宋体"/>
          <w:szCs w:val="21"/>
        </w:rPr>
        <w:t>不接受投标截止时间后递交的纸质、电子、传真等所有形式的投标文件。由于对网上政府采购系统操作不熟悉或自身电脑、网络等原因导致不能在投标截止时间之前上传投标文件，</w:t>
      </w:r>
      <w:r>
        <w:rPr>
          <w:rFonts w:hint="eastAsia" w:ascii="宋体" w:hAnsi="宋体" w:cs="宋体"/>
          <w:szCs w:val="21"/>
          <w:lang w:eastAsia="zh-CN"/>
        </w:rPr>
        <w:t>招标采购人</w:t>
      </w:r>
      <w:r>
        <w:rPr>
          <w:rFonts w:hint="eastAsia" w:ascii="宋体" w:hAnsi="宋体" w:cs="宋体"/>
          <w:szCs w:val="21"/>
        </w:rPr>
        <w:t>概不负责。建议于开标前一个工作日完成投标文件的制作与上传，如上传确有困难，请及时咨询。</w:t>
      </w:r>
    </w:p>
    <w:p>
      <w:pPr>
        <w:ind w:firstLine="411" w:firstLineChars="196"/>
        <w:rPr>
          <w:rFonts w:ascii="宋体" w:hAnsi="宋体" w:cs="宋体"/>
          <w:szCs w:val="21"/>
        </w:rPr>
      </w:pPr>
      <w:r>
        <w:rPr>
          <w:rFonts w:hint="eastAsia" w:ascii="宋体" w:hAnsi="宋体" w:cs="宋体"/>
          <w:szCs w:val="21"/>
        </w:rPr>
        <w:t>23.3如果开标时出现网络故障、技术故障，影响了政府采购活动，</w:t>
      </w:r>
      <w:r>
        <w:rPr>
          <w:rFonts w:hint="eastAsia" w:ascii="宋体" w:hAnsi="宋体" w:cs="宋体"/>
          <w:szCs w:val="21"/>
          <w:lang w:eastAsia="zh-CN"/>
        </w:rPr>
        <w:t>招标采购人</w:t>
      </w:r>
      <w:r>
        <w:rPr>
          <w:rFonts w:hint="eastAsia" w:ascii="宋体" w:hAnsi="宋体" w:cs="宋体"/>
          <w:szCs w:val="21"/>
        </w:rPr>
        <w:t>有权采取措施如延期等，以保障政府采购活动的公开、公平和公正。</w:t>
      </w:r>
    </w:p>
    <w:p>
      <w:pPr>
        <w:ind w:firstLine="411" w:firstLineChars="196"/>
        <w:rPr>
          <w:rFonts w:ascii="宋体" w:hAnsi="宋体" w:cs="宋体"/>
          <w:szCs w:val="21"/>
        </w:rPr>
      </w:pPr>
      <w:r>
        <w:rPr>
          <w:rFonts w:hint="eastAsia" w:ascii="宋体" w:hAnsi="宋体" w:cs="宋体"/>
          <w:szCs w:val="21"/>
        </w:rPr>
        <w:t>23.4电报、电话、传真形式的投标概不接受。</w:t>
      </w:r>
    </w:p>
    <w:bookmarkEnd w:id="66"/>
    <w:p>
      <w:pPr>
        <w:pStyle w:val="3"/>
        <w:numPr>
          <w:ilvl w:val="0"/>
          <w:numId w:val="15"/>
        </w:numPr>
        <w:spacing w:beforeLines="50" w:afterLines="50"/>
        <w:ind w:left="562" w:hanging="562"/>
        <w:rPr>
          <w:rFonts w:cs="宋体"/>
          <w:sz w:val="21"/>
          <w:szCs w:val="21"/>
        </w:rPr>
      </w:pPr>
      <w:r>
        <w:rPr>
          <w:rFonts w:hint="eastAsia" w:cs="宋体"/>
          <w:sz w:val="21"/>
          <w:szCs w:val="21"/>
        </w:rPr>
        <w:t>投标文件的递交</w:t>
      </w:r>
      <w:bookmarkStart w:id="67" w:name="_Hlk72405459"/>
    </w:p>
    <w:p>
      <w:pPr>
        <w:ind w:firstLine="411" w:firstLineChars="196"/>
        <w:rPr>
          <w:rFonts w:ascii="宋体" w:hAnsi="宋体" w:cs="宋体"/>
          <w:szCs w:val="21"/>
          <w:highlight w:val="green"/>
        </w:rPr>
      </w:pPr>
    </w:p>
    <w:p>
      <w:pPr>
        <w:jc w:val="left"/>
        <w:rPr>
          <w:rFonts w:ascii="宋体" w:hAnsi="宋体" w:cs="宋体"/>
          <w:color w:val="auto"/>
          <w:szCs w:val="21"/>
        </w:rPr>
      </w:pPr>
      <w:r>
        <w:rPr>
          <w:rFonts w:hint="eastAsia" w:ascii="宋体" w:hAnsi="宋体" w:cs="宋体"/>
          <w:color w:val="auto"/>
          <w:szCs w:val="21"/>
        </w:rPr>
        <w:t>25．递交投标文件及投标截止日期</w:t>
      </w:r>
    </w:p>
    <w:p>
      <w:pPr>
        <w:ind w:left="428" w:leftChars="200" w:hanging="8" w:hangingChars="4"/>
        <w:jc w:val="left"/>
        <w:rPr>
          <w:rFonts w:hint="default" w:ascii="宋体" w:hAnsi="宋体" w:eastAsia="宋体" w:cs="宋体"/>
          <w:color w:val="auto"/>
          <w:szCs w:val="21"/>
          <w:highlight w:val="red"/>
          <w:lang w:val="en-US" w:eastAsia="zh-CN"/>
        </w:rPr>
      </w:pPr>
      <w:r>
        <w:rPr>
          <w:rFonts w:hint="eastAsia" w:ascii="宋体" w:hAnsi="宋体" w:cs="宋体"/>
          <w:color w:val="auto"/>
          <w:szCs w:val="21"/>
        </w:rPr>
        <w:t>25.1</w:t>
      </w:r>
      <w:r>
        <w:rPr>
          <w:rFonts w:hint="eastAsia" w:ascii="宋体" w:hAnsi="宋体" w:cs="宋体"/>
          <w:color w:val="auto"/>
          <w:szCs w:val="21"/>
          <w:highlight w:val="none"/>
        </w:rPr>
        <w:t>投标文件送达至</w:t>
      </w:r>
      <w:r>
        <w:rPr>
          <w:rFonts w:hint="eastAsia" w:ascii="宋体" w:hAnsi="宋体" w:cs="宋体"/>
          <w:color w:val="auto"/>
          <w:szCs w:val="21"/>
          <w:highlight w:val="none"/>
          <w:lang w:eastAsia="zh-CN"/>
        </w:rPr>
        <w:t>地址：</w:t>
      </w:r>
      <w:r>
        <w:rPr>
          <w:rFonts w:hint="eastAsia" w:ascii="宋体" w:hAnsi="宋体" w:cs="宋体"/>
          <w:color w:val="auto"/>
          <w:szCs w:val="21"/>
          <w:highlight w:val="none"/>
          <w:lang w:val="en-US" w:eastAsia="zh-CN"/>
        </w:rPr>
        <w:t xml:space="preserve">深圳市福田区梅林街道中康路27号综合楼7楼会议室                   </w:t>
      </w:r>
      <w:r>
        <w:rPr>
          <w:rFonts w:hint="eastAsia" w:ascii="宋体" w:hAnsi="宋体" w:cs="宋体"/>
          <w:b w:val="0"/>
          <w:bCs w:val="0"/>
          <w:color w:val="auto"/>
          <w:szCs w:val="21"/>
          <w:highlight w:val="none"/>
        </w:rPr>
        <w:t>联系方式：</w:t>
      </w:r>
      <w:r>
        <w:rPr>
          <w:rFonts w:hint="eastAsia" w:ascii="宋体" w:hAnsi="宋体" w:cs="宋体"/>
          <w:b w:val="0"/>
          <w:bCs w:val="0"/>
          <w:color w:val="auto"/>
          <w:szCs w:val="21"/>
          <w:highlight w:val="none"/>
          <w:lang w:val="en-US" w:eastAsia="zh-CN"/>
        </w:rPr>
        <w:t>0755-83140233</w:t>
      </w:r>
    </w:p>
    <w:p>
      <w:pPr>
        <w:ind w:firstLine="411" w:firstLineChars="196"/>
        <w:rPr>
          <w:rFonts w:ascii="宋体" w:hAnsi="宋体" w:cs="宋体"/>
          <w:szCs w:val="21"/>
        </w:rPr>
      </w:pPr>
      <w:r>
        <w:rPr>
          <w:rFonts w:hint="eastAsia" w:ascii="宋体" w:hAnsi="宋体" w:cs="宋体"/>
          <w:szCs w:val="21"/>
        </w:rPr>
        <w:t>25.2招标采购</w:t>
      </w:r>
      <w:r>
        <w:rPr>
          <w:rFonts w:hint="eastAsia" w:ascii="宋体" w:hAnsi="宋体" w:cs="宋体"/>
          <w:szCs w:val="21"/>
          <w:lang w:val="en-US" w:eastAsia="zh-CN"/>
        </w:rPr>
        <w:t>人</w:t>
      </w:r>
      <w:r>
        <w:rPr>
          <w:rFonts w:hint="eastAsia" w:ascii="宋体" w:hAnsi="宋体" w:cs="宋体"/>
          <w:szCs w:val="21"/>
        </w:rPr>
        <w:t>可以按本通用条款第13条规定，通过修改招标文件自行决定酌情延长投标截止期。在此情况下，</w:t>
      </w:r>
      <w:r>
        <w:rPr>
          <w:rFonts w:hint="eastAsia" w:ascii="宋体" w:hAnsi="宋体" w:cs="宋体"/>
          <w:szCs w:val="21"/>
          <w:lang w:eastAsia="zh-CN"/>
        </w:rPr>
        <w:t>招标采购人</w:t>
      </w:r>
      <w:r>
        <w:rPr>
          <w:rFonts w:hint="eastAsia" w:ascii="宋体" w:hAnsi="宋体" w:cs="宋体"/>
          <w:szCs w:val="21"/>
        </w:rPr>
        <w:t>、采购人和投标人受投标截止期制约的所有权利和义务均应延长至新的截止期。</w:t>
      </w:r>
    </w:p>
    <w:p>
      <w:pPr>
        <w:ind w:firstLine="411" w:firstLineChars="196"/>
        <w:rPr>
          <w:rFonts w:ascii="宋体" w:hAnsi="宋体" w:cs="宋体"/>
          <w:szCs w:val="21"/>
        </w:rPr>
      </w:pPr>
      <w:r>
        <w:rPr>
          <w:rFonts w:hint="eastAsia" w:ascii="宋体" w:hAnsi="宋体" w:cs="宋体"/>
          <w:szCs w:val="21"/>
        </w:rPr>
        <w:t>25.3投标截止时间以后不得递交投标文件。</w:t>
      </w:r>
    </w:p>
    <w:bookmarkEnd w:id="67"/>
    <w:p>
      <w:pPr>
        <w:ind w:firstLine="420" w:firstLineChars="200"/>
        <w:rPr>
          <w:rFonts w:ascii="宋体" w:hAnsi="宋体" w:cs="宋体"/>
          <w:szCs w:val="21"/>
        </w:rPr>
      </w:pPr>
      <w:r>
        <w:rPr>
          <w:rFonts w:hint="eastAsia" w:ascii="宋体" w:hAnsi="宋体" w:cs="宋体"/>
          <w:szCs w:val="21"/>
        </w:rPr>
        <w:t>26. 样品、现场演示、方案讲解</w:t>
      </w:r>
    </w:p>
    <w:p>
      <w:pPr>
        <w:ind w:firstLine="411" w:firstLineChars="196"/>
        <w:rPr>
          <w:rFonts w:ascii="宋体" w:hAnsi="宋体" w:cs="宋体"/>
          <w:szCs w:val="21"/>
        </w:rPr>
      </w:pPr>
      <w:r>
        <w:rPr>
          <w:rFonts w:hint="eastAsia" w:ascii="宋体" w:hAnsi="宋体" w:cs="宋体"/>
          <w:szCs w:val="21"/>
        </w:rPr>
        <w:t>26.1 样品、现场演示、方案讲解等事项在招标文件专用条款中进行规定。</w:t>
      </w:r>
    </w:p>
    <w:p>
      <w:pPr>
        <w:ind w:firstLine="420" w:firstLineChars="200"/>
        <w:rPr>
          <w:rFonts w:ascii="宋体" w:hAnsi="宋体" w:cs="宋体"/>
          <w:szCs w:val="21"/>
        </w:rPr>
      </w:pPr>
      <w:bookmarkStart w:id="68" w:name="_Hlk72428346"/>
      <w:r>
        <w:rPr>
          <w:rFonts w:hint="eastAsia" w:ascii="宋体" w:hAnsi="宋体" w:cs="宋体"/>
          <w:szCs w:val="21"/>
        </w:rPr>
        <w:t>27．投标文件的修改和撤销</w:t>
      </w:r>
    </w:p>
    <w:p>
      <w:pPr>
        <w:ind w:firstLine="411" w:firstLineChars="196"/>
        <w:rPr>
          <w:rFonts w:ascii="宋体" w:hAnsi="宋体" w:cs="宋体"/>
          <w:szCs w:val="21"/>
        </w:rPr>
      </w:pPr>
      <w:r>
        <w:rPr>
          <w:rFonts w:hint="eastAsia" w:ascii="宋体" w:hAnsi="宋体" w:cs="宋体"/>
          <w:szCs w:val="21"/>
        </w:rPr>
        <w:t>27.1投标方在提交投标文件后可对其投标文件进行修改并重新递交投标文件或进行撤销投标的操作。</w:t>
      </w:r>
    </w:p>
    <w:p>
      <w:pPr>
        <w:ind w:firstLine="411" w:firstLineChars="196"/>
        <w:rPr>
          <w:rFonts w:ascii="宋体" w:hAnsi="宋体" w:cs="宋体"/>
          <w:szCs w:val="21"/>
        </w:rPr>
      </w:pPr>
      <w:r>
        <w:rPr>
          <w:rFonts w:hint="eastAsia" w:ascii="宋体" w:hAnsi="宋体" w:cs="宋体"/>
          <w:szCs w:val="21"/>
        </w:rPr>
        <w:t>27.2投标截止时间以后不得修改投标文件。</w:t>
      </w:r>
    </w:p>
    <w:p>
      <w:pPr>
        <w:ind w:firstLine="411" w:firstLineChars="196"/>
        <w:rPr>
          <w:rFonts w:ascii="宋体" w:hAnsi="宋体" w:cs="宋体"/>
          <w:szCs w:val="21"/>
        </w:rPr>
      </w:pPr>
      <w:r>
        <w:rPr>
          <w:rFonts w:hint="eastAsia" w:ascii="宋体" w:hAnsi="宋体" w:cs="宋体"/>
          <w:szCs w:val="21"/>
        </w:rPr>
        <w:t>27.3从投标截止期至投标人在投标文件中确定的投标有效期之间的这段时间内，投标人不得撤回其投标。</w:t>
      </w:r>
    </w:p>
    <w:p>
      <w:pPr>
        <w:ind w:firstLine="411" w:firstLineChars="196"/>
        <w:rPr>
          <w:rFonts w:ascii="宋体" w:hAnsi="宋体" w:cs="宋体"/>
          <w:szCs w:val="21"/>
        </w:rPr>
      </w:pPr>
      <w:r>
        <w:rPr>
          <w:rFonts w:hint="eastAsia" w:ascii="宋体" w:hAnsi="宋体" w:cs="宋体"/>
          <w:szCs w:val="21"/>
        </w:rPr>
        <w:t>27.4</w:t>
      </w:r>
      <w:r>
        <w:rPr>
          <w:rFonts w:hint="eastAsia" w:ascii="宋体" w:hAnsi="宋体" w:cs="宋体"/>
          <w:szCs w:val="21"/>
          <w:lang w:eastAsia="zh-CN"/>
        </w:rPr>
        <w:t>招标采购人</w:t>
      </w:r>
      <w:r>
        <w:rPr>
          <w:rFonts w:hint="eastAsia" w:ascii="宋体" w:hAnsi="宋体" w:cs="宋体"/>
          <w:szCs w:val="21"/>
        </w:rPr>
        <w:t>不退还投标文件，专用条款另有规定的除外。</w:t>
      </w:r>
    </w:p>
    <w:bookmarkEnd w:id="68"/>
    <w:p>
      <w:pPr>
        <w:pStyle w:val="3"/>
        <w:numPr>
          <w:ilvl w:val="0"/>
          <w:numId w:val="15"/>
        </w:numPr>
        <w:spacing w:beforeLines="50" w:afterLines="50"/>
        <w:ind w:left="562" w:hanging="562"/>
        <w:rPr>
          <w:rFonts w:cs="宋体"/>
          <w:sz w:val="21"/>
          <w:szCs w:val="21"/>
        </w:rPr>
      </w:pPr>
      <w:r>
        <w:rPr>
          <w:rFonts w:hint="eastAsia" w:cs="宋体"/>
          <w:sz w:val="21"/>
          <w:szCs w:val="21"/>
        </w:rPr>
        <w:t>开标</w:t>
      </w:r>
    </w:p>
    <w:p>
      <w:pPr>
        <w:rPr>
          <w:rFonts w:ascii="宋体" w:hAnsi="宋体" w:cs="宋体"/>
          <w:szCs w:val="21"/>
        </w:rPr>
      </w:pPr>
      <w:r>
        <w:rPr>
          <w:rFonts w:hint="eastAsia" w:ascii="宋体" w:hAnsi="宋体" w:cs="宋体"/>
          <w:szCs w:val="21"/>
        </w:rPr>
        <w:t>28．开标</w:t>
      </w:r>
    </w:p>
    <w:p>
      <w:pPr>
        <w:ind w:firstLine="359" w:firstLineChars="171"/>
        <w:rPr>
          <w:rFonts w:ascii="宋体" w:hAnsi="宋体" w:cs="宋体"/>
          <w:szCs w:val="21"/>
        </w:rPr>
      </w:pPr>
      <w:r>
        <w:rPr>
          <w:rFonts w:hint="eastAsia" w:ascii="宋体" w:hAnsi="宋体" w:cs="宋体"/>
          <w:szCs w:val="21"/>
        </w:rPr>
        <w:t xml:space="preserve">28.2 </w:t>
      </w:r>
      <w:r>
        <w:rPr>
          <w:rFonts w:hint="eastAsia" w:ascii="宋体" w:hAnsi="宋体" w:cs="宋体"/>
          <w:szCs w:val="21"/>
          <w:lang w:eastAsia="zh-CN"/>
        </w:rPr>
        <w:t>招标采购人</w:t>
      </w:r>
      <w:r>
        <w:rPr>
          <w:rFonts w:hint="eastAsia" w:ascii="宋体" w:hAnsi="宋体" w:cs="宋体"/>
          <w:szCs w:val="21"/>
        </w:rPr>
        <w:t>将在满足开标条件</w:t>
      </w:r>
      <w:r>
        <w:rPr>
          <w:rFonts w:hint="eastAsia" w:ascii="宋体" w:hAnsi="宋体" w:cs="宋体"/>
          <w:color w:val="333333"/>
          <w:szCs w:val="21"/>
          <w:shd w:val="clear" w:color="auto" w:fill="FFFFFF"/>
        </w:rPr>
        <w:t>：</w:t>
      </w:r>
      <w:r>
        <w:rPr>
          <w:rFonts w:hint="eastAsia" w:ascii="宋体" w:hAnsi="宋体" w:cs="宋体"/>
          <w:szCs w:val="21"/>
        </w:rPr>
        <w:t>投标供应商数量满足开标要求后，对投标文件进行开标，并在网上公布开标结果。</w:t>
      </w:r>
    </w:p>
    <w:p>
      <w:pPr>
        <w:pStyle w:val="3"/>
        <w:numPr>
          <w:ilvl w:val="0"/>
          <w:numId w:val="15"/>
        </w:numPr>
        <w:spacing w:beforeLines="50" w:afterLines="50"/>
        <w:ind w:left="562" w:hanging="562"/>
        <w:rPr>
          <w:rFonts w:cs="宋体"/>
          <w:sz w:val="21"/>
          <w:szCs w:val="21"/>
        </w:rPr>
      </w:pPr>
      <w:r>
        <w:rPr>
          <w:rFonts w:hint="eastAsia" w:cs="宋体"/>
          <w:sz w:val="21"/>
          <w:szCs w:val="21"/>
        </w:rPr>
        <w:t>评审要求</w:t>
      </w:r>
    </w:p>
    <w:p>
      <w:pPr>
        <w:rPr>
          <w:rFonts w:ascii="宋体" w:hAnsi="宋体" w:cs="宋体"/>
          <w:szCs w:val="21"/>
        </w:rPr>
      </w:pPr>
      <w:r>
        <w:rPr>
          <w:rFonts w:hint="eastAsia" w:ascii="宋体" w:hAnsi="宋体" w:cs="宋体"/>
          <w:szCs w:val="21"/>
        </w:rPr>
        <w:t>29．评审委员会组成</w:t>
      </w:r>
    </w:p>
    <w:p>
      <w:pPr>
        <w:ind w:firstLine="411" w:firstLineChars="196"/>
        <w:rPr>
          <w:rFonts w:ascii="宋体" w:hAnsi="宋体" w:cs="宋体"/>
          <w:szCs w:val="21"/>
        </w:rPr>
      </w:pPr>
      <w:r>
        <w:rPr>
          <w:rFonts w:hint="eastAsia" w:ascii="宋体" w:hAnsi="宋体" w:cs="宋体"/>
          <w:szCs w:val="21"/>
        </w:rPr>
        <w:t>29.1开标结束后召开评审会议，评审委员会由</w:t>
      </w:r>
      <w:r>
        <w:rPr>
          <w:rFonts w:hint="eastAsia" w:ascii="宋体" w:hAnsi="宋体" w:cs="宋体"/>
          <w:szCs w:val="21"/>
          <w:lang w:eastAsia="zh-CN"/>
        </w:rPr>
        <w:t>招标采购人</w:t>
      </w:r>
      <w:r>
        <w:rPr>
          <w:rFonts w:hint="eastAsia" w:ascii="宋体" w:hAnsi="宋体" w:cs="宋体"/>
          <w:szCs w:val="21"/>
        </w:rPr>
        <w:t>依法组建，负责评审活动。</w:t>
      </w:r>
    </w:p>
    <w:p>
      <w:pPr>
        <w:ind w:firstLine="411" w:firstLineChars="196"/>
        <w:rPr>
          <w:rFonts w:ascii="宋体" w:hAnsi="宋体" w:cs="宋体"/>
          <w:szCs w:val="21"/>
        </w:rPr>
      </w:pPr>
      <w:bookmarkStart w:id="69" w:name="_Hlk72436580"/>
      <w:r>
        <w:rPr>
          <w:rFonts w:hint="eastAsia" w:ascii="宋体" w:hAnsi="宋体" w:cs="宋体"/>
          <w:szCs w:val="21"/>
        </w:rPr>
        <w:t>评审委员会由采购人代表和评审专家组成，成员人数应当为5人以上单数（部分条件下为7人以上单数），其中评审专家不得少于成员总数的三分之二。</w:t>
      </w:r>
      <w:bookmarkEnd w:id="69"/>
      <w:r>
        <w:rPr>
          <w:rFonts w:hint="eastAsia" w:ascii="宋体" w:hAnsi="宋体" w:cs="宋体"/>
          <w:szCs w:val="21"/>
        </w:rPr>
        <w:t>评定分离项目评审专家均由评审专家组成。</w:t>
      </w:r>
    </w:p>
    <w:p>
      <w:pPr>
        <w:ind w:firstLine="411" w:firstLineChars="196"/>
        <w:rPr>
          <w:rFonts w:ascii="宋体" w:hAnsi="宋体" w:cs="宋体"/>
          <w:szCs w:val="21"/>
        </w:rPr>
      </w:pPr>
      <w:r>
        <w:rPr>
          <w:rFonts w:hint="eastAsia" w:ascii="宋体" w:hAnsi="宋体" w:cs="宋体"/>
          <w:szCs w:val="21"/>
        </w:rPr>
        <w:t>29.2评审定标应当遵循公平、公正、科学、择优的原则。</w:t>
      </w:r>
    </w:p>
    <w:p>
      <w:pPr>
        <w:ind w:firstLine="411" w:firstLineChars="196"/>
        <w:rPr>
          <w:rFonts w:ascii="宋体" w:hAnsi="宋体" w:cs="宋体"/>
          <w:szCs w:val="21"/>
        </w:rPr>
      </w:pPr>
      <w:r>
        <w:rPr>
          <w:rFonts w:hint="eastAsia" w:ascii="宋体" w:hAnsi="宋体" w:cs="宋体"/>
          <w:szCs w:val="21"/>
        </w:rPr>
        <w:t>29.3评审活动依法进行，任何单位和个人不得非法干预评标过程和结果。</w:t>
      </w:r>
    </w:p>
    <w:p>
      <w:pPr>
        <w:ind w:firstLine="411" w:firstLineChars="196"/>
        <w:rPr>
          <w:rFonts w:ascii="宋体" w:hAnsi="宋体" w:cs="宋体"/>
          <w:szCs w:val="21"/>
        </w:rPr>
      </w:pPr>
      <w:r>
        <w:rPr>
          <w:rFonts w:hint="eastAsia" w:ascii="宋体" w:hAnsi="宋体" w:cs="宋体"/>
          <w:szCs w:val="21"/>
        </w:rPr>
        <w:t>29.4评审过程中不允许违背评标程序或采用招标文件未载明的评标方法或评标因素进行评标。</w:t>
      </w:r>
    </w:p>
    <w:p>
      <w:pPr>
        <w:ind w:firstLine="411" w:firstLineChars="196"/>
        <w:rPr>
          <w:rFonts w:ascii="宋体" w:hAnsi="宋体" w:cs="宋体"/>
          <w:bCs/>
          <w:szCs w:val="21"/>
        </w:rPr>
      </w:pPr>
      <w:r>
        <w:rPr>
          <w:rFonts w:hint="eastAsia" w:ascii="宋体" w:hAnsi="宋体" w:cs="宋体"/>
          <w:bCs/>
          <w:szCs w:val="21"/>
        </w:rPr>
        <w:t>29.5 开标后，直到签订合同为止，凡属于对投标文件的审查、澄清、评价和比较的有关资料以及中标候选人的推荐情况、与评审有关的其他任何情况均严格保密（</w:t>
      </w:r>
      <w:r>
        <w:rPr>
          <w:rFonts w:hint="eastAsia" w:ascii="宋体" w:hAnsi="宋体" w:cs="宋体"/>
          <w:szCs w:val="21"/>
        </w:rPr>
        <w:t>信息公开的内容除外</w:t>
      </w:r>
      <w:r>
        <w:rPr>
          <w:rFonts w:hint="eastAsia" w:ascii="宋体" w:hAnsi="宋体" w:cs="宋体"/>
          <w:bCs/>
          <w:szCs w:val="21"/>
        </w:rPr>
        <w:t>）。</w:t>
      </w:r>
    </w:p>
    <w:p>
      <w:pPr>
        <w:rPr>
          <w:rFonts w:ascii="宋体" w:hAnsi="宋体" w:cs="宋体"/>
          <w:szCs w:val="21"/>
        </w:rPr>
      </w:pPr>
      <w:r>
        <w:rPr>
          <w:rFonts w:hint="eastAsia" w:ascii="宋体" w:hAnsi="宋体" w:cs="宋体"/>
          <w:szCs w:val="21"/>
        </w:rPr>
        <w:t>30．向评审委员会提供的资料</w:t>
      </w:r>
    </w:p>
    <w:p>
      <w:pPr>
        <w:ind w:firstLine="411" w:firstLineChars="196"/>
        <w:rPr>
          <w:rFonts w:ascii="宋体" w:hAnsi="宋体" w:cs="宋体"/>
          <w:szCs w:val="21"/>
        </w:rPr>
      </w:pPr>
      <w:r>
        <w:rPr>
          <w:rFonts w:hint="eastAsia" w:ascii="宋体" w:hAnsi="宋体" w:cs="宋体"/>
          <w:szCs w:val="21"/>
        </w:rPr>
        <w:t>30.1公开发布的招标文件，包括图纸、服务清单、答疑文件等；</w:t>
      </w:r>
    </w:p>
    <w:p>
      <w:pPr>
        <w:ind w:firstLine="411" w:firstLineChars="196"/>
        <w:rPr>
          <w:rFonts w:ascii="宋体" w:hAnsi="宋体" w:cs="宋体"/>
          <w:szCs w:val="21"/>
        </w:rPr>
      </w:pPr>
      <w:r>
        <w:rPr>
          <w:rFonts w:hint="eastAsia" w:ascii="宋体" w:hAnsi="宋体" w:cs="宋体"/>
          <w:szCs w:val="21"/>
        </w:rPr>
        <w:t>30.2其他评标必须的资料。</w:t>
      </w:r>
    </w:p>
    <w:p>
      <w:pPr>
        <w:ind w:firstLine="411" w:firstLineChars="196"/>
        <w:rPr>
          <w:rFonts w:ascii="宋体" w:hAnsi="宋体" w:cs="宋体"/>
          <w:szCs w:val="21"/>
        </w:rPr>
      </w:pPr>
      <w:r>
        <w:rPr>
          <w:rFonts w:hint="eastAsia" w:ascii="宋体" w:hAnsi="宋体" w:cs="宋体"/>
          <w:szCs w:val="21"/>
        </w:rPr>
        <w:t>30.3评审委员会应当认真研究招标文件，至少应了解熟悉以下内容：</w:t>
      </w:r>
    </w:p>
    <w:p>
      <w:pPr>
        <w:ind w:firstLine="411" w:firstLineChars="196"/>
        <w:rPr>
          <w:rFonts w:ascii="宋体" w:hAnsi="宋体" w:cs="宋体"/>
          <w:szCs w:val="21"/>
        </w:rPr>
      </w:pPr>
      <w:r>
        <w:rPr>
          <w:rFonts w:hint="eastAsia" w:ascii="宋体" w:hAnsi="宋体" w:cs="宋体"/>
          <w:szCs w:val="21"/>
        </w:rPr>
        <w:t>（1）招标的目的；</w:t>
      </w:r>
    </w:p>
    <w:p>
      <w:pPr>
        <w:ind w:firstLine="411" w:firstLineChars="196"/>
        <w:rPr>
          <w:rFonts w:ascii="宋体" w:hAnsi="宋体" w:cs="宋体"/>
          <w:szCs w:val="21"/>
        </w:rPr>
      </w:pPr>
      <w:r>
        <w:rPr>
          <w:rFonts w:hint="eastAsia" w:ascii="宋体" w:hAnsi="宋体" w:cs="宋体"/>
          <w:szCs w:val="21"/>
        </w:rPr>
        <w:t>（2）招标项目需求的范围和性质；</w:t>
      </w:r>
    </w:p>
    <w:p>
      <w:pPr>
        <w:ind w:firstLine="411" w:firstLineChars="196"/>
        <w:rPr>
          <w:rFonts w:ascii="宋体" w:hAnsi="宋体" w:cs="宋体"/>
          <w:szCs w:val="21"/>
        </w:rPr>
      </w:pPr>
      <w:r>
        <w:rPr>
          <w:rFonts w:hint="eastAsia" w:ascii="宋体" w:hAnsi="宋体" w:cs="宋体"/>
          <w:szCs w:val="21"/>
        </w:rPr>
        <w:t>（3）招标文件规定的投标人的资格、财政预算限额、商务条款；</w:t>
      </w:r>
    </w:p>
    <w:p>
      <w:pPr>
        <w:ind w:firstLine="411" w:firstLineChars="196"/>
        <w:rPr>
          <w:rFonts w:ascii="宋体" w:hAnsi="宋体" w:cs="宋体"/>
          <w:szCs w:val="21"/>
        </w:rPr>
      </w:pPr>
      <w:r>
        <w:rPr>
          <w:rFonts w:hint="eastAsia" w:ascii="宋体" w:hAnsi="宋体" w:cs="宋体"/>
          <w:szCs w:val="21"/>
        </w:rPr>
        <w:t>（4）招标文件规定的评标程序、评标方法和评标因素；</w:t>
      </w:r>
    </w:p>
    <w:p>
      <w:pPr>
        <w:ind w:firstLine="411" w:firstLineChars="196"/>
        <w:rPr>
          <w:rFonts w:ascii="宋体" w:hAnsi="宋体" w:cs="宋体"/>
          <w:szCs w:val="21"/>
        </w:rPr>
      </w:pPr>
      <w:r>
        <w:rPr>
          <w:rFonts w:hint="eastAsia" w:ascii="宋体" w:hAnsi="宋体" w:cs="宋体"/>
          <w:szCs w:val="21"/>
        </w:rPr>
        <w:t>（5）招标文件所列示的资格性审查表及符合性审查表。</w:t>
      </w:r>
    </w:p>
    <w:p>
      <w:pPr>
        <w:rPr>
          <w:rFonts w:ascii="宋体" w:hAnsi="宋体" w:cs="宋体"/>
          <w:szCs w:val="21"/>
        </w:rPr>
      </w:pPr>
      <w:r>
        <w:rPr>
          <w:rFonts w:hint="eastAsia" w:ascii="宋体" w:hAnsi="宋体" w:cs="宋体"/>
          <w:szCs w:val="21"/>
        </w:rPr>
        <w:t>31．独立评审</w:t>
      </w:r>
    </w:p>
    <w:p>
      <w:pPr>
        <w:ind w:firstLine="411" w:firstLineChars="196"/>
        <w:rPr>
          <w:rFonts w:ascii="宋体" w:hAnsi="宋体" w:cs="宋体"/>
          <w:bCs/>
          <w:szCs w:val="21"/>
        </w:rPr>
      </w:pPr>
      <w:r>
        <w:rPr>
          <w:rFonts w:hint="eastAsia" w:ascii="宋体" w:hAnsi="宋体" w:cs="宋体"/>
          <w:bCs/>
          <w:szCs w:val="21"/>
        </w:rPr>
        <w:t>31.1</w:t>
      </w:r>
      <w:r>
        <w:rPr>
          <w:rFonts w:hint="eastAsia" w:ascii="宋体" w:hAnsi="宋体" w:cs="宋体"/>
          <w:szCs w:val="21"/>
        </w:rPr>
        <w:t>评审委员会</w:t>
      </w:r>
      <w:r>
        <w:rPr>
          <w:rFonts w:hint="eastAsia" w:ascii="宋体" w:hAnsi="宋体" w:cs="宋体"/>
          <w:bCs/>
          <w:szCs w:val="21"/>
        </w:rPr>
        <w:t>成员的评标活动应当独立进行，并应遵循投标文件初审、澄清有关问题、比较与评价、确定中标供应商、编写评审报告的工作程序。</w:t>
      </w:r>
    </w:p>
    <w:p>
      <w:pPr>
        <w:pStyle w:val="3"/>
        <w:numPr>
          <w:ilvl w:val="0"/>
          <w:numId w:val="15"/>
        </w:numPr>
        <w:spacing w:beforeLines="50" w:afterLines="50"/>
        <w:ind w:left="562" w:hanging="562"/>
        <w:rPr>
          <w:rFonts w:cs="宋体"/>
          <w:sz w:val="21"/>
          <w:szCs w:val="21"/>
        </w:rPr>
      </w:pPr>
      <w:r>
        <w:rPr>
          <w:rFonts w:hint="eastAsia" w:cs="宋体"/>
          <w:sz w:val="21"/>
          <w:szCs w:val="21"/>
        </w:rPr>
        <w:t>评审程序及评审方法</w:t>
      </w:r>
    </w:p>
    <w:p>
      <w:pPr>
        <w:rPr>
          <w:rFonts w:ascii="宋体" w:hAnsi="宋体" w:cs="宋体"/>
          <w:szCs w:val="21"/>
        </w:rPr>
      </w:pPr>
      <w:r>
        <w:rPr>
          <w:rFonts w:hint="eastAsia" w:ascii="宋体" w:hAnsi="宋体" w:cs="宋体"/>
          <w:szCs w:val="21"/>
        </w:rPr>
        <w:t>32．投标文件初审</w:t>
      </w:r>
    </w:p>
    <w:p>
      <w:pPr>
        <w:ind w:firstLine="411" w:firstLineChars="196"/>
        <w:rPr>
          <w:rFonts w:ascii="宋体" w:hAnsi="宋体" w:cs="宋体"/>
          <w:szCs w:val="21"/>
        </w:rPr>
      </w:pPr>
      <w:r>
        <w:rPr>
          <w:rFonts w:hint="eastAsia" w:ascii="宋体" w:hAnsi="宋体" w:cs="宋体"/>
          <w:szCs w:val="21"/>
        </w:rPr>
        <w:t>32.1投标文件初审包括资格性审查和符合性审查。</w:t>
      </w:r>
    </w:p>
    <w:p>
      <w:pPr>
        <w:ind w:firstLine="411" w:firstLineChars="196"/>
        <w:rPr>
          <w:rFonts w:ascii="宋体" w:hAnsi="宋体" w:cs="宋体"/>
          <w:szCs w:val="21"/>
        </w:rPr>
      </w:pPr>
      <w:r>
        <w:rPr>
          <w:rFonts w:hint="eastAsia" w:ascii="宋体" w:hAnsi="宋体" w:cs="宋体"/>
          <w:szCs w:val="21"/>
        </w:rPr>
        <w:t>资格性审查：依据法律法规和招标文件的规定，对投标文件中的资格证明等进行审查，以确定投标供应商是否具备投标资格。</w:t>
      </w:r>
    </w:p>
    <w:p>
      <w:pPr>
        <w:ind w:firstLine="411" w:firstLineChars="196"/>
        <w:rPr>
          <w:rFonts w:ascii="宋体" w:hAnsi="宋体" w:cs="宋体"/>
          <w:szCs w:val="21"/>
        </w:rPr>
      </w:pPr>
      <w:r>
        <w:rPr>
          <w:rFonts w:hint="eastAsia" w:ascii="宋体" w:hAnsi="宋体" w:cs="宋体"/>
          <w:szCs w:val="21"/>
        </w:rPr>
        <w:t>符合性审查：依据招标文件的规定，对投标文件的有效性、完整性和对招标文件的响应程度进行审查，以确定是否满足符合性审查的要求。</w:t>
      </w:r>
    </w:p>
    <w:p>
      <w:pPr>
        <w:ind w:firstLine="411" w:firstLineChars="196"/>
        <w:rPr>
          <w:rFonts w:ascii="宋体" w:hAnsi="宋体" w:cs="宋体"/>
          <w:szCs w:val="21"/>
        </w:rPr>
      </w:pPr>
      <w:r>
        <w:rPr>
          <w:rFonts w:hint="eastAsia" w:ascii="宋体" w:hAnsi="宋体" w:cs="宋体"/>
          <w:szCs w:val="21"/>
        </w:rPr>
        <w:t>32.2 投标文件初审内容请详见《资格性审查表》和《符合性审查表》部分。投标人若有一条审查不通过则按投标无效处理。</w:t>
      </w:r>
    </w:p>
    <w:p>
      <w:pPr>
        <w:ind w:firstLine="411" w:firstLineChars="196"/>
        <w:rPr>
          <w:rFonts w:ascii="宋体" w:hAnsi="宋体" w:cs="宋体"/>
          <w:bCs/>
          <w:szCs w:val="21"/>
        </w:rPr>
      </w:pPr>
      <w:r>
        <w:rPr>
          <w:rFonts w:hint="eastAsia" w:ascii="宋体" w:hAnsi="宋体" w:cs="宋体"/>
          <w:bCs/>
          <w:szCs w:val="21"/>
        </w:rPr>
        <w:t>32.3 投标文件初审中关于供应商家数的计算:</w:t>
      </w:r>
    </w:p>
    <w:p>
      <w:pPr>
        <w:ind w:firstLine="411" w:firstLineChars="196"/>
        <w:rPr>
          <w:rFonts w:ascii="宋体" w:hAnsi="宋体" w:cs="宋体"/>
          <w:bCs/>
          <w:szCs w:val="21"/>
        </w:rPr>
      </w:pPr>
      <w:r>
        <w:rPr>
          <w:rFonts w:hint="eastAsia" w:ascii="宋体" w:hAnsi="宋体" w:cs="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cs="宋体"/>
          <w:bCs/>
          <w:szCs w:val="21"/>
        </w:rPr>
      </w:pPr>
      <w:r>
        <w:rPr>
          <w:rFonts w:hint="eastAsia" w:ascii="宋体" w:hAnsi="宋体" w:cs="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ind w:firstLine="411" w:firstLineChars="196"/>
        <w:rPr>
          <w:rFonts w:ascii="宋体" w:hAnsi="宋体" w:cs="宋体"/>
          <w:bCs/>
          <w:szCs w:val="21"/>
        </w:rPr>
      </w:pPr>
      <w:r>
        <w:rPr>
          <w:rFonts w:hint="eastAsia" w:ascii="宋体" w:hAnsi="宋体" w:cs="宋体"/>
          <w:bCs/>
          <w:szCs w:val="21"/>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cs="宋体"/>
          <w:szCs w:val="21"/>
        </w:rPr>
      </w:pPr>
      <w:r>
        <w:rPr>
          <w:rFonts w:hint="eastAsia" w:ascii="宋体" w:hAnsi="宋体" w:cs="宋体"/>
          <w:szCs w:val="21"/>
        </w:rPr>
        <w:t>32.4投标人投标文件作无效处理的情形，具体包括但不限于以下：</w:t>
      </w:r>
    </w:p>
    <w:p>
      <w:pPr>
        <w:ind w:firstLine="411" w:firstLineChars="196"/>
        <w:rPr>
          <w:rFonts w:ascii="宋体" w:hAnsi="宋体" w:cs="宋体"/>
          <w:szCs w:val="21"/>
        </w:rPr>
      </w:pPr>
      <w:r>
        <w:rPr>
          <w:rFonts w:hint="eastAsia" w:ascii="宋体" w:hAnsi="宋体" w:cs="宋体"/>
          <w:szCs w:val="21"/>
        </w:rPr>
        <w:t>32.4.1不同投标人的投标文件由同一单位或者同一个人编制，或者由同一个人分阶段参与编制；</w:t>
      </w:r>
    </w:p>
    <w:p>
      <w:pPr>
        <w:ind w:firstLine="411" w:firstLineChars="196"/>
        <w:rPr>
          <w:rFonts w:ascii="宋体" w:hAnsi="宋体" w:cs="宋体"/>
          <w:szCs w:val="21"/>
        </w:rPr>
      </w:pPr>
      <w:r>
        <w:rPr>
          <w:rFonts w:hint="eastAsia" w:ascii="宋体" w:hAnsi="宋体" w:cs="宋体"/>
          <w:szCs w:val="21"/>
        </w:rPr>
        <w:t>32.4.2不同投标人委托同一单位或者个人办理投标事宜；</w:t>
      </w:r>
    </w:p>
    <w:p>
      <w:pPr>
        <w:ind w:firstLine="411" w:firstLineChars="196"/>
        <w:rPr>
          <w:rFonts w:ascii="宋体" w:hAnsi="宋体" w:cs="宋体"/>
          <w:szCs w:val="21"/>
        </w:rPr>
      </w:pPr>
      <w:r>
        <w:rPr>
          <w:rFonts w:hint="eastAsia" w:ascii="宋体" w:hAnsi="宋体" w:cs="宋体"/>
          <w:szCs w:val="21"/>
        </w:rPr>
        <w:t>32.4.3不同投标人的投标文件载明的项目管理成员或者联系人员为同一人；</w:t>
      </w:r>
    </w:p>
    <w:p>
      <w:pPr>
        <w:ind w:firstLine="411" w:firstLineChars="196"/>
        <w:rPr>
          <w:rFonts w:ascii="宋体" w:hAnsi="宋体" w:cs="宋体"/>
          <w:szCs w:val="21"/>
        </w:rPr>
      </w:pPr>
      <w:r>
        <w:rPr>
          <w:rFonts w:hint="eastAsia" w:ascii="宋体" w:hAnsi="宋体" w:cs="宋体"/>
          <w:szCs w:val="21"/>
        </w:rPr>
        <w:t>32.4.4不同投标人的投标文件异常一致或者投标报价呈规律性差异；</w:t>
      </w:r>
    </w:p>
    <w:p>
      <w:pPr>
        <w:ind w:firstLine="411" w:firstLineChars="196"/>
        <w:rPr>
          <w:rFonts w:ascii="宋体" w:hAnsi="宋体" w:cs="宋体"/>
          <w:szCs w:val="21"/>
        </w:rPr>
      </w:pPr>
      <w:r>
        <w:rPr>
          <w:rFonts w:hint="eastAsia" w:ascii="宋体" w:hAnsi="宋体" w:cs="宋体"/>
          <w:szCs w:val="21"/>
        </w:rPr>
        <w:t>32.4.5不同投标供应商的投标文件或部分投标文件相互混装；</w:t>
      </w:r>
    </w:p>
    <w:p>
      <w:pPr>
        <w:ind w:firstLine="411" w:firstLineChars="196"/>
        <w:rPr>
          <w:rFonts w:ascii="宋体" w:hAnsi="宋体" w:cs="宋体"/>
          <w:szCs w:val="21"/>
        </w:rPr>
      </w:pPr>
      <w:r>
        <w:rPr>
          <w:rFonts w:hint="eastAsia" w:ascii="宋体" w:hAnsi="宋体" w:cs="宋体"/>
          <w:szCs w:val="21"/>
        </w:rPr>
        <w:t>32.4.6投标供应商之间相互约定给予未中标的供应商利益补偿；</w:t>
      </w:r>
    </w:p>
    <w:p>
      <w:pPr>
        <w:ind w:firstLine="411" w:firstLineChars="196"/>
        <w:rPr>
          <w:rFonts w:ascii="宋体" w:hAnsi="宋体" w:cs="宋体"/>
          <w:szCs w:val="21"/>
        </w:rPr>
      </w:pPr>
      <w:r>
        <w:rPr>
          <w:rFonts w:hint="eastAsia" w:ascii="宋体" w:hAnsi="宋体" w:cs="宋体"/>
          <w:szCs w:val="21"/>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cs="宋体"/>
          <w:szCs w:val="21"/>
        </w:rPr>
      </w:pPr>
      <w:r>
        <w:rPr>
          <w:rFonts w:hint="eastAsia" w:ascii="宋体" w:hAnsi="宋体" w:cs="宋体"/>
          <w:szCs w:val="21"/>
        </w:rPr>
        <w:t>32.4.8不同投标供应商的投标文件内容存在非正常一致；</w:t>
      </w:r>
    </w:p>
    <w:p>
      <w:pPr>
        <w:ind w:firstLine="411" w:firstLineChars="196"/>
        <w:rPr>
          <w:rFonts w:ascii="宋体" w:hAnsi="宋体" w:cs="宋体"/>
          <w:szCs w:val="21"/>
        </w:rPr>
      </w:pPr>
      <w:r>
        <w:rPr>
          <w:rFonts w:hint="eastAsia" w:ascii="宋体" w:hAnsi="宋体" w:cs="宋体"/>
          <w:szCs w:val="21"/>
        </w:rPr>
        <w:t>32.4.9在同一单位工作人员为两家以上（含两家）供应商进行同一项投标活动；</w:t>
      </w:r>
    </w:p>
    <w:p>
      <w:pPr>
        <w:ind w:firstLine="411" w:firstLineChars="196"/>
        <w:rPr>
          <w:rFonts w:ascii="宋体" w:hAnsi="宋体" w:cs="宋体"/>
          <w:szCs w:val="21"/>
        </w:rPr>
      </w:pPr>
      <w:r>
        <w:rPr>
          <w:rFonts w:hint="eastAsia" w:ascii="宋体" w:hAnsi="宋体" w:cs="宋体"/>
          <w:szCs w:val="21"/>
        </w:rPr>
        <w:t>32.4.10主管部门依照法律、法规认定的其他情形。</w:t>
      </w:r>
    </w:p>
    <w:p>
      <w:pPr>
        <w:ind w:firstLine="411" w:firstLineChars="196"/>
        <w:rPr>
          <w:rFonts w:ascii="宋体" w:hAnsi="宋体" w:cs="宋体"/>
          <w:szCs w:val="21"/>
        </w:rPr>
      </w:pPr>
      <w:r>
        <w:rPr>
          <w:rFonts w:hint="eastAsia" w:ascii="宋体" w:hAnsi="宋体" w:cs="宋体"/>
          <w:szCs w:val="21"/>
        </w:rPr>
        <w:t>32.5对不属于《资格性审查表》和《符合性审查表》所列的其他情形，除专用条款另有规定和32.4条款所列情形外，不得作为投标无效的理由。</w:t>
      </w:r>
    </w:p>
    <w:p>
      <w:pPr>
        <w:rPr>
          <w:rFonts w:ascii="宋体" w:hAnsi="宋体" w:cs="宋体"/>
          <w:szCs w:val="21"/>
        </w:rPr>
      </w:pPr>
      <w:r>
        <w:rPr>
          <w:rFonts w:hint="eastAsia" w:ascii="宋体" w:hAnsi="宋体" w:cs="宋体"/>
          <w:szCs w:val="21"/>
        </w:rPr>
        <w:t>33．澄清有关问题</w:t>
      </w:r>
    </w:p>
    <w:p>
      <w:pPr>
        <w:ind w:firstLine="411" w:firstLineChars="196"/>
        <w:rPr>
          <w:rFonts w:ascii="宋体" w:hAnsi="宋体" w:cs="宋体"/>
          <w:szCs w:val="21"/>
        </w:rPr>
      </w:pPr>
      <w:bookmarkStart w:id="70" w:name="_Hlk71407321"/>
      <w:r>
        <w:rPr>
          <w:rFonts w:hint="eastAsia" w:ascii="宋体" w:hAnsi="宋体" w:cs="宋体"/>
          <w:szCs w:val="21"/>
        </w:rPr>
        <w:t>33.1对招标文件中描述有歧义或前后不一致的地方（不含招标文件存在歧义、重大缺陷导致评审工作无法进行的情况），评审委员会有权进行评判，但对同一条款的评判应适用于每个投标人。</w:t>
      </w:r>
      <w:bookmarkEnd w:id="70"/>
    </w:p>
    <w:p>
      <w:pPr>
        <w:ind w:firstLine="411" w:firstLineChars="196"/>
        <w:rPr>
          <w:rFonts w:ascii="宋体" w:hAnsi="宋体" w:cs="宋体"/>
          <w:szCs w:val="21"/>
        </w:rPr>
      </w:pPr>
      <w:r>
        <w:rPr>
          <w:rFonts w:hint="eastAsia" w:ascii="宋体" w:hAnsi="宋体" w:cs="宋体"/>
          <w:szCs w:val="21"/>
        </w:rPr>
        <w:t>33.2评审委员会发现招标文件存在歧义、重大缺陷导致评审工作无法进行，或者招标文件内容违反国家有关强制性规定的，应当停止评审工作，与</w:t>
      </w:r>
      <w:r>
        <w:rPr>
          <w:rFonts w:hint="eastAsia" w:ascii="宋体" w:hAnsi="宋体" w:cs="宋体"/>
          <w:szCs w:val="21"/>
          <w:lang w:eastAsia="zh-CN"/>
        </w:rPr>
        <w:t>招标采购人</w:t>
      </w:r>
      <w:r>
        <w:rPr>
          <w:rFonts w:hint="eastAsia" w:ascii="宋体" w:hAnsi="宋体" w:cs="宋体"/>
          <w:szCs w:val="21"/>
        </w:rPr>
        <w:t>沟通并作书面记录。经确认后，项目应当修改招标文件，重新组织采购活动。</w:t>
      </w:r>
    </w:p>
    <w:p>
      <w:pPr>
        <w:ind w:firstLine="411" w:firstLineChars="196"/>
        <w:rPr>
          <w:rFonts w:ascii="宋体" w:hAnsi="宋体" w:cs="宋体"/>
          <w:szCs w:val="21"/>
        </w:rPr>
      </w:pPr>
      <w:r>
        <w:rPr>
          <w:rFonts w:hint="eastAsia" w:ascii="宋体" w:hAnsi="宋体" w:cs="宋体"/>
          <w:szCs w:val="21"/>
        </w:rPr>
        <w:t>33.3对于投标文件中含义不明确、同类问题表述不一致或者有明显文字和计算错误的内容，评审委员会应当以书面形式要求投标人作出必要的澄清、说明或者补正。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cs="宋体"/>
          <w:szCs w:val="21"/>
        </w:rPr>
      </w:pPr>
      <w:r>
        <w:rPr>
          <w:rFonts w:hint="eastAsia" w:ascii="宋体" w:hAnsi="宋体" w:cs="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cs="宋体"/>
          <w:szCs w:val="21"/>
        </w:rPr>
      </w:pPr>
      <w:r>
        <w:rPr>
          <w:rFonts w:hint="eastAsia" w:ascii="宋体" w:hAnsi="宋体" w:cs="宋体"/>
          <w:szCs w:val="21"/>
        </w:rPr>
        <w:t>根据本通用条款第34条，凡属于评审委员会在评审中发现的算术错误进行核实的修改不在此列。</w:t>
      </w:r>
    </w:p>
    <w:p>
      <w:pPr>
        <w:rPr>
          <w:rFonts w:ascii="宋体" w:hAnsi="宋体" w:cs="宋体"/>
          <w:szCs w:val="21"/>
        </w:rPr>
      </w:pPr>
      <w:bookmarkStart w:id="71" w:name="_Toc73521581"/>
      <w:bookmarkStart w:id="72" w:name="_Toc73518151"/>
      <w:bookmarkStart w:id="73" w:name="_Toc73521669"/>
      <w:bookmarkStart w:id="74" w:name="_Toc73517673"/>
      <w:bookmarkStart w:id="75" w:name="_Toc100052400"/>
      <w:r>
        <w:rPr>
          <w:rFonts w:hint="eastAsia" w:ascii="宋体" w:hAnsi="宋体" w:cs="宋体"/>
          <w:szCs w:val="21"/>
        </w:rPr>
        <w:t>34．错误的修正</w:t>
      </w:r>
      <w:bookmarkEnd w:id="71"/>
      <w:bookmarkEnd w:id="72"/>
      <w:bookmarkEnd w:id="73"/>
      <w:bookmarkEnd w:id="74"/>
      <w:bookmarkEnd w:id="75"/>
    </w:p>
    <w:p>
      <w:pPr>
        <w:ind w:firstLine="411" w:firstLineChars="196"/>
        <w:rPr>
          <w:rFonts w:ascii="宋体" w:hAnsi="宋体" w:cs="宋体"/>
          <w:szCs w:val="21"/>
        </w:rPr>
      </w:pPr>
      <w:r>
        <w:rPr>
          <w:rFonts w:hint="eastAsia" w:ascii="宋体" w:hAnsi="宋体" w:cs="宋体"/>
          <w:szCs w:val="21"/>
        </w:rPr>
        <w:t>投标文件报价出现前后不一致的，除专用条款另有规定外，按照下列规定修正：</w:t>
      </w:r>
    </w:p>
    <w:p>
      <w:pPr>
        <w:ind w:firstLine="411" w:firstLineChars="196"/>
        <w:rPr>
          <w:rFonts w:ascii="宋体" w:hAnsi="宋体" w:cs="宋体"/>
          <w:szCs w:val="21"/>
        </w:rPr>
      </w:pPr>
      <w:r>
        <w:rPr>
          <w:rFonts w:hint="eastAsia" w:ascii="宋体" w:hAnsi="宋体" w:cs="宋体"/>
          <w:szCs w:val="21"/>
        </w:rPr>
        <w:t>34.1投标文件中开标一览表投标报价内容与投标文件中投标报价相应内容不一致的，以开标一览表为准；</w:t>
      </w:r>
    </w:p>
    <w:p>
      <w:pPr>
        <w:ind w:firstLine="411" w:firstLineChars="196"/>
        <w:rPr>
          <w:rFonts w:ascii="宋体" w:hAnsi="宋体" w:cs="宋体"/>
          <w:szCs w:val="21"/>
        </w:rPr>
      </w:pPr>
      <w:r>
        <w:rPr>
          <w:rFonts w:hint="eastAsia" w:ascii="宋体" w:hAnsi="宋体" w:cs="宋体"/>
          <w:szCs w:val="21"/>
        </w:rPr>
        <w:t>34.2大写金额和小写金额不一致的，以大写金额为准；</w:t>
      </w:r>
    </w:p>
    <w:p>
      <w:pPr>
        <w:ind w:firstLine="411" w:firstLineChars="196"/>
        <w:rPr>
          <w:rFonts w:ascii="宋体" w:hAnsi="宋体" w:cs="宋体"/>
          <w:szCs w:val="21"/>
        </w:rPr>
      </w:pPr>
      <w:r>
        <w:rPr>
          <w:rFonts w:hint="eastAsia" w:ascii="宋体" w:hAnsi="宋体" w:cs="宋体"/>
          <w:szCs w:val="21"/>
        </w:rPr>
        <w:t>34.3单价金额小数点或者百分比有明显错位，以开标一览表的总价为准，并修改单价；</w:t>
      </w:r>
    </w:p>
    <w:p>
      <w:pPr>
        <w:ind w:firstLine="411" w:firstLineChars="196"/>
        <w:rPr>
          <w:rFonts w:ascii="宋体" w:hAnsi="宋体" w:cs="宋体"/>
          <w:szCs w:val="21"/>
        </w:rPr>
      </w:pPr>
      <w:r>
        <w:rPr>
          <w:rFonts w:hint="eastAsia" w:ascii="宋体" w:hAnsi="宋体" w:cs="宋体"/>
          <w:szCs w:val="21"/>
        </w:rPr>
        <w:t>34.4总价金额与按单价汇总金额不一致的，以单价金额计算结果为准。</w:t>
      </w:r>
    </w:p>
    <w:p>
      <w:pPr>
        <w:ind w:firstLine="411" w:firstLineChars="196"/>
        <w:rPr>
          <w:rFonts w:ascii="宋体" w:hAnsi="宋体" w:cs="宋体"/>
          <w:szCs w:val="21"/>
        </w:rPr>
      </w:pPr>
      <w:r>
        <w:rPr>
          <w:rFonts w:hint="eastAsia" w:ascii="宋体" w:hAnsi="宋体" w:cs="宋体"/>
          <w:szCs w:val="21"/>
        </w:rPr>
        <w:t>34.5同时出现两种以上不一致的，按照前款规定的顺序修正。修正后的报价按照本通用条款33条的规定，经投标人确认后产生约束力，投标人不确认的，其投标无效。</w:t>
      </w:r>
    </w:p>
    <w:p>
      <w:pPr>
        <w:rPr>
          <w:rFonts w:ascii="宋体" w:hAnsi="宋体" w:cs="宋体"/>
          <w:szCs w:val="21"/>
        </w:rPr>
      </w:pPr>
      <w:r>
        <w:rPr>
          <w:rFonts w:hint="eastAsia" w:ascii="宋体" w:hAnsi="宋体" w:cs="宋体"/>
          <w:szCs w:val="21"/>
        </w:rPr>
        <w:t>35．投标文件的比较与评价</w:t>
      </w:r>
    </w:p>
    <w:p>
      <w:pPr>
        <w:ind w:firstLine="411" w:firstLineChars="196"/>
        <w:rPr>
          <w:rFonts w:ascii="宋体" w:hAnsi="宋体" w:cs="宋体"/>
          <w:szCs w:val="21"/>
        </w:rPr>
      </w:pPr>
      <w:r>
        <w:rPr>
          <w:rFonts w:hint="eastAsia" w:ascii="宋体" w:hAnsi="宋体" w:cs="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cs="宋体"/>
          <w:szCs w:val="21"/>
        </w:rPr>
      </w:pPr>
      <w:r>
        <w:rPr>
          <w:rFonts w:hint="eastAsia" w:ascii="宋体" w:hAnsi="宋体" w:cs="宋体"/>
          <w:szCs w:val="21"/>
        </w:rPr>
        <w:t>评审委员会成员对需要共同认定的事项存在争议的，应当按照少数服从多数的原则作出结论。持不同意见的评审委员会成员应当书面作出说明，否则视为无异议。</w:t>
      </w:r>
    </w:p>
    <w:p>
      <w:pPr>
        <w:rPr>
          <w:rFonts w:ascii="宋体" w:hAnsi="宋体" w:cs="宋体"/>
          <w:szCs w:val="21"/>
        </w:rPr>
      </w:pPr>
      <w:r>
        <w:rPr>
          <w:rFonts w:hint="eastAsia" w:ascii="宋体" w:hAnsi="宋体" w:cs="宋体"/>
          <w:szCs w:val="21"/>
        </w:rPr>
        <w:t>36. 实地考察或资料查验</w:t>
      </w:r>
    </w:p>
    <w:p>
      <w:pPr>
        <w:ind w:firstLine="411" w:firstLineChars="196"/>
        <w:rPr>
          <w:rFonts w:ascii="宋体" w:hAnsi="宋体" w:cs="宋体"/>
          <w:szCs w:val="21"/>
        </w:rPr>
      </w:pPr>
      <w:r>
        <w:rPr>
          <w:rFonts w:hint="eastAsia" w:ascii="宋体" w:hAnsi="宋体" w:cs="宋体"/>
          <w:szCs w:val="21"/>
        </w:rPr>
        <w:t>36.1在评审过程中，评审委员会有权决定是否对本项目投标人进行实地考察或资料查验（原件）。投标人应随时做好接受实地考察或资料查验的准备。</w:t>
      </w:r>
    </w:p>
    <w:p>
      <w:pPr>
        <w:rPr>
          <w:rFonts w:ascii="宋体" w:hAnsi="宋体" w:cs="宋体"/>
          <w:szCs w:val="21"/>
        </w:rPr>
      </w:pPr>
      <w:r>
        <w:rPr>
          <w:rFonts w:hint="eastAsia" w:ascii="宋体" w:hAnsi="宋体" w:cs="宋体"/>
          <w:szCs w:val="21"/>
        </w:rPr>
        <w:t>37．评审方法</w:t>
      </w:r>
    </w:p>
    <w:p>
      <w:pPr>
        <w:ind w:firstLine="413" w:firstLineChars="196"/>
        <w:rPr>
          <w:rFonts w:ascii="宋体" w:hAnsi="宋体" w:cs="宋体"/>
          <w:b/>
          <w:bCs/>
          <w:szCs w:val="21"/>
        </w:rPr>
      </w:pPr>
      <w:r>
        <w:rPr>
          <w:rFonts w:hint="eastAsia" w:ascii="宋体" w:hAnsi="宋体" w:cs="宋体"/>
          <w:b/>
          <w:bCs/>
          <w:szCs w:val="21"/>
        </w:rPr>
        <w:t>37.1.1最低价法</w:t>
      </w:r>
    </w:p>
    <w:p>
      <w:pPr>
        <w:ind w:firstLine="411" w:firstLineChars="196"/>
        <w:rPr>
          <w:rFonts w:ascii="宋体" w:hAnsi="宋体" w:cs="宋体"/>
          <w:szCs w:val="21"/>
        </w:rPr>
      </w:pPr>
      <w:bookmarkStart w:id="76" w:name="_Hlk72438142"/>
      <w:r>
        <w:rPr>
          <w:rFonts w:hint="eastAsia" w:ascii="宋体" w:hAnsi="宋体" w:cs="宋体"/>
          <w:szCs w:val="21"/>
        </w:rPr>
        <w:t>最低价法，是指完全满足招标文件实质性要求，按照报价由低到高的顺序，依据招标文件中规定的数量或者比例推荐候选中标供应商。</w:t>
      </w:r>
    </w:p>
    <w:p>
      <w:pPr>
        <w:ind w:firstLine="413" w:firstLineChars="196"/>
        <w:rPr>
          <w:rFonts w:ascii="宋体" w:hAnsi="宋体" w:cs="宋体"/>
          <w:b/>
          <w:bCs/>
          <w:szCs w:val="21"/>
        </w:rPr>
      </w:pPr>
      <w:r>
        <w:rPr>
          <w:rFonts w:hint="eastAsia" w:ascii="宋体" w:hAnsi="宋体" w:cs="宋体"/>
          <w:b/>
          <w:bCs/>
          <w:szCs w:val="21"/>
        </w:rPr>
        <w:t>37.1.2综合评分法</w:t>
      </w:r>
    </w:p>
    <w:p>
      <w:pPr>
        <w:ind w:firstLine="411" w:firstLineChars="196"/>
        <w:rPr>
          <w:rFonts w:ascii="宋体" w:hAnsi="宋体" w:cs="宋体"/>
          <w:szCs w:val="21"/>
        </w:rPr>
      </w:pPr>
      <w:r>
        <w:rPr>
          <w:rFonts w:hint="eastAsia" w:ascii="宋体" w:hAnsi="宋体" w:cs="宋体"/>
          <w:szCs w:val="21"/>
        </w:rPr>
        <w:t>综合评分法，是指在满足招标文件全部实质性要求的前提下，按照招标文件中规定的各项因素进行综合评审，评审总得分排名前列的投标人，作为推荐的候选中标供应商。</w:t>
      </w:r>
      <w:bookmarkEnd w:id="76"/>
    </w:p>
    <w:p>
      <w:pPr>
        <w:ind w:firstLine="413" w:firstLineChars="196"/>
        <w:rPr>
          <w:rFonts w:ascii="宋体" w:hAnsi="宋体" w:cs="宋体"/>
          <w:b/>
          <w:bCs/>
          <w:szCs w:val="21"/>
        </w:rPr>
      </w:pPr>
      <w:r>
        <w:rPr>
          <w:rFonts w:hint="eastAsia" w:ascii="宋体" w:hAnsi="宋体" w:cs="宋体"/>
          <w:b/>
          <w:bCs/>
          <w:szCs w:val="21"/>
        </w:rPr>
        <w:t>37.2 本项目采用的评审方法见本项目招标文件第一册“专用条款”的相关内容。</w:t>
      </w:r>
    </w:p>
    <w:p>
      <w:pPr>
        <w:ind w:firstLine="413" w:firstLineChars="196"/>
        <w:rPr>
          <w:rFonts w:ascii="宋体" w:hAnsi="宋体" w:cs="宋体"/>
          <w:b/>
          <w:bCs/>
          <w:szCs w:val="21"/>
        </w:rPr>
      </w:pPr>
      <w:r>
        <w:rPr>
          <w:rFonts w:hint="eastAsia" w:ascii="宋体" w:hAnsi="宋体" w:cs="宋体"/>
          <w:b/>
          <w:bCs/>
          <w:szCs w:val="21"/>
        </w:rPr>
        <w:t>37.3重新评审的情形</w:t>
      </w:r>
    </w:p>
    <w:p>
      <w:pPr>
        <w:ind w:firstLine="411" w:firstLineChars="196"/>
        <w:rPr>
          <w:rFonts w:ascii="宋体" w:hAnsi="宋体" w:cs="宋体"/>
          <w:b/>
          <w:bCs/>
          <w:szCs w:val="21"/>
        </w:rPr>
      </w:pPr>
      <w:r>
        <w:rPr>
          <w:rFonts w:hint="eastAsia" w:ascii="宋体" w:hAnsi="宋体" w:cs="宋体"/>
          <w:kern w:val="0"/>
          <w:szCs w:val="21"/>
        </w:rPr>
        <w:t>评审结果汇总完成后，除下列情形外，任何人不得修改评审结果：</w:t>
      </w:r>
    </w:p>
    <w:p>
      <w:pPr>
        <w:ind w:firstLine="411" w:firstLineChars="196"/>
        <w:rPr>
          <w:rFonts w:ascii="宋体" w:hAnsi="宋体" w:cs="宋体"/>
          <w:kern w:val="0"/>
          <w:szCs w:val="21"/>
        </w:rPr>
      </w:pPr>
      <w:r>
        <w:rPr>
          <w:rFonts w:hint="eastAsia" w:ascii="宋体" w:hAnsi="宋体" w:cs="宋体"/>
          <w:kern w:val="0"/>
          <w:szCs w:val="21"/>
        </w:rPr>
        <w:t>37.3.1分值汇总计算错误的；</w:t>
      </w:r>
    </w:p>
    <w:p>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13" w:firstLineChars="196"/>
        <w:rPr>
          <w:rFonts w:ascii="宋体" w:hAnsi="宋体" w:cs="宋体"/>
          <w:b/>
          <w:bCs/>
          <w:szCs w:val="21"/>
        </w:rPr>
      </w:pPr>
      <w:r>
        <w:rPr>
          <w:rFonts w:hint="eastAsia" w:ascii="宋体" w:hAnsi="宋体" w:cs="宋体"/>
          <w:b/>
          <w:bCs/>
          <w:szCs w:val="21"/>
        </w:rPr>
        <w:t xml:space="preserve"> 37.4重新组建评审委员会的情形</w:t>
      </w:r>
    </w:p>
    <w:p>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pPr>
        <w:pStyle w:val="3"/>
        <w:numPr>
          <w:ilvl w:val="0"/>
          <w:numId w:val="15"/>
        </w:numPr>
        <w:spacing w:beforeLines="50" w:afterLines="50"/>
        <w:ind w:left="562" w:hanging="562"/>
        <w:rPr>
          <w:rFonts w:cs="宋体"/>
          <w:sz w:val="21"/>
          <w:szCs w:val="21"/>
        </w:rPr>
      </w:pPr>
      <w:r>
        <w:rPr>
          <w:rFonts w:hint="eastAsia" w:cs="宋体"/>
          <w:sz w:val="21"/>
          <w:szCs w:val="21"/>
        </w:rPr>
        <w:t>定标及公示</w:t>
      </w:r>
    </w:p>
    <w:p>
      <w:pPr>
        <w:rPr>
          <w:rFonts w:ascii="宋体" w:hAnsi="宋体" w:cs="宋体"/>
          <w:szCs w:val="21"/>
        </w:rPr>
      </w:pPr>
      <w:r>
        <w:rPr>
          <w:rFonts w:hint="eastAsia" w:ascii="宋体" w:hAnsi="宋体" w:cs="宋体"/>
          <w:szCs w:val="21"/>
        </w:rPr>
        <w:t>38．定标方法</w:t>
      </w:r>
    </w:p>
    <w:p>
      <w:pPr>
        <w:ind w:firstLine="411" w:firstLineChars="196"/>
        <w:rPr>
          <w:rFonts w:ascii="宋体" w:hAnsi="宋体" w:cs="宋体"/>
          <w:szCs w:val="21"/>
        </w:rPr>
      </w:pPr>
      <w:bookmarkStart w:id="77" w:name="_Hlk73782795"/>
      <w:r>
        <w:rPr>
          <w:rFonts w:hint="eastAsia" w:ascii="宋体" w:hAnsi="宋体" w:cs="宋体"/>
          <w:szCs w:val="21"/>
        </w:rPr>
        <w:t>38.1非评定分离项目定标方法</w:t>
      </w:r>
    </w:p>
    <w:p>
      <w:pPr>
        <w:ind w:firstLine="411" w:firstLineChars="196"/>
        <w:rPr>
          <w:rFonts w:ascii="宋体" w:hAnsi="宋体" w:cs="宋体"/>
          <w:szCs w:val="21"/>
        </w:rPr>
      </w:pPr>
      <w:r>
        <w:rPr>
          <w:rFonts w:hint="eastAsia" w:ascii="宋体" w:hAnsi="宋体" w:cs="宋体"/>
          <w:szCs w:val="21"/>
        </w:rPr>
        <w:t>38.1.1评审委员会依据本项目招标文件所约定的评审方法进行评审和比较，向</w:t>
      </w:r>
      <w:r>
        <w:rPr>
          <w:rFonts w:hint="eastAsia" w:ascii="宋体" w:hAnsi="宋体" w:cs="宋体"/>
          <w:szCs w:val="21"/>
          <w:lang w:eastAsia="zh-CN"/>
        </w:rPr>
        <w:t>招标采购人</w:t>
      </w:r>
      <w:r>
        <w:rPr>
          <w:rFonts w:hint="eastAsia" w:ascii="宋体" w:hAnsi="宋体" w:cs="宋体"/>
          <w:szCs w:val="21"/>
        </w:rPr>
        <w:t>提交书面评审报告，并根据评审方法比较评价结果从优到劣进行排序，确定候选中标供应商。</w:t>
      </w:r>
    </w:p>
    <w:p>
      <w:pPr>
        <w:ind w:firstLine="411" w:firstLineChars="196"/>
        <w:rPr>
          <w:rFonts w:ascii="宋体" w:hAnsi="宋体" w:cs="宋体"/>
          <w:szCs w:val="21"/>
        </w:rPr>
      </w:pPr>
      <w:r>
        <w:rPr>
          <w:rFonts w:hint="eastAsia" w:ascii="宋体" w:hAnsi="宋体" w:cs="宋体"/>
          <w:szCs w:val="21"/>
        </w:rPr>
        <w:t>38.1.2采用最低价法的，评审结果按投标报价由低到高顺序排列。投标报价相同的并列。投标文件满足招标文件全部实质性要求且投标报价最低的投标人为</w:t>
      </w:r>
      <w:bookmarkStart w:id="78" w:name="_Hlk73821177"/>
      <w:r>
        <w:rPr>
          <w:rFonts w:hint="eastAsia" w:ascii="宋体" w:hAnsi="宋体" w:cs="宋体"/>
          <w:szCs w:val="21"/>
        </w:rPr>
        <w:t>中标供应商（排名第二的投标人为第一替补中标候选人、排名第三的投标人为第二替补中标候选人</w:t>
      </w:r>
      <w:bookmarkEnd w:id="78"/>
      <w:r>
        <w:rPr>
          <w:rFonts w:hint="eastAsia" w:ascii="宋体" w:hAnsi="宋体" w:cs="宋体"/>
          <w:szCs w:val="21"/>
        </w:rPr>
        <w:t>）。</w:t>
      </w:r>
    </w:p>
    <w:p>
      <w:pPr>
        <w:ind w:firstLine="411" w:firstLineChars="196"/>
        <w:rPr>
          <w:rFonts w:ascii="宋体" w:hAnsi="宋体" w:cs="宋体"/>
          <w:szCs w:val="21"/>
        </w:rPr>
      </w:pPr>
      <w:r>
        <w:rPr>
          <w:rFonts w:hint="eastAsia" w:ascii="宋体" w:hAnsi="宋体" w:cs="宋体"/>
          <w:szCs w:val="21"/>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具体操作办法及流程由评审委员会确定。</w:t>
      </w:r>
    </w:p>
    <w:p>
      <w:pPr>
        <w:ind w:firstLine="411" w:firstLineChars="196"/>
        <w:rPr>
          <w:rFonts w:ascii="宋体" w:hAnsi="宋体" w:cs="宋体"/>
          <w:szCs w:val="21"/>
        </w:rPr>
      </w:pPr>
      <w:r>
        <w:rPr>
          <w:rFonts w:hint="eastAsia" w:ascii="宋体" w:hAnsi="宋体" w:cs="宋体"/>
          <w:szCs w:val="21"/>
        </w:rPr>
        <w:t>38.2评定分离项目定标方法</w:t>
      </w:r>
    </w:p>
    <w:p>
      <w:pPr>
        <w:ind w:firstLine="411" w:firstLineChars="196"/>
        <w:rPr>
          <w:rFonts w:ascii="宋体" w:hAnsi="宋体" w:cs="宋体"/>
          <w:szCs w:val="21"/>
        </w:rPr>
      </w:pPr>
      <w:r>
        <w:rPr>
          <w:rFonts w:hint="eastAsia" w:ascii="宋体" w:hAnsi="宋体" w:cs="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rFonts w:ascii="宋体" w:hAnsi="宋体" w:cs="宋体"/>
          <w:szCs w:val="21"/>
        </w:rPr>
      </w:pPr>
      <w:r>
        <w:rPr>
          <w:rFonts w:hint="eastAsia" w:ascii="宋体" w:hAnsi="宋体" w:cs="宋体"/>
          <w:szCs w:val="21"/>
        </w:rPr>
        <w:t xml:space="preserve">38.2.2 </w:t>
      </w:r>
      <w:bookmarkStart w:id="79" w:name="_Hlk71469733"/>
      <w:r>
        <w:rPr>
          <w:rFonts w:hint="eastAsia" w:ascii="宋体" w:hAnsi="宋体" w:cs="宋体"/>
          <w:szCs w:val="21"/>
        </w:rPr>
        <w:t>适用评定分离的政府采购项目，采用综合评分法评审。评审委员会按照评审结果，推荐三个合格的候选中标供应商。</w:t>
      </w:r>
    </w:p>
    <w:p>
      <w:pPr>
        <w:ind w:firstLine="411" w:firstLineChars="196"/>
        <w:rPr>
          <w:rFonts w:ascii="宋体" w:hAnsi="宋体" w:cs="宋体"/>
          <w:szCs w:val="21"/>
        </w:rPr>
      </w:pPr>
      <w:r>
        <w:rPr>
          <w:rFonts w:hint="eastAsia" w:ascii="宋体" w:hAnsi="宋体" w:cs="宋体"/>
          <w:szCs w:val="21"/>
        </w:rPr>
        <w:t>38.2.3</w:t>
      </w:r>
      <w:bookmarkStart w:id="80" w:name="_Hlk71469688"/>
      <w:r>
        <w:rPr>
          <w:rFonts w:hint="eastAsia" w:ascii="宋体" w:hAnsi="宋体" w:cs="宋体"/>
          <w:szCs w:val="21"/>
        </w:rPr>
        <w:t>适用评定分离的政府采购项目，按照自定法确定中标供应商：自定法是指采购人组织定标委员会，由定标委员会在三家候选中标供应商中确定中标供应商。</w:t>
      </w:r>
      <w:bookmarkEnd w:id="79"/>
      <w:bookmarkEnd w:id="80"/>
    </w:p>
    <w:p>
      <w:pPr>
        <w:ind w:firstLine="411" w:firstLineChars="196"/>
        <w:rPr>
          <w:rFonts w:ascii="宋体" w:hAnsi="宋体" w:cs="宋体"/>
          <w:szCs w:val="21"/>
        </w:rPr>
      </w:pPr>
      <w:r>
        <w:rPr>
          <w:rFonts w:hint="eastAsia" w:ascii="宋体" w:hAnsi="宋体" w:cs="宋体"/>
          <w:szCs w:val="21"/>
        </w:rPr>
        <w:t>38.2.4</w:t>
      </w:r>
      <w:r>
        <w:rPr>
          <w:rFonts w:hint="eastAsia" w:ascii="宋体" w:hAnsi="宋体" w:cs="宋体"/>
          <w:szCs w:val="21"/>
          <w:lang w:eastAsia="zh-CN"/>
        </w:rPr>
        <w:t>招标采购人</w:t>
      </w:r>
      <w:r>
        <w:rPr>
          <w:rFonts w:hint="eastAsia" w:ascii="宋体" w:hAnsi="宋体" w:cs="宋体"/>
          <w:szCs w:val="21"/>
        </w:rPr>
        <w:t>应当自评审结束之日起两个工作日内将候选中标供应商名单及其投标文件、评审报告送交采购人。采购人应当安排专人对定标过程进行书面记录，形成定标报告，作为采购文件的组成部分存档，并及时将定标结果反馈</w:t>
      </w:r>
      <w:r>
        <w:rPr>
          <w:rFonts w:hint="eastAsia" w:ascii="宋体" w:hAnsi="宋体" w:cs="宋体"/>
          <w:szCs w:val="21"/>
          <w:lang w:eastAsia="zh-CN"/>
        </w:rPr>
        <w:t>招标采购人</w:t>
      </w:r>
      <w:r>
        <w:rPr>
          <w:rFonts w:hint="eastAsia" w:ascii="宋体" w:hAnsi="宋体" w:cs="宋体"/>
          <w:szCs w:val="21"/>
        </w:rPr>
        <w:t>。具体定标程序及相关要求以按照《深圳市财政局关于印发〈深圳市政府采购评标定标分离管理办法〉的通知》（深财规【2020】1号）执行。</w:t>
      </w:r>
    </w:p>
    <w:p>
      <w:pPr>
        <w:ind w:firstLine="411" w:firstLineChars="196"/>
        <w:rPr>
          <w:rFonts w:ascii="宋体" w:hAnsi="宋体" w:cs="宋体"/>
          <w:szCs w:val="21"/>
        </w:rPr>
      </w:pPr>
      <w:r>
        <w:rPr>
          <w:rFonts w:hint="eastAsia" w:ascii="宋体" w:hAnsi="宋体" w:cs="宋体"/>
          <w:szCs w:val="21"/>
        </w:rPr>
        <w:t>说明：采购人及投标供应商应按照上述方法提前做好相关准备。</w:t>
      </w:r>
    </w:p>
    <w:p>
      <w:pPr>
        <w:ind w:firstLine="411" w:firstLineChars="196"/>
        <w:rPr>
          <w:rFonts w:ascii="宋体" w:hAnsi="宋体" w:cs="宋体"/>
          <w:szCs w:val="21"/>
        </w:rPr>
      </w:pPr>
      <w:r>
        <w:rPr>
          <w:rFonts w:hint="eastAsia" w:ascii="宋体" w:hAnsi="宋体" w:cs="宋体"/>
          <w:szCs w:val="21"/>
        </w:rPr>
        <w:t>38.3专用条款另有规定的，按专用条款相关要求定标。</w:t>
      </w:r>
      <w:bookmarkEnd w:id="77"/>
    </w:p>
    <w:p>
      <w:pPr>
        <w:rPr>
          <w:rFonts w:ascii="宋体" w:hAnsi="宋体" w:cs="宋体"/>
          <w:szCs w:val="21"/>
        </w:rPr>
      </w:pPr>
      <w:r>
        <w:rPr>
          <w:rFonts w:hint="eastAsia" w:ascii="宋体" w:hAnsi="宋体" w:cs="宋体"/>
          <w:szCs w:val="21"/>
        </w:rPr>
        <w:t>39．编写评审报告</w:t>
      </w:r>
    </w:p>
    <w:p>
      <w:pPr>
        <w:ind w:firstLine="411" w:firstLineChars="196"/>
        <w:rPr>
          <w:rFonts w:ascii="宋体" w:hAnsi="宋体" w:cs="宋体"/>
          <w:szCs w:val="21"/>
        </w:rPr>
      </w:pPr>
      <w:r>
        <w:rPr>
          <w:rFonts w:hint="eastAsia" w:ascii="宋体" w:hAnsi="宋体" w:cs="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宋体" w:hAnsi="宋体" w:cs="宋体"/>
          <w:szCs w:val="21"/>
        </w:rPr>
      </w:pPr>
      <w:r>
        <w:rPr>
          <w:rFonts w:hint="eastAsia" w:ascii="宋体" w:hAnsi="宋体" w:cs="宋体"/>
          <w:szCs w:val="21"/>
        </w:rPr>
        <w:t>40．中标公告</w:t>
      </w:r>
    </w:p>
    <w:p>
      <w:pPr>
        <w:ind w:firstLine="411" w:firstLineChars="196"/>
        <w:rPr>
          <w:rFonts w:ascii="宋体" w:hAnsi="宋体" w:cs="宋体"/>
          <w:szCs w:val="21"/>
        </w:rPr>
      </w:pPr>
      <w:r>
        <w:rPr>
          <w:rFonts w:hint="eastAsia" w:ascii="宋体" w:hAnsi="宋体" w:cs="宋体"/>
          <w:szCs w:val="21"/>
        </w:rPr>
        <w:t>40.1</w:t>
      </w:r>
      <w:bookmarkStart w:id="81" w:name="_Hlk72438709"/>
      <w:r>
        <w:rPr>
          <w:rFonts w:hint="eastAsia" w:ascii="宋体" w:hAnsi="宋体" w:cs="宋体"/>
          <w:szCs w:val="21"/>
        </w:rPr>
        <w:t>为体现“公开、公平、公正”的原则，评审结束后经采购人确认（确定）评审结果，</w:t>
      </w:r>
      <w:r>
        <w:rPr>
          <w:rFonts w:hint="eastAsia" w:ascii="宋体" w:hAnsi="宋体" w:cs="宋体"/>
          <w:szCs w:val="21"/>
          <w:lang w:eastAsia="zh-CN"/>
        </w:rPr>
        <w:t>招标采购人</w:t>
      </w:r>
      <w:r>
        <w:rPr>
          <w:rFonts w:hint="eastAsia" w:ascii="宋体" w:hAnsi="宋体" w:cs="宋体"/>
          <w:szCs w:val="21"/>
        </w:rPr>
        <w:t>将在</w:t>
      </w:r>
      <w:r>
        <w:rPr>
          <w:rFonts w:hint="eastAsia" w:ascii="宋体" w:hAnsi="宋体" w:cs="宋体"/>
          <w:szCs w:val="21"/>
          <w:highlight w:val="none"/>
          <w:lang w:val="en-US" w:eastAsia="zh-CN"/>
        </w:rPr>
        <w:t>网站https://www.ft2yy.cn/</w:t>
      </w:r>
      <w:r>
        <w:rPr>
          <w:rFonts w:hint="eastAsia" w:ascii="宋体" w:hAnsi="宋体" w:cs="宋体"/>
          <w:szCs w:val="21"/>
        </w:rPr>
        <w:t>上发布中标结果公告。</w:t>
      </w:r>
      <w:bookmarkEnd w:id="81"/>
      <w:bookmarkStart w:id="82" w:name="_Hlk72438751"/>
      <w:r>
        <w:rPr>
          <w:rFonts w:hint="eastAsia" w:ascii="宋体" w:hAnsi="宋体" w:cs="宋体"/>
          <w:szCs w:val="21"/>
        </w:rPr>
        <w:t>供应商如对评审结果有异议，可在发布公示日期起七个工作日内向</w:t>
      </w:r>
      <w:r>
        <w:rPr>
          <w:rFonts w:hint="eastAsia" w:ascii="宋体" w:hAnsi="宋体" w:cs="宋体"/>
          <w:szCs w:val="21"/>
          <w:lang w:eastAsia="zh-CN"/>
        </w:rPr>
        <w:t>招标采购人</w:t>
      </w:r>
      <w:r>
        <w:rPr>
          <w:rFonts w:hint="eastAsia" w:ascii="宋体" w:hAnsi="宋体" w:cs="宋体"/>
          <w:szCs w:val="21"/>
        </w:rPr>
        <w:t>提出。 监督电话：</w:t>
      </w:r>
      <w:r>
        <w:rPr>
          <w:rFonts w:hint="eastAsia" w:ascii="宋体" w:hAnsi="宋体" w:cs="宋体"/>
          <w:szCs w:val="21"/>
          <w:highlight w:val="none"/>
          <w:lang w:val="en-US" w:eastAsia="zh-CN"/>
        </w:rPr>
        <w:t>0755-83140233</w:t>
      </w:r>
      <w:r>
        <w:rPr>
          <w:rFonts w:hint="eastAsia" w:ascii="宋体" w:hAnsi="宋体" w:cs="宋体"/>
          <w:szCs w:val="21"/>
        </w:rPr>
        <w:t>。若在公示期内未提出质疑，则视为认同该评审结果。</w:t>
      </w:r>
    </w:p>
    <w:bookmarkEnd w:id="82"/>
    <w:p>
      <w:pPr>
        <w:ind w:firstLine="411" w:firstLineChars="196"/>
        <w:rPr>
          <w:rFonts w:ascii="宋体" w:hAnsi="宋体" w:cs="宋体"/>
          <w:szCs w:val="21"/>
        </w:rPr>
      </w:pPr>
      <w:r>
        <w:rPr>
          <w:rFonts w:hint="eastAsia" w:ascii="宋体" w:hAnsi="宋体" w:cs="宋体"/>
          <w:szCs w:val="21"/>
        </w:rPr>
        <w:t>40.2质疑、投诉供应商应保证质疑、投诉内容的真实性和可靠性，并承担相应的法律责任。</w:t>
      </w:r>
    </w:p>
    <w:p>
      <w:pPr>
        <w:rPr>
          <w:rFonts w:ascii="宋体" w:hAnsi="宋体" w:cs="宋体"/>
          <w:szCs w:val="21"/>
        </w:rPr>
      </w:pPr>
      <w:r>
        <w:rPr>
          <w:rFonts w:hint="eastAsia" w:ascii="宋体" w:hAnsi="宋体" w:cs="宋体"/>
          <w:szCs w:val="21"/>
        </w:rPr>
        <w:t>41．中标通知书</w:t>
      </w:r>
    </w:p>
    <w:p>
      <w:pPr>
        <w:ind w:firstLine="411" w:firstLineChars="196"/>
        <w:rPr>
          <w:rFonts w:ascii="宋体" w:hAnsi="宋体" w:cs="宋体"/>
          <w:szCs w:val="21"/>
        </w:rPr>
      </w:pPr>
      <w:r>
        <w:rPr>
          <w:rFonts w:hint="eastAsia" w:ascii="宋体" w:hAnsi="宋体" w:cs="宋体"/>
          <w:szCs w:val="21"/>
        </w:rPr>
        <w:t>41.1</w:t>
      </w:r>
      <w:bookmarkStart w:id="83" w:name="_Hlk72438863"/>
      <w:r>
        <w:rPr>
          <w:rFonts w:hint="eastAsia" w:ascii="宋体" w:hAnsi="宋体" w:cs="宋体"/>
          <w:szCs w:val="21"/>
        </w:rPr>
        <w:t>中标公告公布以后无异常的情况下,中标供应商</w:t>
      </w:r>
      <w:r>
        <w:rPr>
          <w:rFonts w:hint="eastAsia" w:ascii="宋体" w:hAnsi="宋体" w:cs="宋体"/>
          <w:szCs w:val="21"/>
          <w:lang w:eastAsia="zh-CN"/>
        </w:rPr>
        <w:t>到</w:t>
      </w:r>
      <w:r>
        <w:rPr>
          <w:rFonts w:hint="eastAsia" w:ascii="宋体" w:hAnsi="宋体" w:cs="宋体"/>
          <w:szCs w:val="21"/>
        </w:rPr>
        <w:t>采购人</w:t>
      </w:r>
      <w:r>
        <w:rPr>
          <w:rFonts w:hint="eastAsia" w:ascii="宋体" w:hAnsi="宋体" w:cs="宋体"/>
          <w:szCs w:val="21"/>
          <w:lang w:eastAsia="zh-CN"/>
        </w:rPr>
        <w:t>领取</w:t>
      </w:r>
      <w:r>
        <w:rPr>
          <w:rFonts w:hint="eastAsia" w:ascii="宋体" w:hAnsi="宋体" w:cs="宋体"/>
          <w:b/>
          <w:szCs w:val="21"/>
        </w:rPr>
        <w:t>《中标通知书》（</w:t>
      </w:r>
      <w:r>
        <w:rPr>
          <w:rFonts w:hint="eastAsia" w:ascii="宋体" w:hAnsi="宋体" w:cs="宋体"/>
          <w:szCs w:val="21"/>
        </w:rPr>
        <w:t>咨询电话</w:t>
      </w:r>
      <w:r>
        <w:rPr>
          <w:rFonts w:hint="eastAsia" w:ascii="宋体" w:hAnsi="宋体" w:cs="宋体"/>
          <w:color w:val="auto"/>
          <w:szCs w:val="21"/>
          <w:highlight w:val="none"/>
        </w:rPr>
        <w:t>：</w:t>
      </w:r>
      <w:r>
        <w:rPr>
          <w:rFonts w:hint="eastAsia" w:ascii="宋体" w:hAnsi="宋体" w:cs="宋体"/>
          <w:b w:val="0"/>
          <w:bCs w:val="0"/>
          <w:color w:val="auto"/>
          <w:szCs w:val="21"/>
          <w:highlight w:val="none"/>
          <w:lang w:val="en-US" w:eastAsia="zh-CN"/>
        </w:rPr>
        <w:t>0755-83140233</w:t>
      </w:r>
      <w:r>
        <w:rPr>
          <w:rFonts w:hint="eastAsia" w:ascii="宋体" w:hAnsi="宋体" w:cs="宋体"/>
          <w:color w:val="auto"/>
          <w:szCs w:val="21"/>
          <w:highlight w:val="none"/>
          <w:lang w:val="en-US" w:eastAsia="zh-CN"/>
        </w:rPr>
        <w:t xml:space="preserve"> </w:t>
      </w:r>
      <w:r>
        <w:rPr>
          <w:rFonts w:hint="eastAsia" w:ascii="宋体" w:hAnsi="宋体" w:cs="宋体"/>
          <w:szCs w:val="21"/>
        </w:rPr>
        <w:t>）。</w:t>
      </w:r>
      <w:bookmarkEnd w:id="83"/>
    </w:p>
    <w:p>
      <w:pPr>
        <w:ind w:firstLine="411" w:firstLineChars="196"/>
        <w:rPr>
          <w:rFonts w:ascii="宋体" w:hAnsi="宋体" w:cs="宋体"/>
          <w:szCs w:val="21"/>
        </w:rPr>
      </w:pPr>
      <w:r>
        <w:rPr>
          <w:rFonts w:hint="eastAsia" w:ascii="宋体" w:hAnsi="宋体" w:cs="宋体"/>
          <w:szCs w:val="21"/>
        </w:rPr>
        <w:t>41.2中标通知书是合同的重要组成部分。</w:t>
      </w:r>
    </w:p>
    <w:p>
      <w:pPr>
        <w:ind w:firstLine="411" w:firstLineChars="196"/>
        <w:rPr>
          <w:rFonts w:ascii="宋体" w:hAnsi="宋体" w:cs="宋体"/>
          <w:szCs w:val="21"/>
        </w:rPr>
      </w:pPr>
      <w:bookmarkStart w:id="84" w:name="_Hlk71407340"/>
      <w:r>
        <w:rPr>
          <w:rFonts w:hint="eastAsia" w:ascii="宋体" w:hAnsi="宋体" w:cs="宋体"/>
          <w:szCs w:val="21"/>
        </w:rPr>
        <w:t>41.3因质疑投诉或其它原因导致项目结果变更或采购终止的，</w:t>
      </w:r>
      <w:r>
        <w:rPr>
          <w:rFonts w:hint="eastAsia" w:ascii="宋体" w:hAnsi="宋体" w:cs="宋体"/>
          <w:szCs w:val="21"/>
          <w:lang w:eastAsia="zh-CN"/>
        </w:rPr>
        <w:t>招标采购人</w:t>
      </w:r>
      <w:r>
        <w:rPr>
          <w:rFonts w:hint="eastAsia" w:ascii="宋体" w:hAnsi="宋体" w:cs="宋体"/>
          <w:szCs w:val="21"/>
        </w:rPr>
        <w:t>有权吊销中标通知书。</w:t>
      </w:r>
    </w:p>
    <w:bookmarkEnd w:id="84"/>
    <w:p>
      <w:pPr>
        <w:pStyle w:val="3"/>
        <w:numPr>
          <w:ilvl w:val="0"/>
          <w:numId w:val="15"/>
        </w:numPr>
        <w:spacing w:beforeLines="50" w:afterLines="50"/>
        <w:ind w:left="562" w:hanging="562"/>
        <w:rPr>
          <w:rFonts w:cs="宋体"/>
          <w:sz w:val="21"/>
          <w:szCs w:val="21"/>
        </w:rPr>
      </w:pPr>
      <w:r>
        <w:rPr>
          <w:rFonts w:hint="eastAsia" w:cs="宋体"/>
          <w:sz w:val="21"/>
          <w:szCs w:val="21"/>
        </w:rPr>
        <w:t>公开招标失败的后续处理</w:t>
      </w:r>
    </w:p>
    <w:p>
      <w:pPr>
        <w:rPr>
          <w:rFonts w:ascii="宋体" w:hAnsi="宋体" w:cs="宋体"/>
          <w:szCs w:val="21"/>
        </w:rPr>
      </w:pPr>
      <w:r>
        <w:rPr>
          <w:rFonts w:hint="eastAsia" w:ascii="宋体" w:hAnsi="宋体" w:cs="宋体"/>
          <w:szCs w:val="21"/>
        </w:rPr>
        <w:t>42．公开招标失败的处理</w:t>
      </w:r>
    </w:p>
    <w:p>
      <w:pPr>
        <w:ind w:firstLine="411" w:firstLineChars="196"/>
        <w:rPr>
          <w:rFonts w:ascii="宋体" w:hAnsi="宋体" w:cs="宋体"/>
          <w:szCs w:val="21"/>
        </w:rPr>
      </w:pPr>
      <w:r>
        <w:rPr>
          <w:rFonts w:hint="eastAsia" w:ascii="宋体" w:hAnsi="宋体" w:cs="宋体"/>
          <w:szCs w:val="21"/>
        </w:rPr>
        <w:t>42.1本项目公开招标过程中若由于投标截止后实际递交投标文件的供应商数量不足、经评审委员会评审对招标文件作实质响应的供应商不足等原因造成公开招标失败，可由</w:t>
      </w:r>
      <w:r>
        <w:rPr>
          <w:rFonts w:hint="eastAsia" w:ascii="宋体" w:hAnsi="宋体" w:cs="宋体"/>
          <w:szCs w:val="21"/>
          <w:lang w:eastAsia="zh-CN"/>
        </w:rPr>
        <w:t>招标采购人</w:t>
      </w:r>
      <w:r>
        <w:rPr>
          <w:rFonts w:hint="eastAsia" w:ascii="宋体" w:hAnsi="宋体" w:cs="宋体"/>
          <w:szCs w:val="21"/>
        </w:rPr>
        <w:t>重新组织采购。</w:t>
      </w:r>
    </w:p>
    <w:p>
      <w:pPr>
        <w:ind w:firstLine="411" w:firstLineChars="196"/>
        <w:rPr>
          <w:rFonts w:ascii="宋体" w:hAnsi="宋体" w:cs="宋体"/>
          <w:szCs w:val="21"/>
        </w:rPr>
      </w:pPr>
      <w:r>
        <w:rPr>
          <w:rFonts w:hint="eastAsia" w:ascii="宋体" w:hAnsi="宋体" w:cs="宋体"/>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cs="宋体"/>
          <w:szCs w:val="21"/>
        </w:rPr>
      </w:pPr>
      <w:r>
        <w:rPr>
          <w:rFonts w:hint="eastAsia" w:ascii="宋体" w:hAnsi="宋体" w:cs="宋体"/>
          <w:szCs w:val="21"/>
        </w:rPr>
        <w:t>42.3重新组织采购有以下两种组织形式：</w:t>
      </w:r>
    </w:p>
    <w:p>
      <w:pPr>
        <w:ind w:firstLine="411" w:firstLineChars="196"/>
        <w:rPr>
          <w:rFonts w:ascii="宋体" w:hAnsi="宋体" w:cs="宋体"/>
          <w:szCs w:val="21"/>
        </w:rPr>
      </w:pPr>
      <w:r>
        <w:rPr>
          <w:rFonts w:hint="eastAsia" w:ascii="宋体" w:hAnsi="宋体" w:cs="宋体"/>
          <w:szCs w:val="21"/>
        </w:rPr>
        <w:t>（1）由</w:t>
      </w:r>
      <w:r>
        <w:rPr>
          <w:rFonts w:hint="eastAsia" w:ascii="宋体" w:hAnsi="宋体" w:cs="宋体"/>
          <w:szCs w:val="21"/>
          <w:lang w:eastAsia="zh-CN"/>
        </w:rPr>
        <w:t>招标采购人</w:t>
      </w:r>
      <w:r>
        <w:rPr>
          <w:rFonts w:hint="eastAsia" w:ascii="宋体" w:hAnsi="宋体" w:cs="宋体"/>
          <w:szCs w:val="21"/>
        </w:rPr>
        <w:t>重新组织公开招标；</w:t>
      </w:r>
    </w:p>
    <w:p>
      <w:pPr>
        <w:ind w:firstLine="411" w:firstLineChars="196"/>
        <w:rPr>
          <w:rFonts w:ascii="宋体" w:hAnsi="宋体" w:cs="宋体"/>
          <w:szCs w:val="21"/>
        </w:rPr>
      </w:pPr>
      <w:r>
        <w:rPr>
          <w:rFonts w:hint="eastAsia" w:ascii="宋体" w:hAnsi="宋体" w:cs="宋体"/>
          <w:szCs w:val="21"/>
        </w:rPr>
        <w:t>（2）根据实际情况需要向同级财政部门提出非公开招标方式申请，经同级财政部门批准，公开招标失败采购项目可转为竞争性谈判或单一来源谈判方式采购。</w:t>
      </w:r>
    </w:p>
    <w:p>
      <w:pPr>
        <w:ind w:firstLine="411" w:firstLineChars="196"/>
        <w:rPr>
          <w:rFonts w:ascii="宋体" w:hAnsi="宋体" w:cs="宋体"/>
          <w:szCs w:val="21"/>
        </w:rPr>
      </w:pPr>
      <w:r>
        <w:rPr>
          <w:rFonts w:hint="eastAsia" w:ascii="宋体" w:hAnsi="宋体" w:cs="宋体"/>
          <w:szCs w:val="21"/>
        </w:rPr>
        <w:t>42.4公开招标失败的采购项目重新组织公开招标，由</w:t>
      </w:r>
      <w:r>
        <w:rPr>
          <w:rFonts w:hint="eastAsia" w:ascii="宋体" w:hAnsi="宋体" w:cs="宋体"/>
          <w:szCs w:val="21"/>
          <w:lang w:eastAsia="zh-CN"/>
        </w:rPr>
        <w:t>招标采购人</w:t>
      </w:r>
      <w:r>
        <w:rPr>
          <w:rFonts w:hint="eastAsia" w:ascii="宋体" w:hAnsi="宋体" w:cs="宋体"/>
          <w:szCs w:val="21"/>
        </w:rPr>
        <w:t>重新按公开招标流程组织采购活动。</w:t>
      </w:r>
    </w:p>
    <w:p>
      <w:pPr>
        <w:rPr>
          <w:rFonts w:ascii="宋体" w:hAnsi="宋体" w:cs="宋体"/>
          <w:szCs w:val="21"/>
        </w:rPr>
      </w:pPr>
      <w:r>
        <w:rPr>
          <w:rFonts w:hint="eastAsia" w:ascii="宋体" w:hAnsi="宋体" w:cs="宋体"/>
          <w:szCs w:val="21"/>
        </w:rPr>
        <w:t>42.5公开招标失败的采购项目经同级财政部门批准转为竞争性谈判或单一来源谈判方式采购的，按规定要求组织政府采购工作。</w:t>
      </w:r>
    </w:p>
    <w:p>
      <w:pPr>
        <w:pStyle w:val="3"/>
        <w:numPr>
          <w:ilvl w:val="0"/>
          <w:numId w:val="15"/>
        </w:numPr>
        <w:spacing w:beforeLines="50" w:afterLines="50"/>
        <w:ind w:left="562" w:hanging="562"/>
        <w:rPr>
          <w:rFonts w:cs="宋体"/>
          <w:sz w:val="21"/>
          <w:szCs w:val="21"/>
        </w:rPr>
      </w:pPr>
      <w:bookmarkStart w:id="85" w:name="_Hlk72439043"/>
      <w:r>
        <w:rPr>
          <w:rFonts w:hint="eastAsia" w:cs="宋体"/>
          <w:sz w:val="21"/>
          <w:szCs w:val="21"/>
        </w:rPr>
        <w:t>合同的授予与备案</w:t>
      </w:r>
      <w:bookmarkEnd w:id="85"/>
    </w:p>
    <w:p>
      <w:pPr>
        <w:rPr>
          <w:rFonts w:ascii="宋体" w:hAnsi="宋体" w:cs="宋体"/>
          <w:szCs w:val="21"/>
        </w:rPr>
      </w:pPr>
      <w:bookmarkStart w:id="86" w:name="_Toc73517679"/>
      <w:bookmarkStart w:id="87" w:name="_Toc73521586"/>
      <w:bookmarkStart w:id="88" w:name="_Toc100052408"/>
      <w:bookmarkStart w:id="89" w:name="_Toc73518157"/>
      <w:bookmarkStart w:id="90" w:name="_Toc73521674"/>
      <w:bookmarkStart w:id="91" w:name="_Hlk72439088"/>
      <w:r>
        <w:rPr>
          <w:rFonts w:hint="eastAsia" w:ascii="宋体" w:hAnsi="宋体" w:cs="宋体"/>
          <w:szCs w:val="21"/>
        </w:rPr>
        <w:t>43．合同授予标准</w:t>
      </w:r>
      <w:bookmarkEnd w:id="86"/>
      <w:bookmarkEnd w:id="87"/>
      <w:bookmarkEnd w:id="88"/>
      <w:bookmarkEnd w:id="89"/>
      <w:bookmarkEnd w:id="90"/>
    </w:p>
    <w:p>
      <w:pPr>
        <w:ind w:firstLine="411" w:firstLineChars="196"/>
        <w:rPr>
          <w:rFonts w:ascii="宋体" w:hAnsi="宋体" w:cs="宋体"/>
          <w:szCs w:val="21"/>
        </w:rPr>
      </w:pPr>
      <w:r>
        <w:rPr>
          <w:rFonts w:hint="eastAsia" w:ascii="宋体" w:hAnsi="宋体" w:cs="宋体"/>
          <w:szCs w:val="21"/>
        </w:rPr>
        <w:t>本项目的合同将授予经本招标文件规定评审确定的中标供应商。</w:t>
      </w:r>
    </w:p>
    <w:p>
      <w:pPr>
        <w:rPr>
          <w:rFonts w:ascii="宋体" w:hAnsi="宋体" w:cs="宋体"/>
          <w:szCs w:val="21"/>
        </w:rPr>
      </w:pPr>
      <w:bookmarkStart w:id="92" w:name="_Toc73521587"/>
      <w:bookmarkStart w:id="93" w:name="_Toc100052409"/>
      <w:bookmarkStart w:id="94" w:name="_Toc73521675"/>
      <w:bookmarkStart w:id="95" w:name="_Toc73518158"/>
      <w:bookmarkStart w:id="96" w:name="_Toc73517680"/>
      <w:r>
        <w:rPr>
          <w:rFonts w:hint="eastAsia" w:ascii="宋体" w:hAnsi="宋体" w:cs="宋体"/>
          <w:szCs w:val="21"/>
        </w:rPr>
        <w:t>44．</w:t>
      </w:r>
      <w:bookmarkEnd w:id="92"/>
      <w:bookmarkEnd w:id="93"/>
      <w:bookmarkEnd w:id="94"/>
      <w:bookmarkEnd w:id="95"/>
      <w:bookmarkEnd w:id="96"/>
      <w:r>
        <w:rPr>
          <w:rFonts w:hint="eastAsia" w:ascii="宋体" w:hAnsi="宋体" w:cs="宋体"/>
          <w:szCs w:val="21"/>
        </w:rPr>
        <w:t>接受和拒绝任何或所有投标的权力</w:t>
      </w:r>
    </w:p>
    <w:p>
      <w:pPr>
        <w:ind w:firstLine="411" w:firstLineChars="196"/>
        <w:rPr>
          <w:rFonts w:ascii="宋体" w:hAnsi="宋体" w:cs="宋体"/>
          <w:szCs w:val="21"/>
        </w:rPr>
      </w:pPr>
      <w:r>
        <w:rPr>
          <w:rFonts w:hint="eastAsia" w:ascii="宋体" w:hAnsi="宋体" w:cs="宋体"/>
          <w:szCs w:val="21"/>
          <w:lang w:eastAsia="zh-CN"/>
        </w:rPr>
        <w:t>招标采购人</w:t>
      </w:r>
      <w:r>
        <w:rPr>
          <w:rFonts w:hint="eastAsia" w:ascii="宋体" w:hAnsi="宋体" w:cs="宋体"/>
          <w:szCs w:val="21"/>
        </w:rPr>
        <w:t>和采购人保留在投标之前任何时候接受或拒绝任何投标或所有投标，以及宣布招标无效的权力，对受影响的投标人不承担任何责任，也无义务向受影响的投标人解释采取这一行动的理由。</w:t>
      </w:r>
    </w:p>
    <w:p>
      <w:pPr>
        <w:rPr>
          <w:rFonts w:ascii="宋体" w:hAnsi="宋体" w:cs="宋体"/>
          <w:szCs w:val="21"/>
        </w:rPr>
      </w:pPr>
      <w:bookmarkStart w:id="97" w:name="_Toc73521589"/>
      <w:bookmarkStart w:id="98" w:name="_Toc73517682"/>
      <w:bookmarkStart w:id="99" w:name="_Toc73521677"/>
      <w:bookmarkStart w:id="100" w:name="_Toc100052410"/>
      <w:bookmarkStart w:id="101" w:name="_Toc73518160"/>
      <w:r>
        <w:rPr>
          <w:rFonts w:hint="eastAsia" w:ascii="宋体" w:hAnsi="宋体" w:cs="宋体"/>
          <w:szCs w:val="21"/>
        </w:rPr>
        <w:t>45．合同的签订</w:t>
      </w:r>
      <w:bookmarkEnd w:id="97"/>
      <w:bookmarkEnd w:id="98"/>
      <w:bookmarkEnd w:id="99"/>
      <w:bookmarkEnd w:id="100"/>
      <w:bookmarkEnd w:id="101"/>
    </w:p>
    <w:p>
      <w:pPr>
        <w:ind w:firstLine="411" w:firstLineChars="196"/>
        <w:rPr>
          <w:rFonts w:ascii="宋体" w:hAnsi="宋体" w:cs="宋体"/>
          <w:szCs w:val="21"/>
        </w:rPr>
      </w:pPr>
      <w:r>
        <w:rPr>
          <w:rFonts w:hint="eastAsia" w:ascii="宋体" w:hAnsi="宋体" w:cs="宋体"/>
          <w:szCs w:val="21"/>
        </w:rPr>
        <w:t>45.1中标人将于中标通知书发出之日起十个工作日内，按照采购文件（招标文件和投标文件等）内容与采购人签订政府采购合同；合同的实质性内容应当符合招标文件的规定；</w:t>
      </w:r>
    </w:p>
    <w:p>
      <w:pPr>
        <w:ind w:firstLine="411" w:firstLineChars="196"/>
        <w:rPr>
          <w:rFonts w:ascii="宋体" w:hAnsi="宋体" w:cs="宋体"/>
          <w:szCs w:val="21"/>
        </w:rPr>
      </w:pPr>
      <w:r>
        <w:rPr>
          <w:rFonts w:hint="eastAsia" w:ascii="宋体" w:hAnsi="宋体" w:cs="宋体"/>
          <w:szCs w:val="21"/>
        </w:rPr>
        <w:t>45.2中标人如不按本通用条款第45.1款的规定与采购人签订合同，</w:t>
      </w:r>
      <w:r>
        <w:rPr>
          <w:rFonts w:hint="eastAsia" w:ascii="宋体" w:hAnsi="宋体" w:cs="宋体"/>
          <w:kern w:val="0"/>
          <w:szCs w:val="21"/>
        </w:rPr>
        <w:t>情节严重的，由同级财政部门记入供应商诚信档案，予以通报</w:t>
      </w:r>
      <w:r>
        <w:rPr>
          <w:rFonts w:hint="eastAsia" w:ascii="宋体" w:hAnsi="宋体" w:cs="宋体"/>
          <w:szCs w:val="21"/>
        </w:rPr>
        <w:t>；</w:t>
      </w:r>
    </w:p>
    <w:p>
      <w:pPr>
        <w:ind w:firstLine="411" w:firstLineChars="196"/>
        <w:rPr>
          <w:rFonts w:ascii="宋体" w:hAnsi="宋体" w:cs="宋体"/>
          <w:szCs w:val="21"/>
        </w:rPr>
      </w:pPr>
      <w:r>
        <w:rPr>
          <w:rFonts w:hint="eastAsia" w:ascii="宋体" w:hAnsi="宋体" w:cs="宋体"/>
          <w:szCs w:val="21"/>
        </w:rPr>
        <w:t>45.3中标人应当按照合同约定履行义务，完成中标项目，不得将中标项目转让（转包）给他人。</w:t>
      </w:r>
    </w:p>
    <w:p>
      <w:pPr>
        <w:rPr>
          <w:rFonts w:ascii="宋体" w:hAnsi="宋体" w:cs="宋体"/>
          <w:szCs w:val="21"/>
        </w:rPr>
      </w:pPr>
      <w:bookmarkStart w:id="102" w:name="_Toc73517683"/>
      <w:bookmarkStart w:id="103" w:name="_Toc73518161"/>
      <w:bookmarkStart w:id="104" w:name="_Toc100052411"/>
      <w:bookmarkStart w:id="105" w:name="_Toc73521590"/>
      <w:bookmarkStart w:id="106" w:name="_Toc73521678"/>
      <w:r>
        <w:rPr>
          <w:rFonts w:hint="eastAsia" w:ascii="宋体" w:hAnsi="宋体" w:cs="宋体"/>
          <w:szCs w:val="21"/>
        </w:rPr>
        <w:t>46．履约担保</w:t>
      </w:r>
      <w:bookmarkEnd w:id="102"/>
      <w:bookmarkEnd w:id="103"/>
      <w:bookmarkEnd w:id="104"/>
      <w:bookmarkEnd w:id="105"/>
      <w:bookmarkEnd w:id="106"/>
    </w:p>
    <w:p>
      <w:pPr>
        <w:ind w:firstLine="411" w:firstLineChars="196"/>
        <w:rPr>
          <w:rFonts w:ascii="宋体" w:hAnsi="宋体" w:cs="宋体"/>
          <w:szCs w:val="21"/>
        </w:rPr>
      </w:pPr>
      <w:r>
        <w:rPr>
          <w:rFonts w:hint="eastAsia" w:ascii="宋体" w:hAnsi="宋体" w:cs="宋体"/>
          <w:szCs w:val="21"/>
        </w:rPr>
        <w:t>46.1在签订项目合同的同时，中标人应按“对通用条款的补充内容”中规定的金额向采购人提交履约担保；</w:t>
      </w:r>
    </w:p>
    <w:p>
      <w:pPr>
        <w:ind w:firstLine="411" w:firstLineChars="196"/>
        <w:rPr>
          <w:rFonts w:ascii="宋体" w:hAnsi="宋体" w:cs="宋体"/>
          <w:szCs w:val="21"/>
        </w:rPr>
      </w:pPr>
      <w:r>
        <w:rPr>
          <w:rFonts w:hint="eastAsia" w:ascii="宋体" w:hAnsi="宋体" w:cs="宋体"/>
          <w:szCs w:val="21"/>
        </w:rPr>
        <w:t>46.2，允许供应商自主选择以支票、汇票、本票、保函等非现金方式提交履约担保；中标人提交履约担保不是合同签订的前提条件，不要求中标人提供除法律、法规明确规定外的其他担保。</w:t>
      </w:r>
    </w:p>
    <w:p>
      <w:pPr>
        <w:rPr>
          <w:rFonts w:ascii="宋体" w:hAnsi="宋体" w:cs="宋体"/>
          <w:szCs w:val="21"/>
        </w:rPr>
      </w:pPr>
      <w:r>
        <w:rPr>
          <w:rFonts w:hint="eastAsia" w:ascii="宋体" w:hAnsi="宋体" w:cs="宋体"/>
          <w:szCs w:val="21"/>
        </w:rPr>
        <w:t>47. 合同备案</w:t>
      </w:r>
    </w:p>
    <w:p>
      <w:pPr>
        <w:ind w:firstLine="411" w:firstLineChars="196"/>
        <w:rPr>
          <w:rFonts w:ascii="宋体" w:hAnsi="宋体" w:cs="宋体"/>
          <w:szCs w:val="21"/>
        </w:rPr>
      </w:pPr>
      <w:r>
        <w:rPr>
          <w:rFonts w:hint="eastAsia" w:ascii="宋体" w:hAnsi="宋体" w:cs="宋体"/>
          <w:szCs w:val="21"/>
        </w:rPr>
        <w:t>采购人与中标人应于合同签订之日起十日内，由采购人或委托中标人将采购合同副本抄送合同备案工作实施机构备案。</w:t>
      </w:r>
    </w:p>
    <w:p>
      <w:pPr>
        <w:rPr>
          <w:rFonts w:ascii="宋体" w:hAnsi="宋体" w:cs="宋体"/>
          <w:szCs w:val="21"/>
        </w:rPr>
      </w:pPr>
      <w:r>
        <w:rPr>
          <w:rFonts w:hint="eastAsia" w:ascii="宋体" w:hAnsi="宋体" w:cs="宋体"/>
          <w:szCs w:val="21"/>
        </w:rPr>
        <w:t>48. 合同变更</w:t>
      </w:r>
    </w:p>
    <w:p>
      <w:pPr>
        <w:ind w:firstLine="411" w:firstLineChars="196"/>
        <w:rPr>
          <w:rFonts w:ascii="宋体" w:hAnsi="宋体" w:cs="宋体"/>
          <w:szCs w:val="21"/>
        </w:rPr>
      </w:pPr>
      <w:r>
        <w:rPr>
          <w:rFonts w:hint="eastAsia" w:ascii="宋体" w:hAnsi="宋体" w:cs="宋体"/>
          <w:szCs w:val="21"/>
        </w:rPr>
        <w:t>合同变更事宜按《深圳市财政局 深圳市政府采购中心关于进一步加强市本级政府采购合同备案管理工作的通知》（深财购〔2019〕43号）相关规定执行。</w:t>
      </w:r>
    </w:p>
    <w:p>
      <w:pPr>
        <w:rPr>
          <w:rFonts w:ascii="宋体" w:hAnsi="宋体" w:cs="宋体"/>
          <w:szCs w:val="21"/>
        </w:rPr>
      </w:pPr>
      <w:r>
        <w:rPr>
          <w:rFonts w:hint="eastAsia" w:ascii="宋体" w:hAnsi="宋体" w:cs="宋体"/>
          <w:szCs w:val="21"/>
        </w:rPr>
        <w:t>49. 项目验收</w:t>
      </w:r>
    </w:p>
    <w:p>
      <w:pPr>
        <w:widowControl/>
        <w:ind w:right="176" w:firstLine="420"/>
        <w:jc w:val="left"/>
        <w:rPr>
          <w:rFonts w:ascii="宋体" w:hAnsi="宋体" w:cs="宋体"/>
          <w:szCs w:val="21"/>
        </w:rPr>
      </w:pPr>
      <w:r>
        <w:rPr>
          <w:rFonts w:hint="eastAsia" w:ascii="宋体" w:hAnsi="宋体" w:cs="宋体"/>
          <w:szCs w:val="21"/>
        </w:rPr>
        <w:t>49.1采购人应当按照招标文件和合同规定的标准和方法，及时组织验收。</w:t>
      </w:r>
    </w:p>
    <w:p>
      <w:pPr>
        <w:rPr>
          <w:rFonts w:ascii="宋体" w:hAnsi="宋体" w:cs="宋体"/>
          <w:szCs w:val="21"/>
        </w:rPr>
      </w:pPr>
      <w:r>
        <w:rPr>
          <w:rFonts w:hint="eastAsia" w:ascii="宋体" w:hAnsi="宋体" w:cs="宋体"/>
          <w:szCs w:val="21"/>
        </w:rPr>
        <w:t>50. 宣传</w:t>
      </w:r>
    </w:p>
    <w:p>
      <w:pPr>
        <w:ind w:left="210" w:leftChars="100" w:firstLine="411" w:firstLineChars="196"/>
        <w:rPr>
          <w:rFonts w:ascii="宋体" w:hAnsi="宋体" w:cs="宋体"/>
          <w:szCs w:val="21"/>
        </w:rPr>
      </w:pPr>
      <w:r>
        <w:rPr>
          <w:rFonts w:hint="eastAsia" w:ascii="宋体" w:hAnsi="宋体" w:cs="宋体"/>
          <w:szCs w:val="21"/>
        </w:rPr>
        <w:t>凡与政府采购活动有关的宣传或广告，若当中提及政府采购，必须事先将具体对外宣传方案报同级财政部门和</w:t>
      </w:r>
      <w:r>
        <w:rPr>
          <w:rFonts w:hint="eastAsia" w:ascii="宋体" w:hAnsi="宋体" w:cs="宋体"/>
          <w:szCs w:val="21"/>
          <w:lang w:eastAsia="zh-CN"/>
        </w:rPr>
        <w:t>招标采购人</w:t>
      </w:r>
      <w:r>
        <w:rPr>
          <w:rFonts w:hint="eastAsia" w:ascii="宋体" w:hAnsi="宋体" w:cs="宋体"/>
          <w:szCs w:val="21"/>
        </w:rPr>
        <w:t>，并征得其同意。对外市场宣传包括但不限于以下形式：</w:t>
      </w:r>
    </w:p>
    <w:p>
      <w:pPr>
        <w:ind w:left="210" w:leftChars="100" w:firstLine="411" w:firstLineChars="196"/>
        <w:rPr>
          <w:rFonts w:ascii="宋体" w:hAnsi="宋体" w:cs="宋体"/>
          <w:szCs w:val="21"/>
        </w:rPr>
      </w:pPr>
      <w:r>
        <w:rPr>
          <w:rFonts w:hint="eastAsia" w:ascii="宋体" w:hAnsi="宋体" w:cs="宋体"/>
          <w:szCs w:val="21"/>
        </w:rPr>
        <w:t>a.名片、宣传册、广告标语等；</w:t>
      </w:r>
    </w:p>
    <w:p>
      <w:pPr>
        <w:ind w:left="210" w:leftChars="100" w:firstLine="411" w:firstLineChars="196"/>
        <w:rPr>
          <w:rFonts w:ascii="宋体" w:hAnsi="宋体" w:cs="宋体"/>
          <w:szCs w:val="21"/>
        </w:rPr>
      </w:pPr>
      <w:r>
        <w:rPr>
          <w:rFonts w:hint="eastAsia" w:ascii="宋体" w:hAnsi="宋体" w:cs="宋体"/>
          <w:szCs w:val="21"/>
        </w:rPr>
        <w:t>b.案例介绍、推广等；</w:t>
      </w:r>
    </w:p>
    <w:p>
      <w:pPr>
        <w:ind w:left="210" w:leftChars="100" w:firstLine="411" w:firstLineChars="196"/>
        <w:rPr>
          <w:rFonts w:ascii="宋体" w:hAnsi="宋体" w:cs="宋体"/>
          <w:szCs w:val="21"/>
        </w:rPr>
      </w:pPr>
      <w:r>
        <w:rPr>
          <w:rFonts w:hint="eastAsia" w:ascii="宋体" w:hAnsi="宋体" w:cs="宋体"/>
          <w:szCs w:val="21"/>
        </w:rPr>
        <w:t>c.工作人员向其他消费群体宣传。</w:t>
      </w:r>
    </w:p>
    <w:p>
      <w:pPr>
        <w:rPr>
          <w:rFonts w:ascii="宋体" w:hAnsi="宋体" w:cs="宋体"/>
          <w:szCs w:val="21"/>
        </w:rPr>
      </w:pPr>
      <w:r>
        <w:rPr>
          <w:rFonts w:hint="eastAsia" w:ascii="宋体" w:hAnsi="宋体" w:cs="宋体"/>
          <w:szCs w:val="21"/>
        </w:rPr>
        <w:t>51. 供应商违法责任</w:t>
      </w:r>
    </w:p>
    <w:p>
      <w:pPr>
        <w:ind w:firstLine="411" w:firstLineChars="196"/>
        <w:rPr>
          <w:rFonts w:ascii="宋体" w:hAnsi="宋体" w:cs="宋体"/>
          <w:szCs w:val="21"/>
        </w:rPr>
      </w:pPr>
      <w:r>
        <w:rPr>
          <w:rFonts w:hint="eastAsia" w:ascii="宋体" w:hAnsi="宋体" w:cs="宋体"/>
          <w:szCs w:val="21"/>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cs="宋体"/>
          <w:szCs w:val="21"/>
        </w:rPr>
      </w:pPr>
      <w:r>
        <w:rPr>
          <w:rFonts w:hint="eastAsia" w:ascii="宋体" w:hAnsi="宋体" w:cs="宋体"/>
          <w:szCs w:val="21"/>
        </w:rPr>
        <w:t>（1）在采购活动中应当回避而未回避的；</w:t>
      </w:r>
    </w:p>
    <w:p>
      <w:pPr>
        <w:ind w:firstLine="411" w:firstLineChars="196"/>
        <w:rPr>
          <w:rFonts w:ascii="宋体" w:hAnsi="宋体" w:cs="宋体"/>
          <w:szCs w:val="21"/>
        </w:rPr>
      </w:pPr>
      <w:r>
        <w:rPr>
          <w:rFonts w:hint="eastAsia" w:ascii="宋体" w:hAnsi="宋体" w:cs="宋体"/>
          <w:szCs w:val="21"/>
        </w:rPr>
        <w:t>（2）未按本条例规定签订、履行采购合同，造成严重后果的；</w:t>
      </w:r>
    </w:p>
    <w:p>
      <w:pPr>
        <w:ind w:firstLine="411" w:firstLineChars="196"/>
        <w:rPr>
          <w:rFonts w:ascii="宋体" w:hAnsi="宋体" w:cs="宋体"/>
          <w:szCs w:val="21"/>
        </w:rPr>
      </w:pPr>
      <w:r>
        <w:rPr>
          <w:rFonts w:hint="eastAsia" w:ascii="宋体" w:hAnsi="宋体" w:cs="宋体"/>
          <w:szCs w:val="21"/>
        </w:rPr>
        <w:t>（3）隐瞒真实情况，提供虚假资料的；</w:t>
      </w:r>
    </w:p>
    <w:p>
      <w:pPr>
        <w:ind w:firstLine="411" w:firstLineChars="196"/>
        <w:rPr>
          <w:rFonts w:ascii="宋体" w:hAnsi="宋体" w:cs="宋体"/>
          <w:szCs w:val="21"/>
        </w:rPr>
      </w:pPr>
      <w:r>
        <w:rPr>
          <w:rFonts w:hint="eastAsia" w:ascii="宋体" w:hAnsi="宋体" w:cs="宋体"/>
          <w:szCs w:val="21"/>
        </w:rPr>
        <w:t>（4）以非法手段排斥其他供应商参与竞争的；</w:t>
      </w:r>
    </w:p>
    <w:p>
      <w:pPr>
        <w:ind w:firstLine="411" w:firstLineChars="196"/>
        <w:rPr>
          <w:rFonts w:ascii="宋体" w:hAnsi="宋体" w:cs="宋体"/>
          <w:szCs w:val="21"/>
        </w:rPr>
      </w:pPr>
      <w:r>
        <w:rPr>
          <w:rFonts w:hint="eastAsia" w:ascii="宋体" w:hAnsi="宋体" w:cs="宋体"/>
          <w:szCs w:val="21"/>
        </w:rPr>
        <w:t>（5）与其他采购参加人串通投标的；</w:t>
      </w:r>
    </w:p>
    <w:p>
      <w:pPr>
        <w:ind w:firstLine="411" w:firstLineChars="196"/>
        <w:rPr>
          <w:rFonts w:ascii="宋体" w:hAnsi="宋体" w:cs="宋体"/>
          <w:szCs w:val="21"/>
        </w:rPr>
      </w:pPr>
      <w:r>
        <w:rPr>
          <w:rFonts w:hint="eastAsia" w:ascii="宋体" w:hAnsi="宋体" w:cs="宋体"/>
          <w:szCs w:val="21"/>
        </w:rPr>
        <w:t>（6）恶意投诉的；</w:t>
      </w:r>
    </w:p>
    <w:p>
      <w:pPr>
        <w:ind w:firstLine="411" w:firstLineChars="196"/>
        <w:rPr>
          <w:rFonts w:ascii="宋体" w:hAnsi="宋体" w:cs="宋体"/>
          <w:szCs w:val="21"/>
        </w:rPr>
      </w:pPr>
      <w:r>
        <w:rPr>
          <w:rFonts w:hint="eastAsia" w:ascii="宋体" w:hAnsi="宋体" w:cs="宋体"/>
          <w:szCs w:val="21"/>
        </w:rPr>
        <w:t>（7）向采购项目相关人行贿或者提供其他不当利益的；</w:t>
      </w:r>
    </w:p>
    <w:p>
      <w:pPr>
        <w:ind w:firstLine="411" w:firstLineChars="196"/>
        <w:rPr>
          <w:rFonts w:ascii="宋体" w:hAnsi="宋体" w:cs="宋体"/>
          <w:szCs w:val="21"/>
        </w:rPr>
      </w:pPr>
      <w:r>
        <w:rPr>
          <w:rFonts w:hint="eastAsia" w:ascii="宋体" w:hAnsi="宋体" w:cs="宋体"/>
          <w:szCs w:val="21"/>
        </w:rPr>
        <w:t>（8）阻碍、抗拒主管部门监督检查的；</w:t>
      </w:r>
    </w:p>
    <w:p>
      <w:pPr>
        <w:ind w:firstLine="411" w:firstLineChars="196"/>
        <w:rPr>
          <w:rFonts w:ascii="宋体" w:hAnsi="宋体" w:cs="宋体"/>
          <w:szCs w:val="21"/>
        </w:rPr>
      </w:pPr>
      <w:r>
        <w:rPr>
          <w:rFonts w:hint="eastAsia" w:ascii="宋体" w:hAnsi="宋体" w:cs="宋体"/>
          <w:szCs w:val="21"/>
        </w:rPr>
        <w:t>（9）其他违反本条例规定的行为。</w:t>
      </w:r>
    </w:p>
    <w:p>
      <w:pPr>
        <w:ind w:firstLine="411" w:firstLineChars="196"/>
        <w:rPr>
          <w:rFonts w:ascii="宋体" w:hAnsi="宋体" w:cs="宋体"/>
          <w:szCs w:val="21"/>
        </w:rPr>
      </w:pPr>
      <w:r>
        <w:rPr>
          <w:rFonts w:hint="eastAsia" w:ascii="宋体" w:hAnsi="宋体" w:cs="宋体"/>
          <w:szCs w:val="21"/>
        </w:rPr>
        <w:t>51.2 根据《深圳市财政局关于明确政府采购保证金管理工作的通知》（深财购[2019]42号）的要求，供应商在政府采购活动中出现《深圳经济特区政府采购条例实施细则》第八十四条所列情形的，</w:t>
      </w:r>
      <w:bookmarkStart w:id="107" w:name="_Hlk72440769"/>
      <w:r>
        <w:rPr>
          <w:rFonts w:hint="eastAsia" w:ascii="宋体" w:hAnsi="宋体" w:cs="宋体"/>
          <w:szCs w:val="21"/>
        </w:rPr>
        <w:t>采购人或</w:t>
      </w:r>
      <w:bookmarkEnd w:id="107"/>
      <w:r>
        <w:rPr>
          <w:rFonts w:hint="eastAsia" w:ascii="宋体" w:hAnsi="宋体" w:cs="宋体"/>
          <w:szCs w:val="21"/>
          <w:lang w:eastAsia="zh-CN"/>
        </w:rPr>
        <w:t>招标采购人</w:t>
      </w:r>
      <w:r>
        <w:rPr>
          <w:rFonts w:hint="eastAsia" w:ascii="宋体" w:hAnsi="宋体" w:cs="宋体"/>
          <w:szCs w:val="21"/>
        </w:rPr>
        <w:t>可将有关情况报同级财政部门，由财政部门根据实际情况记入供应商诚信档案，予以通报：</w:t>
      </w:r>
    </w:p>
    <w:p>
      <w:pPr>
        <w:ind w:firstLine="411" w:firstLineChars="196"/>
        <w:rPr>
          <w:rFonts w:ascii="宋体" w:hAnsi="宋体" w:cs="宋体"/>
          <w:szCs w:val="21"/>
        </w:rPr>
      </w:pPr>
      <w:r>
        <w:rPr>
          <w:rFonts w:hint="eastAsia" w:ascii="宋体" w:hAnsi="宋体" w:cs="宋体"/>
          <w:szCs w:val="21"/>
        </w:rPr>
        <w:t>（1）投标截止后，撤销投标的；</w:t>
      </w:r>
    </w:p>
    <w:p>
      <w:pPr>
        <w:ind w:firstLine="411" w:firstLineChars="196"/>
        <w:rPr>
          <w:rFonts w:ascii="宋体" w:hAnsi="宋体" w:cs="宋体"/>
          <w:szCs w:val="21"/>
        </w:rPr>
      </w:pPr>
      <w:r>
        <w:rPr>
          <w:rFonts w:hint="eastAsia" w:ascii="宋体" w:hAnsi="宋体" w:cs="宋体"/>
          <w:szCs w:val="21"/>
        </w:rPr>
        <w:t>（2）中标后无正当理由未在规定期限内签订合同的；</w:t>
      </w:r>
    </w:p>
    <w:p>
      <w:pPr>
        <w:ind w:firstLine="411" w:firstLineChars="196"/>
        <w:rPr>
          <w:rFonts w:ascii="宋体" w:hAnsi="宋体" w:cs="宋体"/>
          <w:szCs w:val="21"/>
        </w:rPr>
      </w:pPr>
      <w:r>
        <w:rPr>
          <w:rFonts w:hint="eastAsia" w:ascii="宋体" w:hAnsi="宋体" w:cs="宋体"/>
          <w:szCs w:val="21"/>
        </w:rPr>
        <w:t>（3）将中标项目转让给他人、或者在投标文件中未说明且未经采购人、采购招标机构同意，将中标项目分包给他人的；</w:t>
      </w:r>
    </w:p>
    <w:p>
      <w:pPr>
        <w:ind w:firstLine="411" w:firstLineChars="196"/>
        <w:rPr>
          <w:rFonts w:ascii="宋体" w:hAnsi="宋体" w:cs="宋体"/>
          <w:szCs w:val="21"/>
        </w:rPr>
      </w:pPr>
      <w:r>
        <w:rPr>
          <w:rFonts w:hint="eastAsia" w:ascii="宋体" w:hAnsi="宋体" w:cs="宋体"/>
          <w:szCs w:val="21"/>
        </w:rPr>
        <w:t>（4）拒绝履行合同义务的。</w:t>
      </w:r>
    </w:p>
    <w:bookmarkEnd w:id="91"/>
    <w:p>
      <w:pPr>
        <w:pStyle w:val="3"/>
        <w:numPr>
          <w:ilvl w:val="0"/>
          <w:numId w:val="15"/>
        </w:numPr>
        <w:spacing w:beforeLines="50" w:afterLines="50"/>
        <w:ind w:left="562" w:hanging="562"/>
        <w:rPr>
          <w:rFonts w:cs="宋体"/>
          <w:sz w:val="21"/>
          <w:szCs w:val="21"/>
        </w:rPr>
      </w:pPr>
      <w:r>
        <w:rPr>
          <w:rFonts w:hint="eastAsia" w:cs="宋体"/>
          <w:sz w:val="21"/>
          <w:szCs w:val="21"/>
        </w:rPr>
        <w:t>质疑处理</w:t>
      </w:r>
    </w:p>
    <w:p>
      <w:pPr>
        <w:rPr>
          <w:rFonts w:ascii="宋体" w:hAnsi="宋体" w:cs="宋体"/>
          <w:szCs w:val="21"/>
        </w:rPr>
      </w:pPr>
      <w:bookmarkStart w:id="108" w:name="_Hlk72439706"/>
      <w:r>
        <w:rPr>
          <w:rFonts w:hint="eastAsia" w:ascii="宋体" w:hAnsi="宋体" w:cs="宋体"/>
          <w:szCs w:val="21"/>
        </w:rPr>
        <w:t>52.质疑提出与答复</w:t>
      </w:r>
    </w:p>
    <w:p>
      <w:pPr>
        <w:rPr>
          <w:rFonts w:ascii="宋体" w:hAnsi="宋体" w:cs="宋体"/>
          <w:szCs w:val="21"/>
        </w:rPr>
      </w:pPr>
      <w:r>
        <w:rPr>
          <w:rFonts w:hint="eastAsia" w:ascii="宋体" w:hAnsi="宋体" w:cs="宋体"/>
          <w:szCs w:val="21"/>
        </w:rPr>
        <w:t xml:space="preserve">    52.1提出质疑</w:t>
      </w:r>
    </w:p>
    <w:p>
      <w:pPr>
        <w:rPr>
          <w:rFonts w:ascii="宋体" w:hAnsi="宋体" w:cs="宋体"/>
          <w:szCs w:val="21"/>
        </w:rPr>
      </w:pPr>
      <w:r>
        <w:rPr>
          <w:rFonts w:hint="eastAsia" w:ascii="宋体" w:hAnsi="宋体" w:cs="宋体"/>
          <w:szCs w:val="21"/>
        </w:rPr>
        <w:t xml:space="preserve">    参与政府采购活动的供应商认为自己的权益在采购活动中受到损害的，应当自知道或者应当知道其权益受到损害之日起七个工作日内向采购人、</w:t>
      </w:r>
      <w:r>
        <w:rPr>
          <w:rFonts w:hint="eastAsia" w:ascii="宋体" w:hAnsi="宋体" w:cs="宋体"/>
          <w:szCs w:val="21"/>
          <w:lang w:eastAsia="zh-CN"/>
        </w:rPr>
        <w:t>招标采购人</w:t>
      </w:r>
      <w:r>
        <w:rPr>
          <w:rFonts w:hint="eastAsia" w:ascii="宋体" w:hAnsi="宋体" w:cs="宋体"/>
          <w:szCs w:val="21"/>
        </w:rPr>
        <w:t>以书面形式提出质疑。</w:t>
      </w:r>
    </w:p>
    <w:p>
      <w:pPr>
        <w:rPr>
          <w:rFonts w:ascii="宋体" w:hAnsi="宋体" w:cs="宋体"/>
          <w:szCs w:val="21"/>
        </w:rPr>
      </w:pPr>
      <w:r>
        <w:rPr>
          <w:rFonts w:hint="eastAsia" w:ascii="宋体" w:hAnsi="宋体" w:cs="宋体"/>
          <w:szCs w:val="21"/>
        </w:rPr>
        <w:t xml:space="preserve">    52.2法律依据</w:t>
      </w:r>
    </w:p>
    <w:p>
      <w:pPr>
        <w:rPr>
          <w:rFonts w:ascii="宋体" w:hAnsi="宋体" w:cs="宋体"/>
          <w:szCs w:val="21"/>
        </w:rPr>
      </w:pPr>
      <w:r>
        <w:rPr>
          <w:rFonts w:hint="eastAsia" w:ascii="宋体" w:hAnsi="宋体" w:cs="宋体"/>
          <w:szCs w:val="21"/>
        </w:rPr>
        <w:t xml:space="preserve">    《中华人民共和国政府采购法》、《中华人民共和国政府采购法实施条例》、《深圳经济特区政府采购条例》、《深圳经济特区政府采购条例实施细则》、《政府采购质疑和投诉办法》（财政部令第94号）和其他有关法律法规规定。</w:t>
      </w:r>
    </w:p>
    <w:p>
      <w:pPr>
        <w:rPr>
          <w:rFonts w:ascii="宋体" w:hAnsi="宋体" w:cs="宋体"/>
          <w:szCs w:val="21"/>
        </w:rPr>
      </w:pPr>
      <w:r>
        <w:rPr>
          <w:rFonts w:hint="eastAsia" w:ascii="宋体" w:hAnsi="宋体" w:cs="宋体"/>
          <w:szCs w:val="21"/>
        </w:rPr>
        <w:t>52.3质疑条件</w:t>
      </w:r>
    </w:p>
    <w:p>
      <w:pPr>
        <w:rPr>
          <w:rFonts w:ascii="宋体" w:hAnsi="宋体" w:cs="宋体"/>
          <w:szCs w:val="21"/>
        </w:rPr>
      </w:pPr>
      <w:r>
        <w:rPr>
          <w:rFonts w:hint="eastAsia" w:ascii="宋体" w:hAnsi="宋体" w:cs="宋体"/>
          <w:szCs w:val="21"/>
        </w:rPr>
        <w:t xml:space="preserve">    52.3.1提出质疑的供应商应当是参与所质疑项目采购活动的供应商；</w:t>
      </w:r>
      <w:bookmarkStart w:id="109" w:name="_Hlk75374941"/>
      <w:r>
        <w:rPr>
          <w:rFonts w:hint="eastAsia" w:ascii="宋体" w:hAnsi="宋体" w:cs="宋体"/>
          <w:szCs w:val="21"/>
        </w:rPr>
        <w:t>以联合体形式参与的，质疑应当由组成联合体的所有成员共同提出</w:t>
      </w:r>
      <w:bookmarkEnd w:id="109"/>
      <w:r>
        <w:rPr>
          <w:rFonts w:hint="eastAsia" w:ascii="宋体" w:hAnsi="宋体" w:cs="宋体"/>
          <w:szCs w:val="21"/>
        </w:rPr>
        <w:t>；</w:t>
      </w:r>
    </w:p>
    <w:p>
      <w:pPr>
        <w:rPr>
          <w:rFonts w:ascii="宋体" w:hAnsi="宋体" w:cs="宋体"/>
          <w:szCs w:val="21"/>
        </w:rPr>
      </w:pPr>
      <w:r>
        <w:rPr>
          <w:rFonts w:hint="eastAsia" w:ascii="宋体" w:hAnsi="宋体" w:cs="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ascii="宋体" w:hAnsi="宋体" w:cs="宋体"/>
          <w:szCs w:val="21"/>
        </w:rPr>
      </w:pPr>
      <w:r>
        <w:rPr>
          <w:rFonts w:hint="eastAsia" w:ascii="宋体" w:hAnsi="宋体" w:cs="宋体"/>
          <w:szCs w:val="21"/>
        </w:rPr>
        <w:t>52.3.3应提交书面质疑函，质疑函应当包括以下内容：</w:t>
      </w:r>
    </w:p>
    <w:p>
      <w:pPr>
        <w:ind w:firstLine="420"/>
        <w:rPr>
          <w:rFonts w:ascii="宋体" w:hAnsi="宋体" w:cs="宋体"/>
          <w:szCs w:val="21"/>
        </w:rPr>
      </w:pPr>
      <w:r>
        <w:rPr>
          <w:rFonts w:hint="eastAsia" w:ascii="宋体" w:hAnsi="宋体" w:cs="宋体"/>
          <w:szCs w:val="21"/>
        </w:rPr>
        <w:t>（1）供应商的名称（或者姓名）、地址、邮编、邮箱、联系人及联系电话；</w:t>
      </w:r>
    </w:p>
    <w:p>
      <w:pPr>
        <w:ind w:firstLine="420" w:firstLineChars="200"/>
        <w:rPr>
          <w:rFonts w:ascii="宋体" w:hAnsi="宋体" w:cs="宋体"/>
          <w:szCs w:val="21"/>
        </w:rPr>
      </w:pPr>
      <w:r>
        <w:rPr>
          <w:rFonts w:hint="eastAsia" w:ascii="宋体" w:hAnsi="宋体" w:cs="宋体"/>
          <w:szCs w:val="21"/>
        </w:rPr>
        <w:t>（2）质疑项目的名称、编号；</w:t>
      </w:r>
    </w:p>
    <w:p>
      <w:pPr>
        <w:ind w:firstLine="420" w:firstLineChars="200"/>
        <w:rPr>
          <w:rFonts w:ascii="宋体" w:hAnsi="宋体" w:cs="宋体"/>
          <w:szCs w:val="21"/>
        </w:rPr>
      </w:pPr>
      <w:r>
        <w:rPr>
          <w:rFonts w:hint="eastAsia" w:ascii="宋体" w:hAnsi="宋体" w:cs="宋体"/>
          <w:szCs w:val="21"/>
        </w:rPr>
        <w:t>（3）具体、明确的质疑对象、质疑事项和质疑请求；</w:t>
      </w:r>
    </w:p>
    <w:p>
      <w:pPr>
        <w:ind w:firstLine="420" w:firstLineChars="200"/>
        <w:rPr>
          <w:rFonts w:ascii="宋体" w:hAnsi="宋体" w:cs="宋体"/>
          <w:szCs w:val="21"/>
        </w:rPr>
      </w:pPr>
      <w:r>
        <w:rPr>
          <w:rFonts w:hint="eastAsia" w:ascii="宋体" w:hAnsi="宋体" w:cs="宋体"/>
          <w:szCs w:val="21"/>
        </w:rPr>
        <w:t>（4）因质疑事项而受损害的权益；</w:t>
      </w:r>
    </w:p>
    <w:p>
      <w:pPr>
        <w:ind w:firstLine="420" w:firstLineChars="200"/>
        <w:rPr>
          <w:rFonts w:ascii="宋体" w:hAnsi="宋体" w:cs="宋体"/>
          <w:szCs w:val="21"/>
        </w:rPr>
      </w:pPr>
      <w:r>
        <w:rPr>
          <w:rFonts w:hint="eastAsia" w:ascii="宋体" w:hAnsi="宋体" w:cs="宋体"/>
          <w:szCs w:val="21"/>
        </w:rPr>
        <w:t>（5）事实依据；</w:t>
      </w:r>
    </w:p>
    <w:p>
      <w:pPr>
        <w:ind w:firstLine="420" w:firstLineChars="200"/>
        <w:rPr>
          <w:rFonts w:ascii="宋体" w:hAnsi="宋体" w:cs="宋体"/>
          <w:szCs w:val="21"/>
        </w:rPr>
      </w:pPr>
      <w:r>
        <w:rPr>
          <w:rFonts w:hint="eastAsia" w:ascii="宋体" w:hAnsi="宋体" w:cs="宋体"/>
          <w:szCs w:val="21"/>
        </w:rPr>
        <w:t>（6）必要的法律依据；</w:t>
      </w:r>
    </w:p>
    <w:p>
      <w:pPr>
        <w:ind w:firstLine="420" w:firstLineChars="200"/>
        <w:rPr>
          <w:rFonts w:ascii="宋体" w:hAnsi="宋体" w:cs="宋体"/>
          <w:szCs w:val="21"/>
        </w:rPr>
      </w:pPr>
      <w:r>
        <w:rPr>
          <w:rFonts w:hint="eastAsia" w:ascii="宋体" w:hAnsi="宋体" w:cs="宋体"/>
          <w:szCs w:val="21"/>
        </w:rPr>
        <w:t>（7）提出质疑的日期。</w:t>
      </w:r>
    </w:p>
    <w:p>
      <w:pPr>
        <w:ind w:firstLine="420" w:firstLineChars="200"/>
        <w:rPr>
          <w:rFonts w:ascii="宋体" w:hAnsi="宋体" w:cs="宋体"/>
          <w:szCs w:val="21"/>
        </w:rPr>
      </w:pPr>
      <w:r>
        <w:rPr>
          <w:rFonts w:hint="eastAsia" w:ascii="宋体" w:hAnsi="宋体" w:cs="宋体"/>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cs="宋体"/>
          <w:szCs w:val="21"/>
        </w:rPr>
      </w:pPr>
      <w:r>
        <w:rPr>
          <w:rFonts w:hint="eastAsia" w:ascii="宋体" w:hAnsi="宋体" w:cs="宋体"/>
          <w:szCs w:val="21"/>
        </w:rPr>
        <w:t>52.4提交材料</w:t>
      </w:r>
    </w:p>
    <w:p>
      <w:pPr>
        <w:ind w:firstLine="420" w:firstLineChars="200"/>
        <w:rPr>
          <w:rFonts w:ascii="宋体" w:hAnsi="宋体" w:cs="宋体"/>
          <w:szCs w:val="21"/>
        </w:rPr>
      </w:pPr>
      <w:r>
        <w:rPr>
          <w:rFonts w:hint="eastAsia" w:ascii="宋体" w:hAnsi="宋体" w:cs="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cs="宋体"/>
          <w:szCs w:val="21"/>
        </w:rPr>
      </w:pPr>
      <w:r>
        <w:rPr>
          <w:rFonts w:hint="eastAsia" w:ascii="宋体" w:hAnsi="宋体" w:cs="宋体"/>
          <w:szCs w:val="21"/>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cs="宋体"/>
          <w:szCs w:val="21"/>
        </w:rPr>
      </w:pPr>
      <w:r>
        <w:rPr>
          <w:rFonts w:hint="eastAsia" w:ascii="宋体" w:hAnsi="宋体" w:cs="宋体"/>
          <w:szCs w:val="21"/>
        </w:rPr>
        <w:t>52.5提交方式</w:t>
      </w:r>
    </w:p>
    <w:p>
      <w:pPr>
        <w:ind w:firstLine="420"/>
        <w:rPr>
          <w:rFonts w:ascii="宋体" w:hAnsi="宋体" w:cs="宋体"/>
          <w:szCs w:val="21"/>
        </w:rPr>
      </w:pPr>
      <w:r>
        <w:rPr>
          <w:rFonts w:hint="eastAsia" w:ascii="宋体" w:hAnsi="宋体" w:cs="宋体"/>
          <w:szCs w:val="21"/>
        </w:rPr>
        <w:t>52.5.1供应商现场递交或发送质疑函至</w:t>
      </w:r>
      <w:r>
        <w:rPr>
          <w:rFonts w:hint="eastAsia" w:ascii="宋体" w:hAnsi="宋体" w:cs="宋体"/>
          <w:szCs w:val="21"/>
          <w:highlight w:val="none"/>
          <w:lang w:val="en-US" w:eastAsia="zh-CN"/>
        </w:rPr>
        <w:t>邮箱：luorong2002@163.com</w:t>
      </w:r>
      <w:r>
        <w:rPr>
          <w:rFonts w:hint="eastAsia" w:ascii="宋体" w:hAnsi="宋体" w:cs="宋体"/>
          <w:szCs w:val="21"/>
        </w:rPr>
        <w:t>提出质疑</w:t>
      </w:r>
    </w:p>
    <w:p>
      <w:pPr>
        <w:ind w:firstLine="420" w:firstLineChars="200"/>
        <w:rPr>
          <w:rFonts w:hint="default" w:ascii="宋体" w:hAnsi="宋体" w:eastAsia="宋体" w:cs="宋体"/>
          <w:b/>
          <w:bCs/>
          <w:szCs w:val="21"/>
          <w:highlight w:val="red"/>
          <w:lang w:val="en-US" w:eastAsia="zh-CN"/>
        </w:rPr>
      </w:pPr>
      <w:r>
        <w:rPr>
          <w:rFonts w:hint="eastAsia" w:ascii="宋体" w:hAnsi="宋体" w:cs="宋体"/>
          <w:szCs w:val="21"/>
        </w:rPr>
        <w:t>52.5.2请质疑供应商根据深圳政府采购智慧平台（http://zfcg.szggzy.com/）所发布的质疑函模板填写质疑函并提交质疑材料。</w:t>
      </w:r>
      <w:r>
        <w:rPr>
          <w:rFonts w:hint="eastAsia" w:ascii="宋体" w:hAnsi="宋体" w:cs="宋体"/>
          <w:b w:val="0"/>
          <w:bCs w:val="0"/>
          <w:szCs w:val="21"/>
        </w:rPr>
        <w:t>地址：</w:t>
      </w:r>
      <w:r>
        <w:rPr>
          <w:rFonts w:hint="eastAsia" w:ascii="宋体" w:hAnsi="宋体" w:cs="宋体"/>
          <w:b w:val="0"/>
          <w:bCs w:val="0"/>
          <w:szCs w:val="21"/>
          <w:lang w:eastAsia="zh-CN"/>
        </w:rPr>
        <w:t>深圳市福田区梅林街道中康路</w:t>
      </w:r>
      <w:r>
        <w:rPr>
          <w:rFonts w:hint="eastAsia" w:ascii="宋体" w:hAnsi="宋体" w:cs="宋体"/>
          <w:b w:val="0"/>
          <w:bCs w:val="0"/>
          <w:szCs w:val="21"/>
          <w:lang w:val="en-US" w:eastAsia="zh-CN"/>
        </w:rPr>
        <w:t xml:space="preserve">27号综合楼B座403     </w:t>
      </w:r>
      <w:r>
        <w:rPr>
          <w:rFonts w:hint="eastAsia" w:ascii="宋体" w:hAnsi="宋体" w:cs="宋体"/>
          <w:b w:val="0"/>
          <w:bCs w:val="0"/>
          <w:szCs w:val="21"/>
        </w:rPr>
        <w:t>质疑咨询电话：</w:t>
      </w:r>
      <w:r>
        <w:rPr>
          <w:rFonts w:hint="eastAsia" w:ascii="宋体" w:hAnsi="宋体" w:cs="宋体"/>
          <w:b w:val="0"/>
          <w:bCs w:val="0"/>
          <w:szCs w:val="21"/>
          <w:lang w:val="en-US" w:eastAsia="zh-CN"/>
        </w:rPr>
        <w:t>0755-83140233</w:t>
      </w:r>
    </w:p>
    <w:p>
      <w:pPr>
        <w:ind w:firstLine="420" w:firstLineChars="200"/>
        <w:rPr>
          <w:rFonts w:ascii="宋体" w:hAnsi="宋体" w:cs="宋体"/>
          <w:szCs w:val="21"/>
        </w:rPr>
      </w:pPr>
      <w:r>
        <w:rPr>
          <w:rFonts w:hint="eastAsia" w:ascii="宋体" w:hAnsi="宋体" w:cs="宋体"/>
          <w:szCs w:val="21"/>
        </w:rPr>
        <w:t>52.6收文办理程序</w:t>
      </w:r>
    </w:p>
    <w:p>
      <w:pPr>
        <w:ind w:firstLine="420" w:firstLineChars="200"/>
        <w:rPr>
          <w:rFonts w:ascii="宋体" w:hAnsi="宋体" w:cs="宋体"/>
          <w:szCs w:val="21"/>
        </w:rPr>
      </w:pPr>
      <w:r>
        <w:rPr>
          <w:rFonts w:hint="eastAsia" w:ascii="宋体" w:hAnsi="宋体" w:cs="宋体"/>
          <w:szCs w:val="21"/>
        </w:rPr>
        <w:t>52.6.1供应商提交的质疑符合受理条件的，</w:t>
      </w:r>
      <w:r>
        <w:rPr>
          <w:rFonts w:hint="eastAsia" w:ascii="宋体" w:hAnsi="宋体" w:cs="宋体"/>
          <w:szCs w:val="21"/>
          <w:lang w:eastAsia="zh-CN"/>
        </w:rPr>
        <w:t>招标采购人</w:t>
      </w:r>
      <w:r>
        <w:rPr>
          <w:rFonts w:hint="eastAsia" w:ascii="宋体" w:hAnsi="宋体" w:cs="宋体"/>
          <w:szCs w:val="21"/>
        </w:rPr>
        <w:t>自收到质疑材料之日起即为受理，应当向供应商出具质疑函收文回执并可以要求其递交质疑的法定代表人（负责人）或者授权代理人签署质疑文书送达地址确认书。</w:t>
      </w:r>
    </w:p>
    <w:p>
      <w:pPr>
        <w:ind w:firstLine="420" w:firstLineChars="200"/>
        <w:rPr>
          <w:rFonts w:ascii="宋体" w:hAnsi="宋体" w:cs="宋体"/>
          <w:szCs w:val="21"/>
        </w:rPr>
      </w:pPr>
      <w:r>
        <w:rPr>
          <w:rFonts w:hint="eastAsia" w:ascii="宋体" w:hAnsi="宋体" w:cs="宋体"/>
          <w:szCs w:val="21"/>
        </w:rPr>
        <w:t>52.6.2供应商提交的质疑材料不符合质疑条件的，视情况处理：</w:t>
      </w:r>
    </w:p>
    <w:p>
      <w:pPr>
        <w:ind w:firstLine="420" w:firstLineChars="200"/>
        <w:rPr>
          <w:rFonts w:ascii="宋体" w:hAnsi="宋体" w:cs="宋体"/>
          <w:szCs w:val="21"/>
        </w:rPr>
      </w:pPr>
      <w:r>
        <w:rPr>
          <w:rFonts w:hint="eastAsia" w:ascii="宋体" w:hAnsi="宋体" w:cs="宋体"/>
          <w:szCs w:val="21"/>
        </w:rPr>
        <w:t>供应商提交的质疑材料不全或者未按要求签字或者盖章的，</w:t>
      </w:r>
      <w:r>
        <w:rPr>
          <w:rFonts w:hint="eastAsia" w:ascii="宋体" w:hAnsi="宋体" w:cs="宋体"/>
          <w:szCs w:val="21"/>
          <w:lang w:eastAsia="zh-CN"/>
        </w:rPr>
        <w:t>招标采购人</w:t>
      </w:r>
      <w:r>
        <w:rPr>
          <w:rFonts w:hint="eastAsia" w:ascii="宋体" w:hAnsi="宋体" w:cs="宋体"/>
          <w:szCs w:val="21"/>
        </w:rPr>
        <w:t>应当一次性告知供应商需补正的内容和补正期限。</w:t>
      </w:r>
    </w:p>
    <w:p>
      <w:pPr>
        <w:ind w:firstLine="420" w:firstLineChars="200"/>
        <w:rPr>
          <w:rFonts w:ascii="宋体" w:hAnsi="宋体" w:cs="宋体"/>
          <w:szCs w:val="21"/>
        </w:rPr>
      </w:pPr>
      <w:r>
        <w:rPr>
          <w:rFonts w:hint="eastAsia" w:ascii="宋体" w:hAnsi="宋体" w:cs="宋体"/>
          <w:szCs w:val="21"/>
        </w:rPr>
        <w:t>供应商提交的质疑存在下列情形之一的，不予受理：</w:t>
      </w:r>
    </w:p>
    <w:p>
      <w:pPr>
        <w:ind w:firstLine="420" w:firstLineChars="200"/>
        <w:rPr>
          <w:rFonts w:ascii="宋体" w:hAnsi="宋体" w:cs="宋体"/>
          <w:szCs w:val="21"/>
        </w:rPr>
      </w:pPr>
      <w:r>
        <w:rPr>
          <w:rFonts w:hint="eastAsia" w:ascii="宋体" w:hAnsi="宋体" w:cs="宋体"/>
          <w:szCs w:val="21"/>
        </w:rPr>
        <w:t>（1）质疑主体不满足要求的；</w:t>
      </w:r>
    </w:p>
    <w:p>
      <w:pPr>
        <w:ind w:firstLine="420" w:firstLineChars="200"/>
        <w:rPr>
          <w:rFonts w:ascii="宋体" w:hAnsi="宋体" w:cs="宋体"/>
          <w:szCs w:val="21"/>
        </w:rPr>
      </w:pPr>
      <w:r>
        <w:rPr>
          <w:rFonts w:hint="eastAsia" w:ascii="宋体" w:hAnsi="宋体" w:cs="宋体"/>
          <w:szCs w:val="21"/>
        </w:rPr>
        <w:t>（2）供应商自身权益未受到损害的；</w:t>
      </w:r>
    </w:p>
    <w:p>
      <w:pPr>
        <w:ind w:firstLine="420" w:firstLineChars="200"/>
        <w:rPr>
          <w:rFonts w:ascii="宋体" w:hAnsi="宋体" w:cs="宋体"/>
          <w:szCs w:val="21"/>
        </w:rPr>
      </w:pPr>
      <w:r>
        <w:rPr>
          <w:rFonts w:hint="eastAsia" w:ascii="宋体" w:hAnsi="宋体" w:cs="宋体"/>
          <w:szCs w:val="21"/>
        </w:rPr>
        <w:t>（3）供应商未在法定质疑期限内提出质疑的；</w:t>
      </w:r>
    </w:p>
    <w:p>
      <w:pPr>
        <w:ind w:firstLine="420" w:firstLineChars="200"/>
        <w:rPr>
          <w:rFonts w:ascii="宋体" w:hAnsi="宋体" w:cs="宋体"/>
          <w:szCs w:val="21"/>
        </w:rPr>
      </w:pPr>
      <w:r>
        <w:rPr>
          <w:rFonts w:hint="eastAsia" w:ascii="宋体" w:hAnsi="宋体" w:cs="宋体"/>
          <w:szCs w:val="21"/>
        </w:rPr>
        <w:t>（4）质疑材料不全或者未按要求签字或者盖章的情况下，要求补正后，逾期未补正或者补正后仍不符合规定的；</w:t>
      </w:r>
    </w:p>
    <w:p>
      <w:pPr>
        <w:ind w:firstLine="420" w:firstLineChars="200"/>
        <w:rPr>
          <w:rFonts w:ascii="宋体" w:hAnsi="宋体" w:cs="宋体"/>
          <w:szCs w:val="21"/>
        </w:rPr>
      </w:pPr>
      <w:r>
        <w:rPr>
          <w:rFonts w:hint="eastAsia" w:ascii="宋体" w:hAnsi="宋体" w:cs="宋体"/>
          <w:szCs w:val="21"/>
        </w:rPr>
        <w:t>（5）其他不符合受理条件情形的。</w:t>
      </w:r>
    </w:p>
    <w:p>
      <w:pPr>
        <w:ind w:firstLine="420" w:firstLineChars="200"/>
        <w:rPr>
          <w:rFonts w:ascii="宋体" w:hAnsi="宋体" w:cs="宋体"/>
          <w:szCs w:val="21"/>
        </w:rPr>
      </w:pPr>
      <w:r>
        <w:rPr>
          <w:rFonts w:hint="eastAsia" w:ascii="宋体" w:hAnsi="宋体" w:cs="宋体"/>
          <w:szCs w:val="21"/>
        </w:rPr>
        <w:t>质疑事项不予受理的，</w:t>
      </w:r>
      <w:r>
        <w:rPr>
          <w:rFonts w:hint="eastAsia" w:ascii="宋体" w:hAnsi="宋体" w:cs="宋体"/>
          <w:szCs w:val="21"/>
          <w:lang w:eastAsia="zh-CN"/>
        </w:rPr>
        <w:t>招标采购人</w:t>
      </w:r>
      <w:r>
        <w:rPr>
          <w:rFonts w:hint="eastAsia" w:ascii="宋体" w:hAnsi="宋体" w:cs="宋体"/>
          <w:szCs w:val="21"/>
        </w:rPr>
        <w:t>应当向供应商出具不符合质疑条件告知书。</w:t>
      </w:r>
    </w:p>
    <w:p>
      <w:pPr>
        <w:rPr>
          <w:rFonts w:ascii="宋体" w:hAnsi="宋体" w:cs="宋体"/>
          <w:szCs w:val="21"/>
        </w:rPr>
      </w:pPr>
      <w:r>
        <w:rPr>
          <w:rFonts w:hint="eastAsia" w:ascii="宋体" w:hAnsi="宋体" w:cs="宋体"/>
          <w:szCs w:val="21"/>
        </w:rPr>
        <w:t xml:space="preserve">  52.7质疑答复时限</w:t>
      </w:r>
    </w:p>
    <w:p>
      <w:pPr>
        <w:rPr>
          <w:rFonts w:ascii="宋体" w:hAnsi="宋体" w:cs="宋体"/>
          <w:szCs w:val="21"/>
        </w:rPr>
      </w:pPr>
      <w:r>
        <w:rPr>
          <w:rFonts w:hint="eastAsia" w:ascii="宋体" w:hAnsi="宋体" w:cs="宋体"/>
          <w:szCs w:val="21"/>
        </w:rPr>
        <w:t xml:space="preserve">    自收文之日起七个工作日内。</w:t>
      </w:r>
    </w:p>
    <w:p>
      <w:pPr>
        <w:rPr>
          <w:rFonts w:ascii="宋体" w:hAnsi="宋体" w:cs="宋体"/>
          <w:szCs w:val="21"/>
        </w:rPr>
      </w:pPr>
      <w:r>
        <w:rPr>
          <w:rFonts w:hint="eastAsia" w:ascii="宋体" w:hAnsi="宋体" w:cs="宋体"/>
          <w:szCs w:val="21"/>
        </w:rPr>
        <w:t xml:space="preserve">    52.8投诉</w:t>
      </w:r>
    </w:p>
    <w:p>
      <w:pPr>
        <w:rPr>
          <w:rFonts w:ascii="宋体" w:hAnsi="宋体" w:cs="宋体"/>
          <w:szCs w:val="21"/>
        </w:rPr>
      </w:pPr>
      <w:r>
        <w:rPr>
          <w:rFonts w:hint="eastAsia" w:ascii="宋体" w:hAnsi="宋体" w:cs="宋体"/>
          <w:szCs w:val="21"/>
        </w:rPr>
        <w:t xml:space="preserve">    对质疑答复不满意或者未在规定时间内答复的，提出质疑的供应商可以在答复期满后15个工作日内向我院纪检室投诉。</w:t>
      </w:r>
    </w:p>
    <w:p>
      <w:pPr>
        <w:rPr>
          <w:rFonts w:ascii="宋体" w:hAnsi="宋体" w:cs="宋体"/>
          <w:szCs w:val="21"/>
        </w:rPr>
      </w:pPr>
      <w:r>
        <w:rPr>
          <w:rFonts w:hint="eastAsia" w:ascii="宋体" w:hAnsi="宋体" w:cs="宋体"/>
          <w:szCs w:val="21"/>
        </w:rPr>
        <w:t>53. 质疑后续处理</w:t>
      </w:r>
    </w:p>
    <w:p>
      <w:pPr>
        <w:rPr>
          <w:rFonts w:ascii="宋体" w:hAnsi="宋体" w:cs="宋体"/>
          <w:szCs w:val="21"/>
        </w:rPr>
      </w:pPr>
      <w:r>
        <w:rPr>
          <w:rFonts w:hint="eastAsia" w:ascii="宋体" w:hAnsi="宋体" w:cs="宋体"/>
          <w:szCs w:val="21"/>
        </w:rPr>
        <w:t xml:space="preserve">    53.1供应商质疑不成立，或者成立但未对中标、成交结果构成影响的，继续开展采购活动。</w:t>
      </w:r>
    </w:p>
    <w:p>
      <w:pPr>
        <w:rPr>
          <w:rFonts w:ascii="宋体" w:hAnsi="宋体" w:cs="宋体"/>
          <w:szCs w:val="21"/>
        </w:rPr>
      </w:pPr>
      <w:r>
        <w:rPr>
          <w:rFonts w:hint="eastAsia" w:ascii="宋体" w:hAnsi="宋体" w:cs="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bookmarkEnd w:id="46"/>
      <w:bookmarkEnd w:id="108"/>
    </w:p>
    <w:sectPr>
      <w:headerReference r:id="rId4" w:type="first"/>
      <w:footerReference r:id="rId5" w:type="default"/>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长城仿宋">
    <w:altName w:val="微软雅黑"/>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汉仪中宋简">
    <w:altName w:val="宋体"/>
    <w:panose1 w:val="02010600000101010101"/>
    <w:charset w:val="80"/>
    <w:family w:val="auto"/>
    <w:pitch w:val="default"/>
    <w:sig w:usb0="00000000" w:usb1="00000000" w:usb2="00000012" w:usb3="00000000" w:csb0="00020001" w:csb1="00000000"/>
  </w:font>
  <w:font w:name="Wingdings 2">
    <w:panose1 w:val="05020102010507070707"/>
    <w:charset w:val="02"/>
    <w:family w:val="roman"/>
    <w:pitch w:val="default"/>
    <w:sig w:usb0="00000000" w:usb1="00000000" w:usb2="00000000" w:usb3="00000000" w:csb0="80000000" w:csb1="00000000"/>
  </w:font>
  <w:font w:name="方正粗宋_GBK">
    <w:altName w:val="微软雅黑"/>
    <w:panose1 w:val="00000000000000000000"/>
    <w:charset w:val="86"/>
    <w:family w:val="script"/>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Syastro">
    <w:panose1 w:val="00000400000000000000"/>
    <w:charset w:val="00"/>
    <w:family w:val="auto"/>
    <w:pitch w:val="default"/>
    <w:sig w:usb0="00000001" w:usb1="00000000" w:usb2="00000000" w:usb3="00000000" w:csb0="000001FF" w:csb1="00000000"/>
  </w:font>
  <w:font w:name="Tempus Sans ITC">
    <w:panose1 w:val="04020404030D07020202"/>
    <w:charset w:val="00"/>
    <w:family w:val="auto"/>
    <w:pitch w:val="default"/>
    <w:sig w:usb0="00000003" w:usb1="00000000" w:usb2="00000000" w:usb3="00000000" w:csb0="20000001" w:csb1="00000000"/>
  </w:font>
  <w:font w:name="Swis721 Lt BT">
    <w:panose1 w:val="020B0403020202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Vineta BT">
    <w:panose1 w:val="04020906050602070202"/>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27"/>
                            <w:jc w:val="center"/>
                          </w:pPr>
                          <w:r>
                            <w:fldChar w:fldCharType="begin"/>
                          </w:r>
                          <w:r>
                            <w:instrText xml:space="preserve"> PAGE   \* MERGEFORMAT </w:instrText>
                          </w:r>
                          <w:r>
                            <w:fldChar w:fldCharType="separate"/>
                          </w:r>
                          <w:r>
                            <w:rPr>
                              <w:lang w:val="zh-CN"/>
                            </w:rPr>
                            <w:t>14</w:t>
                          </w:r>
                          <w:r>
                            <w:rPr>
                              <w:lang w:val="zh-CN"/>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&#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8scAtEAAAACAQAADwAAAAAAAAABACAAAAAiAAAA&#10;ZHJzL2Rvd25yZXYueG1sUEsBAhQAFAAAAAgAh07iQDjb38kOAgAADwQAAA4AAAAAAAAAAQAgAAAA&#10;IAEAAGRycy9lMm9Eb2MueG1sUEsFBgAAAAAGAAYAWQEAAKAFAAAAAA==&#10;">
              <v:fill on="f" focussize="0,0"/>
              <v:stroke on="f"/>
              <v:imagedata o:title=""/>
              <o:lock v:ext="edit" aspectratio="f"/>
              <v:textbox inset="0mm,0mm,0mm,0mm" style="mso-fit-shape-to-text:t;">
                <w:txbxContent>
                  <w:p>
                    <w:pPr>
                      <w:pStyle w:val="27"/>
                      <w:jc w:val="center"/>
                    </w:pPr>
                    <w:r>
                      <w:fldChar w:fldCharType="begin"/>
                    </w:r>
                    <w:r>
                      <w:instrText xml:space="preserve"> PAGE   \* MERGEFORMAT </w:instrText>
                    </w:r>
                    <w:r>
                      <w:fldChar w:fldCharType="separate"/>
                    </w:r>
                    <w:r>
                      <w:rPr>
                        <w:lang w:val="zh-CN"/>
                      </w:rPr>
                      <w:t>14</w:t>
                    </w:r>
                    <w:r>
                      <w:rPr>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Pr>
    </w:pPr>
    <w:r>
      <w:t xml:space="preserve">- </w:t>
    </w:r>
    <w:r>
      <w:fldChar w:fldCharType="begin"/>
    </w:r>
    <w:r>
      <w:instrText xml:space="preserve"> PAGE </w:instrText>
    </w:r>
    <w:r>
      <w:fldChar w:fldCharType="separate"/>
    </w:r>
    <w:r>
      <w:t>27</w:t>
    </w:r>
    <w:r>
      <w:fldChar w:fldCharType="end"/>
    </w:r>
    <w:r>
      <w:t xml:space="preserve"> -</w:t>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0"/>
      <w:lvlText w:val="%1."/>
      <w:lvlJc w:val="left"/>
      <w:pPr>
        <w:tabs>
          <w:tab w:val="left" w:pos="7994"/>
        </w:tabs>
        <w:ind w:left="7994" w:leftChars="800" w:hanging="360" w:hangingChars="200"/>
      </w:pPr>
    </w:lvl>
  </w:abstractNum>
  <w:abstractNum w:abstractNumId="1">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2">
    <w:nsid w:val="00000003"/>
    <w:multiLevelType w:val="multilevel"/>
    <w:tmpl w:val="0000000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2"/>
      <w:numFmt w:val="japaneseCounting"/>
      <w:lvlText w:val="%1、"/>
      <w:lvlJc w:val="left"/>
      <w:pPr>
        <w:ind w:left="1428" w:hanging="72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4">
    <w:nsid w:val="00000018"/>
    <w:multiLevelType w:val="multilevel"/>
    <w:tmpl w:val="00000018"/>
    <w:lvl w:ilvl="0" w:tentative="0">
      <w:start w:val="1"/>
      <w:numFmt w:val="chineseCountingThousand"/>
      <w:pStyle w:val="480"/>
      <w:suff w:val="nothing"/>
      <w:lvlText w:val="%1、"/>
      <w:lvlJc w:val="left"/>
      <w:pPr>
        <w:ind w:left="708" w:firstLine="0"/>
      </w:pPr>
      <w:rPr>
        <w:rFonts w:hint="eastAsia"/>
        <w:b/>
        <w:lang w:val="en-US"/>
      </w:rPr>
    </w:lvl>
    <w:lvl w:ilvl="1" w:tentative="0">
      <w:start w:val="1"/>
      <w:numFmt w:val="decimal"/>
      <w:lvlText w:val="%1.%2"/>
      <w:lvlJc w:val="left"/>
      <w:pPr>
        <w:ind w:left="-1" w:firstLine="0"/>
      </w:pPr>
      <w:rPr>
        <w:rFonts w:hint="eastAsia"/>
      </w:rPr>
    </w:lvl>
    <w:lvl w:ilvl="2" w:tentative="0">
      <w:start w:val="1"/>
      <w:numFmt w:val="decimal"/>
      <w:lvlText w:val="%1.%2.%3"/>
      <w:lvlJc w:val="left"/>
      <w:pPr>
        <w:ind w:left="-1" w:firstLine="0"/>
      </w:pPr>
      <w:rPr>
        <w:rFonts w:hint="eastAsia"/>
      </w:rPr>
    </w:lvl>
    <w:lvl w:ilvl="3" w:tentative="0">
      <w:start w:val="1"/>
      <w:numFmt w:val="decimal"/>
      <w:lvlText w:val="%1.%2.%3.%4"/>
      <w:lvlJc w:val="left"/>
      <w:pPr>
        <w:ind w:left="-1" w:firstLine="0"/>
      </w:pPr>
      <w:rPr>
        <w:rFonts w:hint="eastAsia"/>
      </w:rPr>
    </w:lvl>
    <w:lvl w:ilvl="4" w:tentative="0">
      <w:start w:val="1"/>
      <w:numFmt w:val="decimal"/>
      <w:lvlText w:val="%1.%2.%3.%4.%5"/>
      <w:lvlJc w:val="left"/>
      <w:pPr>
        <w:ind w:left="-1" w:firstLine="0"/>
      </w:pPr>
      <w:rPr>
        <w:rFonts w:hint="eastAsia"/>
      </w:rPr>
    </w:lvl>
    <w:lvl w:ilvl="5" w:tentative="0">
      <w:start w:val="1"/>
      <w:numFmt w:val="decimal"/>
      <w:lvlText w:val="%1.%2.%3.%4.%5.%6"/>
      <w:lvlJc w:val="left"/>
      <w:pPr>
        <w:ind w:left="-1" w:firstLine="0"/>
      </w:pPr>
      <w:rPr>
        <w:rFonts w:hint="eastAsia"/>
      </w:rPr>
    </w:lvl>
    <w:lvl w:ilvl="6" w:tentative="0">
      <w:start w:val="1"/>
      <w:numFmt w:val="decimal"/>
      <w:lvlText w:val="%1.%2.%3.%4.%5.%6.%7"/>
      <w:lvlJc w:val="left"/>
      <w:pPr>
        <w:ind w:left="-1" w:firstLine="0"/>
      </w:pPr>
      <w:rPr>
        <w:rFonts w:hint="eastAsia"/>
      </w:rPr>
    </w:lvl>
    <w:lvl w:ilvl="7" w:tentative="0">
      <w:start w:val="1"/>
      <w:numFmt w:val="decimal"/>
      <w:lvlText w:val="%1.%2.%3.%4.%5.%6.%7.%8"/>
      <w:lvlJc w:val="left"/>
      <w:pPr>
        <w:ind w:left="-1" w:firstLine="0"/>
      </w:pPr>
      <w:rPr>
        <w:rFonts w:hint="eastAsia"/>
      </w:rPr>
    </w:lvl>
    <w:lvl w:ilvl="8" w:tentative="0">
      <w:start w:val="1"/>
      <w:numFmt w:val="decimal"/>
      <w:lvlText w:val="%1.%2.%3.%4.%5.%6.%7.%8.%9"/>
      <w:lvlJc w:val="left"/>
      <w:pPr>
        <w:ind w:left="-1" w:firstLine="0"/>
      </w:pPr>
      <w:rPr>
        <w:rFonts w:hint="eastAsia"/>
      </w:rPr>
    </w:lvl>
  </w:abstractNum>
  <w:abstractNum w:abstractNumId="5">
    <w:nsid w:val="12503483"/>
    <w:multiLevelType w:val="multilevel"/>
    <w:tmpl w:val="12503483"/>
    <w:lvl w:ilvl="0" w:tentative="0">
      <w:start w:val="1"/>
      <w:numFmt w:val="bullet"/>
      <w:pStyle w:val="108"/>
      <w:lvlText w:val=""/>
      <w:lvlJc w:val="left"/>
      <w:pPr>
        <w:tabs>
          <w:tab w:val="left" w:pos="420"/>
        </w:tabs>
        <w:ind w:left="420" w:hanging="420"/>
      </w:pPr>
      <w:rPr>
        <w:rFonts w:hint="default" w:ascii="Wingdings" w:hAnsi="Wingdings"/>
      </w:rPr>
    </w:lvl>
    <w:lvl w:ilvl="1" w:tentative="0">
      <w:start w:val="1"/>
      <w:numFmt w:val="bullet"/>
      <w:pStyle w:val="10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76"/>
      <w:lvlText w:val=""/>
      <w:lvlJc w:val="left"/>
      <w:pPr>
        <w:tabs>
          <w:tab w:val="left" w:pos="840"/>
        </w:tabs>
        <w:ind w:left="840" w:hanging="420"/>
      </w:pPr>
      <w:rPr>
        <w:rFonts w:hint="default" w:ascii="Wingdings" w:hAnsi="Wingdings"/>
      </w:rPr>
    </w:lvl>
    <w:lvl w:ilvl="1" w:tentative="0">
      <w:start w:val="1"/>
      <w:numFmt w:val="bullet"/>
      <w:pStyle w:val="77"/>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F395B7B"/>
    <w:multiLevelType w:val="multilevel"/>
    <w:tmpl w:val="2F395B7B"/>
    <w:lvl w:ilvl="0" w:tentative="0">
      <w:start w:val="1"/>
      <w:numFmt w:val="bullet"/>
      <w:pStyle w:val="168"/>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5C946296"/>
    <w:multiLevelType w:val="multilevel"/>
    <w:tmpl w:val="5C946296"/>
    <w:lvl w:ilvl="0" w:tentative="0">
      <w:start w:val="1"/>
      <w:numFmt w:val="decimal"/>
      <w:lvlText w:val="%1."/>
      <w:lvlJc w:val="left"/>
      <w:pPr>
        <w:ind w:left="0" w:hanging="420"/>
      </w:pPr>
      <w:rPr>
        <w:rFonts w:hint="default"/>
        <w:spacing w:val="0"/>
        <w:w w:val="100"/>
        <w:sz w:val="20"/>
      </w:rPr>
    </w:lvl>
    <w:lvl w:ilvl="1" w:tentative="0">
      <w:start w:val="1"/>
      <w:numFmt w:val="decimal"/>
      <w:lvlText w:val="%2、"/>
      <w:lvlJc w:val="left"/>
      <w:pPr>
        <w:ind w:left="360" w:hanging="360"/>
      </w:pPr>
      <w:rPr>
        <w:rFonts w:hint="default"/>
        <w:spacing w:val="0"/>
        <w:w w:val="100"/>
        <w:sz w:val="20"/>
      </w:rPr>
    </w:lvl>
    <w:lvl w:ilvl="2" w:tentative="0">
      <w:start w:val="1"/>
      <w:numFmt w:val="lowerRoman"/>
      <w:lvlText w:val="%3."/>
      <w:lvlJc w:val="right"/>
      <w:pPr>
        <w:ind w:left="1260" w:hanging="420"/>
      </w:pPr>
      <w:rPr>
        <w:rFonts w:hint="default"/>
        <w:spacing w:val="0"/>
        <w:w w:val="100"/>
        <w:sz w:val="20"/>
      </w:rPr>
    </w:lvl>
    <w:lvl w:ilvl="3" w:tentative="0">
      <w:start w:val="1"/>
      <w:numFmt w:val="decimal"/>
      <w:lvlText w:val="%4."/>
      <w:lvlJc w:val="left"/>
      <w:pPr>
        <w:ind w:left="1680" w:hanging="420"/>
      </w:pPr>
      <w:rPr>
        <w:rFonts w:hint="default"/>
        <w:spacing w:val="0"/>
        <w:w w:val="100"/>
        <w:sz w:val="20"/>
      </w:rPr>
    </w:lvl>
    <w:lvl w:ilvl="4" w:tentative="0">
      <w:start w:val="1"/>
      <w:numFmt w:val="lowerLetter"/>
      <w:lvlText w:val="%5)"/>
      <w:lvlJc w:val="left"/>
      <w:pPr>
        <w:ind w:left="2100" w:hanging="420"/>
      </w:pPr>
      <w:rPr>
        <w:rFonts w:hint="default"/>
        <w:spacing w:val="0"/>
        <w:w w:val="100"/>
        <w:sz w:val="20"/>
      </w:rPr>
    </w:lvl>
    <w:lvl w:ilvl="5" w:tentative="0">
      <w:start w:val="1"/>
      <w:numFmt w:val="lowerRoman"/>
      <w:lvlText w:val="%6."/>
      <w:lvlJc w:val="right"/>
      <w:pPr>
        <w:ind w:left="2520" w:hanging="420"/>
      </w:pPr>
      <w:rPr>
        <w:rFonts w:hint="default"/>
        <w:spacing w:val="0"/>
        <w:w w:val="100"/>
        <w:sz w:val="20"/>
      </w:rPr>
    </w:lvl>
    <w:lvl w:ilvl="6" w:tentative="0">
      <w:start w:val="1"/>
      <w:numFmt w:val="decimal"/>
      <w:lvlText w:val="%7."/>
      <w:lvlJc w:val="left"/>
      <w:pPr>
        <w:ind w:left="2940" w:hanging="420"/>
      </w:pPr>
      <w:rPr>
        <w:rFonts w:hint="default"/>
        <w:spacing w:val="0"/>
        <w:w w:val="100"/>
        <w:sz w:val="20"/>
      </w:rPr>
    </w:lvl>
    <w:lvl w:ilvl="7" w:tentative="0">
      <w:start w:val="1"/>
      <w:numFmt w:val="lowerLetter"/>
      <w:lvlText w:val="%8)"/>
      <w:lvlJc w:val="left"/>
      <w:pPr>
        <w:ind w:left="3360" w:hanging="420"/>
      </w:pPr>
      <w:rPr>
        <w:rFonts w:hint="default"/>
        <w:spacing w:val="0"/>
        <w:w w:val="100"/>
        <w:sz w:val="20"/>
      </w:rPr>
    </w:lvl>
    <w:lvl w:ilvl="8" w:tentative="0">
      <w:start w:val="1"/>
      <w:numFmt w:val="lowerRoman"/>
      <w:lvlText w:val="%9."/>
      <w:lvlJc w:val="right"/>
      <w:pPr>
        <w:ind w:left="3780" w:hanging="420"/>
      </w:pPr>
      <w:rPr>
        <w:rFonts w:hint="default"/>
        <w:spacing w:val="0"/>
        <w:w w:val="100"/>
        <w:sz w:val="20"/>
      </w:rPr>
    </w:lvl>
  </w:abstractNum>
  <w:abstractNum w:abstractNumId="9">
    <w:nsid w:val="5C946297"/>
    <w:multiLevelType w:val="multilevel"/>
    <w:tmpl w:val="5C946297"/>
    <w:lvl w:ilvl="0" w:tentative="0">
      <w:start w:val="1"/>
      <w:numFmt w:val="decimal"/>
      <w:lvlText w:val="%1."/>
      <w:lvlJc w:val="left"/>
      <w:pPr>
        <w:ind w:left="0" w:hanging="420"/>
      </w:pPr>
      <w:rPr>
        <w:rFonts w:hint="default"/>
        <w:spacing w:val="0"/>
        <w:w w:val="100"/>
        <w:sz w:val="20"/>
      </w:rPr>
    </w:lvl>
    <w:lvl w:ilvl="1" w:tentative="0">
      <w:start w:val="1"/>
      <w:numFmt w:val="decimal"/>
      <w:lvlText w:val="%2、"/>
      <w:lvlJc w:val="left"/>
      <w:pPr>
        <w:ind w:left="360" w:hanging="360"/>
      </w:pPr>
      <w:rPr>
        <w:rFonts w:hint="default"/>
        <w:spacing w:val="0"/>
        <w:w w:val="100"/>
        <w:sz w:val="20"/>
      </w:rPr>
    </w:lvl>
    <w:lvl w:ilvl="2" w:tentative="0">
      <w:start w:val="1"/>
      <w:numFmt w:val="lowerRoman"/>
      <w:lvlText w:val="%3."/>
      <w:lvlJc w:val="right"/>
      <w:pPr>
        <w:ind w:left="1260" w:hanging="420"/>
      </w:pPr>
      <w:rPr>
        <w:rFonts w:hint="default"/>
        <w:spacing w:val="0"/>
        <w:w w:val="100"/>
        <w:sz w:val="20"/>
      </w:rPr>
    </w:lvl>
    <w:lvl w:ilvl="3" w:tentative="0">
      <w:start w:val="1"/>
      <w:numFmt w:val="decimal"/>
      <w:lvlText w:val="%4."/>
      <w:lvlJc w:val="left"/>
      <w:pPr>
        <w:ind w:left="1680" w:hanging="420"/>
      </w:pPr>
      <w:rPr>
        <w:rFonts w:hint="default"/>
        <w:spacing w:val="0"/>
        <w:w w:val="100"/>
        <w:sz w:val="20"/>
      </w:rPr>
    </w:lvl>
    <w:lvl w:ilvl="4" w:tentative="0">
      <w:start w:val="1"/>
      <w:numFmt w:val="lowerLetter"/>
      <w:lvlText w:val="%5)"/>
      <w:lvlJc w:val="left"/>
      <w:pPr>
        <w:ind w:left="2100" w:hanging="420"/>
      </w:pPr>
      <w:rPr>
        <w:rFonts w:hint="default"/>
        <w:spacing w:val="0"/>
        <w:w w:val="100"/>
        <w:sz w:val="20"/>
      </w:rPr>
    </w:lvl>
    <w:lvl w:ilvl="5" w:tentative="0">
      <w:start w:val="1"/>
      <w:numFmt w:val="lowerRoman"/>
      <w:lvlText w:val="%6."/>
      <w:lvlJc w:val="right"/>
      <w:pPr>
        <w:ind w:left="2520" w:hanging="420"/>
      </w:pPr>
      <w:rPr>
        <w:rFonts w:hint="default"/>
        <w:spacing w:val="0"/>
        <w:w w:val="100"/>
        <w:sz w:val="20"/>
      </w:rPr>
    </w:lvl>
    <w:lvl w:ilvl="6" w:tentative="0">
      <w:start w:val="1"/>
      <w:numFmt w:val="decimal"/>
      <w:lvlText w:val="%7."/>
      <w:lvlJc w:val="left"/>
      <w:pPr>
        <w:ind w:left="2940" w:hanging="420"/>
      </w:pPr>
      <w:rPr>
        <w:rFonts w:hint="default"/>
        <w:spacing w:val="0"/>
        <w:w w:val="100"/>
        <w:sz w:val="20"/>
      </w:rPr>
    </w:lvl>
    <w:lvl w:ilvl="7" w:tentative="0">
      <w:start w:val="1"/>
      <w:numFmt w:val="lowerLetter"/>
      <w:lvlText w:val="%8)"/>
      <w:lvlJc w:val="left"/>
      <w:pPr>
        <w:ind w:left="3360" w:hanging="420"/>
      </w:pPr>
      <w:rPr>
        <w:rFonts w:hint="default"/>
        <w:spacing w:val="0"/>
        <w:w w:val="100"/>
        <w:sz w:val="20"/>
      </w:rPr>
    </w:lvl>
    <w:lvl w:ilvl="8" w:tentative="0">
      <w:start w:val="1"/>
      <w:numFmt w:val="lowerRoman"/>
      <w:lvlText w:val="%9."/>
      <w:lvlJc w:val="right"/>
      <w:pPr>
        <w:ind w:left="3780" w:hanging="420"/>
      </w:pPr>
      <w:rPr>
        <w:rFonts w:hint="default"/>
        <w:spacing w:val="0"/>
        <w:w w:val="100"/>
        <w:sz w:val="20"/>
      </w:rPr>
    </w:lvl>
  </w:abstractNum>
  <w:abstractNum w:abstractNumId="10">
    <w:nsid w:val="5C946298"/>
    <w:multiLevelType w:val="multilevel"/>
    <w:tmpl w:val="5C946298"/>
    <w:lvl w:ilvl="0" w:tentative="0">
      <w:start w:val="1"/>
      <w:numFmt w:val="decimal"/>
      <w:lvlText w:val="%1."/>
      <w:lvlJc w:val="left"/>
      <w:pPr>
        <w:ind w:left="0" w:hanging="420"/>
      </w:pPr>
      <w:rPr>
        <w:rFonts w:hint="default"/>
        <w:spacing w:val="0"/>
        <w:w w:val="100"/>
        <w:sz w:val="20"/>
      </w:rPr>
    </w:lvl>
    <w:lvl w:ilvl="1" w:tentative="0">
      <w:start w:val="1"/>
      <w:numFmt w:val="decimal"/>
      <w:lvlText w:val="%2、"/>
      <w:lvlJc w:val="left"/>
      <w:pPr>
        <w:ind w:left="360" w:hanging="360"/>
      </w:pPr>
      <w:rPr>
        <w:rFonts w:hint="default"/>
        <w:spacing w:val="0"/>
        <w:w w:val="100"/>
        <w:sz w:val="20"/>
      </w:rPr>
    </w:lvl>
    <w:lvl w:ilvl="2" w:tentative="0">
      <w:start w:val="1"/>
      <w:numFmt w:val="lowerRoman"/>
      <w:lvlText w:val="%3."/>
      <w:lvlJc w:val="right"/>
      <w:pPr>
        <w:ind w:left="1260" w:hanging="420"/>
      </w:pPr>
      <w:rPr>
        <w:rFonts w:hint="default"/>
        <w:spacing w:val="0"/>
        <w:w w:val="100"/>
        <w:sz w:val="20"/>
      </w:rPr>
    </w:lvl>
    <w:lvl w:ilvl="3" w:tentative="0">
      <w:start w:val="1"/>
      <w:numFmt w:val="decimal"/>
      <w:lvlText w:val="%4."/>
      <w:lvlJc w:val="left"/>
      <w:pPr>
        <w:ind w:left="1680" w:hanging="420"/>
      </w:pPr>
      <w:rPr>
        <w:rFonts w:hint="default"/>
        <w:spacing w:val="0"/>
        <w:w w:val="100"/>
        <w:sz w:val="20"/>
      </w:rPr>
    </w:lvl>
    <w:lvl w:ilvl="4" w:tentative="0">
      <w:start w:val="1"/>
      <w:numFmt w:val="lowerLetter"/>
      <w:lvlText w:val="%5)"/>
      <w:lvlJc w:val="left"/>
      <w:pPr>
        <w:ind w:left="2100" w:hanging="420"/>
      </w:pPr>
      <w:rPr>
        <w:rFonts w:hint="default"/>
        <w:spacing w:val="0"/>
        <w:w w:val="100"/>
        <w:sz w:val="20"/>
      </w:rPr>
    </w:lvl>
    <w:lvl w:ilvl="5" w:tentative="0">
      <w:start w:val="1"/>
      <w:numFmt w:val="lowerRoman"/>
      <w:lvlText w:val="%6."/>
      <w:lvlJc w:val="right"/>
      <w:pPr>
        <w:ind w:left="2520" w:hanging="420"/>
      </w:pPr>
      <w:rPr>
        <w:rFonts w:hint="default"/>
        <w:spacing w:val="0"/>
        <w:w w:val="100"/>
        <w:sz w:val="20"/>
      </w:rPr>
    </w:lvl>
    <w:lvl w:ilvl="6" w:tentative="0">
      <w:start w:val="1"/>
      <w:numFmt w:val="decimal"/>
      <w:lvlText w:val="%7."/>
      <w:lvlJc w:val="left"/>
      <w:pPr>
        <w:ind w:left="2940" w:hanging="420"/>
      </w:pPr>
      <w:rPr>
        <w:rFonts w:hint="default"/>
        <w:spacing w:val="0"/>
        <w:w w:val="100"/>
        <w:sz w:val="20"/>
      </w:rPr>
    </w:lvl>
    <w:lvl w:ilvl="7" w:tentative="0">
      <w:start w:val="1"/>
      <w:numFmt w:val="lowerLetter"/>
      <w:lvlText w:val="%8)"/>
      <w:lvlJc w:val="left"/>
      <w:pPr>
        <w:ind w:left="3360" w:hanging="420"/>
      </w:pPr>
      <w:rPr>
        <w:rFonts w:hint="default"/>
        <w:spacing w:val="0"/>
        <w:w w:val="100"/>
        <w:sz w:val="20"/>
      </w:rPr>
    </w:lvl>
    <w:lvl w:ilvl="8" w:tentative="0">
      <w:start w:val="1"/>
      <w:numFmt w:val="lowerRoman"/>
      <w:lvlText w:val="%9."/>
      <w:lvlJc w:val="right"/>
      <w:pPr>
        <w:ind w:left="3780" w:hanging="420"/>
      </w:pPr>
      <w:rPr>
        <w:rFonts w:hint="default"/>
        <w:spacing w:val="0"/>
        <w:w w:val="100"/>
        <w:sz w:val="20"/>
      </w:rPr>
    </w:lvl>
  </w:abstractNum>
  <w:abstractNum w:abstractNumId="11">
    <w:nsid w:val="5C946299"/>
    <w:multiLevelType w:val="multilevel"/>
    <w:tmpl w:val="5C946299"/>
    <w:lvl w:ilvl="0" w:tentative="0">
      <w:start w:val="1"/>
      <w:numFmt w:val="decimal"/>
      <w:lvlText w:val="%1."/>
      <w:lvlJc w:val="left"/>
      <w:pPr>
        <w:ind w:left="0" w:hanging="420"/>
      </w:pPr>
      <w:rPr>
        <w:rFonts w:hint="default"/>
        <w:spacing w:val="0"/>
        <w:w w:val="100"/>
        <w:sz w:val="20"/>
      </w:rPr>
    </w:lvl>
    <w:lvl w:ilvl="1" w:tentative="0">
      <w:start w:val="1"/>
      <w:numFmt w:val="decimal"/>
      <w:lvlText w:val="%2、"/>
      <w:lvlJc w:val="left"/>
      <w:pPr>
        <w:ind w:left="360" w:hanging="360"/>
      </w:pPr>
      <w:rPr>
        <w:rFonts w:hint="default"/>
        <w:spacing w:val="0"/>
        <w:w w:val="100"/>
        <w:sz w:val="20"/>
      </w:rPr>
    </w:lvl>
    <w:lvl w:ilvl="2" w:tentative="0">
      <w:start w:val="1"/>
      <w:numFmt w:val="lowerRoman"/>
      <w:lvlText w:val="%3."/>
      <w:lvlJc w:val="right"/>
      <w:pPr>
        <w:ind w:left="1260" w:hanging="420"/>
      </w:pPr>
      <w:rPr>
        <w:rFonts w:hint="default"/>
        <w:spacing w:val="0"/>
        <w:w w:val="100"/>
        <w:sz w:val="20"/>
      </w:rPr>
    </w:lvl>
    <w:lvl w:ilvl="3" w:tentative="0">
      <w:start w:val="1"/>
      <w:numFmt w:val="decimal"/>
      <w:lvlText w:val="%4."/>
      <w:lvlJc w:val="left"/>
      <w:pPr>
        <w:ind w:left="1680" w:hanging="420"/>
      </w:pPr>
      <w:rPr>
        <w:rFonts w:hint="default"/>
        <w:spacing w:val="0"/>
        <w:w w:val="100"/>
        <w:sz w:val="20"/>
      </w:rPr>
    </w:lvl>
    <w:lvl w:ilvl="4" w:tentative="0">
      <w:start w:val="1"/>
      <w:numFmt w:val="lowerLetter"/>
      <w:lvlText w:val="%5)"/>
      <w:lvlJc w:val="left"/>
      <w:pPr>
        <w:ind w:left="2100" w:hanging="420"/>
      </w:pPr>
      <w:rPr>
        <w:rFonts w:hint="default"/>
        <w:spacing w:val="0"/>
        <w:w w:val="100"/>
        <w:sz w:val="20"/>
      </w:rPr>
    </w:lvl>
    <w:lvl w:ilvl="5" w:tentative="0">
      <w:start w:val="1"/>
      <w:numFmt w:val="lowerRoman"/>
      <w:lvlText w:val="%6."/>
      <w:lvlJc w:val="right"/>
      <w:pPr>
        <w:ind w:left="2520" w:hanging="420"/>
      </w:pPr>
      <w:rPr>
        <w:rFonts w:hint="default"/>
        <w:spacing w:val="0"/>
        <w:w w:val="100"/>
        <w:sz w:val="20"/>
      </w:rPr>
    </w:lvl>
    <w:lvl w:ilvl="6" w:tentative="0">
      <w:start w:val="1"/>
      <w:numFmt w:val="decimal"/>
      <w:lvlText w:val="%7."/>
      <w:lvlJc w:val="left"/>
      <w:pPr>
        <w:ind w:left="2940" w:hanging="420"/>
      </w:pPr>
      <w:rPr>
        <w:rFonts w:hint="default"/>
        <w:spacing w:val="0"/>
        <w:w w:val="100"/>
        <w:sz w:val="20"/>
      </w:rPr>
    </w:lvl>
    <w:lvl w:ilvl="7" w:tentative="0">
      <w:start w:val="1"/>
      <w:numFmt w:val="lowerLetter"/>
      <w:lvlText w:val="%8)"/>
      <w:lvlJc w:val="left"/>
      <w:pPr>
        <w:ind w:left="3360" w:hanging="420"/>
      </w:pPr>
      <w:rPr>
        <w:rFonts w:hint="default"/>
        <w:spacing w:val="0"/>
        <w:w w:val="100"/>
        <w:sz w:val="20"/>
      </w:rPr>
    </w:lvl>
    <w:lvl w:ilvl="8" w:tentative="0">
      <w:start w:val="1"/>
      <w:numFmt w:val="lowerRoman"/>
      <w:lvlText w:val="%9."/>
      <w:lvlJc w:val="right"/>
      <w:pPr>
        <w:ind w:left="3780" w:hanging="420"/>
      </w:pPr>
      <w:rPr>
        <w:rFonts w:hint="default"/>
        <w:spacing w:val="0"/>
        <w:w w:val="100"/>
        <w:sz w:val="20"/>
      </w:rPr>
    </w:lvl>
  </w:abstractNum>
  <w:abstractNum w:abstractNumId="12">
    <w:nsid w:val="5C94629A"/>
    <w:multiLevelType w:val="multilevel"/>
    <w:tmpl w:val="5C94629A"/>
    <w:lvl w:ilvl="0" w:tentative="0">
      <w:start w:val="1"/>
      <w:numFmt w:val="decimal"/>
      <w:lvlText w:val="%1."/>
      <w:lvlJc w:val="left"/>
      <w:pPr>
        <w:ind w:left="0" w:hanging="420"/>
      </w:pPr>
      <w:rPr>
        <w:rFonts w:hint="default"/>
        <w:spacing w:val="0"/>
        <w:w w:val="100"/>
        <w:sz w:val="20"/>
      </w:rPr>
    </w:lvl>
    <w:lvl w:ilvl="1" w:tentative="0">
      <w:start w:val="1"/>
      <w:numFmt w:val="lowerLetter"/>
      <w:lvlText w:val="%2)"/>
      <w:lvlJc w:val="left"/>
      <w:pPr>
        <w:ind w:left="840" w:hanging="420"/>
      </w:pPr>
      <w:rPr>
        <w:rFonts w:hint="default"/>
        <w:spacing w:val="0"/>
        <w:w w:val="100"/>
        <w:sz w:val="20"/>
      </w:rPr>
    </w:lvl>
    <w:lvl w:ilvl="2" w:tentative="0">
      <w:start w:val="1"/>
      <w:numFmt w:val="lowerRoman"/>
      <w:lvlText w:val="%3."/>
      <w:lvlJc w:val="right"/>
      <w:pPr>
        <w:ind w:left="1260" w:hanging="420"/>
      </w:pPr>
      <w:rPr>
        <w:rFonts w:hint="default"/>
        <w:spacing w:val="0"/>
        <w:w w:val="100"/>
        <w:sz w:val="20"/>
      </w:rPr>
    </w:lvl>
    <w:lvl w:ilvl="3" w:tentative="0">
      <w:start w:val="1"/>
      <w:numFmt w:val="decimal"/>
      <w:lvlText w:val="%4."/>
      <w:lvlJc w:val="left"/>
      <w:pPr>
        <w:ind w:left="1680" w:hanging="420"/>
      </w:pPr>
      <w:rPr>
        <w:rFonts w:hint="default"/>
        <w:spacing w:val="0"/>
        <w:w w:val="100"/>
        <w:sz w:val="20"/>
      </w:rPr>
    </w:lvl>
    <w:lvl w:ilvl="4" w:tentative="0">
      <w:start w:val="1"/>
      <w:numFmt w:val="lowerLetter"/>
      <w:lvlText w:val="%5)"/>
      <w:lvlJc w:val="left"/>
      <w:pPr>
        <w:ind w:left="2100" w:hanging="420"/>
      </w:pPr>
      <w:rPr>
        <w:rFonts w:hint="default"/>
        <w:spacing w:val="0"/>
        <w:w w:val="100"/>
        <w:sz w:val="20"/>
      </w:rPr>
    </w:lvl>
    <w:lvl w:ilvl="5" w:tentative="0">
      <w:start w:val="1"/>
      <w:numFmt w:val="lowerRoman"/>
      <w:lvlText w:val="%6."/>
      <w:lvlJc w:val="right"/>
      <w:pPr>
        <w:ind w:left="2520" w:hanging="420"/>
      </w:pPr>
      <w:rPr>
        <w:rFonts w:hint="default"/>
        <w:spacing w:val="0"/>
        <w:w w:val="100"/>
        <w:sz w:val="20"/>
      </w:rPr>
    </w:lvl>
    <w:lvl w:ilvl="6" w:tentative="0">
      <w:start w:val="1"/>
      <w:numFmt w:val="decimal"/>
      <w:lvlText w:val="%7."/>
      <w:lvlJc w:val="left"/>
      <w:pPr>
        <w:ind w:left="2940" w:hanging="420"/>
      </w:pPr>
      <w:rPr>
        <w:rFonts w:hint="default"/>
        <w:spacing w:val="0"/>
        <w:w w:val="100"/>
        <w:sz w:val="20"/>
      </w:rPr>
    </w:lvl>
    <w:lvl w:ilvl="7" w:tentative="0">
      <w:start w:val="1"/>
      <w:numFmt w:val="lowerLetter"/>
      <w:lvlText w:val="%8)"/>
      <w:lvlJc w:val="left"/>
      <w:pPr>
        <w:ind w:left="3360" w:hanging="420"/>
      </w:pPr>
      <w:rPr>
        <w:rFonts w:hint="default"/>
        <w:spacing w:val="0"/>
        <w:w w:val="100"/>
        <w:sz w:val="20"/>
      </w:rPr>
    </w:lvl>
    <w:lvl w:ilvl="8" w:tentative="0">
      <w:start w:val="1"/>
      <w:numFmt w:val="lowerRoman"/>
      <w:lvlText w:val="%9."/>
      <w:lvlJc w:val="right"/>
      <w:pPr>
        <w:ind w:left="3780" w:hanging="420"/>
      </w:pPr>
      <w:rPr>
        <w:rFonts w:hint="default"/>
        <w:spacing w:val="0"/>
        <w:w w:val="100"/>
        <w:sz w:val="20"/>
      </w:rPr>
    </w:lvl>
  </w:abstractNum>
  <w:abstractNum w:abstractNumId="13">
    <w:nsid w:val="5C94629B"/>
    <w:multiLevelType w:val="multilevel"/>
    <w:tmpl w:val="5C94629B"/>
    <w:lvl w:ilvl="0" w:tentative="0">
      <w:start w:val="1"/>
      <w:numFmt w:val="decimal"/>
      <w:lvlText w:val="%1."/>
      <w:lvlJc w:val="left"/>
      <w:pPr>
        <w:ind w:left="0" w:hanging="420"/>
      </w:pPr>
      <w:rPr>
        <w:rFonts w:hint="default"/>
        <w:spacing w:val="0"/>
        <w:w w:val="100"/>
        <w:sz w:val="20"/>
      </w:rPr>
    </w:lvl>
    <w:lvl w:ilvl="1" w:tentative="0">
      <w:start w:val="1"/>
      <w:numFmt w:val="decimal"/>
      <w:lvlText w:val="%2、"/>
      <w:lvlJc w:val="left"/>
      <w:pPr>
        <w:ind w:left="360" w:hanging="360"/>
      </w:pPr>
      <w:rPr>
        <w:rFonts w:hint="default"/>
        <w:spacing w:val="0"/>
        <w:w w:val="100"/>
        <w:sz w:val="20"/>
      </w:rPr>
    </w:lvl>
    <w:lvl w:ilvl="2" w:tentative="0">
      <w:start w:val="1"/>
      <w:numFmt w:val="lowerRoman"/>
      <w:lvlText w:val="%3."/>
      <w:lvlJc w:val="right"/>
      <w:pPr>
        <w:ind w:left="1260" w:hanging="420"/>
      </w:pPr>
      <w:rPr>
        <w:rFonts w:hint="default"/>
        <w:spacing w:val="0"/>
        <w:w w:val="100"/>
        <w:sz w:val="20"/>
      </w:rPr>
    </w:lvl>
    <w:lvl w:ilvl="3" w:tentative="0">
      <w:start w:val="1"/>
      <w:numFmt w:val="decimal"/>
      <w:lvlText w:val="%4."/>
      <w:lvlJc w:val="left"/>
      <w:pPr>
        <w:ind w:left="1680" w:hanging="420"/>
      </w:pPr>
      <w:rPr>
        <w:rFonts w:hint="default"/>
        <w:spacing w:val="0"/>
        <w:w w:val="100"/>
        <w:sz w:val="20"/>
      </w:rPr>
    </w:lvl>
    <w:lvl w:ilvl="4" w:tentative="0">
      <w:start w:val="1"/>
      <w:numFmt w:val="lowerLetter"/>
      <w:lvlText w:val="%5)"/>
      <w:lvlJc w:val="left"/>
      <w:pPr>
        <w:ind w:left="2100" w:hanging="420"/>
      </w:pPr>
      <w:rPr>
        <w:rFonts w:hint="default"/>
        <w:spacing w:val="0"/>
        <w:w w:val="100"/>
        <w:sz w:val="20"/>
      </w:rPr>
    </w:lvl>
    <w:lvl w:ilvl="5" w:tentative="0">
      <w:start w:val="1"/>
      <w:numFmt w:val="lowerRoman"/>
      <w:lvlText w:val="%6."/>
      <w:lvlJc w:val="right"/>
      <w:pPr>
        <w:ind w:left="2520" w:hanging="420"/>
      </w:pPr>
      <w:rPr>
        <w:rFonts w:hint="default"/>
        <w:spacing w:val="0"/>
        <w:w w:val="100"/>
        <w:sz w:val="20"/>
      </w:rPr>
    </w:lvl>
    <w:lvl w:ilvl="6" w:tentative="0">
      <w:start w:val="1"/>
      <w:numFmt w:val="decimal"/>
      <w:lvlText w:val="%7."/>
      <w:lvlJc w:val="left"/>
      <w:pPr>
        <w:ind w:left="2940" w:hanging="420"/>
      </w:pPr>
      <w:rPr>
        <w:rFonts w:hint="default"/>
        <w:spacing w:val="0"/>
        <w:w w:val="100"/>
        <w:sz w:val="20"/>
      </w:rPr>
    </w:lvl>
    <w:lvl w:ilvl="7" w:tentative="0">
      <w:start w:val="1"/>
      <w:numFmt w:val="lowerLetter"/>
      <w:lvlText w:val="%8)"/>
      <w:lvlJc w:val="left"/>
      <w:pPr>
        <w:ind w:left="3360" w:hanging="420"/>
      </w:pPr>
      <w:rPr>
        <w:rFonts w:hint="default"/>
        <w:spacing w:val="0"/>
        <w:w w:val="100"/>
        <w:sz w:val="20"/>
      </w:rPr>
    </w:lvl>
    <w:lvl w:ilvl="8" w:tentative="0">
      <w:start w:val="1"/>
      <w:numFmt w:val="lowerRoman"/>
      <w:lvlText w:val="%9."/>
      <w:lvlJc w:val="right"/>
      <w:pPr>
        <w:ind w:left="3780" w:hanging="420"/>
      </w:pPr>
      <w:rPr>
        <w:rFonts w:hint="default"/>
        <w:spacing w:val="0"/>
        <w:w w:val="100"/>
        <w:sz w:val="20"/>
      </w:rPr>
    </w:lvl>
  </w:abstractNum>
  <w:abstractNum w:abstractNumId="14">
    <w:nsid w:val="7AEF7716"/>
    <w:multiLevelType w:val="multilevel"/>
    <w:tmpl w:val="7AEF7716"/>
    <w:lvl w:ilvl="0" w:tentative="0">
      <w:start w:val="1"/>
      <w:numFmt w:val="chineseCountingThousand"/>
      <w:pStyle w:val="121"/>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6"/>
  </w:num>
  <w:num w:numId="4">
    <w:abstractNumId w:val="5"/>
  </w:num>
  <w:num w:numId="5">
    <w:abstractNumId w:val="14"/>
  </w:num>
  <w:num w:numId="6">
    <w:abstractNumId w:val="7"/>
  </w:num>
  <w:num w:numId="7">
    <w:abstractNumId w:val="4"/>
  </w:num>
  <w:num w:numId="8">
    <w:abstractNumId w:val="3"/>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characterSpacingControl w:val="doNotCompress"/>
  <w:hdrShapeDefaults>
    <o:shapelayout v:ext="edit">
      <o:idmap v:ext="edit" data="1"/>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ODI1MzA4NzljMGMxNTUyMjBhYjY1NTcwNmJmMzgifQ=="/>
  </w:docVars>
  <w:rsids>
    <w:rsidRoot w:val="006C5683"/>
    <w:rsid w:val="000006EA"/>
    <w:rsid w:val="00000AD9"/>
    <w:rsid w:val="00003C50"/>
    <w:rsid w:val="000043C0"/>
    <w:rsid w:val="00004F2D"/>
    <w:rsid w:val="000050CA"/>
    <w:rsid w:val="00005116"/>
    <w:rsid w:val="000051C6"/>
    <w:rsid w:val="00005215"/>
    <w:rsid w:val="00005A10"/>
    <w:rsid w:val="00005D3D"/>
    <w:rsid w:val="0000667D"/>
    <w:rsid w:val="00006F7B"/>
    <w:rsid w:val="00007649"/>
    <w:rsid w:val="00007951"/>
    <w:rsid w:val="00010063"/>
    <w:rsid w:val="00010102"/>
    <w:rsid w:val="0001019E"/>
    <w:rsid w:val="00011EA6"/>
    <w:rsid w:val="00012640"/>
    <w:rsid w:val="00012B21"/>
    <w:rsid w:val="0001300F"/>
    <w:rsid w:val="00014652"/>
    <w:rsid w:val="0001480D"/>
    <w:rsid w:val="00014A5C"/>
    <w:rsid w:val="00015388"/>
    <w:rsid w:val="0001716B"/>
    <w:rsid w:val="00017F81"/>
    <w:rsid w:val="000211EA"/>
    <w:rsid w:val="000234B2"/>
    <w:rsid w:val="000252CF"/>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66E"/>
    <w:rsid w:val="00033DE7"/>
    <w:rsid w:val="0003541F"/>
    <w:rsid w:val="000363C4"/>
    <w:rsid w:val="00036A2B"/>
    <w:rsid w:val="0003747B"/>
    <w:rsid w:val="00040D3C"/>
    <w:rsid w:val="00041BC2"/>
    <w:rsid w:val="00042C84"/>
    <w:rsid w:val="00043621"/>
    <w:rsid w:val="00043739"/>
    <w:rsid w:val="00043A89"/>
    <w:rsid w:val="00045739"/>
    <w:rsid w:val="00046D30"/>
    <w:rsid w:val="000510B6"/>
    <w:rsid w:val="00051133"/>
    <w:rsid w:val="000518AD"/>
    <w:rsid w:val="00051F3F"/>
    <w:rsid w:val="000521D8"/>
    <w:rsid w:val="00052BC1"/>
    <w:rsid w:val="00053A89"/>
    <w:rsid w:val="0005582B"/>
    <w:rsid w:val="00055BD9"/>
    <w:rsid w:val="00056247"/>
    <w:rsid w:val="00056292"/>
    <w:rsid w:val="00056413"/>
    <w:rsid w:val="00056C11"/>
    <w:rsid w:val="00057302"/>
    <w:rsid w:val="00057332"/>
    <w:rsid w:val="000575C2"/>
    <w:rsid w:val="00057D00"/>
    <w:rsid w:val="00060A3D"/>
    <w:rsid w:val="00060C1C"/>
    <w:rsid w:val="00061D20"/>
    <w:rsid w:val="0006267A"/>
    <w:rsid w:val="0006335B"/>
    <w:rsid w:val="00063C25"/>
    <w:rsid w:val="0006437A"/>
    <w:rsid w:val="00064892"/>
    <w:rsid w:val="00066026"/>
    <w:rsid w:val="0006660A"/>
    <w:rsid w:val="0006670C"/>
    <w:rsid w:val="00066DBC"/>
    <w:rsid w:val="00067960"/>
    <w:rsid w:val="0007003A"/>
    <w:rsid w:val="00070210"/>
    <w:rsid w:val="000707BF"/>
    <w:rsid w:val="000712AD"/>
    <w:rsid w:val="00072B70"/>
    <w:rsid w:val="00072CB4"/>
    <w:rsid w:val="000734CD"/>
    <w:rsid w:val="00074403"/>
    <w:rsid w:val="000750DC"/>
    <w:rsid w:val="00075497"/>
    <w:rsid w:val="0007583C"/>
    <w:rsid w:val="00075E26"/>
    <w:rsid w:val="00076057"/>
    <w:rsid w:val="000770EC"/>
    <w:rsid w:val="00080613"/>
    <w:rsid w:val="00082667"/>
    <w:rsid w:val="00082868"/>
    <w:rsid w:val="00082AD2"/>
    <w:rsid w:val="00083DC6"/>
    <w:rsid w:val="00084857"/>
    <w:rsid w:val="000849B8"/>
    <w:rsid w:val="000850AF"/>
    <w:rsid w:val="000852EB"/>
    <w:rsid w:val="000869D8"/>
    <w:rsid w:val="00086CA6"/>
    <w:rsid w:val="00090213"/>
    <w:rsid w:val="00090DAF"/>
    <w:rsid w:val="00092FC7"/>
    <w:rsid w:val="00093133"/>
    <w:rsid w:val="0009395E"/>
    <w:rsid w:val="00093E9D"/>
    <w:rsid w:val="00094C6E"/>
    <w:rsid w:val="000954D5"/>
    <w:rsid w:val="00095723"/>
    <w:rsid w:val="00095A74"/>
    <w:rsid w:val="0009618D"/>
    <w:rsid w:val="0009709B"/>
    <w:rsid w:val="000975E3"/>
    <w:rsid w:val="000A1DD1"/>
    <w:rsid w:val="000A21A5"/>
    <w:rsid w:val="000A3908"/>
    <w:rsid w:val="000A4C29"/>
    <w:rsid w:val="000A5B36"/>
    <w:rsid w:val="000A6632"/>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0"/>
    <w:rsid w:val="000C7E71"/>
    <w:rsid w:val="000D00AF"/>
    <w:rsid w:val="000D0BCE"/>
    <w:rsid w:val="000D16AA"/>
    <w:rsid w:val="000D1A7D"/>
    <w:rsid w:val="000D2309"/>
    <w:rsid w:val="000D2CCA"/>
    <w:rsid w:val="000D366B"/>
    <w:rsid w:val="000D37B4"/>
    <w:rsid w:val="000D38F9"/>
    <w:rsid w:val="000D3D7B"/>
    <w:rsid w:val="000D5D6B"/>
    <w:rsid w:val="000D63EC"/>
    <w:rsid w:val="000D7A20"/>
    <w:rsid w:val="000E161C"/>
    <w:rsid w:val="000E2C39"/>
    <w:rsid w:val="000E355C"/>
    <w:rsid w:val="000E4445"/>
    <w:rsid w:val="000E470B"/>
    <w:rsid w:val="000E4DE8"/>
    <w:rsid w:val="000E4EF8"/>
    <w:rsid w:val="000E50F5"/>
    <w:rsid w:val="000E55C0"/>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4BC5"/>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26AC"/>
    <w:rsid w:val="0011500F"/>
    <w:rsid w:val="00115A55"/>
    <w:rsid w:val="0011665D"/>
    <w:rsid w:val="00116AAC"/>
    <w:rsid w:val="00117D55"/>
    <w:rsid w:val="001204B2"/>
    <w:rsid w:val="001212EF"/>
    <w:rsid w:val="001217DC"/>
    <w:rsid w:val="00121F81"/>
    <w:rsid w:val="0012203F"/>
    <w:rsid w:val="00123CC6"/>
    <w:rsid w:val="00124492"/>
    <w:rsid w:val="00125689"/>
    <w:rsid w:val="00125C8A"/>
    <w:rsid w:val="001261FC"/>
    <w:rsid w:val="00127F95"/>
    <w:rsid w:val="001306FE"/>
    <w:rsid w:val="00130827"/>
    <w:rsid w:val="001308A2"/>
    <w:rsid w:val="00131140"/>
    <w:rsid w:val="001317AD"/>
    <w:rsid w:val="00131FC3"/>
    <w:rsid w:val="0013281E"/>
    <w:rsid w:val="00132FD3"/>
    <w:rsid w:val="001339CF"/>
    <w:rsid w:val="00133ADD"/>
    <w:rsid w:val="0013673A"/>
    <w:rsid w:val="00136D81"/>
    <w:rsid w:val="001410EB"/>
    <w:rsid w:val="00141224"/>
    <w:rsid w:val="00142CC9"/>
    <w:rsid w:val="00143103"/>
    <w:rsid w:val="00143554"/>
    <w:rsid w:val="00143653"/>
    <w:rsid w:val="00143934"/>
    <w:rsid w:val="00143B3A"/>
    <w:rsid w:val="00143E43"/>
    <w:rsid w:val="00143FFC"/>
    <w:rsid w:val="00145760"/>
    <w:rsid w:val="0014593A"/>
    <w:rsid w:val="00146ABB"/>
    <w:rsid w:val="00147338"/>
    <w:rsid w:val="00147A48"/>
    <w:rsid w:val="00150143"/>
    <w:rsid w:val="001509AB"/>
    <w:rsid w:val="00152E91"/>
    <w:rsid w:val="0015460B"/>
    <w:rsid w:val="00154736"/>
    <w:rsid w:val="00156CA9"/>
    <w:rsid w:val="00157465"/>
    <w:rsid w:val="00157E23"/>
    <w:rsid w:val="00157FC3"/>
    <w:rsid w:val="00160ACE"/>
    <w:rsid w:val="00160E42"/>
    <w:rsid w:val="00161C4F"/>
    <w:rsid w:val="00161C84"/>
    <w:rsid w:val="00161F2A"/>
    <w:rsid w:val="00161FDF"/>
    <w:rsid w:val="001626BD"/>
    <w:rsid w:val="00162C33"/>
    <w:rsid w:val="0016340E"/>
    <w:rsid w:val="00164E23"/>
    <w:rsid w:val="0016595F"/>
    <w:rsid w:val="00166A2C"/>
    <w:rsid w:val="00166BF2"/>
    <w:rsid w:val="00166CC3"/>
    <w:rsid w:val="00170A9E"/>
    <w:rsid w:val="00170ED1"/>
    <w:rsid w:val="0017121A"/>
    <w:rsid w:val="00171401"/>
    <w:rsid w:val="0017141F"/>
    <w:rsid w:val="00171777"/>
    <w:rsid w:val="001719FB"/>
    <w:rsid w:val="00172B65"/>
    <w:rsid w:val="00172EF5"/>
    <w:rsid w:val="001732E1"/>
    <w:rsid w:val="0017449E"/>
    <w:rsid w:val="0017486B"/>
    <w:rsid w:val="0017613E"/>
    <w:rsid w:val="00177167"/>
    <w:rsid w:val="00177753"/>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0DC9"/>
    <w:rsid w:val="00191EA7"/>
    <w:rsid w:val="00192164"/>
    <w:rsid w:val="00192883"/>
    <w:rsid w:val="00194C98"/>
    <w:rsid w:val="00194FB7"/>
    <w:rsid w:val="00195D28"/>
    <w:rsid w:val="00196B4E"/>
    <w:rsid w:val="001975A1"/>
    <w:rsid w:val="001A027A"/>
    <w:rsid w:val="001A08E4"/>
    <w:rsid w:val="001A0D2C"/>
    <w:rsid w:val="001A11BA"/>
    <w:rsid w:val="001A12B5"/>
    <w:rsid w:val="001A1C72"/>
    <w:rsid w:val="001A232E"/>
    <w:rsid w:val="001A3980"/>
    <w:rsid w:val="001A4035"/>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05F"/>
    <w:rsid w:val="001C14C1"/>
    <w:rsid w:val="001C1FDE"/>
    <w:rsid w:val="001C2063"/>
    <w:rsid w:val="001C21E1"/>
    <w:rsid w:val="001C24ED"/>
    <w:rsid w:val="001C3426"/>
    <w:rsid w:val="001C36E9"/>
    <w:rsid w:val="001C4675"/>
    <w:rsid w:val="001C4768"/>
    <w:rsid w:val="001C5839"/>
    <w:rsid w:val="001C6AF6"/>
    <w:rsid w:val="001C7129"/>
    <w:rsid w:val="001C7654"/>
    <w:rsid w:val="001C77E1"/>
    <w:rsid w:val="001C7ADA"/>
    <w:rsid w:val="001C7B48"/>
    <w:rsid w:val="001C7EA0"/>
    <w:rsid w:val="001D121D"/>
    <w:rsid w:val="001D3543"/>
    <w:rsid w:val="001D4151"/>
    <w:rsid w:val="001D58E5"/>
    <w:rsid w:val="001D7299"/>
    <w:rsid w:val="001D7EA4"/>
    <w:rsid w:val="001E0FAB"/>
    <w:rsid w:val="001E2084"/>
    <w:rsid w:val="001E2502"/>
    <w:rsid w:val="001E292F"/>
    <w:rsid w:val="001E351C"/>
    <w:rsid w:val="001E4353"/>
    <w:rsid w:val="001E474D"/>
    <w:rsid w:val="001E5194"/>
    <w:rsid w:val="001E5851"/>
    <w:rsid w:val="001E5A81"/>
    <w:rsid w:val="001E62FB"/>
    <w:rsid w:val="001E6A0B"/>
    <w:rsid w:val="001E77DA"/>
    <w:rsid w:val="001E7A2F"/>
    <w:rsid w:val="001E7AB0"/>
    <w:rsid w:val="001E7DD0"/>
    <w:rsid w:val="001F0349"/>
    <w:rsid w:val="001F077B"/>
    <w:rsid w:val="001F0B74"/>
    <w:rsid w:val="001F2648"/>
    <w:rsid w:val="001F3E37"/>
    <w:rsid w:val="001F41B9"/>
    <w:rsid w:val="001F4BE8"/>
    <w:rsid w:val="001F4EB8"/>
    <w:rsid w:val="001F560A"/>
    <w:rsid w:val="001F5D15"/>
    <w:rsid w:val="001F6270"/>
    <w:rsid w:val="001F6318"/>
    <w:rsid w:val="001F64BF"/>
    <w:rsid w:val="001F65B1"/>
    <w:rsid w:val="001F6B83"/>
    <w:rsid w:val="001F6F6A"/>
    <w:rsid w:val="001F7595"/>
    <w:rsid w:val="001F7BEC"/>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3F3"/>
    <w:rsid w:val="002227DF"/>
    <w:rsid w:val="00223AC8"/>
    <w:rsid w:val="00223C96"/>
    <w:rsid w:val="002240F5"/>
    <w:rsid w:val="00224852"/>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63D9"/>
    <w:rsid w:val="002472C1"/>
    <w:rsid w:val="002473F4"/>
    <w:rsid w:val="00247D64"/>
    <w:rsid w:val="002501F3"/>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208"/>
    <w:rsid w:val="00264965"/>
    <w:rsid w:val="002656E1"/>
    <w:rsid w:val="00265CFF"/>
    <w:rsid w:val="00267049"/>
    <w:rsid w:val="002702CD"/>
    <w:rsid w:val="00270B4E"/>
    <w:rsid w:val="00271500"/>
    <w:rsid w:val="00272E57"/>
    <w:rsid w:val="0027424E"/>
    <w:rsid w:val="00274663"/>
    <w:rsid w:val="00275641"/>
    <w:rsid w:val="0027569A"/>
    <w:rsid w:val="002767D9"/>
    <w:rsid w:val="00280382"/>
    <w:rsid w:val="00280F4B"/>
    <w:rsid w:val="002816D0"/>
    <w:rsid w:val="002821E9"/>
    <w:rsid w:val="002827D2"/>
    <w:rsid w:val="002835B7"/>
    <w:rsid w:val="002849B7"/>
    <w:rsid w:val="00284C1F"/>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2D8E"/>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1F7"/>
    <w:rsid w:val="002C6EC0"/>
    <w:rsid w:val="002C7258"/>
    <w:rsid w:val="002D0189"/>
    <w:rsid w:val="002D0356"/>
    <w:rsid w:val="002D07C0"/>
    <w:rsid w:val="002D0F98"/>
    <w:rsid w:val="002D1DFB"/>
    <w:rsid w:val="002D27F3"/>
    <w:rsid w:val="002D45BF"/>
    <w:rsid w:val="002D49F0"/>
    <w:rsid w:val="002D4A85"/>
    <w:rsid w:val="002D6162"/>
    <w:rsid w:val="002D64DF"/>
    <w:rsid w:val="002D750A"/>
    <w:rsid w:val="002E242E"/>
    <w:rsid w:val="002E2FEC"/>
    <w:rsid w:val="002E38DB"/>
    <w:rsid w:val="002E3BEB"/>
    <w:rsid w:val="002E441D"/>
    <w:rsid w:val="002E44A9"/>
    <w:rsid w:val="002E4AB1"/>
    <w:rsid w:val="002E4F11"/>
    <w:rsid w:val="002E4F8A"/>
    <w:rsid w:val="002E505D"/>
    <w:rsid w:val="002E6F69"/>
    <w:rsid w:val="002E7296"/>
    <w:rsid w:val="002E73B8"/>
    <w:rsid w:val="002F0545"/>
    <w:rsid w:val="002F0823"/>
    <w:rsid w:val="002F1921"/>
    <w:rsid w:val="002F2471"/>
    <w:rsid w:val="002F2B7A"/>
    <w:rsid w:val="002F3105"/>
    <w:rsid w:val="002F59F2"/>
    <w:rsid w:val="002F5E6C"/>
    <w:rsid w:val="002F72FF"/>
    <w:rsid w:val="0030033F"/>
    <w:rsid w:val="00300BF3"/>
    <w:rsid w:val="0030143F"/>
    <w:rsid w:val="00301A2B"/>
    <w:rsid w:val="00301BCD"/>
    <w:rsid w:val="00302988"/>
    <w:rsid w:val="00303425"/>
    <w:rsid w:val="00303ACF"/>
    <w:rsid w:val="0030463E"/>
    <w:rsid w:val="00304ED6"/>
    <w:rsid w:val="00306654"/>
    <w:rsid w:val="00306D5D"/>
    <w:rsid w:val="00306FF4"/>
    <w:rsid w:val="00310EE1"/>
    <w:rsid w:val="003122B0"/>
    <w:rsid w:val="00312390"/>
    <w:rsid w:val="003123F4"/>
    <w:rsid w:val="00313487"/>
    <w:rsid w:val="003138EB"/>
    <w:rsid w:val="00315880"/>
    <w:rsid w:val="00315A06"/>
    <w:rsid w:val="0031678B"/>
    <w:rsid w:val="0031683C"/>
    <w:rsid w:val="00317146"/>
    <w:rsid w:val="003176EA"/>
    <w:rsid w:val="00317D36"/>
    <w:rsid w:val="00317FC8"/>
    <w:rsid w:val="00321473"/>
    <w:rsid w:val="0032218C"/>
    <w:rsid w:val="003225FB"/>
    <w:rsid w:val="00322AA8"/>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0CD8"/>
    <w:rsid w:val="003318A6"/>
    <w:rsid w:val="003321A8"/>
    <w:rsid w:val="0033271B"/>
    <w:rsid w:val="00332C70"/>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1A4A"/>
    <w:rsid w:val="00351D95"/>
    <w:rsid w:val="00351FB4"/>
    <w:rsid w:val="003525E2"/>
    <w:rsid w:val="00353860"/>
    <w:rsid w:val="00354CD9"/>
    <w:rsid w:val="003552F2"/>
    <w:rsid w:val="003556C1"/>
    <w:rsid w:val="00355EEE"/>
    <w:rsid w:val="00356FC1"/>
    <w:rsid w:val="00357883"/>
    <w:rsid w:val="00360494"/>
    <w:rsid w:val="00360C00"/>
    <w:rsid w:val="00361243"/>
    <w:rsid w:val="00361633"/>
    <w:rsid w:val="00361935"/>
    <w:rsid w:val="003626AE"/>
    <w:rsid w:val="0036292A"/>
    <w:rsid w:val="00362AF3"/>
    <w:rsid w:val="0036467D"/>
    <w:rsid w:val="00364BEE"/>
    <w:rsid w:val="0036508D"/>
    <w:rsid w:val="003651C8"/>
    <w:rsid w:val="00366321"/>
    <w:rsid w:val="00366419"/>
    <w:rsid w:val="003669F1"/>
    <w:rsid w:val="00366F10"/>
    <w:rsid w:val="00367194"/>
    <w:rsid w:val="003700A3"/>
    <w:rsid w:val="00370B40"/>
    <w:rsid w:val="00371A92"/>
    <w:rsid w:val="00371C15"/>
    <w:rsid w:val="00372CDF"/>
    <w:rsid w:val="00373411"/>
    <w:rsid w:val="00373D40"/>
    <w:rsid w:val="003741F6"/>
    <w:rsid w:val="00374A29"/>
    <w:rsid w:val="00374FA4"/>
    <w:rsid w:val="003756C6"/>
    <w:rsid w:val="00376E35"/>
    <w:rsid w:val="00377076"/>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698"/>
    <w:rsid w:val="003917AD"/>
    <w:rsid w:val="003917D1"/>
    <w:rsid w:val="00391FAB"/>
    <w:rsid w:val="00392539"/>
    <w:rsid w:val="00392677"/>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03"/>
    <w:rsid w:val="003A38F0"/>
    <w:rsid w:val="003A443D"/>
    <w:rsid w:val="003A4DE4"/>
    <w:rsid w:val="003A6A5A"/>
    <w:rsid w:val="003A72E9"/>
    <w:rsid w:val="003B175A"/>
    <w:rsid w:val="003B3231"/>
    <w:rsid w:val="003B357A"/>
    <w:rsid w:val="003B499C"/>
    <w:rsid w:val="003B4CCD"/>
    <w:rsid w:val="003B53D4"/>
    <w:rsid w:val="003B56D7"/>
    <w:rsid w:val="003B7298"/>
    <w:rsid w:val="003C0FF8"/>
    <w:rsid w:val="003C1D0C"/>
    <w:rsid w:val="003C1F2E"/>
    <w:rsid w:val="003C3024"/>
    <w:rsid w:val="003C42A3"/>
    <w:rsid w:val="003C49D5"/>
    <w:rsid w:val="003C4FD5"/>
    <w:rsid w:val="003C582B"/>
    <w:rsid w:val="003C6BFF"/>
    <w:rsid w:val="003D19BE"/>
    <w:rsid w:val="003D2333"/>
    <w:rsid w:val="003D2E1B"/>
    <w:rsid w:val="003D3241"/>
    <w:rsid w:val="003D39AE"/>
    <w:rsid w:val="003D4804"/>
    <w:rsid w:val="003D5413"/>
    <w:rsid w:val="003D7685"/>
    <w:rsid w:val="003D7E9A"/>
    <w:rsid w:val="003E0366"/>
    <w:rsid w:val="003E100C"/>
    <w:rsid w:val="003E1C0C"/>
    <w:rsid w:val="003E2FFE"/>
    <w:rsid w:val="003E37AA"/>
    <w:rsid w:val="003E4310"/>
    <w:rsid w:val="003E47DE"/>
    <w:rsid w:val="003E4FFA"/>
    <w:rsid w:val="003E56FD"/>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014C"/>
    <w:rsid w:val="00411B37"/>
    <w:rsid w:val="0041244F"/>
    <w:rsid w:val="004125ED"/>
    <w:rsid w:val="0041353D"/>
    <w:rsid w:val="00413B39"/>
    <w:rsid w:val="0041450E"/>
    <w:rsid w:val="0041456E"/>
    <w:rsid w:val="00415370"/>
    <w:rsid w:val="00415781"/>
    <w:rsid w:val="00416485"/>
    <w:rsid w:val="0041683E"/>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2EE6"/>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58F"/>
    <w:rsid w:val="00475FD5"/>
    <w:rsid w:val="00476FED"/>
    <w:rsid w:val="0047725A"/>
    <w:rsid w:val="004812F4"/>
    <w:rsid w:val="00481EC9"/>
    <w:rsid w:val="0048222F"/>
    <w:rsid w:val="0048231B"/>
    <w:rsid w:val="00482B53"/>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4DD"/>
    <w:rsid w:val="004B00D1"/>
    <w:rsid w:val="004B0AC8"/>
    <w:rsid w:val="004B0B57"/>
    <w:rsid w:val="004B0BBE"/>
    <w:rsid w:val="004B0EB0"/>
    <w:rsid w:val="004B0F5E"/>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F6"/>
    <w:rsid w:val="004D1946"/>
    <w:rsid w:val="004D32ED"/>
    <w:rsid w:val="004D35FB"/>
    <w:rsid w:val="004D3E71"/>
    <w:rsid w:val="004D49EE"/>
    <w:rsid w:val="004D4AE0"/>
    <w:rsid w:val="004D4C0B"/>
    <w:rsid w:val="004D69FC"/>
    <w:rsid w:val="004D72BA"/>
    <w:rsid w:val="004D77BD"/>
    <w:rsid w:val="004D77DE"/>
    <w:rsid w:val="004D7BF4"/>
    <w:rsid w:val="004D7C92"/>
    <w:rsid w:val="004E295C"/>
    <w:rsid w:val="004E38B2"/>
    <w:rsid w:val="004E3936"/>
    <w:rsid w:val="004E39E2"/>
    <w:rsid w:val="004E490B"/>
    <w:rsid w:val="004E57F7"/>
    <w:rsid w:val="004E5D9C"/>
    <w:rsid w:val="004E6191"/>
    <w:rsid w:val="004E6707"/>
    <w:rsid w:val="004E6B8E"/>
    <w:rsid w:val="004F0543"/>
    <w:rsid w:val="004F0D33"/>
    <w:rsid w:val="004F2385"/>
    <w:rsid w:val="004F246C"/>
    <w:rsid w:val="004F2DD7"/>
    <w:rsid w:val="004F3A97"/>
    <w:rsid w:val="004F5591"/>
    <w:rsid w:val="004F5D14"/>
    <w:rsid w:val="004F68DC"/>
    <w:rsid w:val="004F7F44"/>
    <w:rsid w:val="00500598"/>
    <w:rsid w:val="00500F7A"/>
    <w:rsid w:val="005012AD"/>
    <w:rsid w:val="005016E5"/>
    <w:rsid w:val="00501A56"/>
    <w:rsid w:val="00502317"/>
    <w:rsid w:val="005027BB"/>
    <w:rsid w:val="00503415"/>
    <w:rsid w:val="005034C1"/>
    <w:rsid w:val="005037E1"/>
    <w:rsid w:val="00503B5C"/>
    <w:rsid w:val="0050456A"/>
    <w:rsid w:val="0050561B"/>
    <w:rsid w:val="00505C46"/>
    <w:rsid w:val="005068E1"/>
    <w:rsid w:val="005070B6"/>
    <w:rsid w:val="005077C5"/>
    <w:rsid w:val="00510111"/>
    <w:rsid w:val="00510B80"/>
    <w:rsid w:val="0051168A"/>
    <w:rsid w:val="005117D2"/>
    <w:rsid w:val="005118A6"/>
    <w:rsid w:val="005122F4"/>
    <w:rsid w:val="00512545"/>
    <w:rsid w:val="0051256F"/>
    <w:rsid w:val="0051405F"/>
    <w:rsid w:val="0051444F"/>
    <w:rsid w:val="00514B16"/>
    <w:rsid w:val="005156A6"/>
    <w:rsid w:val="00516393"/>
    <w:rsid w:val="00516669"/>
    <w:rsid w:val="005176A6"/>
    <w:rsid w:val="005179A5"/>
    <w:rsid w:val="00520B4F"/>
    <w:rsid w:val="00524AD7"/>
    <w:rsid w:val="005254FD"/>
    <w:rsid w:val="005268A9"/>
    <w:rsid w:val="0052720F"/>
    <w:rsid w:val="00527421"/>
    <w:rsid w:val="005275C4"/>
    <w:rsid w:val="00527D36"/>
    <w:rsid w:val="00531076"/>
    <w:rsid w:val="00531D28"/>
    <w:rsid w:val="005328A8"/>
    <w:rsid w:val="00533875"/>
    <w:rsid w:val="005338EE"/>
    <w:rsid w:val="00533920"/>
    <w:rsid w:val="00535141"/>
    <w:rsid w:val="00535324"/>
    <w:rsid w:val="00535504"/>
    <w:rsid w:val="005363B4"/>
    <w:rsid w:val="0053712D"/>
    <w:rsid w:val="005403F4"/>
    <w:rsid w:val="00540B60"/>
    <w:rsid w:val="00541076"/>
    <w:rsid w:val="00541136"/>
    <w:rsid w:val="0054216F"/>
    <w:rsid w:val="00542F18"/>
    <w:rsid w:val="005432BC"/>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5AF7"/>
    <w:rsid w:val="00566024"/>
    <w:rsid w:val="005671C3"/>
    <w:rsid w:val="0057060C"/>
    <w:rsid w:val="0057189C"/>
    <w:rsid w:val="00571BD2"/>
    <w:rsid w:val="00571CD7"/>
    <w:rsid w:val="00571D59"/>
    <w:rsid w:val="00572E3E"/>
    <w:rsid w:val="0057332B"/>
    <w:rsid w:val="0057364D"/>
    <w:rsid w:val="005737FC"/>
    <w:rsid w:val="0057420B"/>
    <w:rsid w:val="0057593B"/>
    <w:rsid w:val="005762CE"/>
    <w:rsid w:val="00577360"/>
    <w:rsid w:val="00580280"/>
    <w:rsid w:val="00580ADC"/>
    <w:rsid w:val="00580B9E"/>
    <w:rsid w:val="00580DAB"/>
    <w:rsid w:val="0058135A"/>
    <w:rsid w:val="005817D9"/>
    <w:rsid w:val="00581F7C"/>
    <w:rsid w:val="00583358"/>
    <w:rsid w:val="005839BF"/>
    <w:rsid w:val="00583BC7"/>
    <w:rsid w:val="00584058"/>
    <w:rsid w:val="005844A5"/>
    <w:rsid w:val="005846B4"/>
    <w:rsid w:val="00584AD1"/>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6E41"/>
    <w:rsid w:val="005970D0"/>
    <w:rsid w:val="005974F3"/>
    <w:rsid w:val="0059751C"/>
    <w:rsid w:val="00597919"/>
    <w:rsid w:val="005A0B9F"/>
    <w:rsid w:val="005A0EFC"/>
    <w:rsid w:val="005A44E7"/>
    <w:rsid w:val="005A5D8E"/>
    <w:rsid w:val="005A63D8"/>
    <w:rsid w:val="005A7420"/>
    <w:rsid w:val="005A7C14"/>
    <w:rsid w:val="005A7DBE"/>
    <w:rsid w:val="005B152C"/>
    <w:rsid w:val="005B1C64"/>
    <w:rsid w:val="005B1DE8"/>
    <w:rsid w:val="005B206D"/>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5B25"/>
    <w:rsid w:val="005C6E71"/>
    <w:rsid w:val="005C7363"/>
    <w:rsid w:val="005D0B55"/>
    <w:rsid w:val="005D22DC"/>
    <w:rsid w:val="005D4A04"/>
    <w:rsid w:val="005D4BC9"/>
    <w:rsid w:val="005D4CF7"/>
    <w:rsid w:val="005D4F77"/>
    <w:rsid w:val="005D5347"/>
    <w:rsid w:val="005D5CC5"/>
    <w:rsid w:val="005D5FE6"/>
    <w:rsid w:val="005D61EA"/>
    <w:rsid w:val="005D74D8"/>
    <w:rsid w:val="005D787B"/>
    <w:rsid w:val="005E031D"/>
    <w:rsid w:val="005E03AC"/>
    <w:rsid w:val="005E04B5"/>
    <w:rsid w:val="005E0621"/>
    <w:rsid w:val="005E12BE"/>
    <w:rsid w:val="005E2C81"/>
    <w:rsid w:val="005E3806"/>
    <w:rsid w:val="005E4D3C"/>
    <w:rsid w:val="005E7158"/>
    <w:rsid w:val="005E7ECB"/>
    <w:rsid w:val="005F0C00"/>
    <w:rsid w:val="005F1037"/>
    <w:rsid w:val="005F2BF8"/>
    <w:rsid w:val="005F2EA8"/>
    <w:rsid w:val="005F33B6"/>
    <w:rsid w:val="005F3B04"/>
    <w:rsid w:val="005F5574"/>
    <w:rsid w:val="005F5D1D"/>
    <w:rsid w:val="005F60C9"/>
    <w:rsid w:val="005F64C6"/>
    <w:rsid w:val="006008F1"/>
    <w:rsid w:val="00601714"/>
    <w:rsid w:val="00601735"/>
    <w:rsid w:val="00602BD2"/>
    <w:rsid w:val="00604980"/>
    <w:rsid w:val="00606072"/>
    <w:rsid w:val="0060614D"/>
    <w:rsid w:val="00610871"/>
    <w:rsid w:val="00610E48"/>
    <w:rsid w:val="00610FE0"/>
    <w:rsid w:val="00613C47"/>
    <w:rsid w:val="00614EF9"/>
    <w:rsid w:val="00615086"/>
    <w:rsid w:val="00615B0A"/>
    <w:rsid w:val="00616201"/>
    <w:rsid w:val="00616225"/>
    <w:rsid w:val="00616BA2"/>
    <w:rsid w:val="0061705E"/>
    <w:rsid w:val="00617914"/>
    <w:rsid w:val="00617A8B"/>
    <w:rsid w:val="00621671"/>
    <w:rsid w:val="006218DD"/>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F86"/>
    <w:rsid w:val="0065395E"/>
    <w:rsid w:val="00653C24"/>
    <w:rsid w:val="00653D68"/>
    <w:rsid w:val="00653E4E"/>
    <w:rsid w:val="00654275"/>
    <w:rsid w:val="0065446D"/>
    <w:rsid w:val="00654891"/>
    <w:rsid w:val="00654894"/>
    <w:rsid w:val="00655104"/>
    <w:rsid w:val="00656067"/>
    <w:rsid w:val="006576F8"/>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4F"/>
    <w:rsid w:val="006703D9"/>
    <w:rsid w:val="00672DFC"/>
    <w:rsid w:val="00672F5B"/>
    <w:rsid w:val="00673DEE"/>
    <w:rsid w:val="00674E69"/>
    <w:rsid w:val="0067738E"/>
    <w:rsid w:val="00677F23"/>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2582"/>
    <w:rsid w:val="00692592"/>
    <w:rsid w:val="00692A2F"/>
    <w:rsid w:val="0069322C"/>
    <w:rsid w:val="00693652"/>
    <w:rsid w:val="006939E7"/>
    <w:rsid w:val="00693D3E"/>
    <w:rsid w:val="006942F7"/>
    <w:rsid w:val="00694AE9"/>
    <w:rsid w:val="006956FB"/>
    <w:rsid w:val="00697D85"/>
    <w:rsid w:val="006A1A71"/>
    <w:rsid w:val="006A1D3D"/>
    <w:rsid w:val="006A2150"/>
    <w:rsid w:val="006A2216"/>
    <w:rsid w:val="006A241D"/>
    <w:rsid w:val="006A3288"/>
    <w:rsid w:val="006A43E6"/>
    <w:rsid w:val="006A47EB"/>
    <w:rsid w:val="006A4AEE"/>
    <w:rsid w:val="006A5E74"/>
    <w:rsid w:val="006A6856"/>
    <w:rsid w:val="006A70BE"/>
    <w:rsid w:val="006A7290"/>
    <w:rsid w:val="006A7934"/>
    <w:rsid w:val="006A7BC8"/>
    <w:rsid w:val="006B0001"/>
    <w:rsid w:val="006B054B"/>
    <w:rsid w:val="006B059F"/>
    <w:rsid w:val="006B0B5A"/>
    <w:rsid w:val="006B0E3A"/>
    <w:rsid w:val="006B2048"/>
    <w:rsid w:val="006B215A"/>
    <w:rsid w:val="006B2AD6"/>
    <w:rsid w:val="006B342E"/>
    <w:rsid w:val="006B3812"/>
    <w:rsid w:val="006B3B80"/>
    <w:rsid w:val="006B6EF0"/>
    <w:rsid w:val="006B6F32"/>
    <w:rsid w:val="006B7130"/>
    <w:rsid w:val="006B73CC"/>
    <w:rsid w:val="006B7695"/>
    <w:rsid w:val="006C0176"/>
    <w:rsid w:val="006C1783"/>
    <w:rsid w:val="006C2994"/>
    <w:rsid w:val="006C35EC"/>
    <w:rsid w:val="006C3F66"/>
    <w:rsid w:val="006C4150"/>
    <w:rsid w:val="006C4382"/>
    <w:rsid w:val="006C4891"/>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183C"/>
    <w:rsid w:val="006E1AF3"/>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5B3F"/>
    <w:rsid w:val="007063BD"/>
    <w:rsid w:val="00706A58"/>
    <w:rsid w:val="00707517"/>
    <w:rsid w:val="007078ED"/>
    <w:rsid w:val="00710187"/>
    <w:rsid w:val="007101D7"/>
    <w:rsid w:val="007110E1"/>
    <w:rsid w:val="00711B18"/>
    <w:rsid w:val="00712283"/>
    <w:rsid w:val="007126D1"/>
    <w:rsid w:val="00712E4D"/>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825"/>
    <w:rsid w:val="00751A33"/>
    <w:rsid w:val="00752741"/>
    <w:rsid w:val="0075369E"/>
    <w:rsid w:val="00753890"/>
    <w:rsid w:val="0075466D"/>
    <w:rsid w:val="007555DF"/>
    <w:rsid w:val="007569DC"/>
    <w:rsid w:val="00756E30"/>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2346"/>
    <w:rsid w:val="007830D9"/>
    <w:rsid w:val="007838CD"/>
    <w:rsid w:val="007839A9"/>
    <w:rsid w:val="007840F3"/>
    <w:rsid w:val="007849BE"/>
    <w:rsid w:val="00785491"/>
    <w:rsid w:val="007858C0"/>
    <w:rsid w:val="0078679A"/>
    <w:rsid w:val="00786BDC"/>
    <w:rsid w:val="007871FE"/>
    <w:rsid w:val="00787C89"/>
    <w:rsid w:val="007908ED"/>
    <w:rsid w:val="00790F74"/>
    <w:rsid w:val="00792005"/>
    <w:rsid w:val="00792014"/>
    <w:rsid w:val="007921CD"/>
    <w:rsid w:val="00792288"/>
    <w:rsid w:val="00792447"/>
    <w:rsid w:val="007928C6"/>
    <w:rsid w:val="00792E73"/>
    <w:rsid w:val="0079405D"/>
    <w:rsid w:val="007965AC"/>
    <w:rsid w:val="0079694C"/>
    <w:rsid w:val="007A0187"/>
    <w:rsid w:val="007A19AC"/>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6758"/>
    <w:rsid w:val="007F6D96"/>
    <w:rsid w:val="00800D05"/>
    <w:rsid w:val="00801D7A"/>
    <w:rsid w:val="008020F2"/>
    <w:rsid w:val="00803C63"/>
    <w:rsid w:val="00803F74"/>
    <w:rsid w:val="00804653"/>
    <w:rsid w:val="00804C48"/>
    <w:rsid w:val="0080505A"/>
    <w:rsid w:val="008060B3"/>
    <w:rsid w:val="00806639"/>
    <w:rsid w:val="00806A8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842"/>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493"/>
    <w:rsid w:val="00843900"/>
    <w:rsid w:val="00844601"/>
    <w:rsid w:val="00844C5B"/>
    <w:rsid w:val="008450C2"/>
    <w:rsid w:val="00845A15"/>
    <w:rsid w:val="0084632F"/>
    <w:rsid w:val="008474A9"/>
    <w:rsid w:val="008504CB"/>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23FA"/>
    <w:rsid w:val="008737AE"/>
    <w:rsid w:val="00873FEA"/>
    <w:rsid w:val="0087419B"/>
    <w:rsid w:val="008744CC"/>
    <w:rsid w:val="00874592"/>
    <w:rsid w:val="0087514B"/>
    <w:rsid w:val="008751C1"/>
    <w:rsid w:val="00876C1B"/>
    <w:rsid w:val="00876E70"/>
    <w:rsid w:val="008804E1"/>
    <w:rsid w:val="008815B6"/>
    <w:rsid w:val="008818F6"/>
    <w:rsid w:val="00881D45"/>
    <w:rsid w:val="0088398E"/>
    <w:rsid w:val="00884794"/>
    <w:rsid w:val="00885182"/>
    <w:rsid w:val="008858B7"/>
    <w:rsid w:val="0088647E"/>
    <w:rsid w:val="00886D52"/>
    <w:rsid w:val="00887215"/>
    <w:rsid w:val="00887C4C"/>
    <w:rsid w:val="00887E02"/>
    <w:rsid w:val="00890382"/>
    <w:rsid w:val="0089046A"/>
    <w:rsid w:val="00891106"/>
    <w:rsid w:val="00892833"/>
    <w:rsid w:val="00892DCB"/>
    <w:rsid w:val="00892F1B"/>
    <w:rsid w:val="00893479"/>
    <w:rsid w:val="0089375D"/>
    <w:rsid w:val="008943CB"/>
    <w:rsid w:val="008946B9"/>
    <w:rsid w:val="0089477A"/>
    <w:rsid w:val="008973C7"/>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A5"/>
    <w:rsid w:val="008C10DC"/>
    <w:rsid w:val="008C1DD7"/>
    <w:rsid w:val="008C26FA"/>
    <w:rsid w:val="008C2BC1"/>
    <w:rsid w:val="008C2C52"/>
    <w:rsid w:val="008C4566"/>
    <w:rsid w:val="008C46B6"/>
    <w:rsid w:val="008C4935"/>
    <w:rsid w:val="008C522A"/>
    <w:rsid w:val="008C5E71"/>
    <w:rsid w:val="008C64E3"/>
    <w:rsid w:val="008C6A8B"/>
    <w:rsid w:val="008C77F7"/>
    <w:rsid w:val="008D00EA"/>
    <w:rsid w:val="008D0D1E"/>
    <w:rsid w:val="008D0F65"/>
    <w:rsid w:val="008D1175"/>
    <w:rsid w:val="008D1627"/>
    <w:rsid w:val="008D19BA"/>
    <w:rsid w:val="008D1DA0"/>
    <w:rsid w:val="008D2828"/>
    <w:rsid w:val="008D284E"/>
    <w:rsid w:val="008D313A"/>
    <w:rsid w:val="008D370C"/>
    <w:rsid w:val="008D4ED3"/>
    <w:rsid w:val="008D54BF"/>
    <w:rsid w:val="008D5DC6"/>
    <w:rsid w:val="008D6A11"/>
    <w:rsid w:val="008E0D4B"/>
    <w:rsid w:val="008E1C27"/>
    <w:rsid w:val="008E1E54"/>
    <w:rsid w:val="008E2057"/>
    <w:rsid w:val="008E31EC"/>
    <w:rsid w:val="008E3C88"/>
    <w:rsid w:val="008E488D"/>
    <w:rsid w:val="008E4E17"/>
    <w:rsid w:val="008E5337"/>
    <w:rsid w:val="008E55FA"/>
    <w:rsid w:val="008E610D"/>
    <w:rsid w:val="008E69A2"/>
    <w:rsid w:val="008E6C3A"/>
    <w:rsid w:val="008E78F2"/>
    <w:rsid w:val="008E7B12"/>
    <w:rsid w:val="008F022C"/>
    <w:rsid w:val="008F152D"/>
    <w:rsid w:val="008F25EF"/>
    <w:rsid w:val="008F2A60"/>
    <w:rsid w:val="008F310D"/>
    <w:rsid w:val="008F3888"/>
    <w:rsid w:val="008F3B22"/>
    <w:rsid w:val="008F43C7"/>
    <w:rsid w:val="008F4823"/>
    <w:rsid w:val="008F606D"/>
    <w:rsid w:val="008F7150"/>
    <w:rsid w:val="008F71CC"/>
    <w:rsid w:val="008F721C"/>
    <w:rsid w:val="00900662"/>
    <w:rsid w:val="00901953"/>
    <w:rsid w:val="00902166"/>
    <w:rsid w:val="00903C31"/>
    <w:rsid w:val="009040A1"/>
    <w:rsid w:val="0090473B"/>
    <w:rsid w:val="0090487F"/>
    <w:rsid w:val="00904A00"/>
    <w:rsid w:val="00904EAB"/>
    <w:rsid w:val="00904EAC"/>
    <w:rsid w:val="00905282"/>
    <w:rsid w:val="00905908"/>
    <w:rsid w:val="00906AD1"/>
    <w:rsid w:val="009075A4"/>
    <w:rsid w:val="009078D3"/>
    <w:rsid w:val="009101AF"/>
    <w:rsid w:val="00911808"/>
    <w:rsid w:val="009145FB"/>
    <w:rsid w:val="0091555E"/>
    <w:rsid w:val="00915786"/>
    <w:rsid w:val="0091746C"/>
    <w:rsid w:val="00917816"/>
    <w:rsid w:val="00917D06"/>
    <w:rsid w:val="00917FBC"/>
    <w:rsid w:val="009207DB"/>
    <w:rsid w:val="00921202"/>
    <w:rsid w:val="00921C00"/>
    <w:rsid w:val="00922024"/>
    <w:rsid w:val="009222A3"/>
    <w:rsid w:val="009224EE"/>
    <w:rsid w:val="00922D24"/>
    <w:rsid w:val="00924853"/>
    <w:rsid w:val="009252E0"/>
    <w:rsid w:val="00925501"/>
    <w:rsid w:val="00926982"/>
    <w:rsid w:val="00926D4C"/>
    <w:rsid w:val="009270C4"/>
    <w:rsid w:val="0093083B"/>
    <w:rsid w:val="0093092B"/>
    <w:rsid w:val="009319D7"/>
    <w:rsid w:val="009325F7"/>
    <w:rsid w:val="00932BCF"/>
    <w:rsid w:val="00933396"/>
    <w:rsid w:val="00934BF6"/>
    <w:rsid w:val="00934D73"/>
    <w:rsid w:val="00935042"/>
    <w:rsid w:val="009354F5"/>
    <w:rsid w:val="00935AF4"/>
    <w:rsid w:val="0093740F"/>
    <w:rsid w:val="00937B4A"/>
    <w:rsid w:val="00937BE9"/>
    <w:rsid w:val="00937C1D"/>
    <w:rsid w:val="00940804"/>
    <w:rsid w:val="00940E9B"/>
    <w:rsid w:val="00940FC3"/>
    <w:rsid w:val="009410B3"/>
    <w:rsid w:val="0094131D"/>
    <w:rsid w:val="009413FC"/>
    <w:rsid w:val="0094166C"/>
    <w:rsid w:val="00941A17"/>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24F"/>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EA5"/>
    <w:rsid w:val="009A07D5"/>
    <w:rsid w:val="009A1FE7"/>
    <w:rsid w:val="009A2967"/>
    <w:rsid w:val="009A2D0D"/>
    <w:rsid w:val="009A3274"/>
    <w:rsid w:val="009A36B7"/>
    <w:rsid w:val="009A3720"/>
    <w:rsid w:val="009A392B"/>
    <w:rsid w:val="009A3D58"/>
    <w:rsid w:val="009A42CF"/>
    <w:rsid w:val="009A44E8"/>
    <w:rsid w:val="009A581E"/>
    <w:rsid w:val="009A698D"/>
    <w:rsid w:val="009A6AB4"/>
    <w:rsid w:val="009A7367"/>
    <w:rsid w:val="009B1DA5"/>
    <w:rsid w:val="009B1E1D"/>
    <w:rsid w:val="009B28FD"/>
    <w:rsid w:val="009B2AD6"/>
    <w:rsid w:val="009B3172"/>
    <w:rsid w:val="009B461D"/>
    <w:rsid w:val="009B4F1F"/>
    <w:rsid w:val="009B5594"/>
    <w:rsid w:val="009B59D4"/>
    <w:rsid w:val="009B59ED"/>
    <w:rsid w:val="009B6405"/>
    <w:rsid w:val="009B688C"/>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9E7"/>
    <w:rsid w:val="009C7B1D"/>
    <w:rsid w:val="009C7F10"/>
    <w:rsid w:val="009C7FF8"/>
    <w:rsid w:val="009D03F1"/>
    <w:rsid w:val="009D0921"/>
    <w:rsid w:val="009D101B"/>
    <w:rsid w:val="009D118E"/>
    <w:rsid w:val="009D1CF4"/>
    <w:rsid w:val="009D271A"/>
    <w:rsid w:val="009D367D"/>
    <w:rsid w:val="009D380F"/>
    <w:rsid w:val="009D518B"/>
    <w:rsid w:val="009D57A7"/>
    <w:rsid w:val="009D65EE"/>
    <w:rsid w:val="009D6865"/>
    <w:rsid w:val="009D6903"/>
    <w:rsid w:val="009E02F1"/>
    <w:rsid w:val="009E0525"/>
    <w:rsid w:val="009E199C"/>
    <w:rsid w:val="009E1F76"/>
    <w:rsid w:val="009E20A6"/>
    <w:rsid w:val="009E233F"/>
    <w:rsid w:val="009E2D54"/>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518"/>
    <w:rsid w:val="00A01A4C"/>
    <w:rsid w:val="00A01C1F"/>
    <w:rsid w:val="00A01C98"/>
    <w:rsid w:val="00A020F7"/>
    <w:rsid w:val="00A025E5"/>
    <w:rsid w:val="00A04757"/>
    <w:rsid w:val="00A04B2F"/>
    <w:rsid w:val="00A04BF2"/>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3B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2590"/>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0769"/>
    <w:rsid w:val="00A815B6"/>
    <w:rsid w:val="00A81953"/>
    <w:rsid w:val="00A823D7"/>
    <w:rsid w:val="00A827C9"/>
    <w:rsid w:val="00A8350D"/>
    <w:rsid w:val="00A83D74"/>
    <w:rsid w:val="00A85B31"/>
    <w:rsid w:val="00A861F3"/>
    <w:rsid w:val="00A86C48"/>
    <w:rsid w:val="00A90DB1"/>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131E"/>
    <w:rsid w:val="00AA2D62"/>
    <w:rsid w:val="00AA2E2C"/>
    <w:rsid w:val="00AA2E90"/>
    <w:rsid w:val="00AA3077"/>
    <w:rsid w:val="00AA375B"/>
    <w:rsid w:val="00AA38AF"/>
    <w:rsid w:val="00AA450C"/>
    <w:rsid w:val="00AA4B62"/>
    <w:rsid w:val="00AA5EB3"/>
    <w:rsid w:val="00AA6592"/>
    <w:rsid w:val="00AA6916"/>
    <w:rsid w:val="00AB040A"/>
    <w:rsid w:val="00AB110E"/>
    <w:rsid w:val="00AB11CF"/>
    <w:rsid w:val="00AB1287"/>
    <w:rsid w:val="00AB1CE8"/>
    <w:rsid w:val="00AB2F06"/>
    <w:rsid w:val="00AB479A"/>
    <w:rsid w:val="00AB4FFF"/>
    <w:rsid w:val="00AB5190"/>
    <w:rsid w:val="00AB5513"/>
    <w:rsid w:val="00AB5A0C"/>
    <w:rsid w:val="00AB6070"/>
    <w:rsid w:val="00AB6DFC"/>
    <w:rsid w:val="00AB7354"/>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6CE0"/>
    <w:rsid w:val="00AD752F"/>
    <w:rsid w:val="00AE0C8D"/>
    <w:rsid w:val="00AE0E2A"/>
    <w:rsid w:val="00AE1411"/>
    <w:rsid w:val="00AE19B4"/>
    <w:rsid w:val="00AE2330"/>
    <w:rsid w:val="00AE3D96"/>
    <w:rsid w:val="00AE55BC"/>
    <w:rsid w:val="00AE62E7"/>
    <w:rsid w:val="00AE686D"/>
    <w:rsid w:val="00AE68E1"/>
    <w:rsid w:val="00AE6B27"/>
    <w:rsid w:val="00AF0DC0"/>
    <w:rsid w:val="00AF0F96"/>
    <w:rsid w:val="00AF21D7"/>
    <w:rsid w:val="00AF28EB"/>
    <w:rsid w:val="00AF2F4C"/>
    <w:rsid w:val="00AF31BA"/>
    <w:rsid w:val="00AF36B6"/>
    <w:rsid w:val="00AF3BEF"/>
    <w:rsid w:val="00AF4803"/>
    <w:rsid w:val="00AF4D10"/>
    <w:rsid w:val="00AF58CB"/>
    <w:rsid w:val="00AF627F"/>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5D16"/>
    <w:rsid w:val="00B16EBE"/>
    <w:rsid w:val="00B20A44"/>
    <w:rsid w:val="00B20E3B"/>
    <w:rsid w:val="00B21D0E"/>
    <w:rsid w:val="00B22C57"/>
    <w:rsid w:val="00B23C76"/>
    <w:rsid w:val="00B23EEE"/>
    <w:rsid w:val="00B24CBA"/>
    <w:rsid w:val="00B27298"/>
    <w:rsid w:val="00B27384"/>
    <w:rsid w:val="00B276E4"/>
    <w:rsid w:val="00B27A6D"/>
    <w:rsid w:val="00B309F9"/>
    <w:rsid w:val="00B30DAD"/>
    <w:rsid w:val="00B31782"/>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4D9"/>
    <w:rsid w:val="00B51B75"/>
    <w:rsid w:val="00B52AD3"/>
    <w:rsid w:val="00B539EB"/>
    <w:rsid w:val="00B547FE"/>
    <w:rsid w:val="00B54B76"/>
    <w:rsid w:val="00B55ECC"/>
    <w:rsid w:val="00B560E5"/>
    <w:rsid w:val="00B5610F"/>
    <w:rsid w:val="00B576E1"/>
    <w:rsid w:val="00B6088D"/>
    <w:rsid w:val="00B608F1"/>
    <w:rsid w:val="00B60F79"/>
    <w:rsid w:val="00B61158"/>
    <w:rsid w:val="00B61E75"/>
    <w:rsid w:val="00B6252C"/>
    <w:rsid w:val="00B62CBE"/>
    <w:rsid w:val="00B62EFD"/>
    <w:rsid w:val="00B63999"/>
    <w:rsid w:val="00B63B4A"/>
    <w:rsid w:val="00B63E1F"/>
    <w:rsid w:val="00B641C5"/>
    <w:rsid w:val="00B64F8D"/>
    <w:rsid w:val="00B6533C"/>
    <w:rsid w:val="00B6538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536"/>
    <w:rsid w:val="00B8270D"/>
    <w:rsid w:val="00B827F1"/>
    <w:rsid w:val="00B82B33"/>
    <w:rsid w:val="00B8384C"/>
    <w:rsid w:val="00B843A1"/>
    <w:rsid w:val="00B8441F"/>
    <w:rsid w:val="00B854BE"/>
    <w:rsid w:val="00B85704"/>
    <w:rsid w:val="00B86421"/>
    <w:rsid w:val="00B866BF"/>
    <w:rsid w:val="00B868D6"/>
    <w:rsid w:val="00B86D0A"/>
    <w:rsid w:val="00B8748B"/>
    <w:rsid w:val="00B87B3F"/>
    <w:rsid w:val="00B90972"/>
    <w:rsid w:val="00B91818"/>
    <w:rsid w:val="00B918FD"/>
    <w:rsid w:val="00B922D6"/>
    <w:rsid w:val="00B92819"/>
    <w:rsid w:val="00B9376C"/>
    <w:rsid w:val="00B93E18"/>
    <w:rsid w:val="00B93E2C"/>
    <w:rsid w:val="00B94BE5"/>
    <w:rsid w:val="00B956B9"/>
    <w:rsid w:val="00B95B44"/>
    <w:rsid w:val="00B96069"/>
    <w:rsid w:val="00BA0A76"/>
    <w:rsid w:val="00BA11A9"/>
    <w:rsid w:val="00BA1642"/>
    <w:rsid w:val="00BA30C2"/>
    <w:rsid w:val="00BA31C6"/>
    <w:rsid w:val="00BA4B0A"/>
    <w:rsid w:val="00BA4FE7"/>
    <w:rsid w:val="00BA699B"/>
    <w:rsid w:val="00BA76AB"/>
    <w:rsid w:val="00BA7ADD"/>
    <w:rsid w:val="00BB0225"/>
    <w:rsid w:val="00BB0423"/>
    <w:rsid w:val="00BB1D73"/>
    <w:rsid w:val="00BB2CE4"/>
    <w:rsid w:val="00BB2D17"/>
    <w:rsid w:val="00BB2D1B"/>
    <w:rsid w:val="00BB42D2"/>
    <w:rsid w:val="00BB4B19"/>
    <w:rsid w:val="00BB6ECF"/>
    <w:rsid w:val="00BB74B3"/>
    <w:rsid w:val="00BB777A"/>
    <w:rsid w:val="00BC06FE"/>
    <w:rsid w:val="00BC1765"/>
    <w:rsid w:val="00BC1FD6"/>
    <w:rsid w:val="00BC25D7"/>
    <w:rsid w:val="00BC320C"/>
    <w:rsid w:val="00BC4883"/>
    <w:rsid w:val="00BC5454"/>
    <w:rsid w:val="00BC5F7F"/>
    <w:rsid w:val="00BC74EE"/>
    <w:rsid w:val="00BC777E"/>
    <w:rsid w:val="00BD219A"/>
    <w:rsid w:val="00BD2C42"/>
    <w:rsid w:val="00BD2EF9"/>
    <w:rsid w:val="00BD2F1D"/>
    <w:rsid w:val="00BD3997"/>
    <w:rsid w:val="00BD5D7E"/>
    <w:rsid w:val="00BD67BE"/>
    <w:rsid w:val="00BD6EF9"/>
    <w:rsid w:val="00BD754C"/>
    <w:rsid w:val="00BD764C"/>
    <w:rsid w:val="00BD78C6"/>
    <w:rsid w:val="00BE01E1"/>
    <w:rsid w:val="00BE07A5"/>
    <w:rsid w:val="00BE15DA"/>
    <w:rsid w:val="00BE18D3"/>
    <w:rsid w:val="00BE19AD"/>
    <w:rsid w:val="00BE369C"/>
    <w:rsid w:val="00BE4FBC"/>
    <w:rsid w:val="00BE5B7C"/>
    <w:rsid w:val="00BE6DBE"/>
    <w:rsid w:val="00BE72FD"/>
    <w:rsid w:val="00BE733C"/>
    <w:rsid w:val="00BE73D4"/>
    <w:rsid w:val="00BE7592"/>
    <w:rsid w:val="00BE7AF2"/>
    <w:rsid w:val="00BF1EF8"/>
    <w:rsid w:val="00BF25A9"/>
    <w:rsid w:val="00BF2DE5"/>
    <w:rsid w:val="00BF4429"/>
    <w:rsid w:val="00BF4C49"/>
    <w:rsid w:val="00BF4D1A"/>
    <w:rsid w:val="00BF5168"/>
    <w:rsid w:val="00BF51C9"/>
    <w:rsid w:val="00BF5A5B"/>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16AA2"/>
    <w:rsid w:val="00C2092E"/>
    <w:rsid w:val="00C20F37"/>
    <w:rsid w:val="00C213FD"/>
    <w:rsid w:val="00C21C42"/>
    <w:rsid w:val="00C23520"/>
    <w:rsid w:val="00C241FD"/>
    <w:rsid w:val="00C2440F"/>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533"/>
    <w:rsid w:val="00C357CB"/>
    <w:rsid w:val="00C35C8E"/>
    <w:rsid w:val="00C36B1D"/>
    <w:rsid w:val="00C3742C"/>
    <w:rsid w:val="00C410D2"/>
    <w:rsid w:val="00C41363"/>
    <w:rsid w:val="00C42A78"/>
    <w:rsid w:val="00C437D6"/>
    <w:rsid w:val="00C45C94"/>
    <w:rsid w:val="00C4601D"/>
    <w:rsid w:val="00C46612"/>
    <w:rsid w:val="00C466B7"/>
    <w:rsid w:val="00C509D2"/>
    <w:rsid w:val="00C50C54"/>
    <w:rsid w:val="00C51CCA"/>
    <w:rsid w:val="00C523ED"/>
    <w:rsid w:val="00C53131"/>
    <w:rsid w:val="00C54473"/>
    <w:rsid w:val="00C54789"/>
    <w:rsid w:val="00C55945"/>
    <w:rsid w:val="00C55D94"/>
    <w:rsid w:val="00C55DCB"/>
    <w:rsid w:val="00C55FBB"/>
    <w:rsid w:val="00C57582"/>
    <w:rsid w:val="00C57E1C"/>
    <w:rsid w:val="00C608EF"/>
    <w:rsid w:val="00C60D60"/>
    <w:rsid w:val="00C612BB"/>
    <w:rsid w:val="00C612BF"/>
    <w:rsid w:val="00C61338"/>
    <w:rsid w:val="00C6171C"/>
    <w:rsid w:val="00C6207E"/>
    <w:rsid w:val="00C6324D"/>
    <w:rsid w:val="00C636A1"/>
    <w:rsid w:val="00C64FAE"/>
    <w:rsid w:val="00C66344"/>
    <w:rsid w:val="00C66EDC"/>
    <w:rsid w:val="00C674F7"/>
    <w:rsid w:val="00C67D05"/>
    <w:rsid w:val="00C714EE"/>
    <w:rsid w:val="00C7175C"/>
    <w:rsid w:val="00C731E1"/>
    <w:rsid w:val="00C73883"/>
    <w:rsid w:val="00C7443F"/>
    <w:rsid w:val="00C745D7"/>
    <w:rsid w:val="00C75513"/>
    <w:rsid w:val="00C7702A"/>
    <w:rsid w:val="00C7732F"/>
    <w:rsid w:val="00C773C8"/>
    <w:rsid w:val="00C8078F"/>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075"/>
    <w:rsid w:val="00C94499"/>
    <w:rsid w:val="00C9491A"/>
    <w:rsid w:val="00C94BE9"/>
    <w:rsid w:val="00C95DD7"/>
    <w:rsid w:val="00C95ED6"/>
    <w:rsid w:val="00C96BBB"/>
    <w:rsid w:val="00CA0413"/>
    <w:rsid w:val="00CA04D5"/>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2282"/>
    <w:rsid w:val="00CB2F02"/>
    <w:rsid w:val="00CB44CC"/>
    <w:rsid w:val="00CB4522"/>
    <w:rsid w:val="00CB52BB"/>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24B9"/>
    <w:rsid w:val="00CE2B04"/>
    <w:rsid w:val="00CE2DCD"/>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D19"/>
    <w:rsid w:val="00D01EBC"/>
    <w:rsid w:val="00D036AC"/>
    <w:rsid w:val="00D03DE1"/>
    <w:rsid w:val="00D03EDD"/>
    <w:rsid w:val="00D03EEF"/>
    <w:rsid w:val="00D04F08"/>
    <w:rsid w:val="00D050BB"/>
    <w:rsid w:val="00D07010"/>
    <w:rsid w:val="00D07087"/>
    <w:rsid w:val="00D07A1B"/>
    <w:rsid w:val="00D07E2A"/>
    <w:rsid w:val="00D11666"/>
    <w:rsid w:val="00D11D07"/>
    <w:rsid w:val="00D138F2"/>
    <w:rsid w:val="00D1489F"/>
    <w:rsid w:val="00D157E1"/>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7131"/>
    <w:rsid w:val="00D31AD0"/>
    <w:rsid w:val="00D31BBD"/>
    <w:rsid w:val="00D34305"/>
    <w:rsid w:val="00D34E83"/>
    <w:rsid w:val="00D35189"/>
    <w:rsid w:val="00D352D0"/>
    <w:rsid w:val="00D36F45"/>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202"/>
    <w:rsid w:val="00D628AF"/>
    <w:rsid w:val="00D6294B"/>
    <w:rsid w:val="00D62D07"/>
    <w:rsid w:val="00D654F8"/>
    <w:rsid w:val="00D66697"/>
    <w:rsid w:val="00D676B3"/>
    <w:rsid w:val="00D6787A"/>
    <w:rsid w:val="00D67ACA"/>
    <w:rsid w:val="00D67F69"/>
    <w:rsid w:val="00D70AEB"/>
    <w:rsid w:val="00D71103"/>
    <w:rsid w:val="00D71213"/>
    <w:rsid w:val="00D713E4"/>
    <w:rsid w:val="00D72FAD"/>
    <w:rsid w:val="00D7314F"/>
    <w:rsid w:val="00D73259"/>
    <w:rsid w:val="00D732D3"/>
    <w:rsid w:val="00D73678"/>
    <w:rsid w:val="00D73AF1"/>
    <w:rsid w:val="00D73E22"/>
    <w:rsid w:val="00D73E64"/>
    <w:rsid w:val="00D74504"/>
    <w:rsid w:val="00D74639"/>
    <w:rsid w:val="00D74926"/>
    <w:rsid w:val="00D75407"/>
    <w:rsid w:val="00D75449"/>
    <w:rsid w:val="00D7563E"/>
    <w:rsid w:val="00D75A57"/>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7F5"/>
    <w:rsid w:val="00DB0F33"/>
    <w:rsid w:val="00DB1595"/>
    <w:rsid w:val="00DB297D"/>
    <w:rsid w:val="00DB2B7E"/>
    <w:rsid w:val="00DB2BA7"/>
    <w:rsid w:val="00DB2F6C"/>
    <w:rsid w:val="00DB345D"/>
    <w:rsid w:val="00DB5719"/>
    <w:rsid w:val="00DB624E"/>
    <w:rsid w:val="00DB64DB"/>
    <w:rsid w:val="00DB65FF"/>
    <w:rsid w:val="00DB7C6B"/>
    <w:rsid w:val="00DC02EA"/>
    <w:rsid w:val="00DC1309"/>
    <w:rsid w:val="00DC16F9"/>
    <w:rsid w:val="00DC1CA6"/>
    <w:rsid w:val="00DC20CF"/>
    <w:rsid w:val="00DC23BC"/>
    <w:rsid w:val="00DC3472"/>
    <w:rsid w:val="00DC4B44"/>
    <w:rsid w:val="00DC5C38"/>
    <w:rsid w:val="00DC61A3"/>
    <w:rsid w:val="00DC76E7"/>
    <w:rsid w:val="00DC7E69"/>
    <w:rsid w:val="00DD0467"/>
    <w:rsid w:val="00DD15EF"/>
    <w:rsid w:val="00DD1738"/>
    <w:rsid w:val="00DD190E"/>
    <w:rsid w:val="00DD3316"/>
    <w:rsid w:val="00DD3734"/>
    <w:rsid w:val="00DD3E02"/>
    <w:rsid w:val="00DD45AF"/>
    <w:rsid w:val="00DD5654"/>
    <w:rsid w:val="00DD5E57"/>
    <w:rsid w:val="00DD60E3"/>
    <w:rsid w:val="00DD62DC"/>
    <w:rsid w:val="00DD6572"/>
    <w:rsid w:val="00DD7A7B"/>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C1C"/>
    <w:rsid w:val="00DF0111"/>
    <w:rsid w:val="00DF01E6"/>
    <w:rsid w:val="00DF14DF"/>
    <w:rsid w:val="00DF2247"/>
    <w:rsid w:val="00DF2353"/>
    <w:rsid w:val="00DF3AB2"/>
    <w:rsid w:val="00DF4116"/>
    <w:rsid w:val="00DF5129"/>
    <w:rsid w:val="00DF5784"/>
    <w:rsid w:val="00DF58B8"/>
    <w:rsid w:val="00DF5FF8"/>
    <w:rsid w:val="00DF600F"/>
    <w:rsid w:val="00DF6EE5"/>
    <w:rsid w:val="00DF7E7E"/>
    <w:rsid w:val="00E0077B"/>
    <w:rsid w:val="00E00898"/>
    <w:rsid w:val="00E01A78"/>
    <w:rsid w:val="00E029C7"/>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3AA1"/>
    <w:rsid w:val="00E149F4"/>
    <w:rsid w:val="00E14A90"/>
    <w:rsid w:val="00E14B4D"/>
    <w:rsid w:val="00E17F53"/>
    <w:rsid w:val="00E20354"/>
    <w:rsid w:val="00E207DB"/>
    <w:rsid w:val="00E20BB5"/>
    <w:rsid w:val="00E21F5A"/>
    <w:rsid w:val="00E221D8"/>
    <w:rsid w:val="00E234F1"/>
    <w:rsid w:val="00E2355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0D3E"/>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5783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D61"/>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662"/>
    <w:rsid w:val="00EA7CC3"/>
    <w:rsid w:val="00EB016F"/>
    <w:rsid w:val="00EB04F4"/>
    <w:rsid w:val="00EB05E3"/>
    <w:rsid w:val="00EB212C"/>
    <w:rsid w:val="00EB2216"/>
    <w:rsid w:val="00EB27D1"/>
    <w:rsid w:val="00EB29D8"/>
    <w:rsid w:val="00EB33F4"/>
    <w:rsid w:val="00EB3B9C"/>
    <w:rsid w:val="00EB40E0"/>
    <w:rsid w:val="00EB4C04"/>
    <w:rsid w:val="00EB6502"/>
    <w:rsid w:val="00EB7D9C"/>
    <w:rsid w:val="00EC01F0"/>
    <w:rsid w:val="00EC1406"/>
    <w:rsid w:val="00EC1526"/>
    <w:rsid w:val="00EC194D"/>
    <w:rsid w:val="00EC23F3"/>
    <w:rsid w:val="00EC2677"/>
    <w:rsid w:val="00EC2AB5"/>
    <w:rsid w:val="00EC36F2"/>
    <w:rsid w:val="00EC4B79"/>
    <w:rsid w:val="00EC4F33"/>
    <w:rsid w:val="00EC7E82"/>
    <w:rsid w:val="00ED00D7"/>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5E4"/>
    <w:rsid w:val="00EF689A"/>
    <w:rsid w:val="00F02BAD"/>
    <w:rsid w:val="00F0319D"/>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2B17"/>
    <w:rsid w:val="00F231F0"/>
    <w:rsid w:val="00F24787"/>
    <w:rsid w:val="00F25311"/>
    <w:rsid w:val="00F259A5"/>
    <w:rsid w:val="00F263E5"/>
    <w:rsid w:val="00F301E0"/>
    <w:rsid w:val="00F307CC"/>
    <w:rsid w:val="00F30993"/>
    <w:rsid w:val="00F30BBA"/>
    <w:rsid w:val="00F31630"/>
    <w:rsid w:val="00F31A8F"/>
    <w:rsid w:val="00F320C0"/>
    <w:rsid w:val="00F32D63"/>
    <w:rsid w:val="00F33C8D"/>
    <w:rsid w:val="00F34012"/>
    <w:rsid w:val="00F343A3"/>
    <w:rsid w:val="00F34C99"/>
    <w:rsid w:val="00F3531A"/>
    <w:rsid w:val="00F353E8"/>
    <w:rsid w:val="00F35AB2"/>
    <w:rsid w:val="00F37CFB"/>
    <w:rsid w:val="00F400FB"/>
    <w:rsid w:val="00F40819"/>
    <w:rsid w:val="00F40A48"/>
    <w:rsid w:val="00F41DB0"/>
    <w:rsid w:val="00F42B76"/>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58DA"/>
    <w:rsid w:val="00F5704A"/>
    <w:rsid w:val="00F605AE"/>
    <w:rsid w:val="00F60DF3"/>
    <w:rsid w:val="00F62057"/>
    <w:rsid w:val="00F62597"/>
    <w:rsid w:val="00F6264B"/>
    <w:rsid w:val="00F6290C"/>
    <w:rsid w:val="00F646C8"/>
    <w:rsid w:val="00F67988"/>
    <w:rsid w:val="00F67C01"/>
    <w:rsid w:val="00F70909"/>
    <w:rsid w:val="00F70F83"/>
    <w:rsid w:val="00F7114B"/>
    <w:rsid w:val="00F721EF"/>
    <w:rsid w:val="00F727AD"/>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9D9"/>
    <w:rsid w:val="00F91D47"/>
    <w:rsid w:val="00F9205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B5F12"/>
    <w:rsid w:val="00FC072E"/>
    <w:rsid w:val="00FC1364"/>
    <w:rsid w:val="00FC4323"/>
    <w:rsid w:val="00FC4F56"/>
    <w:rsid w:val="00FC51AE"/>
    <w:rsid w:val="00FC550A"/>
    <w:rsid w:val="00FC551E"/>
    <w:rsid w:val="00FC568A"/>
    <w:rsid w:val="00FC5790"/>
    <w:rsid w:val="00FC584D"/>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6726"/>
    <w:rsid w:val="00FD7F6B"/>
    <w:rsid w:val="00FE0948"/>
    <w:rsid w:val="00FE1880"/>
    <w:rsid w:val="00FE3256"/>
    <w:rsid w:val="00FE3F8E"/>
    <w:rsid w:val="00FE445D"/>
    <w:rsid w:val="00FE47ED"/>
    <w:rsid w:val="00FE5101"/>
    <w:rsid w:val="00FE5AA7"/>
    <w:rsid w:val="00FE6135"/>
    <w:rsid w:val="00FE61DC"/>
    <w:rsid w:val="00FE64AE"/>
    <w:rsid w:val="00FE67D0"/>
    <w:rsid w:val="00FE689B"/>
    <w:rsid w:val="00FE7081"/>
    <w:rsid w:val="00FE79CE"/>
    <w:rsid w:val="00FF06FA"/>
    <w:rsid w:val="00FF081E"/>
    <w:rsid w:val="00FF145C"/>
    <w:rsid w:val="00FF26EE"/>
    <w:rsid w:val="00FF28EC"/>
    <w:rsid w:val="00FF3846"/>
    <w:rsid w:val="00FF47A3"/>
    <w:rsid w:val="00FF4B3F"/>
    <w:rsid w:val="00FF4B43"/>
    <w:rsid w:val="00FF574F"/>
    <w:rsid w:val="011E42FB"/>
    <w:rsid w:val="012146C6"/>
    <w:rsid w:val="0147774E"/>
    <w:rsid w:val="01826AB0"/>
    <w:rsid w:val="01BB7833"/>
    <w:rsid w:val="022109D6"/>
    <w:rsid w:val="028440C8"/>
    <w:rsid w:val="02AD2638"/>
    <w:rsid w:val="02DF39F5"/>
    <w:rsid w:val="02DF57A3"/>
    <w:rsid w:val="02F474A0"/>
    <w:rsid w:val="02F70D3E"/>
    <w:rsid w:val="032A2EC2"/>
    <w:rsid w:val="03830824"/>
    <w:rsid w:val="039447DF"/>
    <w:rsid w:val="039D7B38"/>
    <w:rsid w:val="04A863DD"/>
    <w:rsid w:val="051437F5"/>
    <w:rsid w:val="0549003C"/>
    <w:rsid w:val="056E3497"/>
    <w:rsid w:val="05821997"/>
    <w:rsid w:val="05ED01D7"/>
    <w:rsid w:val="0600615C"/>
    <w:rsid w:val="06BD5DFB"/>
    <w:rsid w:val="0730481F"/>
    <w:rsid w:val="075F5104"/>
    <w:rsid w:val="07A862BC"/>
    <w:rsid w:val="07ED3559"/>
    <w:rsid w:val="08435AFA"/>
    <w:rsid w:val="086504F8"/>
    <w:rsid w:val="089112ED"/>
    <w:rsid w:val="08B52CAD"/>
    <w:rsid w:val="08C6543B"/>
    <w:rsid w:val="090C7C1B"/>
    <w:rsid w:val="091415AD"/>
    <w:rsid w:val="09167A44"/>
    <w:rsid w:val="09173EE8"/>
    <w:rsid w:val="094E71DE"/>
    <w:rsid w:val="097035F9"/>
    <w:rsid w:val="0983332C"/>
    <w:rsid w:val="09BC513A"/>
    <w:rsid w:val="09CF47C3"/>
    <w:rsid w:val="09D21BBD"/>
    <w:rsid w:val="09F50D92"/>
    <w:rsid w:val="09F77876"/>
    <w:rsid w:val="0A522CFE"/>
    <w:rsid w:val="0A7333A0"/>
    <w:rsid w:val="0A7E3AF3"/>
    <w:rsid w:val="0A9B6453"/>
    <w:rsid w:val="0B310B66"/>
    <w:rsid w:val="0BC8278A"/>
    <w:rsid w:val="0BCF0AAA"/>
    <w:rsid w:val="0BD87233"/>
    <w:rsid w:val="0BE40B36"/>
    <w:rsid w:val="0C1741FF"/>
    <w:rsid w:val="0C4C5587"/>
    <w:rsid w:val="0C540FAF"/>
    <w:rsid w:val="0CBE28CD"/>
    <w:rsid w:val="0D103128"/>
    <w:rsid w:val="0D272220"/>
    <w:rsid w:val="0DBA3094"/>
    <w:rsid w:val="0DC14423"/>
    <w:rsid w:val="0DC67029"/>
    <w:rsid w:val="0E6E6F80"/>
    <w:rsid w:val="0E811E04"/>
    <w:rsid w:val="0E83792A"/>
    <w:rsid w:val="0E927CAF"/>
    <w:rsid w:val="0ED02896"/>
    <w:rsid w:val="0F0A1A58"/>
    <w:rsid w:val="0F1F3AF7"/>
    <w:rsid w:val="0F221E2D"/>
    <w:rsid w:val="0F3F73F8"/>
    <w:rsid w:val="0F851480"/>
    <w:rsid w:val="0F96368D"/>
    <w:rsid w:val="0FCD5301"/>
    <w:rsid w:val="0FD50659"/>
    <w:rsid w:val="0FF30ADF"/>
    <w:rsid w:val="0FF94323"/>
    <w:rsid w:val="100B7ABF"/>
    <w:rsid w:val="100B7BD7"/>
    <w:rsid w:val="108D4A90"/>
    <w:rsid w:val="109E0A4B"/>
    <w:rsid w:val="10AA5642"/>
    <w:rsid w:val="10B244F7"/>
    <w:rsid w:val="11390308"/>
    <w:rsid w:val="116A6839"/>
    <w:rsid w:val="11BE63FD"/>
    <w:rsid w:val="12045226"/>
    <w:rsid w:val="122431D2"/>
    <w:rsid w:val="12301B77"/>
    <w:rsid w:val="128E0FD0"/>
    <w:rsid w:val="129C720C"/>
    <w:rsid w:val="12B44007"/>
    <w:rsid w:val="13653AA2"/>
    <w:rsid w:val="139A199E"/>
    <w:rsid w:val="13E2653D"/>
    <w:rsid w:val="13E66D5F"/>
    <w:rsid w:val="143D7A04"/>
    <w:rsid w:val="1457788F"/>
    <w:rsid w:val="145C4EA5"/>
    <w:rsid w:val="14885C9A"/>
    <w:rsid w:val="149D2EF7"/>
    <w:rsid w:val="150F0169"/>
    <w:rsid w:val="153951E6"/>
    <w:rsid w:val="15475B55"/>
    <w:rsid w:val="1585244F"/>
    <w:rsid w:val="15A96EA0"/>
    <w:rsid w:val="15AE34DE"/>
    <w:rsid w:val="15BA3EE0"/>
    <w:rsid w:val="15D60C87"/>
    <w:rsid w:val="15D942D4"/>
    <w:rsid w:val="161A1EE6"/>
    <w:rsid w:val="16210154"/>
    <w:rsid w:val="164717FA"/>
    <w:rsid w:val="16534086"/>
    <w:rsid w:val="16734728"/>
    <w:rsid w:val="16AE5760"/>
    <w:rsid w:val="16DF4158"/>
    <w:rsid w:val="172A128B"/>
    <w:rsid w:val="172D4A9A"/>
    <w:rsid w:val="1783099B"/>
    <w:rsid w:val="17854713"/>
    <w:rsid w:val="17EE4066"/>
    <w:rsid w:val="184E2D57"/>
    <w:rsid w:val="187A44BF"/>
    <w:rsid w:val="191F46F3"/>
    <w:rsid w:val="194128BC"/>
    <w:rsid w:val="1968609A"/>
    <w:rsid w:val="198E1224"/>
    <w:rsid w:val="19A1335A"/>
    <w:rsid w:val="19A846E9"/>
    <w:rsid w:val="19D166EB"/>
    <w:rsid w:val="1A4B2B77"/>
    <w:rsid w:val="1A510CFD"/>
    <w:rsid w:val="1AE45BF4"/>
    <w:rsid w:val="1B325F2A"/>
    <w:rsid w:val="1B391A9C"/>
    <w:rsid w:val="1B5E59A7"/>
    <w:rsid w:val="1BCD0437"/>
    <w:rsid w:val="1BF12377"/>
    <w:rsid w:val="1C1442B7"/>
    <w:rsid w:val="1C7A05BE"/>
    <w:rsid w:val="1CB810E7"/>
    <w:rsid w:val="1CFC5477"/>
    <w:rsid w:val="1D5B2B38"/>
    <w:rsid w:val="1D5F77B4"/>
    <w:rsid w:val="1D647588"/>
    <w:rsid w:val="1D9456B0"/>
    <w:rsid w:val="1E075E82"/>
    <w:rsid w:val="1E635082"/>
    <w:rsid w:val="1EAE454F"/>
    <w:rsid w:val="1EC21DA9"/>
    <w:rsid w:val="1EC8325D"/>
    <w:rsid w:val="1EE402F0"/>
    <w:rsid w:val="1F074571"/>
    <w:rsid w:val="1F26058A"/>
    <w:rsid w:val="1F345F2A"/>
    <w:rsid w:val="1F38650F"/>
    <w:rsid w:val="1F630ECE"/>
    <w:rsid w:val="1F7F5EEC"/>
    <w:rsid w:val="1FAD4807"/>
    <w:rsid w:val="200D34F7"/>
    <w:rsid w:val="20136861"/>
    <w:rsid w:val="20762AAE"/>
    <w:rsid w:val="208F215E"/>
    <w:rsid w:val="20B35E4D"/>
    <w:rsid w:val="20D65FDF"/>
    <w:rsid w:val="211508B6"/>
    <w:rsid w:val="219A1B7F"/>
    <w:rsid w:val="21AB2FC8"/>
    <w:rsid w:val="21BE2CFB"/>
    <w:rsid w:val="21C2373D"/>
    <w:rsid w:val="21EB5ABA"/>
    <w:rsid w:val="226D64CF"/>
    <w:rsid w:val="22837FA0"/>
    <w:rsid w:val="23256DAA"/>
    <w:rsid w:val="23384D2F"/>
    <w:rsid w:val="23A91789"/>
    <w:rsid w:val="23AA6A32"/>
    <w:rsid w:val="23C92457"/>
    <w:rsid w:val="23ED4805"/>
    <w:rsid w:val="253432D4"/>
    <w:rsid w:val="253F4153"/>
    <w:rsid w:val="25902C01"/>
    <w:rsid w:val="25A45F14"/>
    <w:rsid w:val="25BA6091"/>
    <w:rsid w:val="25DB430B"/>
    <w:rsid w:val="25DB5773"/>
    <w:rsid w:val="25F11338"/>
    <w:rsid w:val="26170C2C"/>
    <w:rsid w:val="262D044F"/>
    <w:rsid w:val="26E74279"/>
    <w:rsid w:val="271E7AF0"/>
    <w:rsid w:val="275375C4"/>
    <w:rsid w:val="27781B9E"/>
    <w:rsid w:val="278609C1"/>
    <w:rsid w:val="27A75FE0"/>
    <w:rsid w:val="28845678"/>
    <w:rsid w:val="28A013AD"/>
    <w:rsid w:val="290F02E0"/>
    <w:rsid w:val="292A6EC8"/>
    <w:rsid w:val="29392739"/>
    <w:rsid w:val="2949443E"/>
    <w:rsid w:val="29C410CB"/>
    <w:rsid w:val="2A3049B2"/>
    <w:rsid w:val="2A383867"/>
    <w:rsid w:val="2A5C65ED"/>
    <w:rsid w:val="2A671E49"/>
    <w:rsid w:val="2A744F95"/>
    <w:rsid w:val="2A7C3754"/>
    <w:rsid w:val="2B033371"/>
    <w:rsid w:val="2B157704"/>
    <w:rsid w:val="2B204A27"/>
    <w:rsid w:val="2B285689"/>
    <w:rsid w:val="2C1F083A"/>
    <w:rsid w:val="2C240F34"/>
    <w:rsid w:val="2C580728"/>
    <w:rsid w:val="2C64115C"/>
    <w:rsid w:val="2C701096"/>
    <w:rsid w:val="2C842D93"/>
    <w:rsid w:val="2CB35427"/>
    <w:rsid w:val="2D0B54A3"/>
    <w:rsid w:val="2D0D2D89"/>
    <w:rsid w:val="2D12214D"/>
    <w:rsid w:val="2D230138"/>
    <w:rsid w:val="2D915768"/>
    <w:rsid w:val="2D947006"/>
    <w:rsid w:val="2DC117B7"/>
    <w:rsid w:val="2DFF6B75"/>
    <w:rsid w:val="2E3B3926"/>
    <w:rsid w:val="2E4A5917"/>
    <w:rsid w:val="2ECE02F6"/>
    <w:rsid w:val="2F3565C7"/>
    <w:rsid w:val="2FC260AC"/>
    <w:rsid w:val="2FDE0A0C"/>
    <w:rsid w:val="300801AF"/>
    <w:rsid w:val="306058C5"/>
    <w:rsid w:val="3063463F"/>
    <w:rsid w:val="30843362"/>
    <w:rsid w:val="30B11567"/>
    <w:rsid w:val="311346E6"/>
    <w:rsid w:val="311A6568"/>
    <w:rsid w:val="316311C9"/>
    <w:rsid w:val="31750EFD"/>
    <w:rsid w:val="31780BAA"/>
    <w:rsid w:val="31F2079F"/>
    <w:rsid w:val="320A23C4"/>
    <w:rsid w:val="323B2146"/>
    <w:rsid w:val="324B16F5"/>
    <w:rsid w:val="32B74B3E"/>
    <w:rsid w:val="32D57EA5"/>
    <w:rsid w:val="330E1609"/>
    <w:rsid w:val="33174961"/>
    <w:rsid w:val="33391DE5"/>
    <w:rsid w:val="334C6AA1"/>
    <w:rsid w:val="33B67A9F"/>
    <w:rsid w:val="33C10429"/>
    <w:rsid w:val="33E00E5D"/>
    <w:rsid w:val="342015F4"/>
    <w:rsid w:val="343B0C90"/>
    <w:rsid w:val="348C46C9"/>
    <w:rsid w:val="34B712E1"/>
    <w:rsid w:val="34E60A39"/>
    <w:rsid w:val="350E769E"/>
    <w:rsid w:val="352E7D40"/>
    <w:rsid w:val="35F66AB0"/>
    <w:rsid w:val="366003CD"/>
    <w:rsid w:val="366307E3"/>
    <w:rsid w:val="366A7BCD"/>
    <w:rsid w:val="36B424C7"/>
    <w:rsid w:val="36D37A50"/>
    <w:rsid w:val="36DD1A1E"/>
    <w:rsid w:val="36F56D67"/>
    <w:rsid w:val="37182A56"/>
    <w:rsid w:val="37424AE0"/>
    <w:rsid w:val="37C13C13"/>
    <w:rsid w:val="37D050DF"/>
    <w:rsid w:val="37D526F5"/>
    <w:rsid w:val="37E868CC"/>
    <w:rsid w:val="37EB3CC7"/>
    <w:rsid w:val="3801798E"/>
    <w:rsid w:val="38042FDA"/>
    <w:rsid w:val="38207E14"/>
    <w:rsid w:val="385E26EA"/>
    <w:rsid w:val="388A1731"/>
    <w:rsid w:val="390C19FD"/>
    <w:rsid w:val="390C2146"/>
    <w:rsid w:val="394A0EC1"/>
    <w:rsid w:val="394B7113"/>
    <w:rsid w:val="395D3221"/>
    <w:rsid w:val="397D4DF2"/>
    <w:rsid w:val="398C01EE"/>
    <w:rsid w:val="39C96612"/>
    <w:rsid w:val="39E3734B"/>
    <w:rsid w:val="3A554E9D"/>
    <w:rsid w:val="3A647D60"/>
    <w:rsid w:val="3AAF36D1"/>
    <w:rsid w:val="3AC30F2B"/>
    <w:rsid w:val="3AE570F3"/>
    <w:rsid w:val="3B045CA0"/>
    <w:rsid w:val="3B355ADA"/>
    <w:rsid w:val="3B4F0A10"/>
    <w:rsid w:val="3B53405D"/>
    <w:rsid w:val="3B910482"/>
    <w:rsid w:val="3BC136BC"/>
    <w:rsid w:val="3BCB0097"/>
    <w:rsid w:val="3BCD02B3"/>
    <w:rsid w:val="3BDC6748"/>
    <w:rsid w:val="3C4816E7"/>
    <w:rsid w:val="3CDF3135"/>
    <w:rsid w:val="3DBD7EB3"/>
    <w:rsid w:val="3E185122"/>
    <w:rsid w:val="3E1F0B6E"/>
    <w:rsid w:val="3E7964D0"/>
    <w:rsid w:val="3EA51073"/>
    <w:rsid w:val="3EA90437"/>
    <w:rsid w:val="3EC86B10"/>
    <w:rsid w:val="3F0110D6"/>
    <w:rsid w:val="3F0538C0"/>
    <w:rsid w:val="3F0D51E3"/>
    <w:rsid w:val="3F316589"/>
    <w:rsid w:val="3F5E5442"/>
    <w:rsid w:val="3F7C2099"/>
    <w:rsid w:val="3FB269C3"/>
    <w:rsid w:val="3FCC0881"/>
    <w:rsid w:val="3FFE2572"/>
    <w:rsid w:val="407A02DD"/>
    <w:rsid w:val="4093139F"/>
    <w:rsid w:val="409F3FC1"/>
    <w:rsid w:val="40C94DC1"/>
    <w:rsid w:val="40DA0D7C"/>
    <w:rsid w:val="40F9630B"/>
    <w:rsid w:val="410061AC"/>
    <w:rsid w:val="414C1C7A"/>
    <w:rsid w:val="41571D6E"/>
    <w:rsid w:val="416F5968"/>
    <w:rsid w:val="4175403A"/>
    <w:rsid w:val="42165DE4"/>
    <w:rsid w:val="423A7D24"/>
    <w:rsid w:val="42B851C3"/>
    <w:rsid w:val="42CA2F3D"/>
    <w:rsid w:val="42D24401"/>
    <w:rsid w:val="42DB3FE5"/>
    <w:rsid w:val="42F02AD9"/>
    <w:rsid w:val="42F40477"/>
    <w:rsid w:val="4379487C"/>
    <w:rsid w:val="43882D11"/>
    <w:rsid w:val="43917E18"/>
    <w:rsid w:val="43CC0E50"/>
    <w:rsid w:val="43D30430"/>
    <w:rsid w:val="43E22422"/>
    <w:rsid w:val="440C56F0"/>
    <w:rsid w:val="4416656F"/>
    <w:rsid w:val="443F1622"/>
    <w:rsid w:val="443F1852"/>
    <w:rsid w:val="443F7874"/>
    <w:rsid w:val="449E1FC4"/>
    <w:rsid w:val="44D95464"/>
    <w:rsid w:val="454268FE"/>
    <w:rsid w:val="459E681C"/>
    <w:rsid w:val="45A258DE"/>
    <w:rsid w:val="45A9293B"/>
    <w:rsid w:val="46164604"/>
    <w:rsid w:val="46252F12"/>
    <w:rsid w:val="46955E71"/>
    <w:rsid w:val="4698326B"/>
    <w:rsid w:val="46C93D6D"/>
    <w:rsid w:val="478F466E"/>
    <w:rsid w:val="47B60CA9"/>
    <w:rsid w:val="47D439C1"/>
    <w:rsid w:val="47D8463C"/>
    <w:rsid w:val="480768FB"/>
    <w:rsid w:val="48D43EA7"/>
    <w:rsid w:val="48E44E8E"/>
    <w:rsid w:val="48F52BF7"/>
    <w:rsid w:val="49423962"/>
    <w:rsid w:val="4942574B"/>
    <w:rsid w:val="496F7B54"/>
    <w:rsid w:val="49ED38CE"/>
    <w:rsid w:val="4A45195C"/>
    <w:rsid w:val="4A4C5267"/>
    <w:rsid w:val="4A8413B5"/>
    <w:rsid w:val="4ABB39CC"/>
    <w:rsid w:val="4B4614E8"/>
    <w:rsid w:val="4BBF3B43"/>
    <w:rsid w:val="4BC62629"/>
    <w:rsid w:val="4BFA131E"/>
    <w:rsid w:val="4C123498"/>
    <w:rsid w:val="4C4B0C8F"/>
    <w:rsid w:val="4C4C6FD2"/>
    <w:rsid w:val="4C5C2F8D"/>
    <w:rsid w:val="4C5D6A3D"/>
    <w:rsid w:val="4C6F3353"/>
    <w:rsid w:val="4CEA0599"/>
    <w:rsid w:val="4CFB5E89"/>
    <w:rsid w:val="4D1D096E"/>
    <w:rsid w:val="4D3604FB"/>
    <w:rsid w:val="4D695962"/>
    <w:rsid w:val="4D9B75AA"/>
    <w:rsid w:val="4DAA348C"/>
    <w:rsid w:val="4DAB5F7A"/>
    <w:rsid w:val="4DC64B62"/>
    <w:rsid w:val="4DEA0BB2"/>
    <w:rsid w:val="4E08517B"/>
    <w:rsid w:val="4E5E2FEC"/>
    <w:rsid w:val="4E7074C0"/>
    <w:rsid w:val="4E773DE0"/>
    <w:rsid w:val="4EEE4370"/>
    <w:rsid w:val="4EF77942"/>
    <w:rsid w:val="4F147B4F"/>
    <w:rsid w:val="4F4A531F"/>
    <w:rsid w:val="4F563CC4"/>
    <w:rsid w:val="4F62701A"/>
    <w:rsid w:val="4F8D5306"/>
    <w:rsid w:val="4F935A2A"/>
    <w:rsid w:val="4FA96D23"/>
    <w:rsid w:val="4FCB6460"/>
    <w:rsid w:val="4FD277EE"/>
    <w:rsid w:val="4FEC07C0"/>
    <w:rsid w:val="507B7E86"/>
    <w:rsid w:val="508235A6"/>
    <w:rsid w:val="508B3E41"/>
    <w:rsid w:val="517D19DC"/>
    <w:rsid w:val="51902ED0"/>
    <w:rsid w:val="51AB5F9B"/>
    <w:rsid w:val="51F24178"/>
    <w:rsid w:val="52103EC1"/>
    <w:rsid w:val="521265C8"/>
    <w:rsid w:val="52326C6A"/>
    <w:rsid w:val="52750905"/>
    <w:rsid w:val="528079D5"/>
    <w:rsid w:val="528A575F"/>
    <w:rsid w:val="52CA0C50"/>
    <w:rsid w:val="5314011E"/>
    <w:rsid w:val="531D66D7"/>
    <w:rsid w:val="532A715E"/>
    <w:rsid w:val="534F73A8"/>
    <w:rsid w:val="53AA2830"/>
    <w:rsid w:val="53B57275"/>
    <w:rsid w:val="54063F0A"/>
    <w:rsid w:val="541C372E"/>
    <w:rsid w:val="543A5809"/>
    <w:rsid w:val="54A454D1"/>
    <w:rsid w:val="54B707A5"/>
    <w:rsid w:val="54CC3B9A"/>
    <w:rsid w:val="553D7DAE"/>
    <w:rsid w:val="553E1482"/>
    <w:rsid w:val="55B25C4E"/>
    <w:rsid w:val="563C1E65"/>
    <w:rsid w:val="566C762D"/>
    <w:rsid w:val="56737851"/>
    <w:rsid w:val="567C04B4"/>
    <w:rsid w:val="56B85264"/>
    <w:rsid w:val="57106E4E"/>
    <w:rsid w:val="58236A15"/>
    <w:rsid w:val="58321EC6"/>
    <w:rsid w:val="586757C9"/>
    <w:rsid w:val="586D09FC"/>
    <w:rsid w:val="58CE0D6F"/>
    <w:rsid w:val="58E01027"/>
    <w:rsid w:val="58ED7447"/>
    <w:rsid w:val="597D4C6F"/>
    <w:rsid w:val="597E09E7"/>
    <w:rsid w:val="598002BB"/>
    <w:rsid w:val="598A2EE8"/>
    <w:rsid w:val="59CD0C23"/>
    <w:rsid w:val="59DB3743"/>
    <w:rsid w:val="59E940B2"/>
    <w:rsid w:val="5A1030D6"/>
    <w:rsid w:val="5A144EA7"/>
    <w:rsid w:val="5A511C57"/>
    <w:rsid w:val="5A5A4FB0"/>
    <w:rsid w:val="5A7140A7"/>
    <w:rsid w:val="5A9A6AF6"/>
    <w:rsid w:val="5AB008FF"/>
    <w:rsid w:val="5ABD109B"/>
    <w:rsid w:val="5B1C2265"/>
    <w:rsid w:val="5B3475AF"/>
    <w:rsid w:val="5B44356A"/>
    <w:rsid w:val="5BF22FC6"/>
    <w:rsid w:val="5C0127C1"/>
    <w:rsid w:val="5C2F7D76"/>
    <w:rsid w:val="5C68451B"/>
    <w:rsid w:val="5C8B76A2"/>
    <w:rsid w:val="5CD31049"/>
    <w:rsid w:val="5D652999"/>
    <w:rsid w:val="5E127950"/>
    <w:rsid w:val="5E2D4789"/>
    <w:rsid w:val="5E5D0BCB"/>
    <w:rsid w:val="5E643D94"/>
    <w:rsid w:val="5EBB7FE7"/>
    <w:rsid w:val="5EC56770"/>
    <w:rsid w:val="5ECD6A1F"/>
    <w:rsid w:val="5EEC4F2C"/>
    <w:rsid w:val="5F0E6369"/>
    <w:rsid w:val="5F1C2834"/>
    <w:rsid w:val="5F312F3C"/>
    <w:rsid w:val="5F3538F6"/>
    <w:rsid w:val="602D281F"/>
    <w:rsid w:val="602D7562"/>
    <w:rsid w:val="60522285"/>
    <w:rsid w:val="606A75CF"/>
    <w:rsid w:val="60865BBB"/>
    <w:rsid w:val="60A70D06"/>
    <w:rsid w:val="60BA08E2"/>
    <w:rsid w:val="61144A0A"/>
    <w:rsid w:val="61FE26C5"/>
    <w:rsid w:val="628030DA"/>
    <w:rsid w:val="629923ED"/>
    <w:rsid w:val="62AE10F5"/>
    <w:rsid w:val="62FE04A2"/>
    <w:rsid w:val="634A36E8"/>
    <w:rsid w:val="637C21A9"/>
    <w:rsid w:val="63985EF5"/>
    <w:rsid w:val="639D7CBB"/>
    <w:rsid w:val="63BE65AF"/>
    <w:rsid w:val="63C565DC"/>
    <w:rsid w:val="64414AEB"/>
    <w:rsid w:val="64540CC2"/>
    <w:rsid w:val="64656A2B"/>
    <w:rsid w:val="6481138B"/>
    <w:rsid w:val="652F0DE7"/>
    <w:rsid w:val="653151B2"/>
    <w:rsid w:val="65654809"/>
    <w:rsid w:val="656B725F"/>
    <w:rsid w:val="65711400"/>
    <w:rsid w:val="659A2704"/>
    <w:rsid w:val="66651FD6"/>
    <w:rsid w:val="666B09B5"/>
    <w:rsid w:val="66885224"/>
    <w:rsid w:val="66967370"/>
    <w:rsid w:val="66E55C01"/>
    <w:rsid w:val="670C13E0"/>
    <w:rsid w:val="67695C49"/>
    <w:rsid w:val="679B09B6"/>
    <w:rsid w:val="67AB0BF9"/>
    <w:rsid w:val="67EE3F89"/>
    <w:rsid w:val="68757459"/>
    <w:rsid w:val="68B65AA7"/>
    <w:rsid w:val="68BA6C07"/>
    <w:rsid w:val="68D357B0"/>
    <w:rsid w:val="690D7691"/>
    <w:rsid w:val="699D71AC"/>
    <w:rsid w:val="69D4537F"/>
    <w:rsid w:val="69E71C90"/>
    <w:rsid w:val="6A583477"/>
    <w:rsid w:val="6A8B4D12"/>
    <w:rsid w:val="6AB8422B"/>
    <w:rsid w:val="6AC33F7B"/>
    <w:rsid w:val="6ACD70D8"/>
    <w:rsid w:val="6AE85CC0"/>
    <w:rsid w:val="6B0D5727"/>
    <w:rsid w:val="6B122D3D"/>
    <w:rsid w:val="6B3B2294"/>
    <w:rsid w:val="6B637FDF"/>
    <w:rsid w:val="6B8329FE"/>
    <w:rsid w:val="6BA77929"/>
    <w:rsid w:val="6BCC7390"/>
    <w:rsid w:val="6CD417E7"/>
    <w:rsid w:val="6CED3A62"/>
    <w:rsid w:val="6D003795"/>
    <w:rsid w:val="6D3C0545"/>
    <w:rsid w:val="6D7777CF"/>
    <w:rsid w:val="6D7F7D4C"/>
    <w:rsid w:val="6D967C55"/>
    <w:rsid w:val="6DB4457F"/>
    <w:rsid w:val="6DC33FAC"/>
    <w:rsid w:val="6E0F17B6"/>
    <w:rsid w:val="6E14501E"/>
    <w:rsid w:val="6E192634"/>
    <w:rsid w:val="6E7C509D"/>
    <w:rsid w:val="6E9323E7"/>
    <w:rsid w:val="6EA77C40"/>
    <w:rsid w:val="6EF510E0"/>
    <w:rsid w:val="6F5E0C47"/>
    <w:rsid w:val="6FC14D32"/>
    <w:rsid w:val="6FD9207B"/>
    <w:rsid w:val="6FED3D79"/>
    <w:rsid w:val="700A0487"/>
    <w:rsid w:val="7078765B"/>
    <w:rsid w:val="70C049EF"/>
    <w:rsid w:val="70D6480D"/>
    <w:rsid w:val="713708B1"/>
    <w:rsid w:val="713736C8"/>
    <w:rsid w:val="717C3606"/>
    <w:rsid w:val="720930EC"/>
    <w:rsid w:val="720F6228"/>
    <w:rsid w:val="724A02DC"/>
    <w:rsid w:val="728B1D53"/>
    <w:rsid w:val="72C214EC"/>
    <w:rsid w:val="72D134DE"/>
    <w:rsid w:val="739C491F"/>
    <w:rsid w:val="74485A21"/>
    <w:rsid w:val="74600FBD"/>
    <w:rsid w:val="74E13391"/>
    <w:rsid w:val="75003798"/>
    <w:rsid w:val="751E0D04"/>
    <w:rsid w:val="752D5343"/>
    <w:rsid w:val="757C1E26"/>
    <w:rsid w:val="75907B95"/>
    <w:rsid w:val="7598276B"/>
    <w:rsid w:val="75F714AD"/>
    <w:rsid w:val="766052A4"/>
    <w:rsid w:val="76724FD8"/>
    <w:rsid w:val="767E1A2F"/>
    <w:rsid w:val="769B62DC"/>
    <w:rsid w:val="76AC6696"/>
    <w:rsid w:val="76C00BDA"/>
    <w:rsid w:val="76C021E7"/>
    <w:rsid w:val="76D10E3F"/>
    <w:rsid w:val="774249AA"/>
    <w:rsid w:val="776E5551"/>
    <w:rsid w:val="77901832"/>
    <w:rsid w:val="779F1DFC"/>
    <w:rsid w:val="77D25D2E"/>
    <w:rsid w:val="786B73C0"/>
    <w:rsid w:val="788D7EA7"/>
    <w:rsid w:val="78BE6326"/>
    <w:rsid w:val="7975773E"/>
    <w:rsid w:val="79891A1F"/>
    <w:rsid w:val="7A0A5C53"/>
    <w:rsid w:val="7A2860D9"/>
    <w:rsid w:val="7A566F50"/>
    <w:rsid w:val="7A5944E4"/>
    <w:rsid w:val="7B450F0D"/>
    <w:rsid w:val="7BA97D63"/>
    <w:rsid w:val="7BC9569A"/>
    <w:rsid w:val="7C077F70"/>
    <w:rsid w:val="7C200665"/>
    <w:rsid w:val="7C6F65D2"/>
    <w:rsid w:val="7CD75D15"/>
    <w:rsid w:val="7CEC561B"/>
    <w:rsid w:val="7D1110A6"/>
    <w:rsid w:val="7D676F18"/>
    <w:rsid w:val="7D761851"/>
    <w:rsid w:val="7D781125"/>
    <w:rsid w:val="7D902913"/>
    <w:rsid w:val="7DB14637"/>
    <w:rsid w:val="7DB23C95"/>
    <w:rsid w:val="7DB54128"/>
    <w:rsid w:val="7DCF4CAA"/>
    <w:rsid w:val="7DDF2F52"/>
    <w:rsid w:val="7E5E656D"/>
    <w:rsid w:val="7E696CC0"/>
    <w:rsid w:val="7EAA17B2"/>
    <w:rsid w:val="7EE50A3C"/>
    <w:rsid w:val="7F17671C"/>
    <w:rsid w:val="7F2350C1"/>
    <w:rsid w:val="7F5D700A"/>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autoRedefine/>
    <w:qFormat/>
    <w:uiPriority w:val="0"/>
    <w:pPr>
      <w:spacing w:before="340" w:after="330" w:line="360" w:lineRule="auto"/>
      <w:jc w:val="center"/>
      <w:outlineLvl w:val="0"/>
    </w:pPr>
    <w:rPr>
      <w:rFonts w:eastAsia="黑体"/>
      <w:kern w:val="44"/>
      <w:szCs w:val="44"/>
    </w:rPr>
  </w:style>
  <w:style w:type="paragraph" w:styleId="3">
    <w:name w:val="heading 2"/>
    <w:basedOn w:val="1"/>
    <w:next w:val="1"/>
    <w:link w:val="72"/>
    <w:autoRedefine/>
    <w:qFormat/>
    <w:uiPriority w:val="0"/>
    <w:pPr>
      <w:adjustRightInd w:val="0"/>
      <w:jc w:val="center"/>
      <w:textAlignment w:val="baseline"/>
      <w:outlineLvl w:val="1"/>
    </w:pPr>
    <w:rPr>
      <w:kern w:val="0"/>
      <w:sz w:val="24"/>
      <w:szCs w:val="20"/>
    </w:rPr>
  </w:style>
  <w:style w:type="paragraph" w:styleId="4">
    <w:name w:val="heading 3"/>
    <w:basedOn w:val="5"/>
    <w:next w:val="1"/>
    <w:link w:val="55"/>
    <w:autoRedefine/>
    <w:qFormat/>
    <w:uiPriority w:val="9"/>
    <w:pPr>
      <w:spacing w:before="260" w:after="260" w:line="240" w:lineRule="auto"/>
      <w:outlineLvl w:val="2"/>
    </w:pPr>
    <w:rPr>
      <w:rFonts w:ascii="宋体" w:hAnsi="宋体" w:eastAsia="宋体"/>
      <w:szCs w:val="32"/>
    </w:rPr>
  </w:style>
  <w:style w:type="paragraph" w:styleId="5">
    <w:name w:val="heading 4"/>
    <w:basedOn w:val="1"/>
    <w:next w:val="1"/>
    <w:link w:val="56"/>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1"/>
    <w:autoRedefine/>
    <w:qFormat/>
    <w:uiPriority w:val="0"/>
    <w:pPr>
      <w:keepNext/>
      <w:keepLines/>
      <w:spacing w:before="280" w:after="290" w:line="376" w:lineRule="auto"/>
      <w:outlineLvl w:val="4"/>
    </w:pPr>
    <w:rPr>
      <w:b/>
      <w:sz w:val="28"/>
      <w:szCs w:val="20"/>
    </w:rPr>
  </w:style>
  <w:style w:type="paragraph" w:styleId="8">
    <w:name w:val="heading 6"/>
    <w:basedOn w:val="1"/>
    <w:next w:val="7"/>
    <w:link w:val="84"/>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5"/>
    <w:autoRedefine/>
    <w:qFormat/>
    <w:uiPriority w:val="0"/>
    <w:pPr>
      <w:keepNext/>
      <w:keepLines/>
      <w:spacing w:before="240" w:after="64" w:line="320" w:lineRule="auto"/>
      <w:outlineLvl w:val="6"/>
    </w:pPr>
    <w:rPr>
      <w:b/>
      <w:sz w:val="24"/>
      <w:szCs w:val="20"/>
    </w:rPr>
  </w:style>
  <w:style w:type="paragraph" w:styleId="10">
    <w:name w:val="heading 8"/>
    <w:basedOn w:val="1"/>
    <w:next w:val="7"/>
    <w:link w:val="86"/>
    <w:autoRedefine/>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7"/>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8"/>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4"/>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99"/>
    <w:qFormat/>
    <w:uiPriority w:val="0"/>
    <w:pPr>
      <w:spacing w:after="120"/>
    </w:pPr>
    <w:rPr>
      <w:sz w:val="16"/>
      <w:szCs w:val="16"/>
    </w:rPr>
  </w:style>
  <w:style w:type="paragraph" w:styleId="18">
    <w:name w:val="Body Text"/>
    <w:basedOn w:val="1"/>
    <w:link w:val="93"/>
    <w:qFormat/>
    <w:uiPriority w:val="0"/>
    <w:pPr>
      <w:spacing w:line="360" w:lineRule="auto"/>
    </w:pPr>
    <w:rPr>
      <w:b/>
      <w:bCs/>
      <w:sz w:val="24"/>
    </w:rPr>
  </w:style>
  <w:style w:type="paragraph" w:styleId="19">
    <w:name w:val="Body Text Indent"/>
    <w:basedOn w:val="1"/>
    <w:link w:val="80"/>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91"/>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9"/>
    <w:autoRedefine/>
    <w:qFormat/>
    <w:uiPriority w:val="0"/>
    <w:rPr>
      <w:rFonts w:ascii="宋体" w:hAnsi="Courier New"/>
      <w:sz w:val="32"/>
      <w:szCs w:val="20"/>
    </w:rPr>
  </w:style>
  <w:style w:type="paragraph" w:styleId="25">
    <w:name w:val="Body Text Indent 2"/>
    <w:basedOn w:val="1"/>
    <w:link w:val="94"/>
    <w:autoRedefine/>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0"/>
    <w:autoRedefine/>
    <w:semiHidden/>
    <w:qFormat/>
    <w:uiPriority w:val="99"/>
    <w:rPr>
      <w:sz w:val="18"/>
      <w:szCs w:val="18"/>
    </w:rPr>
  </w:style>
  <w:style w:type="paragraph" w:styleId="27">
    <w:name w:val="footer"/>
    <w:basedOn w:val="1"/>
    <w:link w:val="98"/>
    <w:autoRedefine/>
    <w:qFormat/>
    <w:uiPriority w:val="0"/>
    <w:pPr>
      <w:tabs>
        <w:tab w:val="center" w:pos="4153"/>
        <w:tab w:val="right" w:pos="8306"/>
      </w:tabs>
      <w:snapToGrid w:val="0"/>
      <w:jc w:val="left"/>
    </w:pPr>
    <w:rPr>
      <w:sz w:val="18"/>
      <w:szCs w:val="18"/>
    </w:rPr>
  </w:style>
  <w:style w:type="paragraph" w:styleId="28">
    <w:name w:val="header"/>
    <w:basedOn w:val="1"/>
    <w:link w:val="95"/>
    <w:autoRedefine/>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0"/>
    <w:pPr>
      <w:spacing w:before="120" w:after="120"/>
      <w:jc w:val="left"/>
    </w:pPr>
    <w:rPr>
      <w:b/>
      <w:bCs/>
      <w:caps/>
    </w:rPr>
  </w:style>
  <w:style w:type="paragraph" w:styleId="30">
    <w:name w:val="toc 4"/>
    <w:basedOn w:val="1"/>
    <w:next w:val="1"/>
    <w:autoRedefine/>
    <w:semiHidden/>
    <w:qFormat/>
    <w:uiPriority w:val="0"/>
    <w:pPr>
      <w:ind w:left="630"/>
      <w:jc w:val="left"/>
    </w:pPr>
    <w:rPr>
      <w:szCs w:val="21"/>
    </w:rPr>
  </w:style>
  <w:style w:type="paragraph" w:styleId="31">
    <w:name w:val="Subtitle"/>
    <w:next w:val="1"/>
    <w:link w:val="309"/>
    <w:autoRedefine/>
    <w:qFormat/>
    <w:uiPriority w:val="11"/>
    <w:pPr>
      <w:wordWrap w:val="0"/>
      <w:spacing w:after="60"/>
      <w:jc w:val="center"/>
    </w:pPr>
    <w:rPr>
      <w:rFonts w:ascii="Calibri" w:hAnsi="Calibri" w:eastAsia="宋体" w:cs="Times New Roman"/>
      <w:sz w:val="24"/>
      <w:lang w:val="en-US" w:eastAsia="zh-CN" w:bidi="ar-SA"/>
    </w:rPr>
  </w:style>
  <w:style w:type="paragraph" w:styleId="32">
    <w:name w:val="toc 6"/>
    <w:basedOn w:val="1"/>
    <w:next w:val="1"/>
    <w:autoRedefine/>
    <w:semiHidden/>
    <w:qFormat/>
    <w:uiPriority w:val="0"/>
    <w:pPr>
      <w:ind w:left="1050"/>
      <w:jc w:val="left"/>
    </w:pPr>
    <w:rPr>
      <w:szCs w:val="21"/>
    </w:rPr>
  </w:style>
  <w:style w:type="paragraph" w:styleId="33">
    <w:name w:val="Body Text Indent 3"/>
    <w:basedOn w:val="1"/>
    <w:link w:val="96"/>
    <w:autoRedefine/>
    <w:qFormat/>
    <w:uiPriority w:val="0"/>
    <w:pPr>
      <w:spacing w:line="360" w:lineRule="auto"/>
      <w:ind w:firstLine="482" w:firstLineChars="200"/>
    </w:pPr>
    <w:rPr>
      <w:rFonts w:ascii="宋体"/>
      <w:b/>
      <w:bCs/>
      <w:sz w:val="24"/>
    </w:rPr>
  </w:style>
  <w:style w:type="paragraph" w:styleId="34">
    <w:name w:val="toc 2"/>
    <w:basedOn w:val="1"/>
    <w:next w:val="1"/>
    <w:autoRedefine/>
    <w:semiHidden/>
    <w:qFormat/>
    <w:uiPriority w:val="0"/>
    <w:pPr>
      <w:tabs>
        <w:tab w:val="right" w:leader="dot" w:pos="8296"/>
      </w:tabs>
      <w:ind w:left="210"/>
      <w:jc w:val="left"/>
    </w:pPr>
    <w:rPr>
      <w:smallCaps/>
    </w:rPr>
  </w:style>
  <w:style w:type="paragraph" w:styleId="35">
    <w:name w:val="toc 9"/>
    <w:basedOn w:val="1"/>
    <w:next w:val="1"/>
    <w:autoRedefine/>
    <w:semiHidden/>
    <w:qFormat/>
    <w:uiPriority w:val="0"/>
    <w:pPr>
      <w:ind w:left="1680"/>
      <w:jc w:val="left"/>
    </w:pPr>
    <w:rPr>
      <w:szCs w:val="21"/>
    </w:rPr>
  </w:style>
  <w:style w:type="paragraph" w:styleId="36">
    <w:name w:val="Body Text 2"/>
    <w:basedOn w:val="1"/>
    <w:link w:val="97"/>
    <w:autoRedefine/>
    <w:qFormat/>
    <w:uiPriority w:val="0"/>
    <w:pPr>
      <w:spacing w:line="360" w:lineRule="auto"/>
    </w:pPr>
    <w:rPr>
      <w:sz w:val="24"/>
    </w:rPr>
  </w:style>
  <w:style w:type="paragraph" w:styleId="37">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qFormat/>
    <w:uiPriority w:val="99"/>
    <w:pPr>
      <w:spacing w:beforeAutospacing="1" w:afterAutospacing="1"/>
      <w:jc w:val="left"/>
    </w:pPr>
    <w:rPr>
      <w:kern w:val="0"/>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link w:val="88"/>
    <w:autoRedefine/>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6"/>
    <w:next w:val="16"/>
    <w:link w:val="185"/>
    <w:autoRedefine/>
    <w:qFormat/>
    <w:uiPriority w:val="99"/>
    <w:pPr>
      <w:autoSpaceDE/>
      <w:autoSpaceDN/>
      <w:adjustRightInd/>
      <w:textAlignment w:val="auto"/>
    </w:pPr>
    <w:rPr>
      <w:rFonts w:ascii="Times New Roman"/>
      <w:b/>
      <w:bCs/>
      <w:kern w:val="2"/>
      <w:sz w:val="21"/>
      <w:szCs w:val="24"/>
    </w:rPr>
  </w:style>
  <w:style w:type="paragraph" w:styleId="42">
    <w:name w:val="Body Text First Indent"/>
    <w:basedOn w:val="18"/>
    <w:link w:val="131"/>
    <w:qFormat/>
    <w:uiPriority w:val="0"/>
    <w:pPr>
      <w:spacing w:after="120" w:line="240" w:lineRule="auto"/>
      <w:ind w:firstLine="420" w:firstLineChars="100"/>
    </w:pPr>
    <w:rPr>
      <w:sz w:val="21"/>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5">
    <w:name w:val="Table Elegant"/>
    <w:basedOn w:val="43"/>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7">
    <w:name w:val="Strong"/>
    <w:autoRedefine/>
    <w:qFormat/>
    <w:uiPriority w:val="0"/>
    <w:rPr>
      <w:b/>
      <w:bCs/>
    </w:rPr>
  </w:style>
  <w:style w:type="character" w:styleId="48">
    <w:name w:val="page number"/>
    <w:basedOn w:val="46"/>
    <w:autoRedefine/>
    <w:qFormat/>
    <w:uiPriority w:val="0"/>
  </w:style>
  <w:style w:type="character" w:styleId="49">
    <w:name w:val="FollowedHyperlink"/>
    <w:qFormat/>
    <w:uiPriority w:val="0"/>
    <w:rPr>
      <w:color w:val="800080"/>
      <w:u w:val="single"/>
    </w:rPr>
  </w:style>
  <w:style w:type="character" w:styleId="50">
    <w:name w:val="Emphasis"/>
    <w:basedOn w:val="46"/>
    <w:qFormat/>
    <w:uiPriority w:val="20"/>
    <w:rPr>
      <w:sz w:val="20"/>
    </w:rPr>
  </w:style>
  <w:style w:type="character" w:styleId="51">
    <w:name w:val="Hyperlink"/>
    <w:autoRedefine/>
    <w:qFormat/>
    <w:uiPriority w:val="0"/>
    <w:rPr>
      <w:color w:val="0000FF"/>
      <w:u w:val="single"/>
    </w:rPr>
  </w:style>
  <w:style w:type="character" w:styleId="52">
    <w:name w:val="annotation reference"/>
    <w:basedOn w:val="46"/>
    <w:qFormat/>
    <w:uiPriority w:val="0"/>
    <w:rPr>
      <w:sz w:val="21"/>
      <w:szCs w:val="21"/>
    </w:rPr>
  </w:style>
  <w:style w:type="paragraph" w:customStyle="1" w:styleId="53">
    <w:name w:val="列出段落1"/>
    <w:basedOn w:val="1"/>
    <w:qFormat/>
    <w:uiPriority w:val="0"/>
    <w:pPr>
      <w:ind w:firstLine="420" w:firstLineChars="200"/>
    </w:pPr>
    <w:rPr>
      <w:rFonts w:ascii="Calibri" w:hAnsi="Calibri" w:cs="Calibri"/>
      <w:szCs w:val="21"/>
    </w:rPr>
  </w:style>
  <w:style w:type="character" w:customStyle="1" w:styleId="54">
    <w:name w:val="标题 1 Char"/>
    <w:link w:val="2"/>
    <w:qFormat/>
    <w:uiPriority w:val="0"/>
    <w:rPr>
      <w:rFonts w:ascii="宋体" w:hAnsi="宋体" w:eastAsia="黑体"/>
      <w:b/>
      <w:bCs/>
      <w:kern w:val="44"/>
      <w:sz w:val="28"/>
      <w:szCs w:val="44"/>
      <w:lang w:val="en-US" w:eastAsia="zh-CN" w:bidi="ar-SA"/>
    </w:rPr>
  </w:style>
  <w:style w:type="character" w:customStyle="1" w:styleId="55">
    <w:name w:val="标题 3 Char1"/>
    <w:link w:val="4"/>
    <w:autoRedefine/>
    <w:qFormat/>
    <w:uiPriority w:val="9"/>
    <w:rPr>
      <w:rFonts w:ascii="宋体" w:hAnsi="宋体" w:eastAsia="宋体"/>
      <w:b/>
      <w:bCs/>
      <w:kern w:val="2"/>
      <w:sz w:val="28"/>
      <w:szCs w:val="32"/>
      <w:lang w:val="en-US" w:eastAsia="zh-CN" w:bidi="ar-SA"/>
    </w:rPr>
  </w:style>
  <w:style w:type="character" w:customStyle="1" w:styleId="56">
    <w:name w:val="标题 4 Char1"/>
    <w:link w:val="5"/>
    <w:autoRedefine/>
    <w:qFormat/>
    <w:uiPriority w:val="9"/>
    <w:rPr>
      <w:rFonts w:ascii="Arial" w:hAnsi="Arial" w:eastAsia="黑体"/>
      <w:b/>
      <w:bCs/>
      <w:kern w:val="2"/>
      <w:sz w:val="28"/>
      <w:szCs w:val="28"/>
      <w:lang w:val="en-US" w:eastAsia="zh-CN" w:bidi="ar-SA"/>
    </w:rPr>
  </w:style>
  <w:style w:type="paragraph" w:customStyle="1" w:styleId="5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8">
    <w:name w:val="正文缩进 Char"/>
    <w:link w:val="7"/>
    <w:autoRedefine/>
    <w:qFormat/>
    <w:uiPriority w:val="0"/>
    <w:rPr>
      <w:rFonts w:eastAsia="宋体"/>
      <w:kern w:val="2"/>
      <w:sz w:val="21"/>
      <w:lang w:val="en-US" w:eastAsia="zh-CN" w:bidi="ar-SA"/>
    </w:rPr>
  </w:style>
  <w:style w:type="character" w:customStyle="1" w:styleId="59">
    <w:name w:val="标题 3 Char"/>
    <w:autoRedefine/>
    <w:qFormat/>
    <w:uiPriority w:val="0"/>
    <w:rPr>
      <w:rFonts w:ascii="黑体" w:eastAsia="黑体"/>
      <w:bCs/>
      <w:sz w:val="30"/>
    </w:rPr>
  </w:style>
  <w:style w:type="paragraph" w:customStyle="1" w:styleId="60">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2">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qFormat/>
    <w:uiPriority w:val="0"/>
    <w:pPr>
      <w:spacing w:afterLines="50"/>
      <w:ind w:left="600" w:leftChars="600"/>
    </w:pPr>
  </w:style>
  <w:style w:type="paragraph" w:customStyle="1" w:styleId="68">
    <w:name w:val="Char Char Char Char Char"/>
    <w:basedOn w:val="1"/>
    <w:qFormat/>
    <w:uiPriority w:val="0"/>
    <w:rPr>
      <w:rFonts w:ascii="Tahoma" w:hAnsi="Tahoma"/>
      <w:sz w:val="24"/>
      <w:szCs w:val="20"/>
    </w:rPr>
  </w:style>
  <w:style w:type="paragraph" w:customStyle="1" w:styleId="69">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0">
    <w:name w:val="Char Char"/>
    <w:basedOn w:val="1"/>
    <w:autoRedefine/>
    <w:qFormat/>
    <w:uiPriority w:val="0"/>
    <w:rPr>
      <w:rFonts w:ascii="Tahoma" w:hAnsi="Tahoma"/>
      <w:sz w:val="24"/>
      <w:szCs w:val="20"/>
    </w:rPr>
  </w:style>
  <w:style w:type="paragraph" w:customStyle="1" w:styleId="71">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character" w:customStyle="1" w:styleId="72">
    <w:name w:val="标题 2 Char"/>
    <w:link w:val="3"/>
    <w:qFormat/>
    <w:uiPriority w:val="0"/>
    <w:rPr>
      <w:rFonts w:ascii="宋体" w:hAnsi="宋体" w:eastAsia="宋体"/>
      <w:b/>
      <w:bCs/>
      <w:sz w:val="24"/>
      <w:lang w:val="en-US" w:eastAsia="zh-CN" w:bidi="ar-SA"/>
    </w:rPr>
  </w:style>
  <w:style w:type="paragraph" w:customStyle="1" w:styleId="73">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styleId="74">
    <w:name w:val="List Paragraph"/>
    <w:basedOn w:val="1"/>
    <w:autoRedefine/>
    <w:qFormat/>
    <w:uiPriority w:val="0"/>
    <w:pPr>
      <w:ind w:firstLine="420" w:firstLineChars="200"/>
    </w:pPr>
    <w:rPr>
      <w:rFonts w:ascii="Calibri" w:hAnsi="Calibri"/>
      <w:szCs w:val="22"/>
    </w:rPr>
  </w:style>
  <w:style w:type="paragraph" w:customStyle="1" w:styleId="75">
    <w:name w:val="USE 1"/>
    <w:basedOn w:val="1"/>
    <w:qFormat/>
    <w:uiPriority w:val="0"/>
    <w:pPr>
      <w:spacing w:line="200" w:lineRule="atLeast"/>
      <w:jc w:val="left"/>
    </w:pPr>
    <w:rPr>
      <w:rFonts w:ascii="宋体" w:hAnsi="宋体"/>
      <w:b/>
      <w:sz w:val="24"/>
      <w:szCs w:val="28"/>
    </w:rPr>
  </w:style>
  <w:style w:type="paragraph" w:customStyle="1" w:styleId="76">
    <w:name w:val="RFI text from 3rd Level"/>
    <w:basedOn w:val="1"/>
    <w:autoRedefine/>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7">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8">
    <w:name w:val="样式 标题 2 + 段前: 13 磅 段后: 13 磅 行距: 单倍行距"/>
    <w:basedOn w:val="3"/>
    <w:autoRedefine/>
    <w:qFormat/>
    <w:uiPriority w:val="0"/>
    <w:pPr>
      <w:adjustRightInd/>
      <w:spacing w:before="0" w:after="0"/>
      <w:jc w:val="both"/>
      <w:textAlignment w:val="auto"/>
    </w:pPr>
    <w:rPr>
      <w:rFonts w:ascii="Cambria" w:hAnsi="Cambria" w:cs="宋体"/>
      <w:kern w:val="2"/>
      <w:sz w:val="32"/>
    </w:rPr>
  </w:style>
  <w:style w:type="character" w:customStyle="1" w:styleId="79">
    <w:name w:val="H4 Char2"/>
    <w:autoRedefine/>
    <w:qFormat/>
    <w:uiPriority w:val="0"/>
    <w:rPr>
      <w:rFonts w:ascii="Arial" w:hAnsi="Arial" w:eastAsia="黑体"/>
      <w:b/>
      <w:bCs/>
      <w:kern w:val="2"/>
      <w:sz w:val="28"/>
      <w:szCs w:val="28"/>
      <w:lang w:val="en-US" w:eastAsia="zh-CN" w:bidi="ar-SA"/>
    </w:rPr>
  </w:style>
  <w:style w:type="character" w:customStyle="1" w:styleId="80">
    <w:name w:val="正文文本缩进 Char"/>
    <w:link w:val="19"/>
    <w:qFormat/>
    <w:uiPriority w:val="0"/>
    <w:rPr>
      <w:rFonts w:eastAsia="宋体"/>
      <w:kern w:val="2"/>
      <w:sz w:val="21"/>
      <w:szCs w:val="24"/>
      <w:lang w:val="en-US" w:eastAsia="zh-CN" w:bidi="ar-SA"/>
    </w:rPr>
  </w:style>
  <w:style w:type="character" w:customStyle="1" w:styleId="81">
    <w:name w:val="标题 5 Char"/>
    <w:link w:val="6"/>
    <w:qFormat/>
    <w:uiPriority w:val="0"/>
    <w:rPr>
      <w:rFonts w:eastAsia="宋体"/>
      <w:b/>
      <w:kern w:val="2"/>
      <w:sz w:val="28"/>
      <w:lang w:val="en-US" w:eastAsia="zh-CN" w:bidi="ar-SA"/>
    </w:rPr>
  </w:style>
  <w:style w:type="character" w:customStyle="1" w:styleId="82">
    <w:name w:val="第*章 Char"/>
    <w:qFormat/>
    <w:uiPriority w:val="0"/>
    <w:rPr>
      <w:rFonts w:ascii="Arial" w:hAnsi="Arial" w:eastAsia="黑体"/>
      <w:b/>
      <w:bCs/>
      <w:kern w:val="2"/>
      <w:sz w:val="32"/>
      <w:szCs w:val="32"/>
    </w:rPr>
  </w:style>
  <w:style w:type="character" w:customStyle="1" w:styleId="83">
    <w:name w:val="章标题1 Char"/>
    <w:qFormat/>
    <w:uiPriority w:val="0"/>
    <w:rPr>
      <w:rFonts w:eastAsia="宋体"/>
      <w:b/>
      <w:bCs/>
      <w:kern w:val="2"/>
      <w:sz w:val="32"/>
      <w:szCs w:val="32"/>
      <w:lang w:val="en-US" w:eastAsia="zh-CN" w:bidi="ar-SA"/>
    </w:rPr>
  </w:style>
  <w:style w:type="character" w:customStyle="1" w:styleId="84">
    <w:name w:val="标题 6 Char"/>
    <w:link w:val="8"/>
    <w:qFormat/>
    <w:uiPriority w:val="0"/>
    <w:rPr>
      <w:rFonts w:ascii="Arial" w:hAnsi="Arial" w:eastAsia="黑体"/>
      <w:b/>
      <w:kern w:val="2"/>
      <w:sz w:val="24"/>
      <w:lang w:val="en-US" w:eastAsia="zh-CN" w:bidi="ar-SA"/>
    </w:rPr>
  </w:style>
  <w:style w:type="character" w:customStyle="1" w:styleId="85">
    <w:name w:val="标题 7 Char"/>
    <w:link w:val="9"/>
    <w:qFormat/>
    <w:uiPriority w:val="0"/>
    <w:rPr>
      <w:rFonts w:eastAsia="宋体"/>
      <w:b/>
      <w:kern w:val="2"/>
      <w:sz w:val="24"/>
      <w:lang w:val="en-US" w:eastAsia="zh-CN" w:bidi="ar-SA"/>
    </w:rPr>
  </w:style>
  <w:style w:type="character" w:customStyle="1" w:styleId="86">
    <w:name w:val="标题 8 Char"/>
    <w:link w:val="10"/>
    <w:autoRedefine/>
    <w:qFormat/>
    <w:uiPriority w:val="0"/>
    <w:rPr>
      <w:rFonts w:ascii="Arial" w:hAnsi="Arial" w:eastAsia="黑体"/>
      <w:kern w:val="2"/>
      <w:sz w:val="24"/>
      <w:lang w:val="en-US" w:eastAsia="zh-CN" w:bidi="ar-SA"/>
    </w:rPr>
  </w:style>
  <w:style w:type="character" w:customStyle="1" w:styleId="87">
    <w:name w:val="标题 9 Char"/>
    <w:link w:val="11"/>
    <w:autoRedefine/>
    <w:qFormat/>
    <w:uiPriority w:val="0"/>
    <w:rPr>
      <w:rFonts w:ascii="Arial" w:hAnsi="Arial" w:eastAsia="黑体"/>
      <w:kern w:val="2"/>
      <w:sz w:val="21"/>
      <w:lang w:val="en-US" w:eastAsia="zh-CN" w:bidi="ar-SA"/>
    </w:rPr>
  </w:style>
  <w:style w:type="character" w:customStyle="1" w:styleId="88">
    <w:name w:val="标题 Char"/>
    <w:link w:val="40"/>
    <w:autoRedefine/>
    <w:qFormat/>
    <w:uiPriority w:val="0"/>
    <w:rPr>
      <w:rFonts w:ascii="Arial" w:hAnsi="Arial" w:eastAsia="隶书" w:cs="Arial"/>
      <w:b/>
      <w:bCs/>
      <w:kern w:val="2"/>
      <w:sz w:val="32"/>
      <w:szCs w:val="32"/>
      <w:lang w:val="en-US" w:eastAsia="zh-CN" w:bidi="ar-SA"/>
    </w:rPr>
  </w:style>
  <w:style w:type="character" w:customStyle="1" w:styleId="89">
    <w:name w:val="日期 Char"/>
    <w:link w:val="24"/>
    <w:autoRedefine/>
    <w:qFormat/>
    <w:uiPriority w:val="0"/>
    <w:rPr>
      <w:rFonts w:ascii="宋体" w:hAnsi="Courier New" w:eastAsia="宋体"/>
      <w:kern w:val="2"/>
      <w:sz w:val="32"/>
      <w:lang w:val="en-US" w:eastAsia="zh-CN" w:bidi="ar-SA"/>
    </w:rPr>
  </w:style>
  <w:style w:type="character" w:customStyle="1" w:styleId="90">
    <w:name w:val="HTML 预设格式 Char"/>
    <w:link w:val="37"/>
    <w:autoRedefine/>
    <w:qFormat/>
    <w:uiPriority w:val="0"/>
    <w:rPr>
      <w:rFonts w:ascii="Arial Unicode MS" w:hAnsi="Arial Unicode MS" w:eastAsia="Arial Unicode MS"/>
      <w:color w:val="000000"/>
      <w:lang w:val="en-US" w:eastAsia="zh-CN" w:bidi="ar-SA"/>
    </w:rPr>
  </w:style>
  <w:style w:type="character" w:customStyle="1" w:styleId="91">
    <w:name w:val="纯文本 Char"/>
    <w:link w:val="22"/>
    <w:autoRedefine/>
    <w:qFormat/>
    <w:uiPriority w:val="0"/>
    <w:rPr>
      <w:rFonts w:ascii="宋体" w:hAnsi="Courier New" w:eastAsia="宋体"/>
      <w:kern w:val="2"/>
      <w:sz w:val="21"/>
      <w:lang w:val="en-US" w:eastAsia="zh-CN" w:bidi="ar-SA"/>
    </w:rPr>
  </w:style>
  <w:style w:type="character" w:customStyle="1" w:styleId="92">
    <w:name w:val="正文文字首行缩进 Char"/>
    <w:autoRedefine/>
    <w:qFormat/>
    <w:uiPriority w:val="0"/>
    <w:rPr>
      <w:kern w:val="2"/>
      <w:sz w:val="21"/>
      <w:szCs w:val="24"/>
    </w:rPr>
  </w:style>
  <w:style w:type="character" w:customStyle="1" w:styleId="93">
    <w:name w:val="正文文本 Char1"/>
    <w:link w:val="18"/>
    <w:autoRedefine/>
    <w:qFormat/>
    <w:uiPriority w:val="0"/>
    <w:rPr>
      <w:rFonts w:eastAsia="宋体"/>
      <w:b/>
      <w:bCs/>
      <w:kern w:val="2"/>
      <w:sz w:val="24"/>
      <w:szCs w:val="24"/>
      <w:lang w:val="en-US" w:eastAsia="zh-CN" w:bidi="ar-SA"/>
    </w:rPr>
  </w:style>
  <w:style w:type="character" w:customStyle="1" w:styleId="94">
    <w:name w:val="正文文本缩进 2 Char"/>
    <w:link w:val="25"/>
    <w:autoRedefine/>
    <w:qFormat/>
    <w:uiPriority w:val="0"/>
    <w:rPr>
      <w:rFonts w:ascii="宋体" w:hAnsi="宋体" w:eastAsia="宋体"/>
      <w:kern w:val="2"/>
      <w:sz w:val="21"/>
      <w:szCs w:val="24"/>
      <w:lang w:val="en-US" w:eastAsia="zh-CN" w:bidi="ar-SA"/>
    </w:rPr>
  </w:style>
  <w:style w:type="character" w:customStyle="1" w:styleId="95">
    <w:name w:val="页眉 Char"/>
    <w:link w:val="28"/>
    <w:autoRedefine/>
    <w:qFormat/>
    <w:uiPriority w:val="99"/>
    <w:rPr>
      <w:rFonts w:eastAsia="宋体"/>
      <w:kern w:val="2"/>
      <w:sz w:val="18"/>
      <w:szCs w:val="18"/>
      <w:lang w:val="en-US" w:eastAsia="zh-CN" w:bidi="ar-SA"/>
    </w:rPr>
  </w:style>
  <w:style w:type="character" w:customStyle="1" w:styleId="96">
    <w:name w:val="正文文本缩进 3 Char"/>
    <w:link w:val="33"/>
    <w:autoRedefine/>
    <w:qFormat/>
    <w:uiPriority w:val="0"/>
    <w:rPr>
      <w:rFonts w:ascii="宋体" w:eastAsia="宋体"/>
      <w:b/>
      <w:bCs/>
      <w:kern w:val="2"/>
      <w:sz w:val="24"/>
      <w:szCs w:val="24"/>
      <w:lang w:val="en-US" w:eastAsia="zh-CN" w:bidi="ar-SA"/>
    </w:rPr>
  </w:style>
  <w:style w:type="character" w:customStyle="1" w:styleId="97">
    <w:name w:val="正文文本 2 Char"/>
    <w:link w:val="36"/>
    <w:autoRedefine/>
    <w:qFormat/>
    <w:uiPriority w:val="0"/>
    <w:rPr>
      <w:rFonts w:eastAsia="宋体"/>
      <w:kern w:val="2"/>
      <w:sz w:val="24"/>
      <w:szCs w:val="24"/>
      <w:lang w:val="en-US" w:eastAsia="zh-CN" w:bidi="ar-SA"/>
    </w:rPr>
  </w:style>
  <w:style w:type="character" w:customStyle="1" w:styleId="98">
    <w:name w:val="页脚 Char"/>
    <w:link w:val="27"/>
    <w:autoRedefine/>
    <w:qFormat/>
    <w:uiPriority w:val="0"/>
    <w:rPr>
      <w:rFonts w:eastAsia="宋体"/>
      <w:kern w:val="2"/>
      <w:sz w:val="18"/>
      <w:szCs w:val="18"/>
      <w:lang w:val="en-US" w:eastAsia="zh-CN" w:bidi="ar-SA"/>
    </w:rPr>
  </w:style>
  <w:style w:type="character" w:customStyle="1" w:styleId="99">
    <w:name w:val="正文文本 3 Char"/>
    <w:link w:val="17"/>
    <w:autoRedefine/>
    <w:qFormat/>
    <w:uiPriority w:val="0"/>
    <w:rPr>
      <w:rFonts w:eastAsia="宋体"/>
      <w:kern w:val="2"/>
      <w:sz w:val="16"/>
      <w:szCs w:val="16"/>
      <w:lang w:val="en-US" w:eastAsia="zh-CN" w:bidi="ar-SA"/>
    </w:rPr>
  </w:style>
  <w:style w:type="character" w:customStyle="1" w:styleId="100">
    <w:name w:val="批注框文本 Char"/>
    <w:link w:val="26"/>
    <w:autoRedefine/>
    <w:semiHidden/>
    <w:qFormat/>
    <w:uiPriority w:val="99"/>
    <w:rPr>
      <w:rFonts w:eastAsia="宋体"/>
      <w:kern w:val="2"/>
      <w:sz w:val="18"/>
      <w:szCs w:val="18"/>
      <w:lang w:val="en-US" w:eastAsia="zh-CN" w:bidi="ar-SA"/>
    </w:rPr>
  </w:style>
  <w:style w:type="paragraph" w:customStyle="1" w:styleId="101">
    <w:name w:val="样式1"/>
    <w:basedOn w:val="40"/>
    <w:autoRedefine/>
    <w:qFormat/>
    <w:uiPriority w:val="0"/>
    <w:pPr>
      <w:spacing w:before="120" w:after="120"/>
    </w:pPr>
    <w:rPr>
      <w:rFonts w:eastAsia="黑体"/>
      <w:b w:val="0"/>
      <w:sz w:val="30"/>
      <w:szCs w:val="21"/>
    </w:rPr>
  </w:style>
  <w:style w:type="paragraph" w:customStyle="1" w:styleId="102">
    <w:name w:val="样式2"/>
    <w:basedOn w:val="40"/>
    <w:next w:val="101"/>
    <w:autoRedefine/>
    <w:qFormat/>
    <w:uiPriority w:val="0"/>
    <w:pPr>
      <w:spacing w:before="120" w:after="120"/>
    </w:pPr>
    <w:rPr>
      <w:rFonts w:eastAsia="黑体"/>
      <w:b w:val="0"/>
      <w:sz w:val="30"/>
      <w:szCs w:val="30"/>
    </w:rPr>
  </w:style>
  <w:style w:type="character" w:customStyle="1" w:styleId="103">
    <w:name w:val="标题 3 Char Char"/>
    <w:autoRedefine/>
    <w:qFormat/>
    <w:uiPriority w:val="0"/>
    <w:rPr>
      <w:rFonts w:eastAsia="宋体"/>
      <w:b/>
      <w:bCs/>
      <w:kern w:val="2"/>
      <w:sz w:val="32"/>
      <w:szCs w:val="32"/>
      <w:lang w:val="en-US" w:eastAsia="zh-CN" w:bidi="ar-SA"/>
    </w:rPr>
  </w:style>
  <w:style w:type="paragraph" w:customStyle="1" w:styleId="104">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5">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6">
    <w:name w:val="--规划正文"/>
    <w:basedOn w:val="1"/>
    <w:autoRedefine/>
    <w:qFormat/>
    <w:uiPriority w:val="0"/>
    <w:pPr>
      <w:spacing w:line="360" w:lineRule="auto"/>
      <w:ind w:firstLine="200" w:firstLineChars="200"/>
    </w:pPr>
    <w:rPr>
      <w:szCs w:val="20"/>
    </w:rPr>
  </w:style>
  <w:style w:type="paragraph" w:customStyle="1" w:styleId="107">
    <w:name w:val="设计依据"/>
    <w:basedOn w:val="18"/>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8">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109">
    <w:name w:val="样式4"/>
    <w:basedOn w:val="1"/>
    <w:autoRedefine/>
    <w:qFormat/>
    <w:uiPriority w:val="0"/>
    <w:pPr>
      <w:tabs>
        <w:tab w:val="left" w:pos="842"/>
      </w:tabs>
      <w:spacing w:line="360" w:lineRule="auto"/>
      <w:ind w:left="842" w:hanging="420"/>
    </w:pPr>
    <w:rPr>
      <w:sz w:val="24"/>
    </w:rPr>
  </w:style>
  <w:style w:type="paragraph" w:customStyle="1" w:styleId="110">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11">
    <w:name w:val="--规划-表格-居左"/>
    <w:basedOn w:val="106"/>
    <w:autoRedefine/>
    <w:qFormat/>
    <w:uiPriority w:val="0"/>
    <w:pPr>
      <w:spacing w:line="240" w:lineRule="auto"/>
      <w:ind w:firstLine="0" w:firstLineChars="0"/>
    </w:pPr>
    <w:rPr>
      <w:sz w:val="20"/>
    </w:rPr>
  </w:style>
  <w:style w:type="paragraph" w:customStyle="1" w:styleId="112">
    <w:name w:val="--规划-表格-居中"/>
    <w:basedOn w:val="106"/>
    <w:autoRedefine/>
    <w:qFormat/>
    <w:uiPriority w:val="0"/>
    <w:pPr>
      <w:spacing w:line="240" w:lineRule="auto"/>
      <w:ind w:firstLine="0" w:firstLineChars="0"/>
      <w:jc w:val="center"/>
    </w:pPr>
    <w:rPr>
      <w:sz w:val="20"/>
    </w:rPr>
  </w:style>
  <w:style w:type="paragraph" w:customStyle="1" w:styleId="113">
    <w:name w:val="--编号内缩进"/>
    <w:basedOn w:val="1"/>
    <w:autoRedefine/>
    <w:qFormat/>
    <w:uiPriority w:val="0"/>
    <w:pPr>
      <w:spacing w:line="360" w:lineRule="auto"/>
      <w:ind w:left="420" w:firstLine="200" w:firstLineChars="200"/>
    </w:pPr>
    <w:rPr>
      <w:szCs w:val="21"/>
    </w:rPr>
  </w:style>
  <w:style w:type="paragraph" w:customStyle="1" w:styleId="114">
    <w:name w:val="--规划-题注"/>
    <w:basedOn w:val="1"/>
    <w:next w:val="106"/>
    <w:autoRedefine/>
    <w:qFormat/>
    <w:uiPriority w:val="0"/>
    <w:pPr>
      <w:spacing w:line="360" w:lineRule="auto"/>
      <w:jc w:val="center"/>
    </w:pPr>
    <w:rPr>
      <w:rFonts w:eastAsia="黑体"/>
    </w:rPr>
  </w:style>
  <w:style w:type="paragraph" w:customStyle="1" w:styleId="115">
    <w:name w:val="--规划-图和表"/>
    <w:next w:val="106"/>
    <w:autoRedefine/>
    <w:qFormat/>
    <w:uiPriority w:val="0"/>
    <w:pPr>
      <w:jc w:val="center"/>
    </w:pPr>
    <w:rPr>
      <w:rFonts w:ascii="Times New Roman" w:hAnsi="Times New Roman" w:eastAsia="宋体" w:cs="Times New Roman"/>
      <w:kern w:val="2"/>
      <w:sz w:val="21"/>
      <w:lang w:val="en-US" w:eastAsia="zh-CN" w:bidi="ar-SA"/>
    </w:rPr>
  </w:style>
  <w:style w:type="paragraph" w:customStyle="1" w:styleId="116">
    <w:name w:val="--规划-小标题"/>
    <w:basedOn w:val="1"/>
    <w:next w:val="106"/>
    <w:autoRedefine/>
    <w:qFormat/>
    <w:uiPriority w:val="0"/>
    <w:pPr>
      <w:keepNext/>
      <w:keepLines/>
      <w:spacing w:line="360" w:lineRule="auto"/>
      <w:outlineLvl w:val="4"/>
    </w:pPr>
    <w:rPr>
      <w:rFonts w:eastAsia="黑体"/>
    </w:rPr>
  </w:style>
  <w:style w:type="paragraph" w:customStyle="1" w:styleId="117">
    <w:name w:val="--规划正文 Char"/>
    <w:basedOn w:val="1"/>
    <w:autoRedefine/>
    <w:qFormat/>
    <w:uiPriority w:val="0"/>
    <w:pPr>
      <w:spacing w:line="360" w:lineRule="auto"/>
      <w:ind w:firstLine="200" w:firstLineChars="200"/>
    </w:pPr>
    <w:rPr>
      <w:sz w:val="24"/>
    </w:rPr>
  </w:style>
  <w:style w:type="paragraph" w:customStyle="1" w:styleId="118">
    <w:name w:val="缺省文本"/>
    <w:basedOn w:val="1"/>
    <w:autoRedefine/>
    <w:qFormat/>
    <w:uiPriority w:val="0"/>
    <w:pPr>
      <w:autoSpaceDE w:val="0"/>
      <w:autoSpaceDN w:val="0"/>
      <w:adjustRightInd w:val="0"/>
      <w:jc w:val="left"/>
    </w:pPr>
    <w:rPr>
      <w:kern w:val="0"/>
    </w:rPr>
  </w:style>
  <w:style w:type="paragraph" w:customStyle="1" w:styleId="119">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character" w:customStyle="1" w:styleId="120">
    <w:name w:val="--规划正文 Char Char"/>
    <w:autoRedefine/>
    <w:qFormat/>
    <w:uiPriority w:val="0"/>
    <w:rPr>
      <w:rFonts w:eastAsia="宋体"/>
      <w:kern w:val="2"/>
      <w:sz w:val="24"/>
      <w:szCs w:val="24"/>
      <w:lang w:val="en-US" w:eastAsia="zh-CN" w:bidi="ar-SA"/>
    </w:rPr>
  </w:style>
  <w:style w:type="paragraph" w:customStyle="1" w:styleId="121">
    <w:name w:val="样式3"/>
    <w:basedOn w:val="2"/>
    <w:autoRedefine/>
    <w:qFormat/>
    <w:uiPriority w:val="0"/>
    <w:pPr>
      <w:numPr>
        <w:ilvl w:val="0"/>
        <w:numId w:val="5"/>
      </w:numPr>
      <w:spacing w:before="240" w:after="240" w:line="480" w:lineRule="auto"/>
      <w:ind w:right="210" w:rightChars="100"/>
      <w:jc w:val="left"/>
    </w:pPr>
    <w:rPr>
      <w:sz w:val="32"/>
    </w:rPr>
  </w:style>
  <w:style w:type="character" w:customStyle="1" w:styleId="122">
    <w:name w:val="--规划正文 Char1"/>
    <w:autoRedefine/>
    <w:qFormat/>
    <w:uiPriority w:val="0"/>
    <w:rPr>
      <w:rFonts w:eastAsia="宋体"/>
      <w:kern w:val="2"/>
      <w:sz w:val="21"/>
      <w:lang w:val="en-US" w:eastAsia="zh-CN" w:bidi="ar-SA"/>
    </w:rPr>
  </w:style>
  <w:style w:type="paragraph" w:customStyle="1" w:styleId="123">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4">
    <w:name w:val="列表项目"/>
    <w:basedOn w:val="1"/>
    <w:autoRedefine/>
    <w:qFormat/>
    <w:uiPriority w:val="0"/>
    <w:pPr>
      <w:tabs>
        <w:tab w:val="left" w:pos="420"/>
        <w:tab w:val="left" w:pos="1080"/>
      </w:tabs>
      <w:spacing w:line="288" w:lineRule="auto"/>
      <w:ind w:left="1080" w:hanging="360"/>
    </w:pPr>
    <w:rPr>
      <w:sz w:val="24"/>
      <w:szCs w:val="20"/>
    </w:rPr>
  </w:style>
  <w:style w:type="character" w:customStyle="1" w:styleId="125">
    <w:name w:val="content1"/>
    <w:autoRedefine/>
    <w:qFormat/>
    <w:uiPriority w:val="0"/>
    <w:rPr>
      <w:rFonts w:hint="default" w:ascii="??" w:hAnsi="??"/>
      <w:sz w:val="16"/>
      <w:szCs w:val="16"/>
      <w:u w:val="none"/>
    </w:rPr>
  </w:style>
  <w:style w:type="character" w:customStyle="1" w:styleId="126">
    <w:name w:val="unnamed4"/>
    <w:basedOn w:val="46"/>
    <w:autoRedefine/>
    <w:qFormat/>
    <w:uiPriority w:val="0"/>
  </w:style>
  <w:style w:type="character" w:customStyle="1" w:styleId="127">
    <w:name w:val="font2"/>
    <w:basedOn w:val="46"/>
    <w:autoRedefine/>
    <w:qFormat/>
    <w:uiPriority w:val="0"/>
  </w:style>
  <w:style w:type="character" w:customStyle="1" w:styleId="128">
    <w:name w:val="font41"/>
    <w:autoRedefine/>
    <w:qFormat/>
    <w:uiPriority w:val="0"/>
    <w:rPr>
      <w:color w:val="000000"/>
      <w:spacing w:val="260"/>
      <w:sz w:val="18"/>
      <w:szCs w:val="18"/>
      <w:u w:val="none"/>
    </w:rPr>
  </w:style>
  <w:style w:type="paragraph" w:customStyle="1" w:styleId="129">
    <w:name w:val="正文(首行缩进)"/>
    <w:autoRedefine/>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0">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character" w:customStyle="1" w:styleId="131">
    <w:name w:val="正文首行缩进 Char"/>
    <w:link w:val="42"/>
    <w:autoRedefine/>
    <w:qFormat/>
    <w:uiPriority w:val="0"/>
    <w:rPr>
      <w:rFonts w:eastAsia="宋体"/>
      <w:b/>
      <w:bCs/>
      <w:kern w:val="2"/>
      <w:sz w:val="21"/>
      <w:szCs w:val="24"/>
      <w:lang w:val="en-US" w:eastAsia="zh-CN" w:bidi="ar-SA"/>
    </w:rPr>
  </w:style>
  <w:style w:type="paragraph" w:customStyle="1" w:styleId="132">
    <w:name w:val="正文(首行缩进) Char"/>
    <w:autoRedefine/>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3">
    <w:name w:val="汉议细等线简8"/>
    <w:autoRedefine/>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4">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5">
    <w:name w:val="mode"/>
    <w:basedOn w:val="46"/>
    <w:autoRedefine/>
    <w:qFormat/>
    <w:uiPriority w:val="0"/>
  </w:style>
  <w:style w:type="paragraph" w:customStyle="1" w:styleId="136">
    <w:name w:val="9"/>
    <w:basedOn w:val="1"/>
    <w:next w:val="7"/>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37">
    <w:name w:val="unnamed3"/>
    <w:basedOn w:val="46"/>
    <w:autoRedefine/>
    <w:qFormat/>
    <w:uiPriority w:val="0"/>
  </w:style>
  <w:style w:type="paragraph" w:customStyle="1" w:styleId="138">
    <w:name w:val="8"/>
    <w:basedOn w:val="1"/>
    <w:next w:val="19"/>
    <w:autoRedefine/>
    <w:qFormat/>
    <w:uiPriority w:val="0"/>
    <w:pPr>
      <w:spacing w:after="120"/>
      <w:ind w:left="420" w:leftChars="200"/>
    </w:pPr>
  </w:style>
  <w:style w:type="paragraph" w:customStyle="1" w:styleId="139">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140">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141">
    <w:name w:val="5"/>
    <w:basedOn w:val="1"/>
    <w:autoRedefine/>
    <w:qFormat/>
    <w:uiPriority w:val="0"/>
    <w:pPr>
      <w:autoSpaceDE w:val="0"/>
      <w:autoSpaceDN w:val="0"/>
      <w:adjustRightInd w:val="0"/>
      <w:jc w:val="left"/>
    </w:pPr>
    <w:rPr>
      <w:rFonts w:ascii="宋体"/>
      <w:b/>
      <w:bCs/>
      <w:kern w:val="0"/>
      <w:sz w:val="18"/>
      <w:szCs w:val="18"/>
    </w:rPr>
  </w:style>
  <w:style w:type="paragraph" w:customStyle="1" w:styleId="142">
    <w:name w:val="6"/>
    <w:basedOn w:val="141"/>
    <w:autoRedefine/>
    <w:qFormat/>
    <w:uiPriority w:val="0"/>
    <w:pPr>
      <w:spacing w:line="270" w:lineRule="atLeast"/>
      <w:jc w:val="both"/>
    </w:pPr>
    <w:rPr>
      <w:b w:val="0"/>
      <w:bCs w:val="0"/>
    </w:rPr>
  </w:style>
  <w:style w:type="paragraph" w:customStyle="1" w:styleId="143">
    <w:name w:val="产品描述"/>
    <w:autoRedefine/>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4">
    <w:name w:val="姜文清定义的正文"/>
    <w:basedOn w:val="1"/>
    <w:autoRedefine/>
    <w:qFormat/>
    <w:uiPriority w:val="0"/>
    <w:pPr>
      <w:spacing w:line="240" w:lineRule="atLeast"/>
      <w:ind w:firstLine="567"/>
    </w:pPr>
    <w:rPr>
      <w:szCs w:val="20"/>
    </w:rPr>
  </w:style>
  <w:style w:type="paragraph" w:customStyle="1" w:styleId="145">
    <w:name w:val="Default"/>
    <w:autoRedefine/>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6">
    <w:name w:val="CM2"/>
    <w:basedOn w:val="145"/>
    <w:next w:val="145"/>
    <w:autoRedefine/>
    <w:qFormat/>
    <w:uiPriority w:val="0"/>
    <w:pPr>
      <w:spacing w:line="200" w:lineRule="atLeast"/>
    </w:pPr>
    <w:rPr>
      <w:rFonts w:ascii="Arial" w:hAnsi="Arial" w:eastAsia="宋体" w:cs="Times New Roman"/>
      <w:color w:val="auto"/>
    </w:rPr>
  </w:style>
  <w:style w:type="paragraph" w:customStyle="1" w:styleId="147">
    <w:name w:val="Normal Paragraph"/>
    <w:basedOn w:val="1"/>
    <w:autoRedefine/>
    <w:qFormat/>
    <w:uiPriority w:val="0"/>
    <w:pPr>
      <w:widowControl/>
      <w:spacing w:before="120" w:line="360" w:lineRule="auto"/>
      <w:ind w:firstLine="425"/>
    </w:pPr>
    <w:rPr>
      <w:kern w:val="0"/>
      <w:sz w:val="24"/>
    </w:rPr>
  </w:style>
  <w:style w:type="character" w:customStyle="1" w:styleId="148">
    <w:name w:val="blue"/>
    <w:basedOn w:val="46"/>
    <w:qFormat/>
    <w:uiPriority w:val="0"/>
  </w:style>
  <w:style w:type="paragraph" w:customStyle="1" w:styleId="149">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0">
    <w:name w:val="font"/>
    <w:basedOn w:val="46"/>
    <w:qFormat/>
    <w:uiPriority w:val="0"/>
  </w:style>
  <w:style w:type="character" w:customStyle="1" w:styleId="151">
    <w:name w:val="font11"/>
    <w:qFormat/>
    <w:uiPriority w:val="0"/>
    <w:rPr>
      <w:rFonts w:hint="default" w:ascii="ˎ̥" w:hAnsi="ˎ̥"/>
    </w:rPr>
  </w:style>
  <w:style w:type="paragraph" w:customStyle="1" w:styleId="152">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3">
    <w:name w:val="proddescription"/>
    <w:basedOn w:val="46"/>
    <w:qFormat/>
    <w:uiPriority w:val="0"/>
  </w:style>
  <w:style w:type="character" w:customStyle="1" w:styleId="154">
    <w:name w:val="prodheadlines"/>
    <w:basedOn w:val="46"/>
    <w:qFormat/>
    <w:uiPriority w:val="0"/>
  </w:style>
  <w:style w:type="character" w:customStyle="1" w:styleId="155">
    <w:name w:val="text"/>
    <w:basedOn w:val="46"/>
    <w:qFormat/>
    <w:uiPriority w:val="0"/>
  </w:style>
  <w:style w:type="paragraph" w:customStyle="1" w:styleId="156">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7">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8">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9">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0">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1">
    <w:name w:val="段落正文"/>
    <w:basedOn w:val="22"/>
    <w:qFormat/>
    <w:uiPriority w:val="0"/>
    <w:pPr>
      <w:ind w:firstLine="560" w:firstLineChars="200"/>
    </w:pPr>
    <w:rPr>
      <w:sz w:val="28"/>
    </w:rPr>
  </w:style>
  <w:style w:type="character" w:customStyle="1" w:styleId="162">
    <w:name w:val="gray6"/>
    <w:basedOn w:val="46"/>
    <w:qFormat/>
    <w:uiPriority w:val="0"/>
  </w:style>
  <w:style w:type="character" w:customStyle="1" w:styleId="163">
    <w:name w:val="style9"/>
    <w:basedOn w:val="46"/>
    <w:qFormat/>
    <w:uiPriority w:val="0"/>
  </w:style>
  <w:style w:type="paragraph" w:customStyle="1" w:styleId="164">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5">
    <w:name w:val="grame"/>
    <w:basedOn w:val="46"/>
    <w:qFormat/>
    <w:uiPriority w:val="0"/>
  </w:style>
  <w:style w:type="paragraph" w:customStyle="1" w:styleId="166">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7">
    <w:name w:val="Char1"/>
    <w:basedOn w:val="1"/>
    <w:qFormat/>
    <w:uiPriority w:val="0"/>
    <w:pPr>
      <w:jc w:val="left"/>
    </w:pPr>
    <w:rPr>
      <w:rFonts w:ascii="Tahoma" w:hAnsi="Tahoma"/>
      <w:sz w:val="24"/>
      <w:szCs w:val="20"/>
    </w:rPr>
  </w:style>
  <w:style w:type="paragraph" w:customStyle="1" w:styleId="168">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9">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2">
    <w:name w:val="font6"/>
    <w:basedOn w:val="1"/>
    <w:qFormat/>
    <w:uiPriority w:val="0"/>
    <w:pPr>
      <w:widowControl/>
      <w:spacing w:before="100" w:beforeAutospacing="1" w:after="100" w:afterAutospacing="1"/>
      <w:jc w:val="left"/>
    </w:pPr>
    <w:rPr>
      <w:kern w:val="0"/>
      <w:sz w:val="24"/>
    </w:rPr>
  </w:style>
  <w:style w:type="paragraph" w:customStyle="1" w:styleId="17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5">
    <w:name w:val="表格字"/>
    <w:basedOn w:val="1"/>
    <w:qFormat/>
    <w:uiPriority w:val="0"/>
    <w:pPr>
      <w:adjustRightInd w:val="0"/>
      <w:jc w:val="center"/>
    </w:pPr>
    <w:rPr>
      <w:rFonts w:ascii="宋体"/>
      <w:sz w:val="24"/>
      <w:szCs w:val="20"/>
    </w:rPr>
  </w:style>
  <w:style w:type="character" w:customStyle="1" w:styleId="176">
    <w:name w:val="样式 小三 加粗"/>
    <w:qFormat/>
    <w:uiPriority w:val="0"/>
    <w:rPr>
      <w:rFonts w:eastAsia="宋体"/>
      <w:b/>
      <w:bCs/>
      <w:sz w:val="32"/>
    </w:rPr>
  </w:style>
  <w:style w:type="paragraph" w:customStyle="1" w:styleId="17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9">
    <w:name w:val="Char Char Char"/>
    <w:basedOn w:val="1"/>
    <w:qFormat/>
    <w:uiPriority w:val="0"/>
    <w:rPr>
      <w:rFonts w:ascii="Tahoma" w:hAnsi="Tahoma"/>
      <w:sz w:val="24"/>
      <w:szCs w:val="20"/>
    </w:rPr>
  </w:style>
  <w:style w:type="paragraph" w:customStyle="1" w:styleId="180">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1">
    <w:name w:val="info4"/>
    <w:basedOn w:val="46"/>
    <w:qFormat/>
    <w:uiPriority w:val="0"/>
  </w:style>
  <w:style w:type="paragraph" w:customStyle="1" w:styleId="182">
    <w:name w:val="缩进正文"/>
    <w:basedOn w:val="1"/>
    <w:link w:val="183"/>
    <w:qFormat/>
    <w:uiPriority w:val="0"/>
    <w:pPr>
      <w:ind w:firstLine="560" w:firstLineChars="200"/>
    </w:pPr>
    <w:rPr>
      <w:rFonts w:eastAsia="仿宋_GB2312" w:cs="宋体"/>
      <w:sz w:val="28"/>
      <w:szCs w:val="20"/>
    </w:rPr>
  </w:style>
  <w:style w:type="character" w:customStyle="1" w:styleId="183">
    <w:name w:val="缩进正文 Char"/>
    <w:link w:val="182"/>
    <w:qFormat/>
    <w:uiPriority w:val="0"/>
    <w:rPr>
      <w:rFonts w:eastAsia="仿宋_GB2312" w:cs="宋体"/>
      <w:kern w:val="2"/>
      <w:sz w:val="28"/>
      <w:lang w:val="en-US" w:eastAsia="zh-CN" w:bidi="ar-SA"/>
    </w:rPr>
  </w:style>
  <w:style w:type="character" w:customStyle="1" w:styleId="184">
    <w:name w:val="批注文字 Char"/>
    <w:basedOn w:val="46"/>
    <w:link w:val="16"/>
    <w:qFormat/>
    <w:uiPriority w:val="99"/>
    <w:rPr>
      <w:rFonts w:ascii="宋体"/>
      <w:sz w:val="34"/>
    </w:rPr>
  </w:style>
  <w:style w:type="character" w:customStyle="1" w:styleId="185">
    <w:name w:val="批注主题 Char"/>
    <w:basedOn w:val="184"/>
    <w:link w:val="41"/>
    <w:qFormat/>
    <w:uiPriority w:val="99"/>
    <w:rPr>
      <w:rFonts w:ascii="宋体"/>
      <w:sz w:val="34"/>
    </w:rPr>
  </w:style>
  <w:style w:type="paragraph" w:customStyle="1" w:styleId="186">
    <w:name w:val="评价"/>
    <w:basedOn w:val="1"/>
    <w:qFormat/>
    <w:uiPriority w:val="0"/>
    <w:pPr>
      <w:spacing w:afterLines="20"/>
      <w:ind w:firstLine="1446" w:firstLineChars="200"/>
    </w:pPr>
    <w:rPr>
      <w:rFonts w:ascii="Calibri" w:hAnsi="Calibri"/>
      <w:sz w:val="24"/>
    </w:rPr>
  </w:style>
  <w:style w:type="paragraph" w:customStyle="1" w:styleId="18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8">
    <w:name w:val="alt-edited1"/>
    <w:qFormat/>
    <w:uiPriority w:val="0"/>
    <w:rPr>
      <w:color w:val="4D90F0"/>
    </w:rPr>
  </w:style>
  <w:style w:type="paragraph" w:customStyle="1" w:styleId="189">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0">
    <w:name w:val="文档结构图 Char1"/>
    <w:semiHidden/>
    <w:qFormat/>
    <w:uiPriority w:val="0"/>
    <w:rPr>
      <w:sz w:val="20"/>
    </w:rPr>
  </w:style>
  <w:style w:type="character" w:customStyle="1" w:styleId="191">
    <w:name w:val="文档结构图 Char"/>
    <w:semiHidden/>
    <w:qFormat/>
    <w:uiPriority w:val="0"/>
    <w:rPr>
      <w:sz w:val="20"/>
    </w:rPr>
  </w:style>
  <w:style w:type="character" w:customStyle="1" w:styleId="192">
    <w:name w:val="short_text"/>
    <w:basedOn w:val="46"/>
    <w:qFormat/>
    <w:uiPriority w:val="0"/>
    <w:rPr>
      <w:sz w:val="20"/>
    </w:rPr>
  </w:style>
  <w:style w:type="character" w:customStyle="1" w:styleId="193">
    <w:name w:val="标题 Char1"/>
    <w:qFormat/>
    <w:uiPriority w:val="0"/>
    <w:rPr>
      <w:b/>
      <w:sz w:val="20"/>
    </w:rPr>
  </w:style>
  <w:style w:type="character" w:customStyle="1" w:styleId="194">
    <w:name w:val="正文文本缩进 3 Char1"/>
    <w:semiHidden/>
    <w:qFormat/>
    <w:uiPriority w:val="0"/>
    <w:rPr>
      <w:sz w:val="20"/>
    </w:rPr>
  </w:style>
  <w:style w:type="character" w:customStyle="1" w:styleId="195">
    <w:name w:val="font21"/>
    <w:qFormat/>
    <w:uiPriority w:val="0"/>
    <w:rPr>
      <w:color w:val="FF0000"/>
      <w:sz w:val="20"/>
      <w:u w:val="none"/>
    </w:rPr>
  </w:style>
  <w:style w:type="character" w:customStyle="1" w:styleId="196">
    <w:name w:val="不明显强调1"/>
    <w:qFormat/>
    <w:uiPriority w:val="0"/>
    <w:rPr>
      <w:i/>
      <w:sz w:val="20"/>
    </w:rPr>
  </w:style>
  <w:style w:type="character" w:customStyle="1" w:styleId="197">
    <w:name w:val="font71"/>
    <w:qFormat/>
    <w:uiPriority w:val="0"/>
    <w:rPr>
      <w:sz w:val="20"/>
      <w:u w:val="none"/>
    </w:rPr>
  </w:style>
  <w:style w:type="character" w:customStyle="1" w:styleId="198">
    <w:name w:val="页眉 Char1"/>
    <w:semiHidden/>
    <w:qFormat/>
    <w:uiPriority w:val="0"/>
    <w:rPr>
      <w:sz w:val="20"/>
    </w:rPr>
  </w:style>
  <w:style w:type="character" w:customStyle="1" w:styleId="199">
    <w:name w:val="正文文本缩进 2 Char1"/>
    <w:semiHidden/>
    <w:qFormat/>
    <w:uiPriority w:val="0"/>
    <w:rPr>
      <w:sz w:val="20"/>
    </w:rPr>
  </w:style>
  <w:style w:type="character" w:customStyle="1" w:styleId="200">
    <w:name w:val="font61"/>
    <w:qFormat/>
    <w:uiPriority w:val="0"/>
    <w:rPr>
      <w:sz w:val="20"/>
      <w:u w:val="none"/>
    </w:rPr>
  </w:style>
  <w:style w:type="character" w:customStyle="1" w:styleId="201">
    <w:name w:val="纯文本 Char1"/>
    <w:semiHidden/>
    <w:qFormat/>
    <w:uiPriority w:val="0"/>
    <w:rPr>
      <w:sz w:val="20"/>
    </w:rPr>
  </w:style>
  <w:style w:type="character" w:customStyle="1" w:styleId="202">
    <w:name w:val="正文文本 3 Char1"/>
    <w:semiHidden/>
    <w:qFormat/>
    <w:uiPriority w:val="0"/>
    <w:rPr>
      <w:sz w:val="20"/>
    </w:rPr>
  </w:style>
  <w:style w:type="character" w:customStyle="1" w:styleId="203">
    <w:name w:val="正文文本缩进 Char1"/>
    <w:semiHidden/>
    <w:qFormat/>
    <w:uiPriority w:val="0"/>
    <w:rPr>
      <w:sz w:val="20"/>
    </w:rPr>
  </w:style>
  <w:style w:type="character" w:customStyle="1" w:styleId="204">
    <w:name w:val="明显参考1"/>
    <w:qFormat/>
    <w:uiPriority w:val="0"/>
    <w:rPr>
      <w:b/>
      <w:sz w:val="20"/>
    </w:rPr>
  </w:style>
  <w:style w:type="character" w:customStyle="1" w:styleId="205">
    <w:name w:val="apple-converted-space"/>
    <w:qFormat/>
    <w:uiPriority w:val="0"/>
    <w:rPr>
      <w:sz w:val="20"/>
    </w:rPr>
  </w:style>
  <w:style w:type="character" w:customStyle="1" w:styleId="206">
    <w:name w:val="书籍标题1"/>
    <w:qFormat/>
    <w:uiPriority w:val="0"/>
    <w:rPr>
      <w:b/>
      <w:i/>
      <w:sz w:val="20"/>
    </w:rPr>
  </w:style>
  <w:style w:type="character" w:customStyle="1" w:styleId="207">
    <w:name w:val="long_text"/>
    <w:qFormat/>
    <w:uiPriority w:val="0"/>
    <w:rPr>
      <w:sz w:val="20"/>
    </w:rPr>
  </w:style>
  <w:style w:type="character" w:customStyle="1" w:styleId="208">
    <w:name w:val="日期 Char1"/>
    <w:semiHidden/>
    <w:qFormat/>
    <w:uiPriority w:val="0"/>
    <w:rPr>
      <w:sz w:val="20"/>
    </w:rPr>
  </w:style>
  <w:style w:type="character" w:customStyle="1" w:styleId="209">
    <w:name w:val="批注文字 Char1"/>
    <w:semiHidden/>
    <w:qFormat/>
    <w:uiPriority w:val="0"/>
    <w:rPr>
      <w:sz w:val="20"/>
    </w:rPr>
  </w:style>
  <w:style w:type="character" w:customStyle="1" w:styleId="210">
    <w:name w:val="明显强调1"/>
    <w:qFormat/>
    <w:uiPriority w:val="0"/>
    <w:rPr>
      <w:i/>
      <w:sz w:val="20"/>
    </w:rPr>
  </w:style>
  <w:style w:type="character" w:customStyle="1" w:styleId="211">
    <w:name w:val="16"/>
    <w:autoRedefine/>
    <w:qFormat/>
    <w:uiPriority w:val="0"/>
    <w:rPr>
      <w:b/>
      <w:color w:val="FF0356"/>
      <w:sz w:val="20"/>
    </w:rPr>
  </w:style>
  <w:style w:type="character" w:customStyle="1" w:styleId="212">
    <w:name w:val="批注主题 Char1"/>
    <w:autoRedefine/>
    <w:semiHidden/>
    <w:qFormat/>
    <w:uiPriority w:val="0"/>
    <w:rPr>
      <w:b/>
      <w:sz w:val="20"/>
    </w:rPr>
  </w:style>
  <w:style w:type="character" w:customStyle="1" w:styleId="213">
    <w:name w:val="正文文本 2 Char1"/>
    <w:autoRedefine/>
    <w:semiHidden/>
    <w:qFormat/>
    <w:uiPriority w:val="0"/>
    <w:rPr>
      <w:sz w:val="20"/>
    </w:rPr>
  </w:style>
  <w:style w:type="character" w:customStyle="1" w:styleId="214">
    <w:name w:val="font31"/>
    <w:autoRedefine/>
    <w:qFormat/>
    <w:uiPriority w:val="0"/>
    <w:rPr>
      <w:color w:val="FF0000"/>
      <w:sz w:val="20"/>
      <w:u w:val="none"/>
      <w:vertAlign w:val="superscript"/>
    </w:rPr>
  </w:style>
  <w:style w:type="character" w:customStyle="1" w:styleId="215">
    <w:name w:val="不明显参考1"/>
    <w:qFormat/>
    <w:uiPriority w:val="0"/>
    <w:rPr>
      <w:sz w:val="20"/>
    </w:rPr>
  </w:style>
  <w:style w:type="character" w:customStyle="1" w:styleId="216">
    <w:name w:val="HTML 预设格式 Char1"/>
    <w:semiHidden/>
    <w:qFormat/>
    <w:uiPriority w:val="0"/>
    <w:rPr>
      <w:sz w:val="20"/>
    </w:rPr>
  </w:style>
  <w:style w:type="character" w:customStyle="1" w:styleId="217">
    <w:name w:val="font01"/>
    <w:basedOn w:val="46"/>
    <w:qFormat/>
    <w:uiPriority w:val="0"/>
    <w:rPr>
      <w:color w:val="FF0000"/>
      <w:sz w:val="20"/>
      <w:u w:val="none"/>
      <w:vertAlign w:val="superscript"/>
    </w:rPr>
  </w:style>
  <w:style w:type="character" w:customStyle="1" w:styleId="218">
    <w:name w:val="页脚 Char1"/>
    <w:semiHidden/>
    <w:qFormat/>
    <w:uiPriority w:val="0"/>
    <w:rPr>
      <w:sz w:val="20"/>
    </w:rPr>
  </w:style>
  <w:style w:type="character" w:customStyle="1" w:styleId="219">
    <w:name w:val="批注框文本 Char1"/>
    <w:semiHidden/>
    <w:qFormat/>
    <w:uiPriority w:val="0"/>
    <w:rPr>
      <w:sz w:val="20"/>
    </w:rPr>
  </w:style>
  <w:style w:type="paragraph" w:customStyle="1" w:styleId="220">
    <w:name w:val="列出段落2"/>
    <w:basedOn w:val="1"/>
    <w:next w:val="221"/>
    <w:qFormat/>
    <w:uiPriority w:val="0"/>
    <w:pPr>
      <w:ind w:firstLine="420"/>
    </w:pPr>
    <w:rPr>
      <w:rFonts w:hAnsi="Calibri"/>
      <w:kern w:val="0"/>
      <w:szCs w:val="20"/>
    </w:rPr>
  </w:style>
  <w:style w:type="paragraph" w:customStyle="1" w:styleId="221">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2">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3">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4">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5">
    <w:name w:val="xl86"/>
    <w:basedOn w:val="1"/>
    <w:next w:val="226"/>
    <w:qFormat/>
    <w:uiPriority w:val="0"/>
    <w:pPr>
      <w:widowControl/>
      <w:shd w:val="clear" w:color="000000" w:fill="FFFFFF"/>
      <w:spacing w:before="280" w:after="280"/>
      <w:jc w:val="center"/>
    </w:pPr>
    <w:rPr>
      <w:rFonts w:ascii="宋体" w:hAnsi="Calibri"/>
      <w:kern w:val="0"/>
      <w:sz w:val="20"/>
      <w:szCs w:val="20"/>
    </w:rPr>
  </w:style>
  <w:style w:type="paragraph" w:customStyle="1" w:styleId="226">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7">
    <w:name w:val="TOC Heading4"/>
    <w:next w:val="1"/>
    <w:qFormat/>
    <w:uiPriority w:val="0"/>
    <w:pPr>
      <w:wordWrap w:val="0"/>
    </w:pPr>
    <w:rPr>
      <w:rFonts w:ascii="Calibri" w:hAnsi="Calibri" w:eastAsia="宋体" w:cs="Times New Roman"/>
      <w:sz w:val="32"/>
      <w:lang w:val="en-US" w:eastAsia="zh-CN" w:bidi="ar-SA"/>
    </w:rPr>
  </w:style>
  <w:style w:type="paragraph" w:customStyle="1" w:styleId="228">
    <w:name w:val="toc 15"/>
    <w:next w:val="1"/>
    <w:qFormat/>
    <w:uiPriority w:val="0"/>
    <w:pPr>
      <w:wordWrap w:val="0"/>
      <w:jc w:val="both"/>
    </w:pPr>
    <w:rPr>
      <w:rFonts w:ascii="Calibri" w:hAnsi="Calibri" w:eastAsia="宋体" w:cs="Times New Roman"/>
      <w:sz w:val="21"/>
      <w:lang w:val="en-US" w:eastAsia="zh-CN" w:bidi="ar-SA"/>
    </w:rPr>
  </w:style>
  <w:style w:type="paragraph" w:customStyle="1" w:styleId="229">
    <w:name w:val="TOC Heading2"/>
    <w:next w:val="1"/>
    <w:qFormat/>
    <w:uiPriority w:val="0"/>
    <w:pPr>
      <w:wordWrap w:val="0"/>
    </w:pPr>
    <w:rPr>
      <w:rFonts w:ascii="Calibri" w:hAnsi="Calibri" w:eastAsia="宋体" w:cs="Times New Roman"/>
      <w:sz w:val="32"/>
      <w:lang w:val="en-US" w:eastAsia="zh-CN" w:bidi="ar-SA"/>
    </w:rPr>
  </w:style>
  <w:style w:type="paragraph" w:customStyle="1" w:styleId="230">
    <w:name w:val="TOC Heading1"/>
    <w:next w:val="1"/>
    <w:qFormat/>
    <w:uiPriority w:val="0"/>
    <w:pPr>
      <w:wordWrap w:val="0"/>
    </w:pPr>
    <w:rPr>
      <w:rFonts w:ascii="Calibri" w:hAnsi="Calibri" w:eastAsia="宋体" w:cs="Times New Roman"/>
      <w:sz w:val="32"/>
      <w:lang w:val="en-US" w:eastAsia="zh-CN" w:bidi="ar-SA"/>
    </w:rPr>
  </w:style>
  <w:style w:type="paragraph" w:customStyle="1" w:styleId="231">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2">
    <w:name w:val="font7"/>
    <w:basedOn w:val="1"/>
    <w:next w:val="233"/>
    <w:qFormat/>
    <w:uiPriority w:val="0"/>
    <w:pPr>
      <w:widowControl/>
      <w:spacing w:before="280" w:after="280"/>
    </w:pPr>
    <w:rPr>
      <w:rFonts w:ascii="Arial" w:hAnsi="Calibri"/>
      <w:kern w:val="0"/>
      <w:sz w:val="18"/>
      <w:szCs w:val="20"/>
    </w:rPr>
  </w:style>
  <w:style w:type="paragraph" w:customStyle="1" w:styleId="233">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4">
    <w:name w:val="xl113"/>
    <w:basedOn w:val="1"/>
    <w:next w:val="235"/>
    <w:qFormat/>
    <w:uiPriority w:val="0"/>
    <w:pPr>
      <w:widowControl/>
      <w:shd w:val="clear" w:color="000000" w:fill="FFFFFF"/>
      <w:spacing w:before="280" w:after="280"/>
      <w:jc w:val="center"/>
    </w:pPr>
    <w:rPr>
      <w:rFonts w:ascii="宋体" w:hAnsi="Calibri"/>
      <w:b/>
      <w:kern w:val="0"/>
      <w:sz w:val="20"/>
      <w:szCs w:val="20"/>
    </w:rPr>
  </w:style>
  <w:style w:type="paragraph" w:customStyle="1" w:styleId="235">
    <w:name w:val="TOC Heading10"/>
    <w:next w:val="1"/>
    <w:qFormat/>
    <w:uiPriority w:val="0"/>
    <w:pPr>
      <w:wordWrap w:val="0"/>
    </w:pPr>
    <w:rPr>
      <w:rFonts w:ascii="Calibri" w:hAnsi="Calibri" w:eastAsia="宋体" w:cs="Times New Roman"/>
      <w:sz w:val="32"/>
      <w:lang w:val="en-US" w:eastAsia="zh-CN" w:bidi="ar-SA"/>
    </w:rPr>
  </w:style>
  <w:style w:type="paragraph" w:customStyle="1" w:styleId="236">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7">
    <w:name w:val="xl73"/>
    <w:basedOn w:val="1"/>
    <w:next w:val="238"/>
    <w:qFormat/>
    <w:uiPriority w:val="0"/>
    <w:pPr>
      <w:widowControl/>
      <w:shd w:val="clear" w:color="000000" w:fill="FFFFFF"/>
      <w:spacing w:before="280" w:after="280"/>
      <w:jc w:val="center"/>
    </w:pPr>
    <w:rPr>
      <w:rFonts w:ascii="宋体" w:hAnsi="Calibri"/>
      <w:kern w:val="0"/>
      <w:sz w:val="20"/>
      <w:szCs w:val="20"/>
    </w:rPr>
  </w:style>
  <w:style w:type="paragraph" w:customStyle="1" w:styleId="238">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39">
    <w:name w:val="xl79"/>
    <w:basedOn w:val="1"/>
    <w:next w:val="240"/>
    <w:qFormat/>
    <w:uiPriority w:val="0"/>
    <w:pPr>
      <w:widowControl/>
      <w:shd w:val="clear" w:color="000000" w:fill="FFFFFF"/>
      <w:spacing w:before="280" w:after="280"/>
    </w:pPr>
    <w:rPr>
      <w:rFonts w:ascii="宋体" w:hAnsi="Calibri"/>
      <w:b/>
      <w:kern w:val="0"/>
      <w:sz w:val="20"/>
      <w:szCs w:val="20"/>
    </w:rPr>
  </w:style>
  <w:style w:type="paragraph" w:customStyle="1" w:styleId="240">
    <w:name w:val="toc 87"/>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41">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2">
    <w:name w:val="toc 410"/>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43">
    <w:name w:val="toc 61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44">
    <w:name w:val="xl112"/>
    <w:basedOn w:val="1"/>
    <w:next w:val="243"/>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245">
    <w:name w:val="toc 514"/>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46">
    <w:name w:val="toc 44"/>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47">
    <w:name w:val="toc 412"/>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48">
    <w:name w:val="xl74"/>
    <w:basedOn w:val="1"/>
    <w:next w:val="249"/>
    <w:autoRedefine/>
    <w:qFormat/>
    <w:uiPriority w:val="0"/>
    <w:pPr>
      <w:widowControl/>
      <w:shd w:val="clear" w:color="000000" w:fill="FFFFFF"/>
      <w:spacing w:before="280" w:after="280"/>
    </w:pPr>
    <w:rPr>
      <w:rFonts w:ascii="宋体" w:hAnsi="Calibri"/>
      <w:kern w:val="0"/>
      <w:sz w:val="20"/>
      <w:szCs w:val="20"/>
    </w:rPr>
  </w:style>
  <w:style w:type="paragraph" w:customStyle="1" w:styleId="249">
    <w:name w:val="toc 57"/>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50">
    <w:name w:val="toc 912"/>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1">
    <w:name w:val="toc 9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2">
    <w:name w:val="toc 38"/>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53">
    <w:name w:val="toc 95"/>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4">
    <w:name w:val="列出段落5"/>
    <w:basedOn w:val="1"/>
    <w:next w:val="255"/>
    <w:qFormat/>
    <w:uiPriority w:val="0"/>
    <w:pPr>
      <w:ind w:firstLine="420"/>
    </w:pPr>
    <w:rPr>
      <w:rFonts w:hAnsi="Calibri"/>
      <w:kern w:val="0"/>
      <w:szCs w:val="20"/>
    </w:rPr>
  </w:style>
  <w:style w:type="paragraph" w:customStyle="1" w:styleId="255">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6">
    <w:name w:val="xl66"/>
    <w:basedOn w:val="1"/>
    <w:next w:val="257"/>
    <w:qFormat/>
    <w:uiPriority w:val="0"/>
    <w:pPr>
      <w:widowControl/>
      <w:shd w:val="clear" w:color="000000" w:fill="FFFFFF"/>
      <w:spacing w:before="280" w:after="280"/>
    </w:pPr>
    <w:rPr>
      <w:rFonts w:ascii="宋体" w:hAnsi="Calibri"/>
      <w:kern w:val="0"/>
      <w:sz w:val="20"/>
      <w:szCs w:val="20"/>
    </w:rPr>
  </w:style>
  <w:style w:type="paragraph" w:customStyle="1" w:styleId="257">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58">
    <w:name w:val="TOC Heading3"/>
    <w:next w:val="1"/>
    <w:autoRedefine/>
    <w:qFormat/>
    <w:uiPriority w:val="0"/>
    <w:pPr>
      <w:wordWrap w:val="0"/>
    </w:pPr>
    <w:rPr>
      <w:rFonts w:ascii="Calibri" w:hAnsi="Calibri" w:eastAsia="宋体" w:cs="Times New Roman"/>
      <w:sz w:val="32"/>
      <w:lang w:val="en-US" w:eastAsia="zh-CN" w:bidi="ar-SA"/>
    </w:rPr>
  </w:style>
  <w:style w:type="paragraph" w:customStyle="1" w:styleId="259">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0">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1">
    <w:name w:val="xl84"/>
    <w:basedOn w:val="1"/>
    <w:next w:val="262"/>
    <w:qFormat/>
    <w:uiPriority w:val="0"/>
    <w:pPr>
      <w:widowControl/>
      <w:shd w:val="clear" w:color="000000" w:fill="FFFFFF"/>
      <w:spacing w:before="280" w:after="280"/>
      <w:jc w:val="center"/>
    </w:pPr>
    <w:rPr>
      <w:rFonts w:ascii="宋体" w:hAnsi="Calibri"/>
      <w:kern w:val="0"/>
      <w:sz w:val="20"/>
      <w:szCs w:val="20"/>
    </w:rPr>
  </w:style>
  <w:style w:type="paragraph" w:customStyle="1" w:styleId="262">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3">
    <w:name w:val="xl81"/>
    <w:basedOn w:val="1"/>
    <w:next w:val="264"/>
    <w:qFormat/>
    <w:uiPriority w:val="0"/>
    <w:pPr>
      <w:widowControl/>
      <w:shd w:val="clear" w:color="000000" w:fill="FFFFFF"/>
      <w:spacing w:before="280" w:after="280"/>
    </w:pPr>
    <w:rPr>
      <w:rFonts w:ascii="宋体" w:hAnsi="Calibri"/>
      <w:kern w:val="0"/>
      <w:sz w:val="20"/>
      <w:szCs w:val="20"/>
    </w:rPr>
  </w:style>
  <w:style w:type="paragraph" w:customStyle="1" w:styleId="264">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5">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6">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7">
    <w:name w:val="TOC Heading12"/>
    <w:next w:val="1"/>
    <w:qFormat/>
    <w:uiPriority w:val="0"/>
    <w:pPr>
      <w:wordWrap w:val="0"/>
    </w:pPr>
    <w:rPr>
      <w:rFonts w:ascii="Calibri" w:hAnsi="Calibri" w:eastAsia="宋体" w:cs="Times New Roman"/>
      <w:sz w:val="32"/>
      <w:lang w:val="en-US" w:eastAsia="zh-CN" w:bidi="ar-SA"/>
    </w:rPr>
  </w:style>
  <w:style w:type="paragraph" w:customStyle="1" w:styleId="268">
    <w:name w:val="TOC Heading8"/>
    <w:next w:val="1"/>
    <w:qFormat/>
    <w:uiPriority w:val="0"/>
    <w:pPr>
      <w:wordWrap w:val="0"/>
    </w:pPr>
    <w:rPr>
      <w:rFonts w:ascii="Calibri" w:hAnsi="Calibri" w:eastAsia="宋体" w:cs="Times New Roman"/>
      <w:sz w:val="32"/>
      <w:lang w:val="en-US" w:eastAsia="zh-CN" w:bidi="ar-SA"/>
    </w:rPr>
  </w:style>
  <w:style w:type="paragraph" w:customStyle="1" w:styleId="269">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0">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1">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2">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3">
    <w:name w:val="xl116"/>
    <w:basedOn w:val="1"/>
    <w:next w:val="274"/>
    <w:qFormat/>
    <w:uiPriority w:val="0"/>
    <w:pPr>
      <w:widowControl/>
      <w:shd w:val="clear" w:color="000000" w:fill="FFFFFF"/>
      <w:spacing w:before="280" w:after="280"/>
      <w:jc w:val="center"/>
    </w:pPr>
    <w:rPr>
      <w:rFonts w:ascii="Arial Narrow" w:hAnsi="Calibri"/>
      <w:kern w:val="0"/>
      <w:sz w:val="20"/>
      <w:szCs w:val="20"/>
    </w:rPr>
  </w:style>
  <w:style w:type="paragraph" w:customStyle="1" w:styleId="274">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5">
    <w:name w:val="font8"/>
    <w:basedOn w:val="1"/>
    <w:next w:val="276"/>
    <w:qFormat/>
    <w:uiPriority w:val="0"/>
    <w:pPr>
      <w:widowControl/>
      <w:spacing w:before="280" w:after="280"/>
    </w:pPr>
    <w:rPr>
      <w:rFonts w:ascii="Arial" w:hAnsi="Calibri"/>
      <w:kern w:val="0"/>
      <w:sz w:val="20"/>
      <w:szCs w:val="20"/>
    </w:rPr>
  </w:style>
  <w:style w:type="paragraph" w:customStyle="1" w:styleId="276">
    <w:name w:val="TOC Heading11"/>
    <w:next w:val="1"/>
    <w:qFormat/>
    <w:uiPriority w:val="0"/>
    <w:pPr>
      <w:wordWrap w:val="0"/>
    </w:pPr>
    <w:rPr>
      <w:rFonts w:ascii="Calibri" w:hAnsi="Calibri" w:eastAsia="宋体" w:cs="Times New Roman"/>
      <w:sz w:val="32"/>
      <w:lang w:val="en-US" w:eastAsia="zh-CN" w:bidi="ar-SA"/>
    </w:rPr>
  </w:style>
  <w:style w:type="paragraph" w:customStyle="1" w:styleId="277">
    <w:name w:val="xl69"/>
    <w:basedOn w:val="1"/>
    <w:next w:val="278"/>
    <w:qFormat/>
    <w:uiPriority w:val="0"/>
    <w:pPr>
      <w:widowControl/>
      <w:shd w:val="clear" w:color="000000" w:fill="FFFFFF"/>
      <w:spacing w:before="280" w:after="280"/>
    </w:pPr>
    <w:rPr>
      <w:rFonts w:ascii="宋体" w:hAnsi="Calibri"/>
      <w:b/>
      <w:kern w:val="0"/>
      <w:sz w:val="20"/>
      <w:szCs w:val="20"/>
    </w:rPr>
  </w:style>
  <w:style w:type="paragraph" w:customStyle="1" w:styleId="278">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79">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0">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1">
    <w:name w:val="列出段落3"/>
    <w:basedOn w:val="1"/>
    <w:next w:val="282"/>
    <w:qFormat/>
    <w:uiPriority w:val="0"/>
    <w:pPr>
      <w:ind w:firstLine="420"/>
    </w:pPr>
    <w:rPr>
      <w:rFonts w:hAnsi="Calibri"/>
      <w:kern w:val="0"/>
      <w:szCs w:val="20"/>
    </w:rPr>
  </w:style>
  <w:style w:type="paragraph" w:customStyle="1" w:styleId="282">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3">
    <w:name w:val="TOC 标题1"/>
    <w:next w:val="1"/>
    <w:qFormat/>
    <w:uiPriority w:val="0"/>
    <w:pPr>
      <w:wordWrap w:val="0"/>
    </w:pPr>
    <w:rPr>
      <w:rFonts w:ascii="Calibri" w:hAnsi="Calibri" w:eastAsia="宋体" w:cs="Times New Roman"/>
      <w:sz w:val="32"/>
      <w:lang w:val="en-US" w:eastAsia="zh-CN" w:bidi="ar-SA"/>
    </w:rPr>
  </w:style>
  <w:style w:type="paragraph" w:customStyle="1" w:styleId="284">
    <w:name w:val="TOC Heading5"/>
    <w:next w:val="1"/>
    <w:qFormat/>
    <w:uiPriority w:val="0"/>
    <w:pPr>
      <w:wordWrap w:val="0"/>
    </w:pPr>
    <w:rPr>
      <w:rFonts w:ascii="Calibri" w:hAnsi="Calibri" w:eastAsia="宋体" w:cs="Times New Roman"/>
      <w:sz w:val="32"/>
      <w:lang w:val="en-US" w:eastAsia="zh-CN" w:bidi="ar-SA"/>
    </w:rPr>
  </w:style>
  <w:style w:type="paragraph" w:customStyle="1" w:styleId="285">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6">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7">
    <w:name w:val="xl115"/>
    <w:basedOn w:val="1"/>
    <w:next w:val="288"/>
    <w:qFormat/>
    <w:uiPriority w:val="0"/>
    <w:pPr>
      <w:widowControl/>
      <w:shd w:val="clear" w:color="000000" w:fill="FFFFFF"/>
      <w:spacing w:before="280" w:after="280"/>
      <w:jc w:val="center"/>
    </w:pPr>
    <w:rPr>
      <w:rFonts w:ascii="宋体" w:hAnsi="Calibri"/>
      <w:b/>
      <w:kern w:val="0"/>
      <w:sz w:val="20"/>
      <w:szCs w:val="20"/>
    </w:rPr>
  </w:style>
  <w:style w:type="paragraph" w:customStyle="1" w:styleId="288">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89">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0">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1">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2">
    <w:name w:val="xl93"/>
    <w:basedOn w:val="1"/>
    <w:next w:val="293"/>
    <w:qFormat/>
    <w:uiPriority w:val="0"/>
    <w:pPr>
      <w:widowControl/>
      <w:shd w:val="clear" w:color="000000" w:fill="FFFFFF"/>
      <w:spacing w:before="280" w:after="280"/>
      <w:jc w:val="center"/>
    </w:pPr>
    <w:rPr>
      <w:rFonts w:ascii="宋体" w:hAnsi="Calibri"/>
      <w:kern w:val="0"/>
      <w:sz w:val="20"/>
      <w:szCs w:val="20"/>
    </w:rPr>
  </w:style>
  <w:style w:type="paragraph" w:customStyle="1" w:styleId="293">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4">
    <w:name w:val="xl96"/>
    <w:basedOn w:val="1"/>
    <w:next w:val="245"/>
    <w:qFormat/>
    <w:uiPriority w:val="0"/>
    <w:pPr>
      <w:widowControl/>
      <w:shd w:val="clear" w:color="000000" w:fill="FFFFFF"/>
      <w:spacing w:before="280" w:after="280"/>
      <w:jc w:val="center"/>
    </w:pPr>
    <w:rPr>
      <w:rFonts w:ascii="宋体" w:hAnsi="Calibri"/>
      <w:kern w:val="0"/>
      <w:sz w:val="20"/>
      <w:szCs w:val="20"/>
    </w:rPr>
  </w:style>
  <w:style w:type="paragraph" w:customStyle="1" w:styleId="295">
    <w:name w:val="xl106"/>
    <w:basedOn w:val="1"/>
    <w:next w:val="279"/>
    <w:qFormat/>
    <w:uiPriority w:val="0"/>
    <w:pPr>
      <w:widowControl/>
      <w:shd w:val="clear" w:color="000000" w:fill="FFFFFF"/>
      <w:spacing w:before="280" w:after="280"/>
    </w:pPr>
    <w:rPr>
      <w:rFonts w:ascii="宋体" w:hAnsi="Calibri"/>
      <w:kern w:val="0"/>
      <w:sz w:val="20"/>
      <w:szCs w:val="20"/>
    </w:rPr>
  </w:style>
  <w:style w:type="paragraph" w:customStyle="1" w:styleId="296">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7">
    <w:name w:val="TOC Heading14"/>
    <w:next w:val="1"/>
    <w:qFormat/>
    <w:uiPriority w:val="0"/>
    <w:pPr>
      <w:wordWrap w:val="0"/>
    </w:pPr>
    <w:rPr>
      <w:rFonts w:ascii="Calibri" w:hAnsi="Calibri" w:eastAsia="宋体" w:cs="Times New Roman"/>
      <w:sz w:val="32"/>
      <w:lang w:val="en-US" w:eastAsia="zh-CN" w:bidi="ar-SA"/>
    </w:rPr>
  </w:style>
  <w:style w:type="paragraph" w:customStyle="1" w:styleId="298">
    <w:name w:val="Char Char Char Char Char Char Char1"/>
    <w:basedOn w:val="1"/>
    <w:next w:val="299"/>
    <w:qFormat/>
    <w:uiPriority w:val="0"/>
    <w:pPr>
      <w:widowControl/>
      <w:spacing w:after="160" w:line="240" w:lineRule="exact"/>
    </w:pPr>
    <w:rPr>
      <w:rFonts w:hAnsi="Calibri"/>
      <w:kern w:val="0"/>
      <w:szCs w:val="20"/>
    </w:rPr>
  </w:style>
  <w:style w:type="paragraph" w:customStyle="1" w:styleId="299">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0">
    <w:name w:val="列出段落4"/>
    <w:basedOn w:val="1"/>
    <w:next w:val="301"/>
    <w:qFormat/>
    <w:uiPriority w:val="0"/>
    <w:pPr>
      <w:ind w:firstLine="420"/>
    </w:pPr>
    <w:rPr>
      <w:rFonts w:hAnsi="Calibri"/>
      <w:kern w:val="0"/>
      <w:szCs w:val="20"/>
    </w:rPr>
  </w:style>
  <w:style w:type="paragraph" w:customStyle="1" w:styleId="301">
    <w:name w:val="TOC Heading9"/>
    <w:next w:val="1"/>
    <w:qFormat/>
    <w:uiPriority w:val="0"/>
    <w:pPr>
      <w:wordWrap w:val="0"/>
    </w:pPr>
    <w:rPr>
      <w:rFonts w:ascii="Calibri" w:hAnsi="Calibri" w:eastAsia="宋体" w:cs="Times New Roman"/>
      <w:sz w:val="32"/>
      <w:lang w:val="en-US" w:eastAsia="zh-CN" w:bidi="ar-SA"/>
    </w:rPr>
  </w:style>
  <w:style w:type="paragraph" w:customStyle="1" w:styleId="302">
    <w:name w:val="xl71"/>
    <w:basedOn w:val="1"/>
    <w:next w:val="303"/>
    <w:qFormat/>
    <w:uiPriority w:val="0"/>
    <w:pPr>
      <w:widowControl/>
      <w:shd w:val="clear" w:color="000000" w:fill="FFFFFF"/>
      <w:spacing w:before="280" w:after="280"/>
    </w:pPr>
    <w:rPr>
      <w:rFonts w:ascii="宋体" w:hAnsi="Calibri"/>
      <w:kern w:val="0"/>
      <w:sz w:val="24"/>
      <w:szCs w:val="20"/>
    </w:rPr>
  </w:style>
  <w:style w:type="paragraph" w:customStyle="1" w:styleId="303">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4">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5">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6">
    <w:name w:val="xl108"/>
    <w:basedOn w:val="1"/>
    <w:next w:val="307"/>
    <w:qFormat/>
    <w:uiPriority w:val="0"/>
    <w:pPr>
      <w:widowControl/>
      <w:shd w:val="clear" w:color="000000" w:fill="FFFFFF"/>
      <w:spacing w:before="280" w:after="280"/>
    </w:pPr>
    <w:rPr>
      <w:rFonts w:ascii="宋体" w:hAnsi="Calibri"/>
      <w:kern w:val="0"/>
      <w:sz w:val="18"/>
      <w:szCs w:val="20"/>
    </w:rPr>
  </w:style>
  <w:style w:type="paragraph" w:customStyle="1" w:styleId="307">
    <w:name w:val="toc 18"/>
    <w:next w:val="1"/>
    <w:qFormat/>
    <w:uiPriority w:val="0"/>
    <w:pPr>
      <w:wordWrap w:val="0"/>
      <w:jc w:val="both"/>
    </w:pPr>
    <w:rPr>
      <w:rFonts w:ascii="Calibri" w:hAnsi="Calibri" w:eastAsia="宋体" w:cs="Times New Roman"/>
      <w:sz w:val="21"/>
      <w:lang w:val="en-US" w:eastAsia="zh-CN" w:bidi="ar-SA"/>
    </w:rPr>
  </w:style>
  <w:style w:type="paragraph" w:customStyle="1" w:styleId="308">
    <w:name w:val="TOC Heading7"/>
    <w:next w:val="1"/>
    <w:qFormat/>
    <w:uiPriority w:val="0"/>
    <w:pPr>
      <w:wordWrap w:val="0"/>
    </w:pPr>
    <w:rPr>
      <w:rFonts w:ascii="Calibri" w:hAnsi="Calibri" w:eastAsia="宋体" w:cs="Times New Roman"/>
      <w:sz w:val="32"/>
      <w:lang w:val="en-US" w:eastAsia="zh-CN" w:bidi="ar-SA"/>
    </w:rPr>
  </w:style>
  <w:style w:type="character" w:customStyle="1" w:styleId="309">
    <w:name w:val="副标题 Char"/>
    <w:basedOn w:val="46"/>
    <w:link w:val="31"/>
    <w:qFormat/>
    <w:uiPriority w:val="11"/>
    <w:rPr>
      <w:rFonts w:ascii="Calibri" w:hAnsi="Calibri"/>
      <w:sz w:val="24"/>
    </w:rPr>
  </w:style>
  <w:style w:type="paragraph" w:customStyle="1" w:styleId="310">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1">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2">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3">
    <w:name w:val="列出段落6"/>
    <w:basedOn w:val="1"/>
    <w:next w:val="314"/>
    <w:qFormat/>
    <w:uiPriority w:val="0"/>
    <w:pPr>
      <w:ind w:firstLine="420"/>
    </w:pPr>
    <w:rPr>
      <w:rFonts w:hAnsi="Calibri"/>
      <w:kern w:val="0"/>
      <w:szCs w:val="20"/>
    </w:rPr>
  </w:style>
  <w:style w:type="paragraph" w:customStyle="1" w:styleId="314">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5">
    <w:name w:val="xl80"/>
    <w:basedOn w:val="1"/>
    <w:next w:val="316"/>
    <w:qFormat/>
    <w:uiPriority w:val="0"/>
    <w:pPr>
      <w:widowControl/>
      <w:shd w:val="clear" w:color="000000" w:fill="FFFFFF"/>
      <w:spacing w:before="280" w:after="280"/>
      <w:jc w:val="center"/>
    </w:pPr>
    <w:rPr>
      <w:rFonts w:ascii="宋体" w:hAnsi="Calibri"/>
      <w:b/>
      <w:kern w:val="0"/>
      <w:sz w:val="20"/>
      <w:szCs w:val="20"/>
    </w:rPr>
  </w:style>
  <w:style w:type="paragraph" w:customStyle="1" w:styleId="316">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7">
    <w:name w:val="Char Char Char Char1"/>
    <w:basedOn w:val="1"/>
    <w:next w:val="318"/>
    <w:qFormat/>
    <w:uiPriority w:val="0"/>
    <w:pPr>
      <w:widowControl/>
      <w:spacing w:after="160" w:line="240" w:lineRule="exact"/>
    </w:pPr>
    <w:rPr>
      <w:rFonts w:ascii="Verdana" w:hAnsi="Calibri" w:eastAsia="仿宋_GB2312"/>
      <w:kern w:val="0"/>
      <w:sz w:val="24"/>
      <w:szCs w:val="20"/>
    </w:rPr>
  </w:style>
  <w:style w:type="paragraph" w:customStyle="1" w:styleId="318">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19">
    <w:name w:val="xl102"/>
    <w:basedOn w:val="1"/>
    <w:next w:val="320"/>
    <w:qFormat/>
    <w:uiPriority w:val="0"/>
    <w:pPr>
      <w:widowControl/>
      <w:shd w:val="clear" w:color="000000" w:fill="FFFFFF"/>
      <w:spacing w:before="280" w:after="280"/>
      <w:jc w:val="right"/>
    </w:pPr>
    <w:rPr>
      <w:rFonts w:ascii="宋体" w:hAnsi="Calibri"/>
      <w:kern w:val="0"/>
      <w:sz w:val="20"/>
      <w:szCs w:val="20"/>
    </w:rPr>
  </w:style>
  <w:style w:type="paragraph" w:customStyle="1" w:styleId="320">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1">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2">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3">
    <w:name w:val="xl65"/>
    <w:basedOn w:val="1"/>
    <w:next w:val="224"/>
    <w:qFormat/>
    <w:uiPriority w:val="0"/>
    <w:pPr>
      <w:widowControl/>
      <w:shd w:val="clear" w:color="000000" w:fill="FFFFFF"/>
      <w:spacing w:before="280" w:after="280"/>
      <w:jc w:val="center"/>
    </w:pPr>
    <w:rPr>
      <w:rFonts w:ascii="宋体" w:hAnsi="Calibri"/>
      <w:kern w:val="0"/>
      <w:sz w:val="20"/>
      <w:szCs w:val="20"/>
    </w:rPr>
  </w:style>
  <w:style w:type="paragraph" w:customStyle="1" w:styleId="324">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5">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6">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7">
    <w:name w:val="xl75"/>
    <w:basedOn w:val="1"/>
    <w:next w:val="328"/>
    <w:qFormat/>
    <w:uiPriority w:val="0"/>
    <w:pPr>
      <w:widowControl/>
      <w:shd w:val="clear" w:color="000000" w:fill="FFFFFF"/>
      <w:spacing w:before="280" w:after="280"/>
    </w:pPr>
    <w:rPr>
      <w:rFonts w:ascii="宋体" w:hAnsi="Calibri"/>
      <w:kern w:val="0"/>
      <w:sz w:val="20"/>
      <w:szCs w:val="20"/>
    </w:rPr>
  </w:style>
  <w:style w:type="paragraph" w:customStyle="1" w:styleId="328">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29">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0">
    <w:name w:val="TOC Heading6"/>
    <w:next w:val="1"/>
    <w:qFormat/>
    <w:uiPriority w:val="0"/>
    <w:pPr>
      <w:wordWrap w:val="0"/>
    </w:pPr>
    <w:rPr>
      <w:rFonts w:ascii="Calibri" w:hAnsi="Calibri" w:eastAsia="宋体" w:cs="Times New Roman"/>
      <w:sz w:val="32"/>
      <w:lang w:val="en-US" w:eastAsia="zh-CN" w:bidi="ar-SA"/>
    </w:rPr>
  </w:style>
  <w:style w:type="paragraph" w:customStyle="1" w:styleId="331">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2">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3">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4">
    <w:name w:val="xl104"/>
    <w:basedOn w:val="1"/>
    <w:next w:val="335"/>
    <w:qFormat/>
    <w:uiPriority w:val="0"/>
    <w:pPr>
      <w:widowControl/>
      <w:shd w:val="clear" w:color="000000" w:fill="FFFFFF"/>
      <w:spacing w:before="280" w:after="280"/>
      <w:jc w:val="center"/>
    </w:pPr>
    <w:rPr>
      <w:rFonts w:ascii="宋体" w:hAnsi="Calibri"/>
      <w:kern w:val="0"/>
      <w:sz w:val="20"/>
      <w:szCs w:val="20"/>
    </w:rPr>
  </w:style>
  <w:style w:type="paragraph" w:customStyle="1" w:styleId="335">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6">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7">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38">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39">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0">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1">
    <w:name w:val="无间隔1"/>
    <w:next w:val="336"/>
    <w:qFormat/>
    <w:uiPriority w:val="0"/>
    <w:pPr>
      <w:widowControl w:val="0"/>
      <w:jc w:val="both"/>
    </w:pPr>
    <w:rPr>
      <w:rFonts w:ascii="Calibri" w:hAnsi="Calibri" w:eastAsia="宋体" w:cs="Times New Roman"/>
      <w:sz w:val="22"/>
      <w:lang w:val="en-US" w:eastAsia="zh-CN" w:bidi="ar-SA"/>
    </w:rPr>
  </w:style>
  <w:style w:type="paragraph" w:customStyle="1" w:styleId="342">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3">
    <w:name w:val="xl105"/>
    <w:basedOn w:val="1"/>
    <w:next w:val="344"/>
    <w:qFormat/>
    <w:uiPriority w:val="0"/>
    <w:pPr>
      <w:widowControl/>
      <w:shd w:val="clear" w:color="000000" w:fill="FFFFFF"/>
      <w:spacing w:before="280" w:after="280"/>
    </w:pPr>
    <w:rPr>
      <w:rFonts w:ascii="宋体" w:hAnsi="Calibri"/>
      <w:kern w:val="0"/>
      <w:sz w:val="18"/>
      <w:szCs w:val="20"/>
    </w:rPr>
  </w:style>
  <w:style w:type="paragraph" w:customStyle="1" w:styleId="344">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5">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6">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7">
    <w:name w:val="xl111"/>
    <w:basedOn w:val="1"/>
    <w:next w:val="348"/>
    <w:qFormat/>
    <w:uiPriority w:val="0"/>
    <w:pPr>
      <w:widowControl/>
      <w:shd w:val="clear" w:color="000000" w:fill="FFFFFF"/>
      <w:spacing w:before="280" w:after="280"/>
      <w:jc w:val="center"/>
    </w:pPr>
    <w:rPr>
      <w:rFonts w:ascii="宋体" w:hAnsi="Calibri"/>
      <w:b/>
      <w:kern w:val="0"/>
      <w:sz w:val="20"/>
      <w:szCs w:val="20"/>
    </w:rPr>
  </w:style>
  <w:style w:type="paragraph" w:customStyle="1" w:styleId="348">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49">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0">
    <w:name w:val="p0"/>
    <w:basedOn w:val="1"/>
    <w:next w:val="351"/>
    <w:qFormat/>
    <w:uiPriority w:val="0"/>
    <w:pPr>
      <w:widowControl/>
      <w:spacing w:before="280" w:after="280"/>
    </w:pPr>
    <w:rPr>
      <w:rFonts w:ascii="宋体" w:hAnsi="Calibri"/>
      <w:kern w:val="0"/>
      <w:sz w:val="24"/>
      <w:szCs w:val="20"/>
    </w:rPr>
  </w:style>
  <w:style w:type="paragraph" w:customStyle="1" w:styleId="351">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2">
    <w:name w:val="列出段落11"/>
    <w:basedOn w:val="1"/>
    <w:next w:val="353"/>
    <w:qFormat/>
    <w:uiPriority w:val="0"/>
    <w:pPr>
      <w:widowControl/>
      <w:spacing w:line="360" w:lineRule="auto"/>
      <w:ind w:firstLine="420"/>
    </w:pPr>
    <w:rPr>
      <w:rFonts w:hAnsi="Calibri" w:eastAsia="微软雅黑"/>
      <w:kern w:val="0"/>
      <w:sz w:val="24"/>
      <w:szCs w:val="20"/>
    </w:rPr>
  </w:style>
  <w:style w:type="paragraph" w:customStyle="1" w:styleId="353">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4">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5">
    <w:name w:val="xl91"/>
    <w:basedOn w:val="1"/>
    <w:next w:val="252"/>
    <w:qFormat/>
    <w:uiPriority w:val="0"/>
    <w:pPr>
      <w:widowControl/>
      <w:shd w:val="clear" w:color="000000" w:fill="FFFFFF"/>
      <w:spacing w:before="280" w:after="280"/>
    </w:pPr>
    <w:rPr>
      <w:rFonts w:ascii="宋体" w:hAnsi="Calibri"/>
      <w:kern w:val="0"/>
      <w:sz w:val="20"/>
      <w:szCs w:val="20"/>
    </w:rPr>
  </w:style>
  <w:style w:type="paragraph" w:customStyle="1" w:styleId="356">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7">
    <w:name w:val="_Style 1"/>
    <w:basedOn w:val="1"/>
    <w:next w:val="358"/>
    <w:qFormat/>
    <w:uiPriority w:val="0"/>
    <w:pPr>
      <w:ind w:firstLine="420"/>
    </w:pPr>
    <w:rPr>
      <w:rFonts w:hAnsi="Calibri"/>
      <w:kern w:val="0"/>
      <w:szCs w:val="20"/>
    </w:rPr>
  </w:style>
  <w:style w:type="paragraph" w:customStyle="1" w:styleId="358">
    <w:name w:val="TOC Heading13"/>
    <w:next w:val="1"/>
    <w:qFormat/>
    <w:uiPriority w:val="0"/>
    <w:pPr>
      <w:wordWrap w:val="0"/>
    </w:pPr>
    <w:rPr>
      <w:rFonts w:ascii="Calibri" w:hAnsi="Calibri" w:eastAsia="宋体" w:cs="Times New Roman"/>
      <w:sz w:val="32"/>
      <w:lang w:val="en-US" w:eastAsia="zh-CN" w:bidi="ar-SA"/>
    </w:rPr>
  </w:style>
  <w:style w:type="paragraph" w:customStyle="1" w:styleId="359">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0">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1">
    <w:name w:val="x_msonormal"/>
    <w:basedOn w:val="1"/>
    <w:next w:val="311"/>
    <w:qFormat/>
    <w:uiPriority w:val="0"/>
    <w:pPr>
      <w:widowControl/>
      <w:spacing w:before="280" w:after="280"/>
    </w:pPr>
    <w:rPr>
      <w:rFonts w:ascii="PMingLiU" w:hAnsi="Calibri" w:eastAsia="PMingLiU"/>
      <w:kern w:val="0"/>
      <w:sz w:val="24"/>
      <w:szCs w:val="20"/>
    </w:rPr>
  </w:style>
  <w:style w:type="paragraph" w:customStyle="1" w:styleId="362">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3">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4">
    <w:name w:val="TOC Heading17"/>
    <w:next w:val="1"/>
    <w:qFormat/>
    <w:uiPriority w:val="0"/>
    <w:pPr>
      <w:wordWrap w:val="0"/>
    </w:pPr>
    <w:rPr>
      <w:rFonts w:ascii="Calibri" w:hAnsi="Calibri" w:eastAsia="宋体" w:cs="Times New Roman"/>
      <w:sz w:val="32"/>
      <w:lang w:val="en-US" w:eastAsia="zh-CN" w:bidi="ar-SA"/>
    </w:rPr>
  </w:style>
  <w:style w:type="paragraph" w:customStyle="1" w:styleId="365">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6">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7">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68">
    <w:name w:val="xl118"/>
    <w:basedOn w:val="1"/>
    <w:next w:val="242"/>
    <w:qFormat/>
    <w:uiPriority w:val="0"/>
    <w:pPr>
      <w:widowControl/>
      <w:shd w:val="clear" w:color="000000" w:fill="FFFFFF"/>
      <w:spacing w:before="280" w:after="280"/>
      <w:jc w:val="center"/>
    </w:pPr>
    <w:rPr>
      <w:rFonts w:ascii="宋体" w:hAnsi="Calibri"/>
      <w:b/>
      <w:kern w:val="0"/>
      <w:sz w:val="20"/>
      <w:szCs w:val="20"/>
    </w:rPr>
  </w:style>
  <w:style w:type="paragraph" w:customStyle="1" w:styleId="369">
    <w:name w:val="xl83"/>
    <w:basedOn w:val="1"/>
    <w:next w:val="297"/>
    <w:qFormat/>
    <w:uiPriority w:val="0"/>
    <w:pPr>
      <w:widowControl/>
      <w:shd w:val="clear" w:color="000000" w:fill="FFFFFF"/>
      <w:spacing w:before="280" w:after="280"/>
    </w:pPr>
    <w:rPr>
      <w:rFonts w:ascii="宋体" w:hAnsi="Calibri"/>
      <w:kern w:val="0"/>
      <w:sz w:val="20"/>
      <w:szCs w:val="20"/>
    </w:rPr>
  </w:style>
  <w:style w:type="paragraph" w:customStyle="1" w:styleId="370">
    <w:name w:val="xl103"/>
    <w:basedOn w:val="1"/>
    <w:next w:val="371"/>
    <w:qFormat/>
    <w:uiPriority w:val="0"/>
    <w:pPr>
      <w:widowControl/>
      <w:shd w:val="clear" w:color="000000" w:fill="FFFFFF"/>
      <w:spacing w:before="280" w:after="280"/>
    </w:pPr>
    <w:rPr>
      <w:rFonts w:ascii="宋体" w:hAnsi="Calibri"/>
      <w:kern w:val="0"/>
      <w:sz w:val="20"/>
      <w:szCs w:val="20"/>
    </w:rPr>
  </w:style>
  <w:style w:type="paragraph" w:customStyle="1" w:styleId="371">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2">
    <w:name w:val="xl68"/>
    <w:basedOn w:val="1"/>
    <w:next w:val="373"/>
    <w:qFormat/>
    <w:uiPriority w:val="0"/>
    <w:pPr>
      <w:widowControl/>
      <w:shd w:val="clear" w:color="000000" w:fill="FFFFFF"/>
      <w:spacing w:before="280" w:after="280"/>
    </w:pPr>
    <w:rPr>
      <w:rFonts w:ascii="宋体" w:hAnsi="Calibri"/>
      <w:b/>
      <w:kern w:val="0"/>
      <w:sz w:val="20"/>
      <w:szCs w:val="20"/>
    </w:rPr>
  </w:style>
  <w:style w:type="paragraph" w:customStyle="1" w:styleId="373">
    <w:name w:val="TOC Heading16"/>
    <w:next w:val="1"/>
    <w:qFormat/>
    <w:uiPriority w:val="0"/>
    <w:pPr>
      <w:wordWrap w:val="0"/>
    </w:pPr>
    <w:rPr>
      <w:rFonts w:ascii="Calibri" w:hAnsi="Calibri" w:eastAsia="宋体" w:cs="Times New Roman"/>
      <w:sz w:val="32"/>
      <w:lang w:val="en-US" w:eastAsia="zh-CN" w:bidi="ar-SA"/>
    </w:rPr>
  </w:style>
  <w:style w:type="paragraph" w:customStyle="1" w:styleId="374">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5">
    <w:name w:val="xl94"/>
    <w:basedOn w:val="1"/>
    <w:next w:val="266"/>
    <w:qFormat/>
    <w:uiPriority w:val="0"/>
    <w:pPr>
      <w:widowControl/>
      <w:shd w:val="clear" w:color="000000" w:fill="FFFFFF"/>
      <w:spacing w:before="280" w:after="280"/>
      <w:jc w:val="center"/>
    </w:pPr>
    <w:rPr>
      <w:rFonts w:ascii="宋体" w:hAnsi="Calibri"/>
      <w:kern w:val="0"/>
      <w:sz w:val="20"/>
      <w:szCs w:val="20"/>
    </w:rPr>
  </w:style>
  <w:style w:type="paragraph" w:customStyle="1" w:styleId="376">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7">
    <w:name w:val="xl92"/>
    <w:basedOn w:val="1"/>
    <w:next w:val="378"/>
    <w:qFormat/>
    <w:uiPriority w:val="0"/>
    <w:pPr>
      <w:widowControl/>
      <w:shd w:val="clear" w:color="000000" w:fill="FFFFFF"/>
      <w:spacing w:before="280" w:after="280"/>
    </w:pPr>
    <w:rPr>
      <w:rFonts w:ascii="宋体" w:hAnsi="Calibri"/>
      <w:kern w:val="0"/>
      <w:sz w:val="20"/>
      <w:szCs w:val="20"/>
    </w:rPr>
  </w:style>
  <w:style w:type="paragraph" w:customStyle="1" w:styleId="378">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79">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0">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1">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2">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3">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4">
    <w:name w:val="xl110"/>
    <w:basedOn w:val="1"/>
    <w:next w:val="340"/>
    <w:qFormat/>
    <w:uiPriority w:val="0"/>
    <w:pPr>
      <w:widowControl/>
      <w:shd w:val="clear" w:color="000000" w:fill="FFFFFF"/>
      <w:spacing w:before="280" w:after="280"/>
      <w:jc w:val="center"/>
    </w:pPr>
    <w:rPr>
      <w:rFonts w:ascii="宋体" w:hAnsi="Calibri"/>
      <w:kern w:val="0"/>
      <w:sz w:val="20"/>
      <w:szCs w:val="20"/>
    </w:rPr>
  </w:style>
  <w:style w:type="paragraph" w:customStyle="1" w:styleId="385">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6">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7">
    <w:name w:val="xl85"/>
    <w:basedOn w:val="1"/>
    <w:next w:val="388"/>
    <w:qFormat/>
    <w:uiPriority w:val="0"/>
    <w:pPr>
      <w:widowControl/>
      <w:shd w:val="clear" w:color="000000" w:fill="FFFFFF"/>
      <w:spacing w:before="280" w:after="280"/>
      <w:jc w:val="center"/>
    </w:pPr>
    <w:rPr>
      <w:rFonts w:ascii="宋体" w:hAnsi="Calibri"/>
      <w:kern w:val="0"/>
      <w:sz w:val="20"/>
      <w:szCs w:val="20"/>
    </w:rPr>
  </w:style>
  <w:style w:type="paragraph" w:customStyle="1" w:styleId="388">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89">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0">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1">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2">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3">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4">
    <w:name w:val="xl99"/>
    <w:basedOn w:val="1"/>
    <w:next w:val="379"/>
    <w:qFormat/>
    <w:uiPriority w:val="0"/>
    <w:pPr>
      <w:widowControl/>
      <w:shd w:val="clear" w:color="000000" w:fill="FFFFFF"/>
      <w:spacing w:before="280" w:after="280"/>
    </w:pPr>
    <w:rPr>
      <w:rFonts w:ascii="宋体" w:hAnsi="Calibri"/>
      <w:kern w:val="0"/>
      <w:sz w:val="18"/>
      <w:szCs w:val="20"/>
    </w:rPr>
  </w:style>
  <w:style w:type="paragraph" w:customStyle="1" w:styleId="395">
    <w:name w:val="xl97"/>
    <w:basedOn w:val="1"/>
    <w:next w:val="267"/>
    <w:qFormat/>
    <w:uiPriority w:val="0"/>
    <w:pPr>
      <w:widowControl/>
      <w:shd w:val="clear" w:color="000000" w:fill="FFFFFF"/>
      <w:spacing w:before="280" w:after="280"/>
      <w:jc w:val="center"/>
    </w:pPr>
    <w:rPr>
      <w:rFonts w:ascii="宋体" w:hAnsi="Calibri"/>
      <w:kern w:val="0"/>
      <w:sz w:val="20"/>
      <w:szCs w:val="20"/>
    </w:rPr>
  </w:style>
  <w:style w:type="paragraph" w:customStyle="1" w:styleId="396">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7">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398">
    <w:name w:val="TOC Heading15"/>
    <w:next w:val="1"/>
    <w:qFormat/>
    <w:uiPriority w:val="0"/>
    <w:pPr>
      <w:wordWrap w:val="0"/>
    </w:pPr>
    <w:rPr>
      <w:rFonts w:ascii="Calibri" w:hAnsi="Calibri" w:eastAsia="宋体" w:cs="Times New Roman"/>
      <w:sz w:val="32"/>
      <w:lang w:val="en-US" w:eastAsia="zh-CN" w:bidi="ar-SA"/>
    </w:rPr>
  </w:style>
  <w:style w:type="paragraph" w:customStyle="1" w:styleId="399">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0">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1">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2">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3">
    <w:name w:val="xl95"/>
    <w:basedOn w:val="1"/>
    <w:next w:val="404"/>
    <w:qFormat/>
    <w:uiPriority w:val="0"/>
    <w:pPr>
      <w:widowControl/>
      <w:shd w:val="clear" w:color="000000" w:fill="FFFFFF"/>
      <w:spacing w:before="280" w:after="280"/>
    </w:pPr>
    <w:rPr>
      <w:rFonts w:ascii="宋体" w:hAnsi="Calibri"/>
      <w:kern w:val="0"/>
      <w:sz w:val="20"/>
      <w:szCs w:val="20"/>
    </w:rPr>
  </w:style>
  <w:style w:type="paragraph" w:customStyle="1" w:styleId="404">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5">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6">
    <w:name w:val="xl67"/>
    <w:basedOn w:val="1"/>
    <w:next w:val="407"/>
    <w:qFormat/>
    <w:uiPriority w:val="0"/>
    <w:pPr>
      <w:widowControl/>
      <w:shd w:val="clear" w:color="000000" w:fill="FFFFFF"/>
      <w:spacing w:before="280" w:after="280"/>
      <w:jc w:val="center"/>
    </w:pPr>
    <w:rPr>
      <w:rFonts w:ascii="宋体" w:hAnsi="Calibri"/>
      <w:b/>
      <w:kern w:val="0"/>
      <w:sz w:val="20"/>
      <w:szCs w:val="20"/>
    </w:rPr>
  </w:style>
  <w:style w:type="paragraph" w:customStyle="1" w:styleId="407">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08">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09">
    <w:name w:val="正文 A"/>
    <w:next w:val="326"/>
    <w:qFormat/>
    <w:uiPriority w:val="0"/>
    <w:rPr>
      <w:rFonts w:ascii="Arial" w:hAnsi="Calibri" w:eastAsia="Arial Unicode MS" w:cs="Times New Roman"/>
      <w:color w:val="000000"/>
      <w:sz w:val="21"/>
      <w:lang w:val="en-US" w:eastAsia="zh-CN" w:bidi="ar-SA"/>
    </w:rPr>
  </w:style>
  <w:style w:type="paragraph" w:customStyle="1" w:styleId="410">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1">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2">
    <w:name w:val="xl88"/>
    <w:basedOn w:val="1"/>
    <w:next w:val="398"/>
    <w:qFormat/>
    <w:uiPriority w:val="0"/>
    <w:pPr>
      <w:widowControl/>
      <w:shd w:val="clear" w:color="000000" w:fill="FFFFFF"/>
      <w:spacing w:before="280" w:after="280"/>
      <w:jc w:val="center"/>
    </w:pPr>
    <w:rPr>
      <w:rFonts w:ascii="宋体" w:hAnsi="Calibri"/>
      <w:kern w:val="0"/>
      <w:sz w:val="20"/>
      <w:szCs w:val="20"/>
    </w:rPr>
  </w:style>
  <w:style w:type="paragraph" w:customStyle="1" w:styleId="413">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4">
    <w:name w:val="xl100"/>
    <w:basedOn w:val="1"/>
    <w:next w:val="415"/>
    <w:qFormat/>
    <w:uiPriority w:val="0"/>
    <w:pPr>
      <w:widowControl/>
      <w:shd w:val="clear" w:color="000000" w:fill="FFFFFF"/>
      <w:spacing w:before="280" w:after="280"/>
    </w:pPr>
    <w:rPr>
      <w:rFonts w:ascii="宋体" w:hAnsi="Calibri"/>
      <w:kern w:val="0"/>
      <w:sz w:val="20"/>
      <w:szCs w:val="20"/>
    </w:rPr>
  </w:style>
  <w:style w:type="paragraph" w:customStyle="1" w:styleId="415">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6">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7">
    <w:name w:val="xl114"/>
    <w:basedOn w:val="1"/>
    <w:next w:val="269"/>
    <w:qFormat/>
    <w:uiPriority w:val="0"/>
    <w:pPr>
      <w:widowControl/>
      <w:shd w:val="clear" w:color="000000" w:fill="FFFFFF"/>
      <w:spacing w:before="280" w:after="280"/>
      <w:jc w:val="center"/>
    </w:pPr>
    <w:rPr>
      <w:rFonts w:ascii="宋体" w:hAnsi="Calibri"/>
      <w:b/>
      <w:kern w:val="0"/>
      <w:sz w:val="20"/>
      <w:szCs w:val="20"/>
    </w:rPr>
  </w:style>
  <w:style w:type="paragraph" w:customStyle="1" w:styleId="418">
    <w:name w:val="xl107"/>
    <w:basedOn w:val="1"/>
    <w:next w:val="419"/>
    <w:qFormat/>
    <w:uiPriority w:val="0"/>
    <w:pPr>
      <w:widowControl/>
      <w:shd w:val="clear" w:color="000000" w:fill="FFFFFF"/>
      <w:spacing w:before="280" w:after="280"/>
    </w:pPr>
    <w:rPr>
      <w:rFonts w:ascii="宋体" w:hAnsi="Calibri"/>
      <w:kern w:val="0"/>
      <w:sz w:val="20"/>
      <w:szCs w:val="20"/>
    </w:rPr>
  </w:style>
  <w:style w:type="paragraph" w:customStyle="1" w:styleId="419">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0">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1">
    <w:name w:val="xl90"/>
    <w:basedOn w:val="1"/>
    <w:next w:val="223"/>
    <w:qFormat/>
    <w:uiPriority w:val="0"/>
    <w:pPr>
      <w:widowControl/>
      <w:shd w:val="clear" w:color="000000" w:fill="FFFFFF"/>
      <w:spacing w:before="280" w:after="280"/>
    </w:pPr>
    <w:rPr>
      <w:rFonts w:ascii="宋体" w:hAnsi="Calibri"/>
      <w:kern w:val="0"/>
      <w:sz w:val="18"/>
      <w:szCs w:val="20"/>
    </w:rPr>
  </w:style>
  <w:style w:type="paragraph" w:customStyle="1" w:styleId="422">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3">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4">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5">
    <w:name w:val="xl117"/>
    <w:basedOn w:val="1"/>
    <w:next w:val="322"/>
    <w:qFormat/>
    <w:uiPriority w:val="0"/>
    <w:pPr>
      <w:widowControl/>
      <w:shd w:val="clear" w:color="000000" w:fill="FFFFFF"/>
      <w:spacing w:before="280" w:after="280"/>
      <w:jc w:val="center"/>
    </w:pPr>
    <w:rPr>
      <w:rFonts w:ascii="Arial Narrow" w:hAnsi="Calibri"/>
      <w:kern w:val="0"/>
      <w:sz w:val="24"/>
      <w:szCs w:val="20"/>
    </w:rPr>
  </w:style>
  <w:style w:type="paragraph" w:customStyle="1" w:styleId="426">
    <w:name w:val="p15"/>
    <w:basedOn w:val="1"/>
    <w:next w:val="247"/>
    <w:qFormat/>
    <w:uiPriority w:val="0"/>
    <w:pPr>
      <w:widowControl/>
      <w:ind w:firstLine="420"/>
    </w:pPr>
    <w:rPr>
      <w:rFonts w:hAnsi="Calibri"/>
      <w:kern w:val="0"/>
      <w:szCs w:val="20"/>
    </w:rPr>
  </w:style>
  <w:style w:type="paragraph" w:customStyle="1" w:styleId="427">
    <w:name w:val="xl87"/>
    <w:basedOn w:val="1"/>
    <w:next w:val="428"/>
    <w:qFormat/>
    <w:uiPriority w:val="0"/>
    <w:pPr>
      <w:widowControl/>
      <w:shd w:val="clear" w:color="000000" w:fill="FFFFFF"/>
      <w:spacing w:before="280" w:after="280"/>
    </w:pPr>
    <w:rPr>
      <w:rFonts w:ascii="Arial" w:hAnsi="Calibri"/>
      <w:kern w:val="0"/>
      <w:sz w:val="18"/>
      <w:szCs w:val="20"/>
    </w:rPr>
  </w:style>
  <w:style w:type="paragraph" w:customStyle="1" w:styleId="428">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29">
    <w:name w:val="列出段落7"/>
    <w:basedOn w:val="1"/>
    <w:next w:val="411"/>
    <w:qFormat/>
    <w:uiPriority w:val="0"/>
    <w:pPr>
      <w:ind w:firstLine="420"/>
    </w:pPr>
    <w:rPr>
      <w:rFonts w:hAnsi="Calibri"/>
      <w:kern w:val="0"/>
      <w:szCs w:val="20"/>
    </w:rPr>
  </w:style>
  <w:style w:type="paragraph" w:customStyle="1" w:styleId="430">
    <w:name w:val="xl78"/>
    <w:basedOn w:val="1"/>
    <w:next w:val="401"/>
    <w:qFormat/>
    <w:uiPriority w:val="0"/>
    <w:pPr>
      <w:widowControl/>
      <w:shd w:val="clear" w:color="000000" w:fill="FFFFFF"/>
      <w:spacing w:before="280" w:after="280"/>
    </w:pPr>
    <w:rPr>
      <w:rFonts w:ascii="宋体" w:hAnsi="Calibri"/>
      <w:b/>
      <w:kern w:val="0"/>
      <w:sz w:val="20"/>
      <w:szCs w:val="20"/>
    </w:rPr>
  </w:style>
  <w:style w:type="paragraph" w:customStyle="1" w:styleId="431">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2">
    <w:name w:val="xl89"/>
    <w:basedOn w:val="1"/>
    <w:next w:val="366"/>
    <w:qFormat/>
    <w:uiPriority w:val="0"/>
    <w:pPr>
      <w:widowControl/>
      <w:shd w:val="clear" w:color="000000" w:fill="FFFFFF"/>
      <w:spacing w:before="280" w:after="280"/>
    </w:pPr>
    <w:rPr>
      <w:rFonts w:ascii="宋体" w:hAnsi="Calibri"/>
      <w:kern w:val="0"/>
      <w:sz w:val="20"/>
      <w:szCs w:val="20"/>
    </w:rPr>
  </w:style>
  <w:style w:type="paragraph" w:customStyle="1" w:styleId="433">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4">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5">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6">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7">
    <w:name w:val="toc 16"/>
    <w:next w:val="1"/>
    <w:qFormat/>
    <w:uiPriority w:val="0"/>
    <w:pPr>
      <w:wordWrap w:val="0"/>
      <w:jc w:val="both"/>
    </w:pPr>
    <w:rPr>
      <w:rFonts w:ascii="Calibri" w:hAnsi="Calibri" w:eastAsia="宋体" w:cs="Times New Roman"/>
      <w:sz w:val="21"/>
      <w:lang w:val="en-US" w:eastAsia="zh-CN" w:bidi="ar-SA"/>
    </w:rPr>
  </w:style>
  <w:style w:type="paragraph" w:styleId="438">
    <w:name w:val="Quote"/>
    <w:next w:val="1"/>
    <w:link w:val="439"/>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439">
    <w:name w:val="引用 Char"/>
    <w:basedOn w:val="46"/>
    <w:link w:val="438"/>
    <w:qFormat/>
    <w:uiPriority w:val="0"/>
    <w:rPr>
      <w:rFonts w:ascii="Calibri" w:hAnsi="Calibri"/>
      <w:i/>
      <w:sz w:val="21"/>
    </w:rPr>
  </w:style>
  <w:style w:type="paragraph" w:customStyle="1" w:styleId="440">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1">
    <w:name w:val="xl119"/>
    <w:basedOn w:val="1"/>
    <w:next w:val="416"/>
    <w:qFormat/>
    <w:uiPriority w:val="0"/>
    <w:pPr>
      <w:widowControl/>
      <w:shd w:val="clear" w:color="000000" w:fill="FFFFFF"/>
      <w:spacing w:before="280" w:after="280"/>
      <w:jc w:val="center"/>
    </w:pPr>
    <w:rPr>
      <w:rFonts w:ascii="宋体" w:hAnsi="Calibri"/>
      <w:b/>
      <w:kern w:val="0"/>
      <w:sz w:val="20"/>
      <w:szCs w:val="20"/>
    </w:rPr>
  </w:style>
  <w:style w:type="paragraph" w:customStyle="1" w:styleId="442">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3">
    <w:name w:val="xl109"/>
    <w:basedOn w:val="1"/>
    <w:next w:val="389"/>
    <w:qFormat/>
    <w:uiPriority w:val="0"/>
    <w:pPr>
      <w:widowControl/>
      <w:shd w:val="clear" w:color="000000" w:fill="FFFFFF"/>
      <w:spacing w:before="280" w:after="280"/>
    </w:pPr>
    <w:rPr>
      <w:rFonts w:ascii="宋体" w:hAnsi="Calibri"/>
      <w:kern w:val="0"/>
      <w:sz w:val="20"/>
      <w:szCs w:val="20"/>
    </w:rPr>
  </w:style>
  <w:style w:type="paragraph" w:customStyle="1" w:styleId="444">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5">
    <w:name w:val="xl76"/>
    <w:basedOn w:val="1"/>
    <w:next w:val="397"/>
    <w:qFormat/>
    <w:uiPriority w:val="0"/>
    <w:pPr>
      <w:widowControl/>
      <w:shd w:val="clear" w:color="000000" w:fill="FFFFFF"/>
      <w:spacing w:before="280" w:after="280"/>
      <w:jc w:val="center"/>
    </w:pPr>
    <w:rPr>
      <w:rFonts w:ascii="宋体" w:hAnsi="Calibri"/>
      <w:b/>
      <w:kern w:val="0"/>
      <w:sz w:val="20"/>
      <w:szCs w:val="20"/>
    </w:rPr>
  </w:style>
  <w:style w:type="paragraph" w:customStyle="1" w:styleId="446">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7">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8">
    <w:name w:val="xl70"/>
    <w:basedOn w:val="1"/>
    <w:next w:val="374"/>
    <w:qFormat/>
    <w:uiPriority w:val="0"/>
    <w:pPr>
      <w:widowControl/>
      <w:shd w:val="clear" w:color="000000" w:fill="FFFFFF"/>
      <w:spacing w:before="280" w:after="280"/>
    </w:pPr>
    <w:rPr>
      <w:rFonts w:ascii="宋体" w:hAnsi="Calibri"/>
      <w:kern w:val="0"/>
      <w:sz w:val="20"/>
      <w:szCs w:val="20"/>
    </w:rPr>
  </w:style>
  <w:style w:type="paragraph" w:customStyle="1" w:styleId="449">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0">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1">
    <w:name w:val="xl98"/>
    <w:basedOn w:val="1"/>
    <w:next w:val="392"/>
    <w:qFormat/>
    <w:uiPriority w:val="0"/>
    <w:pPr>
      <w:widowControl/>
      <w:shd w:val="clear" w:color="000000" w:fill="FFFFFF"/>
      <w:spacing w:before="280" w:after="280"/>
      <w:jc w:val="center"/>
    </w:pPr>
    <w:rPr>
      <w:rFonts w:ascii="宋体" w:hAnsi="Calibri"/>
      <w:kern w:val="0"/>
      <w:sz w:val="20"/>
      <w:szCs w:val="20"/>
    </w:rPr>
  </w:style>
  <w:style w:type="paragraph" w:customStyle="1" w:styleId="452">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3">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4">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5">
    <w:name w:val="xl101"/>
    <w:basedOn w:val="1"/>
    <w:next w:val="423"/>
    <w:qFormat/>
    <w:uiPriority w:val="0"/>
    <w:pPr>
      <w:widowControl/>
      <w:spacing w:before="280" w:after="280"/>
    </w:pPr>
    <w:rPr>
      <w:rFonts w:ascii="宋体" w:hAnsi="Calibri"/>
      <w:kern w:val="0"/>
      <w:sz w:val="20"/>
      <w:szCs w:val="20"/>
    </w:rPr>
  </w:style>
  <w:style w:type="paragraph" w:customStyle="1" w:styleId="456">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7">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8">
    <w:name w:val="Intense Quote"/>
    <w:next w:val="1"/>
    <w:link w:val="459"/>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59">
    <w:name w:val="明显引用 Char"/>
    <w:basedOn w:val="46"/>
    <w:link w:val="458"/>
    <w:qFormat/>
    <w:uiPriority w:val="0"/>
    <w:rPr>
      <w:rFonts w:ascii="Calibri" w:hAnsi="Calibri"/>
      <w:i/>
      <w:sz w:val="21"/>
    </w:rPr>
  </w:style>
  <w:style w:type="paragraph" w:customStyle="1" w:styleId="460">
    <w:name w:val="Char Char Char Char Char Char Char"/>
    <w:basedOn w:val="1"/>
    <w:next w:val="444"/>
    <w:qFormat/>
    <w:uiPriority w:val="0"/>
    <w:pPr>
      <w:widowControl/>
      <w:spacing w:after="160" w:line="240" w:lineRule="exact"/>
    </w:pPr>
    <w:rPr>
      <w:rFonts w:hAnsi="Calibri"/>
      <w:kern w:val="0"/>
      <w:szCs w:val="20"/>
    </w:rPr>
  </w:style>
  <w:style w:type="paragraph" w:customStyle="1" w:styleId="461">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2">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3">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4">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5">
    <w:name w:val="xl64"/>
    <w:basedOn w:val="1"/>
    <w:next w:val="440"/>
    <w:qFormat/>
    <w:uiPriority w:val="0"/>
    <w:pPr>
      <w:widowControl/>
      <w:shd w:val="clear" w:color="000000" w:fill="FFFFFF"/>
      <w:spacing w:before="280" w:after="280"/>
    </w:pPr>
    <w:rPr>
      <w:rFonts w:ascii="宋体" w:hAnsi="Calibri"/>
      <w:kern w:val="0"/>
      <w:sz w:val="20"/>
      <w:szCs w:val="20"/>
    </w:rPr>
  </w:style>
  <w:style w:type="paragraph" w:customStyle="1" w:styleId="466">
    <w:name w:val="xl82"/>
    <w:basedOn w:val="1"/>
    <w:next w:val="285"/>
    <w:qFormat/>
    <w:uiPriority w:val="0"/>
    <w:pPr>
      <w:widowControl/>
      <w:shd w:val="clear" w:color="000000" w:fill="FFFFFF"/>
      <w:spacing w:before="280" w:after="280"/>
    </w:pPr>
    <w:rPr>
      <w:rFonts w:ascii="宋体" w:hAnsi="Calibri"/>
      <w:kern w:val="0"/>
      <w:sz w:val="20"/>
      <w:szCs w:val="20"/>
    </w:rPr>
  </w:style>
  <w:style w:type="paragraph" w:customStyle="1" w:styleId="467">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8">
    <w:name w:val="xl77"/>
    <w:basedOn w:val="1"/>
    <w:next w:val="433"/>
    <w:qFormat/>
    <w:uiPriority w:val="0"/>
    <w:pPr>
      <w:widowControl/>
      <w:shd w:val="clear" w:color="000000" w:fill="FFFFFF"/>
      <w:spacing w:before="280" w:after="280"/>
      <w:jc w:val="center"/>
    </w:pPr>
    <w:rPr>
      <w:rFonts w:ascii="宋体" w:hAnsi="Calibri"/>
      <w:kern w:val="0"/>
      <w:sz w:val="20"/>
      <w:szCs w:val="20"/>
    </w:rPr>
  </w:style>
  <w:style w:type="character" w:customStyle="1" w:styleId="469">
    <w:name w:val="正文缩进 Char1"/>
    <w:qFormat/>
    <w:uiPriority w:val="0"/>
    <w:rPr>
      <w:rFonts w:eastAsia="宋体"/>
      <w:kern w:val="2"/>
      <w:sz w:val="21"/>
      <w:lang w:val="en-US" w:eastAsia="zh-CN" w:bidi="ar-SA"/>
    </w:rPr>
  </w:style>
  <w:style w:type="character" w:customStyle="1" w:styleId="470">
    <w:name w:val="fielderror"/>
    <w:basedOn w:val="46"/>
    <w:qFormat/>
    <w:uiPriority w:val="0"/>
    <w:rPr>
      <w:color w:val="800000"/>
    </w:rPr>
  </w:style>
  <w:style w:type="character" w:customStyle="1" w:styleId="471">
    <w:name w:val="hilite6"/>
    <w:basedOn w:val="46"/>
    <w:qFormat/>
    <w:uiPriority w:val="0"/>
    <w:rPr>
      <w:color w:val="000000"/>
    </w:rPr>
  </w:style>
  <w:style w:type="character" w:customStyle="1" w:styleId="472">
    <w:name w:val="active6"/>
    <w:basedOn w:val="46"/>
    <w:qFormat/>
    <w:uiPriority w:val="0"/>
    <w:rPr>
      <w:color w:val="FFFFFF"/>
    </w:rPr>
  </w:style>
  <w:style w:type="character" w:customStyle="1" w:styleId="473">
    <w:name w:val="inline-help"/>
    <w:basedOn w:val="46"/>
    <w:qFormat/>
    <w:uiPriority w:val="0"/>
  </w:style>
  <w:style w:type="character" w:customStyle="1" w:styleId="474">
    <w:name w:val="active"/>
    <w:basedOn w:val="46"/>
    <w:qFormat/>
    <w:uiPriority w:val="0"/>
    <w:rPr>
      <w:color w:val="FFFFFF"/>
    </w:rPr>
  </w:style>
  <w:style w:type="character" w:customStyle="1" w:styleId="475">
    <w:name w:val="标题 4 Char"/>
    <w:qFormat/>
    <w:uiPriority w:val="0"/>
    <w:rPr>
      <w:rFonts w:ascii="Arial" w:hAnsi="Arial" w:eastAsia="黑体"/>
      <w:b/>
      <w:bCs/>
      <w:kern w:val="2"/>
      <w:sz w:val="28"/>
      <w:szCs w:val="28"/>
    </w:rPr>
  </w:style>
  <w:style w:type="character" w:customStyle="1" w:styleId="476">
    <w:name w:val="正文文本 Char"/>
    <w:qFormat/>
    <w:uiPriority w:val="0"/>
    <w:rPr>
      <w:b/>
      <w:bCs/>
      <w:kern w:val="2"/>
      <w:sz w:val="24"/>
      <w:szCs w:val="24"/>
    </w:rPr>
  </w:style>
  <w:style w:type="character" w:customStyle="1" w:styleId="477">
    <w:name w:val="未处理的提及1"/>
    <w:basedOn w:val="46"/>
    <w:semiHidden/>
    <w:unhideWhenUsed/>
    <w:qFormat/>
    <w:uiPriority w:val="99"/>
    <w:rPr>
      <w:color w:val="605E5C"/>
      <w:shd w:val="clear" w:color="auto" w:fill="E1DFDD"/>
    </w:rPr>
  </w:style>
  <w:style w:type="paragraph" w:customStyle="1" w:styleId="478">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479">
    <w:name w:val="Z3级左对齐标题 字符"/>
    <w:link w:val="480"/>
    <w:qFormat/>
    <w:uiPriority w:val="0"/>
    <w:rPr>
      <w:rFonts w:ascii="宋体" w:hAnsi="宋体" w:cs="宋体"/>
      <w:b/>
      <w:sz w:val="24"/>
      <w:szCs w:val="24"/>
      <w:shd w:val="clear" w:color="auto" w:fill="FFFFFF"/>
    </w:rPr>
  </w:style>
  <w:style w:type="paragraph" w:customStyle="1" w:styleId="480">
    <w:name w:val="Z3级左对齐标题"/>
    <w:basedOn w:val="1"/>
    <w:link w:val="479"/>
    <w:qFormat/>
    <w:uiPriority w:val="0"/>
    <w:pPr>
      <w:widowControl/>
      <w:numPr>
        <w:ilvl w:val="0"/>
        <w:numId w:val="7"/>
      </w:numPr>
      <w:shd w:val="clear" w:color="auto" w:fill="FFFFFF"/>
      <w:tabs>
        <w:tab w:val="left" w:pos="426"/>
      </w:tabs>
      <w:adjustRightInd w:val="0"/>
      <w:snapToGrid w:val="0"/>
      <w:spacing w:before="280" w:after="290" w:line="377" w:lineRule="auto"/>
      <w:outlineLvl w:val="2"/>
    </w:pPr>
    <w:rPr>
      <w:rFonts w:ascii="宋体" w:hAnsi="宋体" w:cs="宋体"/>
      <w:b/>
      <w:kern w:val="0"/>
      <w:sz w:val="24"/>
    </w:rPr>
  </w:style>
  <w:style w:type="paragraph" w:customStyle="1" w:styleId="481">
    <w:name w:val="正文缩进2"/>
    <w:basedOn w:val="1"/>
    <w:qFormat/>
    <w:uiPriority w:val="0"/>
    <w:pPr>
      <w:ind w:firstLine="200" w:firstLineChars="200"/>
    </w:pPr>
    <w:rPr>
      <w:rFonts w:ascii="Calibri" w:hAnsi="Calibri"/>
    </w:rPr>
  </w:style>
  <w:style w:type="character" w:customStyle="1" w:styleId="482">
    <w:name w:val="0表格正文 字符"/>
    <w:link w:val="483"/>
    <w:qFormat/>
    <w:uiPriority w:val="0"/>
    <w:rPr>
      <w:rFonts w:ascii="宋体" w:hAnsi="宋体" w:cs="宋体"/>
      <w:sz w:val="21"/>
      <w:szCs w:val="21"/>
      <w:shd w:val="clear" w:color="auto" w:fill="FFFFFF"/>
    </w:rPr>
  </w:style>
  <w:style w:type="paragraph" w:customStyle="1" w:styleId="483">
    <w:name w:val="0表格正文"/>
    <w:basedOn w:val="1"/>
    <w:link w:val="482"/>
    <w:qFormat/>
    <w:uiPriority w:val="0"/>
    <w:pPr>
      <w:widowControl/>
      <w:shd w:val="clear" w:color="auto" w:fill="FFFFFF"/>
      <w:adjustRightInd w:val="0"/>
      <w:snapToGrid w:val="0"/>
      <w:jc w:val="left"/>
    </w:pPr>
    <w:rPr>
      <w:rFonts w:ascii="宋体" w:hAnsi="宋体" w:cs="宋体"/>
      <w:kern w:val="0"/>
      <w:szCs w:val="21"/>
    </w:rPr>
  </w:style>
  <w:style w:type="paragraph" w:customStyle="1" w:styleId="484">
    <w:name w:val=".正文"/>
    <w:basedOn w:val="1"/>
    <w:qFormat/>
    <w:uiPriority w:val="0"/>
    <w:pPr>
      <w:spacing w:beforeLines="50" w:line="360" w:lineRule="auto"/>
      <w:ind w:left="360" w:firstLine="200" w:firstLineChars="200"/>
      <w:jc w:val="left"/>
    </w:pPr>
    <w:rPr>
      <w:rFonts w:ascii="Calibri" w:hAnsi="Calibri" w:eastAsia="华文仿宋"/>
      <w:kern w:val="0"/>
      <w:sz w:val="24"/>
      <w:szCs w:val="22"/>
    </w:rPr>
  </w:style>
  <w:style w:type="paragraph" w:customStyle="1" w:styleId="485">
    <w:name w:val="*正文"/>
    <w:basedOn w:val="1"/>
    <w:qFormat/>
    <w:uiPriority w:val="0"/>
    <w:pPr>
      <w:spacing w:line="360" w:lineRule="auto"/>
      <w:ind w:left="360" w:firstLine="200" w:firstLineChars="200"/>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94BE08-81BB-4380-91E6-148B759EC0D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34784</Words>
  <Characters>36591</Characters>
  <Lines>320</Lines>
  <Paragraphs>90</Paragraphs>
  <TotalTime>8</TotalTime>
  <ScaleCrop>false</ScaleCrop>
  <LinksUpToDate>false</LinksUpToDate>
  <CharactersWithSpaces>39255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2022-08-31T07:25:00Z</dcterms:created>
  <dc:creator>thsware</dc:creator>
  <cp:lastModifiedBy>罗荣</cp:lastModifiedBy>
  <cp:lastPrinted>2022-07-21T03:19:00Z</cp:lastPrinted>
  <dcterms:modified xsi:type="dcterms:W3CDTF">2024-07-08T00:52:30Z</dcterms:modified>
  <dc:title>招  标　文　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5F2F492A0C994AF1B0B54D0221A5035B_13</vt:lpwstr>
  </property>
</Properties>
</file>