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0A370">
      <w:pPr>
        <w:spacing w:afterAutospacing="0"/>
        <w:jc w:val="center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val="en-US" w:eastAsia="zh-CN"/>
        </w:rPr>
        <w:t>综合</w:t>
      </w:r>
      <w:r>
        <w:rPr>
          <w:rFonts w:hint="eastAsia"/>
          <w:sz w:val="30"/>
          <w:szCs w:val="30"/>
          <w:lang w:eastAsia="zh-CN"/>
        </w:rPr>
        <w:t>评分表</w:t>
      </w:r>
    </w:p>
    <w:tbl>
      <w:tblPr>
        <w:tblStyle w:val="5"/>
        <w:tblpPr w:leftFromText="180" w:rightFromText="180" w:vertAnchor="text" w:horzAnchor="page" w:tblpX="1525" w:tblpY="3120"/>
        <w:tblOverlap w:val="never"/>
        <w:tblW w:w="90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1350"/>
        <w:gridCol w:w="539"/>
        <w:gridCol w:w="766"/>
        <w:gridCol w:w="5999"/>
      </w:tblGrid>
      <w:tr w14:paraId="1C16C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324" w:type="dxa"/>
            <w:gridSpan w:val="3"/>
            <w:vAlign w:val="center"/>
          </w:tcPr>
          <w:p w14:paraId="3C9C2336">
            <w:pPr>
              <w:jc w:val="center"/>
            </w:pPr>
            <w:r>
              <w:rPr>
                <w:rFonts w:hint="eastAsia"/>
              </w:rPr>
              <w:t>评分项</w:t>
            </w:r>
          </w:p>
        </w:tc>
        <w:tc>
          <w:tcPr>
            <w:tcW w:w="6765" w:type="dxa"/>
            <w:gridSpan w:val="2"/>
            <w:vAlign w:val="center"/>
          </w:tcPr>
          <w:p w14:paraId="3D406B50">
            <w:pPr>
              <w:jc w:val="center"/>
            </w:pPr>
            <w:r>
              <w:rPr>
                <w:rFonts w:hint="eastAsia"/>
              </w:rPr>
              <w:t>权重</w:t>
            </w:r>
          </w:p>
        </w:tc>
      </w:tr>
      <w:tr w14:paraId="63A20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324" w:type="dxa"/>
            <w:gridSpan w:val="3"/>
            <w:vAlign w:val="center"/>
          </w:tcPr>
          <w:p w14:paraId="2DC21DA8">
            <w:r>
              <w:rPr>
                <w:rFonts w:hint="eastAsia"/>
              </w:rPr>
              <w:t>一、价格部分</w:t>
            </w:r>
          </w:p>
        </w:tc>
        <w:tc>
          <w:tcPr>
            <w:tcW w:w="6765" w:type="dxa"/>
            <w:gridSpan w:val="2"/>
            <w:vAlign w:val="center"/>
          </w:tcPr>
          <w:p w14:paraId="1C2BC240">
            <w:pPr>
              <w:jc w:val="center"/>
            </w:pPr>
            <w:r>
              <w:rPr>
                <w:rFonts w:hint="eastAsia"/>
              </w:rPr>
              <w:t>30分</w:t>
            </w:r>
          </w:p>
        </w:tc>
      </w:tr>
      <w:tr w14:paraId="3BC17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89" w:type="dxa"/>
            <w:gridSpan w:val="5"/>
            <w:vAlign w:val="center"/>
          </w:tcPr>
          <w:p w14:paraId="3CFC24EF">
            <w:r>
              <w:rPr>
                <w:rFonts w:hint="eastAsia"/>
              </w:rPr>
              <w:t>价格分采用低价优先法计算，即满足招标文件要求且投标价格最低的投标报价为评标基准价，其价格分为满分。其他投标人的价格分统一按照下列公式计算：</w:t>
            </w:r>
          </w:p>
          <w:p w14:paraId="1E0480A0">
            <w:r>
              <w:rPr>
                <w:rFonts w:hint="eastAsia"/>
              </w:rPr>
              <w:t>投标报价得分=(评标基准价／投标报价)×30</w:t>
            </w:r>
          </w:p>
        </w:tc>
      </w:tr>
      <w:tr w14:paraId="5C572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324" w:type="dxa"/>
            <w:gridSpan w:val="3"/>
            <w:vAlign w:val="center"/>
          </w:tcPr>
          <w:p w14:paraId="12AD53C9">
            <w:r>
              <w:rPr>
                <w:rFonts w:hint="eastAsia"/>
              </w:rPr>
              <w:t>二、技术部分</w:t>
            </w:r>
          </w:p>
        </w:tc>
        <w:tc>
          <w:tcPr>
            <w:tcW w:w="6765" w:type="dxa"/>
            <w:gridSpan w:val="2"/>
            <w:vAlign w:val="center"/>
          </w:tcPr>
          <w:p w14:paraId="1637B527"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分</w:t>
            </w:r>
          </w:p>
        </w:tc>
      </w:tr>
      <w:tr w14:paraId="13929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435" w:type="dxa"/>
            <w:vAlign w:val="center"/>
          </w:tcPr>
          <w:p w14:paraId="60732543">
            <w:r>
              <w:rPr>
                <w:rFonts w:hint="eastAsia"/>
              </w:rPr>
              <w:t>序号</w:t>
            </w:r>
          </w:p>
        </w:tc>
        <w:tc>
          <w:tcPr>
            <w:tcW w:w="1350" w:type="dxa"/>
            <w:vAlign w:val="center"/>
          </w:tcPr>
          <w:p w14:paraId="507572DB">
            <w:r>
              <w:rPr>
                <w:rFonts w:hint="eastAsia"/>
              </w:rPr>
              <w:t>评分因素</w:t>
            </w:r>
          </w:p>
        </w:tc>
        <w:tc>
          <w:tcPr>
            <w:tcW w:w="539" w:type="dxa"/>
            <w:vAlign w:val="center"/>
          </w:tcPr>
          <w:p w14:paraId="32E2B2AC">
            <w:pPr>
              <w:jc w:val="center"/>
            </w:pPr>
            <w:r>
              <w:rPr>
                <w:rFonts w:hint="eastAsia"/>
              </w:rPr>
              <w:t>权重</w:t>
            </w:r>
          </w:p>
        </w:tc>
        <w:tc>
          <w:tcPr>
            <w:tcW w:w="766" w:type="dxa"/>
            <w:vAlign w:val="center"/>
          </w:tcPr>
          <w:p w14:paraId="187E19F9">
            <w:pPr>
              <w:jc w:val="center"/>
            </w:pPr>
            <w:r>
              <w:rPr>
                <w:rFonts w:hint="eastAsia"/>
              </w:rPr>
              <w:t>评分方式</w:t>
            </w:r>
          </w:p>
        </w:tc>
        <w:tc>
          <w:tcPr>
            <w:tcW w:w="5999" w:type="dxa"/>
            <w:vAlign w:val="center"/>
          </w:tcPr>
          <w:p w14:paraId="20115AD6">
            <w:pPr>
              <w:jc w:val="center"/>
            </w:pPr>
            <w:r>
              <w:rPr>
                <w:rFonts w:hint="eastAsia"/>
              </w:rPr>
              <w:t>评分准则</w:t>
            </w:r>
          </w:p>
        </w:tc>
      </w:tr>
      <w:tr w14:paraId="38B13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435" w:type="dxa"/>
            <w:vAlign w:val="center"/>
          </w:tcPr>
          <w:p w14:paraId="280A0719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 w14:paraId="19E1E55B">
            <w:r>
              <w:t>一般技术参数响应</w:t>
            </w:r>
            <w:r>
              <w:rPr>
                <w:rFonts w:hint="eastAsia"/>
              </w:rPr>
              <w:t>评分</w:t>
            </w:r>
          </w:p>
        </w:tc>
        <w:tc>
          <w:tcPr>
            <w:tcW w:w="539" w:type="dxa"/>
            <w:vAlign w:val="center"/>
          </w:tcPr>
          <w:p w14:paraId="600B85D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766" w:type="dxa"/>
            <w:vAlign w:val="center"/>
          </w:tcPr>
          <w:p w14:paraId="1A09AECA">
            <w:pPr>
              <w:jc w:val="center"/>
            </w:pPr>
            <w:r>
              <w:rPr>
                <w:rFonts w:hint="eastAsia"/>
              </w:rPr>
              <w:t>专家评分</w:t>
            </w:r>
          </w:p>
        </w:tc>
        <w:tc>
          <w:tcPr>
            <w:tcW w:w="5999" w:type="dxa"/>
            <w:vAlign w:val="center"/>
          </w:tcPr>
          <w:p w14:paraId="439BA6D7">
            <w:r>
              <w:t>投标供应商应如实填写《技术规格偏离表》，评审委员会根据技术需求参数响应情况进行打分，每1</w:t>
            </w:r>
            <w:r>
              <w:rPr>
                <w:rFonts w:hint="eastAsia"/>
              </w:rPr>
              <w:t>项</w:t>
            </w:r>
            <w:r>
              <w:t>负偏离</w:t>
            </w:r>
            <w:r>
              <w:rPr>
                <w:rFonts w:hint="eastAsia"/>
              </w:rPr>
              <w:t>的</w:t>
            </w:r>
            <w:r>
              <w:t>，扣</w:t>
            </w:r>
            <w:r>
              <w:rPr>
                <w:rFonts w:hint="eastAsia"/>
                <w:lang w:val="en-US" w:eastAsia="zh-CN"/>
              </w:rPr>
              <w:t>3</w:t>
            </w:r>
            <w:r>
              <w:t>分；扣完为止。</w:t>
            </w:r>
          </w:p>
        </w:tc>
      </w:tr>
      <w:tr w14:paraId="4F582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435" w:type="dxa"/>
            <w:vAlign w:val="center"/>
          </w:tcPr>
          <w:p w14:paraId="59108A26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 w14:paraId="3FE289B0">
            <w:r>
              <w:rPr>
                <w:rFonts w:hint="eastAsia"/>
              </w:rPr>
              <w:t>对</w:t>
            </w:r>
            <w:r>
              <w:rPr>
                <w:rFonts w:hint="eastAsia"/>
                <w:lang w:eastAsia="zh-CN"/>
              </w:rPr>
              <w:t>所投产品的</w:t>
            </w:r>
            <w:r>
              <w:rPr>
                <w:rFonts w:hint="eastAsia"/>
              </w:rPr>
              <w:t>总体功能、性能及技术先进性作综合评价</w:t>
            </w:r>
          </w:p>
        </w:tc>
        <w:tc>
          <w:tcPr>
            <w:tcW w:w="539" w:type="dxa"/>
            <w:vAlign w:val="center"/>
          </w:tcPr>
          <w:p w14:paraId="296D0BC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66" w:type="dxa"/>
            <w:vAlign w:val="center"/>
          </w:tcPr>
          <w:p w14:paraId="3DF590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专家评分</w:t>
            </w:r>
          </w:p>
        </w:tc>
        <w:tc>
          <w:tcPr>
            <w:tcW w:w="5999" w:type="dxa"/>
            <w:vAlign w:val="center"/>
          </w:tcPr>
          <w:p w14:paraId="7513BC09">
            <w:r>
              <w:rPr>
                <w:rFonts w:hint="eastAsia"/>
              </w:rPr>
              <w:t>以所投设备的总体功能、性能及技术先进性作综合评价等为主要评价依据，横向比较，</w:t>
            </w:r>
          </w:p>
          <w:p w14:paraId="149FA8D0">
            <w:pPr>
              <w:rPr>
                <w:rFonts w:hint="eastAsia"/>
              </w:rPr>
            </w:pPr>
            <w:r>
              <w:rPr>
                <w:rFonts w:hint="eastAsia"/>
              </w:rPr>
              <w:t>（1）所投</w:t>
            </w:r>
            <w:r>
              <w:rPr>
                <w:rFonts w:hint="eastAsia"/>
                <w:lang w:eastAsia="zh-CN"/>
              </w:rPr>
              <w:t>产品</w:t>
            </w:r>
            <w:r>
              <w:rPr>
                <w:rFonts w:hint="eastAsia"/>
              </w:rPr>
              <w:t>的总体功能完善、性能好及技术先进的评价为优得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分，</w:t>
            </w:r>
          </w:p>
          <w:p w14:paraId="2FEA6F6F">
            <w:pPr>
              <w:rPr>
                <w:rFonts w:hint="eastAsia"/>
              </w:rPr>
            </w:pPr>
            <w:r>
              <w:rPr>
                <w:rFonts w:hint="eastAsia"/>
              </w:rPr>
              <w:t>（2）所投</w:t>
            </w:r>
            <w:r>
              <w:rPr>
                <w:rFonts w:hint="eastAsia"/>
                <w:lang w:eastAsia="zh-CN"/>
              </w:rPr>
              <w:t>产品</w:t>
            </w:r>
            <w:r>
              <w:rPr>
                <w:rFonts w:hint="eastAsia"/>
              </w:rPr>
              <w:t>的总体功能较为完善、性能较好及技术较为先进的评价为良得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分，</w:t>
            </w:r>
          </w:p>
          <w:p w14:paraId="6146D309">
            <w:pPr>
              <w:rPr>
                <w:rFonts w:hint="eastAsia"/>
              </w:rPr>
            </w:pPr>
            <w:r>
              <w:rPr>
                <w:rFonts w:hint="eastAsia"/>
              </w:rPr>
              <w:t>（3）所投</w:t>
            </w:r>
            <w:r>
              <w:rPr>
                <w:rFonts w:hint="eastAsia"/>
                <w:lang w:eastAsia="zh-CN"/>
              </w:rPr>
              <w:t>产品</w:t>
            </w:r>
            <w:r>
              <w:rPr>
                <w:rFonts w:hint="eastAsia"/>
              </w:rPr>
              <w:t>的总体功能一般、性能一般及技术先进性一般的评价为中得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分，</w:t>
            </w:r>
          </w:p>
          <w:p w14:paraId="2E7A42C0">
            <w:pPr>
              <w:rPr>
                <w:rFonts w:hint="eastAsia"/>
              </w:rPr>
            </w:pPr>
            <w:r>
              <w:rPr>
                <w:rFonts w:hint="eastAsia"/>
              </w:rPr>
              <w:t>（4）所投</w:t>
            </w:r>
            <w:r>
              <w:rPr>
                <w:rFonts w:hint="eastAsia"/>
                <w:lang w:eastAsia="zh-CN"/>
              </w:rPr>
              <w:t>产品</w:t>
            </w:r>
            <w:r>
              <w:rPr>
                <w:rFonts w:hint="eastAsia"/>
              </w:rPr>
              <w:t>的总体功能差、性能差及技</w:t>
            </w:r>
            <w:bookmarkStart w:id="0" w:name="_GoBack"/>
            <w:bookmarkEnd w:id="0"/>
            <w:r>
              <w:rPr>
                <w:rFonts w:hint="eastAsia"/>
              </w:rPr>
              <w:t>术先进性低评价为差得0。</w:t>
            </w:r>
          </w:p>
        </w:tc>
      </w:tr>
      <w:tr w14:paraId="3E049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435" w:type="dxa"/>
            <w:vAlign w:val="center"/>
          </w:tcPr>
          <w:p w14:paraId="5B1F1BE2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 w14:paraId="57C73A2F">
            <w:r>
              <w:rPr>
                <w:rFonts w:hint="eastAsia"/>
              </w:rPr>
              <w:t>售后服务方案</w:t>
            </w:r>
          </w:p>
        </w:tc>
        <w:tc>
          <w:tcPr>
            <w:tcW w:w="539" w:type="dxa"/>
            <w:vAlign w:val="center"/>
          </w:tcPr>
          <w:p w14:paraId="7354D6B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66" w:type="dxa"/>
            <w:vAlign w:val="center"/>
          </w:tcPr>
          <w:p w14:paraId="79B74B5C">
            <w:pPr>
              <w:jc w:val="center"/>
            </w:pPr>
            <w:r>
              <w:rPr>
                <w:rFonts w:hint="eastAsia"/>
              </w:rPr>
              <w:t>专家打分</w:t>
            </w:r>
          </w:p>
        </w:tc>
        <w:tc>
          <w:tcPr>
            <w:tcW w:w="5999" w:type="dxa"/>
            <w:vAlign w:val="center"/>
          </w:tcPr>
          <w:p w14:paraId="54597342">
            <w:r>
              <w:rPr>
                <w:rFonts w:hint="eastAsia"/>
              </w:rPr>
              <w:t>针对</w:t>
            </w:r>
            <w:r>
              <w:rPr>
                <w:rFonts w:hint="eastAsia"/>
                <w:lang w:eastAsia="zh-CN"/>
              </w:rPr>
              <w:t>售后服务方案包含维修响应时间</w:t>
            </w:r>
            <w:r>
              <w:rPr>
                <w:rFonts w:hint="eastAsia"/>
              </w:rPr>
              <w:t>、技术人员培训等方面的具体措施：</w:t>
            </w:r>
            <w:r>
              <w:rPr>
                <w:rFonts w:hint="eastAsia"/>
                <w:lang w:eastAsia="zh-CN"/>
              </w:rPr>
              <w:t>提供售后服务承诺得</w:t>
            </w:r>
            <w:r>
              <w:rPr>
                <w:rFonts w:hint="eastAsia"/>
                <w:lang w:val="en-US" w:eastAsia="zh-CN"/>
              </w:rPr>
              <w:t>4分，</w:t>
            </w:r>
            <w:r>
              <w:rPr>
                <w:rFonts w:hint="eastAsia"/>
              </w:rPr>
              <w:t>在满足此基础上进一步综合评审：评价为优加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未提供或无法判断则不得分。</w:t>
            </w:r>
          </w:p>
        </w:tc>
      </w:tr>
      <w:tr w14:paraId="0B89A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324" w:type="dxa"/>
            <w:gridSpan w:val="3"/>
            <w:vAlign w:val="center"/>
          </w:tcPr>
          <w:p w14:paraId="04271A1D">
            <w:pPr>
              <w:jc w:val="center"/>
            </w:pPr>
            <w:r>
              <w:rPr>
                <w:rFonts w:hint="eastAsia"/>
              </w:rPr>
              <w:t>三、商务部分</w:t>
            </w:r>
          </w:p>
        </w:tc>
        <w:tc>
          <w:tcPr>
            <w:tcW w:w="6765" w:type="dxa"/>
            <w:gridSpan w:val="2"/>
            <w:vAlign w:val="center"/>
          </w:tcPr>
          <w:p w14:paraId="5911B66D"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</w:t>
            </w:r>
          </w:p>
        </w:tc>
      </w:tr>
      <w:tr w14:paraId="63F05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35" w:type="dxa"/>
            <w:vAlign w:val="center"/>
          </w:tcPr>
          <w:p w14:paraId="16FCA2F2">
            <w:r>
              <w:rPr>
                <w:rFonts w:hint="eastAsia"/>
              </w:rPr>
              <w:t>序号</w:t>
            </w:r>
          </w:p>
        </w:tc>
        <w:tc>
          <w:tcPr>
            <w:tcW w:w="1350" w:type="dxa"/>
            <w:vAlign w:val="center"/>
          </w:tcPr>
          <w:p w14:paraId="252805D7">
            <w:r>
              <w:rPr>
                <w:rFonts w:hint="eastAsia"/>
              </w:rPr>
              <w:t>评分因素</w:t>
            </w:r>
          </w:p>
        </w:tc>
        <w:tc>
          <w:tcPr>
            <w:tcW w:w="539" w:type="dxa"/>
            <w:vAlign w:val="center"/>
          </w:tcPr>
          <w:p w14:paraId="1CF60FBF">
            <w:pPr>
              <w:jc w:val="center"/>
            </w:pPr>
            <w:r>
              <w:rPr>
                <w:rFonts w:hint="eastAsia"/>
              </w:rPr>
              <w:t>权重</w:t>
            </w:r>
          </w:p>
        </w:tc>
        <w:tc>
          <w:tcPr>
            <w:tcW w:w="766" w:type="dxa"/>
            <w:vAlign w:val="center"/>
          </w:tcPr>
          <w:p w14:paraId="4829FCC3">
            <w:pPr>
              <w:jc w:val="center"/>
            </w:pPr>
            <w:r>
              <w:rPr>
                <w:rFonts w:hint="eastAsia"/>
              </w:rPr>
              <w:t>评分方式</w:t>
            </w:r>
          </w:p>
        </w:tc>
        <w:tc>
          <w:tcPr>
            <w:tcW w:w="5999" w:type="dxa"/>
            <w:vAlign w:val="center"/>
          </w:tcPr>
          <w:p w14:paraId="4D709490">
            <w:pPr>
              <w:jc w:val="center"/>
            </w:pPr>
            <w:r>
              <w:rPr>
                <w:rFonts w:hint="eastAsia"/>
              </w:rPr>
              <w:t>评分准则</w:t>
            </w:r>
          </w:p>
        </w:tc>
      </w:tr>
      <w:tr w14:paraId="1DC55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435" w:type="dxa"/>
            <w:vAlign w:val="center"/>
          </w:tcPr>
          <w:p w14:paraId="3B3A3A43">
            <w:r>
              <w:rPr>
                <w:rFonts w:hint="eastAsia"/>
              </w:rPr>
              <w:t>1</w:t>
            </w:r>
          </w:p>
        </w:tc>
        <w:tc>
          <w:tcPr>
            <w:tcW w:w="1350" w:type="dxa"/>
            <w:vAlign w:val="center"/>
          </w:tcPr>
          <w:p w14:paraId="7482C2E6">
            <w:r>
              <w:t>有效业绩</w:t>
            </w:r>
          </w:p>
        </w:tc>
        <w:tc>
          <w:tcPr>
            <w:tcW w:w="539" w:type="dxa"/>
            <w:vAlign w:val="center"/>
          </w:tcPr>
          <w:p w14:paraId="20A7C68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66" w:type="dxa"/>
            <w:vAlign w:val="center"/>
          </w:tcPr>
          <w:p w14:paraId="1235E50D">
            <w:pPr>
              <w:jc w:val="center"/>
            </w:pPr>
            <w:r>
              <w:rPr>
                <w:rFonts w:hint="eastAsia"/>
              </w:rPr>
              <w:t>专家评分</w:t>
            </w:r>
          </w:p>
        </w:tc>
        <w:tc>
          <w:tcPr>
            <w:tcW w:w="5999" w:type="dxa"/>
          </w:tcPr>
          <w:p w14:paraId="5FBBAE76">
            <w:r>
              <w:rPr>
                <w:rFonts w:hint="eastAsia"/>
              </w:rPr>
              <w:t>提供1项有效业绩的，得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分；以此类推，最高不超过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分。</w:t>
            </w:r>
          </w:p>
          <w:p w14:paraId="20EC97F7">
            <w:r>
              <w:rPr>
                <w:rFonts w:hint="eastAsia"/>
              </w:rPr>
              <w:t>不提供或者不能有效证明的，得0分。</w:t>
            </w:r>
          </w:p>
          <w:p w14:paraId="010010C5">
            <w:r>
              <w:rPr>
                <w:rFonts w:hint="eastAsia"/>
              </w:rPr>
              <w:t>有效业绩定义：（同时满足以下全部要求同类业绩才属于有效业绩）</w:t>
            </w:r>
          </w:p>
          <w:p w14:paraId="76CA4E6C">
            <w:r>
              <w:rPr>
                <w:rFonts w:hint="eastAsia"/>
              </w:rPr>
              <w:t>1）为投标供应商</w:t>
            </w:r>
            <w:r>
              <w:rPr>
                <w:rFonts w:hint="eastAsia"/>
                <w:lang w:eastAsia="zh-CN"/>
              </w:rPr>
              <w:t>所投产品的同类小说业绩</w:t>
            </w:r>
            <w:r>
              <w:rPr>
                <w:rFonts w:hint="eastAsia"/>
              </w:rPr>
              <w:t>。</w:t>
            </w:r>
          </w:p>
          <w:p w14:paraId="375519F8">
            <w:pPr>
              <w:rPr>
                <w:rFonts w:hint="eastAsia"/>
              </w:rPr>
            </w:pPr>
            <w:r>
              <w:rPr>
                <w:rFonts w:hint="eastAsia"/>
              </w:rPr>
              <w:t>2）同类业绩指：</w:t>
            </w:r>
            <w:r>
              <w:rPr>
                <w:rFonts w:hint="eastAsia"/>
                <w:lang w:eastAsia="zh-CN"/>
              </w:rPr>
              <w:t>投标供应商投标同类设备</w:t>
            </w:r>
            <w:r>
              <w:rPr>
                <w:rFonts w:hint="eastAsia"/>
              </w:rPr>
              <w:t>项目</w:t>
            </w:r>
          </w:p>
          <w:p w14:paraId="0110B6D3">
            <w:r>
              <w:rPr>
                <w:rFonts w:hint="eastAsia"/>
              </w:rPr>
              <w:t>3）合同签订时间为20</w:t>
            </w:r>
            <w:r>
              <w:rPr>
                <w:rFonts w:hint="eastAsia"/>
                <w:lang w:val="en-US" w:eastAsia="zh-CN"/>
              </w:rPr>
              <w:t>24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月1日至投标截止时间前。</w:t>
            </w:r>
          </w:p>
          <w:p w14:paraId="2B8997B5">
            <w:r>
              <w:rPr>
                <w:rFonts w:hint="eastAsia"/>
              </w:rPr>
              <w:t>证明文件：</w:t>
            </w:r>
          </w:p>
          <w:p w14:paraId="1B1AD599">
            <w:r>
              <w:rPr>
                <w:rFonts w:hint="eastAsia"/>
              </w:rPr>
              <w:t>供应商必须提供项目合同</w:t>
            </w:r>
            <w:r>
              <w:rPr>
                <w:rFonts w:hint="eastAsia"/>
                <w:lang w:eastAsia="zh-CN"/>
              </w:rPr>
              <w:t>或中标通知书</w:t>
            </w:r>
            <w:r>
              <w:rPr>
                <w:rFonts w:hint="eastAsia"/>
              </w:rPr>
              <w:t>复印件，未提供或无法判断则不得分，原件备查。</w:t>
            </w:r>
          </w:p>
        </w:tc>
      </w:tr>
      <w:tr w14:paraId="5ACF4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435" w:type="dxa"/>
            <w:vAlign w:val="center"/>
          </w:tcPr>
          <w:p w14:paraId="4563834D">
            <w:r>
              <w:rPr>
                <w:rFonts w:hint="eastAsia"/>
              </w:rPr>
              <w:t>2</w:t>
            </w:r>
          </w:p>
        </w:tc>
        <w:tc>
          <w:tcPr>
            <w:tcW w:w="1350" w:type="dxa"/>
            <w:vAlign w:val="center"/>
          </w:tcPr>
          <w:p w14:paraId="45ACB490">
            <w:r>
              <w:rPr>
                <w:rFonts w:hint="eastAsia"/>
              </w:rPr>
              <w:t>延长质保期</w:t>
            </w:r>
          </w:p>
        </w:tc>
        <w:tc>
          <w:tcPr>
            <w:tcW w:w="539" w:type="dxa"/>
            <w:vAlign w:val="center"/>
          </w:tcPr>
          <w:p w14:paraId="4FC0CFE7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66" w:type="dxa"/>
            <w:vAlign w:val="center"/>
          </w:tcPr>
          <w:p w14:paraId="59ACEF21">
            <w:pPr>
              <w:jc w:val="center"/>
            </w:pPr>
            <w:r>
              <w:rPr>
                <w:rFonts w:hint="eastAsia"/>
              </w:rPr>
              <w:t>专家评分</w:t>
            </w:r>
          </w:p>
        </w:tc>
        <w:tc>
          <w:tcPr>
            <w:tcW w:w="5999" w:type="dxa"/>
          </w:tcPr>
          <w:p w14:paraId="6D1435F6">
            <w:pPr>
              <w:rPr>
                <w:rFonts w:hint="eastAsia"/>
              </w:rPr>
            </w:pPr>
            <w:r>
              <w:rPr>
                <w:rFonts w:hint="eastAsia"/>
              </w:rPr>
              <w:t>在满足免费保修期（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年质保期）基础上，承诺每延长1年加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分，最高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分。</w:t>
            </w:r>
          </w:p>
          <w:p w14:paraId="10C2027D">
            <w:r>
              <w:rPr>
                <w:rFonts w:hint="eastAsia"/>
              </w:rPr>
              <w:t>提供延长免费保修期的承诺函（格式自拟），  未提供或无法判断则不得分。</w:t>
            </w:r>
          </w:p>
        </w:tc>
      </w:tr>
    </w:tbl>
    <w:p w14:paraId="74D2863E">
      <w:pPr>
        <w:rPr>
          <w:rFonts w:hint="eastAsia"/>
          <w:lang w:eastAsia="zh-CN"/>
        </w:rPr>
      </w:pPr>
    </w:p>
    <w:p w14:paraId="07FDAE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mMzAxMWI5ZWIwZWVjYzUxZmM2NDBmYTU0NzExMzYifQ=="/>
  </w:docVars>
  <w:rsids>
    <w:rsidRoot w:val="009A6F43"/>
    <w:rsid w:val="00053647"/>
    <w:rsid w:val="00085086"/>
    <w:rsid w:val="000962F1"/>
    <w:rsid w:val="00103746"/>
    <w:rsid w:val="00153EC7"/>
    <w:rsid w:val="001C4B92"/>
    <w:rsid w:val="001E3994"/>
    <w:rsid w:val="00265A7A"/>
    <w:rsid w:val="002B0228"/>
    <w:rsid w:val="00305A7B"/>
    <w:rsid w:val="003476CA"/>
    <w:rsid w:val="00362699"/>
    <w:rsid w:val="00393014"/>
    <w:rsid w:val="003D734D"/>
    <w:rsid w:val="004434B5"/>
    <w:rsid w:val="004E10A0"/>
    <w:rsid w:val="00515D3E"/>
    <w:rsid w:val="00525336"/>
    <w:rsid w:val="00582E4C"/>
    <w:rsid w:val="00587EFF"/>
    <w:rsid w:val="005B67A2"/>
    <w:rsid w:val="005C3928"/>
    <w:rsid w:val="005C4239"/>
    <w:rsid w:val="006A1144"/>
    <w:rsid w:val="0073551B"/>
    <w:rsid w:val="007463C5"/>
    <w:rsid w:val="007F4C78"/>
    <w:rsid w:val="00820D55"/>
    <w:rsid w:val="008E7AB4"/>
    <w:rsid w:val="008F2D7D"/>
    <w:rsid w:val="0093371A"/>
    <w:rsid w:val="00960105"/>
    <w:rsid w:val="00975532"/>
    <w:rsid w:val="009A6F43"/>
    <w:rsid w:val="00A14DD6"/>
    <w:rsid w:val="00A45DF8"/>
    <w:rsid w:val="00A818CE"/>
    <w:rsid w:val="00B05B1C"/>
    <w:rsid w:val="00B11F87"/>
    <w:rsid w:val="00B429BE"/>
    <w:rsid w:val="00B4641D"/>
    <w:rsid w:val="00B54575"/>
    <w:rsid w:val="00BD37E9"/>
    <w:rsid w:val="00C035E7"/>
    <w:rsid w:val="00C12F48"/>
    <w:rsid w:val="00C242B3"/>
    <w:rsid w:val="00CB48A0"/>
    <w:rsid w:val="00D076D9"/>
    <w:rsid w:val="00D27E74"/>
    <w:rsid w:val="00D36759"/>
    <w:rsid w:val="00D70391"/>
    <w:rsid w:val="00DE0DB1"/>
    <w:rsid w:val="00DF281B"/>
    <w:rsid w:val="00E309D1"/>
    <w:rsid w:val="00E70B1C"/>
    <w:rsid w:val="00EE5E48"/>
    <w:rsid w:val="00FC1F7B"/>
    <w:rsid w:val="00FD6AFE"/>
    <w:rsid w:val="00FF2DFF"/>
    <w:rsid w:val="03D86CBB"/>
    <w:rsid w:val="0E7E7133"/>
    <w:rsid w:val="0F2B57C3"/>
    <w:rsid w:val="0F3833E7"/>
    <w:rsid w:val="0F814DAD"/>
    <w:rsid w:val="12DD6F01"/>
    <w:rsid w:val="16A214A7"/>
    <w:rsid w:val="16FD7F75"/>
    <w:rsid w:val="17D85CF6"/>
    <w:rsid w:val="17EF7CEE"/>
    <w:rsid w:val="19915A23"/>
    <w:rsid w:val="1C4C57FF"/>
    <w:rsid w:val="1FDE0E64"/>
    <w:rsid w:val="1FF71F26"/>
    <w:rsid w:val="234B5430"/>
    <w:rsid w:val="239358B3"/>
    <w:rsid w:val="24E3076F"/>
    <w:rsid w:val="29833AC2"/>
    <w:rsid w:val="2AC62C21"/>
    <w:rsid w:val="2D53775E"/>
    <w:rsid w:val="2F623005"/>
    <w:rsid w:val="346A286F"/>
    <w:rsid w:val="37A952CA"/>
    <w:rsid w:val="38AA1DD4"/>
    <w:rsid w:val="3A212837"/>
    <w:rsid w:val="3C37397E"/>
    <w:rsid w:val="3CB36167"/>
    <w:rsid w:val="3CD80572"/>
    <w:rsid w:val="3D6B17C8"/>
    <w:rsid w:val="3EAF5B65"/>
    <w:rsid w:val="3FF9372A"/>
    <w:rsid w:val="4000052B"/>
    <w:rsid w:val="40624EF6"/>
    <w:rsid w:val="41F91F26"/>
    <w:rsid w:val="437A1489"/>
    <w:rsid w:val="439D3715"/>
    <w:rsid w:val="46AE792E"/>
    <w:rsid w:val="486B29D8"/>
    <w:rsid w:val="494A4D03"/>
    <w:rsid w:val="526C1DCC"/>
    <w:rsid w:val="528965FF"/>
    <w:rsid w:val="55223429"/>
    <w:rsid w:val="58400B01"/>
    <w:rsid w:val="58EB2CD9"/>
    <w:rsid w:val="5AA93EA5"/>
    <w:rsid w:val="5D045FFD"/>
    <w:rsid w:val="61EB26C7"/>
    <w:rsid w:val="6B7258C3"/>
    <w:rsid w:val="6F5D4294"/>
    <w:rsid w:val="6F936C68"/>
    <w:rsid w:val="70A95EF1"/>
    <w:rsid w:val="72697A38"/>
    <w:rsid w:val="73786637"/>
    <w:rsid w:val="755469EE"/>
    <w:rsid w:val="77813724"/>
    <w:rsid w:val="780A23D9"/>
    <w:rsid w:val="786D4A31"/>
    <w:rsid w:val="795D6C40"/>
    <w:rsid w:val="7A2747BD"/>
    <w:rsid w:val="7A74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semiHidden/>
    <w:unhideWhenUsed/>
    <w:qFormat/>
    <w:uiPriority w:val="99"/>
    <w:rPr>
      <w:rFonts w:ascii="宋体" w:hAnsi="Courier New" w:eastAsia="宋体" w:cs="Times New Roman"/>
      <w:szCs w:val="20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semiHidden/>
    <w:qFormat/>
    <w:uiPriority w:val="99"/>
    <w:rPr>
      <w:rFonts w:ascii="宋体" w:hAnsi="Courier New" w:eastAsia="宋体" w:cs="Times New Roman"/>
      <w:szCs w:val="20"/>
    </w:rPr>
  </w:style>
  <w:style w:type="paragraph" w:customStyle="1" w:styleId="10">
    <w:name w:val="列出段落1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873</Words>
  <Characters>884</Characters>
  <Lines>31</Lines>
  <Paragraphs>8</Paragraphs>
  <TotalTime>237</TotalTime>
  <ScaleCrop>false</ScaleCrop>
  <LinksUpToDate>false</LinksUpToDate>
  <CharactersWithSpaces>886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2020-12-22T01:51:00Z</dcterms:created>
  <dc:creator>lenovo</dc:creator>
  <cp:lastModifiedBy>峰</cp:lastModifiedBy>
  <cp:lastPrinted>2024-06-18T04:59:00Z</cp:lastPrinted>
  <dcterms:modified xsi:type="dcterms:W3CDTF">2024-07-29T09:26:51Z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855BB558B37E47D2A827DC714A2CDCEF_13</vt:lpwstr>
  </property>
</Properties>
</file>