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0"/>
          <w:szCs w:val="30"/>
        </w:rPr>
      </w:pP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pPr>
        <w:jc w:val="center"/>
        <w:rPr>
          <w:rFonts w:asciiTheme="minorEastAsia" w:hAnsiTheme="minorEastAsia" w:cstheme="minorEastAsia"/>
          <w:b/>
          <w:bCs/>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请准备投标文件三份（一份正本二份副本）。</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）医用材料招标项目合同的执行期为12个月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pPr>
        <w:rPr>
          <w:rFonts w:hint="eastAsia" w:asciiTheme="minorEastAsia" w:hAnsiTheme="minorEastAsia" w:cstheme="minorEastAsia"/>
          <w:b/>
          <w:bCs/>
          <w:sz w:val="24"/>
          <w:szCs w:val="24"/>
          <w:lang w:eastAsia="zh-CN"/>
        </w:rPr>
      </w:pPr>
    </w:p>
    <w:p>
      <w:pPr>
        <w:rPr>
          <w:rFonts w:asciiTheme="minorEastAsia" w:hAnsiTheme="minorEastAsia" w:cstheme="minorEastAsia"/>
          <w:sz w:val="24"/>
          <w:szCs w:val="24"/>
        </w:rPr>
      </w:pPr>
    </w:p>
    <w:p>
      <w:pPr>
        <w:numPr>
          <w:ilvl w:val="0"/>
          <w:numId w:val="1"/>
        </w:numPr>
        <w:rPr>
          <w:rFonts w:hint="eastAsia"/>
          <w:color w:val="FF0000"/>
          <w:sz w:val="24"/>
          <w:szCs w:val="24"/>
          <w:lang w:eastAsia="zh-CN"/>
        </w:rPr>
      </w:pPr>
      <w:r>
        <w:rPr>
          <w:rFonts w:hint="eastAsia" w:asciiTheme="minorEastAsia" w:hAnsiTheme="minorEastAsia" w:cstheme="minorEastAsia"/>
          <w:sz w:val="24"/>
          <w:szCs w:val="24"/>
        </w:rPr>
        <w:t xml:space="preserve"> </w:t>
      </w:r>
      <w:r>
        <w:rPr>
          <w:rFonts w:hint="eastAsia"/>
          <w:color w:val="FF0000"/>
          <w:sz w:val="24"/>
          <w:szCs w:val="24"/>
          <w:lang w:val="en-US" w:eastAsia="zh-CN"/>
        </w:rPr>
        <w:t>报名</w:t>
      </w:r>
      <w:r>
        <w:rPr>
          <w:rFonts w:hint="eastAsia"/>
          <w:color w:val="FF0000"/>
          <w:sz w:val="24"/>
          <w:szCs w:val="24"/>
        </w:rPr>
        <w:t>投标</w:t>
      </w:r>
      <w:r>
        <w:rPr>
          <w:rFonts w:hint="eastAsia"/>
          <w:color w:val="FF0000"/>
          <w:sz w:val="24"/>
          <w:szCs w:val="24"/>
          <w:lang w:val="en-US" w:eastAsia="zh-CN"/>
        </w:rPr>
        <w:t>公司</w:t>
      </w:r>
      <w:r>
        <w:rPr>
          <w:rFonts w:hint="eastAsia"/>
          <w:color w:val="FF0000"/>
          <w:sz w:val="24"/>
          <w:szCs w:val="24"/>
        </w:rPr>
        <w:t>必须在深圳医用耗材阳光交易和监管平台内备案</w:t>
      </w:r>
      <w:r>
        <w:rPr>
          <w:rFonts w:hint="eastAsia"/>
          <w:color w:val="FF0000"/>
          <w:sz w:val="24"/>
          <w:szCs w:val="24"/>
          <w:lang w:eastAsia="zh-CN"/>
        </w:rPr>
        <w:t>，</w:t>
      </w:r>
      <w:r>
        <w:rPr>
          <w:rFonts w:hint="eastAsia"/>
          <w:color w:val="FF0000"/>
          <w:sz w:val="24"/>
          <w:szCs w:val="24"/>
        </w:rPr>
        <w:t>且所投产品需在深圳医用耗材阳光交易和监管平台内挂网</w:t>
      </w:r>
      <w:r>
        <w:rPr>
          <w:rFonts w:hint="eastAsia"/>
          <w:color w:val="FF0000"/>
          <w:sz w:val="24"/>
          <w:szCs w:val="24"/>
          <w:lang w:eastAsia="zh-CN"/>
        </w:rPr>
        <w:t>。</w:t>
      </w:r>
    </w:p>
    <w:p>
      <w:pPr>
        <w:numPr>
          <w:ilvl w:val="0"/>
          <w:numId w:val="1"/>
        </w:numPr>
        <w:rPr>
          <w:rFonts w:hint="eastAsia"/>
          <w:color w:val="FF0000"/>
          <w:sz w:val="24"/>
          <w:szCs w:val="24"/>
        </w:rPr>
      </w:pPr>
      <w:r>
        <w:rPr>
          <w:rFonts w:hint="eastAsia"/>
          <w:color w:val="FF0000"/>
          <w:sz w:val="24"/>
          <w:szCs w:val="24"/>
          <w:lang w:val="en-US" w:eastAsia="zh-CN"/>
        </w:rPr>
        <w:t>中标产品需在</w:t>
      </w:r>
      <w:r>
        <w:rPr>
          <w:rFonts w:hint="eastAsia"/>
          <w:color w:val="FF0000"/>
          <w:sz w:val="24"/>
          <w:szCs w:val="24"/>
        </w:rPr>
        <w:t>深圳医用耗材阳光平台</w:t>
      </w:r>
      <w:r>
        <w:rPr>
          <w:rFonts w:hint="eastAsia"/>
          <w:color w:val="FF0000"/>
          <w:sz w:val="24"/>
          <w:szCs w:val="24"/>
          <w:lang w:val="en-US" w:eastAsia="zh-CN"/>
        </w:rPr>
        <w:t>线上</w:t>
      </w:r>
      <w:r>
        <w:rPr>
          <w:rFonts w:hint="eastAsia"/>
          <w:color w:val="FF0000"/>
          <w:sz w:val="24"/>
          <w:szCs w:val="24"/>
        </w:rPr>
        <w:t>交易</w:t>
      </w:r>
      <w:r>
        <w:rPr>
          <w:rFonts w:hint="eastAsia"/>
          <w:color w:val="FF0000"/>
          <w:sz w:val="24"/>
          <w:szCs w:val="24"/>
          <w:lang w:eastAsia="zh-CN"/>
        </w:rPr>
        <w:t>，</w:t>
      </w:r>
      <w:r>
        <w:rPr>
          <w:rFonts w:hint="eastAsia"/>
          <w:color w:val="FF0000"/>
          <w:sz w:val="24"/>
          <w:szCs w:val="24"/>
          <w:lang w:val="en-US" w:eastAsia="zh-CN"/>
        </w:rPr>
        <w:t>且中标价格不能超过该平台的参考限价/中选价</w:t>
      </w:r>
      <w:r>
        <w:rPr>
          <w:rFonts w:hint="eastAsia"/>
          <w:color w:val="FF0000"/>
          <w:sz w:val="24"/>
          <w:szCs w:val="24"/>
        </w:rPr>
        <w:t>（须提供备案及产品挂网信息截图并加盖投标人公章）</w:t>
      </w:r>
      <w:r>
        <w:rPr>
          <w:rFonts w:hint="eastAsia"/>
          <w:color w:val="FF0000"/>
          <w:sz w:val="24"/>
          <w:szCs w:val="24"/>
          <w:lang w:eastAsia="zh-CN"/>
        </w:rPr>
        <w:t>。</w:t>
      </w:r>
    </w:p>
    <w:p>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w:t>
      </w:r>
      <w:bookmarkStart w:id="0" w:name="_GoBack"/>
      <w:bookmarkEnd w:id="0"/>
      <w:r>
        <w:rPr>
          <w:rFonts w:hint="eastAsia"/>
          <w:sz w:val="24"/>
          <w:szCs w:val="24"/>
        </w:rPr>
        <w:t>该产品不作为医疗器械管理界定的相关文件，以及由生产厂家出具的产品说明书，原件备查。</w:t>
      </w:r>
    </w:p>
    <w:p>
      <w:pPr>
        <w:numPr>
          <w:ilvl w:val="0"/>
          <w:numId w:val="0"/>
        </w:numPr>
        <w:rPr>
          <w:rFonts w:hint="eastAsia"/>
          <w:sz w:val="24"/>
          <w:szCs w:val="24"/>
          <w:lang w:val="en-US" w:eastAsia="zh-CN"/>
        </w:rPr>
      </w:pPr>
    </w:p>
    <w:p>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pPr>
        <w:rPr>
          <w:sz w:val="24"/>
          <w:szCs w:val="24"/>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11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37"/>
        <w:gridCol w:w="851"/>
        <w:gridCol w:w="1134"/>
        <w:gridCol w:w="85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产品名称（注册证名称）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color w:val="FF0000"/>
                <w:szCs w:val="21"/>
                <w:lang w:eastAsia="zh-CN"/>
              </w:rPr>
              <w:t>阳光平台代码</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品牌及规格型号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包装规格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报价单位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目前在用二甲以上医院客户名单</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二甲以上医院供货价格</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pPr>
        <w:pStyle w:val="2"/>
        <w:ind w:firstLine="207" w:firstLineChars="98"/>
        <w:rPr>
          <w:rFonts w:ascii="Times New Roman" w:hAnsi="Times New Roman"/>
          <w:b/>
          <w:color w:val="000000"/>
        </w:rPr>
      </w:pPr>
      <w:r>
        <w:rPr>
          <w:rFonts w:hint="eastAsia" w:ascii="Times New Roman" w:hAnsi="Times New Roman"/>
          <w:b/>
          <w:color w:val="000000"/>
        </w:rPr>
        <w:t>产品名称：</w:t>
      </w:r>
    </w:p>
    <w:tbl>
      <w:tblPr>
        <w:tblStyle w:val="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序号</w:t>
            </w:r>
          </w:p>
        </w:tc>
        <w:tc>
          <w:tcPr>
            <w:tcW w:w="1716"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b/>
                <w:color w:val="000000"/>
                <w:lang w:eastAsia="zh-CN"/>
              </w:rPr>
            </w:pPr>
            <w:r>
              <w:rPr>
                <w:rFonts w:hint="eastAsia"/>
                <w:b/>
                <w:color w:val="000000"/>
              </w:rPr>
              <w:t>招标规格</w:t>
            </w:r>
            <w:r>
              <w:rPr>
                <w:b/>
                <w:color w:val="000000"/>
              </w:rPr>
              <w:t>/</w:t>
            </w:r>
            <w:r>
              <w:rPr>
                <w:rFonts w:hint="eastAsia"/>
                <w:b/>
                <w:color w:val="000000"/>
                <w:lang w:eastAsia="zh-CN"/>
              </w:rPr>
              <w:t>型号</w:t>
            </w:r>
          </w:p>
        </w:tc>
        <w:tc>
          <w:tcPr>
            <w:tcW w:w="3207"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b/>
                <w:color w:val="000000"/>
                <w:lang w:val="en-US" w:eastAsia="zh-CN"/>
              </w:rPr>
            </w:pPr>
            <w:r>
              <w:rPr>
                <w:rFonts w:hint="eastAsia"/>
                <w:b/>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15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1</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2</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3</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4</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5</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6</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7</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8</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numPr>
          <w:ilvl w:val="0"/>
          <w:numId w:val="2"/>
        </w:numPr>
        <w:spacing w:after="60"/>
        <w:ind w:firstLine="2811" w:firstLineChars="1000"/>
        <w:jc w:val="both"/>
        <w:rPr>
          <w:rFonts w:hint="eastAsia" w:cs="Arial"/>
          <w:b/>
          <w:color w:val="000000"/>
          <w:sz w:val="28"/>
          <w:szCs w:val="28"/>
          <w:lang w:eastAsia="zh-CN"/>
        </w:rPr>
      </w:pPr>
      <w:r>
        <w:rPr>
          <w:rFonts w:hint="eastAsia" w:cs="Arial"/>
          <w:b/>
          <w:color w:val="000000"/>
          <w:sz w:val="28"/>
          <w:szCs w:val="28"/>
          <w:lang w:eastAsia="zh-CN"/>
        </w:rPr>
        <w:t>商务情况偏离表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5130"/>
        <w:gridCol w:w="88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序号</w:t>
            </w:r>
          </w:p>
        </w:tc>
        <w:tc>
          <w:tcPr>
            <w:tcW w:w="5130" w:type="dxa"/>
          </w:tcPr>
          <w:p>
            <w:pPr>
              <w:jc w:val="center"/>
              <w:rPr>
                <w:rFonts w:hint="eastAsia"/>
                <w:b/>
                <w:color w:val="000000"/>
                <w:lang w:eastAsia="zh-CN"/>
              </w:rPr>
            </w:pPr>
          </w:p>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商务条款</w:t>
            </w:r>
          </w:p>
        </w:tc>
        <w:tc>
          <w:tcPr>
            <w:tcW w:w="882" w:type="dxa"/>
          </w:tcPr>
          <w:p>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1008"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09" w:type="dxa"/>
          </w:tcPr>
          <w:p>
            <w:pPr>
              <w:jc w:val="center"/>
              <w:rPr>
                <w:rFonts w:hint="eastAsia"/>
                <w:color w:val="000000"/>
                <w:lang w:val="en-US" w:eastAsia="zh-CN"/>
              </w:rPr>
            </w:pPr>
          </w:p>
          <w:p>
            <w:pPr>
              <w:jc w:val="center"/>
              <w:rPr>
                <w:rFonts w:hint="eastAsia"/>
                <w:color w:val="000000"/>
                <w:lang w:val="en-US" w:eastAsia="zh-CN"/>
              </w:rPr>
            </w:pPr>
          </w:p>
          <w:p>
            <w:pPr>
              <w:jc w:val="center"/>
              <w:rPr>
                <w:rFonts w:hint="eastAsia"/>
                <w:color w:val="000000"/>
                <w:lang w:val="en-US" w:eastAsia="zh-CN"/>
              </w:rPr>
            </w:pPr>
          </w:p>
          <w:p>
            <w:pPr>
              <w:jc w:val="center"/>
              <w:rPr>
                <w:rFonts w:hint="default"/>
                <w:color w:val="000000"/>
                <w:lang w:val="en-US" w:eastAsia="zh-CN"/>
              </w:rPr>
            </w:pPr>
            <w:r>
              <w:rPr>
                <w:rFonts w:hint="eastAsia"/>
                <w:color w:val="000000"/>
                <w:lang w:val="en-US" w:eastAsia="zh-CN"/>
              </w:rPr>
              <w:t>1</w:t>
            </w:r>
          </w:p>
        </w:tc>
        <w:tc>
          <w:tcPr>
            <w:tcW w:w="5130" w:type="dxa"/>
          </w:tcPr>
          <w:p>
            <w:pPr>
              <w:rPr>
                <w:rFonts w:asciiTheme="minorEastAsia" w:hAnsiTheme="minorEastAsia" w:cstheme="minorEastAsia"/>
                <w:szCs w:val="21"/>
              </w:rPr>
            </w:pPr>
          </w:p>
          <w:p>
            <w:pPr>
              <w:numPr>
                <w:ilvl w:val="0"/>
                <w:numId w:val="0"/>
              </w:numPr>
              <w:rPr>
                <w:rFonts w:hint="eastAsia"/>
                <w:lang w:eastAsia="zh-CN"/>
              </w:rPr>
            </w:pPr>
            <w:r>
              <w:rPr>
                <w:rFonts w:hint="eastAsia" w:asciiTheme="minorEastAsia" w:hAnsiTheme="minorEastAsia" w:cstheme="minorEastAsia"/>
                <w:szCs w:val="21"/>
              </w:rPr>
              <w:t xml:space="preserve"> </w:t>
            </w: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2</w:t>
            </w:r>
          </w:p>
        </w:tc>
        <w:tc>
          <w:tcPr>
            <w:tcW w:w="5130" w:type="dxa"/>
          </w:tcPr>
          <w:p>
            <w:pPr>
              <w:numPr>
                <w:ilvl w:val="0"/>
                <w:numId w:val="0"/>
              </w:numPr>
              <w:rPr>
                <w:rFonts w:hint="eastAsia"/>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3</w:t>
            </w:r>
          </w:p>
        </w:tc>
        <w:tc>
          <w:tcPr>
            <w:tcW w:w="5130" w:type="dxa"/>
          </w:tcPr>
          <w:p>
            <w:pPr>
              <w:numPr>
                <w:ilvl w:val="0"/>
                <w:numId w:val="0"/>
              </w:numPr>
              <w:spacing w:after="60"/>
              <w:jc w:val="both"/>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4</w:t>
            </w:r>
          </w:p>
        </w:tc>
        <w:tc>
          <w:tcPr>
            <w:tcW w:w="5130" w:type="dxa"/>
          </w:tcPr>
          <w:p>
            <w:pPr>
              <w:numPr>
                <w:ilvl w:val="0"/>
                <w:numId w:val="0"/>
              </w:numPr>
              <w:rPr>
                <w:rFonts w:hint="eastAsia"/>
              </w:rPr>
            </w:pPr>
            <w:r>
              <w:rPr>
                <w:rFonts w:hint="eastAsia"/>
              </w:rPr>
              <w:t>投标人必须提供《医疗器械生产企业许可证》或《医疗器械经营企业许可证》扫描件）；</w:t>
            </w:r>
          </w:p>
          <w:p>
            <w:pPr>
              <w:rPr>
                <w:rFonts w:hint="eastAsia"/>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bl>
    <w:p>
      <w:pPr>
        <w:numPr>
          <w:ilvl w:val="0"/>
          <w:numId w:val="0"/>
        </w:numPr>
        <w:spacing w:after="60"/>
        <w:jc w:val="both"/>
        <w:rPr>
          <w:rFonts w:hint="eastAsia" w:cs="Arial"/>
          <w:b/>
          <w:color w:val="000000"/>
          <w:sz w:val="28"/>
          <w:szCs w:val="28"/>
          <w:lang w:eastAsia="zh-CN"/>
        </w:rPr>
      </w:pPr>
    </w:p>
    <w:p>
      <w:pPr>
        <w:spacing w:after="60"/>
        <w:ind w:firstLine="2811" w:firstLineChars="1000"/>
        <w:jc w:val="both"/>
        <w:rPr>
          <w:rFonts w:hint="eastAsia" w:cs="Arial"/>
          <w:b/>
          <w:color w:val="000000"/>
          <w:sz w:val="28"/>
          <w:szCs w:val="28"/>
        </w:rPr>
      </w:pPr>
    </w:p>
    <w:p>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b/>
          <w:color w:val="000000"/>
          <w:kern w:val="0"/>
          <w:sz w:val="28"/>
          <w:szCs w:val="28"/>
        </w:rPr>
      </w:pPr>
      <w:r>
        <w:rPr>
          <w:rFonts w:hint="eastAsia" w:cs="Arial"/>
          <w:b/>
          <w:color w:val="000000"/>
          <w:sz w:val="28"/>
          <w:szCs w:val="28"/>
          <w:lang w:eastAsia="zh-CN"/>
        </w:rPr>
        <w:t>四、</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right="-517" w:rightChars="-246"/>
        <w:jc w:val="both"/>
        <w:rPr>
          <w:rFonts w:ascii="宋体" w:hAnsi="宋体"/>
          <w:b/>
          <w:bCs/>
          <w:snapToGrid w:val="0"/>
          <w:kern w:val="0"/>
          <w:sz w:val="32"/>
          <w:szCs w:val="32"/>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snapToGrid w:val="0"/>
          <w:kern w:val="0"/>
          <w:sz w:val="32"/>
          <w:szCs w:val="32"/>
          <w:lang w:eastAsia="zh-CN"/>
        </w:rPr>
        <w:t>五、</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rPr>
          <w:rFonts w:ascii="宋体" w:hAnsi="宋体" w:cs="宋体"/>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EB273"/>
    <w:multiLevelType w:val="singleLevel"/>
    <w:tmpl w:val="8DAEB273"/>
    <w:lvl w:ilvl="0" w:tentative="0">
      <w:start w:val="3"/>
      <w:numFmt w:val="chineseCounting"/>
      <w:suff w:val="nothing"/>
      <w:lvlText w:val="%1、"/>
      <w:lvlJc w:val="left"/>
      <w:rPr>
        <w:rFonts w:hint="eastAsia"/>
      </w:rPr>
    </w:lvl>
  </w:abstractNum>
  <w:abstractNum w:abstractNumId="1">
    <w:nsid w:val="A00E2294"/>
    <w:multiLevelType w:val="singleLevel"/>
    <w:tmpl w:val="A00E22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6C27DB"/>
    <w:rsid w:val="46E84D7E"/>
    <w:rsid w:val="4E8E5256"/>
    <w:rsid w:val="56E36785"/>
    <w:rsid w:val="58AF7528"/>
    <w:rsid w:val="5A2F6381"/>
    <w:rsid w:val="5CAC08DD"/>
    <w:rsid w:val="5D045FFD"/>
    <w:rsid w:val="69E7776E"/>
    <w:rsid w:val="6B80006E"/>
    <w:rsid w:val="6DD15131"/>
    <w:rsid w:val="72AC65F9"/>
    <w:rsid w:val="7405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3031</Words>
  <Characters>3120</Characters>
  <Lines>31</Lines>
  <Paragraphs>8</Paragraphs>
  <TotalTime>15</TotalTime>
  <ScaleCrop>false</ScaleCrop>
  <LinksUpToDate>false</LinksUpToDate>
  <CharactersWithSpaces>3545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2023-07-03T08:42:03Z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6521665846B045CCB0665247E1C92FAF</vt:lpwstr>
  </property>
</Properties>
</file>