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3F374">
      <w:pPr>
        <w:snapToGrid w:val="0"/>
        <w:jc w:val="center"/>
        <w:rPr>
          <w:rFonts w:ascii="Times"/>
          <w:bCs/>
          <w:sz w:val="36"/>
          <w:szCs w:val="36"/>
          <w:highlight w:val="none"/>
        </w:rPr>
      </w:pPr>
      <w:bookmarkStart w:id="0" w:name="_top"/>
    </w:p>
    <w:bookmarkEnd w:id="0"/>
    <w:p w14:paraId="1041B42E">
      <w:pPr>
        <w:snapToGrid w:val="0"/>
        <w:jc w:val="center"/>
        <w:rPr>
          <w:rFonts w:ascii="Times"/>
          <w:bCs/>
          <w:sz w:val="36"/>
          <w:szCs w:val="36"/>
          <w:highlight w:val="none"/>
        </w:rPr>
      </w:pPr>
    </w:p>
    <w:p w14:paraId="2703B626">
      <w:pPr>
        <w:snapToGrid w:val="0"/>
        <w:jc w:val="center"/>
        <w:rPr>
          <w:rFonts w:ascii="Times"/>
          <w:bCs/>
          <w:sz w:val="36"/>
          <w:szCs w:val="36"/>
          <w:highlight w:val="none"/>
        </w:rPr>
      </w:pPr>
    </w:p>
    <w:p w14:paraId="257D5D23">
      <w:pPr>
        <w:snapToGrid w:val="0"/>
        <w:jc w:val="center"/>
        <w:rPr>
          <w:rFonts w:ascii="Times"/>
          <w:bCs/>
          <w:sz w:val="36"/>
          <w:szCs w:val="36"/>
          <w:highlight w:val="none"/>
        </w:rPr>
      </w:pPr>
    </w:p>
    <w:p w14:paraId="0AA24F1F">
      <w:pPr>
        <w:snapToGrid w:val="0"/>
        <w:jc w:val="center"/>
        <w:outlineLvl w:val="0"/>
        <w:rPr>
          <w:rFonts w:hint="eastAsia" w:hAnsi="宋体" w:eastAsia="宋体"/>
          <w:b/>
          <w:sz w:val="52"/>
          <w:szCs w:val="52"/>
          <w:highlight w:val="none"/>
          <w:lang w:eastAsia="zh-CN"/>
        </w:rPr>
      </w:pPr>
      <w:bookmarkStart w:id="1" w:name="_Toc30691"/>
      <w:bookmarkStart w:id="2" w:name="_Toc9818"/>
      <w:bookmarkStart w:id="3" w:name="_Toc5629"/>
      <w:r>
        <w:rPr>
          <w:rFonts w:hint="eastAsia" w:hAnsi="宋体"/>
          <w:b/>
          <w:sz w:val="52"/>
          <w:szCs w:val="52"/>
          <w:highlight w:val="none"/>
          <w:lang w:eastAsia="zh-CN"/>
        </w:rPr>
        <w:t>深圳市福田区第二人民医院</w:t>
      </w:r>
      <w:bookmarkEnd w:id="1"/>
      <w:bookmarkEnd w:id="2"/>
      <w:bookmarkEnd w:id="3"/>
    </w:p>
    <w:p w14:paraId="2D749527">
      <w:pPr>
        <w:snapToGrid w:val="0"/>
        <w:jc w:val="center"/>
        <w:rPr>
          <w:b/>
          <w:sz w:val="44"/>
          <w:szCs w:val="44"/>
          <w:highlight w:val="none"/>
        </w:rPr>
      </w:pPr>
      <w:r>
        <w:rPr>
          <w:rFonts w:hAnsi="宋体"/>
          <w:b/>
          <w:sz w:val="44"/>
          <w:szCs w:val="44"/>
          <w:highlight w:val="none"/>
        </w:rPr>
        <w:t>招标文件</w:t>
      </w:r>
    </w:p>
    <w:p w14:paraId="118B616B">
      <w:pPr>
        <w:jc w:val="center"/>
        <w:rPr>
          <w:sz w:val="30"/>
          <w:highlight w:val="none"/>
        </w:rPr>
      </w:pPr>
    </w:p>
    <w:p w14:paraId="6D62D9E2">
      <w:pPr>
        <w:jc w:val="center"/>
        <w:rPr>
          <w:sz w:val="30"/>
          <w:highlight w:val="none"/>
        </w:rPr>
      </w:pPr>
    </w:p>
    <w:p w14:paraId="4E9DD79C">
      <w:pPr>
        <w:jc w:val="center"/>
        <w:rPr>
          <w:sz w:val="30"/>
          <w:highlight w:val="none"/>
        </w:rPr>
      </w:pPr>
    </w:p>
    <w:p w14:paraId="0C2909DE">
      <w:pPr>
        <w:jc w:val="center"/>
        <w:rPr>
          <w:sz w:val="30"/>
          <w:highlight w:val="none"/>
        </w:rPr>
      </w:pPr>
    </w:p>
    <w:p w14:paraId="50A5792D">
      <w:pPr>
        <w:jc w:val="center"/>
        <w:rPr>
          <w:sz w:val="30"/>
          <w:highlight w:val="none"/>
        </w:rPr>
      </w:pPr>
    </w:p>
    <w:p w14:paraId="371A9782">
      <w:pPr>
        <w:jc w:val="center"/>
        <w:rPr>
          <w:sz w:val="30"/>
          <w:highlight w:val="none"/>
        </w:rPr>
      </w:pPr>
    </w:p>
    <w:p w14:paraId="72BB6AB8">
      <w:pPr>
        <w:pStyle w:val="54"/>
        <w:jc w:val="center"/>
        <w:rPr>
          <w:sz w:val="28"/>
          <w:highlight w:val="none"/>
        </w:rPr>
      </w:pPr>
    </w:p>
    <w:p w14:paraId="5726A8E2">
      <w:pPr>
        <w:jc w:val="center"/>
        <w:rPr>
          <w:sz w:val="30"/>
          <w:highlight w:val="none"/>
        </w:rPr>
      </w:pPr>
    </w:p>
    <w:p w14:paraId="087F05A7">
      <w:pPr>
        <w:tabs>
          <w:tab w:val="left" w:pos="2340"/>
        </w:tabs>
        <w:ind w:firstLine="321" w:firstLineChars="100"/>
        <w:jc w:val="center"/>
        <w:outlineLvl w:val="0"/>
        <w:rPr>
          <w:b/>
          <w:sz w:val="32"/>
          <w:szCs w:val="32"/>
          <w:highlight w:val="none"/>
        </w:rPr>
      </w:pPr>
      <w:bookmarkStart w:id="4" w:name="_Toc26712"/>
      <w:bookmarkStart w:id="5" w:name="_Toc15517"/>
      <w:bookmarkStart w:id="6" w:name="_Toc27736"/>
      <w:r>
        <w:rPr>
          <w:rFonts w:hAnsi="宋体"/>
          <w:b/>
          <w:sz w:val="32"/>
          <w:highlight w:val="none"/>
        </w:rPr>
        <w:t>项目名称：</w:t>
      </w:r>
      <w:r>
        <w:rPr>
          <w:rFonts w:hint="eastAsia" w:hAnsi="宋体"/>
          <w:b/>
          <w:sz w:val="32"/>
          <w:highlight w:val="none"/>
          <w:u w:val="single"/>
          <w:lang w:eastAsia="zh-CN"/>
        </w:rPr>
        <w:t>深圳市福田区第二人民医院</w:t>
      </w:r>
      <w:r>
        <w:rPr>
          <w:rFonts w:hint="eastAsia" w:hAnsi="宋体"/>
          <w:b/>
          <w:sz w:val="32"/>
          <w:highlight w:val="none"/>
          <w:u w:val="single"/>
        </w:rPr>
        <w:t>医疗责任保险项目</w:t>
      </w:r>
      <w:bookmarkEnd w:id="4"/>
      <w:bookmarkEnd w:id="5"/>
      <w:bookmarkEnd w:id="6"/>
    </w:p>
    <w:p w14:paraId="1052354B">
      <w:pPr>
        <w:jc w:val="center"/>
        <w:rPr>
          <w:bCs/>
          <w:sz w:val="32"/>
          <w:highlight w:val="none"/>
        </w:rPr>
      </w:pPr>
    </w:p>
    <w:p w14:paraId="34D6B151">
      <w:pPr>
        <w:jc w:val="center"/>
        <w:rPr>
          <w:bCs/>
          <w:sz w:val="32"/>
          <w:highlight w:val="none"/>
        </w:rPr>
      </w:pPr>
    </w:p>
    <w:p w14:paraId="1AD1C4DF">
      <w:pPr>
        <w:jc w:val="center"/>
        <w:rPr>
          <w:bCs/>
          <w:sz w:val="32"/>
          <w:highlight w:val="none"/>
        </w:rPr>
      </w:pPr>
    </w:p>
    <w:p w14:paraId="1915CDF4">
      <w:pPr>
        <w:jc w:val="center"/>
        <w:rPr>
          <w:bCs/>
          <w:sz w:val="32"/>
          <w:highlight w:val="none"/>
        </w:rPr>
      </w:pPr>
    </w:p>
    <w:p w14:paraId="0B675817">
      <w:pPr>
        <w:jc w:val="center"/>
        <w:rPr>
          <w:bCs/>
          <w:sz w:val="32"/>
          <w:highlight w:val="none"/>
        </w:rPr>
      </w:pPr>
    </w:p>
    <w:p w14:paraId="6220FE44">
      <w:pPr>
        <w:jc w:val="center"/>
        <w:rPr>
          <w:bCs/>
          <w:sz w:val="32"/>
          <w:highlight w:val="none"/>
        </w:rPr>
      </w:pPr>
    </w:p>
    <w:p w14:paraId="264AEB61">
      <w:pPr>
        <w:jc w:val="center"/>
        <w:rPr>
          <w:bCs/>
          <w:sz w:val="32"/>
          <w:highlight w:val="none"/>
        </w:rPr>
      </w:pPr>
    </w:p>
    <w:p w14:paraId="66307D9B">
      <w:pPr>
        <w:keepNext w:val="0"/>
        <w:keepLines w:val="0"/>
        <w:pageBreakBefore w:val="0"/>
        <w:widowControl w:val="0"/>
        <w:kinsoku/>
        <w:wordWrap/>
        <w:overflowPunct/>
        <w:topLinePunct w:val="0"/>
        <w:autoSpaceDE/>
        <w:autoSpaceDN/>
        <w:bidi w:val="0"/>
        <w:adjustRightInd/>
        <w:snapToGrid/>
        <w:spacing w:after="926" w:afterLines="200"/>
        <w:jc w:val="center"/>
        <w:textAlignment w:val="auto"/>
        <w:outlineLvl w:val="0"/>
        <w:rPr>
          <w:rFonts w:hint="eastAsia" w:ascii="宋体" w:hAnsi="宋体" w:eastAsia="宋体"/>
          <w:b/>
          <w:bCs w:val="0"/>
          <w:sz w:val="32"/>
          <w:szCs w:val="32"/>
          <w:highlight w:val="none"/>
          <w:lang w:eastAsia="zh-CN"/>
        </w:rPr>
      </w:pPr>
      <w:bookmarkStart w:id="7" w:name="_Toc20297"/>
      <w:bookmarkStart w:id="8" w:name="_Toc9312"/>
      <w:bookmarkStart w:id="9" w:name="_Toc11418"/>
      <w:r>
        <w:rPr>
          <w:rFonts w:hint="eastAsia" w:ascii="宋体" w:hAnsi="宋体"/>
          <w:b/>
          <w:bCs w:val="0"/>
          <w:sz w:val="32"/>
          <w:szCs w:val="32"/>
          <w:highlight w:val="none"/>
          <w:lang w:eastAsia="zh-CN"/>
        </w:rPr>
        <w:t>深圳市福田区第二人民医院</w:t>
      </w:r>
      <w:bookmarkEnd w:id="7"/>
      <w:bookmarkEnd w:id="8"/>
      <w:bookmarkEnd w:id="9"/>
    </w:p>
    <w:p w14:paraId="57C3D961">
      <w:pPr>
        <w:jc w:val="center"/>
        <w:rPr>
          <w:rFonts w:ascii="宋体" w:hAnsi="宋体"/>
          <w:b/>
          <w:bCs w:val="0"/>
          <w:sz w:val="32"/>
          <w:szCs w:val="32"/>
          <w:highlight w:val="none"/>
        </w:rPr>
      </w:pPr>
      <w:r>
        <w:rPr>
          <w:rFonts w:ascii="宋体" w:hAnsi="宋体"/>
          <w:b/>
          <w:bCs w:val="0"/>
          <w:sz w:val="32"/>
          <w:szCs w:val="32"/>
          <w:highlight w:val="none"/>
        </w:rPr>
        <w:t>二○</w:t>
      </w:r>
      <w:r>
        <w:rPr>
          <w:rFonts w:hint="eastAsia" w:ascii="宋体" w:hAnsi="宋体"/>
          <w:b/>
          <w:bCs w:val="0"/>
          <w:sz w:val="32"/>
          <w:szCs w:val="32"/>
          <w:highlight w:val="none"/>
        </w:rPr>
        <w:t>二</w:t>
      </w:r>
      <w:r>
        <w:rPr>
          <w:rFonts w:hint="eastAsia" w:ascii="宋体" w:hAnsi="宋体"/>
          <w:b/>
          <w:bCs w:val="0"/>
          <w:sz w:val="32"/>
          <w:szCs w:val="32"/>
          <w:highlight w:val="none"/>
          <w:lang w:val="en-US" w:eastAsia="zh-CN"/>
        </w:rPr>
        <w:t>三</w:t>
      </w:r>
      <w:r>
        <w:rPr>
          <w:rFonts w:ascii="宋体" w:hAnsi="宋体"/>
          <w:b/>
          <w:bCs w:val="0"/>
          <w:sz w:val="32"/>
          <w:szCs w:val="32"/>
          <w:highlight w:val="none"/>
        </w:rPr>
        <w:t>年</w:t>
      </w:r>
      <w:r>
        <w:rPr>
          <w:rFonts w:hint="eastAsia" w:ascii="宋体" w:hAnsi="宋体"/>
          <w:b/>
          <w:bCs w:val="0"/>
          <w:sz w:val="32"/>
          <w:szCs w:val="32"/>
          <w:highlight w:val="none"/>
          <w:lang w:eastAsia="zh-CN"/>
        </w:rPr>
        <w:t>二</w:t>
      </w:r>
      <w:r>
        <w:rPr>
          <w:rFonts w:ascii="宋体" w:hAnsi="宋体"/>
          <w:b/>
          <w:bCs w:val="0"/>
          <w:sz w:val="32"/>
          <w:szCs w:val="32"/>
          <w:highlight w:val="none"/>
        </w:rPr>
        <w:t>月</w:t>
      </w:r>
      <w:r>
        <w:rPr>
          <w:rFonts w:hint="eastAsia" w:ascii="宋体" w:hAnsi="宋体"/>
          <w:b/>
          <w:bCs w:val="0"/>
          <w:sz w:val="32"/>
          <w:szCs w:val="32"/>
          <w:highlight w:val="none"/>
          <w:lang w:eastAsia="zh-CN"/>
        </w:rPr>
        <w:t>十三</w:t>
      </w:r>
      <w:r>
        <w:rPr>
          <w:rFonts w:ascii="宋体" w:hAnsi="宋体"/>
          <w:b/>
          <w:bCs w:val="0"/>
          <w:sz w:val="32"/>
          <w:szCs w:val="32"/>
          <w:highlight w:val="none"/>
        </w:rPr>
        <w:t>日</w:t>
      </w:r>
    </w:p>
    <w:p w14:paraId="4FF5558D">
      <w:pPr>
        <w:rPr>
          <w:sz w:val="28"/>
          <w:highlight w:val="none"/>
        </w:rPr>
        <w:sectPr>
          <w:headerReference r:id="rId4" w:type="first"/>
          <w:footerReference r:id="rId6" w:type="first"/>
          <w:headerReference r:id="rId3" w:type="default"/>
          <w:footerReference r:id="rId5" w:type="default"/>
          <w:pgSz w:w="11907" w:h="16840"/>
          <w:pgMar w:top="1169" w:right="1080" w:bottom="1440" w:left="1080" w:header="851" w:footer="992" w:gutter="0"/>
          <w:cols w:space="720" w:num="1"/>
          <w:titlePg/>
          <w:docGrid w:linePitch="462" w:charSpace="0"/>
        </w:sectPr>
      </w:pPr>
    </w:p>
    <w:sdt>
      <w:sdtPr>
        <w:rPr>
          <w:rFonts w:ascii="宋体" w:hAnsi="宋体" w:eastAsia="宋体" w:cs="Times New Roman"/>
          <w:kern w:val="2"/>
          <w:sz w:val="21"/>
          <w:szCs w:val="24"/>
          <w:highlight w:val="none"/>
          <w:lang w:val="en-US" w:eastAsia="zh-CN" w:bidi="ar-SA"/>
        </w:rPr>
        <w:id w:val="147465993"/>
        <w15:color w:val="DBDBDB"/>
        <w:docPartObj>
          <w:docPartGallery w:val="Table of Contents"/>
          <w:docPartUnique/>
        </w:docPartObj>
      </w:sdtPr>
      <w:sdtEndPr>
        <w:rPr>
          <w:rFonts w:ascii="宋体" w:hAnsi="宋体" w:eastAsia="宋体" w:cs="Times New Roman"/>
          <w:kern w:val="2"/>
          <w:sz w:val="21"/>
          <w:szCs w:val="24"/>
          <w:highlight w:val="none"/>
          <w:lang w:val="en-US" w:eastAsia="zh-CN" w:bidi="ar-SA"/>
        </w:rPr>
      </w:sdtEndPr>
      <w:sdtContent>
        <w:p w14:paraId="00E43058">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14:paraId="2AEC910C">
          <w:pPr>
            <w:pStyle w:val="92"/>
            <w:keepNext w:val="0"/>
            <w:keepLines w:val="0"/>
            <w:pageBreakBefore w:val="0"/>
            <w:widowControl/>
            <w:tabs>
              <w:tab w:val="right" w:leader="dot" w:pos="9747"/>
            </w:tabs>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sz w:val="28"/>
              <w:szCs w:val="28"/>
              <w:highlight w:val="none"/>
            </w:rPr>
          </w:pPr>
          <w:r>
            <w:rPr>
              <w:highlight w:val="none"/>
            </w:rPr>
            <w:fldChar w:fldCharType="begin"/>
          </w:r>
          <w:r>
            <w:rPr>
              <w:highlight w:val="none"/>
            </w:rPr>
            <w:instrText xml:space="preserve">TOC \o "1-1" \h \u </w:instrText>
          </w:r>
          <w:r>
            <w:rPr>
              <w:highlight w:val="none"/>
            </w:rPr>
            <w:fldChar w:fldCharType="separate"/>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_Toc9872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一、投标邀请函</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_Toc9872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- 1 -</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14:paraId="2D4F7569">
          <w:pPr>
            <w:pStyle w:val="92"/>
            <w:keepNext w:val="0"/>
            <w:keepLines w:val="0"/>
            <w:pageBreakBefore w:val="0"/>
            <w:widowControl/>
            <w:tabs>
              <w:tab w:val="right" w:leader="dot" w:pos="9747"/>
            </w:tabs>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_Toc18951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二、招标项目需求</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_Toc18951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- 3 -</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14:paraId="67A1FFB4">
          <w:pPr>
            <w:pStyle w:val="92"/>
            <w:keepNext w:val="0"/>
            <w:keepLines w:val="0"/>
            <w:pageBreakBefore w:val="0"/>
            <w:widowControl/>
            <w:tabs>
              <w:tab w:val="right" w:leader="dot" w:pos="9747"/>
            </w:tabs>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_Toc7725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三、投标文件</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_Toc7725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- 4 -</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14:paraId="1744D6E6">
          <w:pPr>
            <w:pStyle w:val="92"/>
            <w:keepNext w:val="0"/>
            <w:keepLines w:val="0"/>
            <w:pageBreakBefore w:val="0"/>
            <w:widowControl/>
            <w:tabs>
              <w:tab w:val="right" w:leader="dot" w:pos="9747"/>
            </w:tabs>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_Toc30406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四、开标及评标</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_Toc30406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- 5 -</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14:paraId="2A58F9E6">
          <w:pPr>
            <w:pStyle w:val="92"/>
            <w:keepNext w:val="0"/>
            <w:keepLines w:val="0"/>
            <w:pageBreakBefore w:val="0"/>
            <w:widowControl/>
            <w:tabs>
              <w:tab w:val="right" w:leader="dot" w:pos="9747"/>
            </w:tabs>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_Toc22141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五、签订合同</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_Toc22141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- 7 -</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14:paraId="71D84AA8">
          <w:pPr>
            <w:pStyle w:val="92"/>
            <w:keepNext w:val="0"/>
            <w:keepLines w:val="0"/>
            <w:pageBreakBefore w:val="0"/>
            <w:widowControl/>
            <w:tabs>
              <w:tab w:val="right" w:leader="dot" w:pos="9747"/>
            </w:tabs>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_Toc1685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六、保险协议</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_Toc1685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- 8 -</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14:paraId="5973E05D">
          <w:pPr>
            <w:pStyle w:val="92"/>
            <w:keepNext w:val="0"/>
            <w:keepLines w:val="0"/>
            <w:pageBreakBefore w:val="0"/>
            <w:widowControl/>
            <w:tabs>
              <w:tab w:val="right" w:leader="dot" w:pos="9747"/>
            </w:tabs>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_Toc11984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七、招标人接受和拒绝投标的权利</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_Toc11984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- 26 -</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14:paraId="765E6B04">
          <w:pPr>
            <w:pStyle w:val="92"/>
            <w:keepNext w:val="0"/>
            <w:keepLines w:val="0"/>
            <w:pageBreakBefore w:val="0"/>
            <w:widowControl/>
            <w:tabs>
              <w:tab w:val="right" w:leader="dot" w:pos="9747"/>
            </w:tabs>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_Toc15505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八、腐败和欺诈</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_Toc15505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- 27 -</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14:paraId="01C30844">
          <w:pPr>
            <w:pStyle w:val="92"/>
            <w:keepNext w:val="0"/>
            <w:keepLines w:val="0"/>
            <w:pageBreakBefore w:val="0"/>
            <w:widowControl/>
            <w:tabs>
              <w:tab w:val="right" w:leader="dot" w:pos="9747"/>
            </w:tabs>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_Toc3585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九、未尽事项</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_Toc3585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- 27 -</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14:paraId="6F3F435D">
          <w:pPr>
            <w:pStyle w:val="92"/>
            <w:keepNext w:val="0"/>
            <w:keepLines w:val="0"/>
            <w:pageBreakBefore w:val="0"/>
            <w:widowControl/>
            <w:tabs>
              <w:tab w:val="right" w:leader="dot" w:pos="9747"/>
            </w:tabs>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_Toc21766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十、投标文件格式、附件</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_Toc21766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- 28 -</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14:paraId="09F6832C">
          <w:pPr>
            <w:pStyle w:val="92"/>
            <w:keepNext w:val="0"/>
            <w:keepLines w:val="0"/>
            <w:pageBreakBefore w:val="0"/>
            <w:widowControl/>
            <w:tabs>
              <w:tab w:val="right" w:leader="dot" w:pos="9747"/>
            </w:tabs>
            <w:kinsoku/>
            <w:wordWrap/>
            <w:overflowPunct/>
            <w:topLinePunct w:val="0"/>
            <w:autoSpaceDE/>
            <w:autoSpaceDN/>
            <w:bidi w:val="0"/>
            <w:adjustRightInd/>
            <w:snapToGrid/>
            <w:spacing w:line="400" w:lineRule="exact"/>
            <w:ind w:left="600" w:leftChars="25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_Toc16106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附件1.投标人资格证明文件</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_Toc16106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- 30 -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068283E">
          <w:pPr>
            <w:pStyle w:val="92"/>
            <w:keepNext w:val="0"/>
            <w:keepLines w:val="0"/>
            <w:pageBreakBefore w:val="0"/>
            <w:widowControl/>
            <w:tabs>
              <w:tab w:val="right" w:leader="dot" w:pos="9747"/>
            </w:tabs>
            <w:kinsoku/>
            <w:wordWrap/>
            <w:overflowPunct/>
            <w:topLinePunct w:val="0"/>
            <w:autoSpaceDE/>
            <w:autoSpaceDN/>
            <w:bidi w:val="0"/>
            <w:adjustRightInd/>
            <w:snapToGrid/>
            <w:spacing w:line="400" w:lineRule="exact"/>
            <w:ind w:left="600" w:leftChars="25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_Toc16113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附件2.投标函</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_Toc16113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- 31 -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58E19A3">
          <w:pPr>
            <w:pStyle w:val="92"/>
            <w:keepNext w:val="0"/>
            <w:keepLines w:val="0"/>
            <w:pageBreakBefore w:val="0"/>
            <w:widowControl/>
            <w:tabs>
              <w:tab w:val="right" w:leader="dot" w:pos="9747"/>
            </w:tabs>
            <w:kinsoku/>
            <w:wordWrap/>
            <w:overflowPunct/>
            <w:topLinePunct w:val="0"/>
            <w:autoSpaceDE/>
            <w:autoSpaceDN/>
            <w:bidi w:val="0"/>
            <w:adjustRightInd/>
            <w:snapToGrid/>
            <w:spacing w:line="400" w:lineRule="exact"/>
            <w:ind w:left="600" w:leftChars="25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_Toc16646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附件3.投标人承诺函</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_Toc16646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- 32 -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118BBA9">
          <w:pPr>
            <w:pStyle w:val="92"/>
            <w:keepNext w:val="0"/>
            <w:keepLines w:val="0"/>
            <w:pageBreakBefore w:val="0"/>
            <w:widowControl/>
            <w:tabs>
              <w:tab w:val="right" w:leader="dot" w:pos="9747"/>
            </w:tabs>
            <w:kinsoku/>
            <w:wordWrap/>
            <w:overflowPunct/>
            <w:topLinePunct w:val="0"/>
            <w:autoSpaceDE/>
            <w:autoSpaceDN/>
            <w:bidi w:val="0"/>
            <w:adjustRightInd/>
            <w:snapToGrid/>
            <w:spacing w:line="400" w:lineRule="exact"/>
            <w:ind w:left="600" w:leftChars="25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fldChar w:fldCharType="begin"/>
          </w:r>
          <w:r>
            <w:rPr>
              <w:rFonts w:hint="eastAsia" w:ascii="宋体" w:hAnsi="宋体" w:eastAsia="宋体" w:cs="宋体"/>
              <w:b w:val="0"/>
              <w:bCs w:val="0"/>
              <w:sz w:val="28"/>
              <w:szCs w:val="28"/>
              <w:highlight w:val="none"/>
            </w:rPr>
            <w:instrText xml:space="preserve"> HYPERLINK \l _Toc22269 </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rPr>
            <w:t>附件4.投标人业务授权书</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fldChar w:fldCharType="begin"/>
          </w:r>
          <w:r>
            <w:rPr>
              <w:rFonts w:hint="eastAsia" w:ascii="宋体" w:hAnsi="宋体" w:eastAsia="宋体" w:cs="宋体"/>
              <w:b w:val="0"/>
              <w:bCs w:val="0"/>
              <w:sz w:val="28"/>
              <w:szCs w:val="28"/>
              <w:highlight w:val="none"/>
            </w:rPr>
            <w:instrText xml:space="preserve"> PAGEREF _Toc22269 \h </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rPr>
            <w:t>- 33 -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fldChar w:fldCharType="end"/>
          </w:r>
        </w:p>
        <w:p w14:paraId="3CB033FB">
          <w:pPr>
            <w:pStyle w:val="92"/>
            <w:keepNext w:val="0"/>
            <w:keepLines w:val="0"/>
            <w:pageBreakBefore w:val="0"/>
            <w:widowControl/>
            <w:tabs>
              <w:tab w:val="right" w:leader="dot" w:pos="9747"/>
            </w:tabs>
            <w:kinsoku/>
            <w:wordWrap/>
            <w:overflowPunct/>
            <w:topLinePunct w:val="0"/>
            <w:autoSpaceDE/>
            <w:autoSpaceDN/>
            <w:bidi w:val="0"/>
            <w:adjustRightInd/>
            <w:snapToGrid/>
            <w:spacing w:line="400" w:lineRule="exact"/>
            <w:ind w:left="600" w:leftChars="25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_Toc6248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附件5.保密承诺函</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_Toc6248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- 34 -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47DFBEF">
          <w:pPr>
            <w:pStyle w:val="92"/>
            <w:keepNext w:val="0"/>
            <w:keepLines w:val="0"/>
            <w:pageBreakBefore w:val="0"/>
            <w:widowControl/>
            <w:tabs>
              <w:tab w:val="right" w:leader="dot" w:pos="9747"/>
            </w:tabs>
            <w:kinsoku/>
            <w:wordWrap/>
            <w:overflowPunct/>
            <w:topLinePunct w:val="0"/>
            <w:autoSpaceDE/>
            <w:autoSpaceDN/>
            <w:bidi w:val="0"/>
            <w:adjustRightInd/>
            <w:snapToGrid/>
            <w:spacing w:line="400" w:lineRule="exact"/>
            <w:ind w:left="600" w:leftChars="25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_Toc614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附件6.保险协议偏离表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_Toc614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- 35 -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E15F3B8">
          <w:pPr>
            <w:pStyle w:val="92"/>
            <w:keepNext w:val="0"/>
            <w:keepLines w:val="0"/>
            <w:pageBreakBefore w:val="0"/>
            <w:widowControl/>
            <w:tabs>
              <w:tab w:val="right" w:leader="dot" w:pos="9747"/>
            </w:tabs>
            <w:kinsoku/>
            <w:wordWrap/>
            <w:overflowPunct/>
            <w:topLinePunct w:val="0"/>
            <w:autoSpaceDE/>
            <w:autoSpaceDN/>
            <w:bidi w:val="0"/>
            <w:adjustRightInd/>
            <w:snapToGrid/>
            <w:spacing w:line="400" w:lineRule="exact"/>
            <w:ind w:left="600" w:leftChars="25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_Toc20766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附件</w:t>
          </w:r>
          <w:r>
            <w:rPr>
              <w:rFonts w:hint="eastAsia" w:ascii="宋体" w:hAnsi="宋体" w:eastAsia="宋体" w:cs="宋体"/>
              <w:bCs/>
              <w:sz w:val="28"/>
              <w:szCs w:val="28"/>
              <w:highlight w:val="none"/>
              <w:lang w:val="en-US" w:eastAsia="zh-CN"/>
            </w:rPr>
            <w:t>7</w:t>
          </w:r>
          <w:r>
            <w:rPr>
              <w:rFonts w:hint="eastAsia" w:ascii="宋体" w:hAnsi="宋体" w:eastAsia="宋体" w:cs="宋体"/>
              <w:bCs/>
              <w:sz w:val="28"/>
              <w:szCs w:val="28"/>
              <w:highlight w:val="none"/>
            </w:rPr>
            <w:t>.投标报价表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_Toc20766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EF89553">
          <w:pPr>
            <w:pStyle w:val="92"/>
            <w:keepNext w:val="0"/>
            <w:keepLines w:val="0"/>
            <w:pageBreakBefore w:val="0"/>
            <w:widowControl/>
            <w:tabs>
              <w:tab w:val="right" w:leader="dot" w:pos="9747"/>
            </w:tabs>
            <w:kinsoku/>
            <w:wordWrap/>
            <w:overflowPunct/>
            <w:topLinePunct w:val="0"/>
            <w:autoSpaceDE/>
            <w:autoSpaceDN/>
            <w:bidi w:val="0"/>
            <w:adjustRightInd/>
            <w:snapToGrid/>
            <w:spacing w:line="400" w:lineRule="exact"/>
            <w:ind w:left="600" w:leftChars="25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_Toc14479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附件</w:t>
          </w:r>
          <w:r>
            <w:rPr>
              <w:rFonts w:hint="eastAsia" w:ascii="宋体" w:hAnsi="宋体" w:eastAsia="宋体" w:cs="宋体"/>
              <w:bCs/>
              <w:sz w:val="28"/>
              <w:szCs w:val="28"/>
              <w:highlight w:val="none"/>
              <w:lang w:val="en-US" w:eastAsia="zh-CN"/>
            </w:rPr>
            <w:t>8</w:t>
          </w:r>
          <w:r>
            <w:rPr>
              <w:rFonts w:hint="eastAsia" w:ascii="宋体" w:hAnsi="宋体" w:eastAsia="宋体" w:cs="宋体"/>
              <w:bCs/>
              <w:sz w:val="28"/>
              <w:szCs w:val="28"/>
              <w:highlight w:val="none"/>
            </w:rPr>
            <w:t>.佣金比例确认函</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_Toc14479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- 37 -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A3F251C">
          <w:pPr>
            <w:rPr>
              <w:highlight w:val="none"/>
            </w:rPr>
          </w:pPr>
          <w:r>
            <w:rPr>
              <w:highlight w:val="none"/>
            </w:rPr>
            <w:fldChar w:fldCharType="end"/>
          </w:r>
        </w:p>
      </w:sdtContent>
    </w:sdt>
    <w:p w14:paraId="577BF7B1">
      <w:pPr>
        <w:pStyle w:val="92"/>
        <w:tabs>
          <w:tab w:val="right" w:leader="dot" w:pos="9747"/>
        </w:tabs>
        <w:spacing w:line="312" w:lineRule="auto"/>
        <w:rPr>
          <w:sz w:val="28"/>
          <w:szCs w:val="28"/>
          <w:highlight w:val="none"/>
        </w:rPr>
      </w:pPr>
      <w:r>
        <w:rPr>
          <w:sz w:val="28"/>
          <w:szCs w:val="28"/>
          <w:highlight w:val="none"/>
        </w:rPr>
        <w:t xml:space="preserve"> </w:t>
      </w:r>
    </w:p>
    <w:p w14:paraId="63274347">
      <w:pPr>
        <w:rPr>
          <w:sz w:val="28"/>
          <w:szCs w:val="28"/>
          <w:highlight w:val="none"/>
        </w:rPr>
      </w:pPr>
      <w:r>
        <w:rPr>
          <w:sz w:val="28"/>
          <w:szCs w:val="28"/>
          <w:highlight w:val="none"/>
        </w:rPr>
        <w:br w:type="page"/>
      </w:r>
    </w:p>
    <w:p w14:paraId="33BAA211">
      <w:pPr>
        <w:pStyle w:val="92"/>
        <w:tabs>
          <w:tab w:val="right" w:leader="dot" w:pos="9747"/>
        </w:tabs>
        <w:spacing w:line="312" w:lineRule="auto"/>
        <w:rPr>
          <w:sz w:val="28"/>
          <w:szCs w:val="28"/>
          <w:highlight w:val="none"/>
        </w:rPr>
        <w:sectPr>
          <w:headerReference r:id="rId8" w:type="first"/>
          <w:footerReference r:id="rId10" w:type="first"/>
          <w:headerReference r:id="rId7" w:type="default"/>
          <w:footerReference r:id="rId9" w:type="default"/>
          <w:pgSz w:w="11907" w:h="16840"/>
          <w:pgMar w:top="1169" w:right="1080" w:bottom="1440" w:left="1080" w:header="851" w:footer="992" w:gutter="0"/>
          <w:pgNumType w:start="1"/>
          <w:cols w:space="720" w:num="1"/>
          <w:docGrid w:linePitch="462" w:charSpace="0"/>
        </w:sectPr>
      </w:pPr>
    </w:p>
    <w:p w14:paraId="3FD715F5">
      <w:pPr>
        <w:pStyle w:val="3"/>
        <w:bidi w:val="0"/>
        <w:rPr>
          <w:highlight w:val="none"/>
        </w:rPr>
      </w:pPr>
      <w:bookmarkStart w:id="10" w:name="_Toc20750"/>
      <w:bookmarkStart w:id="11" w:name="_Toc13590_WPSOffice_Level1"/>
      <w:bookmarkStart w:id="12" w:name="_Toc24442"/>
      <w:bookmarkStart w:id="13" w:name="_Toc26164"/>
      <w:bookmarkStart w:id="14" w:name="_Toc16631"/>
      <w:bookmarkStart w:id="15" w:name="_Toc15186"/>
      <w:bookmarkStart w:id="16" w:name="_Toc9872"/>
      <w:bookmarkStart w:id="17" w:name="_Toc26609"/>
      <w:r>
        <w:rPr>
          <w:rFonts w:hint="eastAsia"/>
          <w:highlight w:val="none"/>
        </w:rPr>
        <w:t>一、投标邀请函</w:t>
      </w:r>
      <w:bookmarkEnd w:id="10"/>
      <w:bookmarkEnd w:id="11"/>
      <w:bookmarkEnd w:id="12"/>
      <w:bookmarkEnd w:id="13"/>
      <w:bookmarkEnd w:id="14"/>
      <w:bookmarkEnd w:id="15"/>
      <w:bookmarkEnd w:id="16"/>
      <w:bookmarkEnd w:id="17"/>
    </w:p>
    <w:p w14:paraId="263E35B7">
      <w:pPr>
        <w:widowControl/>
        <w:spacing w:line="360" w:lineRule="auto"/>
        <w:ind w:firstLine="560" w:firstLineChars="200"/>
        <w:jc w:val="left"/>
        <w:rPr>
          <w:rFonts w:ascii="宋体" w:hAnsi="宋体"/>
          <w:bCs/>
          <w:sz w:val="28"/>
          <w:highlight w:val="none"/>
        </w:rPr>
      </w:pPr>
      <w:r>
        <w:rPr>
          <w:rFonts w:hint="eastAsia" w:ascii="宋体" w:hAnsi="宋体" w:cs="宋体"/>
          <w:kern w:val="0"/>
          <w:sz w:val="28"/>
          <w:highlight w:val="none"/>
        </w:rPr>
        <w:t>根据《深圳经济特区政府采购条例》和《深圳经济特区政府采购条例实施细则》的有关规定，我院对以下</w:t>
      </w:r>
      <w:r>
        <w:rPr>
          <w:rFonts w:hint="eastAsia" w:ascii="宋体" w:hAnsi="宋体"/>
          <w:sz w:val="28"/>
          <w:highlight w:val="none"/>
        </w:rPr>
        <w:t>项目</w:t>
      </w:r>
      <w:r>
        <w:rPr>
          <w:rFonts w:hint="eastAsia" w:ascii="宋体" w:hAnsi="宋体" w:cs="宋体"/>
          <w:kern w:val="0"/>
          <w:sz w:val="28"/>
          <w:highlight w:val="none"/>
        </w:rPr>
        <w:t>采取公开采购方式进行采购，</w:t>
      </w:r>
      <w:r>
        <w:rPr>
          <w:rFonts w:hint="eastAsia" w:ascii="宋体" w:hAnsi="宋体"/>
          <w:bCs/>
          <w:sz w:val="28"/>
          <w:highlight w:val="none"/>
        </w:rPr>
        <w:t>特邀请符合条件的合法企业参与投标。</w:t>
      </w:r>
    </w:p>
    <w:p w14:paraId="07F9C6E5">
      <w:pPr>
        <w:widowControl/>
        <w:spacing w:line="360" w:lineRule="auto"/>
        <w:ind w:firstLine="560" w:firstLineChars="200"/>
        <w:jc w:val="left"/>
        <w:rPr>
          <w:rFonts w:ascii="宋体" w:hAnsi="宋体"/>
          <w:bCs/>
          <w:sz w:val="28"/>
          <w:highlight w:val="none"/>
        </w:rPr>
      </w:pPr>
    </w:p>
    <w:p w14:paraId="09CD2375">
      <w:pPr>
        <w:widowControl/>
        <w:spacing w:line="360" w:lineRule="auto"/>
        <w:jc w:val="left"/>
        <w:outlineLvl w:val="1"/>
        <w:rPr>
          <w:rFonts w:ascii="宋体" w:hAnsi="宋体" w:cs="宋体"/>
          <w:kern w:val="0"/>
          <w:highlight w:val="none"/>
        </w:rPr>
      </w:pPr>
      <w:bookmarkStart w:id="18" w:name="_Toc31511"/>
      <w:bookmarkStart w:id="19" w:name="_Toc10532"/>
      <w:bookmarkStart w:id="20" w:name="_Toc683"/>
      <w:bookmarkStart w:id="21" w:name="_Toc14262"/>
      <w:bookmarkStart w:id="22" w:name="_Toc2607"/>
      <w:bookmarkStart w:id="23" w:name="_Toc21498"/>
      <w:r>
        <w:rPr>
          <w:rStyle w:val="64"/>
          <w:rFonts w:hint="eastAsia"/>
          <w:highlight w:val="none"/>
        </w:rPr>
        <w:t>（一）招标采购项目</w:t>
      </w:r>
      <w:bookmarkEnd w:id="18"/>
      <w:r>
        <w:rPr>
          <w:rFonts w:hint="eastAsia" w:ascii="宋体" w:hAnsi="宋体" w:cs="宋体"/>
          <w:b/>
          <w:kern w:val="0"/>
          <w:sz w:val="28"/>
          <w:highlight w:val="none"/>
        </w:rPr>
        <w:t>：</w:t>
      </w:r>
      <w:bookmarkEnd w:id="19"/>
      <w:bookmarkEnd w:id="20"/>
      <w:bookmarkEnd w:id="21"/>
      <w:bookmarkEnd w:id="22"/>
      <w:bookmarkEnd w:id="23"/>
    </w:p>
    <w:tbl>
      <w:tblPr>
        <w:tblStyle w:val="35"/>
        <w:tblW w:w="8781" w:type="dxa"/>
        <w:jc w:val="center"/>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Layout w:type="fixed"/>
        <w:tblCellMar>
          <w:top w:w="60" w:type="dxa"/>
          <w:left w:w="60" w:type="dxa"/>
          <w:bottom w:w="60" w:type="dxa"/>
          <w:right w:w="60" w:type="dxa"/>
        </w:tblCellMar>
      </w:tblPr>
      <w:tblGrid>
        <w:gridCol w:w="2135"/>
        <w:gridCol w:w="595"/>
        <w:gridCol w:w="2235"/>
        <w:gridCol w:w="843"/>
        <w:gridCol w:w="948"/>
        <w:gridCol w:w="2025"/>
      </w:tblGrid>
      <w:tr w14:paraId="4AF95BCB">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trHeight w:val="289" w:hRule="atLeast"/>
          <w:jc w:val="center"/>
        </w:trPr>
        <w:tc>
          <w:tcPr>
            <w:tcW w:w="2135" w:type="dxa"/>
            <w:tcBorders>
              <w:top w:val="single" w:color="auto" w:sz="4" w:space="0"/>
              <w:left w:val="single" w:color="auto" w:sz="4" w:space="0"/>
              <w:bottom w:val="outset" w:color="AAAAAA" w:sz="6" w:space="0"/>
              <w:right w:val="single" w:color="auto" w:sz="4" w:space="0"/>
            </w:tcBorders>
            <w:shd w:val="clear" w:color="auto" w:fill="auto"/>
            <w:vAlign w:val="center"/>
          </w:tcPr>
          <w:p w14:paraId="06BEA4FE">
            <w:pPr>
              <w:spacing w:before="100" w:beforeAutospacing="1" w:after="100" w:afterAutospacing="1"/>
              <w:jc w:val="center"/>
              <w:rPr>
                <w:rFonts w:hint="default" w:hAnsi="宋体" w:eastAsia="宋体"/>
                <w:b/>
                <w:bCs/>
                <w:kern w:val="0"/>
                <w:sz w:val="28"/>
                <w:highlight w:val="none"/>
                <w:lang w:val="en-US" w:eastAsia="zh-CN"/>
              </w:rPr>
            </w:pPr>
            <w:r>
              <w:rPr>
                <w:rFonts w:hint="eastAsia" w:hAnsi="宋体"/>
                <w:b/>
                <w:bCs/>
                <w:kern w:val="0"/>
                <w:sz w:val="28"/>
                <w:highlight w:val="none"/>
                <w:lang w:val="en-US" w:eastAsia="zh-CN"/>
              </w:rPr>
              <w:t>招标编号</w:t>
            </w:r>
          </w:p>
        </w:tc>
        <w:tc>
          <w:tcPr>
            <w:tcW w:w="2830" w:type="dxa"/>
            <w:gridSpan w:val="2"/>
            <w:tcBorders>
              <w:top w:val="single" w:color="auto" w:sz="4" w:space="0"/>
              <w:left w:val="single" w:color="auto" w:sz="4" w:space="0"/>
              <w:bottom w:val="outset" w:color="AAAAAA" w:sz="6" w:space="0"/>
              <w:right w:val="single" w:color="auto" w:sz="4" w:space="0"/>
            </w:tcBorders>
            <w:shd w:val="clear" w:color="auto" w:fill="auto"/>
            <w:vAlign w:val="center"/>
          </w:tcPr>
          <w:p w14:paraId="6537CF85">
            <w:pPr>
              <w:spacing w:before="100" w:beforeAutospacing="1" w:after="100" w:afterAutospacing="1"/>
              <w:jc w:val="center"/>
              <w:rPr>
                <w:b/>
                <w:bCs/>
                <w:kern w:val="0"/>
                <w:highlight w:val="none"/>
              </w:rPr>
            </w:pPr>
            <w:r>
              <w:rPr>
                <w:rFonts w:hAnsi="宋体"/>
                <w:b/>
                <w:bCs/>
                <w:kern w:val="0"/>
                <w:sz w:val="28"/>
                <w:highlight w:val="none"/>
              </w:rPr>
              <w:t>项目名称</w:t>
            </w:r>
          </w:p>
        </w:tc>
        <w:tc>
          <w:tcPr>
            <w:tcW w:w="843" w:type="dxa"/>
            <w:tcBorders>
              <w:top w:val="single" w:color="auto" w:sz="4" w:space="0"/>
              <w:left w:val="single" w:color="auto" w:sz="4" w:space="0"/>
              <w:bottom w:val="outset" w:color="AAAAAA" w:sz="6" w:space="0"/>
              <w:right w:val="single" w:color="auto" w:sz="4" w:space="0"/>
            </w:tcBorders>
            <w:shd w:val="clear" w:color="auto" w:fill="auto"/>
            <w:vAlign w:val="center"/>
          </w:tcPr>
          <w:p w14:paraId="27F8FB44">
            <w:pPr>
              <w:widowControl/>
              <w:spacing w:before="100" w:beforeAutospacing="1" w:after="100" w:afterAutospacing="1"/>
              <w:jc w:val="center"/>
              <w:rPr>
                <w:b/>
                <w:bCs/>
                <w:kern w:val="0"/>
                <w:highlight w:val="none"/>
              </w:rPr>
            </w:pPr>
            <w:r>
              <w:rPr>
                <w:rFonts w:hAnsi="宋体"/>
                <w:b/>
                <w:bCs/>
                <w:kern w:val="0"/>
                <w:sz w:val="28"/>
                <w:highlight w:val="none"/>
              </w:rPr>
              <w:t>单位</w:t>
            </w:r>
          </w:p>
        </w:tc>
        <w:tc>
          <w:tcPr>
            <w:tcW w:w="948" w:type="dxa"/>
            <w:tcBorders>
              <w:top w:val="single" w:color="auto" w:sz="4" w:space="0"/>
              <w:left w:val="single" w:color="auto" w:sz="4" w:space="0"/>
              <w:bottom w:val="outset" w:color="AAAAAA" w:sz="6" w:space="0"/>
              <w:right w:val="single" w:color="auto" w:sz="4" w:space="0"/>
            </w:tcBorders>
            <w:shd w:val="clear" w:color="auto" w:fill="auto"/>
            <w:vAlign w:val="center"/>
          </w:tcPr>
          <w:p w14:paraId="340BEAA3">
            <w:pPr>
              <w:widowControl/>
              <w:spacing w:before="100" w:beforeAutospacing="1" w:after="100" w:afterAutospacing="1"/>
              <w:jc w:val="center"/>
              <w:rPr>
                <w:b/>
                <w:bCs/>
                <w:kern w:val="0"/>
                <w:highlight w:val="none"/>
              </w:rPr>
            </w:pPr>
            <w:r>
              <w:rPr>
                <w:rFonts w:hAnsi="宋体"/>
                <w:b/>
                <w:bCs/>
                <w:kern w:val="0"/>
                <w:sz w:val="28"/>
                <w:highlight w:val="none"/>
              </w:rPr>
              <w:t>数量</w:t>
            </w:r>
          </w:p>
        </w:tc>
        <w:tc>
          <w:tcPr>
            <w:tcW w:w="2025" w:type="dxa"/>
            <w:tcBorders>
              <w:top w:val="single" w:color="auto" w:sz="4" w:space="0"/>
              <w:left w:val="single" w:color="auto" w:sz="4" w:space="0"/>
              <w:bottom w:val="outset" w:color="AAAAAA" w:sz="6" w:space="0"/>
              <w:right w:val="single" w:color="auto" w:sz="4" w:space="0"/>
            </w:tcBorders>
            <w:shd w:val="clear" w:color="auto" w:fill="auto"/>
            <w:vAlign w:val="center"/>
          </w:tcPr>
          <w:p w14:paraId="7E1CDBD3">
            <w:pPr>
              <w:widowControl/>
              <w:spacing w:before="100" w:beforeAutospacing="1" w:after="100" w:afterAutospacing="1"/>
              <w:jc w:val="center"/>
              <w:rPr>
                <w:b/>
                <w:bCs/>
                <w:kern w:val="0"/>
                <w:highlight w:val="none"/>
              </w:rPr>
            </w:pPr>
            <w:r>
              <w:rPr>
                <w:rFonts w:hAnsi="宋体"/>
                <w:b/>
                <w:bCs/>
                <w:kern w:val="0"/>
                <w:sz w:val="28"/>
                <w:highlight w:val="none"/>
              </w:rPr>
              <w:t>报价上限</w:t>
            </w:r>
          </w:p>
        </w:tc>
      </w:tr>
      <w:tr w14:paraId="1A588957">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trHeight w:val="363" w:hRule="atLeast"/>
          <w:jc w:val="center"/>
        </w:trPr>
        <w:tc>
          <w:tcPr>
            <w:tcW w:w="2135" w:type="dxa"/>
            <w:tcBorders>
              <w:top w:val="single" w:color="auto" w:sz="4" w:space="0"/>
              <w:left w:val="single" w:color="auto" w:sz="4" w:space="0"/>
              <w:bottom w:val="single" w:color="auto" w:sz="4" w:space="0"/>
              <w:right w:val="single" w:color="auto" w:sz="4" w:space="0"/>
            </w:tcBorders>
            <w:vAlign w:val="center"/>
          </w:tcPr>
          <w:p w14:paraId="2B385F88">
            <w:pPr>
              <w:tabs>
                <w:tab w:val="left" w:pos="2340"/>
              </w:tabs>
              <w:jc w:val="center"/>
              <w:rPr>
                <w:rFonts w:hint="eastAsia" w:asciiTheme="minorEastAsia" w:hAnsiTheme="minorEastAsia" w:eastAsiaTheme="minorEastAsia" w:cstheme="minorEastAsia"/>
                <w:bCs/>
                <w:sz w:val="22"/>
                <w:szCs w:val="22"/>
                <w:highlight w:val="none"/>
                <w:lang w:eastAsia="zh-CN"/>
              </w:rPr>
            </w:pPr>
            <w:r>
              <w:rPr>
                <w:rFonts w:hint="eastAsia" w:asciiTheme="minorEastAsia" w:hAnsiTheme="minorEastAsia" w:eastAsiaTheme="minorEastAsia" w:cstheme="minorEastAsia"/>
                <w:b/>
                <w:bCs w:val="0"/>
                <w:sz w:val="28"/>
                <w:szCs w:val="28"/>
                <w:highlight w:val="none"/>
                <w:lang w:eastAsia="zh-CN"/>
              </w:rPr>
              <w:t xml:space="preserve">               </w:t>
            </w:r>
          </w:p>
        </w:tc>
        <w:tc>
          <w:tcPr>
            <w:tcW w:w="2830" w:type="dxa"/>
            <w:gridSpan w:val="2"/>
            <w:tcBorders>
              <w:top w:val="single" w:color="auto" w:sz="4" w:space="0"/>
              <w:left w:val="single" w:color="auto" w:sz="4" w:space="0"/>
              <w:bottom w:val="single" w:color="auto" w:sz="4" w:space="0"/>
              <w:right w:val="single" w:color="auto" w:sz="4" w:space="0"/>
            </w:tcBorders>
            <w:vAlign w:val="center"/>
          </w:tcPr>
          <w:p w14:paraId="2FA563FD">
            <w:pPr>
              <w:tabs>
                <w:tab w:val="left" w:pos="2340"/>
              </w:tabs>
              <w:jc w:val="center"/>
              <w:rPr>
                <w:rFonts w:eastAsia="仿宋_GB2312"/>
                <w:b/>
                <w:sz w:val="22"/>
                <w:szCs w:val="22"/>
                <w:highlight w:val="none"/>
              </w:rPr>
            </w:pPr>
            <w:r>
              <w:rPr>
                <w:rFonts w:hint="eastAsia" w:asciiTheme="minorEastAsia" w:hAnsiTheme="minorEastAsia" w:eastAsiaTheme="minorEastAsia" w:cstheme="minorEastAsia"/>
                <w:bCs/>
                <w:sz w:val="22"/>
                <w:szCs w:val="22"/>
                <w:highlight w:val="none"/>
                <w:lang w:val="en-US" w:eastAsia="zh-CN"/>
              </w:rPr>
              <w:t>深圳市福田区第二人民医院医疗责任保险项目</w:t>
            </w:r>
          </w:p>
        </w:tc>
        <w:tc>
          <w:tcPr>
            <w:tcW w:w="843" w:type="dxa"/>
            <w:tcBorders>
              <w:top w:val="single" w:color="auto" w:sz="4" w:space="0"/>
              <w:left w:val="single" w:color="auto" w:sz="4" w:space="0"/>
              <w:bottom w:val="single" w:color="auto" w:sz="4" w:space="0"/>
              <w:right w:val="single" w:color="auto" w:sz="4" w:space="0"/>
            </w:tcBorders>
            <w:vAlign w:val="center"/>
          </w:tcPr>
          <w:p w14:paraId="7C609CE2">
            <w:pPr>
              <w:spacing w:before="100" w:beforeAutospacing="1" w:after="100" w:afterAutospacing="1" w:line="360" w:lineRule="auto"/>
              <w:jc w:val="center"/>
              <w:rPr>
                <w:kern w:val="0"/>
                <w:highlight w:val="none"/>
              </w:rPr>
            </w:pPr>
            <w:r>
              <w:rPr>
                <w:rFonts w:hint="eastAsia"/>
                <w:kern w:val="0"/>
                <w:sz w:val="28"/>
                <w:highlight w:val="none"/>
              </w:rPr>
              <w:t>年</w:t>
            </w:r>
          </w:p>
        </w:tc>
        <w:tc>
          <w:tcPr>
            <w:tcW w:w="948" w:type="dxa"/>
            <w:tcBorders>
              <w:top w:val="single" w:color="auto" w:sz="4" w:space="0"/>
              <w:left w:val="single" w:color="auto" w:sz="4" w:space="0"/>
              <w:bottom w:val="single" w:color="auto" w:sz="4" w:space="0"/>
              <w:right w:val="single" w:color="auto" w:sz="4" w:space="0"/>
            </w:tcBorders>
            <w:vAlign w:val="center"/>
          </w:tcPr>
          <w:p w14:paraId="19A3F8D7">
            <w:pPr>
              <w:spacing w:before="100" w:beforeAutospacing="1" w:after="100" w:afterAutospacing="1" w:line="360" w:lineRule="auto"/>
              <w:jc w:val="center"/>
              <w:rPr>
                <w:kern w:val="0"/>
                <w:highlight w:val="none"/>
              </w:rPr>
            </w:pPr>
            <w:r>
              <w:rPr>
                <w:rFonts w:hint="eastAsia"/>
                <w:kern w:val="0"/>
                <w:sz w:val="28"/>
                <w:highlight w:val="none"/>
              </w:rPr>
              <w:t>1</w:t>
            </w:r>
          </w:p>
        </w:tc>
        <w:tc>
          <w:tcPr>
            <w:tcW w:w="2025" w:type="dxa"/>
            <w:tcBorders>
              <w:top w:val="single" w:color="auto" w:sz="4" w:space="0"/>
              <w:left w:val="single" w:color="auto" w:sz="4" w:space="0"/>
              <w:bottom w:val="single" w:color="auto" w:sz="4" w:space="0"/>
              <w:right w:val="single" w:color="auto" w:sz="4" w:space="0"/>
            </w:tcBorders>
            <w:vAlign w:val="center"/>
          </w:tcPr>
          <w:p w14:paraId="7616EE8E">
            <w:pPr>
              <w:widowControl/>
              <w:spacing w:before="100" w:beforeAutospacing="1" w:after="100" w:afterAutospacing="1"/>
              <w:jc w:val="center"/>
              <w:rPr>
                <w:kern w:val="0"/>
                <w:highlight w:val="none"/>
              </w:rPr>
            </w:pPr>
            <w:r>
              <w:rPr>
                <w:rFonts w:hint="eastAsia" w:asciiTheme="majorEastAsia" w:hAnsiTheme="majorEastAsia" w:eastAsiaTheme="majorEastAsia" w:cstheme="majorEastAsia"/>
                <w:kern w:val="0"/>
                <w:sz w:val="28"/>
                <w:highlight w:val="none"/>
              </w:rPr>
              <w:t>5</w:t>
            </w:r>
            <w:r>
              <w:rPr>
                <w:rFonts w:hint="eastAsia" w:asciiTheme="majorEastAsia" w:hAnsiTheme="majorEastAsia" w:eastAsiaTheme="majorEastAsia" w:cstheme="majorEastAsia"/>
                <w:kern w:val="0"/>
                <w:sz w:val="28"/>
                <w:highlight w:val="none"/>
                <w:lang w:val="en-US" w:eastAsia="zh-CN"/>
              </w:rPr>
              <w:t>00</w:t>
            </w:r>
            <w:r>
              <w:rPr>
                <w:rFonts w:hint="eastAsia" w:asciiTheme="majorEastAsia" w:hAnsiTheme="majorEastAsia" w:eastAsiaTheme="majorEastAsia" w:cstheme="majorEastAsia"/>
                <w:kern w:val="0"/>
                <w:sz w:val="28"/>
                <w:highlight w:val="none"/>
              </w:rPr>
              <w:t>,000.00元</w:t>
            </w:r>
          </w:p>
        </w:tc>
      </w:tr>
      <w:tr w14:paraId="5737E0BF">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trHeight w:val="854" w:hRule="atLeast"/>
          <w:jc w:val="center"/>
        </w:trPr>
        <w:tc>
          <w:tcPr>
            <w:tcW w:w="2730" w:type="dxa"/>
            <w:gridSpan w:val="2"/>
            <w:tcBorders>
              <w:top w:val="single" w:color="auto" w:sz="4" w:space="0"/>
              <w:left w:val="single" w:color="auto" w:sz="4" w:space="0"/>
              <w:bottom w:val="single" w:color="auto" w:sz="4" w:space="0"/>
              <w:right w:val="single" w:color="auto" w:sz="4" w:space="0"/>
            </w:tcBorders>
            <w:vAlign w:val="center"/>
          </w:tcPr>
          <w:p w14:paraId="68FDCDC2">
            <w:pPr>
              <w:spacing w:before="100" w:beforeAutospacing="1" w:after="100" w:afterAutospacing="1"/>
              <w:jc w:val="center"/>
              <w:rPr>
                <w:kern w:val="0"/>
                <w:sz w:val="22"/>
                <w:szCs w:val="22"/>
                <w:highlight w:val="none"/>
              </w:rPr>
            </w:pPr>
            <w:r>
              <w:rPr>
                <w:rFonts w:hint="eastAsia"/>
                <w:b/>
                <w:bCs/>
                <w:kern w:val="0"/>
                <w:sz w:val="28"/>
                <w:szCs w:val="28"/>
                <w:highlight w:val="none"/>
              </w:rPr>
              <w:t>预算总金额</w:t>
            </w:r>
          </w:p>
        </w:tc>
        <w:tc>
          <w:tcPr>
            <w:tcW w:w="6051" w:type="dxa"/>
            <w:gridSpan w:val="4"/>
            <w:tcBorders>
              <w:top w:val="single" w:color="auto" w:sz="4" w:space="0"/>
              <w:left w:val="single" w:color="auto" w:sz="4" w:space="0"/>
              <w:bottom w:val="single" w:color="auto" w:sz="4" w:space="0"/>
              <w:right w:val="single" w:color="auto" w:sz="4" w:space="0"/>
            </w:tcBorders>
            <w:vAlign w:val="center"/>
          </w:tcPr>
          <w:p w14:paraId="08526234">
            <w:pPr>
              <w:widowControl/>
              <w:tabs>
                <w:tab w:val="left" w:pos="990"/>
              </w:tabs>
              <w:spacing w:before="100" w:beforeAutospacing="1" w:after="100" w:afterAutospacing="1"/>
              <w:jc w:val="center"/>
              <w:rPr>
                <w:kern w:val="0"/>
                <w:highlight w:val="none"/>
              </w:rPr>
            </w:pPr>
            <w:r>
              <w:rPr>
                <w:rFonts w:hint="eastAsia"/>
                <w:b/>
                <w:bCs/>
                <w:kern w:val="0"/>
                <w:sz w:val="28"/>
                <w:highlight w:val="none"/>
                <w:u w:val="single"/>
              </w:rPr>
              <w:t>大写：伍拾万元整（￥5</w:t>
            </w:r>
            <w:r>
              <w:rPr>
                <w:rFonts w:hint="eastAsia"/>
                <w:b/>
                <w:bCs/>
                <w:kern w:val="0"/>
                <w:sz w:val="28"/>
                <w:highlight w:val="none"/>
                <w:u w:val="single"/>
                <w:lang w:val="en-US" w:eastAsia="zh-CN"/>
              </w:rPr>
              <w:t>00</w:t>
            </w:r>
            <w:r>
              <w:rPr>
                <w:rFonts w:hint="eastAsia"/>
                <w:b/>
                <w:bCs/>
                <w:kern w:val="0"/>
                <w:sz w:val="28"/>
                <w:highlight w:val="none"/>
                <w:u w:val="single"/>
              </w:rPr>
              <w:t>,000.00）</w:t>
            </w:r>
          </w:p>
        </w:tc>
      </w:tr>
    </w:tbl>
    <w:p w14:paraId="7431F81F">
      <w:pPr>
        <w:pStyle w:val="4"/>
        <w:spacing w:after="120" w:line="360" w:lineRule="auto"/>
        <w:jc w:val="both"/>
        <w:rPr>
          <w:rStyle w:val="64"/>
          <w:b/>
          <w:highlight w:val="none"/>
        </w:rPr>
      </w:pPr>
      <w:bookmarkStart w:id="24" w:name="_Toc30713"/>
      <w:bookmarkStart w:id="25" w:name="_Toc1503"/>
      <w:bookmarkStart w:id="26" w:name="_Toc15529"/>
      <w:bookmarkStart w:id="27" w:name="_Toc12907"/>
      <w:bookmarkStart w:id="28" w:name="_Toc1263"/>
      <w:bookmarkStart w:id="29" w:name="_Toc21870"/>
      <w:r>
        <w:rPr>
          <w:rStyle w:val="64"/>
          <w:rFonts w:hint="eastAsia"/>
          <w:b/>
          <w:highlight w:val="none"/>
        </w:rPr>
        <w:t>（二）招标方式</w:t>
      </w:r>
      <w:bookmarkEnd w:id="24"/>
      <w:bookmarkEnd w:id="25"/>
      <w:bookmarkEnd w:id="26"/>
      <w:bookmarkEnd w:id="27"/>
      <w:bookmarkEnd w:id="28"/>
      <w:bookmarkEnd w:id="29"/>
    </w:p>
    <w:p w14:paraId="0B5F4D3F">
      <w:pPr>
        <w:widowControl/>
        <w:spacing w:line="360" w:lineRule="auto"/>
        <w:ind w:firstLine="560" w:firstLineChars="200"/>
        <w:rPr>
          <w:rStyle w:val="64"/>
          <w:highlight w:val="none"/>
        </w:rPr>
      </w:pPr>
      <w:r>
        <w:rPr>
          <w:rFonts w:hint="eastAsia" w:ascii="宋体" w:hAnsi="宋体"/>
          <w:sz w:val="28"/>
          <w:highlight w:val="none"/>
        </w:rPr>
        <w:t>坚持质量优先、价格合理的原则，综合考虑价格、技术水平、服务、业绩以及经营信誉等因素，</w:t>
      </w:r>
      <w:r>
        <w:rPr>
          <w:rFonts w:hint="eastAsia" w:ascii="宋体" w:hAnsi="宋体"/>
          <w:bCs/>
          <w:sz w:val="28"/>
          <w:highlight w:val="none"/>
        </w:rPr>
        <w:t>避免纯技术或纯经济的倾向。</w:t>
      </w:r>
      <w:bookmarkStart w:id="30" w:name="_Hlk503353302"/>
      <w:r>
        <w:rPr>
          <w:rFonts w:hint="eastAsia" w:ascii="宋体" w:hAnsi="宋体" w:cs="宋体"/>
          <w:kern w:val="0"/>
          <w:sz w:val="28"/>
          <w:highlight w:val="none"/>
        </w:rPr>
        <w:t>本项目实行综合评分法</w:t>
      </w:r>
      <w:r>
        <w:rPr>
          <w:rFonts w:hint="eastAsia" w:ascii="宋体" w:hAnsi="宋体" w:cs="宋体"/>
          <w:b/>
          <w:bCs/>
          <w:kern w:val="0"/>
          <w:sz w:val="28"/>
          <w:highlight w:val="none"/>
        </w:rPr>
        <w:t>。</w:t>
      </w:r>
      <w:r>
        <w:rPr>
          <w:rFonts w:hint="eastAsia" w:ascii="宋体" w:hAnsi="宋体" w:cs="宋体"/>
          <w:bCs/>
          <w:kern w:val="0"/>
          <w:sz w:val="28"/>
          <w:highlight w:val="none"/>
        </w:rPr>
        <w:t>如</w:t>
      </w:r>
      <w:r>
        <w:rPr>
          <w:rFonts w:hint="eastAsia" w:ascii="宋体" w:hAnsi="宋体"/>
          <w:bCs/>
          <w:sz w:val="28"/>
          <w:highlight w:val="none"/>
        </w:rPr>
        <w:t>报名不</w:t>
      </w:r>
      <w:r>
        <w:rPr>
          <w:rFonts w:hint="eastAsia" w:ascii="宋体" w:hAnsi="宋体"/>
          <w:sz w:val="28"/>
          <w:highlight w:val="none"/>
        </w:rPr>
        <w:t>足3家有效投标人的，将采取竞争性谈判或单一来源方式采购</w:t>
      </w:r>
      <w:r>
        <w:rPr>
          <w:rFonts w:hint="eastAsia" w:ascii="宋体" w:hAnsi="宋体"/>
          <w:sz w:val="28"/>
          <w:szCs w:val="28"/>
          <w:highlight w:val="none"/>
        </w:rPr>
        <w:t>。</w:t>
      </w:r>
      <w:bookmarkEnd w:id="30"/>
    </w:p>
    <w:p w14:paraId="495235F6">
      <w:pPr>
        <w:pStyle w:val="4"/>
        <w:spacing w:after="120" w:line="360" w:lineRule="auto"/>
        <w:jc w:val="both"/>
        <w:rPr>
          <w:rStyle w:val="64"/>
          <w:b/>
          <w:highlight w:val="none"/>
        </w:rPr>
      </w:pPr>
      <w:bookmarkStart w:id="31" w:name="_Toc15042"/>
      <w:bookmarkStart w:id="32" w:name="_Toc16266"/>
      <w:bookmarkStart w:id="33" w:name="_Toc32150"/>
      <w:bookmarkStart w:id="34" w:name="_Toc9955"/>
      <w:bookmarkStart w:id="35" w:name="_Toc1449"/>
      <w:bookmarkStart w:id="36" w:name="_Toc10761"/>
      <w:r>
        <w:rPr>
          <w:rStyle w:val="64"/>
          <w:rFonts w:hint="eastAsia"/>
          <w:b/>
          <w:highlight w:val="none"/>
        </w:rPr>
        <w:t>（三）投标报名</w:t>
      </w:r>
      <w:bookmarkEnd w:id="31"/>
      <w:bookmarkEnd w:id="32"/>
      <w:bookmarkEnd w:id="33"/>
      <w:bookmarkEnd w:id="34"/>
      <w:bookmarkEnd w:id="35"/>
      <w:bookmarkEnd w:id="36"/>
    </w:p>
    <w:p w14:paraId="4B60CE77">
      <w:pPr>
        <w:widowControl/>
        <w:spacing w:line="360" w:lineRule="auto"/>
        <w:ind w:firstLine="554" w:firstLineChars="200"/>
        <w:jc w:val="left"/>
        <w:rPr>
          <w:rFonts w:hAnsi="宋体"/>
          <w:kern w:val="0"/>
          <w:sz w:val="28"/>
          <w:highlight w:val="none"/>
        </w:rPr>
      </w:pPr>
      <w:r>
        <w:rPr>
          <w:rFonts w:hint="eastAsia" w:hAnsi="宋体"/>
          <w:w w:val="99"/>
          <w:kern w:val="0"/>
          <w:sz w:val="28"/>
          <w:highlight w:val="none"/>
        </w:rPr>
        <w:t>请符合资格投标人于202</w:t>
      </w:r>
      <w:r>
        <w:rPr>
          <w:rFonts w:hint="eastAsia" w:hAnsi="宋体"/>
          <w:w w:val="99"/>
          <w:kern w:val="0"/>
          <w:sz w:val="28"/>
          <w:highlight w:val="none"/>
          <w:lang w:val="en-US" w:eastAsia="zh-CN"/>
        </w:rPr>
        <w:t>3</w:t>
      </w:r>
      <w:r>
        <w:rPr>
          <w:rFonts w:hint="eastAsia" w:hAnsi="宋体"/>
          <w:w w:val="99"/>
          <w:kern w:val="0"/>
          <w:sz w:val="28"/>
          <w:highlight w:val="none"/>
        </w:rPr>
        <w:t>年</w:t>
      </w:r>
      <w:r>
        <w:rPr>
          <w:rFonts w:hint="eastAsia" w:hAnsi="宋体"/>
          <w:w w:val="99"/>
          <w:kern w:val="0"/>
          <w:sz w:val="28"/>
          <w:highlight w:val="none"/>
          <w:lang w:val="en-US" w:eastAsia="zh-CN"/>
        </w:rPr>
        <w:t>02</w:t>
      </w:r>
      <w:r>
        <w:rPr>
          <w:rFonts w:hint="eastAsia" w:hAnsi="宋体"/>
          <w:w w:val="99"/>
          <w:kern w:val="0"/>
          <w:sz w:val="28"/>
          <w:highlight w:val="none"/>
        </w:rPr>
        <w:t>月</w:t>
      </w:r>
      <w:r>
        <w:rPr>
          <w:rFonts w:hint="eastAsia" w:hAnsi="宋体"/>
          <w:w w:val="99"/>
          <w:kern w:val="0"/>
          <w:sz w:val="28"/>
          <w:highlight w:val="none"/>
          <w:lang w:val="en-US" w:eastAsia="zh-CN"/>
        </w:rPr>
        <w:t>14</w:t>
      </w:r>
      <w:r>
        <w:rPr>
          <w:rFonts w:hint="eastAsia" w:hAnsi="宋体"/>
          <w:w w:val="99"/>
          <w:kern w:val="0"/>
          <w:sz w:val="28"/>
          <w:highlight w:val="none"/>
        </w:rPr>
        <w:t>日至202</w:t>
      </w:r>
      <w:r>
        <w:rPr>
          <w:rFonts w:hint="eastAsia" w:hAnsi="宋体"/>
          <w:w w:val="99"/>
          <w:kern w:val="0"/>
          <w:sz w:val="28"/>
          <w:highlight w:val="none"/>
          <w:lang w:val="en-US" w:eastAsia="zh-CN"/>
        </w:rPr>
        <w:t>3</w:t>
      </w:r>
      <w:r>
        <w:rPr>
          <w:rFonts w:hint="eastAsia" w:hAnsi="宋体"/>
          <w:w w:val="99"/>
          <w:kern w:val="0"/>
          <w:sz w:val="28"/>
          <w:highlight w:val="none"/>
        </w:rPr>
        <w:t>年</w:t>
      </w:r>
      <w:r>
        <w:rPr>
          <w:rFonts w:hint="eastAsia" w:hAnsi="宋体"/>
          <w:w w:val="99"/>
          <w:kern w:val="0"/>
          <w:sz w:val="28"/>
          <w:highlight w:val="none"/>
          <w:lang w:val="en-US" w:eastAsia="zh-CN"/>
        </w:rPr>
        <w:t>02</w:t>
      </w:r>
      <w:r>
        <w:rPr>
          <w:rFonts w:hint="eastAsia" w:hAnsi="宋体"/>
          <w:w w:val="99"/>
          <w:kern w:val="0"/>
          <w:sz w:val="28"/>
          <w:highlight w:val="none"/>
        </w:rPr>
        <w:t>月</w:t>
      </w:r>
      <w:r>
        <w:rPr>
          <w:rFonts w:hint="eastAsia" w:hAnsi="宋体"/>
          <w:w w:val="99"/>
          <w:kern w:val="0"/>
          <w:sz w:val="28"/>
          <w:highlight w:val="none"/>
          <w:lang w:val="en-US" w:eastAsia="zh-CN"/>
        </w:rPr>
        <w:t>21</w:t>
      </w:r>
      <w:r>
        <w:rPr>
          <w:rFonts w:hint="eastAsia" w:hAnsi="宋体"/>
          <w:w w:val="99"/>
          <w:kern w:val="0"/>
          <w:sz w:val="28"/>
          <w:highlight w:val="none"/>
        </w:rPr>
        <w:t>日1</w:t>
      </w:r>
      <w:r>
        <w:rPr>
          <w:rFonts w:hint="eastAsia" w:hAnsi="宋体"/>
          <w:w w:val="99"/>
          <w:kern w:val="0"/>
          <w:sz w:val="28"/>
          <w:highlight w:val="none"/>
          <w:lang w:val="en-US" w:eastAsia="zh-CN"/>
        </w:rPr>
        <w:t>8</w:t>
      </w:r>
      <w:r>
        <w:rPr>
          <w:rFonts w:hint="eastAsia" w:hAnsi="宋体"/>
          <w:w w:val="99"/>
          <w:kern w:val="0"/>
          <w:sz w:val="28"/>
          <w:highlight w:val="none"/>
        </w:rPr>
        <w:t>:00时前将投标报名资料扫描件以邮件形式发至</w:t>
      </w:r>
      <w:r>
        <w:rPr>
          <w:rFonts w:hint="eastAsia" w:hAnsi="宋体"/>
          <w:w w:val="99"/>
          <w:kern w:val="0"/>
          <w:sz w:val="28"/>
          <w:highlight w:val="none"/>
          <w:lang w:val="en-US" w:eastAsia="zh-CN"/>
        </w:rPr>
        <w:t>252319241</w:t>
      </w:r>
      <w:r>
        <w:rPr>
          <w:rFonts w:hint="eastAsia" w:hAnsi="宋体"/>
          <w:kern w:val="0"/>
          <w:sz w:val="28"/>
          <w:highlight w:val="none"/>
        </w:rPr>
        <w:t>@</w:t>
      </w:r>
      <w:r>
        <w:rPr>
          <w:rFonts w:hint="eastAsia" w:hAnsi="宋体"/>
          <w:w w:val="99"/>
          <w:kern w:val="0"/>
          <w:sz w:val="28"/>
          <w:highlight w:val="none"/>
          <w:lang w:val="en-US" w:eastAsia="zh-CN"/>
        </w:rPr>
        <w:t>qq</w:t>
      </w:r>
      <w:r>
        <w:rPr>
          <w:rFonts w:hint="eastAsia" w:hAnsi="宋体"/>
          <w:kern w:val="0"/>
          <w:sz w:val="28"/>
          <w:highlight w:val="none"/>
        </w:rPr>
        <w:t>.com。报名资料如下：</w:t>
      </w:r>
    </w:p>
    <w:p w14:paraId="23D3B94F">
      <w:pPr>
        <w:widowControl/>
        <w:spacing w:line="360" w:lineRule="auto"/>
        <w:ind w:firstLine="560" w:firstLineChars="200"/>
        <w:rPr>
          <w:rFonts w:hAnsi="宋体"/>
          <w:kern w:val="0"/>
          <w:sz w:val="28"/>
          <w:highlight w:val="none"/>
        </w:rPr>
      </w:pPr>
      <w:r>
        <w:rPr>
          <w:rFonts w:hint="eastAsia" w:hAnsi="宋体"/>
          <w:kern w:val="0"/>
          <w:sz w:val="28"/>
          <w:highlight w:val="none"/>
        </w:rPr>
        <w:t>（1）法人</w:t>
      </w:r>
      <w:r>
        <w:rPr>
          <w:rFonts w:hint="eastAsia" w:hAnsi="宋体"/>
          <w:kern w:val="0"/>
          <w:sz w:val="28"/>
          <w:highlight w:val="none"/>
          <w:lang w:val="en-US" w:eastAsia="zh-CN"/>
        </w:rPr>
        <w:t>或负责人</w:t>
      </w:r>
      <w:r>
        <w:rPr>
          <w:rFonts w:hint="eastAsia" w:hAnsi="宋体"/>
          <w:kern w:val="0"/>
          <w:sz w:val="28"/>
          <w:highlight w:val="none"/>
        </w:rPr>
        <w:t>授权委托证明书原件（盖章）；</w:t>
      </w:r>
    </w:p>
    <w:p w14:paraId="6F04F869">
      <w:pPr>
        <w:widowControl/>
        <w:spacing w:line="360" w:lineRule="auto"/>
        <w:ind w:firstLine="560" w:firstLineChars="200"/>
        <w:rPr>
          <w:rFonts w:hAnsi="宋体"/>
          <w:kern w:val="0"/>
          <w:sz w:val="28"/>
          <w:highlight w:val="none"/>
        </w:rPr>
      </w:pPr>
      <w:r>
        <w:rPr>
          <w:rFonts w:hint="eastAsia" w:hAnsi="宋体"/>
          <w:kern w:val="0"/>
          <w:sz w:val="28"/>
          <w:highlight w:val="none"/>
        </w:rPr>
        <w:t>（2）被授权人身份证复印件（盖章、原件备查）；</w:t>
      </w:r>
    </w:p>
    <w:p w14:paraId="311ABB6A">
      <w:pPr>
        <w:widowControl/>
        <w:spacing w:line="360" w:lineRule="auto"/>
        <w:ind w:firstLine="560" w:firstLineChars="200"/>
        <w:rPr>
          <w:rFonts w:hAnsi="宋体"/>
          <w:kern w:val="0"/>
          <w:sz w:val="28"/>
          <w:highlight w:val="none"/>
        </w:rPr>
      </w:pPr>
      <w:r>
        <w:rPr>
          <w:rFonts w:hint="eastAsia" w:hAnsi="宋体"/>
          <w:kern w:val="0"/>
          <w:sz w:val="28"/>
          <w:highlight w:val="none"/>
        </w:rPr>
        <w:t>（3）《营业执照》复印件（盖章、原件备查）；</w:t>
      </w:r>
    </w:p>
    <w:p w14:paraId="7961526B">
      <w:pPr>
        <w:widowControl/>
        <w:spacing w:line="360" w:lineRule="auto"/>
        <w:ind w:firstLine="560" w:firstLineChars="200"/>
        <w:rPr>
          <w:kern w:val="0"/>
          <w:sz w:val="28"/>
          <w:highlight w:val="none"/>
        </w:rPr>
      </w:pPr>
      <w:r>
        <w:rPr>
          <w:rFonts w:hint="eastAsia" w:hAnsi="宋体"/>
          <w:kern w:val="0"/>
          <w:sz w:val="28"/>
          <w:highlight w:val="none"/>
        </w:rPr>
        <w:t>如果报名后又不参加投标的，应在</w:t>
      </w:r>
      <w:r>
        <w:rPr>
          <w:rFonts w:hint="eastAsia" w:hAnsi="宋体"/>
          <w:w w:val="99"/>
          <w:kern w:val="0"/>
          <w:sz w:val="28"/>
          <w:highlight w:val="none"/>
        </w:rPr>
        <w:t>202</w:t>
      </w:r>
      <w:r>
        <w:rPr>
          <w:rFonts w:hint="eastAsia" w:hAnsi="宋体"/>
          <w:w w:val="99"/>
          <w:kern w:val="0"/>
          <w:sz w:val="28"/>
          <w:highlight w:val="none"/>
          <w:lang w:val="en-US" w:eastAsia="zh-CN"/>
        </w:rPr>
        <w:t>3</w:t>
      </w:r>
      <w:r>
        <w:rPr>
          <w:rFonts w:hint="eastAsia" w:hAnsi="宋体"/>
          <w:w w:val="99"/>
          <w:kern w:val="0"/>
          <w:sz w:val="28"/>
          <w:highlight w:val="none"/>
        </w:rPr>
        <w:t>年</w:t>
      </w:r>
      <w:r>
        <w:rPr>
          <w:rFonts w:hint="eastAsia" w:hAnsi="宋体"/>
          <w:w w:val="99"/>
          <w:kern w:val="0"/>
          <w:sz w:val="28"/>
          <w:highlight w:val="none"/>
          <w:lang w:val="en-US" w:eastAsia="zh-CN"/>
        </w:rPr>
        <w:t>02</w:t>
      </w:r>
      <w:r>
        <w:rPr>
          <w:rFonts w:hint="eastAsia" w:hAnsi="宋体"/>
          <w:w w:val="99"/>
          <w:kern w:val="0"/>
          <w:sz w:val="28"/>
          <w:highlight w:val="none"/>
        </w:rPr>
        <w:t>月</w:t>
      </w:r>
      <w:r>
        <w:rPr>
          <w:rFonts w:hint="eastAsia" w:hAnsi="宋体"/>
          <w:w w:val="99"/>
          <w:kern w:val="0"/>
          <w:sz w:val="28"/>
          <w:highlight w:val="none"/>
          <w:lang w:val="en-US" w:eastAsia="zh-CN"/>
        </w:rPr>
        <w:t>22</w:t>
      </w:r>
      <w:r>
        <w:rPr>
          <w:rFonts w:hint="eastAsia" w:hAnsi="宋体"/>
          <w:w w:val="99"/>
          <w:kern w:val="0"/>
          <w:sz w:val="28"/>
          <w:highlight w:val="none"/>
        </w:rPr>
        <w:t>日</w:t>
      </w:r>
      <w:r>
        <w:rPr>
          <w:rFonts w:hint="eastAsia" w:hAnsi="宋体"/>
          <w:kern w:val="0"/>
          <w:sz w:val="28"/>
          <w:highlight w:val="none"/>
          <w:lang w:val="en-US" w:eastAsia="zh-CN"/>
        </w:rPr>
        <w:t>12：00前以邮件方式（邮箱地址：</w:t>
      </w:r>
      <w:r>
        <w:rPr>
          <w:rFonts w:hint="eastAsia" w:hAnsi="宋体"/>
          <w:w w:val="99"/>
          <w:kern w:val="0"/>
          <w:sz w:val="28"/>
          <w:highlight w:val="none"/>
          <w:lang w:val="en-US" w:eastAsia="zh-CN"/>
        </w:rPr>
        <w:t>252319241</w:t>
      </w:r>
      <w:r>
        <w:rPr>
          <w:rFonts w:hint="eastAsia" w:hAnsi="宋体"/>
          <w:kern w:val="0"/>
          <w:sz w:val="28"/>
          <w:highlight w:val="none"/>
        </w:rPr>
        <w:t>@</w:t>
      </w:r>
      <w:r>
        <w:rPr>
          <w:rFonts w:hint="eastAsia" w:hAnsi="宋体"/>
          <w:w w:val="99"/>
          <w:kern w:val="0"/>
          <w:sz w:val="28"/>
          <w:highlight w:val="none"/>
          <w:lang w:val="en-US" w:eastAsia="zh-CN"/>
        </w:rPr>
        <w:t>qq</w:t>
      </w:r>
      <w:r>
        <w:rPr>
          <w:rFonts w:hint="eastAsia" w:hAnsi="宋体"/>
          <w:kern w:val="0"/>
          <w:sz w:val="28"/>
          <w:highlight w:val="none"/>
        </w:rPr>
        <w:t>.com</w:t>
      </w:r>
      <w:r>
        <w:rPr>
          <w:rFonts w:hint="eastAsia" w:hAnsi="宋体"/>
          <w:kern w:val="0"/>
          <w:sz w:val="28"/>
          <w:highlight w:val="none"/>
          <w:lang w:val="en-US" w:eastAsia="zh-CN"/>
        </w:rPr>
        <w:t>）</w:t>
      </w:r>
      <w:r>
        <w:rPr>
          <w:rFonts w:hint="eastAsia" w:hAnsi="宋体"/>
          <w:kern w:val="0"/>
          <w:sz w:val="28"/>
          <w:highlight w:val="none"/>
        </w:rPr>
        <w:t>通知招标人。</w:t>
      </w:r>
    </w:p>
    <w:p w14:paraId="4401F205">
      <w:pPr>
        <w:pStyle w:val="4"/>
        <w:spacing w:after="120" w:line="360" w:lineRule="auto"/>
        <w:jc w:val="both"/>
        <w:rPr>
          <w:rStyle w:val="64"/>
          <w:b/>
          <w:highlight w:val="none"/>
        </w:rPr>
      </w:pPr>
      <w:bookmarkStart w:id="37" w:name="_Toc24641"/>
      <w:bookmarkStart w:id="38" w:name="_Toc20595"/>
      <w:bookmarkStart w:id="39" w:name="_Toc24064"/>
      <w:bookmarkStart w:id="40" w:name="_Toc6970"/>
      <w:bookmarkStart w:id="41" w:name="_Toc25728"/>
      <w:bookmarkStart w:id="42" w:name="_Toc26539"/>
      <w:r>
        <w:rPr>
          <w:rStyle w:val="64"/>
          <w:rFonts w:hint="eastAsia"/>
          <w:b/>
          <w:highlight w:val="none"/>
        </w:rPr>
        <w:t>（四）领取标书</w:t>
      </w:r>
      <w:bookmarkEnd w:id="37"/>
      <w:bookmarkEnd w:id="38"/>
      <w:bookmarkEnd w:id="39"/>
      <w:bookmarkEnd w:id="40"/>
      <w:bookmarkEnd w:id="41"/>
      <w:bookmarkEnd w:id="42"/>
    </w:p>
    <w:p w14:paraId="50B98008">
      <w:pPr>
        <w:spacing w:line="360" w:lineRule="auto"/>
        <w:ind w:firstLine="536" w:firstLineChars="200"/>
        <w:jc w:val="left"/>
        <w:rPr>
          <w:rFonts w:ascii="宋体" w:hAnsi="宋体" w:cs="宋体"/>
          <w:w w:val="96"/>
          <w:kern w:val="0"/>
          <w:sz w:val="28"/>
          <w:highlight w:val="none"/>
        </w:rPr>
      </w:pPr>
      <w:r>
        <w:rPr>
          <w:rFonts w:hint="eastAsia" w:ascii="宋体" w:hAnsi="宋体" w:cs="宋体"/>
          <w:w w:val="96"/>
          <w:kern w:val="0"/>
          <w:sz w:val="28"/>
          <w:highlight w:val="none"/>
        </w:rPr>
        <w:t>招标文件均在本院网(</w:t>
      </w:r>
      <w:r>
        <w:rPr>
          <w:rFonts w:hint="eastAsia" w:ascii="宋体" w:hAnsi="宋体" w:cs="宋体"/>
          <w:w w:val="96"/>
          <w:kern w:val="0"/>
          <w:sz w:val="28"/>
          <w:highlight w:val="none"/>
          <w:lang w:eastAsia="zh-CN"/>
        </w:rPr>
        <w:t>https://www.ft2yy.cn/</w:t>
      </w:r>
      <w:r>
        <w:rPr>
          <w:rFonts w:hint="eastAsia" w:ascii="宋体" w:hAnsi="宋体" w:cs="宋体"/>
          <w:w w:val="96"/>
          <w:kern w:val="0"/>
          <w:sz w:val="28"/>
          <w:highlight w:val="none"/>
        </w:rPr>
        <w:t>)下载。</w:t>
      </w:r>
    </w:p>
    <w:p w14:paraId="09DF2978">
      <w:pPr>
        <w:pStyle w:val="4"/>
        <w:spacing w:after="120" w:line="360" w:lineRule="auto"/>
        <w:jc w:val="both"/>
        <w:rPr>
          <w:rStyle w:val="64"/>
          <w:b/>
          <w:highlight w:val="none"/>
        </w:rPr>
      </w:pPr>
      <w:bookmarkStart w:id="43" w:name="_Toc16429"/>
      <w:bookmarkStart w:id="44" w:name="_Toc22725"/>
      <w:bookmarkStart w:id="45" w:name="_Toc1944"/>
      <w:bookmarkStart w:id="46" w:name="_Toc10502"/>
      <w:bookmarkStart w:id="47" w:name="_Toc22224"/>
      <w:bookmarkStart w:id="48" w:name="_Toc4921"/>
      <w:r>
        <w:rPr>
          <w:rStyle w:val="64"/>
          <w:rFonts w:hint="eastAsia"/>
          <w:b/>
          <w:highlight w:val="none"/>
        </w:rPr>
        <w:t>（五）</w:t>
      </w:r>
      <w:bookmarkEnd w:id="43"/>
      <w:r>
        <w:rPr>
          <w:rStyle w:val="64"/>
          <w:rFonts w:hint="eastAsia"/>
          <w:b/>
          <w:highlight w:val="none"/>
        </w:rPr>
        <w:t>投标人相关要求</w:t>
      </w:r>
      <w:bookmarkEnd w:id="44"/>
      <w:bookmarkEnd w:id="45"/>
      <w:bookmarkEnd w:id="46"/>
      <w:bookmarkEnd w:id="47"/>
      <w:bookmarkEnd w:id="48"/>
    </w:p>
    <w:p w14:paraId="72A778A3">
      <w:pPr>
        <w:spacing w:line="360" w:lineRule="auto"/>
        <w:ind w:firstLine="560" w:firstLineChars="200"/>
        <w:rPr>
          <w:rFonts w:ascii="宋体" w:hAnsi="宋体" w:cs="宋体"/>
          <w:kern w:val="0"/>
          <w:sz w:val="28"/>
          <w:highlight w:val="none"/>
        </w:rPr>
      </w:pPr>
      <w:bookmarkStart w:id="49" w:name="_Toc13585"/>
      <w:r>
        <w:rPr>
          <w:rFonts w:hint="eastAsia" w:ascii="宋体" w:hAnsi="宋体" w:cs="宋体"/>
          <w:kern w:val="0"/>
          <w:sz w:val="28"/>
          <w:highlight w:val="none"/>
        </w:rPr>
        <w:t>1、投标人必须为财产保险公司的总公司</w:t>
      </w:r>
      <w:r>
        <w:rPr>
          <w:rFonts w:hint="eastAsia" w:ascii="宋体" w:hAnsi="宋体" w:cs="宋体"/>
          <w:kern w:val="0"/>
          <w:sz w:val="28"/>
          <w:highlight w:val="none"/>
          <w:lang w:eastAsia="zh-CN"/>
        </w:rPr>
        <w:t>、</w:t>
      </w:r>
      <w:r>
        <w:rPr>
          <w:rFonts w:hint="eastAsia" w:ascii="宋体" w:hAnsi="宋体" w:cs="宋体"/>
          <w:kern w:val="0"/>
          <w:sz w:val="28"/>
          <w:highlight w:val="none"/>
        </w:rPr>
        <w:t>其分公司</w:t>
      </w:r>
      <w:r>
        <w:rPr>
          <w:rFonts w:hint="eastAsia" w:ascii="宋体" w:hAnsi="宋体" w:cs="宋体"/>
          <w:kern w:val="0"/>
          <w:sz w:val="28"/>
          <w:highlight w:val="none"/>
          <w:lang w:eastAsia="zh-CN"/>
        </w:rPr>
        <w:t>、</w:t>
      </w:r>
      <w:r>
        <w:rPr>
          <w:rFonts w:hint="eastAsia" w:ascii="宋体" w:hAnsi="宋体" w:cs="宋体"/>
          <w:kern w:val="0"/>
          <w:sz w:val="28"/>
          <w:highlight w:val="none"/>
        </w:rPr>
        <w:t>支公司或营业部，不接受总公司和其分公司同时参与投标，要求提供营业执照及经营保险业务许可证。</w:t>
      </w:r>
    </w:p>
    <w:p w14:paraId="24E7D690">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2.不接受同一总公司两个（或以上）分公司参与投标（如出现同一总公司有两家或以上分公司参与投标，该两家或以上投标人的投标文件均按无效投标处理）。</w:t>
      </w:r>
    </w:p>
    <w:p w14:paraId="5701220A">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lang w:val="en-US" w:eastAsia="zh-CN"/>
        </w:rPr>
        <w:t>3</w:t>
      </w:r>
      <w:r>
        <w:rPr>
          <w:rFonts w:hint="eastAsia" w:ascii="宋体" w:hAnsi="宋体" w:cs="宋体"/>
          <w:kern w:val="0"/>
          <w:sz w:val="28"/>
          <w:highlight w:val="none"/>
        </w:rPr>
        <w:t>、本项目不接受联合体投标。</w:t>
      </w:r>
    </w:p>
    <w:bookmarkEnd w:id="49"/>
    <w:p w14:paraId="4B2911B0">
      <w:pPr>
        <w:pStyle w:val="4"/>
        <w:spacing w:after="120" w:line="360" w:lineRule="auto"/>
        <w:jc w:val="both"/>
        <w:rPr>
          <w:rStyle w:val="64"/>
          <w:b/>
          <w:highlight w:val="none"/>
          <w:lang w:val="zh-CN"/>
        </w:rPr>
      </w:pPr>
      <w:bookmarkStart w:id="50" w:name="_Toc5030"/>
      <w:bookmarkStart w:id="51" w:name="_Toc1676"/>
      <w:bookmarkStart w:id="52" w:name="_Toc16725"/>
      <w:bookmarkStart w:id="53" w:name="_Toc6536"/>
      <w:bookmarkStart w:id="54" w:name="_Toc25312"/>
      <w:r>
        <w:rPr>
          <w:rStyle w:val="64"/>
          <w:rFonts w:hint="eastAsia"/>
          <w:b/>
          <w:highlight w:val="none"/>
        </w:rPr>
        <w:t>（六）</w:t>
      </w:r>
      <w:r>
        <w:rPr>
          <w:rStyle w:val="64"/>
          <w:rFonts w:hint="eastAsia"/>
          <w:b/>
          <w:highlight w:val="none"/>
          <w:lang w:val="zh-CN"/>
        </w:rPr>
        <w:t>投标文件份数</w:t>
      </w:r>
      <w:bookmarkEnd w:id="50"/>
      <w:bookmarkEnd w:id="51"/>
      <w:bookmarkEnd w:id="52"/>
      <w:bookmarkEnd w:id="53"/>
      <w:bookmarkEnd w:id="54"/>
    </w:p>
    <w:p w14:paraId="3F77CAFE">
      <w:pPr>
        <w:spacing w:line="360" w:lineRule="auto"/>
        <w:ind w:firstLine="560" w:firstLineChars="200"/>
        <w:rPr>
          <w:rFonts w:ascii="宋体 (正文)" w:hAnsi="宋体 (正文)" w:eastAsia="宋体 (正文)" w:cs="宋体 (正文)"/>
          <w:bCs/>
          <w:sz w:val="28"/>
          <w:szCs w:val="21"/>
          <w:highlight w:val="none"/>
        </w:rPr>
      </w:pPr>
      <w:r>
        <w:rPr>
          <w:rFonts w:ascii="宋体 (正文)" w:hAnsi="宋体 (正文)" w:eastAsia="宋体 (正文)" w:cs="宋体 (正文)"/>
          <w:bCs/>
          <w:sz w:val="28"/>
          <w:szCs w:val="21"/>
          <w:highlight w:val="none"/>
        </w:rPr>
        <w:t>投标文件一式</w:t>
      </w:r>
      <w:r>
        <w:rPr>
          <w:rFonts w:hint="eastAsia" w:ascii="宋体 (正文)" w:hAnsi="宋体 (正文)" w:eastAsia="宋体 (正文)" w:cs="宋体 (正文)"/>
          <w:bCs/>
          <w:sz w:val="28"/>
          <w:szCs w:val="21"/>
          <w:highlight w:val="none"/>
          <w:lang w:val="en-US" w:eastAsia="zh-CN"/>
        </w:rPr>
        <w:t>叁</w:t>
      </w:r>
      <w:r>
        <w:rPr>
          <w:rFonts w:ascii="宋体 (正文)" w:hAnsi="宋体 (正文)" w:eastAsia="宋体 (正文)" w:cs="宋体 (正文)"/>
          <w:bCs/>
          <w:sz w:val="28"/>
          <w:szCs w:val="21"/>
          <w:highlight w:val="none"/>
        </w:rPr>
        <w:t>份（其中</w:t>
      </w:r>
      <w:r>
        <w:rPr>
          <w:rFonts w:hint="eastAsia" w:ascii="宋体 (正文)" w:hAnsi="宋体 (正文)" w:eastAsia="宋体 (正文)" w:cs="宋体 (正文)"/>
          <w:bCs/>
          <w:sz w:val="28"/>
          <w:szCs w:val="21"/>
          <w:highlight w:val="none"/>
          <w:lang w:val="en-US" w:eastAsia="zh-CN"/>
        </w:rPr>
        <w:t>壹</w:t>
      </w:r>
      <w:r>
        <w:rPr>
          <w:rFonts w:ascii="宋体 (正文)" w:hAnsi="宋体 (正文)" w:eastAsia="宋体 (正文)" w:cs="宋体 (正文)"/>
          <w:bCs/>
          <w:sz w:val="28"/>
          <w:szCs w:val="21"/>
          <w:highlight w:val="none"/>
        </w:rPr>
        <w:t>份为正本，其余贰份为副本，文件封面上应分别标明“正本”和“副本”字样），另提交电子版一份（</w:t>
      </w:r>
      <w:r>
        <w:rPr>
          <w:rFonts w:hint="eastAsia" w:ascii="宋体 (正文)" w:hAnsi="宋体 (正文)" w:eastAsia="宋体 (正文)" w:cs="宋体 (正文)"/>
          <w:bCs/>
          <w:sz w:val="28"/>
          <w:szCs w:val="21"/>
          <w:highlight w:val="none"/>
          <w:lang w:val="en-US" w:eastAsia="zh-CN"/>
        </w:rPr>
        <w:t>发送至邮箱</w:t>
      </w:r>
      <w:r>
        <w:rPr>
          <w:rFonts w:hint="eastAsia" w:hAnsi="宋体"/>
          <w:kern w:val="0"/>
          <w:sz w:val="28"/>
          <w:highlight w:val="none"/>
          <w:lang w:val="en-US" w:eastAsia="zh-CN"/>
        </w:rPr>
        <w:t>linyaotao</w:t>
      </w:r>
      <w:r>
        <w:rPr>
          <w:rFonts w:hint="eastAsia" w:hAnsi="宋体"/>
          <w:kern w:val="0"/>
          <w:sz w:val="28"/>
          <w:highlight w:val="none"/>
        </w:rPr>
        <w:t>@mtaib.com</w:t>
      </w:r>
      <w:r>
        <w:rPr>
          <w:rFonts w:ascii="宋体 (正文)" w:hAnsi="宋体 (正文)" w:eastAsia="宋体 (正文)" w:cs="宋体 (正文)"/>
          <w:bCs/>
          <w:sz w:val="28"/>
          <w:szCs w:val="21"/>
          <w:highlight w:val="none"/>
        </w:rPr>
        <w:t>）。</w:t>
      </w:r>
    </w:p>
    <w:p w14:paraId="6D547453">
      <w:pPr>
        <w:pStyle w:val="4"/>
        <w:spacing w:after="120" w:line="360" w:lineRule="auto"/>
        <w:jc w:val="both"/>
        <w:rPr>
          <w:rStyle w:val="64"/>
          <w:b/>
          <w:highlight w:val="none"/>
        </w:rPr>
      </w:pPr>
      <w:bookmarkStart w:id="55" w:name="_Toc19840"/>
      <w:bookmarkStart w:id="56" w:name="_Toc3139"/>
      <w:bookmarkStart w:id="57" w:name="_Toc18757"/>
      <w:bookmarkStart w:id="58" w:name="_Toc26548"/>
      <w:bookmarkStart w:id="59" w:name="_Toc29734"/>
      <w:r>
        <w:rPr>
          <w:rStyle w:val="64"/>
          <w:rFonts w:hint="eastAsia"/>
          <w:b/>
          <w:highlight w:val="none"/>
        </w:rPr>
        <w:t>（七）开标时间</w:t>
      </w:r>
      <w:bookmarkEnd w:id="55"/>
      <w:bookmarkEnd w:id="56"/>
      <w:bookmarkEnd w:id="57"/>
      <w:r>
        <w:rPr>
          <w:rStyle w:val="64"/>
          <w:rFonts w:hint="eastAsia"/>
          <w:b/>
          <w:highlight w:val="none"/>
        </w:rPr>
        <w:t>及地点</w:t>
      </w:r>
      <w:bookmarkEnd w:id="58"/>
      <w:bookmarkEnd w:id="59"/>
    </w:p>
    <w:p w14:paraId="5C6B8A3B">
      <w:pPr>
        <w:spacing w:line="360" w:lineRule="auto"/>
        <w:ind w:firstLine="556" w:firstLineChars="200"/>
        <w:rPr>
          <w:highlight w:val="none"/>
        </w:rPr>
      </w:pPr>
      <w:r>
        <w:rPr>
          <w:rFonts w:hint="eastAsia" w:hAnsi="宋体"/>
          <w:b/>
          <w:bCs/>
          <w:w w:val="99"/>
          <w:kern w:val="0"/>
          <w:sz w:val="28"/>
          <w:highlight w:val="none"/>
        </w:rPr>
        <w:t>202</w:t>
      </w:r>
      <w:r>
        <w:rPr>
          <w:rFonts w:hint="eastAsia" w:hAnsi="宋体"/>
          <w:b/>
          <w:bCs/>
          <w:w w:val="99"/>
          <w:kern w:val="0"/>
          <w:sz w:val="28"/>
          <w:highlight w:val="none"/>
          <w:lang w:val="en-US" w:eastAsia="zh-CN"/>
        </w:rPr>
        <w:t>3</w:t>
      </w:r>
      <w:r>
        <w:rPr>
          <w:rFonts w:hint="eastAsia" w:hAnsi="宋体"/>
          <w:b/>
          <w:bCs/>
          <w:w w:val="99"/>
          <w:kern w:val="0"/>
          <w:sz w:val="28"/>
          <w:highlight w:val="none"/>
        </w:rPr>
        <w:t>年</w:t>
      </w:r>
      <w:r>
        <w:rPr>
          <w:rFonts w:hint="eastAsia" w:hAnsi="宋体"/>
          <w:b/>
          <w:bCs/>
          <w:w w:val="99"/>
          <w:kern w:val="0"/>
          <w:sz w:val="28"/>
          <w:highlight w:val="none"/>
          <w:lang w:val="en-US" w:eastAsia="zh-CN"/>
        </w:rPr>
        <w:t>02</w:t>
      </w:r>
      <w:r>
        <w:rPr>
          <w:rFonts w:hint="eastAsia" w:hAnsi="宋体"/>
          <w:b/>
          <w:bCs/>
          <w:w w:val="99"/>
          <w:kern w:val="0"/>
          <w:sz w:val="28"/>
          <w:highlight w:val="none"/>
        </w:rPr>
        <w:t>月</w:t>
      </w:r>
      <w:r>
        <w:rPr>
          <w:rFonts w:hint="eastAsia" w:hAnsi="宋体"/>
          <w:b/>
          <w:bCs/>
          <w:w w:val="99"/>
          <w:kern w:val="0"/>
          <w:sz w:val="28"/>
          <w:highlight w:val="none"/>
          <w:lang w:val="en-US" w:eastAsia="zh-CN"/>
        </w:rPr>
        <w:t>22</w:t>
      </w:r>
      <w:r>
        <w:rPr>
          <w:rFonts w:hint="eastAsia" w:hAnsi="宋体"/>
          <w:b/>
          <w:bCs/>
          <w:w w:val="99"/>
          <w:kern w:val="0"/>
          <w:sz w:val="28"/>
          <w:highlight w:val="none"/>
        </w:rPr>
        <w:t>日</w:t>
      </w:r>
      <w:r>
        <w:rPr>
          <w:rFonts w:hint="eastAsia" w:hAnsi="宋体"/>
          <w:b/>
          <w:bCs/>
          <w:w w:val="99"/>
          <w:kern w:val="0"/>
          <w:sz w:val="28"/>
          <w:highlight w:val="none"/>
          <w:lang w:val="en-US" w:eastAsia="zh-CN"/>
        </w:rPr>
        <w:t>15:0</w:t>
      </w:r>
      <w:r>
        <w:rPr>
          <w:rFonts w:hint="eastAsia" w:hAnsi="宋体"/>
          <w:b/>
          <w:kern w:val="0"/>
          <w:sz w:val="28"/>
          <w:highlight w:val="none"/>
        </w:rPr>
        <w:t>0</w:t>
      </w:r>
      <w:r>
        <w:rPr>
          <w:rFonts w:hint="eastAsia" w:hAnsi="宋体"/>
          <w:bCs/>
          <w:kern w:val="0"/>
          <w:sz w:val="28"/>
          <w:highlight w:val="none"/>
        </w:rPr>
        <w:t>在</w:t>
      </w:r>
      <w:r>
        <w:rPr>
          <w:rFonts w:hint="eastAsia" w:ascii="宋体" w:hAnsi="宋体" w:cs="宋体"/>
          <w:kern w:val="0"/>
          <w:sz w:val="28"/>
          <w:highlight w:val="none"/>
          <w:lang w:eastAsia="zh-CN"/>
        </w:rPr>
        <w:t>深圳市福田区第二人民医院梅亭院区</w:t>
      </w:r>
      <w:r>
        <w:rPr>
          <w:rFonts w:hint="eastAsia" w:ascii="宋体" w:hAnsi="宋体" w:cs="宋体"/>
          <w:kern w:val="0"/>
          <w:sz w:val="28"/>
          <w:highlight w:val="none"/>
          <w:lang w:val="en-US" w:eastAsia="zh-CN"/>
        </w:rPr>
        <w:t>13楼</w:t>
      </w:r>
      <w:r>
        <w:rPr>
          <w:rFonts w:hint="eastAsia" w:ascii="宋体" w:hAnsi="宋体" w:cs="宋体"/>
          <w:kern w:val="0"/>
          <w:sz w:val="28"/>
          <w:highlight w:val="none"/>
          <w:lang w:eastAsia="zh-CN"/>
        </w:rPr>
        <w:t>开标</w:t>
      </w:r>
      <w:r>
        <w:rPr>
          <w:rFonts w:hint="eastAsia" w:ascii="宋体" w:hAnsi="宋体" w:cs="宋体"/>
          <w:b/>
          <w:bCs/>
          <w:kern w:val="0"/>
          <w:sz w:val="28"/>
          <w:highlight w:val="none"/>
          <w:lang w:eastAsia="zh-CN"/>
        </w:rPr>
        <w:t>（具体地址：福田区梅林街道龙尾社区梅亭路1号4栋）</w:t>
      </w:r>
      <w:r>
        <w:rPr>
          <w:rFonts w:hint="eastAsia" w:ascii="宋体" w:hAnsi="宋体" w:cs="宋体"/>
          <w:bCs/>
          <w:kern w:val="0"/>
          <w:sz w:val="28"/>
          <w:highlight w:val="none"/>
        </w:rPr>
        <w:t>开标。</w:t>
      </w:r>
      <w:r>
        <w:rPr>
          <w:rFonts w:hAnsi="宋体"/>
          <w:kern w:val="0"/>
          <w:sz w:val="28"/>
          <w:highlight w:val="none"/>
        </w:rPr>
        <w:t>本项目实行现场投标开标，标书将于开标之时收取。如开标时间有变，将另行通知。本项目所涉及的时间一律为北京时间。</w:t>
      </w:r>
      <w:r>
        <w:rPr>
          <w:kern w:val="0"/>
          <w:sz w:val="28"/>
          <w:highlight w:val="none"/>
        </w:rPr>
        <w:t xml:space="preserve">   </w:t>
      </w:r>
    </w:p>
    <w:p w14:paraId="32E32800">
      <w:pPr>
        <w:pStyle w:val="4"/>
        <w:spacing w:after="120" w:line="360" w:lineRule="auto"/>
        <w:jc w:val="both"/>
        <w:rPr>
          <w:rStyle w:val="64"/>
          <w:b/>
          <w:highlight w:val="none"/>
        </w:rPr>
      </w:pPr>
      <w:bookmarkStart w:id="60" w:name="_Toc13894"/>
      <w:bookmarkStart w:id="61" w:name="_Toc18395"/>
      <w:bookmarkStart w:id="62" w:name="_Toc13176"/>
      <w:bookmarkStart w:id="63" w:name="_Toc30056"/>
      <w:bookmarkStart w:id="64" w:name="_Toc26100"/>
      <w:bookmarkStart w:id="65" w:name="_Toc15870"/>
      <w:bookmarkStart w:id="66" w:name="_Toc13622"/>
      <w:r>
        <w:rPr>
          <w:rStyle w:val="64"/>
          <w:rFonts w:hint="eastAsia"/>
          <w:b/>
          <w:highlight w:val="none"/>
          <w:lang w:val="zh-CN"/>
        </w:rPr>
        <w:t>（</w:t>
      </w:r>
      <w:r>
        <w:rPr>
          <w:rStyle w:val="64"/>
          <w:rFonts w:hint="eastAsia"/>
          <w:b/>
          <w:highlight w:val="none"/>
        </w:rPr>
        <w:t>八</w:t>
      </w:r>
      <w:r>
        <w:rPr>
          <w:rStyle w:val="64"/>
          <w:rFonts w:hint="eastAsia"/>
          <w:b/>
          <w:highlight w:val="none"/>
          <w:lang w:val="zh-CN"/>
        </w:rPr>
        <w:t>）</w:t>
      </w:r>
      <w:r>
        <w:rPr>
          <w:rStyle w:val="64"/>
          <w:rFonts w:hint="eastAsia"/>
          <w:b/>
          <w:highlight w:val="none"/>
        </w:rPr>
        <w:t>答疑事项</w:t>
      </w:r>
      <w:bookmarkEnd w:id="60"/>
      <w:bookmarkEnd w:id="61"/>
      <w:bookmarkEnd w:id="62"/>
      <w:bookmarkEnd w:id="63"/>
      <w:bookmarkEnd w:id="64"/>
      <w:bookmarkEnd w:id="65"/>
    </w:p>
    <w:p w14:paraId="7CA50583">
      <w:pPr>
        <w:spacing w:line="360" w:lineRule="auto"/>
        <w:ind w:firstLine="560" w:firstLineChars="200"/>
        <w:rPr>
          <w:rFonts w:hAnsi="宋体"/>
          <w:kern w:val="0"/>
          <w:sz w:val="28"/>
          <w:highlight w:val="none"/>
        </w:rPr>
      </w:pPr>
      <w:r>
        <w:rPr>
          <w:rFonts w:hAnsi="宋体"/>
          <w:kern w:val="0"/>
          <w:sz w:val="28"/>
          <w:highlight w:val="none"/>
        </w:rPr>
        <w:t>凡对招标文件有任何疑问的，请投标人于</w:t>
      </w:r>
      <w:r>
        <w:rPr>
          <w:rFonts w:hint="eastAsia" w:hAnsi="宋体"/>
          <w:b/>
          <w:bCs/>
          <w:w w:val="99"/>
          <w:kern w:val="0"/>
          <w:sz w:val="28"/>
          <w:highlight w:val="none"/>
        </w:rPr>
        <w:t>202</w:t>
      </w:r>
      <w:r>
        <w:rPr>
          <w:rFonts w:hint="eastAsia" w:hAnsi="宋体"/>
          <w:b/>
          <w:bCs/>
          <w:w w:val="99"/>
          <w:kern w:val="0"/>
          <w:sz w:val="28"/>
          <w:highlight w:val="none"/>
          <w:lang w:val="en-US" w:eastAsia="zh-CN"/>
        </w:rPr>
        <w:t>3</w:t>
      </w:r>
      <w:r>
        <w:rPr>
          <w:rFonts w:hint="eastAsia" w:hAnsi="宋体"/>
          <w:b/>
          <w:bCs/>
          <w:w w:val="99"/>
          <w:kern w:val="0"/>
          <w:sz w:val="28"/>
          <w:highlight w:val="none"/>
        </w:rPr>
        <w:t>年</w:t>
      </w:r>
      <w:r>
        <w:rPr>
          <w:rFonts w:hint="eastAsia" w:hAnsi="宋体"/>
          <w:kern w:val="0"/>
          <w:sz w:val="28"/>
          <w:highlight w:val="none"/>
          <w:lang w:val="en-US" w:eastAsia="zh-CN"/>
        </w:rPr>
        <w:t>02</w:t>
      </w:r>
      <w:r>
        <w:rPr>
          <w:rFonts w:hint="eastAsia" w:hAnsi="宋体"/>
          <w:kern w:val="0"/>
          <w:sz w:val="28"/>
          <w:highlight w:val="none"/>
        </w:rPr>
        <w:t>月</w:t>
      </w:r>
      <w:r>
        <w:rPr>
          <w:rFonts w:hint="eastAsia" w:hAnsi="宋体"/>
          <w:kern w:val="0"/>
          <w:sz w:val="28"/>
          <w:highlight w:val="none"/>
          <w:lang w:val="en-US" w:eastAsia="zh-CN"/>
        </w:rPr>
        <w:t>22</w:t>
      </w:r>
      <w:r>
        <w:rPr>
          <w:rFonts w:hint="eastAsia" w:hAnsi="宋体"/>
          <w:kern w:val="0"/>
          <w:sz w:val="28"/>
          <w:highlight w:val="none"/>
        </w:rPr>
        <w:t>日</w:t>
      </w:r>
      <w:r>
        <w:rPr>
          <w:b/>
          <w:kern w:val="0"/>
          <w:sz w:val="28"/>
          <w:highlight w:val="none"/>
        </w:rPr>
        <w:t>1</w:t>
      </w:r>
      <w:r>
        <w:rPr>
          <w:rFonts w:hint="eastAsia"/>
          <w:b/>
          <w:kern w:val="0"/>
          <w:sz w:val="28"/>
          <w:highlight w:val="none"/>
          <w:lang w:val="en-US" w:eastAsia="zh-CN"/>
        </w:rPr>
        <w:t>2</w:t>
      </w:r>
      <w:r>
        <w:rPr>
          <w:rFonts w:hAnsi="宋体"/>
          <w:b/>
          <w:kern w:val="0"/>
          <w:sz w:val="28"/>
          <w:highlight w:val="none"/>
        </w:rPr>
        <w:t>：</w:t>
      </w:r>
      <w:r>
        <w:rPr>
          <w:b/>
          <w:kern w:val="0"/>
          <w:sz w:val="28"/>
          <w:highlight w:val="none"/>
        </w:rPr>
        <w:t>00</w:t>
      </w:r>
      <w:r>
        <w:rPr>
          <w:rFonts w:hAnsi="宋体"/>
          <w:b/>
          <w:kern w:val="0"/>
          <w:sz w:val="28"/>
          <w:highlight w:val="none"/>
        </w:rPr>
        <w:t>前询问</w:t>
      </w:r>
      <w:r>
        <w:rPr>
          <w:rFonts w:hint="eastAsia" w:hAnsi="宋体"/>
          <w:b/>
          <w:kern w:val="0"/>
          <w:sz w:val="28"/>
          <w:highlight w:val="none"/>
        </w:rPr>
        <w:t>，</w:t>
      </w:r>
      <w:r>
        <w:rPr>
          <w:rFonts w:hint="eastAsia" w:hAnsi="宋体"/>
          <w:bCs/>
          <w:kern w:val="0"/>
          <w:sz w:val="28"/>
          <w:highlight w:val="none"/>
        </w:rPr>
        <w:t>由下列联系人</w:t>
      </w:r>
      <w:r>
        <w:rPr>
          <w:rFonts w:hAnsi="宋体"/>
          <w:kern w:val="0"/>
          <w:sz w:val="28"/>
          <w:highlight w:val="none"/>
        </w:rPr>
        <w:t>回答疑问，逾期不予受理。</w:t>
      </w:r>
    </w:p>
    <w:p w14:paraId="0E93A0CD">
      <w:pPr>
        <w:pStyle w:val="2"/>
        <w:rPr>
          <w:b/>
          <w:bCs/>
          <w:highlight w:val="none"/>
        </w:rPr>
      </w:pPr>
      <w:bookmarkStart w:id="67" w:name="_Toc27828"/>
      <w:bookmarkStart w:id="68" w:name="_Toc13925"/>
      <w:r>
        <w:rPr>
          <w:rStyle w:val="64"/>
          <w:rFonts w:hint="eastAsia"/>
          <w:highlight w:val="none"/>
        </w:rPr>
        <w:t>（九）联系方式</w:t>
      </w:r>
      <w:bookmarkEnd w:id="67"/>
      <w:bookmarkEnd w:id="68"/>
      <w:r>
        <w:rPr>
          <w:rFonts w:hint="eastAsia" w:ascii="宋体" w:hAnsi="宋体" w:cs="宋体"/>
          <w:b/>
          <w:sz w:val="28"/>
          <w:highlight w:val="none"/>
        </w:rPr>
        <w:t>：</w:t>
      </w:r>
    </w:p>
    <w:p w14:paraId="613E05F9">
      <w:pPr>
        <w:widowControl/>
        <w:spacing w:before="120" w:beforeLines="50" w:line="360" w:lineRule="auto"/>
        <w:ind w:left="7" w:leftChars="3"/>
        <w:jc w:val="left"/>
        <w:rPr>
          <w:rFonts w:hint="eastAsia" w:hAnsi="宋体" w:eastAsia="宋体"/>
          <w:kern w:val="0"/>
          <w:sz w:val="28"/>
          <w:highlight w:val="none"/>
          <w:lang w:eastAsia="zh-CN"/>
        </w:rPr>
      </w:pPr>
      <w:bookmarkStart w:id="69" w:name="_Toc16909"/>
      <w:r>
        <w:rPr>
          <w:rFonts w:hint="eastAsia" w:hAnsi="宋体"/>
          <w:kern w:val="0"/>
          <w:sz w:val="28"/>
          <w:highlight w:val="none"/>
        </w:rPr>
        <w:t>招标人：</w:t>
      </w:r>
      <w:r>
        <w:rPr>
          <w:rFonts w:hint="eastAsia" w:hAnsi="宋体"/>
          <w:kern w:val="0"/>
          <w:sz w:val="28"/>
          <w:highlight w:val="none"/>
          <w:lang w:eastAsia="zh-CN"/>
        </w:rPr>
        <w:t>深圳市福田区第二人民医院</w:t>
      </w:r>
    </w:p>
    <w:p w14:paraId="08DB8B18">
      <w:pPr>
        <w:widowControl/>
        <w:spacing w:line="360" w:lineRule="auto"/>
        <w:ind w:left="7" w:leftChars="3"/>
        <w:jc w:val="left"/>
        <w:rPr>
          <w:rFonts w:hint="eastAsia" w:hAnsi="宋体" w:eastAsia="宋体"/>
          <w:kern w:val="0"/>
          <w:sz w:val="28"/>
          <w:highlight w:val="none"/>
          <w:lang w:eastAsia="zh-CN"/>
        </w:rPr>
      </w:pPr>
      <w:r>
        <w:rPr>
          <w:rFonts w:hint="eastAsia" w:hAnsi="宋体"/>
          <w:kern w:val="0"/>
          <w:sz w:val="28"/>
          <w:highlight w:val="none"/>
        </w:rPr>
        <w:t>联系人：</w:t>
      </w:r>
      <w:r>
        <w:rPr>
          <w:rFonts w:hint="eastAsia" w:hAnsi="宋体"/>
          <w:kern w:val="0"/>
          <w:sz w:val="28"/>
          <w:highlight w:val="none"/>
          <w:lang w:val="en-US" w:eastAsia="zh-CN"/>
        </w:rPr>
        <w:t>医务科</w:t>
      </w:r>
    </w:p>
    <w:p w14:paraId="4F373D81">
      <w:pPr>
        <w:widowControl/>
        <w:spacing w:line="360" w:lineRule="auto"/>
        <w:ind w:left="7" w:leftChars="3"/>
        <w:jc w:val="left"/>
        <w:rPr>
          <w:rFonts w:hint="eastAsia" w:hAnsi="宋体"/>
          <w:kern w:val="0"/>
          <w:sz w:val="28"/>
          <w:highlight w:val="none"/>
          <w:lang w:eastAsia="zh-CN"/>
        </w:rPr>
      </w:pPr>
      <w:r>
        <w:rPr>
          <w:rFonts w:hint="eastAsia" w:hAnsi="宋体"/>
          <w:kern w:val="0"/>
          <w:sz w:val="28"/>
          <w:highlight w:val="none"/>
        </w:rPr>
        <w:t>地  址：</w:t>
      </w:r>
      <w:r>
        <w:rPr>
          <w:rFonts w:hint="eastAsia" w:hAnsi="宋体"/>
          <w:kern w:val="0"/>
          <w:sz w:val="28"/>
          <w:highlight w:val="none"/>
          <w:lang w:eastAsia="zh-CN"/>
        </w:rPr>
        <w:t>深圳市福田区上梅林中康路27号、</w:t>
      </w:r>
      <w:r>
        <w:rPr>
          <w:rFonts w:hint="eastAsia" w:hAnsi="宋体"/>
          <w:kern w:val="0"/>
          <w:sz w:val="28"/>
          <w:highlight w:val="none"/>
          <w:lang w:val="en-US" w:eastAsia="zh-CN"/>
        </w:rPr>
        <w:t>25号，</w:t>
      </w:r>
      <w:r>
        <w:rPr>
          <w:rFonts w:hint="eastAsia" w:hAnsi="宋体"/>
          <w:kern w:val="0"/>
          <w:sz w:val="28"/>
          <w:highlight w:val="none"/>
          <w:lang w:eastAsia="zh-CN"/>
        </w:rPr>
        <w:t>梅林街道龙尾社区梅亭路1号4栋</w:t>
      </w:r>
    </w:p>
    <w:p w14:paraId="581FE344">
      <w:pPr>
        <w:widowControl/>
        <w:spacing w:line="360" w:lineRule="auto"/>
        <w:ind w:left="7" w:leftChars="3"/>
        <w:jc w:val="left"/>
        <w:rPr>
          <w:rFonts w:hint="eastAsia" w:ascii="仿宋" w:hAnsi="仿宋" w:eastAsia="仿宋" w:cs="仿宋"/>
          <w:kern w:val="0"/>
          <w:sz w:val="28"/>
          <w:highlight w:val="none"/>
          <w:lang w:val="en-US" w:eastAsia="zh-CN"/>
        </w:rPr>
      </w:pPr>
      <w:r>
        <w:rPr>
          <w:rFonts w:hint="eastAsia" w:hAnsi="宋体"/>
          <w:kern w:val="0"/>
          <w:sz w:val="28"/>
          <w:highlight w:val="none"/>
        </w:rPr>
        <w:t xml:space="preserve">电 话： </w:t>
      </w:r>
      <w:r>
        <w:rPr>
          <w:rFonts w:hint="eastAsia" w:ascii="仿宋" w:hAnsi="仿宋" w:eastAsia="仿宋" w:cs="仿宋"/>
          <w:kern w:val="0"/>
          <w:sz w:val="28"/>
          <w:highlight w:val="none"/>
          <w:lang w:val="en-US" w:eastAsia="zh-CN"/>
        </w:rPr>
        <w:t>0755-83150785</w:t>
      </w:r>
    </w:p>
    <w:p w14:paraId="57E00505">
      <w:pPr>
        <w:widowControl/>
        <w:spacing w:line="360" w:lineRule="auto"/>
        <w:ind w:left="7" w:leftChars="3"/>
        <w:jc w:val="left"/>
        <w:rPr>
          <w:rFonts w:hAnsi="宋体"/>
          <w:kern w:val="0"/>
          <w:sz w:val="28"/>
          <w:highlight w:val="none"/>
        </w:rPr>
      </w:pPr>
    </w:p>
    <w:p w14:paraId="41D0700C">
      <w:pPr>
        <w:widowControl/>
        <w:spacing w:line="360" w:lineRule="auto"/>
        <w:ind w:left="7" w:leftChars="3"/>
        <w:jc w:val="left"/>
        <w:rPr>
          <w:rFonts w:hAnsi="宋体"/>
          <w:kern w:val="0"/>
          <w:sz w:val="28"/>
          <w:highlight w:val="none"/>
        </w:rPr>
      </w:pPr>
      <w:r>
        <w:rPr>
          <w:rFonts w:hint="eastAsia" w:hAnsi="宋体"/>
          <w:kern w:val="0"/>
          <w:sz w:val="28"/>
          <w:highlight w:val="none"/>
        </w:rPr>
        <w:t>经纪人：友太安保险经纪有限公司深圳分公司</w:t>
      </w:r>
    </w:p>
    <w:p w14:paraId="3A589E11">
      <w:pPr>
        <w:widowControl/>
        <w:spacing w:line="360" w:lineRule="auto"/>
        <w:ind w:left="7" w:leftChars="3"/>
        <w:jc w:val="left"/>
        <w:rPr>
          <w:rFonts w:hAnsi="宋体"/>
          <w:kern w:val="0"/>
          <w:sz w:val="28"/>
          <w:highlight w:val="none"/>
        </w:rPr>
      </w:pPr>
      <w:r>
        <w:rPr>
          <w:rFonts w:hint="eastAsia" w:hAnsi="宋体"/>
          <w:kern w:val="0"/>
          <w:sz w:val="28"/>
          <w:highlight w:val="none"/>
        </w:rPr>
        <w:t>联系人：</w:t>
      </w:r>
      <w:r>
        <w:rPr>
          <w:rFonts w:hint="eastAsia" w:hAnsi="宋体"/>
          <w:kern w:val="0"/>
          <w:sz w:val="28"/>
          <w:highlight w:val="none"/>
          <w:lang w:val="en-US" w:eastAsia="zh-CN"/>
        </w:rPr>
        <w:t>林</w:t>
      </w:r>
      <w:r>
        <w:rPr>
          <w:rFonts w:hint="eastAsia" w:hAnsi="宋体"/>
          <w:kern w:val="0"/>
          <w:sz w:val="28"/>
          <w:highlight w:val="none"/>
        </w:rPr>
        <w:t>工</w:t>
      </w:r>
    </w:p>
    <w:p w14:paraId="0F3C41EA">
      <w:pPr>
        <w:widowControl/>
        <w:spacing w:line="360" w:lineRule="auto"/>
        <w:ind w:left="7" w:leftChars="3"/>
        <w:jc w:val="left"/>
        <w:rPr>
          <w:rFonts w:hAnsi="宋体"/>
          <w:kern w:val="0"/>
          <w:sz w:val="28"/>
          <w:highlight w:val="none"/>
        </w:rPr>
      </w:pPr>
      <w:r>
        <w:rPr>
          <w:rFonts w:hint="eastAsia" w:hAnsi="宋体"/>
          <w:kern w:val="0"/>
          <w:sz w:val="28"/>
          <w:highlight w:val="none"/>
        </w:rPr>
        <w:t>地  址：深圳市前海深港合作区南山街道金融街1号弘毅大厦写字楼16A</w:t>
      </w:r>
    </w:p>
    <w:p w14:paraId="7DB843C4">
      <w:pPr>
        <w:widowControl/>
        <w:spacing w:line="360" w:lineRule="auto"/>
        <w:ind w:left="7" w:leftChars="3"/>
        <w:jc w:val="left"/>
        <w:rPr>
          <w:rFonts w:hAnsi="宋体"/>
          <w:kern w:val="0"/>
          <w:sz w:val="28"/>
          <w:highlight w:val="none"/>
        </w:rPr>
      </w:pPr>
      <w:r>
        <w:rPr>
          <w:rFonts w:hint="eastAsia" w:hAnsi="宋体"/>
          <w:kern w:val="0"/>
          <w:sz w:val="28"/>
          <w:highlight w:val="none"/>
        </w:rPr>
        <w:t>电  话：15814617824</w:t>
      </w:r>
    </w:p>
    <w:p w14:paraId="2DBA0218">
      <w:pPr>
        <w:widowControl/>
        <w:spacing w:line="360" w:lineRule="auto"/>
        <w:ind w:left="7" w:leftChars="3"/>
        <w:jc w:val="left"/>
        <w:rPr>
          <w:rFonts w:hAnsi="宋体"/>
          <w:kern w:val="0"/>
          <w:sz w:val="28"/>
          <w:highlight w:val="none"/>
        </w:rPr>
      </w:pPr>
      <w:r>
        <w:rPr>
          <w:rFonts w:hint="eastAsia" w:hAnsi="宋体"/>
          <w:kern w:val="0"/>
          <w:sz w:val="28"/>
          <w:highlight w:val="none"/>
        </w:rPr>
        <w:t>Email ：</w:t>
      </w:r>
      <w:r>
        <w:rPr>
          <w:rFonts w:hint="eastAsia" w:hAnsi="宋体"/>
          <w:kern w:val="0"/>
          <w:sz w:val="28"/>
          <w:highlight w:val="none"/>
          <w:lang w:val="en-US" w:eastAsia="zh-CN"/>
        </w:rPr>
        <w:t>linyaotao</w:t>
      </w:r>
      <w:r>
        <w:rPr>
          <w:rFonts w:hint="eastAsia" w:hAnsi="宋体"/>
          <w:kern w:val="0"/>
          <w:sz w:val="28"/>
          <w:highlight w:val="none"/>
        </w:rPr>
        <w:t>@mtaib.com</w:t>
      </w:r>
    </w:p>
    <w:bookmarkEnd w:id="66"/>
    <w:bookmarkEnd w:id="69"/>
    <w:p w14:paraId="2D7434C2">
      <w:pPr>
        <w:widowControl/>
        <w:spacing w:line="360" w:lineRule="auto"/>
        <w:jc w:val="left"/>
        <w:rPr>
          <w:rFonts w:ascii="宋体" w:hAnsi="宋体" w:cs="宋体"/>
          <w:kern w:val="0"/>
          <w:sz w:val="28"/>
          <w:highlight w:val="none"/>
        </w:rPr>
      </w:pPr>
    </w:p>
    <w:p w14:paraId="6915CC36">
      <w:pPr>
        <w:pStyle w:val="3"/>
        <w:bidi w:val="0"/>
        <w:rPr>
          <w:highlight w:val="none"/>
        </w:rPr>
      </w:pPr>
      <w:bookmarkStart w:id="70" w:name="_Toc20265"/>
      <w:bookmarkStart w:id="71" w:name="_Toc7848_WPSOffice_Level1"/>
      <w:bookmarkStart w:id="72" w:name="_Toc793_WPSOffice_Level1"/>
      <w:bookmarkStart w:id="73" w:name="_Toc29806"/>
      <w:bookmarkStart w:id="74" w:name="_Toc8848"/>
      <w:bookmarkStart w:id="75" w:name="_Toc2851"/>
      <w:bookmarkStart w:id="76" w:name="_Toc18951"/>
      <w:bookmarkStart w:id="77" w:name="_Toc6572"/>
      <w:r>
        <w:rPr>
          <w:rFonts w:hint="eastAsia"/>
          <w:highlight w:val="none"/>
        </w:rPr>
        <w:t>二、</w:t>
      </w:r>
      <w:bookmarkEnd w:id="70"/>
      <w:bookmarkEnd w:id="71"/>
      <w:bookmarkEnd w:id="72"/>
      <w:bookmarkEnd w:id="73"/>
      <w:bookmarkEnd w:id="74"/>
      <w:r>
        <w:rPr>
          <w:rFonts w:hint="eastAsia"/>
          <w:highlight w:val="none"/>
        </w:rPr>
        <w:t>招标项目需求</w:t>
      </w:r>
      <w:bookmarkEnd w:id="75"/>
      <w:bookmarkEnd w:id="76"/>
      <w:bookmarkEnd w:id="77"/>
    </w:p>
    <w:p w14:paraId="116C51F9">
      <w:pPr>
        <w:spacing w:line="360" w:lineRule="auto"/>
        <w:ind w:firstLine="480"/>
        <w:rPr>
          <w:sz w:val="28"/>
          <w:highlight w:val="none"/>
        </w:rPr>
      </w:pPr>
      <w:r>
        <w:rPr>
          <w:rFonts w:hint="eastAsia"/>
          <w:sz w:val="28"/>
          <w:highlight w:val="none"/>
        </w:rPr>
        <w:t>（一）</w:t>
      </w:r>
      <w:r>
        <w:rPr>
          <w:rFonts w:hint="eastAsia"/>
          <w:sz w:val="28"/>
          <w:highlight w:val="none"/>
          <w:lang w:eastAsia="zh-CN"/>
        </w:rPr>
        <w:t>深圳市福田区第二人民医院</w:t>
      </w:r>
      <w:r>
        <w:rPr>
          <w:rFonts w:hint="eastAsia"/>
          <w:sz w:val="28"/>
          <w:highlight w:val="none"/>
        </w:rPr>
        <w:t>简介</w:t>
      </w:r>
    </w:p>
    <w:p w14:paraId="77751240">
      <w:pPr>
        <w:spacing w:line="360" w:lineRule="auto"/>
        <w:ind w:firstLine="480"/>
        <w:rPr>
          <w:sz w:val="28"/>
          <w:highlight w:val="none"/>
        </w:rPr>
      </w:pPr>
      <w:r>
        <w:rPr>
          <w:rFonts w:hint="eastAsia"/>
          <w:sz w:val="28"/>
          <w:highlight w:val="none"/>
          <w:lang w:eastAsia="zh-CN"/>
        </w:rPr>
        <w:t>深圳市福田区第二人民医院原名“深圳市福田梅林医院”，是深圳市福田区区属二级综合性公立医院，由院本部及下属12家社康中心组成。医院始建于1985年，1994年扩建，2010年医院更名为“深圳市福田区第二人民医院”。本部院址在福田区上梅林中康路25-27号，由门诊综合楼、内科楼，外科楼三部分组成，业务用房近1.7万平米</w:t>
      </w:r>
    </w:p>
    <w:p w14:paraId="0BF80FA2">
      <w:pPr>
        <w:spacing w:line="360" w:lineRule="auto"/>
        <w:ind w:firstLine="480"/>
        <w:rPr>
          <w:rFonts w:hint="eastAsia"/>
          <w:sz w:val="28"/>
          <w:highlight w:val="none"/>
        </w:rPr>
      </w:pPr>
      <w:r>
        <w:rPr>
          <w:rFonts w:hint="eastAsia"/>
          <w:sz w:val="28"/>
          <w:highlight w:val="none"/>
        </w:rPr>
        <w:t>（</w:t>
      </w:r>
      <w:r>
        <w:rPr>
          <w:rFonts w:hint="eastAsia"/>
          <w:sz w:val="28"/>
          <w:highlight w:val="none"/>
          <w:lang w:val="en-US" w:eastAsia="zh-CN"/>
        </w:rPr>
        <w:t>二</w:t>
      </w:r>
      <w:r>
        <w:rPr>
          <w:rFonts w:hint="eastAsia"/>
          <w:sz w:val="28"/>
          <w:highlight w:val="none"/>
        </w:rPr>
        <w:t>）招标总体要求如下：</w:t>
      </w:r>
    </w:p>
    <w:p w14:paraId="0E7995C3">
      <w:pPr>
        <w:spacing w:line="360" w:lineRule="auto"/>
        <w:ind w:firstLine="560" w:firstLineChars="200"/>
        <w:rPr>
          <w:rFonts w:ascii="宋体" w:hAnsi="宋体" w:cs="Times New Roman"/>
          <w:sz w:val="28"/>
          <w:highlight w:val="none"/>
        </w:rPr>
      </w:pPr>
      <w:r>
        <w:rPr>
          <w:rFonts w:hint="eastAsia" w:ascii="宋体" w:hAnsi="宋体"/>
          <w:sz w:val="28"/>
          <w:highlight w:val="none"/>
          <w:lang w:val="en-US" w:eastAsia="zh-CN"/>
        </w:rPr>
        <w:t>1.</w:t>
      </w:r>
      <w:r>
        <w:rPr>
          <w:rFonts w:hint="eastAsia" w:ascii="宋体" w:hAnsi="宋体"/>
          <w:sz w:val="28"/>
          <w:highlight w:val="none"/>
        </w:rPr>
        <w:t>本项目确</w:t>
      </w:r>
      <w:r>
        <w:rPr>
          <w:rFonts w:hint="eastAsia" w:ascii="宋体" w:hAnsi="宋体" w:cs="Times New Roman"/>
          <w:sz w:val="28"/>
          <w:highlight w:val="none"/>
        </w:rPr>
        <w:t>定中标保险公司数量为1家。</w:t>
      </w:r>
    </w:p>
    <w:p w14:paraId="15D82FC7">
      <w:pPr>
        <w:spacing w:line="360" w:lineRule="auto"/>
        <w:ind w:firstLine="560" w:firstLineChars="200"/>
        <w:rPr>
          <w:rFonts w:ascii="宋体" w:hAnsi="宋体" w:cs="Times New Roman"/>
          <w:sz w:val="28"/>
          <w:highlight w:val="none"/>
        </w:rPr>
      </w:pPr>
      <w:r>
        <w:rPr>
          <w:rFonts w:hint="eastAsia" w:ascii="宋体" w:hAnsi="宋体" w:cs="Times New Roman"/>
          <w:sz w:val="28"/>
          <w:highlight w:val="none"/>
          <w:lang w:val="en-US" w:eastAsia="zh-CN"/>
        </w:rPr>
        <w:t>2.</w:t>
      </w:r>
      <w:r>
        <w:rPr>
          <w:rFonts w:hint="eastAsia" w:ascii="宋体" w:hAnsi="宋体" w:cs="Times New Roman"/>
          <w:sz w:val="28"/>
          <w:highlight w:val="none"/>
        </w:rPr>
        <w:t>所报的价格已包括本服务项目相关的所有成本、费用、相关税费（以人民币为结算单位）。</w:t>
      </w:r>
    </w:p>
    <w:p w14:paraId="25FBE8E7">
      <w:pPr>
        <w:spacing w:line="360" w:lineRule="auto"/>
        <w:ind w:firstLine="560" w:firstLineChars="200"/>
        <w:rPr>
          <w:rFonts w:ascii="宋体" w:hAnsi="宋体"/>
          <w:w w:val="99"/>
          <w:sz w:val="28"/>
          <w:highlight w:val="none"/>
        </w:rPr>
      </w:pPr>
      <w:r>
        <w:rPr>
          <w:rFonts w:hint="eastAsia" w:ascii="宋体" w:hAnsi="宋体" w:cs="Times New Roman"/>
          <w:sz w:val="28"/>
          <w:highlight w:val="none"/>
          <w:lang w:val="en-US" w:eastAsia="zh-CN"/>
        </w:rPr>
        <w:t>3.</w:t>
      </w:r>
      <w:r>
        <w:rPr>
          <w:rFonts w:hint="eastAsia" w:ascii="宋体" w:hAnsi="宋体" w:cs="Times New Roman"/>
          <w:sz w:val="28"/>
          <w:highlight w:val="none"/>
        </w:rPr>
        <w:t>本项目的预算控制金额为人民币伍</w:t>
      </w:r>
      <w:r>
        <w:rPr>
          <w:rFonts w:hint="eastAsia" w:ascii="宋体" w:hAnsi="宋体"/>
          <w:w w:val="99"/>
          <w:sz w:val="28"/>
          <w:highlight w:val="none"/>
        </w:rPr>
        <w:t>拾万元整(</w:t>
      </w:r>
      <w:r>
        <w:rPr>
          <w:rFonts w:hint="eastAsia" w:ascii="宋体" w:hAnsi="宋体"/>
          <w:w w:val="99"/>
          <w:sz w:val="28"/>
          <w:highlight w:val="none"/>
          <w:lang w:val="en-US" w:eastAsia="zh-CN"/>
        </w:rPr>
        <w:t>500</w:t>
      </w:r>
      <w:r>
        <w:rPr>
          <w:rFonts w:hint="eastAsia" w:ascii="宋体" w:hAnsi="宋体"/>
          <w:w w:val="99"/>
          <w:sz w:val="28"/>
          <w:highlight w:val="none"/>
        </w:rPr>
        <w:t>,000.00)</w:t>
      </w:r>
      <w:r>
        <w:rPr>
          <w:rFonts w:hint="eastAsia" w:ascii="宋体" w:hAnsi="宋体"/>
          <w:sz w:val="28"/>
          <w:highlight w:val="none"/>
        </w:rPr>
        <w:t>，超出此预算控制金额的投标报价将导致其投标无效。</w:t>
      </w:r>
    </w:p>
    <w:p w14:paraId="50BA39C6">
      <w:pPr>
        <w:spacing w:line="360" w:lineRule="auto"/>
        <w:ind w:firstLine="560" w:firstLineChars="200"/>
        <w:rPr>
          <w:rFonts w:hint="default" w:ascii="宋体" w:hAnsi="宋体"/>
          <w:sz w:val="28"/>
          <w:highlight w:val="none"/>
          <w:lang w:val="en-US" w:eastAsia="zh-CN"/>
        </w:rPr>
      </w:pPr>
      <w:r>
        <w:rPr>
          <w:rFonts w:hint="eastAsia" w:ascii="宋体" w:hAnsi="宋体"/>
          <w:sz w:val="28"/>
          <w:highlight w:val="none"/>
          <w:lang w:val="en-US" w:eastAsia="zh-CN"/>
        </w:rPr>
        <w:t>4</w:t>
      </w:r>
      <w:r>
        <w:rPr>
          <w:rFonts w:hint="default" w:ascii="宋体" w:hAnsi="宋体"/>
          <w:sz w:val="28"/>
          <w:highlight w:val="none"/>
          <w:lang w:val="en-US" w:eastAsia="zh-CN"/>
        </w:rPr>
        <w:t>.本项目的保险经纪为友太安保险经纪有限公司深圳分公司，投标人中标后需与保险经纪人配合。</w:t>
      </w:r>
    </w:p>
    <w:p w14:paraId="6FD2B64E">
      <w:pPr>
        <w:spacing w:line="360" w:lineRule="auto"/>
        <w:ind w:firstLine="560" w:firstLineChars="200"/>
        <w:rPr>
          <w:rFonts w:ascii="宋体" w:hAnsi="宋体"/>
          <w:sz w:val="28"/>
          <w:highlight w:val="none"/>
        </w:rPr>
      </w:pPr>
      <w:r>
        <w:rPr>
          <w:rFonts w:hint="eastAsia" w:ascii="宋体" w:hAnsi="宋体"/>
          <w:sz w:val="28"/>
          <w:highlight w:val="none"/>
          <w:lang w:val="en-US" w:eastAsia="zh-CN"/>
        </w:rPr>
        <w:t>5.</w:t>
      </w:r>
      <w:r>
        <w:rPr>
          <w:rFonts w:hint="eastAsia" w:ascii="宋体" w:hAnsi="宋体"/>
          <w:sz w:val="28"/>
          <w:highlight w:val="none"/>
        </w:rPr>
        <w:t>投标人的投标报价中已包含保险经纪费用，由中标人支付给保险经纪</w:t>
      </w:r>
      <w:r>
        <w:rPr>
          <w:rFonts w:hint="eastAsia" w:ascii="宋体" w:hAnsi="宋体"/>
          <w:sz w:val="28"/>
          <w:highlight w:val="none"/>
          <w:lang w:val="en-US" w:eastAsia="zh-CN"/>
        </w:rPr>
        <w:t>公司</w:t>
      </w:r>
      <w:r>
        <w:rPr>
          <w:rFonts w:hint="eastAsia" w:ascii="宋体" w:hAnsi="宋体"/>
          <w:sz w:val="28"/>
          <w:highlight w:val="none"/>
        </w:rPr>
        <w:t>。</w:t>
      </w:r>
    </w:p>
    <w:p w14:paraId="570C577D">
      <w:pPr>
        <w:spacing w:line="360" w:lineRule="auto"/>
        <w:ind w:firstLine="560" w:firstLineChars="200"/>
        <w:rPr>
          <w:rFonts w:hint="eastAsia" w:ascii="宋体" w:hAnsi="宋体"/>
          <w:sz w:val="28"/>
          <w:highlight w:val="none"/>
          <w:lang w:val="en-US" w:eastAsia="zh-CN"/>
        </w:rPr>
      </w:pPr>
      <w:r>
        <w:rPr>
          <w:rFonts w:hint="eastAsia" w:ascii="宋体" w:hAnsi="宋体"/>
          <w:sz w:val="28"/>
          <w:highlight w:val="none"/>
          <w:lang w:val="en-US" w:eastAsia="zh-CN"/>
        </w:rPr>
        <w:t>6.本项目服务期限最长为36个月，合同一年一签，如院方对履约情况不满意，可不再续约。</w:t>
      </w:r>
    </w:p>
    <w:p w14:paraId="03990918">
      <w:pPr>
        <w:spacing w:line="360" w:lineRule="auto"/>
        <w:jc w:val="left"/>
        <w:rPr>
          <w:rFonts w:ascii="宋体" w:hAnsi="宋体"/>
          <w:sz w:val="28"/>
          <w:szCs w:val="21"/>
          <w:highlight w:val="none"/>
        </w:rPr>
      </w:pPr>
    </w:p>
    <w:p w14:paraId="4BD64B2B">
      <w:pPr>
        <w:pStyle w:val="3"/>
        <w:bidi w:val="0"/>
        <w:rPr>
          <w:highlight w:val="none"/>
        </w:rPr>
      </w:pPr>
      <w:bookmarkStart w:id="78" w:name="_Toc27789_WPSOffice_Level1"/>
      <w:bookmarkStart w:id="79" w:name="_Toc4871"/>
      <w:bookmarkStart w:id="80" w:name="_Toc7725"/>
      <w:bookmarkStart w:id="81" w:name="_Toc6841"/>
      <w:bookmarkStart w:id="82" w:name="_Toc17364"/>
      <w:bookmarkStart w:id="83" w:name="_Toc1983_WPSOffice_Level1"/>
      <w:bookmarkStart w:id="84" w:name="_Toc9348"/>
      <w:bookmarkStart w:id="85" w:name="_Toc19498"/>
      <w:r>
        <w:rPr>
          <w:rFonts w:hint="eastAsia"/>
          <w:highlight w:val="none"/>
        </w:rPr>
        <w:t>三、投标</w:t>
      </w:r>
      <w:bookmarkEnd w:id="78"/>
      <w:bookmarkEnd w:id="79"/>
      <w:bookmarkStart w:id="86" w:name="_Toc138647050"/>
      <w:bookmarkStart w:id="87" w:name="_Toc199154622"/>
      <w:r>
        <w:rPr>
          <w:rFonts w:hint="eastAsia"/>
          <w:highlight w:val="none"/>
        </w:rPr>
        <w:t>文件</w:t>
      </w:r>
      <w:bookmarkEnd w:id="80"/>
      <w:bookmarkEnd w:id="81"/>
      <w:bookmarkEnd w:id="82"/>
      <w:bookmarkEnd w:id="83"/>
      <w:bookmarkEnd w:id="84"/>
      <w:bookmarkEnd w:id="85"/>
    </w:p>
    <w:p w14:paraId="3D5DAA98">
      <w:pPr>
        <w:pStyle w:val="4"/>
        <w:spacing w:after="120" w:line="360" w:lineRule="auto"/>
        <w:rPr>
          <w:highlight w:val="none"/>
        </w:rPr>
      </w:pPr>
      <w:bookmarkStart w:id="88" w:name="_Toc24145"/>
      <w:bookmarkStart w:id="89" w:name="_Toc8717_WPSOffice_Level2"/>
      <w:bookmarkStart w:id="90" w:name="_Toc5823"/>
      <w:bookmarkStart w:id="91" w:name="_Toc7364"/>
      <w:bookmarkStart w:id="92" w:name="_Toc12371"/>
      <w:bookmarkStart w:id="93" w:name="_Toc4691"/>
      <w:bookmarkStart w:id="94" w:name="_Toc13801"/>
      <w:r>
        <w:rPr>
          <w:rFonts w:hint="eastAsia"/>
          <w:highlight w:val="none"/>
        </w:rPr>
        <w:t>（一）投标文件的编制</w:t>
      </w:r>
      <w:bookmarkEnd w:id="88"/>
      <w:bookmarkEnd w:id="89"/>
      <w:bookmarkEnd w:id="90"/>
      <w:bookmarkEnd w:id="91"/>
      <w:bookmarkEnd w:id="92"/>
      <w:bookmarkEnd w:id="93"/>
      <w:bookmarkEnd w:id="94"/>
    </w:p>
    <w:p w14:paraId="44EF202F">
      <w:pPr>
        <w:spacing w:line="360" w:lineRule="auto"/>
        <w:ind w:firstLine="560" w:firstLineChars="200"/>
        <w:rPr>
          <w:rFonts w:ascii="宋体" w:hAnsi="宋体"/>
          <w:sz w:val="28"/>
          <w:highlight w:val="none"/>
        </w:rPr>
      </w:pPr>
      <w:r>
        <w:rPr>
          <w:rFonts w:hint="eastAsia" w:ascii="宋体" w:hAnsi="宋体"/>
          <w:sz w:val="28"/>
          <w:highlight w:val="none"/>
        </w:rPr>
        <w:t>投标人必须按照本招标文件中“</w:t>
      </w:r>
      <w:r>
        <w:rPr>
          <w:rFonts w:hint="eastAsia" w:ascii="宋体" w:hAnsi="宋体" w:eastAsia="黑体"/>
          <w:kern w:val="44"/>
          <w:sz w:val="28"/>
          <w:szCs w:val="44"/>
          <w:highlight w:val="none"/>
        </w:rPr>
        <w:t>十、投标文件格式、附件</w:t>
      </w:r>
      <w:r>
        <w:rPr>
          <w:rFonts w:hint="eastAsia" w:ascii="宋体" w:hAnsi="宋体"/>
          <w:sz w:val="28"/>
          <w:highlight w:val="none"/>
        </w:rPr>
        <w:t>”要求及格式编制投标文件，并按顺序装订成册，并附电子版投标书，每页标好页码。投标人所投标书如因未按</w:t>
      </w:r>
      <w:r>
        <w:rPr>
          <w:rFonts w:hint="eastAsia" w:ascii="宋体" w:hAnsi="宋体" w:cs="宋体"/>
          <w:sz w:val="28"/>
          <w:highlight w:val="none"/>
        </w:rPr>
        <w:t>要求装订成册而造成所投标书资料缺失，影响评标结果的，由该投标人承担全部责任</w:t>
      </w:r>
      <w:r>
        <w:rPr>
          <w:rFonts w:hint="eastAsia" w:ascii="宋体" w:hAnsi="宋体"/>
          <w:sz w:val="28"/>
          <w:highlight w:val="none"/>
        </w:rPr>
        <w:t>。</w:t>
      </w:r>
    </w:p>
    <w:p w14:paraId="6E920C0F">
      <w:pPr>
        <w:pStyle w:val="4"/>
        <w:spacing w:after="120" w:line="360" w:lineRule="auto"/>
        <w:rPr>
          <w:highlight w:val="none"/>
        </w:rPr>
      </w:pPr>
      <w:bookmarkStart w:id="95" w:name="_3.2_投标文件的提交"/>
      <w:bookmarkEnd w:id="95"/>
      <w:bookmarkStart w:id="96" w:name="_Toc24177_WPSOffice_Level2"/>
      <w:bookmarkStart w:id="97" w:name="_Toc199154623"/>
      <w:bookmarkStart w:id="98" w:name="_Toc23055"/>
      <w:bookmarkStart w:id="99" w:name="_Toc11700"/>
      <w:bookmarkStart w:id="100" w:name="_Toc138647051"/>
      <w:bookmarkStart w:id="101" w:name="_Toc1283"/>
      <w:bookmarkStart w:id="102" w:name="_Toc11501"/>
      <w:bookmarkStart w:id="103" w:name="_Toc929"/>
      <w:bookmarkStart w:id="104" w:name="_Toc14948"/>
      <w:r>
        <w:rPr>
          <w:rFonts w:hint="eastAsia"/>
          <w:highlight w:val="none"/>
        </w:rPr>
        <w:t>（二）投标文件的提交</w:t>
      </w:r>
      <w:bookmarkEnd w:id="96"/>
      <w:bookmarkEnd w:id="97"/>
      <w:bookmarkEnd w:id="98"/>
      <w:bookmarkEnd w:id="99"/>
      <w:bookmarkEnd w:id="100"/>
      <w:bookmarkEnd w:id="101"/>
      <w:bookmarkEnd w:id="102"/>
      <w:bookmarkEnd w:id="103"/>
      <w:bookmarkEnd w:id="104"/>
    </w:p>
    <w:p w14:paraId="18066C07">
      <w:pPr>
        <w:spacing w:line="360" w:lineRule="auto"/>
        <w:ind w:firstLine="560" w:firstLineChars="200"/>
        <w:rPr>
          <w:rFonts w:ascii="宋体" w:hAnsi="宋体"/>
          <w:b/>
          <w:bCs/>
          <w:sz w:val="28"/>
          <w:highlight w:val="none"/>
        </w:rPr>
      </w:pPr>
      <w:r>
        <w:rPr>
          <w:rFonts w:hint="eastAsia" w:ascii="宋体" w:hAnsi="宋体"/>
          <w:sz w:val="28"/>
          <w:highlight w:val="none"/>
        </w:rPr>
        <w:t>1.投标文件分“正本”和“副本”打印，分别装订成册，并在封面右上角标明“正本”或“副本”字样。如出现“正本”与“副本”内容不一致，以正本为准。本次投标要求</w:t>
      </w:r>
      <w:r>
        <w:rPr>
          <w:rFonts w:hint="eastAsia" w:ascii="宋体" w:hAnsi="宋体"/>
          <w:b/>
          <w:bCs/>
          <w:sz w:val="28"/>
          <w:highlight w:val="none"/>
        </w:rPr>
        <w:t>正本1份、副本2份、附电子版投标书1份。</w:t>
      </w:r>
    </w:p>
    <w:p w14:paraId="18A59D34">
      <w:pPr>
        <w:spacing w:line="360" w:lineRule="auto"/>
        <w:ind w:firstLine="560" w:firstLineChars="200"/>
        <w:rPr>
          <w:rFonts w:ascii="宋体" w:hAnsi="宋体"/>
          <w:sz w:val="28"/>
          <w:highlight w:val="none"/>
        </w:rPr>
      </w:pPr>
      <w:r>
        <w:rPr>
          <w:rFonts w:hint="eastAsia" w:ascii="宋体" w:hAnsi="宋体"/>
          <w:sz w:val="28"/>
          <w:highlight w:val="none"/>
        </w:rPr>
        <w:t>2.投标文件必须密封。投标文件的密封袋封口处应贴封条并加盖投标人章。</w:t>
      </w:r>
    </w:p>
    <w:p w14:paraId="3F1F3107">
      <w:pPr>
        <w:spacing w:line="360" w:lineRule="auto"/>
        <w:ind w:firstLine="560" w:firstLineChars="200"/>
        <w:rPr>
          <w:rFonts w:ascii="宋体" w:hAnsi="宋体"/>
          <w:sz w:val="28"/>
          <w:highlight w:val="none"/>
        </w:rPr>
      </w:pPr>
      <w:r>
        <w:rPr>
          <w:rFonts w:hint="eastAsia" w:ascii="宋体" w:hAnsi="宋体"/>
          <w:sz w:val="28"/>
          <w:highlight w:val="none"/>
        </w:rPr>
        <w:t>3.在投标文件（资质资料与投标书）密封袋上均应注明下列识别标志：</w:t>
      </w:r>
    </w:p>
    <w:p w14:paraId="1B530A35">
      <w:pPr>
        <w:numPr>
          <w:ilvl w:val="0"/>
          <w:numId w:val="1"/>
        </w:numPr>
        <w:spacing w:line="360" w:lineRule="auto"/>
        <w:ind w:left="0" w:firstLine="560" w:firstLineChars="200"/>
        <w:rPr>
          <w:rFonts w:ascii="宋体" w:hAnsi="宋体"/>
          <w:sz w:val="28"/>
          <w:highlight w:val="none"/>
        </w:rPr>
      </w:pPr>
      <w:r>
        <w:rPr>
          <w:rFonts w:hint="eastAsia" w:ascii="宋体" w:hAnsi="宋体"/>
          <w:sz w:val="28"/>
          <w:highlight w:val="none"/>
        </w:rPr>
        <w:t>项目名称、招标编号及正本或副本字样；</w:t>
      </w:r>
    </w:p>
    <w:p w14:paraId="0C0DD863">
      <w:pPr>
        <w:numPr>
          <w:ilvl w:val="0"/>
          <w:numId w:val="1"/>
        </w:numPr>
        <w:spacing w:line="360" w:lineRule="auto"/>
        <w:ind w:left="0" w:firstLine="560" w:firstLineChars="200"/>
        <w:rPr>
          <w:rFonts w:ascii="宋体" w:hAnsi="宋体"/>
          <w:sz w:val="28"/>
          <w:highlight w:val="none"/>
        </w:rPr>
      </w:pPr>
      <w:r>
        <w:rPr>
          <w:rFonts w:hint="eastAsia" w:ascii="宋体" w:hAnsi="宋体"/>
          <w:sz w:val="28"/>
          <w:highlight w:val="none"/>
          <w:lang w:eastAsia="zh-CN"/>
        </w:rPr>
        <w:t>2023年</w:t>
      </w:r>
      <w:r>
        <w:rPr>
          <w:rFonts w:hint="eastAsia" w:ascii="宋体" w:hAnsi="宋体"/>
          <w:sz w:val="28"/>
          <w:highlight w:val="none"/>
          <w:lang w:val="en-US" w:eastAsia="zh-CN"/>
        </w:rPr>
        <w:t>02</w:t>
      </w:r>
      <w:r>
        <w:rPr>
          <w:rFonts w:hint="eastAsia" w:ascii="宋体" w:hAnsi="宋体"/>
          <w:sz w:val="28"/>
          <w:highlight w:val="none"/>
          <w:lang w:eastAsia="zh-CN"/>
        </w:rPr>
        <w:t>月</w:t>
      </w:r>
      <w:r>
        <w:rPr>
          <w:rFonts w:hint="eastAsia" w:ascii="宋体" w:hAnsi="宋体"/>
          <w:sz w:val="28"/>
          <w:highlight w:val="none"/>
          <w:lang w:val="en-US" w:eastAsia="zh-CN"/>
        </w:rPr>
        <w:t>22</w:t>
      </w:r>
      <w:r>
        <w:rPr>
          <w:rFonts w:hint="eastAsia" w:ascii="宋体" w:hAnsi="宋体"/>
          <w:sz w:val="28"/>
          <w:highlight w:val="none"/>
          <w:lang w:eastAsia="zh-CN"/>
        </w:rPr>
        <w:t>日</w:t>
      </w:r>
      <w:r>
        <w:rPr>
          <w:rFonts w:hint="eastAsia" w:ascii="宋体" w:hAnsi="宋体"/>
          <w:sz w:val="28"/>
          <w:highlight w:val="none"/>
          <w:lang w:val="en-US" w:eastAsia="zh-CN"/>
        </w:rPr>
        <w:t>15:00</w:t>
      </w:r>
      <w:r>
        <w:rPr>
          <w:rFonts w:hint="eastAsia" w:ascii="宋体" w:hAnsi="宋体"/>
          <w:sz w:val="28"/>
          <w:highlight w:val="none"/>
        </w:rPr>
        <w:t>开标，此时间以前不得开封；</w:t>
      </w:r>
    </w:p>
    <w:p w14:paraId="08BA4B4D">
      <w:pPr>
        <w:numPr>
          <w:ilvl w:val="0"/>
          <w:numId w:val="1"/>
        </w:numPr>
        <w:spacing w:line="360" w:lineRule="auto"/>
        <w:ind w:left="0" w:firstLine="560" w:firstLineChars="200"/>
        <w:rPr>
          <w:rFonts w:ascii="宋体" w:hAnsi="宋体"/>
          <w:sz w:val="28"/>
          <w:highlight w:val="none"/>
        </w:rPr>
      </w:pPr>
      <w:r>
        <w:rPr>
          <w:rFonts w:hint="eastAsia" w:ascii="宋体" w:hAnsi="宋体"/>
          <w:sz w:val="28"/>
          <w:highlight w:val="none"/>
        </w:rPr>
        <w:t>投标单位名称。</w:t>
      </w:r>
    </w:p>
    <w:p w14:paraId="1BB7A3C7">
      <w:pPr>
        <w:pStyle w:val="2"/>
        <w:rPr>
          <w:highlight w:val="none"/>
        </w:rPr>
      </w:pPr>
    </w:p>
    <w:p w14:paraId="795AC2E0">
      <w:pPr>
        <w:pStyle w:val="3"/>
        <w:bidi w:val="0"/>
        <w:rPr>
          <w:highlight w:val="none"/>
        </w:rPr>
      </w:pPr>
      <w:bookmarkStart w:id="105" w:name="_Toc199154627"/>
      <w:bookmarkStart w:id="106" w:name="_Toc27596_WPSOffice_Level1"/>
      <w:bookmarkStart w:id="107" w:name="_Toc31130"/>
      <w:bookmarkStart w:id="108" w:name="_Toc19173"/>
      <w:bookmarkStart w:id="109" w:name="_Toc10306"/>
      <w:bookmarkStart w:id="110" w:name="_Toc138647055"/>
      <w:bookmarkStart w:id="111" w:name="_Toc23631"/>
      <w:bookmarkStart w:id="112" w:name="_Toc30406"/>
      <w:bookmarkStart w:id="113" w:name="_Toc10628"/>
      <w:r>
        <w:rPr>
          <w:rFonts w:hint="eastAsia"/>
          <w:highlight w:val="none"/>
        </w:rPr>
        <w:t>四、开标</w:t>
      </w:r>
      <w:bookmarkEnd w:id="105"/>
      <w:bookmarkEnd w:id="106"/>
      <w:bookmarkEnd w:id="107"/>
      <w:bookmarkEnd w:id="108"/>
      <w:bookmarkEnd w:id="109"/>
      <w:bookmarkEnd w:id="110"/>
      <w:bookmarkEnd w:id="111"/>
      <w:r>
        <w:rPr>
          <w:rFonts w:hint="eastAsia"/>
          <w:highlight w:val="none"/>
        </w:rPr>
        <w:t>及评标</w:t>
      </w:r>
      <w:bookmarkEnd w:id="112"/>
      <w:bookmarkEnd w:id="113"/>
    </w:p>
    <w:p w14:paraId="7597AD3F">
      <w:pPr>
        <w:pStyle w:val="8"/>
        <w:ind w:firstLine="562"/>
        <w:rPr>
          <w:rFonts w:ascii="宋体" w:hAnsi="宋体"/>
          <w:b/>
          <w:bCs/>
          <w:sz w:val="28"/>
          <w:highlight w:val="none"/>
        </w:rPr>
      </w:pPr>
      <w:bookmarkStart w:id="114" w:name="_Toc22918"/>
      <w:bookmarkStart w:id="115" w:name="_Toc3672"/>
      <w:bookmarkStart w:id="116" w:name="_Toc29252"/>
      <w:bookmarkStart w:id="117" w:name="_Toc25767"/>
      <w:bookmarkStart w:id="118" w:name="_Toc3803_WPSOffice_Level1"/>
      <w:r>
        <w:rPr>
          <w:rFonts w:hint="eastAsia" w:ascii="宋体" w:hAnsi="宋体"/>
          <w:b/>
          <w:bCs/>
          <w:sz w:val="28"/>
          <w:highlight w:val="none"/>
        </w:rPr>
        <w:t>（一）评标委员会</w:t>
      </w:r>
      <w:bookmarkEnd w:id="114"/>
      <w:bookmarkEnd w:id="115"/>
      <w:bookmarkEnd w:id="116"/>
      <w:bookmarkEnd w:id="117"/>
      <w:bookmarkEnd w:id="118"/>
    </w:p>
    <w:p w14:paraId="13B4E8F6">
      <w:pPr>
        <w:pStyle w:val="8"/>
        <w:ind w:firstLine="560"/>
        <w:rPr>
          <w:rFonts w:ascii="宋体" w:hAnsi="宋体"/>
          <w:sz w:val="28"/>
          <w:highlight w:val="none"/>
        </w:rPr>
      </w:pPr>
      <w:r>
        <w:rPr>
          <w:rFonts w:hint="eastAsia" w:ascii="宋体" w:hAnsi="宋体"/>
          <w:sz w:val="28"/>
          <w:highlight w:val="none"/>
        </w:rPr>
        <w:t>1. 招标人将根据深圳市政府有关规定及招标项目的特点组建评标委员会，其成员由</w:t>
      </w:r>
      <w:r>
        <w:rPr>
          <w:rFonts w:hint="eastAsia" w:ascii="宋体 (正文)" w:hAnsi="宋体 (正文)" w:eastAsia="宋体 (正文)" w:cs="宋体 (正文)"/>
          <w:sz w:val="28"/>
          <w:highlight w:val="none"/>
        </w:rPr>
        <w:t>招标人</w:t>
      </w:r>
      <w:r>
        <w:rPr>
          <w:rFonts w:hint="eastAsia" w:ascii="宋体" w:hAnsi="宋体"/>
          <w:sz w:val="28"/>
          <w:highlight w:val="none"/>
        </w:rPr>
        <w:t>委派代表组成，成员人数不少于5人以上单数。评标委员会将对投标文件进行审查、质疑、评估和比较。</w:t>
      </w:r>
    </w:p>
    <w:p w14:paraId="2D0C8642">
      <w:pPr>
        <w:pStyle w:val="8"/>
        <w:ind w:firstLine="560"/>
        <w:rPr>
          <w:rFonts w:ascii="宋体" w:hAnsi="宋体"/>
          <w:sz w:val="28"/>
          <w:highlight w:val="none"/>
        </w:rPr>
      </w:pPr>
      <w:r>
        <w:rPr>
          <w:rFonts w:hint="eastAsia" w:ascii="宋体" w:hAnsi="宋体"/>
          <w:sz w:val="28"/>
          <w:highlight w:val="none"/>
        </w:rPr>
        <w:t>2. 各评委必须本着公平、公正的原则，严格按照招标文件的要求进行评标。</w:t>
      </w:r>
    </w:p>
    <w:p w14:paraId="0EC7B71F">
      <w:pPr>
        <w:pStyle w:val="8"/>
        <w:ind w:firstLine="560"/>
        <w:rPr>
          <w:rFonts w:ascii="宋体" w:hAnsi="宋体"/>
          <w:sz w:val="28"/>
          <w:highlight w:val="none"/>
        </w:rPr>
      </w:pPr>
      <w:r>
        <w:rPr>
          <w:rFonts w:hint="eastAsia" w:ascii="宋体" w:hAnsi="宋体"/>
          <w:sz w:val="28"/>
          <w:highlight w:val="none"/>
        </w:rPr>
        <w:t>3.开标后，直到授予中标人合同为止，凡属于对投标文件的审查、澄清、评价和比较有关的资料以及中标</w:t>
      </w:r>
      <w:r>
        <w:rPr>
          <w:rFonts w:hint="eastAsia" w:ascii="宋体" w:hAnsi="宋体"/>
          <w:sz w:val="28"/>
          <w:highlight w:val="none"/>
          <w:lang w:eastAsia="zh-CN"/>
        </w:rPr>
        <w:t>候选人</w:t>
      </w:r>
      <w:r>
        <w:rPr>
          <w:rFonts w:hint="eastAsia" w:ascii="宋体" w:hAnsi="宋体"/>
          <w:sz w:val="28"/>
          <w:highlight w:val="none"/>
        </w:rPr>
        <w:t>的推荐情况，与评标有关的其他任何情况均严格保密。</w:t>
      </w:r>
    </w:p>
    <w:p w14:paraId="643ABCBE">
      <w:pPr>
        <w:pStyle w:val="8"/>
        <w:ind w:firstLine="562"/>
        <w:rPr>
          <w:rFonts w:ascii="宋体" w:hAnsi="宋体"/>
          <w:b/>
          <w:bCs/>
          <w:sz w:val="28"/>
          <w:highlight w:val="none"/>
        </w:rPr>
      </w:pPr>
      <w:r>
        <w:rPr>
          <w:rFonts w:hint="eastAsia" w:ascii="宋体" w:hAnsi="宋体"/>
          <w:b/>
          <w:bCs/>
          <w:sz w:val="28"/>
          <w:highlight w:val="none"/>
        </w:rPr>
        <w:t>（二）开标</w:t>
      </w:r>
    </w:p>
    <w:p w14:paraId="7CF8C5B7">
      <w:pPr>
        <w:pStyle w:val="95"/>
        <w:adjustRightInd w:val="0"/>
        <w:snapToGrid w:val="0"/>
        <w:ind w:firstLine="560" w:firstLineChars="200"/>
        <w:jc w:val="both"/>
        <w:rPr>
          <w:rFonts w:ascii="宋体 (正文)" w:hAnsi="宋体 (正文)" w:eastAsia="宋体 (正文)" w:cs="宋体 (正文)"/>
          <w:sz w:val="28"/>
          <w:szCs w:val="24"/>
          <w:highlight w:val="none"/>
        </w:rPr>
      </w:pPr>
      <w:bookmarkStart w:id="119" w:name="_Toc199154629"/>
      <w:bookmarkStart w:id="120" w:name="_Toc138647057"/>
      <w:r>
        <w:rPr>
          <w:rFonts w:hint="eastAsia" w:ascii="宋体" w:hAnsi="宋体" w:eastAsia="宋体"/>
          <w:kern w:val="2"/>
          <w:sz w:val="28"/>
          <w:szCs w:val="24"/>
          <w:highlight w:val="none"/>
        </w:rPr>
        <w:t>1.招标人将</w:t>
      </w:r>
      <w:r>
        <w:rPr>
          <w:rFonts w:hint="eastAsia" w:ascii="宋体 (正文)" w:hAnsi="宋体 (正文)" w:eastAsia="宋体 (正文)" w:cs="宋体 (正文)"/>
          <w:sz w:val="28"/>
          <w:szCs w:val="24"/>
          <w:highlight w:val="none"/>
        </w:rPr>
        <w:t>按照招标文件规定的时间和地点公开开标。招标人可针对投标文件的内容要求投标人予以澄清。对于需澄清问题，投标人整理出书面资料（有授权代表签字和投标单位</w:t>
      </w:r>
      <w:r>
        <w:rPr>
          <w:rFonts w:hint="eastAsia" w:ascii="宋体 (正文)" w:hAnsi="宋体 (正文)" w:eastAsia="宋体 (正文)" w:cs="宋体 (正文)"/>
          <w:sz w:val="28"/>
          <w:szCs w:val="24"/>
          <w:highlight w:val="none"/>
          <w:lang w:val="en-US" w:eastAsia="zh-CN"/>
        </w:rPr>
        <w:t>盖章</w:t>
      </w:r>
      <w:r>
        <w:rPr>
          <w:rFonts w:hint="eastAsia" w:ascii="宋体 (正文)" w:hAnsi="宋体 (正文)" w:eastAsia="宋体 (正文)" w:cs="宋体 (正文)"/>
          <w:sz w:val="28"/>
          <w:szCs w:val="24"/>
          <w:highlight w:val="none"/>
        </w:rPr>
        <w:t>、日期等）提交给招标人，形成投标文件的有效补充。</w:t>
      </w:r>
    </w:p>
    <w:p w14:paraId="6E4ACE18">
      <w:pPr>
        <w:adjustRightInd w:val="0"/>
        <w:snapToGrid w:val="0"/>
        <w:spacing w:line="360" w:lineRule="auto"/>
        <w:ind w:firstLine="560" w:firstLineChars="200"/>
        <w:rPr>
          <w:rFonts w:ascii="宋体 (正文)" w:hAnsi="宋体 (正文)" w:eastAsia="宋体 (正文)" w:cs="宋体 (正文)"/>
          <w:b/>
          <w:color w:val="FF0000"/>
          <w:sz w:val="28"/>
          <w:highlight w:val="none"/>
        </w:rPr>
      </w:pPr>
      <w:r>
        <w:rPr>
          <w:rFonts w:hint="eastAsia" w:ascii="宋体 (正文)" w:hAnsi="宋体 (正文)" w:eastAsia="宋体 (正文)" w:cs="宋体 (正文)"/>
          <w:bCs/>
          <w:sz w:val="28"/>
          <w:highlight w:val="none"/>
          <w:lang w:val="en-US" w:eastAsia="zh-CN"/>
        </w:rPr>
        <w:t>2</w:t>
      </w:r>
      <w:r>
        <w:rPr>
          <w:rFonts w:hint="eastAsia" w:ascii="宋体 (正文)" w:hAnsi="宋体 (正文)" w:eastAsia="宋体 (正文)" w:cs="宋体 (正文)"/>
          <w:bCs/>
          <w:sz w:val="28"/>
          <w:highlight w:val="none"/>
        </w:rPr>
        <w:t>.</w:t>
      </w:r>
      <w:r>
        <w:rPr>
          <w:rFonts w:hint="eastAsia" w:ascii="宋体 (正文)" w:hAnsi="宋体 (正文)" w:eastAsia="宋体 (正文)" w:cs="宋体 (正文)"/>
          <w:sz w:val="28"/>
          <w:highlight w:val="none"/>
        </w:rPr>
        <w:t>由评标委员会检查投标文件的密封情况，检查投标文件是否符合招标文件中规定的形式要求。</w:t>
      </w:r>
    </w:p>
    <w:p w14:paraId="52C27E21">
      <w:pPr>
        <w:adjustRightInd w:val="0"/>
        <w:snapToGrid w:val="0"/>
        <w:spacing w:line="360" w:lineRule="auto"/>
        <w:ind w:firstLine="560" w:firstLineChars="200"/>
        <w:rPr>
          <w:rFonts w:ascii="宋体 (正文)" w:hAnsi="宋体 (正文)" w:eastAsia="宋体 (正文)" w:cs="宋体 (正文)"/>
          <w:sz w:val="28"/>
          <w:highlight w:val="none"/>
        </w:rPr>
      </w:pPr>
      <w:r>
        <w:rPr>
          <w:rFonts w:hint="eastAsia" w:ascii="宋体 (正文)" w:hAnsi="宋体 (正文)" w:eastAsia="宋体 (正文)" w:cs="宋体 (正文)"/>
          <w:sz w:val="28"/>
          <w:highlight w:val="none"/>
          <w:lang w:val="en-US" w:eastAsia="zh-CN"/>
        </w:rPr>
        <w:t>3</w:t>
      </w:r>
      <w:r>
        <w:rPr>
          <w:rFonts w:hint="eastAsia" w:ascii="宋体 (正文)" w:hAnsi="宋体 (正文)" w:eastAsia="宋体 (正文)" w:cs="宋体 (正文)"/>
          <w:sz w:val="28"/>
          <w:highlight w:val="none"/>
        </w:rPr>
        <w:t>.有下列情形之一的，投标文件作无效标处理：</w:t>
      </w:r>
    </w:p>
    <w:p w14:paraId="1BC89600">
      <w:pPr>
        <w:adjustRightInd w:val="0"/>
        <w:snapToGrid w:val="0"/>
        <w:spacing w:line="360" w:lineRule="auto"/>
        <w:ind w:firstLine="560" w:firstLineChars="200"/>
        <w:rPr>
          <w:rFonts w:ascii="宋体 (正文)" w:hAnsi="宋体 (正文)" w:eastAsia="宋体 (正文)" w:cs="宋体 (正文)"/>
          <w:sz w:val="28"/>
          <w:highlight w:val="none"/>
        </w:rPr>
      </w:pPr>
      <w:r>
        <w:rPr>
          <w:rFonts w:hint="eastAsia" w:ascii="宋体 (正文)" w:hAnsi="宋体 (正文)" w:eastAsia="宋体 (正文)" w:cs="宋体 (正文)"/>
          <w:sz w:val="28"/>
          <w:highlight w:val="none"/>
        </w:rPr>
        <w:t>（1）投标文件未密封或未按招标文件要求封装，未按招标文件要求签字盖章；</w:t>
      </w:r>
    </w:p>
    <w:p w14:paraId="3D083355">
      <w:pPr>
        <w:adjustRightInd w:val="0"/>
        <w:snapToGrid w:val="0"/>
        <w:spacing w:line="360" w:lineRule="auto"/>
        <w:ind w:firstLine="560" w:firstLineChars="200"/>
        <w:rPr>
          <w:rFonts w:ascii="宋体 (正文)" w:hAnsi="宋体 (正文)" w:eastAsia="宋体 (正文)" w:cs="宋体 (正文)"/>
          <w:sz w:val="28"/>
          <w:highlight w:val="none"/>
        </w:rPr>
      </w:pPr>
      <w:r>
        <w:rPr>
          <w:rFonts w:hint="eastAsia" w:ascii="宋体 (正文)" w:hAnsi="宋体 (正文)" w:eastAsia="宋体 (正文)" w:cs="宋体 (正文)"/>
          <w:sz w:val="28"/>
          <w:highlight w:val="none"/>
        </w:rPr>
        <w:t>（2）投标文件逾期送达。</w:t>
      </w:r>
    </w:p>
    <w:bookmarkEnd w:id="86"/>
    <w:bookmarkEnd w:id="87"/>
    <w:bookmarkEnd w:id="119"/>
    <w:bookmarkEnd w:id="120"/>
    <w:p w14:paraId="23195B7A">
      <w:pPr>
        <w:pStyle w:val="8"/>
        <w:ind w:firstLine="562"/>
        <w:rPr>
          <w:rFonts w:ascii="宋体" w:hAnsi="宋体"/>
          <w:b/>
          <w:bCs/>
          <w:sz w:val="28"/>
          <w:highlight w:val="none"/>
        </w:rPr>
      </w:pPr>
      <w:bookmarkStart w:id="121" w:name="_Toc733"/>
      <w:r>
        <w:rPr>
          <w:rFonts w:hint="eastAsia" w:ascii="宋体" w:hAnsi="宋体"/>
          <w:b/>
          <w:bCs/>
          <w:sz w:val="28"/>
          <w:highlight w:val="none"/>
        </w:rPr>
        <w:t>（三）评标</w:t>
      </w:r>
    </w:p>
    <w:p w14:paraId="19BE653C">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1.评标依据</w:t>
      </w:r>
    </w:p>
    <w:p w14:paraId="41D47A39">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依据《中华人民共和国招标投标法》等相关法律法规，按照招标文件中规定的方法、评审因素、标准和程序对投标文件进行评审。</w:t>
      </w:r>
    </w:p>
    <w:p w14:paraId="67135734">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2.评标原则</w:t>
      </w:r>
    </w:p>
    <w:p w14:paraId="6D204968">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本次评标采用综合评分法。评标工作遵循公平、公正、公开、科学和择优的原则。</w:t>
      </w:r>
    </w:p>
    <w:p w14:paraId="52EF3594">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3.投标文件的初步评审</w:t>
      </w:r>
    </w:p>
    <w:p w14:paraId="2EEAB9A7">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（1）资格审查</w:t>
      </w:r>
    </w:p>
    <w:p w14:paraId="0B9F67CD">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对投标人的资格进行审查。</w:t>
      </w:r>
    </w:p>
    <w:p w14:paraId="318C4AE8">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（2）响应性审查</w:t>
      </w:r>
    </w:p>
    <w:p w14:paraId="7B3B20CD">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投标文件内容是否完整，是否实质性响应招标文件的要求。开标后，不允许投标人对其未实质性响应招标文件规定的投标文件内容进行修改。</w:t>
      </w:r>
    </w:p>
    <w:p w14:paraId="270665D0">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实质上响应招标文件要求的投标文件是指基本符合招标文件提出的要求，无重大偏离或保留。</w:t>
      </w:r>
    </w:p>
    <w:p w14:paraId="1C97A30C">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重大偏离或保留系指下列情况之一：</w:t>
      </w:r>
    </w:p>
    <w:p w14:paraId="009072D4">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a.保费报价超过预算。</w:t>
      </w:r>
    </w:p>
    <w:p w14:paraId="694A05F6">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b.投标文件未按招标文件中有关文件和表格要求签字或盖章的。</w:t>
      </w:r>
    </w:p>
    <w:p w14:paraId="67286701">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c.内容不全或关键字字迹模糊、无法辨认的。</w:t>
      </w:r>
    </w:p>
    <w:p w14:paraId="11CE5D99">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d.须由投标人予以承诺和确认的内容，未明确承诺和确认的。</w:t>
      </w:r>
    </w:p>
    <w:p w14:paraId="3A7C01F0">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e.违反国家、监管部门有关规定的。</w:t>
      </w:r>
    </w:p>
    <w:p w14:paraId="2E32B826">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f.投标文件附有招标人不能接受的条件或限制了招标人的权利的。</w:t>
      </w:r>
    </w:p>
    <w:p w14:paraId="36F8FC80">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g.投标人提供虚假资料的。</w:t>
      </w:r>
    </w:p>
    <w:p w14:paraId="358C23EB">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h.不符合招标文件中规定的其他实质性要求的。</w:t>
      </w:r>
    </w:p>
    <w:p w14:paraId="79D9FB36">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投标文件若出现上述情形之一的，为未能对招标文件作出实质性响应，作废标处理。</w:t>
      </w:r>
    </w:p>
    <w:p w14:paraId="06245BB1">
      <w:pPr>
        <w:pStyle w:val="8"/>
        <w:ind w:firstLine="562"/>
        <w:rPr>
          <w:rFonts w:ascii="宋体" w:hAnsi="宋体"/>
          <w:b/>
          <w:bCs/>
          <w:sz w:val="28"/>
          <w:highlight w:val="none"/>
        </w:rPr>
      </w:pPr>
      <w:bookmarkStart w:id="122" w:name="_Toc175"/>
      <w:bookmarkStart w:id="123" w:name="_Toc6619"/>
      <w:bookmarkStart w:id="124" w:name="_Toc803"/>
      <w:r>
        <w:rPr>
          <w:rFonts w:hint="eastAsia" w:ascii="宋体" w:hAnsi="宋体"/>
          <w:b/>
          <w:bCs/>
          <w:sz w:val="28"/>
          <w:highlight w:val="none"/>
        </w:rPr>
        <w:t>（四）评标方式</w:t>
      </w:r>
      <w:bookmarkEnd w:id="122"/>
      <w:bookmarkEnd w:id="123"/>
      <w:bookmarkEnd w:id="124"/>
    </w:p>
    <w:p w14:paraId="1B6EC9CA">
      <w:pPr>
        <w:spacing w:line="360" w:lineRule="auto"/>
        <w:ind w:firstLine="560" w:firstLineChars="200"/>
        <w:rPr>
          <w:rFonts w:ascii="宋体" w:hAnsi="宋体" w:cs="宋体"/>
          <w:kern w:val="0"/>
          <w:sz w:val="28"/>
          <w:highlight w:val="none"/>
        </w:rPr>
      </w:pPr>
      <w:r>
        <w:rPr>
          <w:rFonts w:hint="eastAsia" w:ascii="宋体" w:hAnsi="宋体" w:cs="宋体"/>
          <w:kern w:val="0"/>
          <w:sz w:val="28"/>
          <w:highlight w:val="none"/>
        </w:rPr>
        <w:t>本项目实行综合评分法，其中技术要求评分为</w:t>
      </w:r>
      <w:r>
        <w:rPr>
          <w:rFonts w:hint="eastAsia" w:ascii="宋体" w:hAnsi="宋体" w:cs="宋体"/>
          <w:kern w:val="0"/>
          <w:sz w:val="28"/>
          <w:highlight w:val="none"/>
          <w:lang w:val="en-US" w:eastAsia="zh-CN"/>
        </w:rPr>
        <w:t>50</w:t>
      </w:r>
      <w:r>
        <w:rPr>
          <w:rFonts w:hint="eastAsia" w:ascii="宋体" w:hAnsi="宋体" w:cs="宋体"/>
          <w:kern w:val="0"/>
          <w:sz w:val="28"/>
          <w:highlight w:val="none"/>
        </w:rPr>
        <w:t>分，价格评分为</w:t>
      </w:r>
      <w:r>
        <w:rPr>
          <w:rFonts w:hint="eastAsia" w:ascii="宋体" w:hAnsi="宋体" w:cs="宋体"/>
          <w:kern w:val="0"/>
          <w:sz w:val="28"/>
          <w:highlight w:val="none"/>
          <w:lang w:val="en-US" w:eastAsia="zh-CN"/>
        </w:rPr>
        <w:t>50</w:t>
      </w:r>
      <w:r>
        <w:rPr>
          <w:rFonts w:hint="eastAsia" w:ascii="宋体" w:hAnsi="宋体" w:cs="宋体"/>
          <w:kern w:val="0"/>
          <w:sz w:val="28"/>
          <w:highlight w:val="none"/>
        </w:rPr>
        <w:t>分，按照综合评分的结果，决定中标顺序。</w:t>
      </w:r>
    </w:p>
    <w:p w14:paraId="69D4B7CF">
      <w:pPr>
        <w:pStyle w:val="8"/>
        <w:ind w:firstLine="562"/>
        <w:rPr>
          <w:rFonts w:ascii="宋体" w:hAnsi="宋体"/>
          <w:b/>
          <w:bCs/>
          <w:sz w:val="28"/>
          <w:highlight w:val="none"/>
        </w:rPr>
      </w:pPr>
      <w:bookmarkStart w:id="125" w:name="_Toc26910"/>
      <w:bookmarkStart w:id="126" w:name="_Toc31038"/>
      <w:bookmarkStart w:id="127" w:name="_Toc29607"/>
      <w:r>
        <w:rPr>
          <w:rFonts w:hint="eastAsia" w:ascii="宋体" w:hAnsi="宋体"/>
          <w:b/>
          <w:bCs/>
          <w:sz w:val="28"/>
          <w:highlight w:val="none"/>
        </w:rPr>
        <w:t>（五）评</w:t>
      </w:r>
      <w:bookmarkEnd w:id="125"/>
      <w:bookmarkEnd w:id="126"/>
      <w:bookmarkEnd w:id="127"/>
      <w:r>
        <w:rPr>
          <w:rFonts w:hint="eastAsia" w:ascii="宋体" w:hAnsi="宋体"/>
          <w:b/>
          <w:bCs/>
          <w:sz w:val="28"/>
          <w:highlight w:val="none"/>
        </w:rPr>
        <w:t>分标准</w:t>
      </w:r>
    </w:p>
    <w:tbl>
      <w:tblPr>
        <w:tblStyle w:val="35"/>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709"/>
        <w:gridCol w:w="5709"/>
      </w:tblGrid>
      <w:tr w14:paraId="118A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trPr>
        <w:tc>
          <w:tcPr>
            <w:tcW w:w="1129" w:type="dxa"/>
            <w:vAlign w:val="center"/>
          </w:tcPr>
          <w:p w14:paraId="5611F11A">
            <w:pPr>
              <w:jc w:val="center"/>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类别</w:t>
            </w:r>
          </w:p>
        </w:tc>
        <w:tc>
          <w:tcPr>
            <w:tcW w:w="1276" w:type="dxa"/>
            <w:vAlign w:val="center"/>
          </w:tcPr>
          <w:p w14:paraId="7756C2BB">
            <w:pPr>
              <w:jc w:val="center"/>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评分项目</w:t>
            </w:r>
          </w:p>
        </w:tc>
        <w:tc>
          <w:tcPr>
            <w:tcW w:w="709" w:type="dxa"/>
            <w:vAlign w:val="center"/>
          </w:tcPr>
          <w:p w14:paraId="0E07E4B4">
            <w:pPr>
              <w:jc w:val="center"/>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权重</w:t>
            </w:r>
          </w:p>
        </w:tc>
        <w:tc>
          <w:tcPr>
            <w:tcW w:w="5709" w:type="dxa"/>
            <w:vAlign w:val="center"/>
          </w:tcPr>
          <w:p w14:paraId="243A327D">
            <w:pPr>
              <w:jc w:val="center"/>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评分参考及范围</w:t>
            </w:r>
          </w:p>
        </w:tc>
      </w:tr>
      <w:tr w14:paraId="76FA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129" w:type="dxa"/>
            <w:vMerge w:val="restart"/>
            <w:vAlign w:val="center"/>
          </w:tcPr>
          <w:p w14:paraId="02779120">
            <w:pPr>
              <w:jc w:val="center"/>
              <w:rPr>
                <w:rFonts w:ascii="宋体" w:hAnsi="宋体" w:cs="宋体"/>
                <w:b/>
                <w:highlight w:val="none"/>
              </w:rPr>
            </w:pPr>
            <w:r>
              <w:rPr>
                <w:rFonts w:hint="eastAsia" w:ascii="宋体" w:hAnsi="宋体" w:cs="宋体"/>
                <w:b/>
                <w:highlight w:val="none"/>
              </w:rPr>
              <w:t>技术标</w:t>
            </w:r>
          </w:p>
          <w:p w14:paraId="11F8058F">
            <w:pPr>
              <w:jc w:val="center"/>
              <w:rPr>
                <w:rFonts w:ascii="宋体" w:hAnsi="宋体" w:cs="宋体"/>
                <w:b/>
                <w:highlight w:val="none"/>
              </w:rPr>
            </w:pPr>
            <w:r>
              <w:rPr>
                <w:rFonts w:hint="eastAsia" w:ascii="宋体" w:hAnsi="宋体" w:cs="宋体"/>
                <w:b/>
                <w:highlight w:val="none"/>
              </w:rPr>
              <w:t>（总分</w:t>
            </w:r>
            <w:r>
              <w:rPr>
                <w:rFonts w:hint="eastAsia" w:ascii="宋体" w:hAnsi="宋体" w:cs="宋体"/>
                <w:b/>
                <w:highlight w:val="none"/>
                <w:lang w:val="en-US" w:eastAsia="zh-CN"/>
              </w:rPr>
              <w:t>50</w:t>
            </w:r>
            <w:r>
              <w:rPr>
                <w:rFonts w:hint="eastAsia" w:ascii="宋体" w:hAnsi="宋体" w:cs="宋体"/>
                <w:b/>
                <w:highlight w:val="none"/>
              </w:rPr>
              <w:t>分）</w:t>
            </w:r>
          </w:p>
        </w:tc>
        <w:tc>
          <w:tcPr>
            <w:tcW w:w="1276" w:type="dxa"/>
            <w:vAlign w:val="center"/>
          </w:tcPr>
          <w:p w14:paraId="436933B1">
            <w:pPr>
              <w:autoSpaceDE w:val="0"/>
              <w:autoSpaceDN w:val="0"/>
              <w:adjustRightInd w:val="0"/>
              <w:jc w:val="center"/>
              <w:rPr>
                <w:rFonts w:ascii="宋体" w:hAnsi="宋体" w:cs="宋体"/>
                <w:highlight w:val="none"/>
              </w:rPr>
            </w:pPr>
            <w:r>
              <w:rPr>
                <w:rFonts w:hint="eastAsia" w:ascii="宋体" w:hAnsi="宋体" w:cs="宋体"/>
                <w:highlight w:val="none"/>
              </w:rPr>
              <w:t>方案响应</w:t>
            </w:r>
          </w:p>
        </w:tc>
        <w:tc>
          <w:tcPr>
            <w:tcW w:w="709" w:type="dxa"/>
            <w:vAlign w:val="center"/>
          </w:tcPr>
          <w:p w14:paraId="24FF7106">
            <w:pPr>
              <w:autoSpaceDE w:val="0"/>
              <w:autoSpaceDN w:val="0"/>
              <w:adjustRightInd w:val="0"/>
              <w:jc w:val="center"/>
              <w:rPr>
                <w:rFonts w:hint="default" w:ascii="宋体" w:hAnsi="宋体" w:cs="宋体"/>
                <w:highlight w:val="none"/>
                <w:lang w:val="en-US"/>
              </w:rPr>
            </w:pPr>
            <w:r>
              <w:rPr>
                <w:rFonts w:hint="eastAsia" w:ascii="宋体" w:hAnsi="宋体" w:cs="宋体"/>
                <w:highlight w:val="none"/>
                <w:lang w:val="en-US" w:eastAsia="zh-CN"/>
              </w:rPr>
              <w:t>40</w:t>
            </w:r>
          </w:p>
        </w:tc>
        <w:tc>
          <w:tcPr>
            <w:tcW w:w="5709" w:type="dxa"/>
            <w:vAlign w:val="center"/>
          </w:tcPr>
          <w:p w14:paraId="1A6619D0">
            <w:pPr>
              <w:pStyle w:val="3"/>
              <w:spacing w:before="0" w:after="0" w:line="240" w:lineRule="auto"/>
              <w:jc w:val="left"/>
              <w:rPr>
                <w:rFonts w:eastAsia="宋体" w:cs="宋体"/>
                <w:sz w:val="24"/>
                <w:szCs w:val="24"/>
                <w:highlight w:val="none"/>
                <w:lang w:val="zh-CN"/>
              </w:rPr>
            </w:pPr>
            <w:bookmarkStart w:id="128" w:name="_Toc10762"/>
            <w:bookmarkStart w:id="129" w:name="_Toc1000"/>
            <w:bookmarkStart w:id="130" w:name="_Toc15792"/>
            <w:bookmarkStart w:id="131" w:name="_Toc31691"/>
            <w:r>
              <w:rPr>
                <w:rFonts w:hint="eastAsia" w:eastAsia="宋体" w:cs="宋体"/>
                <w:b w:val="0"/>
                <w:bCs/>
                <w:sz w:val="24"/>
                <w:szCs w:val="24"/>
                <w:highlight w:val="none"/>
              </w:rPr>
              <w:t>考察投标人对</w:t>
            </w:r>
            <w:r>
              <w:rPr>
                <w:rFonts w:hint="eastAsia" w:ascii="宋体" w:hAnsi="宋体" w:eastAsia="宋体" w:cs="宋体"/>
                <w:b w:val="0"/>
                <w:bCs/>
                <w:sz w:val="24"/>
                <w:szCs w:val="24"/>
                <w:highlight w:val="none"/>
              </w:rPr>
              <w:t>招标文件中</w:t>
            </w:r>
            <w:r>
              <w:rPr>
                <w:rFonts w:hint="eastAsia" w:ascii="宋体" w:hAnsi="宋体" w:eastAsia="宋体" w:cs="宋体"/>
                <w:sz w:val="24"/>
                <w:szCs w:val="24"/>
                <w:highlight w:val="none"/>
              </w:rPr>
              <w:t>“六、保险协议”</w:t>
            </w:r>
            <w:r>
              <w:rPr>
                <w:rFonts w:hint="eastAsia" w:ascii="宋体" w:hAnsi="宋体" w:eastAsia="宋体" w:cs="宋体"/>
                <w:b w:val="0"/>
                <w:bCs/>
                <w:sz w:val="24"/>
                <w:szCs w:val="24"/>
                <w:highlight w:val="none"/>
              </w:rPr>
              <w:t>的</w:t>
            </w:r>
            <w:r>
              <w:rPr>
                <w:rFonts w:hint="eastAsia" w:eastAsia="宋体" w:cs="宋体"/>
                <w:b w:val="0"/>
                <w:bCs/>
                <w:sz w:val="24"/>
                <w:szCs w:val="24"/>
                <w:highlight w:val="none"/>
              </w:rPr>
              <w:t>响应情况，每偏离一项扣</w:t>
            </w:r>
            <w:r>
              <w:rPr>
                <w:rFonts w:hint="eastAsia" w:eastAsia="宋体" w:cs="宋体"/>
                <w:b w:val="0"/>
                <w:bCs/>
                <w:sz w:val="24"/>
                <w:szCs w:val="24"/>
                <w:highlight w:val="none"/>
                <w:lang w:val="en-US" w:eastAsia="zh-CN"/>
              </w:rPr>
              <w:t>10</w:t>
            </w:r>
            <w:r>
              <w:rPr>
                <w:rFonts w:hint="eastAsia" w:eastAsia="宋体" w:cs="宋体"/>
                <w:b w:val="0"/>
                <w:bCs/>
                <w:sz w:val="24"/>
                <w:szCs w:val="24"/>
                <w:highlight w:val="none"/>
              </w:rPr>
              <w:t>分，扣完为止。</w:t>
            </w:r>
            <w:bookmarkEnd w:id="128"/>
            <w:bookmarkEnd w:id="129"/>
            <w:bookmarkEnd w:id="130"/>
            <w:bookmarkEnd w:id="131"/>
          </w:p>
        </w:tc>
      </w:tr>
      <w:tr w14:paraId="3E6B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129" w:type="dxa"/>
            <w:vMerge w:val="continue"/>
            <w:vAlign w:val="center"/>
          </w:tcPr>
          <w:p w14:paraId="16F57632">
            <w:pPr>
              <w:jc w:val="center"/>
              <w:rPr>
                <w:rFonts w:ascii="宋体" w:hAnsi="宋体" w:cs="宋体"/>
                <w:b/>
                <w:highlight w:val="none"/>
              </w:rPr>
            </w:pPr>
          </w:p>
        </w:tc>
        <w:tc>
          <w:tcPr>
            <w:tcW w:w="1276" w:type="dxa"/>
            <w:vAlign w:val="center"/>
          </w:tcPr>
          <w:p w14:paraId="559BFEA9">
            <w:pPr>
              <w:spacing w:line="280" w:lineRule="exact"/>
              <w:jc w:val="left"/>
              <w:rPr>
                <w:rFonts w:hint="eastAsia" w:ascii="宋体" w:hAnsi="宋体" w:cs="宋体"/>
                <w:strike w:val="0"/>
                <w:dstrike w:val="0"/>
                <w:sz w:val="24"/>
                <w:highlight w:val="none"/>
              </w:rPr>
            </w:pPr>
            <w:r>
              <w:rPr>
                <w:rFonts w:hint="eastAsia" w:ascii="宋体" w:hAnsi="宋体" w:cs="宋体"/>
                <w:strike w:val="0"/>
                <w:dstrike w:val="0"/>
                <w:sz w:val="24"/>
                <w:highlight w:val="none"/>
              </w:rPr>
              <w:t>本地化服务</w:t>
            </w:r>
          </w:p>
        </w:tc>
        <w:tc>
          <w:tcPr>
            <w:tcW w:w="709" w:type="dxa"/>
            <w:vAlign w:val="center"/>
          </w:tcPr>
          <w:p w14:paraId="66127B1B">
            <w:pPr>
              <w:spacing w:line="280" w:lineRule="exact"/>
              <w:jc w:val="left"/>
              <w:rPr>
                <w:rFonts w:hint="default" w:ascii="宋体" w:hAnsi="宋体" w:cs="宋体"/>
                <w:strike w:val="0"/>
                <w:dstrike w:val="0"/>
                <w:sz w:val="24"/>
                <w:highlight w:val="none"/>
                <w:lang w:val="en-US" w:eastAsia="zh-CN"/>
              </w:rPr>
            </w:pPr>
            <w:r>
              <w:rPr>
                <w:rFonts w:hint="eastAsia" w:ascii="宋体" w:hAnsi="宋体" w:cs="宋体"/>
                <w:strike w:val="0"/>
                <w:dstrike w:val="0"/>
                <w:sz w:val="24"/>
                <w:highlight w:val="none"/>
                <w:lang w:val="en-US" w:eastAsia="zh-CN"/>
              </w:rPr>
              <w:t>10</w:t>
            </w:r>
          </w:p>
        </w:tc>
        <w:tc>
          <w:tcPr>
            <w:tcW w:w="5709" w:type="dxa"/>
            <w:vAlign w:val="center"/>
          </w:tcPr>
          <w:p w14:paraId="40326BD4">
            <w:pPr>
              <w:spacing w:line="280" w:lineRule="exact"/>
              <w:jc w:val="left"/>
              <w:rPr>
                <w:rFonts w:hint="eastAsia" w:ascii="宋体" w:hAnsi="宋体" w:cs="宋体"/>
                <w:strike w:val="0"/>
                <w:dstrike w:val="0"/>
                <w:sz w:val="24"/>
                <w:highlight w:val="none"/>
              </w:rPr>
            </w:pPr>
            <w:r>
              <w:rPr>
                <w:rFonts w:hint="eastAsia" w:ascii="宋体" w:hAnsi="宋体" w:cs="宋体"/>
                <w:strike w:val="0"/>
                <w:dstrike w:val="0"/>
                <w:sz w:val="24"/>
                <w:highlight w:val="none"/>
              </w:rPr>
              <w:t>注册地为深圳或在深圳设有分支机构的得</w:t>
            </w:r>
            <w:r>
              <w:rPr>
                <w:rFonts w:hint="eastAsia" w:ascii="宋体" w:hAnsi="宋体" w:cs="宋体"/>
                <w:strike w:val="0"/>
                <w:dstrike w:val="0"/>
                <w:sz w:val="24"/>
                <w:highlight w:val="none"/>
                <w:lang w:val="en-US" w:eastAsia="zh-CN"/>
              </w:rPr>
              <w:t>10</w:t>
            </w:r>
            <w:r>
              <w:rPr>
                <w:rFonts w:hint="eastAsia" w:ascii="宋体" w:hAnsi="宋体" w:cs="宋体"/>
                <w:strike w:val="0"/>
                <w:dstrike w:val="0"/>
                <w:sz w:val="24"/>
                <w:highlight w:val="none"/>
              </w:rPr>
              <w:t>分；承诺在中标后在深圳市设立分支机构的，得</w:t>
            </w:r>
            <w:r>
              <w:rPr>
                <w:rFonts w:hint="eastAsia" w:ascii="宋体" w:hAnsi="宋体" w:cs="宋体"/>
                <w:strike w:val="0"/>
                <w:dstrike w:val="0"/>
                <w:sz w:val="24"/>
                <w:highlight w:val="none"/>
                <w:lang w:val="en-US" w:eastAsia="zh-CN"/>
              </w:rPr>
              <w:t>3</w:t>
            </w:r>
            <w:r>
              <w:rPr>
                <w:rFonts w:hint="eastAsia" w:ascii="宋体" w:hAnsi="宋体" w:cs="宋体"/>
                <w:strike w:val="0"/>
                <w:dstrike w:val="0"/>
                <w:sz w:val="24"/>
                <w:highlight w:val="none"/>
              </w:rPr>
              <w:t>分；其他情况不得分。</w:t>
            </w:r>
          </w:p>
          <w:p w14:paraId="39BD6154">
            <w:pPr>
              <w:spacing w:line="280" w:lineRule="exact"/>
              <w:jc w:val="left"/>
              <w:rPr>
                <w:rFonts w:hint="eastAsia" w:ascii="宋体" w:hAnsi="宋体" w:cs="宋体"/>
                <w:strike w:val="0"/>
                <w:dstrike w:val="0"/>
                <w:sz w:val="24"/>
                <w:highlight w:val="none"/>
              </w:rPr>
            </w:pPr>
            <w:r>
              <w:rPr>
                <w:rFonts w:hint="eastAsia" w:ascii="宋体" w:hAnsi="宋体" w:cs="宋体"/>
                <w:strike w:val="0"/>
                <w:dstrike w:val="0"/>
                <w:sz w:val="24"/>
                <w:highlight w:val="none"/>
              </w:rPr>
              <w:t>证明文件：</w:t>
            </w:r>
          </w:p>
          <w:p w14:paraId="1B1B60AD">
            <w:pPr>
              <w:spacing w:line="280" w:lineRule="exact"/>
              <w:jc w:val="left"/>
              <w:rPr>
                <w:rFonts w:hint="eastAsia" w:ascii="宋体" w:hAnsi="宋体" w:cs="宋体"/>
                <w:strike w:val="0"/>
                <w:dstrike w:val="0"/>
                <w:sz w:val="24"/>
                <w:highlight w:val="none"/>
              </w:rPr>
            </w:pPr>
            <w:r>
              <w:rPr>
                <w:rFonts w:hint="eastAsia" w:ascii="宋体" w:hAnsi="宋体" w:cs="宋体"/>
                <w:strike w:val="0"/>
                <w:dstrike w:val="0"/>
                <w:sz w:val="24"/>
                <w:highlight w:val="none"/>
              </w:rPr>
              <w:t>须在投标文件中提供相应营业执照扫描件或者提供承诺书原件（格式自拟），原件备查。</w:t>
            </w:r>
          </w:p>
        </w:tc>
      </w:tr>
      <w:tr w14:paraId="6177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29" w:type="dxa"/>
            <w:vAlign w:val="center"/>
          </w:tcPr>
          <w:p w14:paraId="3037D89C">
            <w:pPr>
              <w:jc w:val="center"/>
              <w:rPr>
                <w:rFonts w:ascii="宋体" w:hAnsi="宋体" w:cs="宋体"/>
                <w:b/>
                <w:highlight w:val="none"/>
              </w:rPr>
            </w:pPr>
            <w:r>
              <w:rPr>
                <w:rFonts w:hint="eastAsia" w:ascii="宋体" w:hAnsi="宋体" w:cs="宋体"/>
                <w:b/>
                <w:highlight w:val="none"/>
              </w:rPr>
              <w:t>价格标</w:t>
            </w:r>
          </w:p>
          <w:p w14:paraId="66114786">
            <w:pPr>
              <w:jc w:val="center"/>
              <w:rPr>
                <w:rFonts w:ascii="宋体" w:hAnsi="宋体" w:cs="宋体"/>
                <w:b/>
                <w:highlight w:val="none"/>
              </w:rPr>
            </w:pPr>
            <w:r>
              <w:rPr>
                <w:rFonts w:hint="eastAsia" w:ascii="宋体" w:hAnsi="宋体" w:cs="宋体"/>
                <w:b/>
                <w:highlight w:val="none"/>
              </w:rPr>
              <w:t>（总分</w:t>
            </w:r>
            <w:r>
              <w:rPr>
                <w:rFonts w:hint="eastAsia" w:ascii="宋体" w:hAnsi="宋体" w:cs="宋体"/>
                <w:b/>
                <w:highlight w:val="none"/>
                <w:lang w:val="en-US" w:eastAsia="zh-CN"/>
              </w:rPr>
              <w:t>5</w:t>
            </w:r>
            <w:r>
              <w:rPr>
                <w:rFonts w:hint="eastAsia" w:ascii="宋体" w:hAnsi="宋体" w:cs="宋体"/>
                <w:b/>
                <w:highlight w:val="none"/>
              </w:rPr>
              <w:t>0分）</w:t>
            </w:r>
          </w:p>
        </w:tc>
        <w:tc>
          <w:tcPr>
            <w:tcW w:w="1276" w:type="dxa"/>
            <w:vAlign w:val="center"/>
          </w:tcPr>
          <w:p w14:paraId="640CC057">
            <w:pPr>
              <w:jc w:val="center"/>
              <w:rPr>
                <w:rFonts w:ascii="宋体" w:hAnsi="宋体" w:cs="宋体"/>
                <w:highlight w:val="none"/>
              </w:rPr>
            </w:pPr>
            <w:r>
              <w:rPr>
                <w:rFonts w:hint="eastAsia" w:ascii="宋体" w:hAnsi="宋体" w:cs="宋体"/>
                <w:highlight w:val="none"/>
              </w:rPr>
              <w:t>投标总价</w:t>
            </w:r>
          </w:p>
        </w:tc>
        <w:tc>
          <w:tcPr>
            <w:tcW w:w="709" w:type="dxa"/>
            <w:vAlign w:val="center"/>
          </w:tcPr>
          <w:p w14:paraId="607693C4">
            <w:pPr>
              <w:jc w:val="center"/>
              <w:rPr>
                <w:rFonts w:ascii="宋体" w:hAnsi="宋体" w:cs="宋体"/>
                <w:highlight w:val="none"/>
              </w:rPr>
            </w:pPr>
            <w:r>
              <w:rPr>
                <w:rFonts w:hint="eastAsia" w:ascii="宋体" w:hAnsi="宋体" w:cs="宋体"/>
                <w:highlight w:val="none"/>
                <w:lang w:val="en-US" w:eastAsia="zh-CN"/>
              </w:rPr>
              <w:t>50</w:t>
            </w:r>
          </w:p>
        </w:tc>
        <w:tc>
          <w:tcPr>
            <w:tcW w:w="5709" w:type="dxa"/>
            <w:vAlign w:val="center"/>
          </w:tcPr>
          <w:p w14:paraId="7C18F89E">
            <w:pPr>
              <w:rPr>
                <w:rFonts w:ascii="宋体" w:hAnsi="宋体" w:cs="宋体"/>
                <w:highlight w:val="none"/>
              </w:rPr>
            </w:pPr>
            <w:r>
              <w:rPr>
                <w:rFonts w:hint="eastAsia" w:ascii="宋体" w:hAnsi="宋体" w:cs="宋体"/>
                <w:highlight w:val="none"/>
              </w:rPr>
              <w:t>采用低价优先法计算，即满足招标文件要求且投标价格最低的投标报价为评标基准价，其价格分为满分。其他投标人的价格分统一按照下列公式计算：</w:t>
            </w:r>
          </w:p>
          <w:p w14:paraId="788DAD4B">
            <w:pPr>
              <w:rPr>
                <w:rFonts w:ascii="宋体" w:hAnsi="宋体" w:cs="宋体"/>
                <w:highlight w:val="none"/>
              </w:rPr>
            </w:pPr>
            <w:r>
              <w:rPr>
                <w:rFonts w:hint="eastAsia" w:ascii="宋体" w:hAnsi="宋体" w:cs="宋体"/>
                <w:highlight w:val="none"/>
              </w:rPr>
              <w:t>投标报价得分=(评标基准价／投标报价)×</w:t>
            </w:r>
            <w:r>
              <w:rPr>
                <w:rFonts w:hint="eastAsia" w:ascii="宋体" w:hAnsi="宋体" w:cs="宋体"/>
                <w:highlight w:val="none"/>
                <w:lang w:val="en-US" w:eastAsia="zh-CN"/>
              </w:rPr>
              <w:t>5</w:t>
            </w:r>
            <w:r>
              <w:rPr>
                <w:rFonts w:hint="eastAsia" w:ascii="宋体" w:hAnsi="宋体" w:cs="宋体"/>
                <w:highlight w:val="none"/>
              </w:rPr>
              <w:t>0</w:t>
            </w:r>
          </w:p>
          <w:p w14:paraId="32CECE63">
            <w:pPr>
              <w:rPr>
                <w:rFonts w:ascii="宋体" w:hAnsi="宋体" w:cs="宋体"/>
                <w:highlight w:val="none"/>
              </w:rPr>
            </w:pPr>
            <w:r>
              <w:rPr>
                <w:rFonts w:hint="eastAsia" w:ascii="宋体" w:hAnsi="宋体" w:cs="宋体"/>
                <w:highlight w:val="none"/>
              </w:rPr>
              <w:t>评标过程中，不得去掉报价中的最高报价和最低报价。</w:t>
            </w:r>
          </w:p>
        </w:tc>
      </w:tr>
    </w:tbl>
    <w:p w14:paraId="69D25CBB">
      <w:pPr>
        <w:pStyle w:val="3"/>
        <w:bidi w:val="0"/>
        <w:rPr>
          <w:highlight w:val="none"/>
        </w:rPr>
      </w:pPr>
      <w:bookmarkStart w:id="132" w:name="_Toc12570"/>
      <w:bookmarkStart w:id="133" w:name="_Toc22141"/>
      <w:r>
        <w:rPr>
          <w:rFonts w:hint="eastAsia"/>
          <w:highlight w:val="none"/>
        </w:rPr>
        <w:t>五、签订合同</w:t>
      </w:r>
      <w:bookmarkEnd w:id="132"/>
      <w:bookmarkEnd w:id="133"/>
    </w:p>
    <w:p w14:paraId="17778BBF">
      <w:pPr>
        <w:pStyle w:val="5"/>
        <w:adjustRightInd w:val="0"/>
        <w:snapToGrid w:val="0"/>
        <w:spacing w:before="0" w:after="0" w:line="360" w:lineRule="auto"/>
        <w:ind w:right="-28"/>
        <w:rPr>
          <w:rFonts w:ascii="宋体 (正文)" w:hAnsi="宋体 (正文)" w:eastAsia="宋体 (正文)" w:cs="宋体 (正文)"/>
          <w:sz w:val="28"/>
          <w:szCs w:val="24"/>
          <w:highlight w:val="none"/>
        </w:rPr>
      </w:pPr>
      <w:bookmarkStart w:id="134" w:name="_Toc23431"/>
      <w:bookmarkStart w:id="135" w:name="_Toc5699"/>
      <w:bookmarkStart w:id="136" w:name="_Toc25724"/>
      <w:r>
        <w:rPr>
          <w:rFonts w:hint="eastAsia" w:ascii="宋体" w:hAnsi="宋体"/>
          <w:highlight w:val="none"/>
        </w:rPr>
        <w:t>（一）</w:t>
      </w:r>
      <w:r>
        <w:rPr>
          <w:rFonts w:hint="eastAsia" w:ascii="宋体 (正文)" w:hAnsi="宋体 (正文)" w:eastAsia="宋体 (正文)" w:cs="宋体 (正文)"/>
          <w:sz w:val="28"/>
          <w:szCs w:val="24"/>
          <w:highlight w:val="none"/>
        </w:rPr>
        <w:t>确定中标人</w:t>
      </w:r>
      <w:bookmarkEnd w:id="134"/>
      <w:bookmarkEnd w:id="135"/>
      <w:bookmarkEnd w:id="136"/>
    </w:p>
    <w:p w14:paraId="11D71D72">
      <w:pPr>
        <w:adjustRightInd w:val="0"/>
        <w:snapToGrid w:val="0"/>
        <w:spacing w:line="360" w:lineRule="auto"/>
        <w:ind w:firstLine="560" w:firstLineChars="200"/>
        <w:rPr>
          <w:rFonts w:ascii="宋体 (正文)" w:hAnsi="宋体 (正文)" w:eastAsia="宋体 (正文)" w:cs="宋体 (正文)"/>
          <w:bCs/>
          <w:sz w:val="28"/>
          <w:highlight w:val="none"/>
        </w:rPr>
      </w:pPr>
      <w:r>
        <w:rPr>
          <w:rFonts w:hint="eastAsia" w:ascii="宋体 (正文)" w:hAnsi="宋体 (正文)" w:eastAsia="宋体 (正文)" w:cs="宋体 (正文)"/>
          <w:bCs/>
          <w:sz w:val="28"/>
          <w:highlight w:val="none"/>
        </w:rPr>
        <w:t>1.评标委员会在按前项规定对各投标人的投标文件进行综合评比后，将按最终评分结果由高到低排序（当出现两个或多个得分相同时，由评标委员会成员采取投票的方式确定其名次）确定中标候选人，招标人有权与中标候选人进行议标后再确定中标人。</w:t>
      </w:r>
    </w:p>
    <w:p w14:paraId="76808E15">
      <w:pPr>
        <w:adjustRightInd w:val="0"/>
        <w:snapToGrid w:val="0"/>
        <w:spacing w:line="360" w:lineRule="auto"/>
        <w:ind w:firstLine="560" w:firstLineChars="200"/>
        <w:rPr>
          <w:rFonts w:ascii="宋体 (正文)" w:hAnsi="宋体 (正文)" w:eastAsia="宋体 (正文)" w:cs="宋体 (正文)"/>
          <w:sz w:val="28"/>
          <w:highlight w:val="none"/>
        </w:rPr>
      </w:pPr>
      <w:r>
        <w:rPr>
          <w:rFonts w:hint="eastAsia" w:ascii="宋体 (正文)" w:hAnsi="宋体 (正文)" w:eastAsia="宋体 (正文)" w:cs="宋体 (正文)"/>
          <w:bCs/>
          <w:sz w:val="28"/>
          <w:highlight w:val="none"/>
        </w:rPr>
        <w:t>2.</w:t>
      </w:r>
      <w:r>
        <w:rPr>
          <w:rFonts w:hint="eastAsia" w:ascii="宋体 (正文)" w:hAnsi="宋体 (正文)" w:eastAsia="宋体 (正文)" w:cs="宋体 (正文)"/>
          <w:sz w:val="28"/>
          <w:highlight w:val="none"/>
        </w:rPr>
        <w:t>招标人不保证投标价最低的投标人中标，也没有义务对未中标的投标人作任何解释和说明。</w:t>
      </w:r>
    </w:p>
    <w:p w14:paraId="7D348E4B">
      <w:pPr>
        <w:adjustRightInd w:val="0"/>
        <w:snapToGrid w:val="0"/>
        <w:spacing w:line="360" w:lineRule="auto"/>
        <w:ind w:firstLine="560" w:firstLineChars="200"/>
        <w:rPr>
          <w:rFonts w:eastAsia="宋体 (正文)"/>
          <w:highlight w:val="none"/>
        </w:rPr>
      </w:pPr>
      <w:r>
        <w:rPr>
          <w:rFonts w:hint="eastAsia" w:ascii="宋体 (正文)" w:hAnsi="宋体 (正文)" w:eastAsia="宋体 (正文)" w:cs="宋体 (正文)"/>
          <w:sz w:val="28"/>
          <w:highlight w:val="none"/>
        </w:rPr>
        <w:t>3.中标人确定后,招标人将以书面形式向中标的投标人发出中标通知书。</w:t>
      </w:r>
    </w:p>
    <w:p w14:paraId="3FB5B745">
      <w:pPr>
        <w:adjustRightInd w:val="0"/>
        <w:snapToGrid w:val="0"/>
        <w:spacing w:line="360" w:lineRule="auto"/>
        <w:outlineLvl w:val="1"/>
        <w:rPr>
          <w:highlight w:val="none"/>
        </w:rPr>
      </w:pPr>
      <w:bookmarkStart w:id="137" w:name="_Toc20548"/>
      <w:bookmarkStart w:id="138" w:name="_Toc415"/>
      <w:bookmarkStart w:id="139" w:name="_Toc14021"/>
      <w:r>
        <w:rPr>
          <w:rFonts w:hint="eastAsia" w:ascii="宋体 (正文)" w:hAnsi="宋体 (正文)" w:eastAsia="宋体 (正文)" w:cs="宋体 (正文)"/>
          <w:b/>
          <w:bCs/>
          <w:sz w:val="28"/>
          <w:highlight w:val="none"/>
        </w:rPr>
        <w:t>（二）合同签订</w:t>
      </w:r>
      <w:bookmarkEnd w:id="137"/>
      <w:bookmarkEnd w:id="138"/>
      <w:bookmarkEnd w:id="139"/>
    </w:p>
    <w:p w14:paraId="1D4DCE58">
      <w:pPr>
        <w:adjustRightInd w:val="0"/>
        <w:snapToGrid w:val="0"/>
        <w:spacing w:line="360" w:lineRule="auto"/>
        <w:ind w:firstLine="560" w:firstLineChars="200"/>
        <w:rPr>
          <w:rFonts w:ascii="宋体 (正文)" w:hAnsi="宋体 (正文)" w:eastAsia="宋体 (正文)" w:cs="宋体 (正文)"/>
          <w:sz w:val="28"/>
          <w:highlight w:val="none"/>
        </w:rPr>
      </w:pPr>
      <w:r>
        <w:rPr>
          <w:rFonts w:hint="eastAsia" w:ascii="宋体 (正文)" w:hAnsi="宋体 (正文)" w:eastAsia="宋体 (正文)" w:cs="宋体 (正文)"/>
          <w:sz w:val="28"/>
          <w:highlight w:val="none"/>
        </w:rPr>
        <w:t>自中标通知书发出之日起</w:t>
      </w:r>
      <w:r>
        <w:rPr>
          <w:rFonts w:hint="eastAsia" w:ascii="宋体 (正文)" w:hAnsi="宋体 (正文)" w:eastAsia="宋体 (正文)" w:cs="宋体 (正文)"/>
          <w:sz w:val="28"/>
          <w:highlight w:val="none"/>
          <w:lang w:val="en-US" w:eastAsia="zh-CN"/>
        </w:rPr>
        <w:t>5</w:t>
      </w:r>
      <w:r>
        <w:rPr>
          <w:rFonts w:hint="eastAsia" w:ascii="宋体 (正文)" w:hAnsi="宋体 (正文)" w:eastAsia="宋体 (正文)" w:cs="宋体 (正文)"/>
          <w:sz w:val="28"/>
          <w:highlight w:val="none"/>
        </w:rPr>
        <w:t>个日历日内，由招标人与中标人签署书面保险合同。</w:t>
      </w:r>
    </w:p>
    <w:p w14:paraId="5E0104B8">
      <w:pPr>
        <w:spacing w:line="360" w:lineRule="auto"/>
        <w:ind w:firstLine="560" w:firstLineChars="200"/>
        <w:rPr>
          <w:rFonts w:ascii="宋体 (正文)" w:hAnsi="宋体 (正文)" w:eastAsia="宋体 (正文)" w:cs="宋体 (正文)"/>
          <w:sz w:val="28"/>
          <w:highlight w:val="none"/>
        </w:rPr>
      </w:pPr>
      <w:r>
        <w:rPr>
          <w:rFonts w:hint="eastAsia" w:ascii="宋体" w:hAnsi="宋体"/>
          <w:sz w:val="28"/>
          <w:highlight w:val="none"/>
        </w:rPr>
        <w:t>1.中标通知书对采购人和中标、成交保险公司均具有法律效力。中标、成交通知书发出后，采购人改变中标、成交结果的，或者中标、成交保险公司放弃中标、成交项目的，应当依法承担法律责任。</w:t>
      </w:r>
    </w:p>
    <w:p w14:paraId="1178FDD5">
      <w:pPr>
        <w:adjustRightInd w:val="0"/>
        <w:snapToGrid w:val="0"/>
        <w:spacing w:line="360" w:lineRule="auto"/>
        <w:ind w:firstLine="560" w:firstLineChars="200"/>
        <w:rPr>
          <w:rFonts w:ascii="宋体 (正文)" w:hAnsi="宋体 (正文)" w:eastAsia="宋体 (正文)" w:cs="宋体 (正文)"/>
          <w:sz w:val="28"/>
          <w:highlight w:val="none"/>
        </w:rPr>
      </w:pPr>
      <w:r>
        <w:rPr>
          <w:rFonts w:hint="eastAsia" w:ascii="宋体 (正文)" w:hAnsi="宋体 (正文)" w:eastAsia="宋体 (正文)" w:cs="宋体 (正文)"/>
          <w:bCs/>
          <w:sz w:val="28"/>
          <w:highlight w:val="none"/>
        </w:rPr>
        <w:t>2.</w:t>
      </w:r>
      <w:r>
        <w:rPr>
          <w:rFonts w:hint="eastAsia" w:ascii="宋体 (正文)" w:hAnsi="宋体 (正文)" w:eastAsia="宋体 (正文)" w:cs="宋体 (正文)"/>
          <w:sz w:val="28"/>
          <w:highlight w:val="none"/>
        </w:rPr>
        <w:t>如果中标人不按上述规定执行，将被视为自动放弃，招标人可取消其中标资格。</w:t>
      </w:r>
    </w:p>
    <w:p w14:paraId="12668DEA">
      <w:pPr>
        <w:pStyle w:val="2"/>
        <w:rPr>
          <w:highlight w:val="none"/>
        </w:rPr>
      </w:pPr>
    </w:p>
    <w:p w14:paraId="64665C41">
      <w:pPr>
        <w:pStyle w:val="3"/>
        <w:bidi w:val="0"/>
        <w:rPr>
          <w:highlight w:val="none"/>
        </w:rPr>
      </w:pPr>
      <w:bookmarkStart w:id="140" w:name="_Toc7279"/>
      <w:bookmarkStart w:id="141" w:name="_Toc1685"/>
      <w:r>
        <w:rPr>
          <w:rFonts w:hint="eastAsia"/>
          <w:highlight w:val="none"/>
        </w:rPr>
        <w:t>六、保险协议</w:t>
      </w:r>
      <w:bookmarkEnd w:id="121"/>
      <w:bookmarkEnd w:id="140"/>
      <w:bookmarkEnd w:id="141"/>
      <w:bookmarkStart w:id="142" w:name="_Toc21736"/>
      <w:bookmarkStart w:id="143" w:name="_Toc18598_WPSOffice_Level1"/>
      <w:bookmarkStart w:id="144" w:name="_Toc3448"/>
      <w:bookmarkStart w:id="145" w:name="_Toc11643"/>
      <w:bookmarkStart w:id="146" w:name="_Toc10346_WPSOffice_Level1"/>
      <w:bookmarkStart w:id="147" w:name="_Toc138647062"/>
      <w:bookmarkStart w:id="148" w:name="_Toc199154636"/>
      <w:bookmarkStart w:id="149" w:name="_Toc27420"/>
    </w:p>
    <w:p w14:paraId="04CEDB5C">
      <w:pPr>
        <w:keepNext w:val="0"/>
        <w:keepLines w:val="0"/>
        <w:pageBreakBefore w:val="0"/>
        <w:widowControl/>
        <w:kinsoku/>
        <w:wordWrap/>
        <w:overflowPunct/>
        <w:topLinePunct w:val="0"/>
        <w:autoSpaceDE/>
        <w:autoSpaceDN/>
        <w:bidi w:val="0"/>
        <w:adjustRightInd w:val="0"/>
        <w:snapToGrid w:val="0"/>
        <w:spacing w:line="288" w:lineRule="auto"/>
        <w:ind w:left="0" w:leftChars="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甲方（投保人）：深圳市福田区第二人民医院</w:t>
      </w:r>
    </w:p>
    <w:p w14:paraId="5315D4B5">
      <w:pPr>
        <w:keepNext w:val="0"/>
        <w:keepLines w:val="0"/>
        <w:pageBreakBefore w:val="0"/>
        <w:widowControl/>
        <w:kinsoku/>
        <w:wordWrap/>
        <w:overflowPunct/>
        <w:topLinePunct w:val="0"/>
        <w:autoSpaceDE/>
        <w:autoSpaceDN/>
        <w:bidi w:val="0"/>
        <w:adjustRightInd w:val="0"/>
        <w:snapToGrid w:val="0"/>
        <w:spacing w:line="288" w:lineRule="auto"/>
        <w:ind w:left="0" w:leftChars="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地址：深圳市福田区上梅林中康路27号</w:t>
      </w:r>
    </w:p>
    <w:p w14:paraId="497A12F1">
      <w:pPr>
        <w:keepNext w:val="0"/>
        <w:keepLines w:val="0"/>
        <w:pageBreakBefore w:val="0"/>
        <w:widowControl/>
        <w:kinsoku/>
        <w:wordWrap/>
        <w:overflowPunct/>
        <w:topLinePunct w:val="0"/>
        <w:autoSpaceDE/>
        <w:autoSpaceDN/>
        <w:bidi w:val="0"/>
        <w:adjustRightInd w:val="0"/>
        <w:snapToGrid w:val="0"/>
        <w:spacing w:line="288" w:lineRule="auto"/>
        <w:ind w:left="0" w:leftChars="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乙方（保险人）：</w:t>
      </w:r>
    </w:p>
    <w:p w14:paraId="5343C13F">
      <w:pPr>
        <w:keepNext w:val="0"/>
        <w:keepLines w:val="0"/>
        <w:pageBreakBefore w:val="0"/>
        <w:widowControl/>
        <w:kinsoku/>
        <w:wordWrap/>
        <w:overflowPunct/>
        <w:topLinePunct w:val="0"/>
        <w:autoSpaceDE/>
        <w:autoSpaceDN/>
        <w:bidi w:val="0"/>
        <w:adjustRightInd w:val="0"/>
        <w:snapToGrid w:val="0"/>
        <w:spacing w:line="288" w:lineRule="auto"/>
        <w:ind w:left="0" w:leftChars="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p>
    <w:p w14:paraId="22CCAA5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p>
    <w:p w14:paraId="0A2A841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为了快速高效地处理医疗纠纷，共建和谐的医患关系，甲乙双方经友好协调，根据《保险法》、《合同法》及其他相关法律法规，本着互信互利的原则，就有关乙方为甲方提供医疗责任保险服务的有关事宜，达成如下协议，以兹双方共同遵守执行。</w:t>
      </w:r>
      <w:bookmarkStart w:id="150" w:name="_Toc21406"/>
    </w:p>
    <w:p w14:paraId="4C181021">
      <w:pPr>
        <w:pStyle w:val="5"/>
        <w:bidi w:val="0"/>
        <w:outlineLvl w:val="0"/>
        <w:rPr>
          <w:rFonts w:hint="eastAsia"/>
          <w:highlight w:val="none"/>
          <w:lang w:val="en-US" w:eastAsia="zh-CN"/>
        </w:rPr>
      </w:pPr>
      <w:bookmarkStart w:id="151" w:name="_Toc32114"/>
      <w:r>
        <w:rPr>
          <w:rFonts w:hint="eastAsia"/>
          <w:highlight w:val="none"/>
          <w:lang w:val="en-US" w:eastAsia="zh-CN"/>
        </w:rPr>
        <w:t>一. 险种名称</w:t>
      </w:r>
      <w:bookmarkEnd w:id="150"/>
      <w:bookmarkEnd w:id="151"/>
    </w:p>
    <w:p w14:paraId="7F6F605E">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医疗责任保险</w:t>
      </w:r>
    </w:p>
    <w:p w14:paraId="38B1C7BA">
      <w:pPr>
        <w:pStyle w:val="5"/>
        <w:bidi w:val="0"/>
        <w:outlineLvl w:val="0"/>
        <w:rPr>
          <w:rFonts w:hint="eastAsia"/>
          <w:highlight w:val="none"/>
          <w:lang w:val="en-US" w:eastAsia="zh-CN"/>
        </w:rPr>
      </w:pPr>
      <w:bookmarkStart w:id="152" w:name="_Toc3600"/>
      <w:bookmarkStart w:id="153" w:name="_Toc27739"/>
      <w:r>
        <w:rPr>
          <w:rFonts w:hint="eastAsia"/>
          <w:highlight w:val="none"/>
          <w:lang w:val="en-US" w:eastAsia="zh-CN"/>
        </w:rPr>
        <w:t>二</w:t>
      </w:r>
      <w:r>
        <w:rPr>
          <w:rFonts w:hint="eastAsia" w:ascii="Times New Roman" w:eastAsia="宋体"/>
          <w:highlight w:val="none"/>
          <w:lang w:val="en-US" w:eastAsia="zh-CN"/>
        </w:rPr>
        <w:t xml:space="preserve">. </w:t>
      </w:r>
      <w:r>
        <w:rPr>
          <w:rFonts w:hint="eastAsia"/>
          <w:highlight w:val="none"/>
          <w:lang w:val="en-US" w:eastAsia="zh-CN"/>
        </w:rPr>
        <w:t>被保险人</w:t>
      </w:r>
      <w:bookmarkEnd w:id="152"/>
      <w:bookmarkEnd w:id="153"/>
    </w:p>
    <w:p w14:paraId="2738A60A">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深圳市福田区第二人民医院院本部、新住院大楼、龙尾院区及下属13家社康中心、门诊部、医务室、卫生所（包括协议期间内新增的分院、社康中心、门诊部、卫生所）及其相关工作人员。</w:t>
      </w:r>
    </w:p>
    <w:p w14:paraId="2F1E5E8F">
      <w:pPr>
        <w:pStyle w:val="5"/>
        <w:bidi w:val="0"/>
        <w:outlineLvl w:val="0"/>
        <w:rPr>
          <w:rFonts w:hint="eastAsia"/>
          <w:highlight w:val="none"/>
          <w:lang w:val="en-US" w:eastAsia="zh-CN"/>
        </w:rPr>
      </w:pPr>
      <w:bookmarkStart w:id="154" w:name="_Toc10834"/>
      <w:bookmarkStart w:id="155" w:name="_Toc23574"/>
      <w:r>
        <w:rPr>
          <w:rFonts w:hint="eastAsia"/>
          <w:highlight w:val="none"/>
          <w:lang w:val="en-US" w:eastAsia="zh-CN"/>
        </w:rPr>
        <w:t>三</w:t>
      </w:r>
      <w:r>
        <w:rPr>
          <w:rFonts w:hint="eastAsia" w:ascii="Times New Roman" w:eastAsia="宋体"/>
          <w:highlight w:val="none"/>
          <w:lang w:val="en-US" w:eastAsia="zh-CN"/>
        </w:rPr>
        <w:t xml:space="preserve">. </w:t>
      </w:r>
      <w:r>
        <w:rPr>
          <w:rFonts w:hint="eastAsia"/>
          <w:highlight w:val="none"/>
          <w:lang w:val="en-US" w:eastAsia="zh-CN"/>
        </w:rPr>
        <w:t>业务性质</w:t>
      </w:r>
      <w:bookmarkEnd w:id="154"/>
      <w:bookmarkEnd w:id="155"/>
    </w:p>
    <w:p w14:paraId="1449FB9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从事医疗及其相关业务。</w:t>
      </w:r>
    </w:p>
    <w:p w14:paraId="3509347E">
      <w:pPr>
        <w:pStyle w:val="5"/>
        <w:bidi w:val="0"/>
        <w:outlineLvl w:val="0"/>
        <w:rPr>
          <w:rFonts w:hint="eastAsia"/>
          <w:highlight w:val="none"/>
          <w:lang w:val="en-US" w:eastAsia="zh-CN"/>
        </w:rPr>
      </w:pPr>
      <w:bookmarkStart w:id="156" w:name="_Toc202"/>
      <w:bookmarkStart w:id="157" w:name="_Toc14128"/>
      <w:r>
        <w:rPr>
          <w:rFonts w:hint="eastAsia"/>
          <w:highlight w:val="none"/>
          <w:lang w:val="en-US" w:eastAsia="zh-CN"/>
        </w:rPr>
        <w:t>四</w:t>
      </w:r>
      <w:r>
        <w:rPr>
          <w:rFonts w:hint="eastAsia" w:ascii="Times New Roman" w:eastAsia="宋体"/>
          <w:highlight w:val="none"/>
          <w:lang w:val="en-US" w:eastAsia="zh-CN"/>
        </w:rPr>
        <w:t xml:space="preserve">. </w:t>
      </w:r>
      <w:r>
        <w:rPr>
          <w:rFonts w:hint="eastAsia"/>
          <w:highlight w:val="none"/>
          <w:lang w:val="en-US" w:eastAsia="zh-CN"/>
        </w:rPr>
        <w:t>所在区域</w:t>
      </w:r>
      <w:bookmarkEnd w:id="156"/>
      <w:bookmarkEnd w:id="157"/>
    </w:p>
    <w:p w14:paraId="0A909CAE">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深圳市</w:t>
      </w:r>
    </w:p>
    <w:p w14:paraId="533AB3E4">
      <w:pPr>
        <w:pStyle w:val="5"/>
        <w:bidi w:val="0"/>
        <w:outlineLvl w:val="0"/>
        <w:rPr>
          <w:rFonts w:hint="eastAsia"/>
          <w:highlight w:val="none"/>
          <w:lang w:val="en-US" w:eastAsia="zh-CN"/>
        </w:rPr>
      </w:pPr>
      <w:bookmarkStart w:id="158" w:name="_Toc2206"/>
      <w:bookmarkStart w:id="159" w:name="_Toc31486"/>
      <w:r>
        <w:rPr>
          <w:rFonts w:hint="eastAsia"/>
          <w:highlight w:val="none"/>
          <w:lang w:val="en-US" w:eastAsia="zh-CN"/>
        </w:rPr>
        <w:t>五</w:t>
      </w:r>
      <w:r>
        <w:rPr>
          <w:rFonts w:hint="eastAsia" w:ascii="Times New Roman" w:eastAsia="宋体"/>
          <w:highlight w:val="none"/>
          <w:lang w:val="en-US" w:eastAsia="zh-CN"/>
        </w:rPr>
        <w:t xml:space="preserve">. </w:t>
      </w:r>
      <w:r>
        <w:rPr>
          <w:rFonts w:hint="eastAsia"/>
          <w:highlight w:val="none"/>
          <w:lang w:val="en-US" w:eastAsia="zh-CN"/>
        </w:rPr>
        <w:t>保险期限</w:t>
      </w:r>
      <w:bookmarkEnd w:id="158"/>
      <w:bookmarkEnd w:id="159"/>
    </w:p>
    <w:p w14:paraId="42192EED">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一年,从</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日零时起至</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日24时止。</w:t>
      </w:r>
      <w:bookmarkStart w:id="160" w:name="_Toc4180"/>
    </w:p>
    <w:p w14:paraId="3A33BD58">
      <w:pPr>
        <w:pStyle w:val="5"/>
        <w:bidi w:val="0"/>
        <w:outlineLvl w:val="0"/>
        <w:rPr>
          <w:rFonts w:hint="eastAsia"/>
          <w:highlight w:val="none"/>
          <w:lang w:val="en-US" w:eastAsia="zh-CN"/>
        </w:rPr>
      </w:pPr>
      <w:bookmarkStart w:id="161" w:name="_Toc18300"/>
      <w:r>
        <w:rPr>
          <w:rFonts w:hint="eastAsia"/>
          <w:highlight w:val="none"/>
          <w:lang w:val="en-US" w:eastAsia="zh-CN"/>
        </w:rPr>
        <w:t>六</w:t>
      </w:r>
      <w:r>
        <w:rPr>
          <w:rFonts w:hint="eastAsia" w:ascii="Times New Roman" w:eastAsia="宋体"/>
          <w:highlight w:val="none"/>
          <w:lang w:val="en-US" w:eastAsia="zh-CN"/>
        </w:rPr>
        <w:t xml:space="preserve">. </w:t>
      </w:r>
      <w:r>
        <w:rPr>
          <w:rFonts w:hint="eastAsia"/>
          <w:highlight w:val="none"/>
          <w:lang w:val="en-US" w:eastAsia="zh-CN"/>
        </w:rPr>
        <w:t>保险对象</w:t>
      </w:r>
      <w:bookmarkEnd w:id="160"/>
      <w:bookmarkEnd w:id="161"/>
    </w:p>
    <w:p w14:paraId="518F9BE9">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深圳市福田区第二人民医院院本部、新住院大楼、龙尾院区及下属13家社康中心、门诊部、医务室、卫生所（包括协议期间内新增的分院、社康中心、门诊部、卫生所）就医、诊疗、体检及保健的个人均为医疗责任险的保险对象。</w:t>
      </w:r>
    </w:p>
    <w:p w14:paraId="1ABCBFFF">
      <w:pPr>
        <w:pStyle w:val="5"/>
        <w:bidi w:val="0"/>
        <w:outlineLvl w:val="0"/>
        <w:rPr>
          <w:rFonts w:hint="eastAsia"/>
          <w:highlight w:val="none"/>
          <w:lang w:val="en-US" w:eastAsia="zh-CN"/>
        </w:rPr>
      </w:pPr>
      <w:bookmarkStart w:id="162" w:name="_Toc22695"/>
      <w:bookmarkStart w:id="163" w:name="_Toc21729"/>
      <w:r>
        <w:rPr>
          <w:rFonts w:hint="eastAsia"/>
          <w:highlight w:val="none"/>
          <w:lang w:val="en-US" w:eastAsia="zh-CN"/>
        </w:rPr>
        <w:t>七</w:t>
      </w:r>
      <w:r>
        <w:rPr>
          <w:rFonts w:hint="eastAsia" w:ascii="Times New Roman" w:eastAsia="宋体"/>
          <w:highlight w:val="none"/>
          <w:lang w:val="en-US" w:eastAsia="zh-CN"/>
        </w:rPr>
        <w:t xml:space="preserve">. </w:t>
      </w:r>
      <w:r>
        <w:rPr>
          <w:rFonts w:hint="eastAsia"/>
          <w:highlight w:val="none"/>
          <w:lang w:val="en-US" w:eastAsia="zh-CN"/>
        </w:rPr>
        <w:t>保险追溯期</w:t>
      </w:r>
      <w:bookmarkEnd w:id="162"/>
      <w:bookmarkEnd w:id="163"/>
    </w:p>
    <w:p w14:paraId="63282CD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日零时，以后连续续保追溯期限逐年增加，如第二年续保追溯期为1年，以此类推，但追溯期最高不超过2年（含）。</w:t>
      </w:r>
    </w:p>
    <w:p w14:paraId="4F9D43BF">
      <w:pPr>
        <w:pStyle w:val="5"/>
        <w:bidi w:val="0"/>
        <w:outlineLvl w:val="0"/>
        <w:rPr>
          <w:rFonts w:hint="eastAsia"/>
          <w:highlight w:val="none"/>
          <w:lang w:val="en-US" w:eastAsia="zh-CN"/>
        </w:rPr>
      </w:pPr>
      <w:bookmarkStart w:id="164" w:name="_Toc10118"/>
      <w:bookmarkStart w:id="165" w:name="_Toc9980"/>
      <w:r>
        <w:rPr>
          <w:rFonts w:hint="eastAsia"/>
          <w:highlight w:val="none"/>
          <w:lang w:val="en-US" w:eastAsia="zh-CN"/>
        </w:rPr>
        <w:t>八. 保单承保方式</w:t>
      </w:r>
      <w:bookmarkEnd w:id="164"/>
      <w:bookmarkEnd w:id="165"/>
    </w:p>
    <w:p w14:paraId="25004AC5">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本保险单承保基础为期内索赔制。</w:t>
      </w:r>
    </w:p>
    <w:p w14:paraId="16A5B2EE">
      <w:pPr>
        <w:pStyle w:val="5"/>
        <w:bidi w:val="0"/>
        <w:outlineLvl w:val="0"/>
        <w:rPr>
          <w:rFonts w:hint="eastAsia"/>
          <w:highlight w:val="none"/>
          <w:lang w:val="en-US" w:eastAsia="zh-CN"/>
        </w:rPr>
      </w:pPr>
      <w:bookmarkStart w:id="166" w:name="_Toc13567"/>
      <w:bookmarkStart w:id="167" w:name="_Toc1222"/>
      <w:r>
        <w:rPr>
          <w:rFonts w:hint="eastAsia"/>
          <w:highlight w:val="none"/>
          <w:lang w:val="en-US" w:eastAsia="zh-CN"/>
        </w:rPr>
        <w:t>九. 赔偿限额</w:t>
      </w:r>
      <w:bookmarkEnd w:id="166"/>
      <w:bookmarkEnd w:id="167"/>
    </w:p>
    <w:p w14:paraId="19BDEB2F">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1.医疗损害责任事件和医疗意外赔偿限额（含外请医务人员、进修医务人员和实习生）</w:t>
      </w:r>
    </w:p>
    <w:p w14:paraId="2D645BC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年度累计赔偿限额：人民币100万元。</w:t>
      </w:r>
    </w:p>
    <w:p w14:paraId="1AFE97B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每人每次事件赔偿限额：人民币50万元。</w:t>
      </w:r>
    </w:p>
    <w:p w14:paraId="78FB0BCE">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 医疗机构场所责任</w:t>
      </w:r>
    </w:p>
    <w:p w14:paraId="1C4D5149">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年度累计赔偿限额：人民币50万元。</w:t>
      </w:r>
    </w:p>
    <w:p w14:paraId="45D2EBE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每次事件赔偿限额：20万元。</w:t>
      </w:r>
    </w:p>
    <w:p w14:paraId="14A3725B">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每人每次事件赔偿限额：人民币20万元。</w:t>
      </w:r>
    </w:p>
    <w:p w14:paraId="7F91A04D">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3.救护车辆事故责任</w:t>
      </w:r>
    </w:p>
    <w:p w14:paraId="50E5ADC1">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年度累积赔偿限额：10万元。</w:t>
      </w:r>
    </w:p>
    <w:p w14:paraId="6AD90ABA">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每人每次事故的赔偿限额：10万元。</w:t>
      </w:r>
    </w:p>
    <w:p w14:paraId="6D44A714">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4.医务人员人身损害赔偿限额</w:t>
      </w:r>
    </w:p>
    <w:p w14:paraId="2A674722">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年度累积赔偿限额：人民币30万元。</w:t>
      </w:r>
    </w:p>
    <w:p w14:paraId="5DDDDC4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每人每次事故死亡、伤残赔偿限额：人民币30万元。</w:t>
      </w:r>
    </w:p>
    <w:p w14:paraId="1DC1FC23">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每人每次事故医疗费用赔偿限额：人民币3万元。</w:t>
      </w:r>
    </w:p>
    <w:p w14:paraId="0BF5E991">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5.精神损害赔偿限额</w:t>
      </w:r>
    </w:p>
    <w:p w14:paraId="084A5624">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每人每次事故赔偿限额及累计赔偿限额：10万，且包含在每人每次事故或意外和年度累计赔偿限额之内。</w:t>
      </w:r>
    </w:p>
    <w:p w14:paraId="4E8F4E5A">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6.法律费用赔偿限额</w:t>
      </w:r>
    </w:p>
    <w:p w14:paraId="497C40CA">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每人每次事故赔偿限额及累计赔偿限额：10万，且在每人每次事故或意外和年度累计赔偿限额之外单独计算。</w:t>
      </w:r>
    </w:p>
    <w:p w14:paraId="4CFF0774">
      <w:pPr>
        <w:pStyle w:val="5"/>
        <w:bidi w:val="0"/>
        <w:outlineLvl w:val="0"/>
        <w:rPr>
          <w:rFonts w:hint="eastAsia"/>
          <w:highlight w:val="none"/>
          <w:lang w:val="en-US" w:eastAsia="zh-CN"/>
        </w:rPr>
      </w:pPr>
      <w:bookmarkStart w:id="168" w:name="_Toc23658"/>
      <w:bookmarkStart w:id="169" w:name="_Toc4894"/>
      <w:r>
        <w:rPr>
          <w:rFonts w:hint="eastAsia"/>
          <w:highlight w:val="none"/>
          <w:lang w:val="en-US" w:eastAsia="zh-CN"/>
        </w:rPr>
        <w:t>十. 免赔额</w:t>
      </w:r>
      <w:bookmarkEnd w:id="168"/>
      <w:bookmarkEnd w:id="169"/>
    </w:p>
    <w:p w14:paraId="3EA6CEE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免赔额为零。</w:t>
      </w:r>
    </w:p>
    <w:p w14:paraId="1936BE75">
      <w:pPr>
        <w:pStyle w:val="5"/>
        <w:bidi w:val="0"/>
        <w:outlineLvl w:val="0"/>
        <w:rPr>
          <w:rFonts w:hint="eastAsia"/>
          <w:highlight w:val="none"/>
          <w:lang w:val="en-US" w:eastAsia="zh-CN"/>
        </w:rPr>
      </w:pPr>
      <w:bookmarkStart w:id="170" w:name="_Toc18109"/>
      <w:bookmarkStart w:id="171" w:name="_Toc31364"/>
      <w:r>
        <w:rPr>
          <w:rFonts w:hint="eastAsia"/>
          <w:highlight w:val="none"/>
          <w:lang w:val="en-US" w:eastAsia="zh-CN"/>
        </w:rPr>
        <w:t>十一. 附加条款</w:t>
      </w:r>
      <w:bookmarkEnd w:id="170"/>
      <w:bookmarkEnd w:id="171"/>
    </w:p>
    <w:p w14:paraId="474DA51E">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1.外请医务人员医疗责任保险条款</w:t>
      </w:r>
    </w:p>
    <w:p w14:paraId="65CDD826">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2.进修医务人员医疗责任保险条款</w:t>
      </w:r>
    </w:p>
    <w:p w14:paraId="411B8FE1">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3.实习生医疗责任保险条款</w:t>
      </w:r>
    </w:p>
    <w:p w14:paraId="1EB9D166">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4.医疗机构场所责任保险条款</w:t>
      </w:r>
    </w:p>
    <w:p w14:paraId="17FE120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5.附加药品、消毒药剂、医疗器械、输入不合格的血液、药品不良反应责任保险条款</w:t>
      </w:r>
    </w:p>
    <w:p w14:paraId="6BB0F6AA">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6.附加特定诊疗责任保险条款</w:t>
      </w:r>
    </w:p>
    <w:p w14:paraId="5E198C29">
      <w:pPr>
        <w:pStyle w:val="5"/>
        <w:bidi w:val="0"/>
        <w:outlineLvl w:val="0"/>
        <w:rPr>
          <w:rFonts w:hint="eastAsia"/>
          <w:highlight w:val="none"/>
          <w:lang w:val="en-US" w:eastAsia="zh-CN"/>
        </w:rPr>
      </w:pPr>
      <w:bookmarkStart w:id="172" w:name="_Toc6035"/>
      <w:bookmarkStart w:id="173" w:name="_Toc20124"/>
      <w:r>
        <w:rPr>
          <w:rFonts w:hint="eastAsia"/>
          <w:highlight w:val="none"/>
          <w:lang w:val="en-US" w:eastAsia="zh-CN"/>
        </w:rPr>
        <w:t>十二. 特别约定</w:t>
      </w:r>
      <w:bookmarkEnd w:id="172"/>
      <w:bookmarkEnd w:id="173"/>
    </w:p>
    <w:p w14:paraId="37A871E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bookmarkStart w:id="174" w:name="_Toc402433227"/>
      <w:bookmarkStart w:id="175" w:name="_Toc402891454"/>
      <w:bookmarkStart w:id="176" w:name="_Toc402433609"/>
      <w:bookmarkStart w:id="177" w:name="_Toc402437424"/>
      <w:bookmarkStart w:id="178" w:name="_Toc402432750"/>
      <w:bookmarkStart w:id="179" w:name="_Toc403927990"/>
      <w:r>
        <w:rPr>
          <w:rFonts w:hint="eastAsia" w:ascii="宋体" w:hAnsi="宋体" w:eastAsia="宋体" w:cs="宋体"/>
          <w:kern w:val="0"/>
          <w:sz w:val="24"/>
          <w:szCs w:val="24"/>
          <w:highlight w:val="none"/>
        </w:rPr>
        <w:t>1.为体现和谐社会、和谐医院，保障医疗秩序和医院管理正常化</w:t>
      </w:r>
      <w:r>
        <w:rPr>
          <w:rFonts w:hint="eastAsia" w:ascii="宋体" w:hAnsi="宋体" w:eastAsia="宋体" w:cs="宋体"/>
          <w:spacing w:val="-57"/>
          <w:kern w:val="0"/>
          <w:sz w:val="24"/>
          <w:szCs w:val="24"/>
          <w:highlight w:val="none"/>
        </w:rPr>
        <w:t>，</w:t>
      </w:r>
      <w:r>
        <w:rPr>
          <w:rFonts w:hint="eastAsia" w:ascii="宋体" w:hAnsi="宋体" w:eastAsia="宋体" w:cs="宋体"/>
          <w:kern w:val="0"/>
          <w:sz w:val="24"/>
          <w:szCs w:val="24"/>
          <w:highlight w:val="none"/>
        </w:rPr>
        <w:t>及时化解因医患纠纷问题</w:t>
      </w:r>
      <w:r>
        <w:rPr>
          <w:rFonts w:hint="eastAsia" w:ascii="宋体" w:hAnsi="宋体" w:eastAsia="宋体" w:cs="宋体"/>
          <w:spacing w:val="-57"/>
          <w:kern w:val="0"/>
          <w:sz w:val="24"/>
          <w:szCs w:val="24"/>
          <w:highlight w:val="none"/>
        </w:rPr>
        <w:t>，</w:t>
      </w:r>
      <w:r>
        <w:rPr>
          <w:rFonts w:hint="eastAsia" w:ascii="宋体" w:hAnsi="宋体" w:eastAsia="宋体" w:cs="宋体"/>
          <w:kern w:val="0"/>
          <w:sz w:val="24"/>
          <w:szCs w:val="24"/>
          <w:highlight w:val="none"/>
        </w:rPr>
        <w:t>对于人民币1万元以下</w:t>
      </w:r>
      <w:r>
        <w:rPr>
          <w:rFonts w:hint="eastAsia" w:ascii="宋体" w:hAnsi="宋体" w:eastAsia="宋体" w:cs="宋体"/>
          <w:spacing w:val="-57"/>
          <w:kern w:val="0"/>
          <w:sz w:val="24"/>
          <w:szCs w:val="24"/>
          <w:highlight w:val="none"/>
        </w:rPr>
        <w:t>（</w:t>
      </w:r>
      <w:r>
        <w:rPr>
          <w:rFonts w:hint="eastAsia" w:ascii="宋体" w:hAnsi="宋体" w:eastAsia="宋体" w:cs="宋体"/>
          <w:kern w:val="0"/>
          <w:sz w:val="24"/>
          <w:szCs w:val="24"/>
          <w:highlight w:val="none"/>
        </w:rPr>
        <w:t>含1万元</w:t>
      </w:r>
      <w:r>
        <w:rPr>
          <w:rFonts w:hint="eastAsia" w:ascii="宋体" w:hAnsi="宋体" w:eastAsia="宋体" w:cs="宋体"/>
          <w:spacing w:val="-57"/>
          <w:kern w:val="0"/>
          <w:sz w:val="24"/>
          <w:szCs w:val="24"/>
          <w:highlight w:val="none"/>
        </w:rPr>
        <w:t>）</w:t>
      </w:r>
      <w:r>
        <w:rPr>
          <w:rFonts w:hint="eastAsia" w:ascii="宋体" w:hAnsi="宋体" w:eastAsia="宋体" w:cs="宋体"/>
          <w:kern w:val="0"/>
          <w:sz w:val="24"/>
          <w:szCs w:val="24"/>
          <w:highlight w:val="none"/>
        </w:rPr>
        <w:t>的赔案</w:t>
      </w:r>
      <w:r>
        <w:rPr>
          <w:rFonts w:hint="eastAsia" w:ascii="宋体" w:hAnsi="宋体" w:eastAsia="宋体" w:cs="宋体"/>
          <w:spacing w:val="-57"/>
          <w:kern w:val="0"/>
          <w:sz w:val="24"/>
          <w:szCs w:val="24"/>
          <w:highlight w:val="none"/>
        </w:rPr>
        <w:t>，</w:t>
      </w:r>
      <w:r>
        <w:rPr>
          <w:rFonts w:hint="eastAsia" w:ascii="宋体" w:hAnsi="宋体" w:eastAsia="宋体" w:cs="宋体"/>
          <w:kern w:val="0"/>
          <w:sz w:val="24"/>
          <w:szCs w:val="24"/>
          <w:highlight w:val="none"/>
        </w:rPr>
        <w:t>被保险人可自行处理并赔偿患方</w:t>
      </w:r>
      <w:r>
        <w:rPr>
          <w:rFonts w:hint="eastAsia" w:ascii="宋体" w:hAnsi="宋体" w:eastAsia="宋体" w:cs="宋体"/>
          <w:spacing w:val="-57"/>
          <w:kern w:val="0"/>
          <w:sz w:val="24"/>
          <w:szCs w:val="24"/>
          <w:highlight w:val="none"/>
        </w:rPr>
        <w:t>，</w:t>
      </w:r>
      <w:r>
        <w:rPr>
          <w:rFonts w:hint="eastAsia" w:ascii="宋体" w:hAnsi="宋体" w:eastAsia="宋体" w:cs="宋体"/>
          <w:kern w:val="0"/>
          <w:sz w:val="24"/>
          <w:szCs w:val="24"/>
          <w:highlight w:val="none"/>
        </w:rPr>
        <w:t>承保保险公司有权跟进</w:t>
      </w:r>
      <w:r>
        <w:rPr>
          <w:rFonts w:hint="eastAsia" w:ascii="宋体" w:hAnsi="宋体" w:eastAsia="宋体" w:cs="宋体"/>
          <w:spacing w:val="-57"/>
          <w:kern w:val="0"/>
          <w:sz w:val="24"/>
          <w:szCs w:val="24"/>
          <w:highlight w:val="none"/>
        </w:rPr>
        <w:t>，</w:t>
      </w:r>
      <w:r>
        <w:rPr>
          <w:rFonts w:hint="eastAsia" w:ascii="宋体" w:hAnsi="宋体" w:eastAsia="宋体" w:cs="宋体"/>
          <w:kern w:val="0"/>
          <w:sz w:val="24"/>
          <w:szCs w:val="24"/>
          <w:highlight w:val="none"/>
        </w:rPr>
        <w:t>但承保保险公司要依据被保险人与患方达成的赔偿协议进行赔偿处理将赔偿款项直接支付给被保险人，每个保险年度被保险人自行处理此类案件总限额为年度保费的10%。</w:t>
      </w:r>
    </w:p>
    <w:p w14:paraId="61C83535">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2.延长报告期特别约定</w:t>
      </w:r>
      <w:bookmarkEnd w:id="174"/>
      <w:bookmarkEnd w:id="175"/>
      <w:bookmarkEnd w:id="176"/>
      <w:bookmarkEnd w:id="177"/>
      <w:bookmarkEnd w:id="178"/>
      <w:bookmarkEnd w:id="179"/>
      <w:r>
        <w:rPr>
          <w:rFonts w:hint="eastAsia" w:ascii="宋体" w:hAnsi="宋体" w:eastAsia="宋体" w:cs="宋体"/>
          <w:kern w:val="0"/>
          <w:sz w:val="24"/>
          <w:szCs w:val="24"/>
          <w:highlight w:val="none"/>
        </w:rPr>
        <w:t>：本协议设置延长报告期，协议到期后若投保人未续保且未在其它保险人处投保同类保险，被保险人将从协议终止之日起免费获得贰年的延长报告期。对于发生在本协议约定的保险期限和追溯期限内的保险事故，只要患者或其近亲属在延长报告期内首次向被保险人提出索赔要求，保险人仍然承担赔偿责任。但延长报告期并非延长本协议的保险期限或改变本协议的保障范围，也并不恢复或增加本协议的保险赔偿限额。</w:t>
      </w:r>
    </w:p>
    <w:p w14:paraId="7BE14E3F">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本协议所指的法律费用包括但不限于律师诉讼费、司法鉴定费、医疗损害鉴定、伤残等级鉴定、死因鉴定、毒理鉴定等与医疗损害、医疗意外、其他损害相关的鉴定费用；聘请法律顾问费用（每一案件的法律费用）；查勘费、取证费、仲裁或诉讼费、案件受理费、证人及专家出庭费用。</w:t>
      </w:r>
    </w:p>
    <w:p w14:paraId="32A0019D">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 因核反应、核子辐射和放射性污染造成的损失、费用和责任，保险不负责赔偿；但使用放射器材治疗或检查发生的赔偿责任，保险人负责赔偿。</w:t>
      </w:r>
    </w:p>
    <w:p w14:paraId="7FBD5A20">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5.本协议中医务人员指经过国家有关部门考核、批准或承认，取得相应资格的各级各类卫生技术人员，也包括医疗管理人员、实习生。</w:t>
      </w:r>
    </w:p>
    <w:p w14:paraId="02CCAE7B">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6.本协议中救护车辆事故责任指被保险人在医疗活动中因所派出的机动救护车辆发生交通意外事故致使患者人身损害而依法应由被保险人承担的赔偿责任，保险人负责赔偿。</w:t>
      </w:r>
    </w:p>
    <w:p w14:paraId="65A4378D">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本协议中医疗意外赔偿指在保险期限或追溯期内，被保险人在诊疗护理过程中由于无法抗拒的因素或无过错行为，但发生了难以预料、难以防范和难以控制的不良后果并造成患者损害，患者或其近亲属或其代理人在保险期限内首次向被保险人提出补偿要求，依法应由被保险人承担的经济赔偿责任或经法院、政府部门要求赔付给患者的相关费用，保险人负责赔偿。</w:t>
      </w:r>
    </w:p>
    <w:p w14:paraId="73F27F5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本协议中医务人员人身损害责任指被保险人的医务人员在本协议有效期内，在从事本协议所载明的被保险人的业务有关工作时（包括上下班途中）遭受意外伤害，依法应由被保险人承担经济赔偿责任，保险人负责赔偿。</w:t>
      </w:r>
    </w:p>
    <w:p w14:paraId="7785E820">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9.医务人员因发生保险事故导致死亡或残疾的，保险人按以下规定进行赔偿：</w:t>
      </w:r>
    </w:p>
    <w:p w14:paraId="43F2C94D">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（1）死亡：保险人按协议约定的每人每次事故死亡赔偿限额进行赔偿，如果保险人根据本协议约定已支付残疾赔偿金的，死亡赔偿金额为扣除已支付残疾赔偿金后的余额。</w:t>
      </w:r>
    </w:p>
    <w:p w14:paraId="7662E21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（2）伤残：按照以下伤残赔偿比例表规定的百分比乘以每人每次事故伤残赔偿限额进行赔偿，残疾程度鉴定标准以《劳动能力鉴定职工工伤与职业病致残等级》 (GB/T16180-2014)为准。</w:t>
      </w:r>
    </w:p>
    <w:tbl>
      <w:tblPr>
        <w:tblStyle w:val="35"/>
        <w:tblW w:w="7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6"/>
        <w:gridCol w:w="3695"/>
      </w:tblGrid>
      <w:tr w14:paraId="3111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6" w:type="dxa"/>
            <w:vAlign w:val="center"/>
          </w:tcPr>
          <w:p w14:paraId="69963207">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伤残等级</w:t>
            </w:r>
          </w:p>
        </w:tc>
        <w:tc>
          <w:tcPr>
            <w:tcW w:w="3695" w:type="dxa"/>
            <w:vAlign w:val="center"/>
          </w:tcPr>
          <w:p w14:paraId="5DC4B869">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赔偿比例</w:t>
            </w:r>
          </w:p>
        </w:tc>
      </w:tr>
      <w:tr w14:paraId="0596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6" w:type="dxa"/>
            <w:vAlign w:val="center"/>
          </w:tcPr>
          <w:p w14:paraId="3FB80FD0">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一级伤残</w:t>
            </w:r>
          </w:p>
        </w:tc>
        <w:tc>
          <w:tcPr>
            <w:tcW w:w="3695" w:type="dxa"/>
            <w:vAlign w:val="center"/>
          </w:tcPr>
          <w:p w14:paraId="07BFB7C3">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w:t>
            </w:r>
          </w:p>
        </w:tc>
      </w:tr>
      <w:tr w14:paraId="1DB4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6" w:type="dxa"/>
            <w:vAlign w:val="center"/>
          </w:tcPr>
          <w:p w14:paraId="386F0A08">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二级伤残</w:t>
            </w:r>
          </w:p>
        </w:tc>
        <w:tc>
          <w:tcPr>
            <w:tcW w:w="3695" w:type="dxa"/>
            <w:vAlign w:val="center"/>
          </w:tcPr>
          <w:p w14:paraId="16E12273">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80%</w:t>
            </w:r>
          </w:p>
        </w:tc>
      </w:tr>
      <w:tr w14:paraId="1DAD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6" w:type="dxa"/>
            <w:vAlign w:val="center"/>
          </w:tcPr>
          <w:p w14:paraId="20BC7DE1">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三级伤残</w:t>
            </w:r>
          </w:p>
        </w:tc>
        <w:tc>
          <w:tcPr>
            <w:tcW w:w="3695" w:type="dxa"/>
            <w:vAlign w:val="center"/>
          </w:tcPr>
          <w:p w14:paraId="5C488851">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70%</w:t>
            </w:r>
          </w:p>
        </w:tc>
      </w:tr>
      <w:tr w14:paraId="4EBA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6" w:type="dxa"/>
            <w:vAlign w:val="center"/>
          </w:tcPr>
          <w:p w14:paraId="32F2B49C">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四级伤残</w:t>
            </w:r>
          </w:p>
        </w:tc>
        <w:tc>
          <w:tcPr>
            <w:tcW w:w="3695" w:type="dxa"/>
            <w:vAlign w:val="center"/>
          </w:tcPr>
          <w:p w14:paraId="40EE709D">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60%</w:t>
            </w:r>
          </w:p>
        </w:tc>
      </w:tr>
      <w:tr w14:paraId="503F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6" w:type="dxa"/>
            <w:vAlign w:val="center"/>
          </w:tcPr>
          <w:p w14:paraId="7036B16A">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五级伤残</w:t>
            </w:r>
          </w:p>
        </w:tc>
        <w:tc>
          <w:tcPr>
            <w:tcW w:w="3695" w:type="dxa"/>
            <w:vAlign w:val="center"/>
          </w:tcPr>
          <w:p w14:paraId="6BED56CD">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w:t>
            </w:r>
          </w:p>
        </w:tc>
      </w:tr>
      <w:tr w14:paraId="7F5D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6" w:type="dxa"/>
            <w:vAlign w:val="center"/>
          </w:tcPr>
          <w:p w14:paraId="16A0F5F7">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六级伤残</w:t>
            </w:r>
          </w:p>
        </w:tc>
        <w:tc>
          <w:tcPr>
            <w:tcW w:w="3695" w:type="dxa"/>
            <w:vAlign w:val="center"/>
          </w:tcPr>
          <w:p w14:paraId="40DDAAEF">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40%</w:t>
            </w:r>
          </w:p>
        </w:tc>
      </w:tr>
      <w:tr w14:paraId="48DC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6" w:type="dxa"/>
            <w:vAlign w:val="center"/>
          </w:tcPr>
          <w:p w14:paraId="65ACFE66">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七级伤残</w:t>
            </w:r>
          </w:p>
        </w:tc>
        <w:tc>
          <w:tcPr>
            <w:tcW w:w="3695" w:type="dxa"/>
            <w:vAlign w:val="center"/>
          </w:tcPr>
          <w:p w14:paraId="77E13C74">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w:t>
            </w:r>
          </w:p>
        </w:tc>
      </w:tr>
      <w:tr w14:paraId="4F93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6" w:type="dxa"/>
            <w:vAlign w:val="center"/>
          </w:tcPr>
          <w:p w14:paraId="17BC0C8F">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八级伤残</w:t>
            </w:r>
          </w:p>
        </w:tc>
        <w:tc>
          <w:tcPr>
            <w:tcW w:w="3695" w:type="dxa"/>
            <w:vAlign w:val="center"/>
          </w:tcPr>
          <w:p w14:paraId="3F86D34B">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w:t>
            </w:r>
          </w:p>
        </w:tc>
      </w:tr>
      <w:tr w14:paraId="4AC1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6" w:type="dxa"/>
            <w:vAlign w:val="center"/>
          </w:tcPr>
          <w:p w14:paraId="36436B54">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九级伤残</w:t>
            </w:r>
          </w:p>
        </w:tc>
        <w:tc>
          <w:tcPr>
            <w:tcW w:w="3695" w:type="dxa"/>
            <w:vAlign w:val="center"/>
          </w:tcPr>
          <w:p w14:paraId="597D01F4">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w:t>
            </w:r>
          </w:p>
        </w:tc>
      </w:tr>
      <w:tr w14:paraId="0ADE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6" w:type="dxa"/>
            <w:vAlign w:val="center"/>
          </w:tcPr>
          <w:p w14:paraId="57A4A9B6">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十级伤残</w:t>
            </w:r>
          </w:p>
        </w:tc>
        <w:tc>
          <w:tcPr>
            <w:tcW w:w="3695" w:type="dxa"/>
            <w:vAlign w:val="center"/>
          </w:tcPr>
          <w:p w14:paraId="456B8AB7">
            <w:pPr>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r>
    </w:tbl>
    <w:p w14:paraId="23A33B10">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（3）即使工伤保险或第三方已给与伤残或死亡赔偿，保险人仍根据本协议约定的标准进行赔偿。</w:t>
      </w:r>
    </w:p>
    <w:p w14:paraId="7A9E2942">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经双方协商一致，保险人同意本协议采用不记名方式投保，投保人按投保时实际在册医务人员人数投保，且自动承保保险期限内被保险人新增的医务人员，但发生赔案时，被保险人应提供与相关医务人员签订的劳务合同等相关用工协议。</w:t>
      </w:r>
    </w:p>
    <w:p w14:paraId="4C88D14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11.事故发生后，被保险人为避免或减轻患者损害，或者为了防止赔偿扩大所支付的必须、合理的费用，保险人负责赔偿。</w:t>
      </w:r>
    </w:p>
    <w:p w14:paraId="4147E7B3">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12.凡通过《深圳经济特区医疗条例》第五十五条约定途径处理的医疗损害责任事件、医疗意外事件以及其他损害事件，保险人均应认可处理结果。具体形式包括但不限于：</w:t>
      </w:r>
    </w:p>
    <w:p w14:paraId="269CF45A">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（1）经医患双方协商认定的（赔付金额在1万元（含）以内且经服务小组确认后的）。</w:t>
      </w:r>
    </w:p>
    <w:p w14:paraId="4ACBAE69">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（2）经人民调解委员会调解。</w:t>
      </w:r>
    </w:p>
    <w:p w14:paraId="7881190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（3）经医学会鉴定或司法鉴定。</w:t>
      </w:r>
    </w:p>
    <w:p w14:paraId="2A945A34">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（4）经仲裁院仲裁。</w:t>
      </w:r>
    </w:p>
    <w:p w14:paraId="16C93890">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（5）经法院判决或调解。</w:t>
      </w:r>
    </w:p>
    <w:p w14:paraId="785E036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（6）医院专家委员会与保险人共同认定。</w:t>
      </w:r>
    </w:p>
    <w:p w14:paraId="751B4F9A">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对既必须紧急处理的、又可认定确属保险责任范围赔案，但又不能确定其赔款的，应当根据已有单证和资料，按其最低赔款或者用于应急处理所需的部分赔款，保险人先予支付，在最终核定赔偿金额后，再支付相应的差额。</w:t>
      </w:r>
    </w:p>
    <w:p w14:paraId="2431B979">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14.对于属于保险责任的案件，保险人收齐理赔资料后，应在15个工作日内制作赔款计算书并支付给被保险人或直接支付赔款给患方。</w:t>
      </w:r>
    </w:p>
    <w:p w14:paraId="08EFF34B">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15.保险人工作人员在工作过程中，若因工作方式、方法不当或者因重大疏忽或错误等主观原因造成患方向被保险人提出严重投诉的或者造成恶劣影响，保险人依法应承担相应责任。</w:t>
      </w:r>
    </w:p>
    <w:p w14:paraId="6E5C2B7D">
      <w:pPr>
        <w:pStyle w:val="5"/>
        <w:bidi w:val="0"/>
        <w:outlineLvl w:val="0"/>
        <w:rPr>
          <w:rFonts w:hint="eastAsia"/>
          <w:highlight w:val="none"/>
          <w:lang w:val="en-US" w:eastAsia="zh-CN"/>
        </w:rPr>
      </w:pPr>
      <w:bookmarkStart w:id="180" w:name="_Toc26807"/>
      <w:bookmarkStart w:id="181" w:name="_Toc26371"/>
      <w:r>
        <w:rPr>
          <w:rFonts w:hint="eastAsia"/>
          <w:highlight w:val="none"/>
          <w:lang w:val="en-US" w:eastAsia="zh-CN"/>
        </w:rPr>
        <w:t>十三. 保险费</w:t>
      </w:r>
      <w:bookmarkEnd w:id="180"/>
      <w:bookmarkEnd w:id="181"/>
    </w:p>
    <w:p w14:paraId="1196E58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bookmarkStart w:id="182" w:name="_Toc30577"/>
      <w:r>
        <w:rPr>
          <w:rFonts w:hint="eastAsia" w:ascii="宋体" w:hAnsi="宋体" w:eastAsia="宋体" w:cs="宋体"/>
          <w:kern w:val="0"/>
          <w:sz w:val="24"/>
          <w:szCs w:val="24"/>
          <w:highlight w:val="none"/>
        </w:rPr>
        <w:t>人民币</w:t>
      </w:r>
      <w:r>
        <w:rPr>
          <w:rFonts w:hint="eastAsia" w:ascii="宋体" w:hAnsi="宋体" w:eastAsia="宋体" w:cs="宋体"/>
          <w:kern w:val="0"/>
          <w:sz w:val="24"/>
          <w:szCs w:val="24"/>
          <w:highlight w:val="none"/>
          <w:lang w:val="en-US" w:eastAsia="zh-CN"/>
        </w:rPr>
        <w:t xml:space="preserve">  元 </w:t>
      </w:r>
      <w:r>
        <w:rPr>
          <w:rFonts w:hint="eastAsia" w:ascii="宋体" w:hAnsi="宋体" w:eastAsia="宋体" w:cs="宋体"/>
          <w:kern w:val="0"/>
          <w:sz w:val="24"/>
          <w:szCs w:val="24"/>
          <w:highlight w:val="none"/>
        </w:rPr>
        <w:t>（RMB ）</w:t>
      </w:r>
    </w:p>
    <w:p w14:paraId="0DBB8CBC">
      <w:pPr>
        <w:pStyle w:val="5"/>
        <w:bidi w:val="0"/>
        <w:outlineLvl w:val="0"/>
        <w:rPr>
          <w:rFonts w:hint="eastAsia"/>
          <w:highlight w:val="none"/>
          <w:lang w:val="en-US" w:eastAsia="zh-CN"/>
        </w:rPr>
      </w:pPr>
      <w:bookmarkStart w:id="183" w:name="_Toc7882"/>
      <w:r>
        <w:rPr>
          <w:rFonts w:hint="eastAsia"/>
          <w:highlight w:val="none"/>
          <w:lang w:val="en-US" w:eastAsia="zh-CN"/>
        </w:rPr>
        <w:t>十四. 保险费支付约定</w:t>
      </w:r>
      <w:bookmarkEnd w:id="182"/>
      <w:bookmarkEnd w:id="183"/>
    </w:p>
    <w:p w14:paraId="0A46123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按深圳市福田区第二人民医院财务相关规定支付。</w:t>
      </w:r>
    </w:p>
    <w:p w14:paraId="0ACB9B72">
      <w:pPr>
        <w:pStyle w:val="5"/>
        <w:bidi w:val="0"/>
        <w:outlineLvl w:val="0"/>
        <w:rPr>
          <w:rFonts w:hint="eastAsia"/>
          <w:highlight w:val="none"/>
          <w:lang w:val="en-US" w:eastAsia="zh-CN"/>
        </w:rPr>
      </w:pPr>
      <w:bookmarkStart w:id="184" w:name="_Toc30562"/>
      <w:bookmarkStart w:id="185" w:name="_Toc7568"/>
      <w:r>
        <w:rPr>
          <w:rFonts w:hint="eastAsia"/>
          <w:highlight w:val="none"/>
          <w:lang w:val="en-US" w:eastAsia="zh-CN"/>
        </w:rPr>
        <w:t>十五. 续保调整系数</w:t>
      </w:r>
      <w:bookmarkEnd w:id="184"/>
      <w:bookmarkEnd w:id="185"/>
    </w:p>
    <w:p w14:paraId="0E2FEAA2">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下一年度续签协议时，保费在上年度基础上，按下述系数进行调整。</w:t>
      </w:r>
    </w:p>
    <w:tbl>
      <w:tblPr>
        <w:tblStyle w:val="35"/>
        <w:tblpPr w:leftFromText="180" w:rightFromText="180" w:vertAnchor="text" w:horzAnchor="margin" w:tblpYSpec="top"/>
        <w:tblW w:w="8804" w:type="dxa"/>
        <w:tblInd w:w="0" w:type="dxa"/>
        <w:tblLayout w:type="fixed"/>
        <w:tblCellMar>
          <w:top w:w="0" w:type="dxa"/>
          <w:left w:w="108" w:type="dxa"/>
          <w:bottom w:w="0" w:type="dxa"/>
          <w:right w:w="108" w:type="dxa"/>
        </w:tblCellMar>
      </w:tblPr>
      <w:tblGrid>
        <w:gridCol w:w="4268"/>
        <w:gridCol w:w="4536"/>
      </w:tblGrid>
      <w:tr w14:paraId="69EC3A3E">
        <w:tblPrEx>
          <w:tblCellMar>
            <w:top w:w="0" w:type="dxa"/>
            <w:left w:w="108" w:type="dxa"/>
            <w:bottom w:w="0" w:type="dxa"/>
            <w:right w:w="108" w:type="dxa"/>
          </w:tblCellMar>
        </w:tblPrEx>
        <w:trPr>
          <w:trHeight w:val="480" w:hRule="atLeast"/>
        </w:trPr>
        <w:tc>
          <w:tcPr>
            <w:tcW w:w="4268" w:type="dxa"/>
            <w:tcBorders>
              <w:top w:val="single" w:color="auto" w:sz="4" w:space="0"/>
              <w:left w:val="single" w:color="auto" w:sz="4" w:space="0"/>
              <w:bottom w:val="single" w:color="auto" w:sz="4" w:space="0"/>
              <w:right w:val="single" w:color="auto" w:sz="4" w:space="0"/>
            </w:tcBorders>
            <w:vAlign w:val="center"/>
          </w:tcPr>
          <w:p w14:paraId="2968C398">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上年度赔付率</w:t>
            </w:r>
          </w:p>
        </w:tc>
        <w:tc>
          <w:tcPr>
            <w:tcW w:w="4536" w:type="dxa"/>
            <w:tcBorders>
              <w:top w:val="single" w:color="auto" w:sz="4" w:space="0"/>
              <w:left w:val="nil"/>
              <w:bottom w:val="single" w:color="auto" w:sz="4" w:space="0"/>
              <w:right w:val="single" w:color="auto" w:sz="4" w:space="0"/>
            </w:tcBorders>
            <w:vAlign w:val="center"/>
          </w:tcPr>
          <w:p w14:paraId="73D60A7B">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续保调整系数</w:t>
            </w:r>
          </w:p>
        </w:tc>
      </w:tr>
      <w:tr w14:paraId="60A0FE68">
        <w:tblPrEx>
          <w:tblCellMar>
            <w:top w:w="0" w:type="dxa"/>
            <w:left w:w="108" w:type="dxa"/>
            <w:bottom w:w="0" w:type="dxa"/>
            <w:right w:w="108" w:type="dxa"/>
          </w:tblCellMar>
        </w:tblPrEx>
        <w:trPr>
          <w:trHeight w:val="375" w:hRule="atLeast"/>
        </w:trPr>
        <w:tc>
          <w:tcPr>
            <w:tcW w:w="4268" w:type="dxa"/>
            <w:tcBorders>
              <w:top w:val="nil"/>
              <w:left w:val="single" w:color="auto" w:sz="4" w:space="0"/>
              <w:bottom w:val="single" w:color="auto" w:sz="4" w:space="0"/>
              <w:right w:val="single" w:color="auto" w:sz="4" w:space="0"/>
            </w:tcBorders>
            <w:vAlign w:val="center"/>
          </w:tcPr>
          <w:p w14:paraId="6F4B3613">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低于30%</w:t>
            </w:r>
          </w:p>
        </w:tc>
        <w:tc>
          <w:tcPr>
            <w:tcW w:w="4536" w:type="dxa"/>
            <w:tcBorders>
              <w:top w:val="nil"/>
              <w:left w:val="nil"/>
              <w:bottom w:val="single" w:color="auto" w:sz="4" w:space="0"/>
              <w:right w:val="single" w:color="auto" w:sz="4" w:space="0"/>
            </w:tcBorders>
            <w:vAlign w:val="center"/>
          </w:tcPr>
          <w:p w14:paraId="32E41B7D">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0</w:t>
            </w:r>
          </w:p>
        </w:tc>
      </w:tr>
      <w:tr w14:paraId="6F36963F">
        <w:tblPrEx>
          <w:tblCellMar>
            <w:top w:w="0" w:type="dxa"/>
            <w:left w:w="108" w:type="dxa"/>
            <w:bottom w:w="0" w:type="dxa"/>
            <w:right w:w="108" w:type="dxa"/>
          </w:tblCellMar>
        </w:tblPrEx>
        <w:trPr>
          <w:trHeight w:val="375" w:hRule="atLeast"/>
        </w:trPr>
        <w:tc>
          <w:tcPr>
            <w:tcW w:w="4268" w:type="dxa"/>
            <w:tcBorders>
              <w:top w:val="nil"/>
              <w:left w:val="single" w:color="auto" w:sz="4" w:space="0"/>
              <w:bottom w:val="single" w:color="auto" w:sz="4" w:space="0"/>
              <w:right w:val="single" w:color="auto" w:sz="4" w:space="0"/>
            </w:tcBorders>
            <w:vAlign w:val="center"/>
          </w:tcPr>
          <w:p w14:paraId="635E81ED">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30-40%</w:t>
            </w:r>
          </w:p>
        </w:tc>
        <w:tc>
          <w:tcPr>
            <w:tcW w:w="4536" w:type="dxa"/>
            <w:tcBorders>
              <w:top w:val="nil"/>
              <w:left w:val="nil"/>
              <w:bottom w:val="single" w:color="auto" w:sz="4" w:space="0"/>
              <w:right w:val="single" w:color="auto" w:sz="4" w:space="0"/>
            </w:tcBorders>
            <w:vAlign w:val="center"/>
          </w:tcPr>
          <w:p w14:paraId="182D4BE4">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5</w:t>
            </w:r>
          </w:p>
        </w:tc>
      </w:tr>
      <w:tr w14:paraId="367C59C3">
        <w:tblPrEx>
          <w:tblCellMar>
            <w:top w:w="0" w:type="dxa"/>
            <w:left w:w="108" w:type="dxa"/>
            <w:bottom w:w="0" w:type="dxa"/>
            <w:right w:w="108" w:type="dxa"/>
          </w:tblCellMar>
        </w:tblPrEx>
        <w:trPr>
          <w:trHeight w:val="375" w:hRule="atLeast"/>
        </w:trPr>
        <w:tc>
          <w:tcPr>
            <w:tcW w:w="4268" w:type="dxa"/>
            <w:tcBorders>
              <w:top w:val="nil"/>
              <w:left w:val="single" w:color="auto" w:sz="4" w:space="0"/>
              <w:bottom w:val="single" w:color="auto" w:sz="4" w:space="0"/>
              <w:right w:val="single" w:color="auto" w:sz="4" w:space="0"/>
            </w:tcBorders>
            <w:vAlign w:val="center"/>
          </w:tcPr>
          <w:p w14:paraId="75FCEBAC">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40-50%</w:t>
            </w:r>
          </w:p>
        </w:tc>
        <w:tc>
          <w:tcPr>
            <w:tcW w:w="4536" w:type="dxa"/>
            <w:tcBorders>
              <w:top w:val="nil"/>
              <w:left w:val="nil"/>
              <w:bottom w:val="single" w:color="auto" w:sz="4" w:space="0"/>
              <w:right w:val="single" w:color="auto" w:sz="4" w:space="0"/>
            </w:tcBorders>
            <w:vAlign w:val="center"/>
          </w:tcPr>
          <w:p w14:paraId="0B46FA0E">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0</w:t>
            </w:r>
          </w:p>
        </w:tc>
      </w:tr>
      <w:tr w14:paraId="69290460">
        <w:tblPrEx>
          <w:tblCellMar>
            <w:top w:w="0" w:type="dxa"/>
            <w:left w:w="108" w:type="dxa"/>
            <w:bottom w:w="0" w:type="dxa"/>
            <w:right w:w="108" w:type="dxa"/>
          </w:tblCellMar>
        </w:tblPrEx>
        <w:trPr>
          <w:trHeight w:val="375" w:hRule="atLeast"/>
        </w:trPr>
        <w:tc>
          <w:tcPr>
            <w:tcW w:w="4268" w:type="dxa"/>
            <w:tcBorders>
              <w:top w:val="nil"/>
              <w:left w:val="single" w:color="auto" w:sz="4" w:space="0"/>
              <w:bottom w:val="single" w:color="auto" w:sz="4" w:space="0"/>
              <w:right w:val="single" w:color="auto" w:sz="4" w:space="0"/>
            </w:tcBorders>
            <w:vAlign w:val="center"/>
          </w:tcPr>
          <w:p w14:paraId="144CAAB6">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50-60%</w:t>
            </w:r>
          </w:p>
        </w:tc>
        <w:tc>
          <w:tcPr>
            <w:tcW w:w="4536" w:type="dxa"/>
            <w:tcBorders>
              <w:top w:val="nil"/>
              <w:left w:val="nil"/>
              <w:bottom w:val="single" w:color="auto" w:sz="4" w:space="0"/>
              <w:right w:val="single" w:color="auto" w:sz="4" w:space="0"/>
            </w:tcBorders>
            <w:vAlign w:val="center"/>
          </w:tcPr>
          <w:p w14:paraId="201B3113">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1.05</w:t>
            </w:r>
          </w:p>
        </w:tc>
      </w:tr>
      <w:tr w14:paraId="6103DEB8">
        <w:tblPrEx>
          <w:tblCellMar>
            <w:top w:w="0" w:type="dxa"/>
            <w:left w:w="108" w:type="dxa"/>
            <w:bottom w:w="0" w:type="dxa"/>
            <w:right w:w="108" w:type="dxa"/>
          </w:tblCellMar>
        </w:tblPrEx>
        <w:trPr>
          <w:trHeight w:val="375" w:hRule="atLeast"/>
        </w:trPr>
        <w:tc>
          <w:tcPr>
            <w:tcW w:w="4268" w:type="dxa"/>
            <w:tcBorders>
              <w:top w:val="nil"/>
              <w:left w:val="single" w:color="auto" w:sz="4" w:space="0"/>
              <w:bottom w:val="single" w:color="auto" w:sz="4" w:space="0"/>
              <w:right w:val="single" w:color="auto" w:sz="4" w:space="0"/>
            </w:tcBorders>
            <w:vAlign w:val="center"/>
          </w:tcPr>
          <w:p w14:paraId="2D917C04">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60-70%</w:t>
            </w:r>
          </w:p>
        </w:tc>
        <w:tc>
          <w:tcPr>
            <w:tcW w:w="4536" w:type="dxa"/>
            <w:tcBorders>
              <w:top w:val="nil"/>
              <w:left w:val="nil"/>
              <w:bottom w:val="single" w:color="auto" w:sz="4" w:space="0"/>
              <w:right w:val="single" w:color="auto" w:sz="4" w:space="0"/>
            </w:tcBorders>
            <w:vAlign w:val="center"/>
          </w:tcPr>
          <w:p w14:paraId="7FE28E9E">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1.10</w:t>
            </w:r>
          </w:p>
        </w:tc>
      </w:tr>
      <w:tr w14:paraId="340E9373">
        <w:tblPrEx>
          <w:tblCellMar>
            <w:top w:w="0" w:type="dxa"/>
            <w:left w:w="108" w:type="dxa"/>
            <w:bottom w:w="0" w:type="dxa"/>
            <w:right w:w="108" w:type="dxa"/>
          </w:tblCellMar>
        </w:tblPrEx>
        <w:trPr>
          <w:trHeight w:val="375" w:hRule="atLeast"/>
        </w:trPr>
        <w:tc>
          <w:tcPr>
            <w:tcW w:w="4268" w:type="dxa"/>
            <w:tcBorders>
              <w:top w:val="nil"/>
              <w:left w:val="single" w:color="auto" w:sz="4" w:space="0"/>
              <w:bottom w:val="single" w:color="auto" w:sz="4" w:space="0"/>
              <w:right w:val="single" w:color="auto" w:sz="4" w:space="0"/>
            </w:tcBorders>
            <w:vAlign w:val="center"/>
          </w:tcPr>
          <w:p w14:paraId="108EE7E6">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70-80%</w:t>
            </w:r>
          </w:p>
        </w:tc>
        <w:tc>
          <w:tcPr>
            <w:tcW w:w="4536" w:type="dxa"/>
            <w:tcBorders>
              <w:top w:val="nil"/>
              <w:left w:val="nil"/>
              <w:bottom w:val="single" w:color="auto" w:sz="4" w:space="0"/>
              <w:right w:val="single" w:color="auto" w:sz="4" w:space="0"/>
            </w:tcBorders>
            <w:vAlign w:val="center"/>
          </w:tcPr>
          <w:p w14:paraId="6881836D">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1.15</w:t>
            </w:r>
          </w:p>
        </w:tc>
      </w:tr>
      <w:tr w14:paraId="2DE19282">
        <w:tblPrEx>
          <w:tblCellMar>
            <w:top w:w="0" w:type="dxa"/>
            <w:left w:w="108" w:type="dxa"/>
            <w:bottom w:w="0" w:type="dxa"/>
            <w:right w:w="108" w:type="dxa"/>
          </w:tblCellMar>
        </w:tblPrEx>
        <w:trPr>
          <w:trHeight w:val="375" w:hRule="atLeast"/>
        </w:trPr>
        <w:tc>
          <w:tcPr>
            <w:tcW w:w="4268" w:type="dxa"/>
            <w:tcBorders>
              <w:top w:val="nil"/>
              <w:left w:val="single" w:color="auto" w:sz="4" w:space="0"/>
              <w:bottom w:val="single" w:color="auto" w:sz="4" w:space="0"/>
              <w:right w:val="single" w:color="auto" w:sz="4" w:space="0"/>
            </w:tcBorders>
            <w:vAlign w:val="center"/>
          </w:tcPr>
          <w:p w14:paraId="5522D332">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80-90%</w:t>
            </w:r>
          </w:p>
        </w:tc>
        <w:tc>
          <w:tcPr>
            <w:tcW w:w="4536" w:type="dxa"/>
            <w:tcBorders>
              <w:top w:val="nil"/>
              <w:left w:val="nil"/>
              <w:bottom w:val="single" w:color="auto" w:sz="4" w:space="0"/>
              <w:right w:val="single" w:color="auto" w:sz="4" w:space="0"/>
            </w:tcBorders>
            <w:vAlign w:val="center"/>
          </w:tcPr>
          <w:p w14:paraId="12E6B923">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1.20</w:t>
            </w:r>
          </w:p>
        </w:tc>
      </w:tr>
      <w:tr w14:paraId="64486197">
        <w:tblPrEx>
          <w:tblCellMar>
            <w:top w:w="0" w:type="dxa"/>
            <w:left w:w="108" w:type="dxa"/>
            <w:bottom w:w="0" w:type="dxa"/>
            <w:right w:w="108" w:type="dxa"/>
          </w:tblCellMar>
        </w:tblPrEx>
        <w:trPr>
          <w:trHeight w:val="375" w:hRule="atLeast"/>
        </w:trPr>
        <w:tc>
          <w:tcPr>
            <w:tcW w:w="4268" w:type="dxa"/>
            <w:tcBorders>
              <w:top w:val="nil"/>
              <w:left w:val="single" w:color="auto" w:sz="4" w:space="0"/>
              <w:bottom w:val="single" w:color="auto" w:sz="4" w:space="0"/>
              <w:right w:val="single" w:color="auto" w:sz="4" w:space="0"/>
            </w:tcBorders>
            <w:vAlign w:val="center"/>
          </w:tcPr>
          <w:p w14:paraId="2B5BC45F">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90-100%</w:t>
            </w:r>
          </w:p>
        </w:tc>
        <w:tc>
          <w:tcPr>
            <w:tcW w:w="4536" w:type="dxa"/>
            <w:tcBorders>
              <w:top w:val="nil"/>
              <w:left w:val="nil"/>
              <w:bottom w:val="single" w:color="auto" w:sz="4" w:space="0"/>
              <w:right w:val="single" w:color="auto" w:sz="4" w:space="0"/>
            </w:tcBorders>
            <w:vAlign w:val="center"/>
          </w:tcPr>
          <w:p w14:paraId="2F92FAA4">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5</w:t>
            </w:r>
          </w:p>
        </w:tc>
      </w:tr>
      <w:tr w14:paraId="1FE0EF31">
        <w:tblPrEx>
          <w:tblCellMar>
            <w:top w:w="0" w:type="dxa"/>
            <w:left w:w="108" w:type="dxa"/>
            <w:bottom w:w="0" w:type="dxa"/>
            <w:right w:w="108" w:type="dxa"/>
          </w:tblCellMar>
        </w:tblPrEx>
        <w:trPr>
          <w:trHeight w:val="375" w:hRule="atLeast"/>
        </w:trPr>
        <w:tc>
          <w:tcPr>
            <w:tcW w:w="4268" w:type="dxa"/>
            <w:tcBorders>
              <w:top w:val="nil"/>
              <w:left w:val="single" w:color="auto" w:sz="4" w:space="0"/>
              <w:bottom w:val="single" w:color="auto" w:sz="4" w:space="0"/>
              <w:right w:val="single" w:color="auto" w:sz="4" w:space="0"/>
            </w:tcBorders>
            <w:vAlign w:val="center"/>
          </w:tcPr>
          <w:p w14:paraId="2F83E179">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100-120%</w:t>
            </w:r>
          </w:p>
        </w:tc>
        <w:tc>
          <w:tcPr>
            <w:tcW w:w="4536" w:type="dxa"/>
            <w:tcBorders>
              <w:top w:val="nil"/>
              <w:left w:val="nil"/>
              <w:bottom w:val="single" w:color="auto" w:sz="4" w:space="0"/>
              <w:right w:val="single" w:color="auto" w:sz="4" w:space="0"/>
            </w:tcBorders>
            <w:vAlign w:val="center"/>
          </w:tcPr>
          <w:p w14:paraId="03E99AFD">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0</w:t>
            </w:r>
          </w:p>
        </w:tc>
      </w:tr>
      <w:tr w14:paraId="7307F411">
        <w:tblPrEx>
          <w:tblCellMar>
            <w:top w:w="0" w:type="dxa"/>
            <w:left w:w="108" w:type="dxa"/>
            <w:bottom w:w="0" w:type="dxa"/>
            <w:right w:w="108" w:type="dxa"/>
          </w:tblCellMar>
        </w:tblPrEx>
        <w:trPr>
          <w:trHeight w:val="375" w:hRule="atLeast"/>
        </w:trPr>
        <w:tc>
          <w:tcPr>
            <w:tcW w:w="4268" w:type="dxa"/>
            <w:tcBorders>
              <w:top w:val="nil"/>
              <w:left w:val="single" w:color="auto" w:sz="4" w:space="0"/>
              <w:bottom w:val="single" w:color="auto" w:sz="4" w:space="0"/>
              <w:right w:val="single" w:color="auto" w:sz="4" w:space="0"/>
            </w:tcBorders>
            <w:vAlign w:val="center"/>
          </w:tcPr>
          <w:p w14:paraId="4B291167">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120-140%</w:t>
            </w:r>
          </w:p>
        </w:tc>
        <w:tc>
          <w:tcPr>
            <w:tcW w:w="4536" w:type="dxa"/>
            <w:tcBorders>
              <w:top w:val="nil"/>
              <w:left w:val="nil"/>
              <w:bottom w:val="single" w:color="auto" w:sz="4" w:space="0"/>
              <w:right w:val="single" w:color="auto" w:sz="4" w:space="0"/>
            </w:tcBorders>
            <w:vAlign w:val="center"/>
          </w:tcPr>
          <w:p w14:paraId="730DCF89">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45</w:t>
            </w:r>
          </w:p>
        </w:tc>
      </w:tr>
      <w:tr w14:paraId="5D1C4816">
        <w:tblPrEx>
          <w:tblCellMar>
            <w:top w:w="0" w:type="dxa"/>
            <w:left w:w="108" w:type="dxa"/>
            <w:bottom w:w="0" w:type="dxa"/>
            <w:right w:w="108" w:type="dxa"/>
          </w:tblCellMar>
        </w:tblPrEx>
        <w:trPr>
          <w:trHeight w:val="375" w:hRule="atLeast"/>
        </w:trPr>
        <w:tc>
          <w:tcPr>
            <w:tcW w:w="4268" w:type="dxa"/>
            <w:tcBorders>
              <w:top w:val="nil"/>
              <w:left w:val="single" w:color="auto" w:sz="4" w:space="0"/>
              <w:bottom w:val="single" w:color="auto" w:sz="4" w:space="0"/>
              <w:right w:val="single" w:color="auto" w:sz="4" w:space="0"/>
            </w:tcBorders>
            <w:vAlign w:val="center"/>
          </w:tcPr>
          <w:p w14:paraId="6DBF77D3">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140-160%</w:t>
            </w:r>
          </w:p>
        </w:tc>
        <w:tc>
          <w:tcPr>
            <w:tcW w:w="4536" w:type="dxa"/>
            <w:tcBorders>
              <w:top w:val="nil"/>
              <w:left w:val="nil"/>
              <w:bottom w:val="single" w:color="auto" w:sz="4" w:space="0"/>
              <w:right w:val="single" w:color="auto" w:sz="4" w:space="0"/>
            </w:tcBorders>
            <w:vAlign w:val="center"/>
          </w:tcPr>
          <w:p w14:paraId="0E6E3F6A">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1.50</w:t>
            </w:r>
          </w:p>
        </w:tc>
      </w:tr>
      <w:tr w14:paraId="6A129CC8">
        <w:tblPrEx>
          <w:tblCellMar>
            <w:top w:w="0" w:type="dxa"/>
            <w:left w:w="108" w:type="dxa"/>
            <w:bottom w:w="0" w:type="dxa"/>
            <w:right w:w="108" w:type="dxa"/>
          </w:tblCellMar>
        </w:tblPrEx>
        <w:trPr>
          <w:trHeight w:val="375" w:hRule="atLeast"/>
        </w:trPr>
        <w:tc>
          <w:tcPr>
            <w:tcW w:w="4268" w:type="dxa"/>
            <w:tcBorders>
              <w:top w:val="nil"/>
              <w:left w:val="single" w:color="auto" w:sz="4" w:space="0"/>
              <w:bottom w:val="single" w:color="auto" w:sz="4" w:space="0"/>
              <w:right w:val="single" w:color="auto" w:sz="4" w:space="0"/>
            </w:tcBorders>
            <w:vAlign w:val="center"/>
          </w:tcPr>
          <w:p w14:paraId="4237BC24">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160-200%</w:t>
            </w:r>
          </w:p>
        </w:tc>
        <w:tc>
          <w:tcPr>
            <w:tcW w:w="4536" w:type="dxa"/>
            <w:tcBorders>
              <w:top w:val="nil"/>
              <w:left w:val="nil"/>
              <w:bottom w:val="single" w:color="auto" w:sz="4" w:space="0"/>
              <w:right w:val="single" w:color="auto" w:sz="4" w:space="0"/>
            </w:tcBorders>
            <w:vAlign w:val="center"/>
          </w:tcPr>
          <w:p w14:paraId="0E7653BC">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1.80</w:t>
            </w:r>
          </w:p>
        </w:tc>
      </w:tr>
      <w:tr w14:paraId="5478AA33">
        <w:tblPrEx>
          <w:tblCellMar>
            <w:top w:w="0" w:type="dxa"/>
            <w:left w:w="108" w:type="dxa"/>
            <w:bottom w:w="0" w:type="dxa"/>
            <w:right w:w="108" w:type="dxa"/>
          </w:tblCellMar>
        </w:tblPrEx>
        <w:trPr>
          <w:trHeight w:val="375" w:hRule="atLeast"/>
        </w:trPr>
        <w:tc>
          <w:tcPr>
            <w:tcW w:w="4268" w:type="dxa"/>
            <w:tcBorders>
              <w:top w:val="nil"/>
              <w:left w:val="single" w:color="auto" w:sz="4" w:space="0"/>
              <w:bottom w:val="single" w:color="auto" w:sz="4" w:space="0"/>
              <w:right w:val="single" w:color="auto" w:sz="4" w:space="0"/>
            </w:tcBorders>
            <w:vAlign w:val="center"/>
          </w:tcPr>
          <w:p w14:paraId="3D3508BB">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超过200%</w:t>
            </w:r>
          </w:p>
        </w:tc>
        <w:tc>
          <w:tcPr>
            <w:tcW w:w="4536" w:type="dxa"/>
            <w:tcBorders>
              <w:top w:val="nil"/>
              <w:left w:val="nil"/>
              <w:bottom w:val="single" w:color="auto" w:sz="4" w:space="0"/>
              <w:right w:val="single" w:color="auto" w:sz="4" w:space="0"/>
            </w:tcBorders>
            <w:vAlign w:val="center"/>
          </w:tcPr>
          <w:p w14:paraId="79A81354">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w:t>
            </w:r>
          </w:p>
        </w:tc>
      </w:tr>
      <w:tr w14:paraId="0E86A157">
        <w:tblPrEx>
          <w:tblCellMar>
            <w:top w:w="0" w:type="dxa"/>
            <w:left w:w="108" w:type="dxa"/>
            <w:bottom w:w="0" w:type="dxa"/>
            <w:right w:w="108" w:type="dxa"/>
          </w:tblCellMar>
        </w:tblPrEx>
        <w:trPr>
          <w:trHeight w:val="564" w:hRule="atLeast"/>
        </w:trPr>
        <w:tc>
          <w:tcPr>
            <w:tcW w:w="8804" w:type="dxa"/>
            <w:gridSpan w:val="2"/>
            <w:tcBorders>
              <w:top w:val="single" w:color="auto" w:sz="4" w:space="0"/>
              <w:left w:val="single" w:color="auto" w:sz="4" w:space="0"/>
              <w:bottom w:val="single" w:color="auto" w:sz="4" w:space="0"/>
              <w:right w:val="single" w:color="000000" w:sz="4" w:space="0"/>
            </w:tcBorders>
            <w:vAlign w:val="center"/>
          </w:tcPr>
          <w:p w14:paraId="2C8F1092">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赔付率=（上年度已决赔付金额+未决赔付金额）/上年度保险费*100%</w:t>
            </w:r>
          </w:p>
          <w:p w14:paraId="1981CDEA">
            <w:pPr>
              <w:pageBreakBefore w:val="0"/>
              <w:widowControl/>
              <w:kinsoku/>
              <w:wordWrap/>
              <w:overflowPunct/>
              <w:topLinePunct w:val="0"/>
              <w:autoSpaceDE/>
              <w:autoSpaceDN/>
              <w:bidi w:val="0"/>
              <w:adjustRightInd/>
              <w:snapToGrid/>
              <w:spacing w:line="288" w:lineRule="auto"/>
              <w:ind w:left="0" w:left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赔付金额指保险人赔付给被保险人或患者的赔款金额。</w:t>
            </w:r>
          </w:p>
        </w:tc>
      </w:tr>
    </w:tbl>
    <w:p w14:paraId="2ABEB307">
      <w:pPr>
        <w:pStyle w:val="5"/>
        <w:bidi w:val="0"/>
        <w:outlineLvl w:val="0"/>
        <w:rPr>
          <w:rFonts w:hint="eastAsia"/>
          <w:highlight w:val="none"/>
          <w:lang w:val="en-US" w:eastAsia="zh-CN"/>
        </w:rPr>
      </w:pPr>
      <w:r>
        <w:rPr>
          <w:rFonts w:hint="eastAsia"/>
          <w:highlight w:val="none"/>
          <w:lang w:val="en-US" w:eastAsia="zh-CN"/>
        </w:rPr>
        <w:t xml:space="preserve"> </w:t>
      </w:r>
      <w:bookmarkStart w:id="186" w:name="_Toc14331"/>
      <w:bookmarkStart w:id="187" w:name="_Toc22342"/>
      <w:r>
        <w:rPr>
          <w:rFonts w:hint="eastAsia"/>
          <w:highlight w:val="none"/>
          <w:lang w:val="en-US" w:eastAsia="zh-CN"/>
        </w:rPr>
        <w:t>十六. 成立服务</w:t>
      </w:r>
      <w:bookmarkEnd w:id="186"/>
      <w:r>
        <w:rPr>
          <w:rFonts w:hint="eastAsia"/>
          <w:highlight w:val="none"/>
          <w:lang w:val="en-US" w:eastAsia="zh-CN"/>
        </w:rPr>
        <w:t>小组</w:t>
      </w:r>
      <w:bookmarkEnd w:id="187"/>
    </w:p>
    <w:p w14:paraId="5CBD16AF">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在协议生效之日起十个工作日内，由于保险经纪人牵头，保险人指派人员配合保险经纪人成立“深圳市福田区第二人民医院医责险服务小组”（以下简称服务小组）。</w:t>
      </w:r>
    </w:p>
    <w:p w14:paraId="643E3155">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服务小组负责对接院外处理机构和部门，包括且不限于法院、医学会、调解机构、公安机关、街道办等，服务小组也负责医疗纠纷文书处理。    </w:t>
      </w:r>
    </w:p>
    <w:p w14:paraId="4524CE0F">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保险人至少派1名工作人员定期走访甲方，配合处理医疗投诉、纠纷工作的接待、调查、处理、谈判、引导患者院外处理等工作。</w:t>
      </w:r>
    </w:p>
    <w:p w14:paraId="0432DC50">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服务小组具体服务内容按中标确定《深圳市福田区第二人民医院医责险服务方案》执行。</w:t>
      </w:r>
    </w:p>
    <w:p w14:paraId="2D356585">
      <w:pPr>
        <w:pStyle w:val="5"/>
        <w:bidi w:val="0"/>
        <w:outlineLvl w:val="0"/>
        <w:rPr>
          <w:rFonts w:hint="eastAsia"/>
          <w:highlight w:val="none"/>
          <w:lang w:val="en-US" w:eastAsia="zh-CN"/>
        </w:rPr>
      </w:pPr>
      <w:bookmarkStart w:id="188" w:name="_Toc11963"/>
      <w:bookmarkStart w:id="189" w:name="_Toc32322"/>
      <w:r>
        <w:rPr>
          <w:rFonts w:hint="eastAsia"/>
          <w:highlight w:val="none"/>
          <w:lang w:val="en-US" w:eastAsia="zh-CN"/>
        </w:rPr>
        <w:t>十七. 防灾防损服务</w:t>
      </w:r>
      <w:bookmarkEnd w:id="188"/>
      <w:bookmarkEnd w:id="189"/>
    </w:p>
    <w:p w14:paraId="71FE59F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协议有效期内，乙方应建立防灾防损基金，主要用于组织开展甲方的医疗纠纷研究、数据库建立、纠纷处理和培训等防灾防损事项以及其它相关事项。防灾防损基金在乙方收到保险费后15个工作日内按照保单保费的</w:t>
      </w:r>
      <w:r>
        <w:rPr>
          <w:rFonts w:hint="eastAsia" w:ascii="宋体" w:hAnsi="宋体" w:eastAsia="宋体" w:cs="宋体"/>
          <w:spacing w:val="85"/>
          <w:kern w:val="0"/>
          <w:sz w:val="24"/>
          <w:szCs w:val="24"/>
          <w:highlight w:val="none"/>
        </w:rPr>
        <w:t>5%</w:t>
      </w:r>
      <w:r>
        <w:rPr>
          <w:rFonts w:hint="eastAsia" w:ascii="宋体" w:hAnsi="宋体" w:eastAsia="宋体" w:cs="宋体"/>
          <w:kern w:val="0"/>
          <w:sz w:val="24"/>
          <w:szCs w:val="24"/>
          <w:highlight w:val="none"/>
        </w:rPr>
        <w:t>提取建立,并支付予经纪公司进行防灾防损之用。</w:t>
      </w:r>
    </w:p>
    <w:p w14:paraId="3F3C8DA3">
      <w:pPr>
        <w:pStyle w:val="5"/>
        <w:bidi w:val="0"/>
        <w:outlineLvl w:val="0"/>
        <w:rPr>
          <w:rFonts w:hint="eastAsia"/>
          <w:highlight w:val="none"/>
          <w:lang w:val="en-US" w:eastAsia="zh-CN"/>
        </w:rPr>
      </w:pPr>
      <w:bookmarkStart w:id="190" w:name="_Toc27205"/>
      <w:bookmarkStart w:id="191" w:name="_Toc1194"/>
      <w:r>
        <w:rPr>
          <w:rFonts w:hint="eastAsia"/>
          <w:highlight w:val="none"/>
          <w:lang w:val="en-US" w:eastAsia="zh-CN"/>
        </w:rPr>
        <w:t>十八. 协议组成文件</w:t>
      </w:r>
      <w:bookmarkEnd w:id="190"/>
      <w:bookmarkEnd w:id="191"/>
    </w:p>
    <w:p w14:paraId="1D1889A9">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下列文件应被认为是组成本协议的一部分，并互为补充和解释，如各文件存在冲突之处，以如下先后排列次序为优先：</w:t>
      </w:r>
    </w:p>
    <w:p w14:paraId="53536F46">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1、补充协议或修正文件。</w:t>
      </w:r>
    </w:p>
    <w:p w14:paraId="40442600">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2、本协议项下的批单。</w:t>
      </w:r>
    </w:p>
    <w:p w14:paraId="414EFF1D">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3、本协议书。</w:t>
      </w:r>
    </w:p>
    <w:p w14:paraId="0C4C271F">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4、本协议书的附件。</w:t>
      </w:r>
    </w:p>
    <w:p w14:paraId="3F2BD173">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5、投保单和条款。</w:t>
      </w:r>
    </w:p>
    <w:p w14:paraId="6A355B74">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6、甲乙双方根据本协议协商制定的其他纪要和文件。</w:t>
      </w:r>
    </w:p>
    <w:p w14:paraId="6C23DE2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7、组成协议的其他文件。</w:t>
      </w:r>
    </w:p>
    <w:p w14:paraId="2A25F300">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本协议未尽事宜，甲乙双方可签订补充协议，补充协议为本协议的有效组成部分。</w:t>
      </w:r>
    </w:p>
    <w:p w14:paraId="5C447320">
      <w:pPr>
        <w:pStyle w:val="5"/>
        <w:bidi w:val="0"/>
        <w:outlineLvl w:val="0"/>
        <w:rPr>
          <w:rFonts w:hint="eastAsia"/>
          <w:highlight w:val="none"/>
          <w:lang w:val="en-US" w:eastAsia="zh-CN"/>
        </w:rPr>
      </w:pPr>
      <w:bookmarkStart w:id="192" w:name="_Toc9352"/>
      <w:bookmarkStart w:id="193" w:name="_Toc14604"/>
      <w:r>
        <w:rPr>
          <w:rFonts w:hint="eastAsia"/>
          <w:highlight w:val="none"/>
          <w:lang w:val="en-US" w:eastAsia="zh-CN"/>
        </w:rPr>
        <w:t>十九. 保密原则</w:t>
      </w:r>
      <w:bookmarkEnd w:id="192"/>
      <w:bookmarkEnd w:id="193"/>
    </w:p>
    <w:p w14:paraId="330D7045">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乙方不得将案件情况、调处过程、讨论意见等向第三方透露。案件处理过程中，乙方不得将不利于甲方、不利于协商、诉讼、仲裁的情况透露给患方或除保险经纪人以外的第三方。如对甲方的名誉、形象造成损害的，乙方承担恢复名誉、消除不良影响以及赔偿责任。</w:t>
      </w:r>
    </w:p>
    <w:p w14:paraId="2E7E2D01">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2、乙方除工作所需之外，未经甲方同意，不得擅自使用、复制甲方的商业信息、技术及其他资料。</w:t>
      </w:r>
    </w:p>
    <w:p w14:paraId="5746A0B7">
      <w:pPr>
        <w:pStyle w:val="5"/>
        <w:bidi w:val="0"/>
        <w:outlineLvl w:val="0"/>
        <w:rPr>
          <w:rFonts w:hint="eastAsia"/>
          <w:highlight w:val="none"/>
          <w:lang w:val="en-US" w:eastAsia="zh-CN"/>
        </w:rPr>
      </w:pPr>
      <w:bookmarkStart w:id="194" w:name="_Toc22346"/>
      <w:bookmarkStart w:id="195" w:name="_Toc14663"/>
      <w:r>
        <w:rPr>
          <w:rFonts w:hint="eastAsia"/>
          <w:highlight w:val="none"/>
          <w:lang w:val="en-US" w:eastAsia="zh-CN"/>
        </w:rPr>
        <w:t>二十. 违约责任</w:t>
      </w:r>
      <w:bookmarkEnd w:id="194"/>
      <w:bookmarkEnd w:id="195"/>
    </w:p>
    <w:p w14:paraId="2CFD3A74">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由于本协议一方当事人的过错，造成本协议不能履行或者不能完全履行的，由有过错的一方依法承担违约责任；如属双方当事人的过错，则根据双方当事人过错的实际情况，由双方当事人分别承担各自应负的违约责任。</w:t>
      </w:r>
    </w:p>
    <w:p w14:paraId="19001613">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若发生违约情形，违约方依法依约承担其相应法律责任后，除非守约方同意终止本协议的，本协议仍须继续履行。</w:t>
      </w:r>
    </w:p>
    <w:p w14:paraId="5AC336EE">
      <w:pPr>
        <w:pStyle w:val="5"/>
        <w:bidi w:val="0"/>
        <w:outlineLvl w:val="0"/>
        <w:rPr>
          <w:rFonts w:hint="eastAsia"/>
          <w:highlight w:val="none"/>
          <w:lang w:val="en-US" w:eastAsia="zh-CN"/>
        </w:rPr>
      </w:pPr>
      <w:bookmarkStart w:id="196" w:name="_Toc24736"/>
      <w:bookmarkStart w:id="197" w:name="_Toc17685"/>
      <w:r>
        <w:rPr>
          <w:rFonts w:hint="eastAsia"/>
          <w:highlight w:val="none"/>
          <w:lang w:val="en-US" w:eastAsia="zh-CN"/>
        </w:rPr>
        <w:t>二十一. 争议处理</w:t>
      </w:r>
      <w:bookmarkEnd w:id="196"/>
      <w:bookmarkEnd w:id="197"/>
    </w:p>
    <w:p w14:paraId="3B76C2AF">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因履行本保险协议发生的争议，由甲乙双方协商解决。协商不成的，提交保险单载明的仲裁机构仲裁；保险单未载明仲裁机构的，依法向中华人民共和国人民法院起诉。</w:t>
      </w:r>
    </w:p>
    <w:p w14:paraId="1BD3270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与本保险协议有关的以及履行本保险协议产生的一切争议处理适用中华人民共和国法律（不包括港澳台地区法律）。</w:t>
      </w:r>
    </w:p>
    <w:p w14:paraId="39E4AF8C">
      <w:pPr>
        <w:pStyle w:val="5"/>
        <w:bidi w:val="0"/>
        <w:outlineLvl w:val="0"/>
        <w:rPr>
          <w:rFonts w:hint="eastAsia"/>
          <w:highlight w:val="none"/>
          <w:lang w:val="en-US" w:eastAsia="zh-CN"/>
        </w:rPr>
      </w:pPr>
      <w:bookmarkStart w:id="198" w:name="_Toc12779"/>
      <w:bookmarkStart w:id="199" w:name="_Toc29500"/>
      <w:r>
        <w:rPr>
          <w:rFonts w:hint="eastAsia"/>
          <w:highlight w:val="none"/>
          <w:lang w:val="en-US" w:eastAsia="zh-CN"/>
        </w:rPr>
        <w:t>二十二. 协议期限</w:t>
      </w:r>
      <w:bookmarkEnd w:id="198"/>
      <w:bookmarkEnd w:id="199"/>
    </w:p>
    <w:p w14:paraId="58AF8EC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本协议有效期为</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日零时至</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日二十四时终止。</w:t>
      </w:r>
    </w:p>
    <w:p w14:paraId="3C7E3EA3">
      <w:pPr>
        <w:pStyle w:val="5"/>
        <w:bidi w:val="0"/>
        <w:outlineLvl w:val="0"/>
        <w:rPr>
          <w:rFonts w:hint="eastAsia"/>
          <w:highlight w:val="none"/>
          <w:lang w:val="en-US" w:eastAsia="zh-CN"/>
        </w:rPr>
      </w:pPr>
      <w:bookmarkStart w:id="200" w:name="_Toc28830"/>
      <w:bookmarkStart w:id="201" w:name="_Toc27068"/>
      <w:r>
        <w:rPr>
          <w:rFonts w:hint="eastAsia"/>
          <w:highlight w:val="none"/>
          <w:lang w:val="en-US" w:eastAsia="zh-CN"/>
        </w:rPr>
        <w:t>二十三. 其他</w:t>
      </w:r>
      <w:bookmarkEnd w:id="200"/>
      <w:bookmarkEnd w:id="201"/>
    </w:p>
    <w:p w14:paraId="55314E12">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1．本协议正本贰份、副本叁份，甲方和乙方各执正本壹份、副本壹份，保险经纪人执副本壹份。</w:t>
      </w:r>
    </w:p>
    <w:p w14:paraId="40B0AE53">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2.本协议经双方法定代表人或授权代表签字盖章后生效，若双方对本协议的任何补充修改，均应以书面形式为准。补充修改协议经双方授权签字盖章生效后，即作为本协议的组成部分。</w:t>
      </w:r>
    </w:p>
    <w:p w14:paraId="3343BCE7">
      <w:pPr>
        <w:pStyle w:val="5"/>
        <w:bidi w:val="0"/>
        <w:outlineLvl w:val="0"/>
        <w:rPr>
          <w:rFonts w:hint="eastAsia"/>
          <w:highlight w:val="none"/>
          <w:lang w:val="en-US" w:eastAsia="zh-CN"/>
        </w:rPr>
      </w:pPr>
      <w:bookmarkStart w:id="202" w:name="_Toc27144"/>
      <w:bookmarkStart w:id="203" w:name="_Toc31266"/>
      <w:r>
        <w:rPr>
          <w:rFonts w:hint="eastAsia"/>
          <w:highlight w:val="none"/>
          <w:lang w:val="en-US" w:eastAsia="zh-CN"/>
        </w:rPr>
        <w:t>二十四. 附件</w:t>
      </w:r>
      <w:bookmarkEnd w:id="202"/>
      <w:bookmarkEnd w:id="203"/>
    </w:p>
    <w:p w14:paraId="0B06CFE2">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1.附件一《深圳市福田区第二人民医院医责险服务方案》</w:t>
      </w:r>
    </w:p>
    <w:p w14:paraId="7C72165E">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2.附件二《深圳市福田区第二人民医院医责险服务承诺》</w:t>
      </w:r>
    </w:p>
    <w:p w14:paraId="5E04753F">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3.附件三《医疗责任保险条款》</w:t>
      </w:r>
    </w:p>
    <w:p w14:paraId="467D5340">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p>
    <w:p w14:paraId="207646C9">
      <w:pPr>
        <w:pageBreakBefore w:val="0"/>
        <w:widowControl/>
        <w:kinsoku/>
        <w:wordWrap/>
        <w:overflowPunct/>
        <w:topLinePunct w:val="0"/>
        <w:autoSpaceDE/>
        <w:autoSpaceDN/>
        <w:bidi w:val="0"/>
        <w:adjustRightInd w:val="0"/>
        <w:snapToGrid w:val="0"/>
        <w:spacing w:line="288" w:lineRule="auto"/>
        <w:ind w:left="0" w:leftChars="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甲方（盖章）：深圳市福田区第二人民医院</w:t>
      </w:r>
    </w:p>
    <w:p w14:paraId="6075FD04">
      <w:pPr>
        <w:pageBreakBefore w:val="0"/>
        <w:widowControl/>
        <w:kinsoku/>
        <w:wordWrap/>
        <w:overflowPunct/>
        <w:topLinePunct w:val="0"/>
        <w:autoSpaceDE/>
        <w:autoSpaceDN/>
        <w:bidi w:val="0"/>
        <w:adjustRightInd w:val="0"/>
        <w:snapToGrid w:val="0"/>
        <w:spacing w:line="288" w:lineRule="auto"/>
        <w:ind w:left="0" w:leftChars="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法定代表人或授权代表（签字）：</w:t>
      </w:r>
    </w:p>
    <w:p w14:paraId="38F637FA">
      <w:pPr>
        <w:pageBreakBefore w:val="0"/>
        <w:widowControl/>
        <w:kinsoku/>
        <w:wordWrap/>
        <w:overflowPunct/>
        <w:topLinePunct w:val="0"/>
        <w:autoSpaceDE/>
        <w:autoSpaceDN/>
        <w:bidi w:val="0"/>
        <w:adjustRightInd w:val="0"/>
        <w:snapToGrid w:val="0"/>
        <w:spacing w:line="288" w:lineRule="auto"/>
        <w:ind w:left="0" w:leftChars="0"/>
        <w:jc w:val="left"/>
        <w:textAlignment w:val="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日    期：</w:t>
      </w:r>
      <w:r>
        <w:rPr>
          <w:rFonts w:hint="eastAsia" w:ascii="宋体" w:hAnsi="宋体" w:eastAsia="宋体" w:cs="宋体"/>
          <w:kern w:val="0"/>
          <w:sz w:val="24"/>
          <w:szCs w:val="24"/>
          <w:highlight w:val="none"/>
          <w:u w:val="single"/>
        </w:rPr>
        <w:t xml:space="preserve">                        </w:t>
      </w:r>
    </w:p>
    <w:p w14:paraId="7DF91ABF">
      <w:pPr>
        <w:pageBreakBefore w:val="0"/>
        <w:widowControl/>
        <w:kinsoku/>
        <w:wordWrap/>
        <w:overflowPunct/>
        <w:topLinePunct w:val="0"/>
        <w:autoSpaceDE/>
        <w:autoSpaceDN/>
        <w:bidi w:val="0"/>
        <w:adjustRightInd w:val="0"/>
        <w:snapToGrid w:val="0"/>
        <w:spacing w:line="288" w:lineRule="auto"/>
        <w:ind w:left="0" w:leftChars="0"/>
        <w:jc w:val="left"/>
        <w:textAlignment w:val="auto"/>
        <w:rPr>
          <w:rFonts w:hint="eastAsia" w:ascii="宋体" w:hAnsi="宋体" w:eastAsia="宋体" w:cs="宋体"/>
          <w:kern w:val="0"/>
          <w:sz w:val="24"/>
          <w:szCs w:val="24"/>
          <w:highlight w:val="none"/>
        </w:rPr>
      </w:pPr>
    </w:p>
    <w:p w14:paraId="5B5CF4C2">
      <w:pPr>
        <w:pageBreakBefore w:val="0"/>
        <w:widowControl/>
        <w:kinsoku/>
        <w:wordWrap/>
        <w:overflowPunct/>
        <w:topLinePunct w:val="0"/>
        <w:autoSpaceDE/>
        <w:autoSpaceDN/>
        <w:bidi w:val="0"/>
        <w:adjustRightInd w:val="0"/>
        <w:snapToGrid w:val="0"/>
        <w:spacing w:line="288" w:lineRule="auto"/>
        <w:ind w:left="0" w:leftChars="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乙方（盖章）：</w:t>
      </w:r>
    </w:p>
    <w:p w14:paraId="424CFF75">
      <w:pPr>
        <w:pageBreakBefore w:val="0"/>
        <w:widowControl/>
        <w:kinsoku/>
        <w:wordWrap/>
        <w:overflowPunct/>
        <w:topLinePunct w:val="0"/>
        <w:autoSpaceDE/>
        <w:autoSpaceDN/>
        <w:bidi w:val="0"/>
        <w:adjustRightInd w:val="0"/>
        <w:snapToGrid w:val="0"/>
        <w:spacing w:line="288" w:lineRule="auto"/>
        <w:ind w:left="0" w:leftChars="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法定代表人或授权代表（签字）：</w:t>
      </w:r>
      <w:bookmarkStart w:id="204" w:name="_Toc433014190"/>
      <w:bookmarkStart w:id="205" w:name="_Toc442365613"/>
    </w:p>
    <w:p w14:paraId="56B91AF1">
      <w:pPr>
        <w:pageBreakBefore w:val="0"/>
        <w:widowControl/>
        <w:kinsoku/>
        <w:wordWrap/>
        <w:overflowPunct/>
        <w:topLinePunct w:val="0"/>
        <w:autoSpaceDE/>
        <w:autoSpaceDN/>
        <w:bidi w:val="0"/>
        <w:adjustRightInd w:val="0"/>
        <w:snapToGrid w:val="0"/>
        <w:spacing w:line="288" w:lineRule="auto"/>
        <w:ind w:left="0" w:left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日    期：</w:t>
      </w:r>
      <w:r>
        <w:rPr>
          <w:rFonts w:hint="eastAsia" w:ascii="宋体" w:hAnsi="宋体" w:eastAsia="宋体" w:cs="宋体"/>
          <w:kern w:val="0"/>
          <w:sz w:val="24"/>
          <w:szCs w:val="24"/>
          <w:highlight w:val="none"/>
          <w:u w:val="single"/>
        </w:rPr>
        <w:t xml:space="preserve">                          </w:t>
      </w:r>
      <w:bookmarkStart w:id="206" w:name="_Toc12433"/>
    </w:p>
    <w:p w14:paraId="75098F2E">
      <w:pPr>
        <w:pageBreakBefore w:val="0"/>
        <w:widowControl/>
        <w:kinsoku/>
        <w:wordWrap/>
        <w:overflowPunct/>
        <w:topLinePunct w:val="0"/>
        <w:autoSpaceDE/>
        <w:autoSpaceDN/>
        <w:bidi w:val="0"/>
        <w:adjustRightInd w:val="0"/>
        <w:snapToGrid w:val="0"/>
        <w:spacing w:line="288" w:lineRule="auto"/>
        <w:ind w:left="0" w:leftChars="0"/>
        <w:jc w:val="both"/>
        <w:textAlignment w:val="auto"/>
        <w:outlineLvl w:val="9"/>
        <w:rPr>
          <w:rFonts w:hint="eastAsia" w:ascii="宋体" w:hAnsi="宋体" w:eastAsia="宋体" w:cs="宋体"/>
          <w:kern w:val="0"/>
          <w:sz w:val="24"/>
          <w:szCs w:val="24"/>
          <w:highlight w:val="none"/>
        </w:rPr>
      </w:pPr>
    </w:p>
    <w:p w14:paraId="0511C777">
      <w:pPr>
        <w:pageBreakBefore w:val="0"/>
        <w:widowControl/>
        <w:kinsoku/>
        <w:wordWrap/>
        <w:overflowPunct/>
        <w:topLinePunct w:val="0"/>
        <w:autoSpaceDE/>
        <w:autoSpaceDN/>
        <w:bidi w:val="0"/>
        <w:adjustRightInd w:val="0"/>
        <w:snapToGrid w:val="0"/>
        <w:spacing w:line="288" w:lineRule="auto"/>
        <w:ind w:left="0" w:leftChars="0"/>
        <w:jc w:val="both"/>
        <w:textAlignment w:val="auto"/>
        <w:outlineLvl w:val="9"/>
        <w:rPr>
          <w:rFonts w:hint="eastAsia" w:ascii="宋体" w:hAnsi="宋体" w:eastAsia="宋体" w:cs="宋体"/>
          <w:kern w:val="0"/>
          <w:sz w:val="24"/>
          <w:szCs w:val="24"/>
          <w:highlight w:val="none"/>
        </w:rPr>
      </w:pPr>
    </w:p>
    <w:p w14:paraId="51EEE5D3">
      <w:pPr>
        <w:pageBreakBefore w:val="0"/>
        <w:widowControl/>
        <w:kinsoku/>
        <w:wordWrap/>
        <w:overflowPunct/>
        <w:topLinePunct w:val="0"/>
        <w:autoSpaceDE/>
        <w:autoSpaceDN/>
        <w:bidi w:val="0"/>
        <w:adjustRightInd w:val="0"/>
        <w:snapToGrid w:val="0"/>
        <w:spacing w:line="288" w:lineRule="auto"/>
        <w:ind w:left="0" w:leftChars="0"/>
        <w:jc w:val="both"/>
        <w:textAlignment w:val="auto"/>
        <w:outlineLvl w:val="9"/>
        <w:rPr>
          <w:rFonts w:hint="eastAsia" w:ascii="宋体" w:hAnsi="宋体" w:eastAsia="宋体" w:cs="宋体"/>
          <w:kern w:val="0"/>
          <w:sz w:val="24"/>
          <w:szCs w:val="24"/>
          <w:highlight w:val="none"/>
        </w:rPr>
      </w:pPr>
    </w:p>
    <w:p w14:paraId="17D95784">
      <w:pPr>
        <w:keepNext w:val="0"/>
        <w:keepLines w:val="0"/>
        <w:pageBreakBefore w:val="0"/>
        <w:widowControl/>
        <w:kinsoku/>
        <w:wordWrap/>
        <w:overflowPunct/>
        <w:topLinePunct w:val="0"/>
        <w:autoSpaceDE/>
        <w:autoSpaceDN/>
        <w:bidi w:val="0"/>
        <w:adjustRightInd w:val="0"/>
        <w:snapToGrid w:val="0"/>
        <w:spacing w:line="288" w:lineRule="auto"/>
        <w:ind w:left="0" w:leftChars="0" w:firstLine="480" w:firstLineChars="200"/>
        <w:jc w:val="both"/>
        <w:textAlignment w:val="auto"/>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bookmarkStart w:id="207" w:name="_Toc18833"/>
      <w:bookmarkStart w:id="208" w:name="_Toc25606"/>
      <w:r>
        <w:rPr>
          <w:rFonts w:hint="eastAsia" w:ascii="宋体" w:hAnsi="宋体" w:eastAsia="宋体" w:cs="宋体"/>
          <w:b/>
          <w:bCs/>
          <w:kern w:val="0"/>
          <w:sz w:val="24"/>
          <w:szCs w:val="24"/>
          <w:highlight w:val="none"/>
        </w:rPr>
        <w:t>附件一:</w:t>
      </w:r>
      <w:bookmarkEnd w:id="207"/>
      <w:bookmarkEnd w:id="208"/>
    </w:p>
    <w:p w14:paraId="1B8E162B">
      <w:pPr>
        <w:pageBreakBefore w:val="0"/>
        <w:widowControl/>
        <w:kinsoku/>
        <w:wordWrap/>
        <w:overflowPunct/>
        <w:topLinePunct w:val="0"/>
        <w:autoSpaceDE/>
        <w:autoSpaceDN/>
        <w:bidi w:val="0"/>
        <w:adjustRightInd w:val="0"/>
        <w:snapToGrid w:val="0"/>
        <w:spacing w:line="288" w:lineRule="auto"/>
        <w:ind w:left="0" w:leftChars="0"/>
        <w:jc w:val="center"/>
        <w:textAlignment w:val="auto"/>
        <w:outlineLvl w:val="0"/>
        <w:rPr>
          <w:rFonts w:hint="eastAsia" w:ascii="宋体" w:hAnsi="宋体" w:eastAsia="宋体" w:cs="宋体"/>
          <w:kern w:val="0"/>
          <w:sz w:val="24"/>
          <w:szCs w:val="24"/>
          <w:highlight w:val="none"/>
        </w:rPr>
      </w:pPr>
      <w:bookmarkStart w:id="209" w:name="_Toc25267"/>
      <w:bookmarkStart w:id="210" w:name="_Toc21133"/>
      <w:r>
        <w:rPr>
          <w:rFonts w:hint="eastAsia" w:ascii="宋体" w:hAnsi="宋体" w:eastAsia="宋体" w:cs="宋体"/>
          <w:kern w:val="0"/>
          <w:sz w:val="24"/>
          <w:szCs w:val="24"/>
          <w:highlight w:val="none"/>
        </w:rPr>
        <w:t>深圳市福田区第二人民医院医责险服务方案</w:t>
      </w:r>
      <w:bookmarkEnd w:id="206"/>
      <w:bookmarkEnd w:id="209"/>
      <w:bookmarkEnd w:id="210"/>
    </w:p>
    <w:p w14:paraId="08EB573D">
      <w:pPr>
        <w:pStyle w:val="5"/>
        <w:bidi w:val="0"/>
        <w:outlineLvl w:val="0"/>
        <w:rPr>
          <w:rFonts w:hint="eastAsia"/>
          <w:highlight w:val="none"/>
          <w:lang w:val="en-US" w:eastAsia="zh-CN"/>
        </w:rPr>
      </w:pPr>
      <w:bookmarkStart w:id="211" w:name="_Toc26831"/>
      <w:bookmarkStart w:id="212" w:name="_Toc993"/>
      <w:r>
        <w:rPr>
          <w:rFonts w:hint="eastAsia"/>
          <w:highlight w:val="none"/>
          <w:lang w:val="en-US" w:eastAsia="zh-CN"/>
        </w:rPr>
        <w:t>一.</w:t>
      </w:r>
      <w:bookmarkEnd w:id="204"/>
      <w:bookmarkEnd w:id="205"/>
      <w:bookmarkEnd w:id="211"/>
      <w:bookmarkStart w:id="213" w:name="_Toc442365614"/>
      <w:bookmarkStart w:id="214" w:name="_Toc433014191"/>
      <w:r>
        <w:rPr>
          <w:rFonts w:hint="eastAsia"/>
          <w:highlight w:val="none"/>
          <w:lang w:val="en-US" w:eastAsia="zh-CN"/>
        </w:rPr>
        <w:t xml:space="preserve"> 服务小组办公地点</w:t>
      </w:r>
      <w:bookmarkEnd w:id="212"/>
      <w:bookmarkEnd w:id="213"/>
    </w:p>
    <w:p w14:paraId="6FC03A7D">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服务小组在院外设立医患纠纷接待场所，深圳市福田区第二人民医院为服务小组提供院内工作室，主要用于服务小组场协调员日常办公使用。</w:t>
      </w:r>
      <w:bookmarkStart w:id="215" w:name="_Toc442365615"/>
    </w:p>
    <w:p w14:paraId="2B09A86C">
      <w:pPr>
        <w:pStyle w:val="5"/>
        <w:bidi w:val="0"/>
        <w:outlineLvl w:val="0"/>
        <w:rPr>
          <w:rFonts w:hint="eastAsia"/>
          <w:highlight w:val="none"/>
          <w:lang w:val="en-US" w:eastAsia="zh-CN"/>
        </w:rPr>
      </w:pPr>
      <w:bookmarkStart w:id="216" w:name="_Toc470"/>
      <w:r>
        <w:rPr>
          <w:rFonts w:hint="eastAsia"/>
          <w:highlight w:val="none"/>
          <w:lang w:val="en-US" w:eastAsia="zh-CN"/>
        </w:rPr>
        <w:t>二</w:t>
      </w:r>
      <w:r>
        <w:rPr>
          <w:rFonts w:hint="eastAsia" w:ascii="Times New Roman" w:eastAsia="宋体"/>
          <w:highlight w:val="none"/>
          <w:lang w:val="en-US" w:eastAsia="zh-CN"/>
        </w:rPr>
        <w:t xml:space="preserve">. </w:t>
      </w:r>
      <w:r>
        <w:rPr>
          <w:rFonts w:hint="eastAsia"/>
          <w:highlight w:val="none"/>
          <w:lang w:val="en-US" w:eastAsia="zh-CN"/>
        </w:rPr>
        <w:t>服务小组人员组成</w:t>
      </w:r>
      <w:bookmarkEnd w:id="214"/>
      <w:bookmarkEnd w:id="215"/>
      <w:bookmarkEnd w:id="216"/>
    </w:p>
    <w:p w14:paraId="086962A5">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1.服务小组工作人员主要由</w:t>
      </w:r>
      <w:r>
        <w:rPr>
          <w:rFonts w:hint="eastAsia" w:ascii="宋体" w:hAnsi="宋体" w:eastAsia="宋体" w:cs="宋体"/>
          <w:kern w:val="0"/>
          <w:sz w:val="24"/>
          <w:szCs w:val="24"/>
          <w:highlight w:val="none"/>
          <w:lang w:val="en-US" w:eastAsia="zh-CN"/>
        </w:rPr>
        <w:t>保险</w:t>
      </w:r>
      <w:r>
        <w:rPr>
          <w:rFonts w:hint="eastAsia" w:ascii="宋体" w:hAnsi="宋体" w:eastAsia="宋体" w:cs="宋体"/>
          <w:kern w:val="0"/>
          <w:sz w:val="24"/>
          <w:szCs w:val="24"/>
          <w:highlight w:val="none"/>
        </w:rPr>
        <w:t>经纪、保险公司派员组成，因工作需要可以适时增加相关人员。</w:t>
      </w:r>
    </w:p>
    <w:p w14:paraId="139D1E14">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2.服务小组由</w:t>
      </w:r>
      <w:r>
        <w:rPr>
          <w:rFonts w:hint="eastAsia" w:ascii="宋体" w:hAnsi="宋体" w:eastAsia="宋体" w:cs="宋体"/>
          <w:kern w:val="0"/>
          <w:sz w:val="24"/>
          <w:szCs w:val="24"/>
          <w:highlight w:val="none"/>
          <w:lang w:val="en-US" w:eastAsia="zh-CN"/>
        </w:rPr>
        <w:t>保险</w:t>
      </w:r>
      <w:r>
        <w:rPr>
          <w:rFonts w:hint="eastAsia" w:ascii="宋体" w:hAnsi="宋体" w:eastAsia="宋体" w:cs="宋体"/>
          <w:kern w:val="0"/>
          <w:sz w:val="24"/>
          <w:szCs w:val="24"/>
          <w:highlight w:val="none"/>
        </w:rPr>
        <w:t>经纪指派2人，保险公司指派2人，共计不少于4人组成，组成人员须具有相关医学常识、法律常识和保险常识；且具备良好的执业操守、道德品质和沟通协调能力。具体人员安排如下：</w:t>
      </w:r>
    </w:p>
    <w:p w14:paraId="6B80C1FB">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负责人1名：由</w:t>
      </w:r>
      <w:r>
        <w:rPr>
          <w:rFonts w:hint="eastAsia" w:ascii="宋体" w:hAnsi="宋体" w:eastAsia="宋体" w:cs="宋体"/>
          <w:kern w:val="0"/>
          <w:sz w:val="24"/>
          <w:szCs w:val="24"/>
          <w:highlight w:val="none"/>
          <w:lang w:val="en-US" w:eastAsia="zh-CN"/>
        </w:rPr>
        <w:t>保险</w:t>
      </w:r>
      <w:r>
        <w:rPr>
          <w:rFonts w:hint="eastAsia" w:ascii="宋体" w:hAnsi="宋体" w:eastAsia="宋体" w:cs="宋体"/>
          <w:kern w:val="0"/>
          <w:sz w:val="24"/>
          <w:szCs w:val="24"/>
          <w:highlight w:val="none"/>
        </w:rPr>
        <w:t>经纪派员担任，负责整个医责险服务小组的日常管理工作。</w:t>
      </w:r>
    </w:p>
    <w:p w14:paraId="4211264B">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协调员1名：由保险公司派员在事故发生时现场协助医疗投诉、纠纷工作的接待、调查、处理、谈判、引导患者院外处理等工作。</w:t>
      </w:r>
    </w:p>
    <w:p w14:paraId="69DE1B8A">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理赔专员1名：负责处理深圳市福田区第二人民医院的医责险案件。</w:t>
      </w:r>
    </w:p>
    <w:p w14:paraId="6911D151">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综合内勤1名：负责案件资料收集和流转，及数据信息的统计工作。</w:t>
      </w:r>
    </w:p>
    <w:p w14:paraId="21374B09">
      <w:pPr>
        <w:pStyle w:val="5"/>
        <w:bidi w:val="0"/>
        <w:outlineLvl w:val="0"/>
        <w:rPr>
          <w:rFonts w:hint="eastAsia"/>
          <w:highlight w:val="none"/>
          <w:lang w:val="en-US" w:eastAsia="zh-CN"/>
        </w:rPr>
      </w:pPr>
      <w:bookmarkStart w:id="217" w:name="_Toc442365616"/>
      <w:r>
        <w:rPr>
          <w:rFonts w:hint="eastAsia"/>
          <w:highlight w:val="none"/>
          <w:lang w:val="en-US" w:eastAsia="zh-CN"/>
        </w:rPr>
        <w:t xml:space="preserve"> </w:t>
      </w:r>
      <w:bookmarkStart w:id="218" w:name="_Toc30741"/>
      <w:r>
        <w:rPr>
          <w:rFonts w:hint="eastAsia"/>
          <w:highlight w:val="none"/>
          <w:lang w:val="en-US" w:eastAsia="zh-CN"/>
        </w:rPr>
        <w:t>三. 服务小组服务时间</w:t>
      </w:r>
      <w:bookmarkEnd w:id="217"/>
      <w:bookmarkEnd w:id="218"/>
    </w:p>
    <w:p w14:paraId="377B1E31">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1.节假日以及非工作时间电话值班，24小时响应。</w:t>
      </w:r>
    </w:p>
    <w:p w14:paraId="46E74B03">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2.在接到报案后，工作时间30分钟到现场，节假日以及非工作时间60分钟到现场。</w:t>
      </w:r>
    </w:p>
    <w:p w14:paraId="12FB06EC">
      <w:pPr>
        <w:pStyle w:val="5"/>
        <w:bidi w:val="0"/>
        <w:outlineLvl w:val="0"/>
        <w:rPr>
          <w:rFonts w:hint="eastAsia"/>
          <w:highlight w:val="none"/>
          <w:lang w:val="en-US" w:eastAsia="zh-CN"/>
        </w:rPr>
      </w:pPr>
      <w:bookmarkStart w:id="219" w:name="_Toc442365617"/>
      <w:bookmarkStart w:id="220" w:name="_Toc13861"/>
      <w:bookmarkStart w:id="221" w:name="_Toc4911"/>
      <w:r>
        <w:rPr>
          <w:rFonts w:hint="eastAsia"/>
          <w:highlight w:val="none"/>
          <w:lang w:val="en-US" w:eastAsia="zh-CN"/>
        </w:rPr>
        <w:t>四. 服务小组主要服务内容</w:t>
      </w:r>
      <w:bookmarkEnd w:id="219"/>
      <w:bookmarkEnd w:id="220"/>
      <w:bookmarkEnd w:id="221"/>
    </w:p>
    <w:p w14:paraId="137C970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小组将全面协助医院进行医患纠纷风险防范预警工作、在得到医院授权下，按照《深圳经济特区医疗条例》和《医疗纠纷预防和处理条例》等规定协助医院处理医患纠纷和办理医责险索赔事务。主要服务内容如下：</w:t>
      </w:r>
      <w:bookmarkStart w:id="222" w:name="_Toc442365618"/>
    </w:p>
    <w:p w14:paraId="0D95E00A">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（一）建立医患纠纷数据库</w:t>
      </w:r>
      <w:bookmarkEnd w:id="222"/>
    </w:p>
    <w:p w14:paraId="3F3A0742">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小组将建立医患纠纷数据库，通过对潜在医患纠纷信息收集和系统分析逐步建立完善的纠纷预警机制；通过对医患纠纷案例的收集和系统分析为后续制定有针对性的风险管理方案提供依据；通过全流程的数据收集和分析为优化医责承保条件和费率提供数据支持；逐步建立完善的医疗安全事件报告制度和患者安全评价体系以供相关部门进行参考。</w:t>
      </w:r>
      <w:bookmarkStart w:id="223" w:name="_Toc442365619"/>
    </w:p>
    <w:p w14:paraId="63B412FA">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（二）医疗风险防范与预警</w:t>
      </w:r>
      <w:bookmarkEnd w:id="223"/>
    </w:p>
    <w:p w14:paraId="404BF633">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1．潜在风险信息收集和分类</w:t>
      </w:r>
    </w:p>
    <w:p w14:paraId="44C45825">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协调员通过参与医院各临床科室工作会议、定期现场巡查走访、结合纠纷数据库建立在线信息反馈系统等手段收集具有潜在医疗风险患者的相关信息，并按管理风险、诊断风险、检查和治疗风险等潜在医疗风险进行分类整理和记录。</w:t>
      </w:r>
    </w:p>
    <w:p w14:paraId="002EAD8E">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2.风险预警</w:t>
      </w:r>
    </w:p>
    <w:p w14:paraId="67504003">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协调员根据掌握的情况，对潜在医疗风险进行原因分析，确定控制、预防的侧重点，及时告知医院医务科等相关管理部门，医务人员对于潜在风险对象的动态及时反馈给协调员，协调员参照紧急事故处理办法，按预估风险程度提前制定风险防控方案和应对措施。</w:t>
      </w:r>
      <w:bookmarkStart w:id="224" w:name="_Toc442365620"/>
    </w:p>
    <w:p w14:paraId="1A4BEA5E">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w:t>
      </w:r>
      <w:bookmarkStart w:id="225" w:name="_Toc433014195"/>
      <w:r>
        <w:rPr>
          <w:rFonts w:hint="eastAsia" w:ascii="宋体" w:hAnsi="宋体" w:eastAsia="宋体" w:cs="宋体"/>
          <w:kern w:val="0"/>
          <w:sz w:val="24"/>
          <w:szCs w:val="24"/>
          <w:highlight w:val="none"/>
        </w:rPr>
        <w:t>紧急事故处理</w:t>
      </w:r>
      <w:bookmarkEnd w:id="224"/>
      <w:bookmarkEnd w:id="225"/>
    </w:p>
    <w:p w14:paraId="6920E295">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1．事故分级</w:t>
      </w:r>
    </w:p>
    <w:p w14:paraId="4165FD96">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根据医疗纠纷涉及的人数、范围、性质、危害程度等，分为一般医疗纠纷和重大医疗纠纷，实行分级处理。</w:t>
      </w:r>
    </w:p>
    <w:p w14:paraId="01E826FD">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（1）一般医疗纠纷：患方对医疗机构或医务人员所提供的医疗和护理等服务不满意，质疑诊疗行为的正确性和有效性，经判定可能发生医疗责任纠纷的情形。</w:t>
      </w:r>
    </w:p>
    <w:p w14:paraId="28058B0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重大医疗纠纷：患方来院投诉人数超过5人，聚众占据医院诊疗、办公场所，严重干扰医院正常工作的；侮辱、诽谤、威胁、殴打医务人员或者侵犯医务人员人身自由、干扰医务人员正常生活的；停尸闹丧，拒绝将尸体移送太平间或殡仪馆，在医疗场所设灵堂、摆花圈、拉横幅等行为的；患方在医院内实施打、砸、抢等行为，造成财物损坏等情形。</w:t>
      </w:r>
    </w:p>
    <w:p w14:paraId="5A46DC25">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2．医患纠纷风险干预</w:t>
      </w:r>
    </w:p>
    <w:p w14:paraId="339B6B4F">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（1）一般医疗纠纷的医疗责任险案件</w:t>
      </w:r>
    </w:p>
    <w:p w14:paraId="2D8F7C66">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协调员应当立即将案情通报服务小组，及时向保险公司反馈事情发展情况。协助医院与患方沟通，对于能够现场协调处理的，尽量引导现场协调解决，不能够现场解决的，引导患方通过人民调解等法律途径解决纠纷。</w:t>
      </w:r>
    </w:p>
    <w:p w14:paraId="2021205F">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（2）重大医疗纠纷的医疗责任险案件</w:t>
      </w:r>
    </w:p>
    <w:p w14:paraId="5B240C06">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协调员应当立即通知服务小组负责人赶赴现场，协助医务科做好安抚解释工作，稳定患方情绪，防止事态升级；做好有关人员违法闹事的证据收集工作，协助保卫科报警并向警方介绍案件基本情况；协助医院应对新闻媒体和审核新闻稿；协助医院向区维稳办、卫生主管部门报告反馈案件具体情况。</w:t>
      </w:r>
      <w:bookmarkStart w:id="226" w:name="_Toc442365621"/>
    </w:p>
    <w:p w14:paraId="770C689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（四）医患纠纷处理</w:t>
      </w:r>
      <w:bookmarkEnd w:id="226"/>
    </w:p>
    <w:p w14:paraId="15DE5334">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1．报案</w:t>
      </w:r>
    </w:p>
    <w:p w14:paraId="5C8895E6">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医院发生医疗纠纷时，应及时向服务小组报案，服务小组应详细记录并向保险公司立案。报案可采取书面、电话、邮件、传真等形式，并简要提供纠纷所涉及到的被保险人、具体科室、被保险人联系方式、患者基本信息和要求、纠纷原因等基本信息。</w:t>
      </w:r>
    </w:p>
    <w:p w14:paraId="52A9924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2.现场处理</w:t>
      </w:r>
    </w:p>
    <w:p w14:paraId="42D0CCE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小组接到报案后，立即通知协调员配合医务科介入医患纠纷事件处理，通过了解患方诉求、安抚患方情绪、了解事件原因、传达患方要求等具体工作，并引导患方到院外服务小组驻地或是调解机构进行调解处理，协助医院消除医疗风险。具体操作如下：</w:t>
      </w:r>
    </w:p>
    <w:p w14:paraId="4444ECB2">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（1）对于初步判断不属于保险责任范围的纠纷，及时对患方进行疏导，协助医院维护现场秩序。能现场达成谅解的，经医患双方同意后，建议直接达成谅解协议。</w:t>
      </w:r>
    </w:p>
    <w:p w14:paraId="7AC4526B">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（2）对损害后果、事实清楚、法律责任明确，属于保险责任事故的医疗纠纷案件，协调员应配合医院对医患纠纷进行调查、取证、评估、协商等工作，并视事故大小通知理赔专员参与处理。</w:t>
      </w:r>
    </w:p>
    <w:p w14:paraId="059577A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调查取证内容包括患者就医事实、损害结果、诉求等；通过患方和医方叙述，了解基本医疗经过，核实患方有关疾病或损害现状的陈述的可靠性和真实性，收集必要的证据；协助医院按《医疗纠纷预防和处理条例》规定封存和启封现场实物及相关病历资料。</w:t>
      </w:r>
      <w:bookmarkStart w:id="227" w:name="_Toc442365622"/>
    </w:p>
    <w:p w14:paraId="4CE69845">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（五）医责险理赔处理</w:t>
      </w:r>
      <w:bookmarkEnd w:id="227"/>
    </w:p>
    <w:p w14:paraId="030315DD">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为建设和谐医院，及时化解轻微医疗纠纷事件，对于患方请求赔偿金额在1万元以下的医疗纠纷，由医院与患方自行协商处理，处理结果作为保险公司理赔依据。对于患方请求赔偿金额在1万元以上的医疗纠纷，服务小组将指派理赔专员与协调员共同协助医患双方向调解机构申请调解。具体运作流程如下：</w:t>
      </w:r>
    </w:p>
    <w:p w14:paraId="4A80D9B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1.医患自行协商</w:t>
      </w:r>
    </w:p>
    <w:p w14:paraId="38382DE5">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于患方请求赔偿金额在1万元（含）以下的医疗纠纷案件，经服务小组确认后，可由医院与患方自行协商处理，处理结果须由医患双方形成《和解协议书》。案件处理完毕后协调员协助医院收集保险索赔资料，服务小组在审核后转交保险公司，保险公司依据保险合同相关规定向被保险人或直接向患方支付赔款。</w:t>
      </w:r>
    </w:p>
    <w:p w14:paraId="249D0A89">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上述类型案件，医院也可委托协调员全程协助处理，协调员将协助医院进行患方现场接待、纠纷受理、引导患方到院外服务小组驻点调解或协助医患双方在院内调解。</w:t>
      </w:r>
    </w:p>
    <w:p w14:paraId="1912F0E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2.调解机构调解</w:t>
      </w:r>
    </w:p>
    <w:p w14:paraId="20D5767A">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于患方请求赔偿金额在人民币1万元以上的案件，医患双方可通过调解机构调解处理，服务小组将指派理赔专员与协调员共同协助医患双方向调解机构申请调解。在调解机构受理案件后，经医院委托，理赔专员将协助医院全程参与医患双方调解工作，主要工作如下：</w:t>
      </w:r>
    </w:p>
    <w:p w14:paraId="5021027B">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理赔专员在了解基本事实的基础上，初步确认医疗损害结果；分析医院是否存在过失；分析医院过失与患方损害结果之间的因果关系；医院过失在损害结果中的责任程度；涉及到较专业的医学或法学知识的，征求所涉及学科或专业的专家意见并形成书面的专业技术分析报告。</w:t>
      </w:r>
    </w:p>
    <w:p w14:paraId="7A468BCB">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中患方请求赔偿金额在人民币1万元以上，20万元（含）以下案件，服务小组视案件情况请深圳市医师协会推荐所涉及学科或专业的专家参与分析，并提供书面的专业技术分析报告；赔偿金额在20万元以上的案件，服务小组将请第三方鉴定机构推荐所涉及学科或专业的具有高级职称的专家和医院法律顾问参与分析鉴定，并提供书面的技术分析报告，由此产生的费用由保险公司承担。</w:t>
      </w:r>
    </w:p>
    <w:p w14:paraId="09EFAE16">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服务小组根据上述专家专业技术分析意见，厘清医患双方的责任，对属于保险责任范围的，依照相关法律法规，初步理算赔偿金额并出具调查分析报告，上报医院审核，通过审核后理赔专员以此为基础进行调解。</w:t>
      </w:r>
    </w:p>
    <w:p w14:paraId="3BE6506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理赔专员依照报告确定的损失金额参与医患双方之间的调解；向患方反馈医疗事件调查情况，阐明院方意见，说明医疗纠纷争议处理的法律、法规、解决途径及程序，力争患方理解并达成一致意见，并协助医患双方到调解机构进行调解，调解成功的，医患双方签署书面《调解协议书》、调解员签字并加盖调解机构公章。</w:t>
      </w:r>
    </w:p>
    <w:p w14:paraId="7F2E189D">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理赔专员协助医院收集相关保险索赔资料并交服务小组审核，服务小组审核后转交保险公司，保险公司依据保险合同相关规定直接向被保险人或患方支付赔款。</w:t>
      </w:r>
    </w:p>
    <w:p w14:paraId="5D0C2BA0">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若患方对医疗损害存在争议的，理赔专员协助医患双方进行正式医疗损害鉴定；鉴定结果出来后，征求患方对此鉴定结果的意见，若无异议，则依据此结果重新认定医患双方责任，并再次形成调解方案，上报医院，审核同意后再次调解。调解不成功的，向医院通报结果，分析不成功原因，总结经验，并明确医院和保险公司共同确认的理赔底线，争取再次进行调解。</w:t>
      </w:r>
    </w:p>
    <w:p w14:paraId="690FFADE">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（5）如果医患双方无法通过调解机构的调解处理，可通过仲裁、司法诉讼或经保险公司认可同意的其它方式进行处理。</w:t>
      </w:r>
    </w:p>
    <w:p w14:paraId="5744F12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（6）在调解过程中保险公司应参与或协助服务小组进行工作。</w:t>
      </w:r>
    </w:p>
    <w:p w14:paraId="2FDD1D96">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3.仲裁、司法诉讼</w:t>
      </w:r>
    </w:p>
    <w:p w14:paraId="68DEC0E6">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于申请仲裁或提起民事诉讼的案件，医院应在接到法院传票或其他法律文书后，将其副本及时送交服务小组，由服务小组及时通报保险公司并提供法律顾问协助医院处理。保险公司按照仲裁结果或法院判决结果直接向被保险人或患方支付赔款。</w:t>
      </w:r>
    </w:p>
    <w:p w14:paraId="5D6C72D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4．索赔所需材料</w:t>
      </w:r>
    </w:p>
    <w:p w14:paraId="4C7A770B">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除必备单证外，本着“能简就简”的原则简化索赔单证，服务小组协调员全程协助院方收集保险索赔资料并做初审后转交保险公司，保险公司在接到索赔材料后出具接收单并立即审核，若有关证明或材料不完整的，及时一次性书面通知院方应补充提供的有关证明或材料。若保险公司在接到索赔材料后三个工作日内未给予有关审核意见，则视为保险公司认可索赔材料的完整性。索赔材料包括以下内容：</w:t>
      </w:r>
    </w:p>
    <w:p w14:paraId="16E88695">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（1）患者或其近亲属的书面索赔申请；患者的身份证复印件（若患者死亡的，应提供死亡证明书、户籍注销证明、法定代理人的身份证复印件）。</w:t>
      </w:r>
    </w:p>
    <w:p w14:paraId="3EEC2C26">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（2）相关责任人的资格证书和执业证明复印件。</w:t>
      </w:r>
    </w:p>
    <w:p w14:paraId="44005F1A">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（3）与保险责任认定相关的病历资料复印件，包括门诊及住院病历、体温单、医嘱单、辅助检查报告单、手术同意书、手术及麻醉记录单、护理记录单等。</w:t>
      </w:r>
    </w:p>
    <w:p w14:paraId="349C434F">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（4）患者伤残的，应当提供法定鉴定机构出具的伤残程度证明； </w:t>
      </w:r>
    </w:p>
    <w:p w14:paraId="29BCF1C3">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（5）事故情况说明、赔偿项目清单。</w:t>
      </w:r>
    </w:p>
    <w:p w14:paraId="71949F01">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涉及医疗费、误工费、护理费、被抚养人生活费等赔偿的，应提供相关凭证；其中，涉及医疗费赔偿的应提供医疗费发票原件，并提供医疗费用清单；涉及误工费赔偿的应提供出险当月至结束治疗期间及出险前一月的相关收入证明；涉及护理费的，应提供护理人员收入证明，如护理人员没有收入的，依照签署协议时上一年度广东省人身损害赔偿计算标准中国有同行业在岗职工年平均工资中居民服务业年平均工资予以计算，雇佣护工的，参照当地护工从事同等级别护理的劳务报酬标准或根据实际产生的护理费计算，以护理发票为准；涉及营养费索赔的，应按照实际住院天数+医嘱休息天数（无住院按医嘱休息天数计数），以100元/天计算。</w:t>
      </w:r>
    </w:p>
    <w:p w14:paraId="5B5614E6">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（7）根据医疗纠纷争议最终处理的不同途径，还应提交的资料：</w:t>
      </w:r>
    </w:p>
    <w:p w14:paraId="149DF7BD">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①医患双方协商解决</w:t>
      </w:r>
    </w:p>
    <w:p w14:paraId="5C51F891">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﹡医患双方签署的和解协议书。</w:t>
      </w:r>
    </w:p>
    <w:p w14:paraId="72161F1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②调解机构调解</w:t>
      </w:r>
    </w:p>
    <w:p w14:paraId="21FFCB84">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﹡当事人的医疗纠纷争议处理和调解申请书。</w:t>
      </w:r>
    </w:p>
    <w:p w14:paraId="0C9DFFC1">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﹡进行了鉴定的提交医疗损害鉴定报告或相关的司法鉴定书。</w:t>
      </w:r>
    </w:p>
    <w:p w14:paraId="037642B9">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﹡调解机构盖章的调解协议书。</w:t>
      </w:r>
    </w:p>
    <w:p w14:paraId="2EFAFC93">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③仲裁、法院调解或判决的起诉书。</w:t>
      </w:r>
    </w:p>
    <w:p w14:paraId="1FC96F5B">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﹡法院传票和答辩书。</w:t>
      </w:r>
    </w:p>
    <w:p w14:paraId="4CBECB1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﹡进行了鉴定的提交医疗损害鉴定报告或相关的司法鉴定书。</w:t>
      </w:r>
    </w:p>
    <w:p w14:paraId="1D5EBCFE">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﹡仲裁书、调解书或判决书。</w:t>
      </w:r>
    </w:p>
    <w:p w14:paraId="19EC59A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（8）其他保险公司要求提供的、与确认保险事故的性质、原因、责任、损失程度等有关的证明和资料。</w:t>
      </w:r>
    </w:p>
    <w:p w14:paraId="25C00DC3">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5．理赔时效</w:t>
      </w:r>
    </w:p>
    <w:p w14:paraId="69A07F61">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通过医患双方协商，赔偿金额在1万元（含）以下的赔案，或通过调解机构调解成功，赔偿金额在1万元以上，2万元（含）以下的赔案，服务小组在理赔资料齐全情况下，在收到《调解协议》3个工作日内完成资料审核并转交保险公司，保险公司在2个工作日内支付赔款。</w:t>
      </w:r>
    </w:p>
    <w:p w14:paraId="24C5F8F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（2）通过调解机构调解成功，赔偿金额在2万元以上20万（含）以下的案件，服务小组在理赔资料齐全情况下，在收到《调解协议》5个工作日内完成资料审核并转交保险公司，保险公司在5个工作日内支付赔款。</w:t>
      </w:r>
    </w:p>
    <w:p w14:paraId="43102E6A">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通过调解机构调解成功，赔偿金额在20万以上的案件，服务小组在收齐索赔材料后（包含《调解协议》），提交保险公司审核，保险公司应在7个工作日内完成案件的审核，审核通过后，在8个工作日内支付赔款。</w:t>
      </w:r>
    </w:p>
    <w:p w14:paraId="524F892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（3）对于通过仲裁、法律诉讼或保险公司认可的其他方式解决的案件，服务小组在收齐索赔材料后，提交保险公司审核，保险公司应在7个工作日内完成案件的审核，审核通过后，在8个工作日内支付赔款。</w:t>
      </w:r>
    </w:p>
    <w:p w14:paraId="60F9F8BA">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（4）对于通过保险公司审核并调解成功的案件，保险公司应在收齐索赔材料（包含《调解协议》）7个工作日内完成案件的审核，并于8个工作日内支付赔款。</w:t>
      </w:r>
    </w:p>
    <w:p w14:paraId="3C0DE6F4">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（5）赔案处理完毕后，服务小组第一时间告知医院处理结果，服务小组及时回访了解医院对理赔服务的意见和建议，并向保险公司反馈和提出改善建议。</w:t>
      </w:r>
    </w:p>
    <w:p w14:paraId="1352145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6．预付赔款制度</w:t>
      </w:r>
    </w:p>
    <w:p w14:paraId="6EB53CE9">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可认定确属保险责任范围，但又不能确定其赔款金额的赔案，服务小组将根据已有单证和资料，通知保险公司按其可确定的赔偿金额，由保险公司先予支付，在最终核定赔偿金额后，在保险责任赔偿限额内再支付相应的差额。</w:t>
      </w:r>
    </w:p>
    <w:p w14:paraId="6C5D2A05">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7.调赔结合机制</w:t>
      </w:r>
    </w:p>
    <w:p w14:paraId="28F36824">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小组与调解机构和保险公司对接，建立调赔结合机制，主要内容有：与调解机构沟通，全面配合调解流程，并协助调解机构进行调解工作；与保险公司沟通，全面梳理理赔流程，并将调解流程和理赔流程进行无缝对接。</w:t>
      </w:r>
      <w:bookmarkStart w:id="228" w:name="_Toc434155762"/>
      <w:bookmarkStart w:id="229" w:name="_Toc433014197"/>
      <w:bookmarkStart w:id="230" w:name="_Toc442365623"/>
    </w:p>
    <w:p w14:paraId="63A119C3">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（六）医疗风险防范等相关培训</w:t>
      </w:r>
      <w:bookmarkEnd w:id="228"/>
      <w:bookmarkEnd w:id="229"/>
      <w:bookmarkEnd w:id="230"/>
    </w:p>
    <w:p w14:paraId="43DF55E5">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结合《深圳经济特区医疗条例》和《医疗纠纷预防和处理条例》开展《民法典》《执业医师法》和《保险法》等法律法规的培训，使医务人员及各个相关方了解保单内容和保障范围，掌握应对医疗突发性事件的基本技能与方法，进行人身安全保护。</w:t>
      </w:r>
    </w:p>
    <w:p w14:paraId="32896F23">
      <w:pPr>
        <w:pageBreakBefore w:val="0"/>
        <w:widowControl/>
        <w:kinsoku/>
        <w:wordWrap/>
        <w:overflowPunct/>
        <w:topLinePunct w:val="0"/>
        <w:autoSpaceDE/>
        <w:autoSpaceDN/>
        <w:bidi w:val="0"/>
        <w:adjustRightInd w:val="0"/>
        <w:snapToGrid w:val="0"/>
        <w:spacing w:line="288" w:lineRule="auto"/>
        <w:ind w:left="0" w:leftChars="0"/>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br w:type="page"/>
      </w:r>
    </w:p>
    <w:p w14:paraId="29DEAE1C">
      <w:pPr>
        <w:pageBreakBefore w:val="0"/>
        <w:widowControl/>
        <w:kinsoku/>
        <w:wordWrap/>
        <w:overflowPunct/>
        <w:topLinePunct w:val="0"/>
        <w:autoSpaceDE/>
        <w:autoSpaceDN/>
        <w:bidi w:val="0"/>
        <w:adjustRightInd w:val="0"/>
        <w:snapToGrid w:val="0"/>
        <w:spacing w:line="288" w:lineRule="auto"/>
        <w:ind w:left="0" w:leftChars="0" w:firstLine="482" w:firstLineChars="200"/>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附件二：</w:t>
      </w:r>
    </w:p>
    <w:p w14:paraId="7B6570C2">
      <w:pPr>
        <w:pageBreakBefore w:val="0"/>
        <w:widowControl/>
        <w:kinsoku/>
        <w:wordWrap/>
        <w:overflowPunct/>
        <w:topLinePunct w:val="0"/>
        <w:autoSpaceDE/>
        <w:autoSpaceDN/>
        <w:bidi w:val="0"/>
        <w:adjustRightInd w:val="0"/>
        <w:snapToGrid w:val="0"/>
        <w:spacing w:line="288" w:lineRule="auto"/>
        <w:ind w:left="0" w:leftChars="0" w:firstLine="482" w:firstLineChars="200"/>
        <w:jc w:val="left"/>
        <w:textAlignment w:val="auto"/>
        <w:outlineLvl w:val="0"/>
        <w:rPr>
          <w:rFonts w:hint="eastAsia" w:ascii="宋体" w:hAnsi="宋体" w:eastAsia="宋体" w:cs="宋体"/>
          <w:b/>
          <w:bCs/>
          <w:kern w:val="0"/>
          <w:sz w:val="24"/>
          <w:szCs w:val="24"/>
          <w:highlight w:val="none"/>
        </w:rPr>
      </w:pPr>
      <w:bookmarkStart w:id="231" w:name="_Toc11239"/>
      <w:bookmarkStart w:id="232" w:name="_Toc7630"/>
      <w:r>
        <w:rPr>
          <w:rFonts w:hint="eastAsia" w:ascii="宋体" w:hAnsi="宋体" w:eastAsia="宋体" w:cs="宋体"/>
          <w:b/>
          <w:bCs/>
          <w:kern w:val="0"/>
          <w:sz w:val="24"/>
          <w:szCs w:val="24"/>
          <w:highlight w:val="none"/>
        </w:rPr>
        <w:t>深圳市福田区第二人民医院医责险服务承诺</w:t>
      </w:r>
      <w:bookmarkEnd w:id="231"/>
      <w:bookmarkEnd w:id="232"/>
    </w:p>
    <w:p w14:paraId="00DD4F0B">
      <w:pPr>
        <w:pStyle w:val="5"/>
        <w:bidi w:val="0"/>
        <w:outlineLvl w:val="0"/>
        <w:rPr>
          <w:rFonts w:hint="eastAsia"/>
          <w:highlight w:val="none"/>
        </w:rPr>
      </w:pPr>
      <w:bookmarkStart w:id="233" w:name="_Toc10717"/>
      <w:r>
        <w:rPr>
          <w:rFonts w:hint="eastAsia"/>
          <w:highlight w:val="none"/>
        </w:rPr>
        <w:t>一.</w:t>
      </w:r>
      <w:r>
        <w:rPr>
          <w:rFonts w:hint="eastAsia"/>
          <w:highlight w:val="none"/>
          <w:lang w:val="en-US" w:eastAsia="zh-CN"/>
        </w:rPr>
        <w:t xml:space="preserve"> </w:t>
      </w:r>
      <w:r>
        <w:rPr>
          <w:rFonts w:hint="eastAsia"/>
          <w:highlight w:val="none"/>
        </w:rPr>
        <w:t>服务小组办公地点</w:t>
      </w:r>
      <w:bookmarkEnd w:id="233"/>
    </w:p>
    <w:p w14:paraId="7A3765A5">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服务小组在院外设立医患纠纷接待场所，深圳市福田区第二人民医院为服务小组提供院内工作室，主要用于服务小组协调员协调处理事故时使用。</w:t>
      </w:r>
    </w:p>
    <w:p w14:paraId="6E0DB3AF">
      <w:pPr>
        <w:pStyle w:val="5"/>
        <w:bidi w:val="0"/>
        <w:outlineLvl w:val="0"/>
        <w:rPr>
          <w:rFonts w:hint="eastAsia"/>
          <w:highlight w:val="none"/>
        </w:rPr>
      </w:pPr>
      <w:bookmarkStart w:id="234" w:name="_Toc732"/>
      <w:r>
        <w:rPr>
          <w:rFonts w:hint="eastAsia"/>
          <w:highlight w:val="none"/>
          <w:lang w:val="en-US" w:eastAsia="zh-CN"/>
        </w:rPr>
        <w:t>二</w:t>
      </w:r>
      <w:r>
        <w:rPr>
          <w:rFonts w:hint="eastAsia"/>
          <w:highlight w:val="none"/>
        </w:rPr>
        <w:t>.</w:t>
      </w:r>
      <w:r>
        <w:rPr>
          <w:rFonts w:hint="eastAsia"/>
          <w:highlight w:val="none"/>
          <w:lang w:val="en-US" w:eastAsia="zh-CN"/>
        </w:rPr>
        <w:t xml:space="preserve"> </w:t>
      </w:r>
      <w:r>
        <w:rPr>
          <w:rFonts w:hint="eastAsia"/>
          <w:highlight w:val="none"/>
        </w:rPr>
        <w:t>服务小组人员组成</w:t>
      </w:r>
      <w:bookmarkEnd w:id="234"/>
    </w:p>
    <w:tbl>
      <w:tblPr>
        <w:tblStyle w:val="35"/>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75"/>
        <w:gridCol w:w="1994"/>
        <w:gridCol w:w="1571"/>
        <w:gridCol w:w="2628"/>
      </w:tblGrid>
      <w:tr w14:paraId="74CF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233" w:type="dxa"/>
            <w:gridSpan w:val="5"/>
            <w:vAlign w:val="center"/>
          </w:tcPr>
          <w:p w14:paraId="4D05675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服务领导小组</w:t>
            </w:r>
          </w:p>
        </w:tc>
      </w:tr>
      <w:tr w14:paraId="2E81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5" w:type="dxa"/>
            <w:vAlign w:val="center"/>
          </w:tcPr>
          <w:p w14:paraId="7E10A42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姓名</w:t>
            </w:r>
          </w:p>
        </w:tc>
        <w:tc>
          <w:tcPr>
            <w:tcW w:w="1275" w:type="dxa"/>
            <w:vAlign w:val="center"/>
          </w:tcPr>
          <w:p w14:paraId="7B6CCF7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组内职务</w:t>
            </w:r>
          </w:p>
        </w:tc>
        <w:tc>
          <w:tcPr>
            <w:tcW w:w="1994" w:type="dxa"/>
            <w:vAlign w:val="center"/>
          </w:tcPr>
          <w:p w14:paraId="6F613AE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公司职务</w:t>
            </w:r>
          </w:p>
        </w:tc>
        <w:tc>
          <w:tcPr>
            <w:tcW w:w="1571" w:type="dxa"/>
            <w:vAlign w:val="center"/>
          </w:tcPr>
          <w:p w14:paraId="68F625C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联系电话</w:t>
            </w:r>
          </w:p>
        </w:tc>
        <w:tc>
          <w:tcPr>
            <w:tcW w:w="2628" w:type="dxa"/>
            <w:vAlign w:val="center"/>
          </w:tcPr>
          <w:p w14:paraId="660B406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邮箱</w:t>
            </w:r>
          </w:p>
        </w:tc>
      </w:tr>
      <w:tr w14:paraId="1570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65" w:type="dxa"/>
            <w:vAlign w:val="center"/>
          </w:tcPr>
          <w:p w14:paraId="1582B62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1275" w:type="dxa"/>
            <w:vAlign w:val="center"/>
          </w:tcPr>
          <w:p w14:paraId="70C2E1D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1994" w:type="dxa"/>
            <w:vAlign w:val="center"/>
          </w:tcPr>
          <w:p w14:paraId="208C985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1571" w:type="dxa"/>
            <w:vAlign w:val="center"/>
          </w:tcPr>
          <w:p w14:paraId="5EC66A6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2628" w:type="dxa"/>
            <w:vAlign w:val="center"/>
          </w:tcPr>
          <w:p w14:paraId="0BF23AB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r>
      <w:tr w14:paraId="1B3A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5" w:type="dxa"/>
            <w:vAlign w:val="center"/>
          </w:tcPr>
          <w:p w14:paraId="4D8A9F0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1275" w:type="dxa"/>
            <w:vAlign w:val="center"/>
          </w:tcPr>
          <w:p w14:paraId="3D1CB14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1994" w:type="dxa"/>
            <w:vAlign w:val="center"/>
          </w:tcPr>
          <w:p w14:paraId="7BB519B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1571" w:type="dxa"/>
            <w:vAlign w:val="center"/>
          </w:tcPr>
          <w:p w14:paraId="241A75A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2628" w:type="dxa"/>
            <w:vAlign w:val="center"/>
          </w:tcPr>
          <w:p w14:paraId="01EBADC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r>
      <w:tr w14:paraId="35A7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5" w:type="dxa"/>
            <w:vAlign w:val="center"/>
          </w:tcPr>
          <w:p w14:paraId="36770A4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1275" w:type="dxa"/>
            <w:vAlign w:val="center"/>
          </w:tcPr>
          <w:p w14:paraId="05E30C4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1994" w:type="dxa"/>
            <w:vAlign w:val="center"/>
          </w:tcPr>
          <w:p w14:paraId="315B3B9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1571" w:type="dxa"/>
            <w:vAlign w:val="center"/>
          </w:tcPr>
          <w:p w14:paraId="15AD7AF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2628" w:type="dxa"/>
            <w:vAlign w:val="center"/>
          </w:tcPr>
          <w:p w14:paraId="55CCA33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r>
      <w:tr w14:paraId="38FB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33" w:type="dxa"/>
            <w:gridSpan w:val="5"/>
            <w:vAlign w:val="center"/>
          </w:tcPr>
          <w:p w14:paraId="457394D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项目日常工作联络小组</w:t>
            </w:r>
          </w:p>
        </w:tc>
      </w:tr>
      <w:tr w14:paraId="58CD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65" w:type="dxa"/>
            <w:vAlign w:val="center"/>
          </w:tcPr>
          <w:p w14:paraId="7F387FB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1275" w:type="dxa"/>
            <w:vAlign w:val="center"/>
          </w:tcPr>
          <w:p w14:paraId="6598B91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1994" w:type="dxa"/>
            <w:vAlign w:val="center"/>
          </w:tcPr>
          <w:p w14:paraId="4689B19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1571" w:type="dxa"/>
            <w:vAlign w:val="center"/>
          </w:tcPr>
          <w:p w14:paraId="1DD49A3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2628" w:type="dxa"/>
            <w:vAlign w:val="center"/>
          </w:tcPr>
          <w:p w14:paraId="4D00194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r>
      <w:tr w14:paraId="4D93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5" w:type="dxa"/>
            <w:vAlign w:val="center"/>
          </w:tcPr>
          <w:p w14:paraId="51851B7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1275" w:type="dxa"/>
            <w:vAlign w:val="center"/>
          </w:tcPr>
          <w:p w14:paraId="0C6EABF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1994" w:type="dxa"/>
            <w:vAlign w:val="center"/>
          </w:tcPr>
          <w:p w14:paraId="05F2D52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1571" w:type="dxa"/>
            <w:vAlign w:val="center"/>
          </w:tcPr>
          <w:p w14:paraId="2971D45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2628" w:type="dxa"/>
            <w:vAlign w:val="center"/>
          </w:tcPr>
          <w:p w14:paraId="0909F81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r>
      <w:tr w14:paraId="6CBA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65" w:type="dxa"/>
            <w:vAlign w:val="center"/>
          </w:tcPr>
          <w:p w14:paraId="5CC64E6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1275" w:type="dxa"/>
            <w:vAlign w:val="center"/>
          </w:tcPr>
          <w:p w14:paraId="424B128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1994" w:type="dxa"/>
            <w:vAlign w:val="center"/>
          </w:tcPr>
          <w:p w14:paraId="4ADB415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1571" w:type="dxa"/>
            <w:vAlign w:val="center"/>
          </w:tcPr>
          <w:p w14:paraId="304DB39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c>
          <w:tcPr>
            <w:tcW w:w="2628" w:type="dxa"/>
            <w:vAlign w:val="center"/>
          </w:tcPr>
          <w:p w14:paraId="1CDAC5A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kern w:val="0"/>
                <w:sz w:val="24"/>
                <w:szCs w:val="24"/>
                <w:highlight w:val="none"/>
              </w:rPr>
            </w:pPr>
          </w:p>
        </w:tc>
      </w:tr>
    </w:tbl>
    <w:p w14:paraId="4132EF72">
      <w:pPr>
        <w:pStyle w:val="5"/>
        <w:bidi w:val="0"/>
        <w:outlineLvl w:val="0"/>
        <w:rPr>
          <w:rFonts w:hint="eastAsia"/>
          <w:highlight w:val="none"/>
        </w:rPr>
      </w:pPr>
      <w:bookmarkStart w:id="235" w:name="_Toc15750"/>
      <w:r>
        <w:rPr>
          <w:rFonts w:hint="eastAsia"/>
          <w:highlight w:val="none"/>
        </w:rPr>
        <w:t>三.</w:t>
      </w:r>
      <w:r>
        <w:rPr>
          <w:rFonts w:hint="eastAsia"/>
          <w:highlight w:val="none"/>
          <w:lang w:val="en-US" w:eastAsia="zh-CN"/>
        </w:rPr>
        <w:t xml:space="preserve"> </w:t>
      </w:r>
      <w:r>
        <w:rPr>
          <w:rFonts w:hint="eastAsia"/>
          <w:highlight w:val="none"/>
        </w:rPr>
        <w:t>服务小组服务时间</w:t>
      </w:r>
      <w:bookmarkEnd w:id="235"/>
    </w:p>
    <w:p w14:paraId="670A57F9">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1.节假日以及非工作时间电话值班，24小时响应。</w:t>
      </w:r>
    </w:p>
    <w:p w14:paraId="523D3F4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2.在接到报案后，工作时间30分钟到现场，节假日以及非工作时间60分钟到现场。</w:t>
      </w:r>
    </w:p>
    <w:p w14:paraId="6CA5281D">
      <w:pPr>
        <w:pStyle w:val="5"/>
        <w:bidi w:val="0"/>
        <w:outlineLvl w:val="0"/>
        <w:rPr>
          <w:rFonts w:hint="eastAsia"/>
          <w:highlight w:val="none"/>
        </w:rPr>
      </w:pPr>
      <w:bookmarkStart w:id="236" w:name="_Toc17667"/>
      <w:r>
        <w:rPr>
          <w:rFonts w:hint="eastAsia"/>
          <w:highlight w:val="none"/>
        </w:rPr>
        <w:t>四.</w:t>
      </w:r>
      <w:r>
        <w:rPr>
          <w:rFonts w:hint="eastAsia"/>
          <w:highlight w:val="none"/>
          <w:lang w:val="en-US" w:eastAsia="zh-CN"/>
        </w:rPr>
        <w:t xml:space="preserve"> </w:t>
      </w:r>
      <w:r>
        <w:rPr>
          <w:rFonts w:hint="eastAsia"/>
          <w:highlight w:val="none"/>
        </w:rPr>
        <w:t>服务小组主要服务内容</w:t>
      </w:r>
      <w:bookmarkEnd w:id="236"/>
    </w:p>
    <w:p w14:paraId="027EC62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小组将全面协助医院进行医患纠纷风险防范预警工作、在得到医院授权下，按照中华人民共和国国务院令第701号《医疗纠纷预防和处理条例》和《深圳经济特区医疗条例》等规定协助医院处理医患纠纷和办理医责险索赔事务。主要服务内容如下：</w:t>
      </w:r>
    </w:p>
    <w:p w14:paraId="4D9FC5D5">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（一）建立医患纠纷数据库</w:t>
      </w:r>
    </w:p>
    <w:p w14:paraId="23414BB6">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小组将建立医患纠纷数据库，通过对潜在医患纠纷信息收集和系统分析逐步建立完善的纠纷预警机制；通过对医患纠纷案例的收集和系统分析为后续制定有针对性的风险管理方案提供依据；通过全流程的数据收集和分析为优化医责承保条件和费率提供数据支持；逐步建立完善的医疗安全事件报告制度和患者安全评价体系以供相关部门进行参考。</w:t>
      </w:r>
    </w:p>
    <w:p w14:paraId="4FE54A94">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（二）医疗风险防范与预警</w:t>
      </w:r>
    </w:p>
    <w:p w14:paraId="6548FCB2">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1．潜在风险信息收集和分类</w:t>
      </w:r>
    </w:p>
    <w:p w14:paraId="2429DFDF">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协调员通过参与医院各临床科室工作会议、定期现场巡查走访、结合纠纷数据库建立在线信息反馈系统等手段收集具有潜在医疗风险患者的相关信息，并按管理风险、诊断风险、检查和治疗风险等潜在医疗风险进行分类整理和记录。</w:t>
      </w:r>
    </w:p>
    <w:p w14:paraId="2883519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2.风险预警</w:t>
      </w:r>
    </w:p>
    <w:p w14:paraId="5A42FFFF">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协调员根据掌握的情况，对潜在医疗风险进行原因分析，确定控制、预防的侧重点，及时告知医院医务科等相关管理部门，医务人员对于潜在风险对象的动态及时反馈给协调员，协调员参照紧急事故处理办法，按预估风险程度提前制定风险防控方案和应对措施。</w:t>
      </w:r>
    </w:p>
    <w:p w14:paraId="1A6CCD5D">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（三）紧急事故处理</w:t>
      </w:r>
    </w:p>
    <w:p w14:paraId="0F29F4D9">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1．事故分级</w:t>
      </w:r>
    </w:p>
    <w:p w14:paraId="32E5D7A4">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根据医疗纠纷涉及的人数、范围、性质、危害程度等，分为一般医疗纠纷和重大医疗纠纷，实行分级处理。</w:t>
      </w:r>
    </w:p>
    <w:p w14:paraId="65B3BBF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（1）一般医疗纠纷：患方对医疗机构或医务人员所提供的医疗和护理等服务不满意，质疑诊疗行为的正确性和有效性，经判定可能发生医疗责任纠纷的情形。</w:t>
      </w:r>
    </w:p>
    <w:p w14:paraId="0D32592D">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重大医疗纠纷：患方来院投诉人数超过5人，聚众占据医院诊疗、办公场所，严重干扰医院正常工作的；侮辱、诽谤、威胁、殴打医务人员或者侵犯医务人员人身自由、干扰医务人员正常生活的；停尸闹丧，拒绝将尸体移送太平间或殡仪馆，在医疗场所设灵堂、摆花圈、拉横幅等行为的；患方在医院内实施打、砸、抢等行为，造成财物损坏等情形。</w:t>
      </w:r>
    </w:p>
    <w:p w14:paraId="67EAA9DB">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2．医患纠纷风险干预</w:t>
      </w:r>
    </w:p>
    <w:p w14:paraId="030A3B42">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（1）一般医疗纠纷的医疗责任险案件</w:t>
      </w:r>
    </w:p>
    <w:p w14:paraId="55946101">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协调员应当立即将案情通报服务小组，及时向保险公司反馈事情发展情况。协助医院与患方沟通，对于能够现场协调处理的，尽量引导现场协调解决，不能够现场解决的，引导患方通过人民调解等法律途径解决纠纷。</w:t>
      </w:r>
    </w:p>
    <w:p w14:paraId="218247B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（2）重大医疗纠纷的医疗责任险案件</w:t>
      </w:r>
    </w:p>
    <w:p w14:paraId="37B3C0C6">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协调员应当立即通知服务小组负责人赶赴现场，协助医务科做好安抚解释工作，稳定患方情绪，防止事态升级；做好有关人员违法闹事的证据收集工作，协助保卫科报警并向警方介绍案件基本情况；协助医院应对新闻媒体和审核新闻稿；协助医院向区维稳办、卫生主管部门报告反馈案件具体情况。</w:t>
      </w:r>
    </w:p>
    <w:p w14:paraId="33638EF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（四）医患纠纷处理</w:t>
      </w:r>
    </w:p>
    <w:p w14:paraId="45ECFD7A">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1．报案</w:t>
      </w:r>
    </w:p>
    <w:p w14:paraId="7EB80E31">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医院发生医疗纠纷时，应及时向服务小组报案，服务小组应详细记录并向保险公司立案。报案可采取书面、电话、邮件、传真等形式，并简要提供纠纷所涉及到的被保险人、具体科室、被保险人联系方式、患者基本信息和要求、纠纷原因等基本信息。</w:t>
      </w:r>
    </w:p>
    <w:p w14:paraId="285273B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2.现场处理</w:t>
      </w:r>
    </w:p>
    <w:p w14:paraId="68344AAB">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小组接到报案后，立即通知协调员配合医务科介入医患纠纷事件处理，通过了解患方诉求、安抚患方情绪、了解事件原因、传达患方要求等具体工作，并引导患方到院外服务小组驻地或是调解机构进行调解处理，协助医院消除医疗风险。具体操作如下：</w:t>
      </w:r>
    </w:p>
    <w:p w14:paraId="34E36BD2">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（1）对于初步判断不属于保险责任范围的纠纷，及时对患方进行疏导，协助医院维护现场秩序。能现场达成谅解的，经医患双方同意后，建议直接达成谅解协议。</w:t>
      </w:r>
    </w:p>
    <w:p w14:paraId="59102B9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（2）对损害后果、事实清楚、法律责任明确，属于保险责任事故的医疗纠纷案件，协调员应配合医院对医患纠纷进行调查、取证、评估、协商等工作，并视事故大小通知理赔专员参与处理。</w:t>
      </w:r>
    </w:p>
    <w:p w14:paraId="0BBF508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调查取证内容包括患者就医事实、损害结果、诉求等；通过患方和医方叙述，了解基本医疗经过，核实患方有关疾病或损害现状的陈述的可靠性和真实性，收集必要的证据；协助医院按《医疗纠纷预防和处理条例》</w:t>
      </w:r>
      <w:bookmarkStart w:id="387" w:name="_GoBack"/>
      <w:bookmarkEnd w:id="387"/>
      <w:r>
        <w:rPr>
          <w:rFonts w:hint="eastAsia" w:ascii="宋体" w:hAnsi="宋体" w:eastAsia="宋体" w:cs="宋体"/>
          <w:kern w:val="0"/>
          <w:sz w:val="24"/>
          <w:szCs w:val="24"/>
          <w:highlight w:val="none"/>
        </w:rPr>
        <w:t>规定封存和启封现场实物及相关病历资料。</w:t>
      </w:r>
    </w:p>
    <w:p w14:paraId="28282BBB">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（五）医责险理赔处理</w:t>
      </w:r>
    </w:p>
    <w:p w14:paraId="4A2224A3">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为建设和谐医院，及时化解轻微医疗纠纷事件，对于患方请求赔偿金额在1万元以下的医疗纠纷，由医院与患方自行协商处理，处理结果作为保险公司理赔依据。对于患方请求赔偿金额在1万元以上的医疗纠纷，服务小组将指派理赔专员与协调员共同协助医患双方向调解机构申请调解。具体运作流程如下：</w:t>
      </w:r>
    </w:p>
    <w:p w14:paraId="018C1CB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1.医患自行协商</w:t>
      </w:r>
    </w:p>
    <w:p w14:paraId="2B86338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于患方请求赔偿金额在1万元（含）以下的医疗纠纷案件，经服务小组确认后，可由医院与患方自行协商处理，处理结果须由医患双方形成《和解协议书》。案件处理完毕后协调员协助医院收集保险索赔资料，服务小组在审核后转交保险公司，保险公司依据保险合同相关规定向被保险人或直接向患方支付赔款。</w:t>
      </w:r>
    </w:p>
    <w:p w14:paraId="144B27E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上述类型案件，医院也可委托协调员全程协助处理，协调员将协助医院进行患方现场接待、纠纷受理、引导患方到院外服务小组驻点调解或协助医患双方在院内调解。</w:t>
      </w:r>
    </w:p>
    <w:p w14:paraId="7909C090">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2.调解机构调解</w:t>
      </w:r>
    </w:p>
    <w:p w14:paraId="11135FE2">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于患方请求赔偿金额在人民币1万元以上的案件，医患双方应通过调解机构调解处理，服务小组将指派理赔专员与协调员共同协助医患双方向调解机构申请调解。在调解机构受理案件后，经医院委托，理赔专员将协助医院全程参与医患双方调解工作，主要工作如下：</w:t>
      </w:r>
    </w:p>
    <w:p w14:paraId="0A2AB17A">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理赔专员在了解基本事实的基础上，初步确认医疗损害结果；分析医院是否存在过失；分析医院过失与患方损害结果之间的因果关系；医院过失在损害结果中的责任程度；涉及到较专业的医学或法学知识的，征求所涉及学科或专业的专家意见并形成书面的专业技术分析报告。</w:t>
      </w:r>
    </w:p>
    <w:p w14:paraId="661F30D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中患方请求赔偿金额在人民币1万元以上，20万元（含）以下案件，服务小组视案件情况请第三方鉴定机构推荐所涉及学科或专业的专家参与分析，并提供书面的专业技术分析报告；赔偿金额在20万元以上的案件，服务小组将请第三方鉴定机构推荐所涉及学科或专业的具有高级职称的专家和医院法律顾问参与分析鉴定，并提供书面的专业技术分析报告，由此产生的费用由保险公司承担。</w:t>
      </w:r>
    </w:p>
    <w:p w14:paraId="0882695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服务小组根据上述专家专业技术分析意见，厘清医患双方的责任，对属于保险责任范围的，依照相关法律法规，初步理算赔偿金额并出具调查分析报告，上报医院审核，通过审核后理赔专员以此为基础进行调解。</w:t>
      </w:r>
    </w:p>
    <w:p w14:paraId="3940F53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理赔专员依照报告确定的损失金额参与医患双方之间的调解；向患方反馈医疗事件调查情况，阐明院方意见，说明医疗纠纷争议处理的法律、法规、解决途径及程序，力争患方理解并达成一致意见，并协助医患双方到调解机构进行调解，调解成功的，医患双方签署书面《调解协议书》、调解员签字并加盖调解机构公章。</w:t>
      </w:r>
    </w:p>
    <w:p w14:paraId="5024704B">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理赔专员协助医院收集相关保险索赔资料并交服务小组审核，服务小组审核后转交保险公司，保险公司依据保险合同相关规定直接向被保险人或患方支付赔款。</w:t>
      </w:r>
    </w:p>
    <w:p w14:paraId="0B11668D">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若患方对医疗损害存在争议的，理赔专员协助医患双方进行正式医疗损害鉴定；鉴定结果出来后，征求患方对此鉴定结果的意见，若无异议，则依据此结果重新认定医患双方责任，并再次形成调解方案，上报医院，审核同意后再次调解。调解不成功的，向医院通报结果，分析不成功原因，总结经验，并明确医院和保险公司共同确认的理赔底线，争取再次进行调解。</w:t>
      </w:r>
    </w:p>
    <w:p w14:paraId="4F639E4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（5）如果医患双方无法通过调解机构的调解处理，可通过仲裁、司法诉讼或经保险公司认可同意的其它方式进行处理。</w:t>
      </w:r>
    </w:p>
    <w:p w14:paraId="396CBF09">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（6）在调解过程中保险公司应参与或协助服务小组进行工作。</w:t>
      </w:r>
    </w:p>
    <w:p w14:paraId="73018340">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3.仲裁、司法诉讼</w:t>
      </w:r>
    </w:p>
    <w:p w14:paraId="172DB0CB">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于申请仲裁或提起民事诉讼的案件，医院应在接到法院传票或其他法律文书后，将其副本及时送交服务小组，由服务小组及时通报保险公司并提供法律顾问协助医院处理。保险公司按照仲裁结果或法院判决结果直接向被保险人或患方支付赔款。</w:t>
      </w:r>
    </w:p>
    <w:p w14:paraId="723AC63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4．索赔所需材料</w:t>
      </w:r>
    </w:p>
    <w:p w14:paraId="62119409">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除必备单证外，本着“能简就简”的原则简化索赔单证，服务小组协调员全程协助院方收集保险索赔资料并做初审后转交保险公司，保险公司在接到索赔材料后出具接收单并立即审核，若有关证明或材料不完整的，及时一次性书面通知院方应补充提供的有关证明或材料。若保险公司在接到索赔材料后三个工作日内未给予有关审核意见，则视为保险公司认可索赔材料的完整性。索赔材料包括以下内容：</w:t>
      </w:r>
    </w:p>
    <w:p w14:paraId="1156DFC6">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（1）患者或其近亲属的书面索赔申请；患者的身份证复印件（若患者死亡的，应提供死亡证明书、户籍注销证明、法定代理人的身份证复印件）。</w:t>
      </w:r>
    </w:p>
    <w:p w14:paraId="22583106">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（2）相关责任人的资格证书和执业证明复印件。</w:t>
      </w:r>
    </w:p>
    <w:p w14:paraId="2E864D09">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（3）与保险责任认定相关的病历资料复印件，包括门诊及住院病历、体温单、医嘱单、辅助检查报告单、手术同意书、手术及麻醉记录单、护理记录单等。</w:t>
      </w:r>
    </w:p>
    <w:p w14:paraId="028ED234">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（4）患者伤残的，应当提供法定鉴定机构出具的伤残程度证明； </w:t>
      </w:r>
    </w:p>
    <w:p w14:paraId="61BE838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（5）事故情况说明、赔偿项目清单。</w:t>
      </w:r>
    </w:p>
    <w:p w14:paraId="3CFC31FE">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涉及医疗费、误工费、护理费、被抚养人生活费等赔偿的，应提供相关凭证；其中，涉及医疗费赔偿的应提供医疗费发票原件，并提供医疗费用清单；涉及误工费赔偿的应提供出险当月至结束治疗期间及出险前一月的相关收入证明；涉及护理费的，应提供护理人员收入证明，如护理人员没有收入的，依照签署协议时上一年度广东省人身损害赔偿计算标准中国有同行业在岗职工年平均工资中居民服务业年平均工资予以计算，雇佣护工的，参照当地护工从事同等级别护理的劳务报酬标准或根据实际产生的护理费计算，以护理发票为准；涉及营养费索赔的，应按照实际住院天数+医嘱休息天数（无住院按医嘱休息天数计数），以100元/天计算。</w:t>
      </w:r>
    </w:p>
    <w:p w14:paraId="7B311103">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（7）根据医疗几份争议最终处理的不同途径，还应提交的资料：</w:t>
      </w:r>
    </w:p>
    <w:p w14:paraId="187DE691">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①医患双方协商解决</w:t>
      </w:r>
    </w:p>
    <w:p w14:paraId="3B979776">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医患双方签署的和解协议书。</w:t>
      </w:r>
    </w:p>
    <w:p w14:paraId="0BF17F89">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②调解机构调解</w:t>
      </w:r>
    </w:p>
    <w:p w14:paraId="26024DCF">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当事人的医疗纠纷争议处理和调解申请书。</w:t>
      </w:r>
    </w:p>
    <w:p w14:paraId="377D04D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进行了鉴定的提交医疗损害鉴定报告或相关的司法鉴定书。</w:t>
      </w:r>
    </w:p>
    <w:p w14:paraId="042BFBCF">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调解机构盖章的调解协议书。</w:t>
      </w:r>
    </w:p>
    <w:p w14:paraId="48C94655">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③仲裁、法院调解或判决的</w:t>
      </w:r>
    </w:p>
    <w:p w14:paraId="73DD6590">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起诉书。</w:t>
      </w:r>
    </w:p>
    <w:p w14:paraId="359D08C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法院传票和答辩书。</w:t>
      </w:r>
    </w:p>
    <w:p w14:paraId="3A91BE6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进行了鉴定的提交医疗损害鉴定报告或相关的司法鉴定书。</w:t>
      </w:r>
    </w:p>
    <w:p w14:paraId="7BC37EF9">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仲裁书、调解书或判决书。</w:t>
      </w:r>
    </w:p>
    <w:p w14:paraId="58923B55">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（8）其他保险公司要求提供的、与确认保险事故的性质、原因、责任、损失程度等有关的证明和资料。</w:t>
      </w:r>
    </w:p>
    <w:p w14:paraId="6C94FD0E">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5．理赔时效</w:t>
      </w:r>
    </w:p>
    <w:p w14:paraId="633108E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通过医患双方协商，赔偿金额在1万元（含）以下的赔案，或通过调解机构调解成功，赔偿金额在1万元以上，2万元（含）以下的赔案，服务小组在理赔资料齐全情况下，在收到《调解协议》3个工作日内完成资料审核并转交保险公司，保险公司在2个工作日内支付赔款。</w:t>
      </w:r>
    </w:p>
    <w:p w14:paraId="5F41167B">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（2）通过调解机构调解成功，赔偿金额在2万元以上20万（含）以下的案件，服务小组在理赔资料齐全情况下，在收到《调解协议》5个工作日内完成资料审核并转交保险公司，保险公司在5个工作日内支付赔款。</w:t>
      </w:r>
    </w:p>
    <w:p w14:paraId="604637F9">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通过调解机构调解成功，赔偿金额在20万以上的案件，服务小组在收齐索赔材料后（包含《调解协议》），提交保险公司审核，保险公司应在7个工作日内完成案件的审核，审核通过后，在8个工作日内支付赔款。</w:t>
      </w:r>
    </w:p>
    <w:p w14:paraId="7A3263E5">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（3）对于通过仲裁、法律诉讼或保险公司认可的其他方式解决的案件，服务小组在收齐索赔材料后，提交保险公司审核，保险公司应在7个工作日内完成案件的审核，审核通过后，在8个工作日内支付赔款。</w:t>
      </w:r>
    </w:p>
    <w:p w14:paraId="397DE4F7">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（4）对于通过保险公司审核并调解成功的案件，保险公司应在收齐索赔材料（包含《调解协议》）7个工作日内完成案件的审核，并于8个工作日内支付赔款。</w:t>
      </w:r>
    </w:p>
    <w:p w14:paraId="5D23569A">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（5）赔案处理完毕后，服务小组第一时间告知医院处理结果，服务小组及时回访了解医院对理赔服务的意见和建议，并向保险公司反馈和提出改善建议。</w:t>
      </w:r>
    </w:p>
    <w:p w14:paraId="5A5BE6DC">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6．预付赔款制度</w:t>
      </w:r>
    </w:p>
    <w:p w14:paraId="0B7AE53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可认定确属保险责任范围，但又不能确定其赔款金额的赔案，服务小组将根据已有单证和资料，通知保险公司按其可确定的赔偿金额，由保险公司先予支付，在最终核定赔偿金额后，在保险责任赔偿限额内再支付相应的差额。</w:t>
      </w:r>
    </w:p>
    <w:p w14:paraId="4D520920">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7.调赔结合机制</w:t>
      </w:r>
    </w:p>
    <w:p w14:paraId="4C027858">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小组与调解机构和保险公司对接，建立调赔结合机制，主要内容有：与调解机构沟通，全面配合调解流程，并协助调解机构进行调解工作；与保险公司沟通，全面梳理理赔流程，并将调解流程和理赔流程进行无缝对接。</w:t>
      </w:r>
    </w:p>
    <w:p w14:paraId="0B783CF3">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（六）医疗风险防范等相关培训</w:t>
      </w:r>
    </w:p>
    <w:p w14:paraId="58B5EEC1">
      <w:pPr>
        <w:pageBreakBefore w:val="0"/>
        <w:widowControl/>
        <w:kinsoku/>
        <w:wordWrap/>
        <w:overflowPunct/>
        <w:topLinePunct w:val="0"/>
        <w:autoSpaceDE/>
        <w:autoSpaceDN/>
        <w:bidi w:val="0"/>
        <w:adjustRightInd w:val="0"/>
        <w:snapToGrid w:val="0"/>
        <w:spacing w:line="288" w:lineRule="auto"/>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结合《深圳经济特区医疗条例》和《医疗纠纷预防和处理条例》开展《民法典》《执业医师法》和《保险法》等法律法规的培训，使医务人员及各个相关方了解保单内容和保障范围，掌握应对医疗突发性事件的基本技能与方法，进行人身安全保护。</w:t>
      </w:r>
    </w:p>
    <w:p w14:paraId="43BC5A20">
      <w:pPr>
        <w:spacing w:line="360" w:lineRule="auto"/>
        <w:ind w:firstLine="480" w:firstLineChars="200"/>
        <w:rPr>
          <w:rFonts w:ascii="宋体" w:hAnsi="宋体" w:cs="宋体"/>
          <w:highlight w:val="none"/>
        </w:rPr>
      </w:pPr>
    </w:p>
    <w:p w14:paraId="1BE114AC">
      <w:pPr>
        <w:pStyle w:val="2"/>
        <w:rPr>
          <w:highlight w:val="none"/>
        </w:rPr>
      </w:pPr>
    </w:p>
    <w:bookmarkEnd w:id="142"/>
    <w:bookmarkEnd w:id="143"/>
    <w:bookmarkEnd w:id="144"/>
    <w:bookmarkEnd w:id="145"/>
    <w:bookmarkEnd w:id="146"/>
    <w:bookmarkEnd w:id="147"/>
    <w:bookmarkEnd w:id="148"/>
    <w:bookmarkEnd w:id="149"/>
    <w:p w14:paraId="47C376B1">
      <w:pPr>
        <w:pStyle w:val="3"/>
        <w:rPr>
          <w:highlight w:val="none"/>
        </w:rPr>
      </w:pPr>
      <w:bookmarkStart w:id="237" w:name="_Toc29718_WPSOffice_Level1"/>
      <w:bookmarkStart w:id="238" w:name="_Toc32052_WPSOffice_Level1"/>
      <w:bookmarkStart w:id="239" w:name="_Toc12696"/>
      <w:bookmarkStart w:id="240" w:name="_Toc28658"/>
      <w:bookmarkStart w:id="241" w:name="_Toc13992"/>
      <w:bookmarkStart w:id="242" w:name="_Toc138647064"/>
      <w:bookmarkStart w:id="243" w:name="_Toc11984"/>
      <w:bookmarkStart w:id="244" w:name="_Toc199154637"/>
      <w:bookmarkStart w:id="245" w:name="_Toc28600"/>
      <w:bookmarkStart w:id="246" w:name="_Toc23214"/>
      <w:r>
        <w:rPr>
          <w:rFonts w:hint="eastAsia"/>
          <w:highlight w:val="none"/>
        </w:rPr>
        <w:t>七、招标人接受和拒绝投标的权利</w:t>
      </w:r>
      <w:bookmarkEnd w:id="237"/>
      <w:bookmarkEnd w:id="238"/>
      <w:bookmarkEnd w:id="239"/>
      <w:bookmarkEnd w:id="240"/>
      <w:bookmarkEnd w:id="241"/>
      <w:bookmarkEnd w:id="242"/>
      <w:bookmarkEnd w:id="243"/>
      <w:bookmarkEnd w:id="244"/>
      <w:bookmarkEnd w:id="245"/>
      <w:bookmarkEnd w:id="246"/>
    </w:p>
    <w:p w14:paraId="30A772A9">
      <w:pPr>
        <w:pStyle w:val="8"/>
        <w:ind w:firstLine="560"/>
        <w:rPr>
          <w:rFonts w:ascii="宋体" w:hAnsi="宋体"/>
          <w:sz w:val="28"/>
          <w:highlight w:val="none"/>
        </w:rPr>
      </w:pPr>
      <w:r>
        <w:rPr>
          <w:rFonts w:hint="eastAsia" w:ascii="宋体" w:hAnsi="宋体"/>
          <w:sz w:val="28"/>
          <w:highlight w:val="none"/>
        </w:rPr>
        <w:t>（一）当出现损害国家利益情况时，招标人有选择或拒绝任何投标人的权利，对于受影响的投标人招标人不承担任何责任，也无义务向受影响的投标人解释理由。</w:t>
      </w:r>
    </w:p>
    <w:p w14:paraId="4D6B8EFD">
      <w:pPr>
        <w:pStyle w:val="8"/>
        <w:ind w:firstLine="560"/>
        <w:rPr>
          <w:rFonts w:ascii="宋体" w:hAnsi="宋体"/>
          <w:sz w:val="28"/>
          <w:highlight w:val="none"/>
        </w:rPr>
      </w:pPr>
      <w:r>
        <w:rPr>
          <w:rFonts w:hint="eastAsia" w:ascii="宋体" w:hAnsi="宋体"/>
          <w:sz w:val="28"/>
          <w:highlight w:val="none"/>
        </w:rPr>
        <w:t>（二）投标人有下列情形之一的，处以采购金额千分之五以上千分之十以下的罚款，并列入不良行为记录名单，在一至三年内禁止参加医院采购活动，有违法所得的，并处没收违法所得，情节严重的，由工商行政管理机关吊销营业执照；构成犯罪的，依法追究刑事责任：</w:t>
      </w:r>
    </w:p>
    <w:p w14:paraId="5A2C9083">
      <w:pPr>
        <w:pStyle w:val="8"/>
        <w:ind w:firstLine="560"/>
        <w:rPr>
          <w:rFonts w:ascii="宋体" w:hAnsi="宋体"/>
          <w:sz w:val="28"/>
          <w:highlight w:val="none"/>
        </w:rPr>
      </w:pPr>
      <w:r>
        <w:rPr>
          <w:rFonts w:hint="eastAsia" w:ascii="宋体" w:hAnsi="宋体"/>
          <w:sz w:val="28"/>
          <w:highlight w:val="none"/>
        </w:rPr>
        <w:t>1、提供虚假材料谋取中标、成交的；</w:t>
      </w:r>
    </w:p>
    <w:p w14:paraId="5410CC28">
      <w:pPr>
        <w:pStyle w:val="8"/>
        <w:ind w:firstLine="560"/>
        <w:rPr>
          <w:rFonts w:ascii="宋体" w:hAnsi="宋体"/>
          <w:sz w:val="28"/>
          <w:highlight w:val="none"/>
        </w:rPr>
      </w:pPr>
      <w:r>
        <w:rPr>
          <w:rFonts w:hint="eastAsia" w:ascii="宋体" w:hAnsi="宋体"/>
          <w:sz w:val="28"/>
          <w:highlight w:val="none"/>
        </w:rPr>
        <w:t>2、采取不正当手段诋毁、排挤其他保险公司的；</w:t>
      </w:r>
    </w:p>
    <w:p w14:paraId="11900CD7">
      <w:pPr>
        <w:pStyle w:val="8"/>
        <w:ind w:firstLine="560"/>
        <w:rPr>
          <w:rFonts w:ascii="宋体" w:hAnsi="宋体"/>
          <w:sz w:val="28"/>
          <w:highlight w:val="none"/>
        </w:rPr>
      </w:pPr>
      <w:r>
        <w:rPr>
          <w:rFonts w:hint="eastAsia" w:ascii="宋体" w:hAnsi="宋体"/>
          <w:sz w:val="28"/>
          <w:highlight w:val="none"/>
        </w:rPr>
        <w:t>3、与采购人、其他保险公司或者采购代理机构恶意串通的；投标人以他人的名义投标或出现下列串通投标、弄虚作假投标嫌疑的；</w:t>
      </w:r>
    </w:p>
    <w:p w14:paraId="0FEF069C">
      <w:pPr>
        <w:pStyle w:val="8"/>
        <w:ind w:firstLine="560"/>
        <w:rPr>
          <w:rFonts w:ascii="宋体" w:hAnsi="宋体"/>
          <w:sz w:val="28"/>
          <w:highlight w:val="none"/>
        </w:rPr>
      </w:pPr>
      <w:r>
        <w:rPr>
          <w:rFonts w:hint="eastAsia" w:ascii="宋体" w:hAnsi="宋体"/>
          <w:sz w:val="28"/>
          <w:highlight w:val="none"/>
        </w:rPr>
        <w:t>4、向采购人、采购代理机构行贿或者提供其他不正当利益的；</w:t>
      </w:r>
    </w:p>
    <w:p w14:paraId="7EE65845">
      <w:pPr>
        <w:pStyle w:val="8"/>
        <w:ind w:firstLine="560"/>
        <w:rPr>
          <w:rFonts w:ascii="宋体" w:hAnsi="宋体"/>
          <w:sz w:val="28"/>
          <w:highlight w:val="none"/>
        </w:rPr>
      </w:pPr>
      <w:r>
        <w:rPr>
          <w:rFonts w:hint="eastAsia" w:ascii="宋体" w:hAnsi="宋体"/>
          <w:sz w:val="28"/>
          <w:highlight w:val="none"/>
        </w:rPr>
        <w:t>5、在招标采购过程中与采购人进行协商谈判的；</w:t>
      </w:r>
    </w:p>
    <w:p w14:paraId="577A6150">
      <w:pPr>
        <w:pStyle w:val="8"/>
        <w:ind w:firstLine="560"/>
        <w:rPr>
          <w:rFonts w:ascii="宋体" w:hAnsi="宋体"/>
          <w:sz w:val="28"/>
          <w:highlight w:val="none"/>
        </w:rPr>
      </w:pPr>
      <w:r>
        <w:rPr>
          <w:rFonts w:hint="eastAsia" w:ascii="宋体" w:hAnsi="宋体"/>
          <w:sz w:val="28"/>
          <w:highlight w:val="none"/>
        </w:rPr>
        <w:t>6、拒绝有关部门监督检查或者提供虚假情况的；</w:t>
      </w:r>
    </w:p>
    <w:p w14:paraId="67A41DA1">
      <w:pPr>
        <w:pStyle w:val="8"/>
        <w:ind w:firstLine="560"/>
        <w:rPr>
          <w:rFonts w:ascii="宋体" w:hAnsi="宋体"/>
          <w:sz w:val="28"/>
          <w:highlight w:val="none"/>
        </w:rPr>
      </w:pPr>
      <w:r>
        <w:rPr>
          <w:rFonts w:hint="eastAsia" w:ascii="宋体" w:hAnsi="宋体"/>
          <w:sz w:val="28"/>
          <w:highlight w:val="none"/>
        </w:rPr>
        <w:t>7、中标、成交保险公司放弃中标、成交项目的；</w:t>
      </w:r>
    </w:p>
    <w:p w14:paraId="2CCAD355">
      <w:pPr>
        <w:pStyle w:val="8"/>
        <w:ind w:firstLine="560"/>
        <w:rPr>
          <w:rFonts w:ascii="宋体" w:hAnsi="宋体"/>
          <w:sz w:val="28"/>
          <w:highlight w:val="none"/>
        </w:rPr>
      </w:pPr>
      <w:r>
        <w:rPr>
          <w:rFonts w:hint="eastAsia" w:ascii="宋体" w:hAnsi="宋体"/>
          <w:sz w:val="28"/>
          <w:highlight w:val="none"/>
        </w:rPr>
        <w:t>8、其它严重违反</w:t>
      </w:r>
      <w:r>
        <w:rPr>
          <w:rFonts w:hint="eastAsia" w:ascii="宋体" w:hAnsi="宋体"/>
          <w:sz w:val="28"/>
          <w:highlight w:val="none"/>
          <w:lang w:val="en-US" w:eastAsia="zh-CN"/>
        </w:rPr>
        <w:t>政府采购相关条例</w:t>
      </w:r>
      <w:r>
        <w:rPr>
          <w:rFonts w:hint="eastAsia" w:ascii="宋体" w:hAnsi="宋体"/>
          <w:sz w:val="28"/>
          <w:highlight w:val="none"/>
        </w:rPr>
        <w:t>的。</w:t>
      </w:r>
    </w:p>
    <w:p w14:paraId="1F9108E3">
      <w:pPr>
        <w:pStyle w:val="8"/>
        <w:ind w:firstLine="560"/>
        <w:rPr>
          <w:rFonts w:ascii="宋体" w:hAnsi="宋体"/>
          <w:sz w:val="28"/>
          <w:highlight w:val="none"/>
        </w:rPr>
      </w:pPr>
      <w:r>
        <w:rPr>
          <w:rFonts w:hint="eastAsia" w:ascii="宋体" w:hAnsi="宋体"/>
          <w:sz w:val="28"/>
          <w:highlight w:val="none"/>
        </w:rPr>
        <w:t>（三） 投标人有前款第1至8项情形之一的，中标、成交无效。</w:t>
      </w:r>
      <w:bookmarkStart w:id="247" w:name="_Toc199154638"/>
      <w:bookmarkStart w:id="248" w:name="_Toc138647065"/>
    </w:p>
    <w:p w14:paraId="6A0F55B2">
      <w:pPr>
        <w:pStyle w:val="3"/>
        <w:rPr>
          <w:highlight w:val="none"/>
        </w:rPr>
      </w:pPr>
      <w:bookmarkStart w:id="249" w:name="_Toc15931"/>
      <w:bookmarkStart w:id="250" w:name="_Toc27789"/>
      <w:bookmarkStart w:id="251" w:name="_Toc9579"/>
      <w:bookmarkStart w:id="252" w:name="_Toc19406_WPSOffice_Level1"/>
      <w:bookmarkStart w:id="253" w:name="_Toc15505"/>
      <w:bookmarkStart w:id="254" w:name="_Toc25052"/>
      <w:bookmarkStart w:id="255" w:name="_Toc7030_WPSOffice_Level1"/>
      <w:bookmarkStart w:id="256" w:name="_Toc21901"/>
      <w:r>
        <w:rPr>
          <w:rFonts w:hint="eastAsia"/>
          <w:highlight w:val="none"/>
        </w:rPr>
        <w:t>八、腐败和欺诈</w:t>
      </w:r>
      <w:bookmarkEnd w:id="247"/>
      <w:bookmarkEnd w:id="248"/>
      <w:bookmarkEnd w:id="249"/>
      <w:bookmarkEnd w:id="250"/>
      <w:bookmarkEnd w:id="251"/>
      <w:bookmarkEnd w:id="252"/>
      <w:bookmarkEnd w:id="253"/>
      <w:bookmarkEnd w:id="254"/>
      <w:bookmarkEnd w:id="255"/>
      <w:bookmarkEnd w:id="256"/>
    </w:p>
    <w:p w14:paraId="40FB2836">
      <w:pPr>
        <w:pStyle w:val="8"/>
        <w:ind w:firstLine="560"/>
        <w:rPr>
          <w:rFonts w:ascii="宋体" w:hAnsi="宋体"/>
          <w:sz w:val="28"/>
          <w:highlight w:val="none"/>
        </w:rPr>
      </w:pPr>
      <w:r>
        <w:rPr>
          <w:rFonts w:hint="eastAsia" w:ascii="宋体" w:hAnsi="宋体"/>
          <w:sz w:val="28"/>
          <w:highlight w:val="none"/>
        </w:rPr>
        <w:t>“腐败行为”是指提供、给予、接受或索取任何有价值的东西来影响采购人员在采购过程或合同实施过程中行为；“欺诈行为”是指为了影响采购过程或合同实施过程而谎报事实，损害采购人的利益，包括投标人之间串通投标（递交投标书之前或之后），人为地使投标丧失竞争性，损害采购人从自由公开竞争中所能获得的利益。如果采购人认为所建议的中标人在本采购项目的竞争中有腐败或欺诈行为，则将拒绝该授标建议。</w:t>
      </w:r>
    </w:p>
    <w:p w14:paraId="5A891894">
      <w:pPr>
        <w:pStyle w:val="3"/>
        <w:rPr>
          <w:highlight w:val="none"/>
        </w:rPr>
      </w:pPr>
      <w:bookmarkStart w:id="257" w:name="_Toc24883"/>
      <w:bookmarkStart w:id="258" w:name="_Toc3585"/>
      <w:bookmarkStart w:id="259" w:name="_Toc7715_WPSOffice_Level1"/>
      <w:bookmarkStart w:id="260" w:name="_Toc18090"/>
      <w:bookmarkStart w:id="261" w:name="_Toc9754"/>
      <w:bookmarkStart w:id="262" w:name="_Toc25973"/>
      <w:bookmarkStart w:id="263" w:name="_Toc18426"/>
      <w:bookmarkStart w:id="264" w:name="_Toc11676_WPSOffice_Level1"/>
      <w:r>
        <w:rPr>
          <w:rFonts w:hint="eastAsia"/>
          <w:highlight w:val="none"/>
        </w:rPr>
        <w:t>九、未尽事项</w:t>
      </w:r>
      <w:bookmarkEnd w:id="257"/>
      <w:bookmarkEnd w:id="258"/>
      <w:bookmarkEnd w:id="259"/>
      <w:bookmarkEnd w:id="260"/>
      <w:bookmarkEnd w:id="261"/>
      <w:bookmarkEnd w:id="262"/>
      <w:bookmarkEnd w:id="263"/>
      <w:bookmarkEnd w:id="264"/>
    </w:p>
    <w:p w14:paraId="1A2E9690">
      <w:pPr>
        <w:pStyle w:val="8"/>
        <w:ind w:firstLine="560"/>
        <w:rPr>
          <w:rFonts w:ascii="宋体" w:hAnsi="宋体"/>
          <w:sz w:val="28"/>
          <w:highlight w:val="none"/>
        </w:rPr>
      </w:pPr>
      <w:r>
        <w:rPr>
          <w:rFonts w:hint="eastAsia" w:ascii="宋体" w:hAnsi="宋体"/>
          <w:sz w:val="28"/>
          <w:highlight w:val="none"/>
        </w:rPr>
        <w:t>其它未尽事项按《中华人民共和国政府采购法》、《中华人民共和国招标投标法》和《深圳经济特区政府采购条例》规定执行。</w:t>
      </w:r>
    </w:p>
    <w:p w14:paraId="2F5507C2">
      <w:pPr>
        <w:pStyle w:val="8"/>
        <w:ind w:firstLine="562"/>
        <w:rPr>
          <w:rFonts w:ascii="宋体" w:hAnsi="宋体"/>
          <w:b/>
          <w:sz w:val="28"/>
          <w:highlight w:val="none"/>
        </w:rPr>
      </w:pPr>
      <w:bookmarkStart w:id="265" w:name="_Toc9191_WPSOffice_Level2"/>
      <w:r>
        <w:rPr>
          <w:rFonts w:hint="eastAsia" w:ascii="宋体" w:hAnsi="宋体"/>
          <w:b/>
          <w:sz w:val="28"/>
          <w:highlight w:val="none"/>
        </w:rPr>
        <w:t>本招标文件由</w:t>
      </w:r>
      <w:r>
        <w:rPr>
          <w:rFonts w:hint="eastAsia" w:ascii="宋体" w:hAnsi="宋体"/>
          <w:b/>
          <w:sz w:val="28"/>
          <w:highlight w:val="none"/>
          <w:lang w:eastAsia="zh-CN"/>
        </w:rPr>
        <w:t>深圳市福田区第二人民医院</w:t>
      </w:r>
      <w:r>
        <w:rPr>
          <w:rFonts w:hint="eastAsia" w:ascii="宋体" w:hAnsi="宋体"/>
          <w:b/>
          <w:sz w:val="28"/>
          <w:highlight w:val="none"/>
        </w:rPr>
        <w:t>负责解释。</w:t>
      </w:r>
      <w:bookmarkEnd w:id="265"/>
    </w:p>
    <w:p w14:paraId="3D5C5019">
      <w:pPr>
        <w:pStyle w:val="3"/>
        <w:rPr>
          <w:highlight w:val="none"/>
        </w:rPr>
      </w:pPr>
      <w:bookmarkStart w:id="266" w:name="_Toc8407"/>
      <w:bookmarkStart w:id="267" w:name="_Toc5061"/>
      <w:bookmarkStart w:id="268" w:name="_Toc14016_WPSOffice_Level1"/>
      <w:bookmarkStart w:id="269" w:name="_Toc10246_WPSOffice_Level1"/>
      <w:bookmarkStart w:id="270" w:name="_Toc18505"/>
      <w:bookmarkStart w:id="271" w:name="_Toc21766"/>
      <w:bookmarkStart w:id="272" w:name="_Toc7944"/>
      <w:bookmarkStart w:id="273" w:name="_Toc22866"/>
      <w:r>
        <w:rPr>
          <w:rFonts w:hint="eastAsia"/>
          <w:highlight w:val="none"/>
        </w:rPr>
        <w:t>十、投标文件格式、附件</w:t>
      </w:r>
      <w:bookmarkEnd w:id="266"/>
      <w:bookmarkEnd w:id="267"/>
      <w:bookmarkEnd w:id="268"/>
      <w:bookmarkEnd w:id="269"/>
      <w:bookmarkEnd w:id="270"/>
      <w:bookmarkEnd w:id="271"/>
      <w:bookmarkEnd w:id="272"/>
      <w:bookmarkEnd w:id="273"/>
    </w:p>
    <w:p w14:paraId="1694813B">
      <w:pPr>
        <w:spacing w:line="360" w:lineRule="auto"/>
        <w:ind w:firstLine="560" w:firstLineChars="200"/>
        <w:rPr>
          <w:rFonts w:ascii="宋体" w:hAnsi="宋体"/>
          <w:sz w:val="28"/>
          <w:szCs w:val="21"/>
          <w:highlight w:val="none"/>
        </w:rPr>
      </w:pPr>
      <w:r>
        <w:rPr>
          <w:rFonts w:hint="eastAsia" w:ascii="宋体" w:hAnsi="宋体"/>
          <w:sz w:val="28"/>
          <w:szCs w:val="21"/>
          <w:highlight w:val="none"/>
        </w:rPr>
        <w:t>特别提醒：投标人在编辑投标文件时，在投标文件目录中属于本节点内容的必须在本节点中填写，填写到其他节点或附件的将可能导致投标被否决，一切后果由投标人自行承担。</w:t>
      </w:r>
    </w:p>
    <w:p w14:paraId="6BBB1D61">
      <w:pPr>
        <w:spacing w:line="360" w:lineRule="auto"/>
        <w:rPr>
          <w:rFonts w:ascii="宋体" w:hAnsi="宋体"/>
          <w:sz w:val="28"/>
          <w:szCs w:val="21"/>
          <w:highlight w:val="none"/>
        </w:rPr>
      </w:pPr>
    </w:p>
    <w:p w14:paraId="05C0483A">
      <w:pPr>
        <w:spacing w:line="360" w:lineRule="auto"/>
        <w:rPr>
          <w:rFonts w:ascii="宋体" w:hAnsi="宋体"/>
          <w:sz w:val="28"/>
          <w:szCs w:val="21"/>
          <w:highlight w:val="none"/>
        </w:rPr>
      </w:pPr>
      <w:r>
        <w:rPr>
          <w:rFonts w:hint="eastAsia" w:ascii="宋体" w:hAnsi="宋体"/>
          <w:sz w:val="28"/>
          <w:szCs w:val="21"/>
          <w:highlight w:val="none"/>
        </w:rPr>
        <w:t>投标文件组成：</w:t>
      </w:r>
    </w:p>
    <w:p w14:paraId="60A31FAC">
      <w:pPr>
        <w:spacing w:line="360" w:lineRule="auto"/>
        <w:ind w:firstLine="719" w:firstLineChars="257"/>
        <w:jc w:val="left"/>
        <w:outlineLvl w:val="0"/>
        <w:rPr>
          <w:rFonts w:ascii="宋体" w:hAnsi="宋体"/>
          <w:sz w:val="28"/>
          <w:szCs w:val="21"/>
          <w:highlight w:val="none"/>
        </w:rPr>
      </w:pPr>
      <w:bookmarkStart w:id="274" w:name="_Toc5673"/>
      <w:bookmarkStart w:id="275" w:name="_Toc2988"/>
      <w:bookmarkStart w:id="276" w:name="_Toc20010"/>
      <w:bookmarkStart w:id="277" w:name="_Toc7420_WPSOffice_Level2"/>
      <w:r>
        <w:rPr>
          <w:rFonts w:hint="eastAsia" w:ascii="宋体" w:hAnsi="宋体"/>
          <w:sz w:val="28"/>
          <w:szCs w:val="21"/>
          <w:highlight w:val="none"/>
        </w:rPr>
        <w:t>附件1.投标人资格证明文件</w:t>
      </w:r>
      <w:bookmarkEnd w:id="274"/>
      <w:bookmarkEnd w:id="275"/>
      <w:bookmarkEnd w:id="276"/>
    </w:p>
    <w:p w14:paraId="745A24B3">
      <w:pPr>
        <w:spacing w:line="360" w:lineRule="auto"/>
        <w:ind w:firstLine="719" w:firstLineChars="257"/>
        <w:jc w:val="left"/>
        <w:outlineLvl w:val="0"/>
        <w:rPr>
          <w:rFonts w:ascii="宋体" w:hAnsi="宋体"/>
          <w:sz w:val="28"/>
          <w:szCs w:val="21"/>
          <w:highlight w:val="none"/>
        </w:rPr>
      </w:pPr>
      <w:bookmarkStart w:id="278" w:name="_Toc23983"/>
      <w:bookmarkStart w:id="279" w:name="_Toc19339"/>
      <w:bookmarkStart w:id="280" w:name="_Toc18971"/>
      <w:r>
        <w:rPr>
          <w:rFonts w:hint="eastAsia" w:ascii="宋体" w:hAnsi="宋体"/>
          <w:sz w:val="28"/>
          <w:szCs w:val="21"/>
          <w:highlight w:val="none"/>
        </w:rPr>
        <w:t>附件2.投标函</w:t>
      </w:r>
      <w:bookmarkEnd w:id="278"/>
      <w:bookmarkEnd w:id="279"/>
      <w:bookmarkEnd w:id="280"/>
    </w:p>
    <w:p w14:paraId="5D913759">
      <w:pPr>
        <w:spacing w:line="360" w:lineRule="auto"/>
        <w:ind w:firstLine="719" w:firstLineChars="257"/>
        <w:jc w:val="left"/>
        <w:outlineLvl w:val="0"/>
        <w:rPr>
          <w:rFonts w:ascii="宋体" w:hAnsi="宋体"/>
          <w:sz w:val="28"/>
          <w:szCs w:val="21"/>
          <w:highlight w:val="none"/>
        </w:rPr>
      </w:pPr>
      <w:bookmarkStart w:id="281" w:name="_Toc2985"/>
      <w:bookmarkStart w:id="282" w:name="_Toc1781"/>
      <w:bookmarkStart w:id="283" w:name="_Toc29976"/>
      <w:r>
        <w:rPr>
          <w:rFonts w:hint="eastAsia" w:ascii="宋体" w:hAnsi="宋体"/>
          <w:sz w:val="28"/>
          <w:szCs w:val="21"/>
          <w:highlight w:val="none"/>
        </w:rPr>
        <w:t>附件3.投标人承诺函</w:t>
      </w:r>
      <w:bookmarkEnd w:id="281"/>
      <w:bookmarkEnd w:id="282"/>
      <w:bookmarkEnd w:id="283"/>
    </w:p>
    <w:p w14:paraId="1CBD23C7">
      <w:pPr>
        <w:spacing w:line="360" w:lineRule="auto"/>
        <w:ind w:firstLine="719" w:firstLineChars="257"/>
        <w:jc w:val="left"/>
        <w:outlineLvl w:val="0"/>
        <w:rPr>
          <w:rFonts w:ascii="宋体" w:hAnsi="宋体"/>
          <w:sz w:val="28"/>
          <w:szCs w:val="21"/>
          <w:highlight w:val="none"/>
        </w:rPr>
      </w:pPr>
      <w:bookmarkStart w:id="284" w:name="_Toc2697"/>
      <w:bookmarkStart w:id="285" w:name="_Toc8530"/>
      <w:bookmarkStart w:id="286" w:name="_Toc2008"/>
      <w:r>
        <w:rPr>
          <w:rFonts w:hint="eastAsia" w:ascii="宋体" w:hAnsi="宋体"/>
          <w:sz w:val="28"/>
          <w:szCs w:val="21"/>
          <w:highlight w:val="none"/>
        </w:rPr>
        <w:t>附件4.投标人业务授权书</w:t>
      </w:r>
      <w:bookmarkEnd w:id="284"/>
      <w:bookmarkEnd w:id="285"/>
      <w:bookmarkEnd w:id="286"/>
    </w:p>
    <w:p w14:paraId="028BD8FF">
      <w:pPr>
        <w:spacing w:line="360" w:lineRule="auto"/>
        <w:ind w:firstLine="719" w:firstLineChars="257"/>
        <w:jc w:val="left"/>
        <w:outlineLvl w:val="0"/>
        <w:rPr>
          <w:rFonts w:ascii="宋体" w:hAnsi="宋体"/>
          <w:sz w:val="28"/>
          <w:szCs w:val="21"/>
          <w:highlight w:val="none"/>
        </w:rPr>
      </w:pPr>
      <w:bookmarkStart w:id="287" w:name="_Toc21741"/>
      <w:bookmarkStart w:id="288" w:name="_Toc17019"/>
      <w:bookmarkStart w:id="289" w:name="_Toc20478"/>
      <w:r>
        <w:rPr>
          <w:rFonts w:hint="eastAsia" w:ascii="宋体" w:hAnsi="宋体"/>
          <w:sz w:val="28"/>
          <w:szCs w:val="21"/>
          <w:highlight w:val="none"/>
        </w:rPr>
        <w:t>附件5.保密承诺函</w:t>
      </w:r>
      <w:bookmarkEnd w:id="287"/>
      <w:bookmarkEnd w:id="288"/>
      <w:bookmarkEnd w:id="289"/>
    </w:p>
    <w:p w14:paraId="434E9E3E">
      <w:pPr>
        <w:spacing w:line="360" w:lineRule="auto"/>
        <w:ind w:firstLine="719" w:firstLineChars="257"/>
        <w:jc w:val="left"/>
        <w:outlineLvl w:val="0"/>
        <w:rPr>
          <w:rFonts w:ascii="宋体" w:hAnsi="宋体"/>
          <w:sz w:val="28"/>
          <w:szCs w:val="21"/>
          <w:highlight w:val="none"/>
        </w:rPr>
      </w:pPr>
      <w:bookmarkStart w:id="290" w:name="_Toc3796"/>
      <w:bookmarkStart w:id="291" w:name="_Toc21159"/>
      <w:bookmarkStart w:id="292" w:name="_Toc14672"/>
      <w:r>
        <w:rPr>
          <w:rFonts w:hint="eastAsia" w:ascii="宋体" w:hAnsi="宋体"/>
          <w:sz w:val="28"/>
          <w:szCs w:val="21"/>
          <w:highlight w:val="none"/>
        </w:rPr>
        <w:t>附件</w:t>
      </w:r>
      <w:r>
        <w:rPr>
          <w:rFonts w:hint="eastAsia" w:ascii="宋体" w:hAnsi="宋体"/>
          <w:sz w:val="28"/>
          <w:szCs w:val="21"/>
          <w:highlight w:val="none"/>
          <w:lang w:val="en-US" w:eastAsia="zh-CN"/>
        </w:rPr>
        <w:t>6</w:t>
      </w:r>
      <w:r>
        <w:rPr>
          <w:rFonts w:hint="eastAsia" w:ascii="宋体" w:hAnsi="宋体"/>
          <w:sz w:val="28"/>
          <w:szCs w:val="21"/>
          <w:highlight w:val="none"/>
        </w:rPr>
        <w:t>.保险协议偏离表</w:t>
      </w:r>
      <w:bookmarkEnd w:id="290"/>
      <w:bookmarkEnd w:id="291"/>
      <w:bookmarkEnd w:id="292"/>
    </w:p>
    <w:p w14:paraId="3438188C">
      <w:pPr>
        <w:spacing w:line="360" w:lineRule="auto"/>
        <w:ind w:firstLine="719" w:firstLineChars="257"/>
        <w:jc w:val="left"/>
        <w:outlineLvl w:val="0"/>
        <w:rPr>
          <w:rFonts w:ascii="宋体" w:hAnsi="宋体"/>
          <w:sz w:val="28"/>
          <w:szCs w:val="21"/>
          <w:highlight w:val="none"/>
        </w:rPr>
      </w:pPr>
      <w:bookmarkStart w:id="293" w:name="_Toc1636"/>
      <w:bookmarkStart w:id="294" w:name="_Toc27898"/>
      <w:bookmarkStart w:id="295" w:name="_Toc14245"/>
      <w:r>
        <w:rPr>
          <w:rFonts w:hint="eastAsia" w:ascii="宋体" w:hAnsi="宋体"/>
          <w:sz w:val="28"/>
          <w:szCs w:val="21"/>
          <w:highlight w:val="none"/>
        </w:rPr>
        <w:t>附件</w:t>
      </w:r>
      <w:r>
        <w:rPr>
          <w:rFonts w:hint="eastAsia" w:ascii="宋体" w:hAnsi="宋体"/>
          <w:sz w:val="28"/>
          <w:szCs w:val="21"/>
          <w:highlight w:val="none"/>
          <w:lang w:val="en-US" w:eastAsia="zh-CN"/>
        </w:rPr>
        <w:t>7</w:t>
      </w:r>
      <w:r>
        <w:rPr>
          <w:rFonts w:hint="eastAsia" w:ascii="宋体" w:hAnsi="宋体"/>
          <w:sz w:val="28"/>
          <w:szCs w:val="21"/>
          <w:highlight w:val="none"/>
        </w:rPr>
        <w:t>.投标报价表</w:t>
      </w:r>
      <w:bookmarkEnd w:id="293"/>
      <w:bookmarkEnd w:id="294"/>
      <w:bookmarkEnd w:id="295"/>
    </w:p>
    <w:p w14:paraId="12E73242">
      <w:pPr>
        <w:spacing w:line="360" w:lineRule="auto"/>
        <w:ind w:firstLine="719" w:firstLineChars="257"/>
        <w:outlineLvl w:val="0"/>
        <w:rPr>
          <w:rFonts w:ascii="宋体" w:hAnsi="宋体"/>
          <w:sz w:val="28"/>
          <w:szCs w:val="21"/>
          <w:highlight w:val="none"/>
        </w:rPr>
      </w:pPr>
      <w:bookmarkStart w:id="296" w:name="_Toc21574"/>
      <w:bookmarkStart w:id="297" w:name="_Toc9453"/>
      <w:bookmarkStart w:id="298" w:name="_Toc19825"/>
      <w:r>
        <w:rPr>
          <w:rFonts w:hint="eastAsia" w:ascii="宋体" w:hAnsi="宋体"/>
          <w:sz w:val="28"/>
          <w:szCs w:val="21"/>
          <w:highlight w:val="none"/>
        </w:rPr>
        <w:t>附件</w:t>
      </w:r>
      <w:r>
        <w:rPr>
          <w:rFonts w:hint="eastAsia" w:ascii="宋体" w:hAnsi="宋体"/>
          <w:sz w:val="28"/>
          <w:szCs w:val="21"/>
          <w:highlight w:val="none"/>
          <w:lang w:val="en-US" w:eastAsia="zh-CN"/>
        </w:rPr>
        <w:t>8</w:t>
      </w:r>
      <w:r>
        <w:rPr>
          <w:rFonts w:hint="eastAsia" w:ascii="宋体" w:hAnsi="宋体"/>
          <w:sz w:val="28"/>
          <w:szCs w:val="21"/>
          <w:highlight w:val="none"/>
        </w:rPr>
        <w:t>.佣金比例确认函</w:t>
      </w:r>
      <w:bookmarkEnd w:id="296"/>
      <w:bookmarkEnd w:id="297"/>
      <w:bookmarkEnd w:id="298"/>
    </w:p>
    <w:p w14:paraId="3979D8F1">
      <w:pPr>
        <w:spacing w:line="360" w:lineRule="auto"/>
        <w:ind w:left="821" w:leftChars="300" w:hanging="101" w:hangingChars="36"/>
        <w:rPr>
          <w:rFonts w:ascii="宋体" w:hAnsi="宋体"/>
          <w:b/>
          <w:sz w:val="28"/>
          <w:szCs w:val="21"/>
          <w:highlight w:val="none"/>
        </w:rPr>
      </w:pPr>
      <w:r>
        <w:rPr>
          <w:rFonts w:hint="eastAsia" w:ascii="宋体" w:hAnsi="宋体"/>
          <w:b/>
          <w:sz w:val="28"/>
          <w:szCs w:val="21"/>
          <w:highlight w:val="none"/>
        </w:rPr>
        <w:t>供应商认为需要加以说明的其他内容</w:t>
      </w:r>
      <w:bookmarkEnd w:id="277"/>
    </w:p>
    <w:p w14:paraId="10254A84">
      <w:pPr>
        <w:spacing w:line="360" w:lineRule="auto"/>
        <w:rPr>
          <w:rFonts w:ascii="宋体" w:hAnsi="宋体"/>
          <w:b/>
          <w:sz w:val="28"/>
          <w:szCs w:val="21"/>
          <w:highlight w:val="none"/>
        </w:rPr>
      </w:pPr>
      <w:bookmarkStart w:id="299" w:name="_Toc12256_WPSOffice_Level2"/>
      <w:r>
        <w:rPr>
          <w:rFonts w:hint="eastAsia" w:ascii="宋体" w:hAnsi="宋体"/>
          <w:b/>
          <w:sz w:val="28"/>
          <w:szCs w:val="21"/>
          <w:highlight w:val="none"/>
        </w:rPr>
        <w:br w:type="page"/>
      </w:r>
    </w:p>
    <w:p w14:paraId="20A94C86">
      <w:pPr>
        <w:pStyle w:val="3"/>
        <w:jc w:val="left"/>
        <w:rPr>
          <w:highlight w:val="none"/>
        </w:rPr>
      </w:pPr>
      <w:bookmarkStart w:id="300" w:name="_Toc2895"/>
      <w:bookmarkStart w:id="301" w:name="_Toc13947"/>
      <w:bookmarkStart w:id="302" w:name="_Toc13868"/>
      <w:bookmarkStart w:id="303" w:name="_Toc25601"/>
      <w:bookmarkStart w:id="304" w:name="_Toc31540"/>
      <w:bookmarkStart w:id="305" w:name="_Toc32361"/>
      <w:bookmarkStart w:id="306" w:name="_Toc11301"/>
      <w:bookmarkStart w:id="307" w:name="_Toc2784"/>
      <w:bookmarkStart w:id="308" w:name="_Toc30124"/>
      <w:r>
        <w:rPr>
          <w:rFonts w:hint="eastAsia"/>
          <w:highlight w:val="none"/>
        </w:rPr>
        <w:t>附件：投标文件封面（注明 正本或副本）</w:t>
      </w:r>
      <w:bookmarkEnd w:id="299"/>
      <w:bookmarkEnd w:id="300"/>
      <w:bookmarkEnd w:id="301"/>
      <w:bookmarkEnd w:id="302"/>
      <w:bookmarkEnd w:id="303"/>
      <w:bookmarkEnd w:id="304"/>
      <w:bookmarkEnd w:id="305"/>
      <w:bookmarkEnd w:id="306"/>
      <w:bookmarkEnd w:id="307"/>
      <w:bookmarkEnd w:id="308"/>
    </w:p>
    <w:p w14:paraId="1E8DB5FB">
      <w:pPr>
        <w:spacing w:line="360" w:lineRule="auto"/>
        <w:ind w:left="821" w:leftChars="342" w:firstLine="1897" w:firstLineChars="675"/>
        <w:rPr>
          <w:rFonts w:ascii="宋体" w:hAnsi="宋体"/>
          <w:b/>
          <w:sz w:val="28"/>
          <w:szCs w:val="21"/>
          <w:highlight w:val="none"/>
        </w:rPr>
      </w:pPr>
    </w:p>
    <w:p w14:paraId="4BCD8B1E">
      <w:pPr>
        <w:spacing w:line="360" w:lineRule="auto"/>
        <w:ind w:left="821" w:leftChars="342" w:firstLine="1897" w:firstLineChars="675"/>
        <w:rPr>
          <w:rFonts w:ascii="宋体" w:hAnsi="宋体"/>
          <w:b/>
          <w:sz w:val="28"/>
          <w:szCs w:val="21"/>
          <w:highlight w:val="none"/>
        </w:rPr>
      </w:pPr>
    </w:p>
    <w:p w14:paraId="64D216F0">
      <w:pPr>
        <w:spacing w:line="360" w:lineRule="auto"/>
        <w:ind w:left="821" w:leftChars="342" w:firstLine="1897" w:firstLineChars="675"/>
        <w:rPr>
          <w:rFonts w:ascii="宋体" w:hAnsi="宋体"/>
          <w:b/>
          <w:sz w:val="28"/>
          <w:szCs w:val="21"/>
          <w:highlight w:val="none"/>
        </w:rPr>
      </w:pPr>
    </w:p>
    <w:p w14:paraId="1630B2C0">
      <w:pPr>
        <w:spacing w:line="360" w:lineRule="auto"/>
        <w:ind w:left="821" w:leftChars="342" w:firstLine="1897" w:firstLineChars="675"/>
        <w:rPr>
          <w:rFonts w:ascii="宋体" w:hAnsi="宋体"/>
          <w:b/>
          <w:sz w:val="28"/>
          <w:szCs w:val="21"/>
          <w:highlight w:val="none"/>
        </w:rPr>
      </w:pPr>
    </w:p>
    <w:p w14:paraId="7E99011F">
      <w:pPr>
        <w:spacing w:line="360" w:lineRule="auto"/>
        <w:ind w:left="821" w:leftChars="342" w:firstLine="1897" w:firstLineChars="675"/>
        <w:rPr>
          <w:rFonts w:ascii="宋体" w:hAnsi="宋体"/>
          <w:b/>
          <w:sz w:val="28"/>
          <w:szCs w:val="21"/>
          <w:highlight w:val="none"/>
        </w:rPr>
      </w:pPr>
    </w:p>
    <w:p w14:paraId="211F0529">
      <w:pPr>
        <w:spacing w:line="360" w:lineRule="auto"/>
        <w:ind w:left="821" w:leftChars="342" w:firstLine="1897" w:firstLineChars="675"/>
        <w:rPr>
          <w:rFonts w:ascii="宋体" w:hAnsi="宋体"/>
          <w:b/>
          <w:sz w:val="28"/>
          <w:szCs w:val="21"/>
          <w:highlight w:val="none"/>
        </w:rPr>
      </w:pPr>
    </w:p>
    <w:p w14:paraId="76C8FFC2">
      <w:pPr>
        <w:spacing w:line="360" w:lineRule="auto"/>
        <w:ind w:left="821" w:leftChars="342" w:firstLine="1897" w:firstLineChars="675"/>
        <w:rPr>
          <w:rFonts w:ascii="宋体" w:hAnsi="宋体"/>
          <w:b/>
          <w:sz w:val="28"/>
          <w:szCs w:val="21"/>
          <w:highlight w:val="none"/>
        </w:rPr>
      </w:pPr>
    </w:p>
    <w:p w14:paraId="02A8509B">
      <w:pPr>
        <w:spacing w:line="360" w:lineRule="auto"/>
        <w:ind w:left="821" w:leftChars="342" w:firstLine="1897" w:firstLineChars="675"/>
        <w:rPr>
          <w:rFonts w:ascii="宋体" w:hAnsi="宋体"/>
          <w:b/>
          <w:sz w:val="28"/>
          <w:szCs w:val="21"/>
          <w:highlight w:val="none"/>
        </w:rPr>
      </w:pPr>
    </w:p>
    <w:p w14:paraId="64C38DAB">
      <w:pPr>
        <w:pStyle w:val="20"/>
        <w:spacing w:line="360" w:lineRule="auto"/>
        <w:rPr>
          <w:rFonts w:ascii="Times New Roman" w:hAnsi="Times New Roman"/>
          <w:sz w:val="28"/>
          <w:szCs w:val="24"/>
          <w:highlight w:val="none"/>
        </w:rPr>
      </w:pPr>
    </w:p>
    <w:p w14:paraId="330ACA0E">
      <w:pPr>
        <w:spacing w:line="360" w:lineRule="auto"/>
        <w:jc w:val="center"/>
        <w:rPr>
          <w:kern w:val="0"/>
          <w:sz w:val="52"/>
          <w:szCs w:val="52"/>
          <w:highlight w:val="none"/>
          <w:u w:val="single"/>
        </w:rPr>
      </w:pPr>
      <w:r>
        <w:rPr>
          <w:rFonts w:hint="eastAsia"/>
          <w:kern w:val="0"/>
          <w:sz w:val="52"/>
          <w:szCs w:val="52"/>
          <w:highlight w:val="none"/>
          <w:u w:val="single"/>
        </w:rPr>
        <w:t xml:space="preserve">                 </w:t>
      </w:r>
      <w:bookmarkStart w:id="309" w:name="_Toc15739_WPSOffice_Level1"/>
      <w:bookmarkStart w:id="310" w:name="_Toc3042_WPSOffice_Level1"/>
      <w:r>
        <w:rPr>
          <w:rFonts w:hint="eastAsia"/>
          <w:kern w:val="0"/>
          <w:sz w:val="52"/>
          <w:szCs w:val="52"/>
          <w:highlight w:val="none"/>
          <w:u w:val="single"/>
        </w:rPr>
        <w:t>项 目</w:t>
      </w:r>
      <w:bookmarkEnd w:id="309"/>
      <w:bookmarkEnd w:id="310"/>
    </w:p>
    <w:p w14:paraId="6AD3D9EB">
      <w:pPr>
        <w:spacing w:line="360" w:lineRule="auto"/>
        <w:jc w:val="center"/>
        <w:rPr>
          <w:sz w:val="44"/>
          <w:szCs w:val="44"/>
          <w:highlight w:val="none"/>
        </w:rPr>
      </w:pPr>
      <w:bookmarkStart w:id="311" w:name="_Toc25028_WPSOffice_Level1"/>
      <w:bookmarkStart w:id="312" w:name="_Toc3017_WPSOffice_Level1"/>
      <w:r>
        <w:rPr>
          <w:sz w:val="44"/>
          <w:szCs w:val="44"/>
          <w:highlight w:val="none"/>
        </w:rPr>
        <w:t>（投标文件）</w:t>
      </w:r>
      <w:bookmarkEnd w:id="311"/>
      <w:bookmarkEnd w:id="312"/>
    </w:p>
    <w:p w14:paraId="694E1555">
      <w:pPr>
        <w:spacing w:line="360" w:lineRule="auto"/>
        <w:jc w:val="center"/>
        <w:rPr>
          <w:sz w:val="44"/>
          <w:szCs w:val="44"/>
          <w:highlight w:val="none"/>
        </w:rPr>
      </w:pPr>
    </w:p>
    <w:p w14:paraId="5F4AB29B">
      <w:pPr>
        <w:spacing w:line="360" w:lineRule="auto"/>
        <w:jc w:val="center"/>
        <w:rPr>
          <w:sz w:val="44"/>
          <w:szCs w:val="44"/>
          <w:highlight w:val="none"/>
        </w:rPr>
      </w:pPr>
    </w:p>
    <w:p w14:paraId="16821131">
      <w:pPr>
        <w:spacing w:line="360" w:lineRule="auto"/>
        <w:jc w:val="center"/>
        <w:rPr>
          <w:sz w:val="44"/>
          <w:szCs w:val="44"/>
          <w:highlight w:val="none"/>
        </w:rPr>
      </w:pPr>
    </w:p>
    <w:p w14:paraId="71246C16">
      <w:pPr>
        <w:spacing w:line="360" w:lineRule="auto"/>
        <w:jc w:val="center"/>
        <w:rPr>
          <w:sz w:val="44"/>
          <w:szCs w:val="44"/>
          <w:highlight w:val="none"/>
        </w:rPr>
      </w:pPr>
    </w:p>
    <w:p w14:paraId="4158625F">
      <w:pPr>
        <w:spacing w:line="360" w:lineRule="auto"/>
        <w:rPr>
          <w:sz w:val="44"/>
          <w:szCs w:val="44"/>
          <w:highlight w:val="none"/>
        </w:rPr>
      </w:pPr>
    </w:p>
    <w:p w14:paraId="0CE303C3">
      <w:pPr>
        <w:spacing w:line="360" w:lineRule="auto"/>
        <w:ind w:firstLine="1400" w:firstLineChars="500"/>
        <w:rPr>
          <w:sz w:val="28"/>
          <w:szCs w:val="28"/>
          <w:highlight w:val="none"/>
        </w:rPr>
      </w:pPr>
    </w:p>
    <w:p w14:paraId="7C860E10">
      <w:pPr>
        <w:spacing w:line="360" w:lineRule="auto"/>
        <w:ind w:firstLine="1400" w:firstLineChars="500"/>
        <w:rPr>
          <w:sz w:val="28"/>
          <w:szCs w:val="28"/>
          <w:highlight w:val="none"/>
          <w:u w:val="single"/>
        </w:rPr>
      </w:pPr>
      <w:r>
        <w:rPr>
          <w:rFonts w:hint="eastAsia"/>
          <w:sz w:val="28"/>
          <w:szCs w:val="28"/>
          <w:highlight w:val="none"/>
          <w:lang w:val="en-US" w:eastAsia="zh-CN"/>
        </w:rPr>
        <w:t>投标人</w:t>
      </w:r>
      <w:r>
        <w:rPr>
          <w:sz w:val="28"/>
          <w:szCs w:val="28"/>
          <w:highlight w:val="none"/>
        </w:rPr>
        <w:t>（盖章）：______________________________</w:t>
      </w:r>
    </w:p>
    <w:p w14:paraId="70914B5F">
      <w:pPr>
        <w:spacing w:line="360" w:lineRule="auto"/>
        <w:ind w:firstLine="1400" w:firstLineChars="500"/>
        <w:rPr>
          <w:sz w:val="28"/>
          <w:szCs w:val="28"/>
          <w:highlight w:val="none"/>
        </w:rPr>
      </w:pPr>
      <w:r>
        <w:rPr>
          <w:sz w:val="28"/>
          <w:szCs w:val="28"/>
          <w:highlight w:val="none"/>
        </w:rPr>
        <w:t>授权委托人签字：______________________________</w:t>
      </w:r>
    </w:p>
    <w:p w14:paraId="74B262C8">
      <w:pPr>
        <w:spacing w:line="360" w:lineRule="auto"/>
        <w:ind w:firstLine="1400" w:firstLineChars="500"/>
        <w:rPr>
          <w:sz w:val="28"/>
          <w:szCs w:val="28"/>
          <w:highlight w:val="none"/>
        </w:rPr>
      </w:pPr>
      <w:r>
        <w:rPr>
          <w:sz w:val="28"/>
          <w:szCs w:val="28"/>
          <w:highlight w:val="none"/>
        </w:rPr>
        <w:t>投标日期：</w:t>
      </w:r>
      <w:r>
        <w:rPr>
          <w:rFonts w:hint="eastAsia"/>
          <w:sz w:val="28"/>
          <w:szCs w:val="28"/>
          <w:highlight w:val="none"/>
        </w:rPr>
        <w:t xml:space="preserve"> </w:t>
      </w:r>
      <w:r>
        <w:rPr>
          <w:sz w:val="28"/>
          <w:szCs w:val="28"/>
          <w:highlight w:val="none"/>
        </w:rPr>
        <w:t>____________年_____月______日</w:t>
      </w:r>
    </w:p>
    <w:p w14:paraId="0F4A4A38">
      <w:pPr>
        <w:spacing w:line="360" w:lineRule="auto"/>
        <w:ind w:firstLine="1400" w:firstLineChars="500"/>
        <w:rPr>
          <w:rFonts w:ascii="宋体" w:hAnsi="宋体"/>
          <w:sz w:val="28"/>
          <w:szCs w:val="21"/>
          <w:highlight w:val="none"/>
        </w:rPr>
      </w:pPr>
      <w:r>
        <w:rPr>
          <w:sz w:val="28"/>
          <w:szCs w:val="28"/>
          <w:highlight w:val="none"/>
        </w:rPr>
        <w:br w:type="page"/>
      </w:r>
    </w:p>
    <w:p w14:paraId="77BAFAB0">
      <w:pPr>
        <w:pStyle w:val="3"/>
        <w:bidi w:val="0"/>
        <w:jc w:val="left"/>
        <w:rPr>
          <w:b/>
          <w:bCs/>
          <w:highlight w:val="none"/>
        </w:rPr>
      </w:pPr>
      <w:bookmarkStart w:id="313" w:name="_Toc19119"/>
      <w:bookmarkStart w:id="314" w:name="_Toc4124"/>
      <w:bookmarkStart w:id="315" w:name="_Toc21997"/>
      <w:bookmarkStart w:id="316" w:name="_Toc26766_WPSOffice_Level1"/>
      <w:bookmarkStart w:id="317" w:name="_Toc2307_WPSOffice_Level1"/>
      <w:bookmarkStart w:id="318" w:name="_Toc2091"/>
      <w:bookmarkStart w:id="319" w:name="_Toc16106"/>
      <w:r>
        <w:rPr>
          <w:rFonts w:hint="eastAsia"/>
          <w:b/>
          <w:bCs/>
          <w:highlight w:val="none"/>
        </w:rPr>
        <w:t>附件1.投标人资格证明文件</w:t>
      </w:r>
      <w:bookmarkEnd w:id="313"/>
      <w:bookmarkEnd w:id="314"/>
      <w:bookmarkEnd w:id="315"/>
      <w:bookmarkEnd w:id="316"/>
      <w:bookmarkEnd w:id="317"/>
      <w:bookmarkEnd w:id="318"/>
      <w:bookmarkEnd w:id="319"/>
    </w:p>
    <w:p w14:paraId="11BC6BC3">
      <w:pPr>
        <w:spacing w:line="360" w:lineRule="auto"/>
        <w:jc w:val="center"/>
        <w:rPr>
          <w:rFonts w:ascii="宋体" w:hAnsi="宋体" w:cs="宋体"/>
          <w:b/>
          <w:bCs/>
          <w:sz w:val="28"/>
          <w:szCs w:val="28"/>
          <w:highlight w:val="none"/>
        </w:rPr>
      </w:pPr>
    </w:p>
    <w:p w14:paraId="67A4F84F">
      <w:pPr>
        <w:spacing w:line="360" w:lineRule="auto"/>
        <w:rPr>
          <w:rFonts w:ascii="宋体" w:hAnsi="宋体" w:cs="宋体"/>
          <w:sz w:val="28"/>
          <w:szCs w:val="28"/>
          <w:highlight w:val="none"/>
        </w:rPr>
      </w:pPr>
      <w:r>
        <w:rPr>
          <w:rFonts w:hint="eastAsia" w:ascii="宋体" w:hAnsi="宋体" w:cs="宋体"/>
          <w:sz w:val="28"/>
          <w:szCs w:val="28"/>
          <w:highlight w:val="none"/>
        </w:rPr>
        <w:t>投标人名称：</w:t>
      </w:r>
    </w:p>
    <w:p w14:paraId="5D66C7E3">
      <w:pPr>
        <w:spacing w:line="360" w:lineRule="auto"/>
        <w:rPr>
          <w:rFonts w:ascii="宋体" w:hAnsi="宋体" w:cs="宋体"/>
          <w:sz w:val="28"/>
          <w:szCs w:val="28"/>
          <w:highlight w:val="none"/>
        </w:rPr>
      </w:pPr>
      <w:r>
        <w:rPr>
          <w:rFonts w:hint="eastAsia" w:ascii="宋体" w:hAnsi="宋体" w:cs="宋体"/>
          <w:sz w:val="28"/>
          <w:szCs w:val="28"/>
          <w:highlight w:val="none"/>
        </w:rPr>
        <w:t>项目名称：</w:t>
      </w:r>
    </w:p>
    <w:p w14:paraId="3F4837E4">
      <w:pPr>
        <w:spacing w:line="360" w:lineRule="auto"/>
        <w:rPr>
          <w:rFonts w:ascii="宋体" w:hAnsi="宋体" w:cs="宋体"/>
          <w:b/>
          <w:bCs/>
          <w:sz w:val="28"/>
          <w:szCs w:val="28"/>
          <w:highlight w:val="none"/>
        </w:rPr>
      </w:pPr>
    </w:p>
    <w:p w14:paraId="1B25C801">
      <w:pPr>
        <w:adjustRightInd w:val="0"/>
        <w:snapToGrid w:val="0"/>
        <w:spacing w:line="360" w:lineRule="auto"/>
        <w:ind w:firstLine="560" w:firstLineChars="200"/>
        <w:rPr>
          <w:rFonts w:ascii="宋体 (正文)" w:hAnsi="宋体 (正文)" w:eastAsia="宋体 (正文)" w:cs="宋体 (正文)"/>
          <w:sz w:val="28"/>
          <w:szCs w:val="28"/>
          <w:highlight w:val="none"/>
        </w:rPr>
      </w:pPr>
      <w:r>
        <w:rPr>
          <w:rFonts w:hint="eastAsia" w:ascii="宋体" w:hAnsi="宋体" w:cs="宋体"/>
          <w:sz w:val="28"/>
          <w:szCs w:val="28"/>
          <w:highlight w:val="none"/>
        </w:rPr>
        <w:t>1）</w:t>
      </w:r>
      <w:r>
        <w:rPr>
          <w:rFonts w:hint="eastAsia" w:ascii="宋体 (正文)" w:hAnsi="宋体 (正文)" w:eastAsia="宋体 (正文)" w:cs="宋体 (正文)"/>
          <w:sz w:val="28"/>
          <w:szCs w:val="28"/>
          <w:highlight w:val="none"/>
        </w:rPr>
        <w:t>投标人营业执照复印件（</w:t>
      </w:r>
      <w:r>
        <w:rPr>
          <w:rFonts w:hint="eastAsia" w:hAnsi="宋体"/>
          <w:kern w:val="0"/>
          <w:sz w:val="28"/>
          <w:highlight w:val="none"/>
        </w:rPr>
        <w:t>盖章</w:t>
      </w:r>
      <w:r>
        <w:rPr>
          <w:rFonts w:hint="eastAsia" w:ascii="宋体 (正文)" w:hAnsi="宋体 (正文)" w:eastAsia="宋体 (正文)" w:cs="宋体 (正文)"/>
          <w:sz w:val="28"/>
          <w:szCs w:val="28"/>
          <w:highlight w:val="none"/>
        </w:rPr>
        <w:t>）。</w:t>
      </w:r>
    </w:p>
    <w:p w14:paraId="3E6B29D1">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w:t>
      </w:r>
      <w:r>
        <w:rPr>
          <w:rFonts w:hint="eastAsia" w:ascii="宋体 (正文)" w:hAnsi="宋体 (正文)" w:eastAsia="宋体 (正文)" w:cs="宋体 (正文)"/>
          <w:sz w:val="28"/>
          <w:szCs w:val="28"/>
          <w:highlight w:val="none"/>
        </w:rPr>
        <w:t>经营保险业务许可证复印件（</w:t>
      </w:r>
      <w:r>
        <w:rPr>
          <w:rFonts w:hint="eastAsia" w:hAnsi="宋体"/>
          <w:kern w:val="0"/>
          <w:sz w:val="28"/>
          <w:highlight w:val="none"/>
        </w:rPr>
        <w:t>盖章</w:t>
      </w:r>
      <w:r>
        <w:rPr>
          <w:rFonts w:hint="eastAsia" w:ascii="宋体 (正文)" w:hAnsi="宋体 (正文)" w:eastAsia="宋体 (正文)" w:cs="宋体 (正文)"/>
          <w:sz w:val="28"/>
          <w:szCs w:val="28"/>
          <w:highlight w:val="none"/>
        </w:rPr>
        <w:t>）。</w:t>
      </w:r>
    </w:p>
    <w:p w14:paraId="26DEFC1D">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3）提供招标公告中关于投标人资格要求的相关资格证明文件扫描件并</w:t>
      </w:r>
      <w:r>
        <w:rPr>
          <w:rFonts w:hint="eastAsia" w:ascii="宋体" w:hAnsi="宋体" w:cs="宋体"/>
          <w:sz w:val="28"/>
          <w:szCs w:val="28"/>
          <w:highlight w:val="none"/>
          <w:lang w:eastAsia="zh-CN"/>
        </w:rPr>
        <w:t>盖章</w:t>
      </w:r>
      <w:r>
        <w:rPr>
          <w:rFonts w:hint="eastAsia" w:ascii="宋体" w:hAnsi="宋体" w:cs="宋体"/>
          <w:sz w:val="28"/>
          <w:szCs w:val="28"/>
          <w:highlight w:val="none"/>
        </w:rPr>
        <w:t>。</w:t>
      </w:r>
    </w:p>
    <w:p w14:paraId="1A4A28F7">
      <w:pPr>
        <w:pStyle w:val="4"/>
        <w:spacing w:after="120" w:line="360" w:lineRule="auto"/>
        <w:rPr>
          <w:rStyle w:val="63"/>
          <w:b/>
          <w:highlight w:val="none"/>
        </w:rPr>
      </w:pPr>
      <w:r>
        <w:rPr>
          <w:rFonts w:hint="eastAsia" w:cs="宋体"/>
          <w:szCs w:val="28"/>
          <w:highlight w:val="none"/>
        </w:rPr>
        <w:br w:type="page"/>
      </w:r>
      <w:bookmarkStart w:id="320" w:name="_Toc15483"/>
      <w:bookmarkStart w:id="321" w:name="_Toc17777_WPSOffice_Level1"/>
      <w:bookmarkStart w:id="322" w:name="_Toc27695_WPSOffice_Level1"/>
      <w:bookmarkStart w:id="323" w:name="_Toc9134"/>
      <w:bookmarkStart w:id="324" w:name="_Toc6828"/>
      <w:bookmarkStart w:id="325" w:name="_Toc30808"/>
      <w:bookmarkStart w:id="326" w:name="_Toc13173"/>
      <w:bookmarkStart w:id="327" w:name="_Toc16113"/>
      <w:r>
        <w:rPr>
          <w:rStyle w:val="63"/>
          <w:rFonts w:hint="eastAsia"/>
          <w:b/>
          <w:highlight w:val="none"/>
        </w:rPr>
        <w:t>附件2.投标函</w:t>
      </w:r>
      <w:bookmarkEnd w:id="320"/>
      <w:bookmarkEnd w:id="321"/>
      <w:bookmarkEnd w:id="322"/>
      <w:bookmarkEnd w:id="323"/>
      <w:bookmarkEnd w:id="324"/>
      <w:bookmarkEnd w:id="325"/>
    </w:p>
    <w:bookmarkEnd w:id="326"/>
    <w:bookmarkEnd w:id="327"/>
    <w:p w14:paraId="42E557B3">
      <w:pPr>
        <w:spacing w:line="360" w:lineRule="auto"/>
        <w:rPr>
          <w:rFonts w:ascii="宋体" w:hAnsi="宋体" w:cs="宋体"/>
          <w:sz w:val="28"/>
          <w:szCs w:val="28"/>
          <w:highlight w:val="none"/>
        </w:rPr>
      </w:pPr>
    </w:p>
    <w:p w14:paraId="6A6493A8">
      <w:pPr>
        <w:spacing w:line="360" w:lineRule="auto"/>
        <w:rPr>
          <w:rFonts w:hint="eastAsia" w:ascii="宋体" w:hAnsi="宋体" w:eastAsia="宋体" w:cs="宋体"/>
          <w:sz w:val="28"/>
          <w:szCs w:val="28"/>
          <w:highlight w:val="none"/>
          <w:lang w:eastAsia="zh-CN"/>
        </w:rPr>
      </w:pPr>
      <w:r>
        <w:rPr>
          <w:rFonts w:hint="eastAsia" w:ascii="宋体" w:hAnsi="宋体" w:cs="宋体"/>
          <w:sz w:val="28"/>
          <w:szCs w:val="28"/>
          <w:highlight w:val="none"/>
        </w:rPr>
        <w:t>致：</w:t>
      </w:r>
      <w:r>
        <w:rPr>
          <w:rFonts w:hint="eastAsia" w:ascii="宋体" w:hAnsi="宋体" w:cs="宋体"/>
          <w:sz w:val="28"/>
          <w:szCs w:val="28"/>
          <w:highlight w:val="none"/>
          <w:u w:val="single"/>
          <w:lang w:eastAsia="zh-CN"/>
        </w:rPr>
        <w:t>深圳市福田区第二人民医院</w:t>
      </w:r>
    </w:p>
    <w:p w14:paraId="529A6C7F">
      <w:pPr>
        <w:tabs>
          <w:tab w:val="left" w:pos="0"/>
        </w:tabs>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根据名称为</w:t>
      </w: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项目招标文件的要求，我方在此声明并同意如下：</w:t>
      </w:r>
    </w:p>
    <w:p w14:paraId="7A8AE60B">
      <w:pPr>
        <w:numPr>
          <w:ilvl w:val="1"/>
          <w:numId w:val="2"/>
        </w:numPr>
        <w:tabs>
          <w:tab w:val="left" w:pos="644"/>
        </w:tabs>
        <w:spacing w:line="360" w:lineRule="auto"/>
        <w:ind w:left="0" w:firstLine="560" w:firstLineChars="200"/>
        <w:rPr>
          <w:rFonts w:ascii="宋体" w:hAnsi="宋体" w:cs="宋体"/>
          <w:sz w:val="28"/>
          <w:szCs w:val="28"/>
          <w:highlight w:val="none"/>
        </w:rPr>
      </w:pPr>
      <w:r>
        <w:rPr>
          <w:rFonts w:hint="eastAsia" w:ascii="宋体" w:hAnsi="宋体" w:cs="宋体"/>
          <w:sz w:val="28"/>
          <w:szCs w:val="28"/>
          <w:highlight w:val="none"/>
        </w:rPr>
        <w:t>我方同意并接受招标文件的各项要求，同意并遵守招标文件中的各项规定，按招标文件的要求提供投标文件。</w:t>
      </w:r>
    </w:p>
    <w:p w14:paraId="5DCD5848">
      <w:pPr>
        <w:numPr>
          <w:ilvl w:val="1"/>
          <w:numId w:val="2"/>
        </w:numPr>
        <w:tabs>
          <w:tab w:val="left" w:pos="644"/>
        </w:tabs>
        <w:spacing w:line="360" w:lineRule="auto"/>
        <w:ind w:left="0" w:firstLine="560" w:firstLineChars="200"/>
        <w:rPr>
          <w:rFonts w:ascii="宋体" w:hAnsi="宋体" w:cs="宋体"/>
          <w:sz w:val="28"/>
          <w:szCs w:val="28"/>
          <w:highlight w:val="none"/>
        </w:rPr>
      </w:pPr>
      <w:r>
        <w:rPr>
          <w:rFonts w:hint="eastAsia" w:ascii="宋体" w:hAnsi="宋体" w:cs="宋体"/>
          <w:sz w:val="28"/>
          <w:szCs w:val="28"/>
          <w:highlight w:val="none"/>
        </w:rPr>
        <w:t xml:space="preserve">投标文件有效期自投标截止时间起 </w:t>
      </w:r>
      <w:r>
        <w:rPr>
          <w:rFonts w:hint="eastAsia" w:ascii="宋体" w:hAnsi="宋体" w:cs="宋体"/>
          <w:sz w:val="28"/>
          <w:szCs w:val="28"/>
          <w:highlight w:val="none"/>
          <w:u w:val="single"/>
        </w:rPr>
        <w:t>90</w:t>
      </w:r>
      <w:r>
        <w:rPr>
          <w:rFonts w:hint="eastAsia" w:ascii="宋体" w:hAnsi="宋体" w:cs="宋体"/>
          <w:sz w:val="28"/>
          <w:szCs w:val="28"/>
          <w:highlight w:val="none"/>
        </w:rPr>
        <w:t>日。</w:t>
      </w:r>
    </w:p>
    <w:p w14:paraId="384A6357">
      <w:pPr>
        <w:numPr>
          <w:ilvl w:val="1"/>
          <w:numId w:val="2"/>
        </w:numPr>
        <w:tabs>
          <w:tab w:val="left" w:pos="644"/>
        </w:tabs>
        <w:spacing w:line="360" w:lineRule="auto"/>
        <w:ind w:left="0" w:firstLine="560" w:firstLineChars="200"/>
        <w:rPr>
          <w:rFonts w:ascii="宋体" w:hAnsi="宋体" w:cs="宋体"/>
          <w:sz w:val="28"/>
          <w:szCs w:val="28"/>
          <w:highlight w:val="none"/>
        </w:rPr>
      </w:pPr>
      <w:r>
        <w:rPr>
          <w:rFonts w:hint="eastAsia" w:ascii="宋体" w:hAnsi="宋体" w:cs="宋体"/>
          <w:sz w:val="28"/>
          <w:szCs w:val="28"/>
          <w:highlight w:val="none"/>
        </w:rPr>
        <w:t>我方已经详细地阅读了全部招标文件及修改性文件（如有）。我方已完全理解招标要求，并同意放弃对这方面有不明及误解的权利。</w:t>
      </w:r>
    </w:p>
    <w:p w14:paraId="5E312AEF">
      <w:pPr>
        <w:numPr>
          <w:ilvl w:val="1"/>
          <w:numId w:val="2"/>
        </w:numPr>
        <w:tabs>
          <w:tab w:val="left" w:pos="644"/>
        </w:tabs>
        <w:spacing w:line="360" w:lineRule="auto"/>
        <w:ind w:left="0" w:firstLine="560" w:firstLineChars="200"/>
        <w:rPr>
          <w:rFonts w:ascii="宋体" w:hAnsi="宋体" w:cs="宋体"/>
          <w:sz w:val="28"/>
          <w:szCs w:val="28"/>
          <w:highlight w:val="none"/>
        </w:rPr>
      </w:pPr>
      <w:r>
        <w:rPr>
          <w:rFonts w:hint="eastAsia" w:ascii="宋体" w:hAnsi="宋体" w:cs="宋体"/>
          <w:sz w:val="28"/>
          <w:szCs w:val="28"/>
          <w:highlight w:val="none"/>
        </w:rPr>
        <w:t>我方同意向采购人提供有关投标的其他证明资料。</w:t>
      </w:r>
    </w:p>
    <w:p w14:paraId="496952C8">
      <w:pPr>
        <w:numPr>
          <w:ilvl w:val="1"/>
          <w:numId w:val="2"/>
        </w:numPr>
        <w:tabs>
          <w:tab w:val="left" w:pos="644"/>
        </w:tabs>
        <w:spacing w:line="360" w:lineRule="auto"/>
        <w:ind w:left="0" w:firstLine="562" w:firstLineChars="200"/>
        <w:rPr>
          <w:rFonts w:ascii="宋体" w:hAnsi="宋体" w:cs="宋体"/>
          <w:b/>
          <w:bCs/>
          <w:sz w:val="28"/>
          <w:szCs w:val="28"/>
          <w:highlight w:val="none"/>
        </w:rPr>
      </w:pPr>
      <w:r>
        <w:rPr>
          <w:rFonts w:hint="eastAsia" w:ascii="宋体" w:hAnsi="宋体" w:cs="宋体"/>
          <w:b/>
          <w:bCs/>
          <w:sz w:val="28"/>
          <w:szCs w:val="28"/>
          <w:highlight w:val="none"/>
        </w:rPr>
        <w:t>我方已认真核实了投标文件的全部资料，所有资料均为真实资料。我方对投标文件中存在虚假资料的，则视为我方隐瞒真实情况、提供虚假资料，我方愿意接受主管部门作出的行政处罚。</w:t>
      </w:r>
    </w:p>
    <w:p w14:paraId="4EF2D35F">
      <w:pPr>
        <w:tabs>
          <w:tab w:val="left" w:pos="480"/>
        </w:tabs>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6.   我方理解并接受招标人并无义务必须接受最低报价的投标或其他任何投标。</w:t>
      </w:r>
    </w:p>
    <w:p w14:paraId="26BC6DDE">
      <w:pPr>
        <w:spacing w:line="360" w:lineRule="auto"/>
        <w:rPr>
          <w:rFonts w:ascii="宋体" w:hAnsi="宋体" w:cs="宋体"/>
          <w:sz w:val="28"/>
          <w:szCs w:val="28"/>
          <w:highlight w:val="none"/>
        </w:rPr>
      </w:pPr>
      <w:r>
        <w:rPr>
          <w:rFonts w:hint="eastAsia" w:ascii="宋体" w:hAnsi="宋体" w:cs="宋体"/>
          <w:sz w:val="28"/>
          <w:szCs w:val="28"/>
          <w:highlight w:val="none"/>
        </w:rPr>
        <w:t xml:space="preserve">投标人（盖章）：      </w:t>
      </w:r>
    </w:p>
    <w:p w14:paraId="0850C7E5">
      <w:pPr>
        <w:pStyle w:val="2"/>
        <w:rPr>
          <w:highlight w:val="none"/>
        </w:rPr>
      </w:pPr>
    </w:p>
    <w:p w14:paraId="4EB68E18">
      <w:pPr>
        <w:spacing w:line="360" w:lineRule="auto"/>
        <w:rPr>
          <w:rFonts w:ascii="宋体" w:hAnsi="宋体" w:cs="宋体"/>
          <w:sz w:val="28"/>
          <w:szCs w:val="28"/>
          <w:highlight w:val="none"/>
        </w:rPr>
      </w:pPr>
      <w:r>
        <w:rPr>
          <w:rFonts w:hint="eastAsia" w:ascii="宋体" w:hAnsi="宋体" w:cs="宋体"/>
          <w:sz w:val="28"/>
          <w:szCs w:val="28"/>
          <w:highlight w:val="none"/>
        </w:rPr>
        <w:t>授权代表（签字）：</w:t>
      </w:r>
    </w:p>
    <w:p w14:paraId="0A995A96">
      <w:pPr>
        <w:spacing w:line="360" w:lineRule="auto"/>
        <w:jc w:val="right"/>
        <w:rPr>
          <w:rFonts w:ascii="宋体" w:hAnsi="宋体" w:cs="宋体"/>
          <w:sz w:val="28"/>
          <w:szCs w:val="28"/>
          <w:highlight w:val="none"/>
        </w:rPr>
      </w:pPr>
    </w:p>
    <w:p w14:paraId="014E6301">
      <w:pPr>
        <w:wordWrap w:val="0"/>
        <w:spacing w:line="360" w:lineRule="auto"/>
        <w:jc w:val="right"/>
        <w:rPr>
          <w:rFonts w:ascii="宋体" w:hAnsi="宋体" w:cs="宋体"/>
          <w:sz w:val="28"/>
          <w:szCs w:val="28"/>
          <w:highlight w:val="none"/>
        </w:rPr>
      </w:pPr>
      <w:r>
        <w:rPr>
          <w:rFonts w:hint="eastAsia" w:ascii="宋体" w:hAnsi="宋体" w:cs="宋体"/>
          <w:sz w:val="28"/>
          <w:szCs w:val="28"/>
          <w:highlight w:val="none"/>
        </w:rPr>
        <w:t xml:space="preserve">日期：  </w:t>
      </w:r>
      <w:r>
        <w:rPr>
          <w:rFonts w:hint="eastAsia" w:ascii="宋体" w:hAnsi="宋体" w:cs="宋体"/>
          <w:sz w:val="28"/>
          <w:szCs w:val="28"/>
          <w:highlight w:val="none"/>
          <w:u w:val="single"/>
        </w:rPr>
        <w:t xml:space="preserve">                    </w:t>
      </w:r>
    </w:p>
    <w:p w14:paraId="1C052666">
      <w:pPr>
        <w:widowControl/>
        <w:spacing w:line="360" w:lineRule="auto"/>
        <w:jc w:val="left"/>
        <w:rPr>
          <w:rFonts w:ascii="宋体" w:hAnsi="宋体" w:cs="宋体"/>
          <w:kern w:val="0"/>
          <w:sz w:val="28"/>
          <w:szCs w:val="28"/>
          <w:highlight w:val="none"/>
        </w:rPr>
      </w:pPr>
    </w:p>
    <w:p w14:paraId="0629CF9C">
      <w:pPr>
        <w:pStyle w:val="4"/>
        <w:spacing w:after="120"/>
        <w:rPr>
          <w:rStyle w:val="63"/>
          <w:b/>
          <w:highlight w:val="none"/>
        </w:rPr>
      </w:pPr>
      <w:bookmarkStart w:id="328" w:name="_Toc3594"/>
      <w:bookmarkStart w:id="329" w:name="_Toc28712"/>
      <w:bookmarkStart w:id="330" w:name="_Toc29395_WPSOffice_Level1"/>
      <w:bookmarkStart w:id="331" w:name="_Toc18160"/>
      <w:bookmarkStart w:id="332" w:name="_Toc28693_WPSOffice_Level1"/>
      <w:bookmarkStart w:id="333" w:name="_Toc16330"/>
      <w:r>
        <w:rPr>
          <w:rFonts w:hint="eastAsia"/>
          <w:highlight w:val="none"/>
        </w:rPr>
        <w:br w:type="page"/>
      </w:r>
      <w:bookmarkStart w:id="334" w:name="_Toc434860755"/>
      <w:bookmarkStart w:id="335" w:name="_Toc17088"/>
      <w:bookmarkStart w:id="336" w:name="_Toc5895"/>
      <w:bookmarkStart w:id="337" w:name="_Toc28643"/>
      <w:bookmarkStart w:id="338" w:name="_Toc6513"/>
      <w:bookmarkStart w:id="339" w:name="_Toc2744"/>
      <w:bookmarkStart w:id="340" w:name="_Toc15418"/>
      <w:bookmarkStart w:id="341" w:name="_Toc16646"/>
      <w:r>
        <w:rPr>
          <w:rStyle w:val="63"/>
          <w:rFonts w:hint="eastAsia"/>
          <w:b/>
          <w:highlight w:val="none"/>
        </w:rPr>
        <w:t>附件3.投标人承诺函</w:t>
      </w:r>
      <w:bookmarkEnd w:id="334"/>
      <w:bookmarkEnd w:id="335"/>
      <w:bookmarkEnd w:id="336"/>
      <w:bookmarkEnd w:id="337"/>
      <w:bookmarkEnd w:id="338"/>
      <w:bookmarkEnd w:id="339"/>
    </w:p>
    <w:bookmarkEnd w:id="340"/>
    <w:bookmarkEnd w:id="341"/>
    <w:p w14:paraId="6E198674">
      <w:pPr>
        <w:spacing w:line="360" w:lineRule="auto"/>
        <w:rPr>
          <w:rFonts w:ascii="宋体 (正文)" w:hAnsi="宋体 (正文)" w:eastAsia="宋体 (正文)" w:cs="宋体 (正文)"/>
          <w:kern w:val="0"/>
          <w:sz w:val="28"/>
          <w:highlight w:val="none"/>
        </w:rPr>
      </w:pPr>
    </w:p>
    <w:p w14:paraId="4F87A91F">
      <w:pPr>
        <w:jc w:val="left"/>
        <w:rPr>
          <w:rFonts w:hint="eastAsia" w:ascii="宋体 (正文)" w:hAnsi="宋体 (正文)" w:eastAsia="宋体 (正文)" w:cs="宋体 (正文)"/>
          <w:kern w:val="0"/>
          <w:sz w:val="28"/>
          <w:szCs w:val="28"/>
          <w:highlight w:val="none"/>
          <w:lang w:eastAsia="zh-CN"/>
        </w:rPr>
      </w:pPr>
      <w:r>
        <w:rPr>
          <w:rFonts w:hint="eastAsia" w:ascii="宋体 (正文)" w:hAnsi="宋体 (正文)" w:eastAsia="宋体 (正文)" w:cs="宋体 (正文)"/>
          <w:kern w:val="0"/>
          <w:sz w:val="28"/>
          <w:szCs w:val="28"/>
          <w:highlight w:val="none"/>
        </w:rPr>
        <w:t>致：</w:t>
      </w:r>
      <w:r>
        <w:rPr>
          <w:rFonts w:hint="eastAsia" w:ascii="宋体 (正文)" w:hAnsi="宋体 (正文)" w:eastAsia="宋体 (正文)" w:cs="宋体 (正文)"/>
          <w:kern w:val="0"/>
          <w:sz w:val="28"/>
          <w:szCs w:val="28"/>
          <w:highlight w:val="none"/>
          <w:lang w:eastAsia="zh-CN"/>
        </w:rPr>
        <w:t>深圳市福田区第二人民医院</w:t>
      </w:r>
    </w:p>
    <w:p w14:paraId="3972371C">
      <w:pPr>
        <w:spacing w:line="360" w:lineRule="auto"/>
        <w:rPr>
          <w:rFonts w:ascii="宋体 (正文)" w:hAnsi="宋体 (正文)" w:eastAsia="宋体 (正文)" w:cs="宋体 (正文)"/>
          <w:kern w:val="0"/>
          <w:sz w:val="28"/>
          <w:szCs w:val="28"/>
          <w:highlight w:val="none"/>
        </w:rPr>
      </w:pPr>
    </w:p>
    <w:p w14:paraId="2B33B51F">
      <w:pPr>
        <w:spacing w:line="360" w:lineRule="auto"/>
        <w:ind w:firstLine="560" w:firstLineChars="200"/>
        <w:rPr>
          <w:rFonts w:ascii="宋体 (正文)" w:hAnsi="宋体 (正文)" w:eastAsia="宋体 (正文)" w:cs="宋体 (正文)"/>
          <w:kern w:val="0"/>
          <w:sz w:val="28"/>
          <w:szCs w:val="28"/>
          <w:highlight w:val="none"/>
        </w:rPr>
      </w:pPr>
      <w:r>
        <w:rPr>
          <w:rFonts w:hint="eastAsia" w:ascii="宋体 (正文)" w:hAnsi="宋体 (正文)" w:eastAsia="宋体 (正文)" w:cs="宋体 (正文)"/>
          <w:kern w:val="0"/>
          <w:sz w:val="28"/>
          <w:szCs w:val="28"/>
          <w:highlight w:val="none"/>
        </w:rPr>
        <w:t>我代表（</w:t>
      </w:r>
      <w:r>
        <w:rPr>
          <w:rFonts w:hint="eastAsia" w:ascii="宋体 (正文)" w:hAnsi="宋体 (正文)" w:eastAsia="宋体 (正文)" w:cs="宋体 (正文)"/>
          <w:kern w:val="0"/>
          <w:sz w:val="28"/>
          <w:szCs w:val="28"/>
          <w:highlight w:val="none"/>
          <w:u w:val="single"/>
        </w:rPr>
        <w:t>投标单位名称</w:t>
      </w:r>
      <w:r>
        <w:rPr>
          <w:rFonts w:hint="eastAsia" w:ascii="宋体 (正文)" w:hAnsi="宋体 (正文)" w:eastAsia="宋体 (正文)" w:cs="宋体 (正文)"/>
          <w:kern w:val="0"/>
          <w:sz w:val="28"/>
          <w:szCs w:val="28"/>
          <w:highlight w:val="none"/>
        </w:rPr>
        <w:t xml:space="preserve">），在此作如下承诺： </w:t>
      </w:r>
    </w:p>
    <w:p w14:paraId="0F690C11">
      <w:pPr>
        <w:spacing w:line="360" w:lineRule="auto"/>
        <w:ind w:left="480"/>
        <w:rPr>
          <w:rFonts w:ascii="宋体 (正文)" w:hAnsi="宋体 (正文)" w:eastAsia="宋体 (正文)" w:cs="宋体 (正文)"/>
          <w:kern w:val="0"/>
          <w:sz w:val="28"/>
          <w:szCs w:val="28"/>
          <w:highlight w:val="none"/>
        </w:rPr>
      </w:pPr>
      <w:r>
        <w:rPr>
          <w:rFonts w:hint="eastAsia" w:ascii="宋体 (正文)" w:hAnsi="宋体 (正文)" w:eastAsia="宋体 (正文)" w:cs="宋体 (正文)"/>
          <w:kern w:val="0"/>
          <w:sz w:val="28"/>
          <w:szCs w:val="28"/>
          <w:highlight w:val="none"/>
        </w:rPr>
        <w:t>1.完全理解和接受招标文件的一切规定和要求。</w:t>
      </w:r>
    </w:p>
    <w:p w14:paraId="456C3781">
      <w:pPr>
        <w:spacing w:line="360" w:lineRule="auto"/>
        <w:ind w:firstLine="560" w:firstLineChars="200"/>
        <w:rPr>
          <w:rFonts w:ascii="宋体 (正文)" w:hAnsi="宋体 (正文)" w:eastAsia="宋体 (正文)" w:cs="宋体 (正文)"/>
          <w:kern w:val="0"/>
          <w:sz w:val="28"/>
          <w:szCs w:val="28"/>
          <w:highlight w:val="none"/>
        </w:rPr>
      </w:pPr>
      <w:r>
        <w:rPr>
          <w:rFonts w:hint="eastAsia" w:ascii="宋体 (正文)" w:hAnsi="宋体 (正文)" w:eastAsia="宋体 (正文)" w:cs="宋体 (正文)"/>
          <w:kern w:val="0"/>
          <w:sz w:val="28"/>
          <w:szCs w:val="28"/>
          <w:highlight w:val="none"/>
        </w:rPr>
        <w:t>2.若确定我司为承保人，我司将按照招标文件及我司投标文件的具体规定签订保险合同。</w:t>
      </w:r>
    </w:p>
    <w:p w14:paraId="1B63FAFD">
      <w:pPr>
        <w:spacing w:line="360" w:lineRule="auto"/>
        <w:ind w:firstLine="560" w:firstLineChars="200"/>
        <w:rPr>
          <w:rFonts w:ascii="宋体 (正文)" w:hAnsi="宋体 (正文)" w:eastAsia="宋体 (正文)" w:cs="宋体 (正文)"/>
          <w:kern w:val="0"/>
          <w:sz w:val="28"/>
          <w:szCs w:val="28"/>
          <w:highlight w:val="none"/>
        </w:rPr>
      </w:pPr>
      <w:r>
        <w:rPr>
          <w:rFonts w:hint="eastAsia" w:ascii="宋体 (正文)" w:hAnsi="宋体 (正文)" w:eastAsia="宋体 (正文)" w:cs="宋体 (正文)"/>
          <w:kern w:val="0"/>
          <w:sz w:val="28"/>
          <w:szCs w:val="28"/>
          <w:highlight w:val="none"/>
        </w:rPr>
        <w:t>3.我公司参加贵院院内招标活动前三年内在经营活动中没有重大违法记录。</w:t>
      </w:r>
    </w:p>
    <w:p w14:paraId="32273F03">
      <w:pPr>
        <w:spacing w:line="360" w:lineRule="auto"/>
        <w:ind w:firstLine="560" w:firstLineChars="200"/>
        <w:rPr>
          <w:rFonts w:ascii="宋体 (正文)" w:hAnsi="宋体 (正文)" w:eastAsia="宋体 (正文)" w:cs="宋体 (正文)"/>
          <w:kern w:val="0"/>
          <w:sz w:val="28"/>
          <w:szCs w:val="28"/>
          <w:highlight w:val="none"/>
        </w:rPr>
      </w:pPr>
      <w:r>
        <w:rPr>
          <w:rFonts w:hint="eastAsia" w:ascii="宋体 (正文)" w:hAnsi="宋体 (正文)" w:eastAsia="宋体 (正文)" w:cs="宋体 (正文)"/>
          <w:kern w:val="0"/>
          <w:sz w:val="28"/>
          <w:szCs w:val="28"/>
          <w:highlight w:val="none"/>
        </w:rPr>
        <w:t>4.在整个招标过程中，我司若有违规行为，贵司可按招标文件之规定给予惩罚，我司完全接受。</w:t>
      </w:r>
    </w:p>
    <w:p w14:paraId="11213BA1">
      <w:pPr>
        <w:spacing w:line="360" w:lineRule="auto"/>
        <w:ind w:firstLine="560" w:firstLineChars="200"/>
        <w:rPr>
          <w:rFonts w:ascii="宋体 (正文)" w:hAnsi="宋体 (正文)" w:eastAsia="宋体 (正文)" w:cs="宋体 (正文)"/>
          <w:kern w:val="0"/>
          <w:sz w:val="28"/>
          <w:szCs w:val="28"/>
          <w:highlight w:val="none"/>
        </w:rPr>
      </w:pPr>
      <w:r>
        <w:rPr>
          <w:rFonts w:hint="eastAsia" w:ascii="宋体 (正文)" w:hAnsi="宋体 (正文)" w:eastAsia="宋体 (正文)" w:cs="宋体 (正文)"/>
          <w:kern w:val="0"/>
          <w:sz w:val="28"/>
          <w:szCs w:val="28"/>
          <w:highlight w:val="none"/>
        </w:rPr>
        <w:t>5.在整个招标过程中及结束后，未经招标单位书面同意，我司保证不向任何第三方泄露本次招标的任何信息、资料及内容。</w:t>
      </w:r>
    </w:p>
    <w:p w14:paraId="0A665D7A">
      <w:pPr>
        <w:spacing w:line="360" w:lineRule="auto"/>
        <w:ind w:firstLine="560" w:firstLineChars="200"/>
        <w:rPr>
          <w:rFonts w:ascii="宋体 (正文)" w:hAnsi="宋体 (正文)" w:eastAsia="宋体 (正文)" w:cs="宋体 (正文)"/>
          <w:kern w:val="0"/>
          <w:sz w:val="28"/>
          <w:szCs w:val="28"/>
          <w:highlight w:val="none"/>
        </w:rPr>
      </w:pPr>
      <w:r>
        <w:rPr>
          <w:rFonts w:hint="eastAsia" w:ascii="宋体 (正文)" w:hAnsi="宋体 (正文)" w:eastAsia="宋体 (正文)" w:cs="宋体 (正文)"/>
          <w:kern w:val="0"/>
          <w:sz w:val="28"/>
          <w:szCs w:val="28"/>
          <w:highlight w:val="none"/>
        </w:rPr>
        <w:t>6.投标文件中所有关于投标单位资格的文件、证明、陈述均是真实的、准确的。若有违背，我司承担由此而产生的一切后果。</w:t>
      </w:r>
    </w:p>
    <w:p w14:paraId="3F394419">
      <w:pPr>
        <w:spacing w:line="360" w:lineRule="auto"/>
        <w:ind w:firstLine="560" w:firstLineChars="200"/>
        <w:rPr>
          <w:rFonts w:ascii="宋体 (正文)" w:hAnsi="宋体 (正文)" w:eastAsia="宋体 (正文)" w:cs="宋体 (正文)"/>
          <w:kern w:val="0"/>
          <w:sz w:val="28"/>
          <w:szCs w:val="28"/>
          <w:highlight w:val="none"/>
        </w:rPr>
      </w:pPr>
      <w:r>
        <w:rPr>
          <w:rFonts w:hint="eastAsia" w:ascii="宋体 (正文)" w:hAnsi="宋体 (正文)" w:eastAsia="宋体 (正文)" w:cs="宋体 (正文)"/>
          <w:kern w:val="0"/>
          <w:sz w:val="28"/>
          <w:szCs w:val="28"/>
          <w:highlight w:val="none"/>
        </w:rPr>
        <w:t>7.本承诺函与保险合同具有同等的法律效力。</w:t>
      </w:r>
    </w:p>
    <w:p w14:paraId="4E810B7C">
      <w:pPr>
        <w:spacing w:line="360" w:lineRule="auto"/>
        <w:rPr>
          <w:rFonts w:ascii="宋体 (正文)" w:hAnsi="宋体 (正文)" w:eastAsia="宋体 (正文)" w:cs="宋体 (正文)"/>
          <w:kern w:val="0"/>
          <w:sz w:val="28"/>
          <w:szCs w:val="28"/>
          <w:highlight w:val="none"/>
        </w:rPr>
      </w:pPr>
    </w:p>
    <w:p w14:paraId="1A1220C6">
      <w:pPr>
        <w:spacing w:line="360" w:lineRule="auto"/>
        <w:ind w:firstLine="4480" w:firstLineChars="1600"/>
        <w:rPr>
          <w:rFonts w:ascii="宋体 (正文)" w:hAnsi="宋体 (正文)" w:eastAsia="宋体 (正文)" w:cs="宋体 (正文)"/>
          <w:kern w:val="0"/>
          <w:sz w:val="28"/>
          <w:szCs w:val="28"/>
          <w:highlight w:val="none"/>
          <w:u w:val="single"/>
        </w:rPr>
      </w:pPr>
      <w:r>
        <w:rPr>
          <w:rFonts w:hint="eastAsia" w:ascii="宋体 (正文)" w:hAnsi="宋体 (正文)" w:eastAsia="宋体 (正文)" w:cs="宋体 (正文)"/>
          <w:kern w:val="0"/>
          <w:sz w:val="28"/>
          <w:szCs w:val="28"/>
          <w:highlight w:val="none"/>
        </w:rPr>
        <w:t>授权代表（签字）：</w:t>
      </w:r>
    </w:p>
    <w:p w14:paraId="1879632C">
      <w:pPr>
        <w:spacing w:line="360" w:lineRule="auto"/>
        <w:ind w:firstLine="4480" w:firstLineChars="1600"/>
        <w:rPr>
          <w:rFonts w:ascii="宋体 (正文)" w:hAnsi="宋体 (正文)" w:eastAsia="宋体 (正文)" w:cs="宋体 (正文)"/>
          <w:kern w:val="0"/>
          <w:sz w:val="28"/>
          <w:szCs w:val="28"/>
          <w:highlight w:val="none"/>
          <w:u w:val="single"/>
        </w:rPr>
      </w:pPr>
      <w:r>
        <w:rPr>
          <w:rFonts w:hint="eastAsia" w:ascii="宋体 (正文)" w:hAnsi="宋体 (正文)" w:eastAsia="宋体 (正文)" w:cs="宋体 (正文)"/>
          <w:kern w:val="0"/>
          <w:sz w:val="28"/>
          <w:szCs w:val="28"/>
          <w:highlight w:val="none"/>
        </w:rPr>
        <w:t>投标单位（</w:t>
      </w:r>
      <w:r>
        <w:rPr>
          <w:rFonts w:hint="eastAsia" w:ascii="宋体 (正文)" w:hAnsi="宋体 (正文)" w:eastAsia="宋体 (正文)" w:cs="宋体 (正文)"/>
          <w:kern w:val="0"/>
          <w:sz w:val="28"/>
          <w:szCs w:val="28"/>
          <w:highlight w:val="none"/>
          <w:lang w:eastAsia="zh-CN"/>
        </w:rPr>
        <w:t>盖章</w:t>
      </w:r>
      <w:r>
        <w:rPr>
          <w:rFonts w:hint="eastAsia" w:ascii="宋体 (正文)" w:hAnsi="宋体 (正文)" w:eastAsia="宋体 (正文)" w:cs="宋体 (正文)"/>
          <w:kern w:val="0"/>
          <w:sz w:val="28"/>
          <w:szCs w:val="28"/>
          <w:highlight w:val="none"/>
        </w:rPr>
        <w:t>）：</w:t>
      </w:r>
    </w:p>
    <w:p w14:paraId="274DA004">
      <w:pPr>
        <w:spacing w:line="360" w:lineRule="auto"/>
        <w:ind w:firstLine="4480" w:firstLineChars="1600"/>
        <w:rPr>
          <w:rFonts w:ascii="宋体 (正文)" w:hAnsi="宋体 (正文)" w:eastAsia="宋体 (正文)" w:cs="宋体 (正文)"/>
          <w:kern w:val="0"/>
          <w:sz w:val="28"/>
          <w:szCs w:val="28"/>
          <w:highlight w:val="none"/>
        </w:rPr>
      </w:pPr>
      <w:r>
        <w:rPr>
          <w:rFonts w:hint="eastAsia" w:ascii="宋体 (正文)" w:hAnsi="宋体 (正文)" w:eastAsia="宋体 (正文)" w:cs="宋体 (正文)"/>
          <w:kern w:val="0"/>
          <w:sz w:val="28"/>
          <w:szCs w:val="28"/>
          <w:highlight w:val="none"/>
        </w:rPr>
        <w:t>日期：       年     月    日</w:t>
      </w:r>
    </w:p>
    <w:bookmarkEnd w:id="328"/>
    <w:bookmarkEnd w:id="329"/>
    <w:bookmarkEnd w:id="330"/>
    <w:bookmarkEnd w:id="331"/>
    <w:bookmarkEnd w:id="332"/>
    <w:bookmarkEnd w:id="333"/>
    <w:p w14:paraId="7E7D9107">
      <w:pPr>
        <w:rPr>
          <w:rStyle w:val="63"/>
          <w:b w:val="0"/>
          <w:bCs w:val="0"/>
          <w:highlight w:val="none"/>
        </w:rPr>
      </w:pPr>
      <w:bookmarkStart w:id="342" w:name="_Toc24195_WPSOffice_Level1"/>
      <w:bookmarkStart w:id="343" w:name="_Toc12962"/>
      <w:bookmarkStart w:id="344" w:name="_Toc29621_WPSOffice_Level1"/>
      <w:bookmarkStart w:id="345" w:name="_Toc8442"/>
      <w:bookmarkStart w:id="346" w:name="_Toc26643"/>
      <w:bookmarkStart w:id="347" w:name="_Toc27338"/>
      <w:r>
        <w:rPr>
          <w:rStyle w:val="63"/>
          <w:rFonts w:hint="eastAsia"/>
          <w:b w:val="0"/>
          <w:bCs w:val="0"/>
          <w:highlight w:val="none"/>
        </w:rPr>
        <w:br w:type="page"/>
      </w:r>
    </w:p>
    <w:p w14:paraId="76C39B0F">
      <w:pPr>
        <w:pStyle w:val="3"/>
        <w:bidi w:val="0"/>
        <w:jc w:val="left"/>
        <w:rPr>
          <w:rFonts w:hint="eastAsia" w:ascii="黑体" w:hAnsi="黑体" w:eastAsia="黑体" w:cs="黑体"/>
          <w:b/>
          <w:bCs/>
          <w:highlight w:val="none"/>
        </w:rPr>
      </w:pPr>
      <w:bookmarkStart w:id="348" w:name="_Toc15981"/>
      <w:bookmarkStart w:id="349" w:name="_Toc22269"/>
      <w:r>
        <w:rPr>
          <w:rFonts w:hint="eastAsia" w:ascii="黑体" w:hAnsi="黑体" w:eastAsia="黑体" w:cs="黑体"/>
          <w:b/>
          <w:bCs/>
          <w:highlight w:val="none"/>
        </w:rPr>
        <w:t>附件4.投标人业务授权书</w:t>
      </w:r>
      <w:bookmarkEnd w:id="348"/>
      <w:bookmarkEnd w:id="349"/>
    </w:p>
    <w:p w14:paraId="4F4F784D">
      <w:pPr>
        <w:spacing w:line="360" w:lineRule="auto"/>
        <w:ind w:firstLine="560" w:firstLineChars="200"/>
        <w:rPr>
          <w:rFonts w:ascii="宋体" w:hAnsi="宋体"/>
          <w:kern w:val="0"/>
          <w:sz w:val="28"/>
          <w:szCs w:val="28"/>
          <w:highlight w:val="none"/>
        </w:rPr>
      </w:pPr>
      <w:r>
        <w:rPr>
          <w:rFonts w:hint="eastAsia" w:ascii="宋体" w:hAnsi="宋体"/>
          <w:kern w:val="0"/>
          <w:sz w:val="28"/>
          <w:szCs w:val="28"/>
          <w:highlight w:val="none"/>
        </w:rPr>
        <w:t>本授权委托书声明：兹授权</w:t>
      </w:r>
      <w:r>
        <w:rPr>
          <w:rFonts w:hint="eastAsia" w:ascii="宋体" w:hAnsi="宋体"/>
          <w:kern w:val="0"/>
          <w:sz w:val="28"/>
          <w:szCs w:val="28"/>
          <w:highlight w:val="none"/>
          <w:u w:val="single"/>
        </w:rPr>
        <w:t xml:space="preserve">       </w:t>
      </w:r>
      <w:r>
        <w:rPr>
          <w:rFonts w:hint="eastAsia" w:ascii="宋体" w:hAnsi="宋体"/>
          <w:kern w:val="0"/>
          <w:sz w:val="28"/>
          <w:szCs w:val="28"/>
          <w:highlight w:val="none"/>
        </w:rPr>
        <w:t>同志为本公司的合法代表，负责202</w:t>
      </w:r>
      <w:r>
        <w:rPr>
          <w:rFonts w:hint="eastAsia" w:ascii="宋体" w:hAnsi="宋体"/>
          <w:kern w:val="0"/>
          <w:sz w:val="28"/>
          <w:szCs w:val="28"/>
          <w:highlight w:val="none"/>
          <w:lang w:val="en-US" w:eastAsia="zh-CN"/>
        </w:rPr>
        <w:t>3</w:t>
      </w:r>
      <w:r>
        <w:rPr>
          <w:rFonts w:hint="eastAsia" w:ascii="宋体" w:hAnsi="宋体"/>
          <w:kern w:val="0"/>
          <w:sz w:val="28"/>
          <w:szCs w:val="28"/>
          <w:highlight w:val="none"/>
        </w:rPr>
        <w:t>年度</w:t>
      </w:r>
      <w:r>
        <w:rPr>
          <w:rFonts w:hint="eastAsia" w:ascii="宋体 (正文)" w:hAnsi="宋体 (正文)" w:eastAsia="宋体 (正文)" w:cs="宋体 (正文)"/>
          <w:kern w:val="0"/>
          <w:sz w:val="28"/>
          <w:szCs w:val="28"/>
          <w:highlight w:val="none"/>
          <w:lang w:eastAsia="zh-CN"/>
        </w:rPr>
        <w:t>深圳市福田区第二人民医院</w:t>
      </w:r>
      <w:r>
        <w:rPr>
          <w:rFonts w:hint="eastAsia" w:ascii="宋体 (正文)" w:hAnsi="宋体 (正文)" w:eastAsia="宋体 (正文)" w:cs="宋体 (正文)"/>
          <w:kern w:val="0"/>
          <w:sz w:val="28"/>
          <w:szCs w:val="28"/>
          <w:highlight w:val="none"/>
        </w:rPr>
        <w:t>医疗责任保险</w:t>
      </w:r>
      <w:r>
        <w:rPr>
          <w:rFonts w:hint="eastAsia" w:ascii="宋体" w:hAnsi="宋体"/>
          <w:kern w:val="0"/>
          <w:sz w:val="28"/>
          <w:szCs w:val="28"/>
          <w:highlight w:val="none"/>
        </w:rPr>
        <w:t>项目投标及保险协议签署相关事宜，并以本公司名义处理一切与之有关的各项事务（包括法律事务）</w:t>
      </w:r>
      <w:bookmarkStart w:id="350" w:name="_Hlt125348266"/>
      <w:bookmarkEnd w:id="350"/>
      <w:r>
        <w:rPr>
          <w:rFonts w:hint="eastAsia" w:ascii="宋体" w:hAnsi="宋体"/>
          <w:kern w:val="0"/>
          <w:sz w:val="28"/>
          <w:szCs w:val="28"/>
          <w:highlight w:val="none"/>
        </w:rPr>
        <w:t>，由此产生的法律责任由本公司承担。</w:t>
      </w:r>
    </w:p>
    <w:p w14:paraId="110DB80C">
      <w:pPr>
        <w:spacing w:line="360" w:lineRule="auto"/>
        <w:ind w:firstLine="560" w:firstLineChars="200"/>
        <w:rPr>
          <w:rFonts w:ascii="宋体" w:hAnsi="宋体"/>
          <w:kern w:val="0"/>
          <w:sz w:val="28"/>
          <w:szCs w:val="28"/>
          <w:highlight w:val="none"/>
        </w:rPr>
      </w:pPr>
      <w:r>
        <w:rPr>
          <w:rFonts w:hint="eastAsia" w:ascii="宋体" w:hAnsi="宋体"/>
          <w:kern w:val="0"/>
          <w:sz w:val="28"/>
          <w:szCs w:val="28"/>
          <w:highlight w:val="none"/>
        </w:rPr>
        <w:t>本授权书自本公司签章之日起生效，有效期为90个日历日。</w:t>
      </w:r>
    </w:p>
    <w:p w14:paraId="2182DE93">
      <w:pPr>
        <w:spacing w:line="360" w:lineRule="auto"/>
        <w:ind w:firstLine="560" w:firstLineChars="200"/>
        <w:rPr>
          <w:rFonts w:ascii="宋体" w:hAnsi="宋体"/>
          <w:kern w:val="0"/>
          <w:sz w:val="28"/>
          <w:szCs w:val="28"/>
          <w:highlight w:val="none"/>
        </w:rPr>
      </w:pPr>
      <w:r>
        <w:rPr>
          <w:rFonts w:hint="eastAsia" w:ascii="宋体" w:hAnsi="宋体"/>
          <w:kern w:val="0"/>
          <w:sz w:val="28"/>
          <w:szCs w:val="28"/>
          <w:highlight w:val="none"/>
        </w:rPr>
        <w:t>特此授权。</w:t>
      </w:r>
    </w:p>
    <w:p w14:paraId="19A28AE3">
      <w:pPr>
        <w:spacing w:line="360" w:lineRule="auto"/>
        <w:ind w:firstLine="560" w:firstLineChars="200"/>
        <w:rPr>
          <w:rFonts w:ascii="宋体" w:hAnsi="宋体"/>
          <w:kern w:val="0"/>
          <w:sz w:val="28"/>
          <w:szCs w:val="28"/>
          <w:highlight w:val="none"/>
        </w:rPr>
      </w:pPr>
      <w:r>
        <w:rPr>
          <w:rFonts w:hint="eastAsia" w:ascii="宋体" w:hAnsi="宋体"/>
          <w:kern w:val="0"/>
          <w:sz w:val="28"/>
          <w:szCs w:val="28"/>
          <w:highlight w:val="none"/>
        </w:rPr>
        <w:t>附：授权代表身份证复印件。</w:t>
      </w:r>
    </w:p>
    <w:p w14:paraId="295539A0">
      <w:pPr>
        <w:spacing w:line="360" w:lineRule="auto"/>
        <w:ind w:left="480"/>
        <w:rPr>
          <w:rFonts w:ascii="宋体" w:hAnsi="宋体"/>
          <w:kern w:val="0"/>
          <w:sz w:val="28"/>
          <w:szCs w:val="28"/>
          <w:highlight w:val="none"/>
        </w:rPr>
      </w:pPr>
    </w:p>
    <w:p w14:paraId="0D3067DC">
      <w:pPr>
        <w:spacing w:line="360" w:lineRule="auto"/>
        <w:ind w:firstLine="560" w:firstLineChars="200"/>
        <w:jc w:val="left"/>
        <w:rPr>
          <w:rFonts w:hint="eastAsia" w:ascii="宋体" w:hAnsi="宋体"/>
          <w:kern w:val="0"/>
          <w:sz w:val="28"/>
          <w:szCs w:val="28"/>
          <w:highlight w:val="none"/>
        </w:rPr>
      </w:pPr>
    </w:p>
    <w:p w14:paraId="221E2A1D">
      <w:pPr>
        <w:pStyle w:val="2"/>
        <w:rPr>
          <w:rFonts w:hint="eastAsia"/>
          <w:highlight w:val="none"/>
        </w:rPr>
      </w:pPr>
    </w:p>
    <w:p w14:paraId="001937EF">
      <w:pPr>
        <w:spacing w:line="360" w:lineRule="auto"/>
        <w:ind w:firstLine="560" w:firstLineChars="200"/>
        <w:jc w:val="left"/>
        <w:rPr>
          <w:rFonts w:ascii="宋体" w:hAnsi="宋体"/>
          <w:kern w:val="0"/>
          <w:sz w:val="28"/>
          <w:szCs w:val="28"/>
          <w:highlight w:val="none"/>
          <w:u w:val="single"/>
        </w:rPr>
      </w:pPr>
      <w:r>
        <w:rPr>
          <w:rFonts w:hint="eastAsia" w:ascii="宋体" w:hAnsi="宋体"/>
          <w:kern w:val="0"/>
          <w:sz w:val="28"/>
          <w:szCs w:val="28"/>
          <w:highlight w:val="none"/>
        </w:rPr>
        <w:t>授权代表（签字）：</w:t>
      </w:r>
    </w:p>
    <w:p w14:paraId="74B80B23">
      <w:pPr>
        <w:spacing w:line="360" w:lineRule="auto"/>
        <w:ind w:firstLine="560" w:firstLineChars="200"/>
        <w:jc w:val="left"/>
        <w:rPr>
          <w:rFonts w:hint="eastAsia" w:ascii="宋体" w:hAnsi="宋体"/>
          <w:kern w:val="0"/>
          <w:sz w:val="28"/>
          <w:szCs w:val="28"/>
          <w:highlight w:val="none"/>
        </w:rPr>
      </w:pPr>
    </w:p>
    <w:p w14:paraId="126948AF">
      <w:pPr>
        <w:pStyle w:val="2"/>
        <w:rPr>
          <w:rFonts w:hint="eastAsia"/>
          <w:highlight w:val="none"/>
        </w:rPr>
      </w:pPr>
    </w:p>
    <w:p w14:paraId="49DF51B0">
      <w:pPr>
        <w:spacing w:line="360" w:lineRule="auto"/>
        <w:ind w:firstLine="560" w:firstLineChars="200"/>
        <w:jc w:val="left"/>
        <w:rPr>
          <w:rFonts w:ascii="宋体" w:hAnsi="宋体"/>
          <w:kern w:val="0"/>
          <w:sz w:val="28"/>
          <w:szCs w:val="28"/>
          <w:highlight w:val="none"/>
          <w:u w:val="single"/>
        </w:rPr>
      </w:pPr>
      <w:r>
        <w:rPr>
          <w:rFonts w:hint="eastAsia" w:ascii="宋体" w:hAnsi="宋体"/>
          <w:kern w:val="0"/>
          <w:sz w:val="28"/>
          <w:szCs w:val="28"/>
          <w:highlight w:val="none"/>
        </w:rPr>
        <w:t>投标单位（</w:t>
      </w:r>
      <w:r>
        <w:rPr>
          <w:rFonts w:hint="eastAsia" w:ascii="宋体" w:hAnsi="宋体"/>
          <w:kern w:val="0"/>
          <w:sz w:val="28"/>
          <w:szCs w:val="28"/>
          <w:highlight w:val="none"/>
          <w:lang w:eastAsia="zh-CN"/>
        </w:rPr>
        <w:t>盖章</w:t>
      </w:r>
      <w:r>
        <w:rPr>
          <w:rFonts w:hint="eastAsia" w:ascii="宋体" w:hAnsi="宋体"/>
          <w:kern w:val="0"/>
          <w:sz w:val="28"/>
          <w:szCs w:val="28"/>
          <w:highlight w:val="none"/>
        </w:rPr>
        <w:t>）：</w:t>
      </w:r>
    </w:p>
    <w:p w14:paraId="6790A451">
      <w:pPr>
        <w:spacing w:line="360" w:lineRule="auto"/>
        <w:ind w:firstLine="560" w:firstLineChars="200"/>
        <w:jc w:val="left"/>
        <w:rPr>
          <w:rFonts w:ascii="宋体" w:hAnsi="宋体"/>
          <w:kern w:val="0"/>
          <w:sz w:val="28"/>
          <w:szCs w:val="28"/>
          <w:highlight w:val="none"/>
        </w:rPr>
      </w:pPr>
      <w:r>
        <w:rPr>
          <w:rFonts w:hint="eastAsia" w:ascii="宋体" w:hAnsi="宋体"/>
          <w:kern w:val="0"/>
          <w:sz w:val="28"/>
          <w:szCs w:val="28"/>
          <w:highlight w:val="none"/>
        </w:rPr>
        <w:t>日期：    年   月   日</w:t>
      </w:r>
    </w:p>
    <w:p w14:paraId="1E5C8AD5">
      <w:pPr>
        <w:pStyle w:val="4"/>
        <w:spacing w:after="120" w:line="360" w:lineRule="auto"/>
        <w:rPr>
          <w:rStyle w:val="63"/>
          <w:b/>
          <w:highlight w:val="none"/>
        </w:rPr>
      </w:pPr>
      <w:r>
        <w:rPr>
          <w:rFonts w:hint="eastAsia"/>
          <w:highlight w:val="none"/>
        </w:rPr>
        <w:br w:type="page"/>
      </w:r>
      <w:bookmarkStart w:id="351" w:name="_Toc6248"/>
      <w:bookmarkStart w:id="352" w:name="_Toc27901"/>
      <w:r>
        <w:rPr>
          <w:rStyle w:val="63"/>
          <w:rFonts w:hint="eastAsia"/>
          <w:b/>
          <w:highlight w:val="none"/>
        </w:rPr>
        <w:t>附件5.保密承诺函</w:t>
      </w:r>
    </w:p>
    <w:bookmarkEnd w:id="351"/>
    <w:bookmarkEnd w:id="352"/>
    <w:p w14:paraId="18D8C287">
      <w:pPr>
        <w:adjustRightInd w:val="0"/>
        <w:snapToGrid w:val="0"/>
        <w:spacing w:line="360" w:lineRule="auto"/>
        <w:ind w:right="-17"/>
        <w:rPr>
          <w:rFonts w:hint="eastAsia" w:ascii="宋体 (正文)" w:hAnsi="宋体 (正文)" w:eastAsia="宋体 (正文)" w:cs="宋体 (正文)"/>
          <w:kern w:val="0"/>
          <w:sz w:val="28"/>
          <w:szCs w:val="28"/>
          <w:highlight w:val="none"/>
          <w:lang w:eastAsia="zh-CN"/>
        </w:rPr>
      </w:pPr>
      <w:r>
        <w:rPr>
          <w:rFonts w:hint="eastAsia" w:ascii="宋体 (正文)" w:hAnsi="宋体 (正文)" w:eastAsia="宋体 (正文)" w:cs="宋体 (正文)"/>
          <w:bCs/>
          <w:sz w:val="28"/>
          <w:szCs w:val="28"/>
          <w:highlight w:val="none"/>
        </w:rPr>
        <w:t>致：</w:t>
      </w:r>
      <w:r>
        <w:rPr>
          <w:rFonts w:hint="eastAsia" w:ascii="宋体 (正文)" w:hAnsi="宋体 (正文)" w:eastAsia="宋体 (正文)" w:cs="宋体 (正文)"/>
          <w:kern w:val="0"/>
          <w:sz w:val="28"/>
          <w:szCs w:val="28"/>
          <w:highlight w:val="none"/>
          <w:lang w:eastAsia="zh-CN"/>
        </w:rPr>
        <w:t>深圳市福田区第二人民医院</w:t>
      </w:r>
    </w:p>
    <w:p w14:paraId="7B328B9D">
      <w:pPr>
        <w:adjustRightInd w:val="0"/>
        <w:snapToGrid w:val="0"/>
        <w:spacing w:line="360" w:lineRule="auto"/>
        <w:ind w:right="-17" w:firstLine="560" w:firstLineChars="200"/>
        <w:rPr>
          <w:rFonts w:ascii="宋体 (正文)" w:hAnsi="宋体 (正文)" w:eastAsia="宋体 (正文)" w:cs="宋体 (正文)"/>
          <w:bCs/>
          <w:sz w:val="28"/>
          <w:szCs w:val="28"/>
          <w:highlight w:val="none"/>
        </w:rPr>
      </w:pPr>
      <w:r>
        <w:rPr>
          <w:rFonts w:hint="eastAsia" w:ascii="宋体 (正文)" w:hAnsi="宋体 (正文)" w:eastAsia="宋体 (正文)" w:cs="宋体 (正文)"/>
          <w:bCs/>
          <w:sz w:val="28"/>
          <w:szCs w:val="28"/>
          <w:highlight w:val="none"/>
        </w:rPr>
        <w:t>鉴于</w:t>
      </w:r>
      <w:r>
        <w:rPr>
          <w:rFonts w:hint="eastAsia" w:ascii="宋体 (正文)" w:hAnsi="宋体 (正文)" w:eastAsia="宋体 (正文)" w:cs="宋体 (正文)"/>
          <w:bCs/>
          <w:sz w:val="28"/>
          <w:szCs w:val="28"/>
          <w:highlight w:val="none"/>
          <w:u w:val="single"/>
        </w:rPr>
        <w:t>（投标人名称）</w:t>
      </w:r>
      <w:r>
        <w:rPr>
          <w:rFonts w:hint="eastAsia" w:ascii="宋体 (正文)" w:hAnsi="宋体 (正文)" w:eastAsia="宋体 (正文)" w:cs="宋体 (正文)"/>
          <w:bCs/>
          <w:sz w:val="28"/>
          <w:szCs w:val="28"/>
          <w:highlight w:val="none"/>
        </w:rPr>
        <w:t>拟参加</w:t>
      </w:r>
      <w:r>
        <w:rPr>
          <w:rFonts w:hint="eastAsia" w:ascii="宋体 (正文)" w:hAnsi="宋体 (正文)" w:eastAsia="宋体 (正文)" w:cs="宋体 (正文)"/>
          <w:sz w:val="28"/>
          <w:szCs w:val="28"/>
          <w:highlight w:val="none"/>
        </w:rPr>
        <w:t>202</w:t>
      </w:r>
      <w:r>
        <w:rPr>
          <w:rFonts w:hint="eastAsia" w:ascii="宋体 (正文)" w:hAnsi="宋体 (正文)" w:eastAsia="宋体 (正文)" w:cs="宋体 (正文)"/>
          <w:sz w:val="28"/>
          <w:szCs w:val="28"/>
          <w:highlight w:val="none"/>
          <w:lang w:val="en-US" w:eastAsia="zh-CN"/>
        </w:rPr>
        <w:t>3</w:t>
      </w:r>
      <w:r>
        <w:rPr>
          <w:rFonts w:hint="eastAsia" w:ascii="宋体 (正文)" w:hAnsi="宋体 (正文)" w:eastAsia="宋体 (正文)" w:cs="宋体 (正文)"/>
          <w:sz w:val="28"/>
          <w:szCs w:val="28"/>
          <w:highlight w:val="none"/>
        </w:rPr>
        <w:t>年医疗责任保险项目</w:t>
      </w:r>
      <w:r>
        <w:rPr>
          <w:rFonts w:hint="eastAsia" w:ascii="宋体 (正文)" w:hAnsi="宋体 (正文)" w:eastAsia="宋体 (正文)" w:cs="宋体 (正文)"/>
          <w:bCs/>
          <w:sz w:val="28"/>
          <w:szCs w:val="28"/>
          <w:highlight w:val="none"/>
        </w:rPr>
        <w:t>投标，现就有关保密事宜承诺如下：</w:t>
      </w:r>
    </w:p>
    <w:p w14:paraId="56A85BDD">
      <w:pPr>
        <w:adjustRightInd w:val="0"/>
        <w:snapToGrid w:val="0"/>
        <w:spacing w:line="360" w:lineRule="auto"/>
        <w:ind w:firstLine="560" w:firstLineChars="200"/>
        <w:rPr>
          <w:rFonts w:ascii="宋体 (正文)" w:hAnsi="宋体 (正文)" w:eastAsia="宋体 (正文)" w:cs="宋体 (正文)"/>
          <w:bCs/>
          <w:sz w:val="28"/>
          <w:szCs w:val="28"/>
          <w:highlight w:val="none"/>
        </w:rPr>
      </w:pPr>
      <w:r>
        <w:rPr>
          <w:rFonts w:hint="eastAsia" w:ascii="宋体 (正文)" w:hAnsi="宋体 (正文)" w:eastAsia="宋体 (正文)" w:cs="宋体 (正文)"/>
          <w:bCs/>
          <w:sz w:val="28"/>
          <w:szCs w:val="28"/>
          <w:highlight w:val="none"/>
        </w:rPr>
        <w:t>1、投标人在投标活动过程中将严格遵守《中华人民共和国保守国家秘密法》及其它相关法律法规，如违反了《中华人民共和国保守国家秘密法》及其它相关法律法规，自行承担相应的法律责任。</w:t>
      </w:r>
    </w:p>
    <w:p w14:paraId="558B70F8">
      <w:pPr>
        <w:adjustRightInd w:val="0"/>
        <w:snapToGrid w:val="0"/>
        <w:spacing w:line="360" w:lineRule="auto"/>
        <w:ind w:firstLine="560" w:firstLineChars="200"/>
        <w:rPr>
          <w:rFonts w:ascii="宋体 (正文)" w:hAnsi="宋体 (正文)" w:eastAsia="宋体 (正文)" w:cs="宋体 (正文)"/>
          <w:bCs/>
          <w:sz w:val="28"/>
          <w:szCs w:val="28"/>
          <w:highlight w:val="none"/>
        </w:rPr>
      </w:pPr>
      <w:r>
        <w:rPr>
          <w:rFonts w:hint="eastAsia" w:ascii="宋体 (正文)" w:hAnsi="宋体 (正文)" w:eastAsia="宋体 (正文)" w:cs="宋体 (正文)"/>
          <w:bCs/>
          <w:sz w:val="28"/>
          <w:szCs w:val="28"/>
          <w:highlight w:val="none"/>
        </w:rPr>
        <w:t>2、如中标，投标人将与被保险人签订保密协议，认真履行保密协议义务，承担保密责任。</w:t>
      </w:r>
    </w:p>
    <w:p w14:paraId="4611D80D">
      <w:pPr>
        <w:adjustRightInd w:val="0"/>
        <w:snapToGrid w:val="0"/>
        <w:spacing w:line="360" w:lineRule="auto"/>
        <w:ind w:firstLine="560" w:firstLineChars="200"/>
        <w:rPr>
          <w:rFonts w:ascii="宋体 (正文)" w:hAnsi="宋体 (正文)" w:eastAsia="宋体 (正文)" w:cs="宋体 (正文)"/>
          <w:bCs/>
          <w:sz w:val="28"/>
          <w:szCs w:val="28"/>
          <w:highlight w:val="none"/>
        </w:rPr>
      </w:pPr>
      <w:r>
        <w:rPr>
          <w:rFonts w:hint="eastAsia" w:ascii="宋体 (正文)" w:hAnsi="宋体 (正文)" w:eastAsia="宋体 (正文)" w:cs="宋体 (正文)"/>
          <w:bCs/>
          <w:sz w:val="28"/>
          <w:szCs w:val="28"/>
          <w:highlight w:val="none"/>
        </w:rPr>
        <w:t>3、投标人在中标签订合同、执行合同过程中均将严格遵守《中华人民共和国保守国家秘密法》及其它相关法律法规，如违反了《中华人民共和国保守国家秘密法》及其它相关法律法规，自行承担相应的法律责任。</w:t>
      </w:r>
    </w:p>
    <w:p w14:paraId="5475CD8F">
      <w:pPr>
        <w:adjustRightInd w:val="0"/>
        <w:snapToGrid w:val="0"/>
        <w:spacing w:line="360" w:lineRule="auto"/>
        <w:ind w:firstLine="560" w:firstLineChars="200"/>
        <w:rPr>
          <w:rFonts w:ascii="宋体 (正文)" w:hAnsi="宋体 (正文)" w:eastAsia="宋体 (正文)" w:cs="宋体 (正文)"/>
          <w:bCs/>
          <w:sz w:val="28"/>
          <w:szCs w:val="28"/>
          <w:highlight w:val="none"/>
        </w:rPr>
      </w:pPr>
      <w:r>
        <w:rPr>
          <w:rFonts w:hint="eastAsia" w:ascii="宋体 (正文)" w:hAnsi="宋体 (正文)" w:eastAsia="宋体 (正文)" w:cs="宋体 (正文)"/>
          <w:bCs/>
          <w:sz w:val="28"/>
          <w:szCs w:val="28"/>
          <w:highlight w:val="none"/>
        </w:rPr>
        <w:t>4、本承诺书自签署后生效。</w:t>
      </w:r>
    </w:p>
    <w:p w14:paraId="0A9E7850">
      <w:pPr>
        <w:adjustRightInd w:val="0"/>
        <w:snapToGrid w:val="0"/>
        <w:spacing w:line="360" w:lineRule="auto"/>
        <w:ind w:firstLine="560" w:firstLineChars="200"/>
        <w:rPr>
          <w:rFonts w:ascii="宋体 (正文)" w:hAnsi="宋体 (正文)" w:eastAsia="宋体 (正文)" w:cs="宋体 (正文)"/>
          <w:bCs/>
          <w:sz w:val="28"/>
          <w:szCs w:val="22"/>
          <w:highlight w:val="none"/>
        </w:rPr>
      </w:pPr>
    </w:p>
    <w:p w14:paraId="61AE2625">
      <w:pPr>
        <w:adjustRightInd w:val="0"/>
        <w:snapToGrid w:val="0"/>
        <w:spacing w:line="360" w:lineRule="auto"/>
        <w:rPr>
          <w:rFonts w:ascii="宋体 (正文)" w:hAnsi="宋体 (正文)" w:eastAsia="宋体 (正文)" w:cs="宋体 (正文)"/>
          <w:b/>
          <w:sz w:val="28"/>
          <w:szCs w:val="22"/>
          <w:highlight w:val="none"/>
        </w:rPr>
      </w:pPr>
    </w:p>
    <w:p w14:paraId="698AA2E6">
      <w:pPr>
        <w:spacing w:line="360" w:lineRule="auto"/>
        <w:ind w:left="617" w:leftChars="257" w:firstLine="3360" w:firstLineChars="1200"/>
        <w:rPr>
          <w:rFonts w:ascii="宋体 (正文)" w:hAnsi="宋体 (正文)" w:eastAsia="宋体 (正文)" w:cs="宋体 (正文)"/>
          <w:color w:val="000000"/>
          <w:sz w:val="28"/>
          <w:szCs w:val="28"/>
          <w:highlight w:val="none"/>
          <w:u w:val="single"/>
        </w:rPr>
      </w:pPr>
      <w:r>
        <w:rPr>
          <w:rFonts w:hint="eastAsia" w:ascii="宋体 (正文)" w:hAnsi="宋体 (正文)" w:eastAsia="宋体 (正文)" w:cs="宋体 (正文)"/>
          <w:color w:val="000000"/>
          <w:sz w:val="28"/>
          <w:szCs w:val="28"/>
          <w:highlight w:val="none"/>
        </w:rPr>
        <w:t>授权代表（签字）：</w:t>
      </w:r>
    </w:p>
    <w:p w14:paraId="21E5F500">
      <w:pPr>
        <w:spacing w:line="360" w:lineRule="auto"/>
        <w:ind w:left="617" w:leftChars="257" w:firstLine="3360" w:firstLineChars="1200"/>
        <w:rPr>
          <w:rFonts w:ascii="宋体 (正文)" w:hAnsi="宋体 (正文)" w:eastAsia="宋体 (正文)" w:cs="宋体 (正文)"/>
          <w:color w:val="000000"/>
          <w:sz w:val="28"/>
          <w:szCs w:val="28"/>
          <w:highlight w:val="none"/>
          <w:u w:val="single"/>
        </w:rPr>
      </w:pPr>
      <w:r>
        <w:rPr>
          <w:rFonts w:hint="eastAsia" w:ascii="宋体 (正文)" w:hAnsi="宋体 (正文)" w:eastAsia="宋体 (正文)" w:cs="宋体 (正文)"/>
          <w:color w:val="000000"/>
          <w:sz w:val="28"/>
          <w:szCs w:val="28"/>
          <w:highlight w:val="none"/>
        </w:rPr>
        <w:t>投标单位（</w:t>
      </w:r>
      <w:r>
        <w:rPr>
          <w:rFonts w:hint="eastAsia" w:ascii="宋体 (正文)" w:hAnsi="宋体 (正文)" w:eastAsia="宋体 (正文)" w:cs="宋体 (正文)"/>
          <w:color w:val="000000"/>
          <w:sz w:val="28"/>
          <w:szCs w:val="28"/>
          <w:highlight w:val="none"/>
          <w:lang w:eastAsia="zh-CN"/>
        </w:rPr>
        <w:t>盖章</w:t>
      </w:r>
      <w:r>
        <w:rPr>
          <w:rFonts w:hint="eastAsia" w:ascii="宋体 (正文)" w:hAnsi="宋体 (正文)" w:eastAsia="宋体 (正文)" w:cs="宋体 (正文)"/>
          <w:color w:val="000000"/>
          <w:sz w:val="28"/>
          <w:szCs w:val="28"/>
          <w:highlight w:val="none"/>
        </w:rPr>
        <w:t>）</w:t>
      </w:r>
    </w:p>
    <w:p w14:paraId="7E2A967A">
      <w:pPr>
        <w:spacing w:line="360" w:lineRule="auto"/>
        <w:ind w:left="257"/>
        <w:jc w:val="center"/>
        <w:rPr>
          <w:rFonts w:ascii="宋体 (正文)" w:hAnsi="宋体 (正文)" w:eastAsia="宋体 (正文)" w:cs="宋体 (正文)"/>
          <w:color w:val="000000"/>
          <w:sz w:val="28"/>
          <w:szCs w:val="28"/>
          <w:highlight w:val="none"/>
        </w:rPr>
      </w:pPr>
      <w:r>
        <w:rPr>
          <w:rFonts w:hint="eastAsia" w:ascii="宋体 (正文)" w:hAnsi="宋体 (正文)" w:eastAsia="宋体 (正文)" w:cs="宋体 (正文)"/>
          <w:color w:val="000000"/>
          <w:sz w:val="28"/>
          <w:szCs w:val="28"/>
          <w:highlight w:val="none"/>
        </w:rPr>
        <w:t xml:space="preserve">                 日期：        年    月    日</w:t>
      </w:r>
    </w:p>
    <w:p w14:paraId="7A9DA12E">
      <w:pPr>
        <w:rPr>
          <w:sz w:val="28"/>
          <w:highlight w:val="none"/>
        </w:rPr>
      </w:pPr>
    </w:p>
    <w:p w14:paraId="4160889D">
      <w:pPr>
        <w:rPr>
          <w:sz w:val="28"/>
          <w:highlight w:val="none"/>
        </w:rPr>
      </w:pPr>
      <w:r>
        <w:rPr>
          <w:rFonts w:hint="eastAsia"/>
          <w:sz w:val="28"/>
          <w:highlight w:val="none"/>
        </w:rPr>
        <w:br w:type="page"/>
      </w:r>
    </w:p>
    <w:p w14:paraId="4E0A0DF0">
      <w:pPr>
        <w:pStyle w:val="3"/>
        <w:bidi w:val="0"/>
        <w:jc w:val="left"/>
        <w:rPr>
          <w:rFonts w:hint="eastAsia" w:ascii="宋体" w:hAnsi="宋体"/>
          <w:b/>
          <w:bCs/>
          <w:highlight w:val="none"/>
        </w:rPr>
      </w:pPr>
      <w:bookmarkStart w:id="353" w:name="_Toc25030"/>
      <w:bookmarkStart w:id="354" w:name="_Toc614"/>
      <w:r>
        <w:rPr>
          <w:rFonts w:hint="eastAsia"/>
          <w:b/>
          <w:bCs/>
          <w:highlight w:val="none"/>
        </w:rPr>
        <w:t>附件6.</w:t>
      </w:r>
      <w:bookmarkEnd w:id="342"/>
      <w:bookmarkEnd w:id="343"/>
      <w:bookmarkEnd w:id="344"/>
      <w:bookmarkEnd w:id="345"/>
      <w:bookmarkEnd w:id="346"/>
      <w:bookmarkEnd w:id="347"/>
      <w:bookmarkEnd w:id="353"/>
      <w:bookmarkStart w:id="355" w:name="_Toc16277"/>
      <w:bookmarkStart w:id="356" w:name="_Toc7263"/>
      <w:bookmarkStart w:id="357" w:name="_Toc9866"/>
      <w:bookmarkStart w:id="358" w:name="_Toc6027"/>
      <w:bookmarkStart w:id="359" w:name="_Toc13919"/>
      <w:bookmarkStart w:id="360" w:name="_Toc223518889"/>
      <w:bookmarkStart w:id="361" w:name="_Toc23802_WPSOffice_Level1"/>
      <w:bookmarkStart w:id="362" w:name="_Toc14827_WPSOffice_Level1"/>
      <w:bookmarkStart w:id="363" w:name="_Toc26365"/>
      <w:bookmarkStart w:id="364" w:name="_Toc16048"/>
      <w:bookmarkStart w:id="365" w:name="_Toc11261"/>
      <w:bookmarkStart w:id="366" w:name="_Toc26272"/>
      <w:r>
        <w:rPr>
          <w:rFonts w:hint="eastAsia" w:ascii="宋体" w:hAnsi="宋体"/>
          <w:b/>
          <w:bCs/>
          <w:highlight w:val="none"/>
        </w:rPr>
        <w:t>保险协议偏离表</w:t>
      </w:r>
      <w:bookmarkEnd w:id="354"/>
      <w:bookmarkEnd w:id="355"/>
      <w:bookmarkEnd w:id="356"/>
      <w:bookmarkEnd w:id="357"/>
      <w:bookmarkEnd w:id="358"/>
      <w:bookmarkEnd w:id="359"/>
    </w:p>
    <w:p w14:paraId="2F72EEBE">
      <w:pPr>
        <w:tabs>
          <w:tab w:val="left" w:pos="2330"/>
          <w:tab w:val="left" w:pos="9230"/>
        </w:tabs>
        <w:autoSpaceDE w:val="0"/>
        <w:autoSpaceDN w:val="0"/>
        <w:adjustRightInd w:val="0"/>
        <w:spacing w:line="360" w:lineRule="auto"/>
        <w:rPr>
          <w:rFonts w:ascii="宋体 (正文)" w:hAnsi="宋体 (正文)" w:eastAsia="宋体 (正文)" w:cs="宋体 (正文)"/>
          <w:highlight w:val="none"/>
        </w:rPr>
      </w:pPr>
    </w:p>
    <w:tbl>
      <w:tblPr>
        <w:tblStyle w:val="35"/>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723"/>
        <w:gridCol w:w="1723"/>
        <w:gridCol w:w="1723"/>
        <w:gridCol w:w="1724"/>
      </w:tblGrid>
      <w:tr w14:paraId="2644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3" w:type="dxa"/>
            <w:vMerge w:val="restart"/>
            <w:vAlign w:val="center"/>
          </w:tcPr>
          <w:p w14:paraId="5A1E46F3">
            <w:pPr>
              <w:tabs>
                <w:tab w:val="left" w:pos="2330"/>
                <w:tab w:val="left" w:pos="9230"/>
              </w:tabs>
              <w:autoSpaceDE w:val="0"/>
              <w:autoSpaceDN w:val="0"/>
              <w:adjustRightInd w:val="0"/>
              <w:jc w:val="center"/>
              <w:rPr>
                <w:rFonts w:ascii="宋体 (正文)" w:hAnsi="宋体 (正文)" w:eastAsia="宋体 (正文)" w:cs="宋体 (正文)"/>
                <w:highlight w:val="none"/>
              </w:rPr>
            </w:pPr>
            <w:r>
              <w:rPr>
                <w:rFonts w:hint="eastAsia" w:ascii="宋体 (正文)" w:hAnsi="宋体 (正文)" w:eastAsia="宋体 (正文)" w:cs="宋体 (正文)"/>
                <w:b/>
                <w:sz w:val="28"/>
                <w:highlight w:val="none"/>
              </w:rPr>
              <w:t>序号</w:t>
            </w:r>
          </w:p>
        </w:tc>
        <w:tc>
          <w:tcPr>
            <w:tcW w:w="3446" w:type="dxa"/>
            <w:gridSpan w:val="2"/>
            <w:vAlign w:val="center"/>
          </w:tcPr>
          <w:p w14:paraId="30CC2027">
            <w:pPr>
              <w:tabs>
                <w:tab w:val="left" w:pos="2330"/>
                <w:tab w:val="left" w:pos="9230"/>
              </w:tabs>
              <w:autoSpaceDE w:val="0"/>
              <w:autoSpaceDN w:val="0"/>
              <w:adjustRightInd w:val="0"/>
              <w:jc w:val="center"/>
              <w:rPr>
                <w:rFonts w:ascii="宋体 (正文)" w:hAnsi="宋体 (正文)" w:eastAsia="宋体 (正文)" w:cs="宋体 (正文)"/>
                <w:highlight w:val="none"/>
              </w:rPr>
            </w:pPr>
            <w:r>
              <w:rPr>
                <w:rFonts w:hint="eastAsia" w:ascii="宋体 (正文)" w:hAnsi="宋体 (正文)" w:eastAsia="宋体 (正文)" w:cs="宋体 (正文)"/>
                <w:b/>
                <w:sz w:val="28"/>
                <w:highlight w:val="none"/>
              </w:rPr>
              <w:t>招标文件</w:t>
            </w:r>
          </w:p>
        </w:tc>
        <w:tc>
          <w:tcPr>
            <w:tcW w:w="3447" w:type="dxa"/>
            <w:gridSpan w:val="2"/>
            <w:vAlign w:val="center"/>
          </w:tcPr>
          <w:p w14:paraId="13F0AC14">
            <w:pPr>
              <w:tabs>
                <w:tab w:val="left" w:pos="2330"/>
                <w:tab w:val="left" w:pos="9230"/>
              </w:tabs>
              <w:autoSpaceDE w:val="0"/>
              <w:autoSpaceDN w:val="0"/>
              <w:adjustRightInd w:val="0"/>
              <w:jc w:val="center"/>
              <w:rPr>
                <w:rFonts w:ascii="宋体 (正文)" w:hAnsi="宋体 (正文)" w:eastAsia="宋体 (正文)" w:cs="宋体 (正文)"/>
                <w:highlight w:val="none"/>
              </w:rPr>
            </w:pPr>
            <w:r>
              <w:rPr>
                <w:rFonts w:hint="eastAsia" w:ascii="宋体 (正文)" w:hAnsi="宋体 (正文)" w:eastAsia="宋体 (正文)" w:cs="宋体 (正文)"/>
                <w:b/>
                <w:sz w:val="28"/>
                <w:highlight w:val="none"/>
              </w:rPr>
              <w:t>投标文件</w:t>
            </w:r>
          </w:p>
        </w:tc>
      </w:tr>
      <w:tr w14:paraId="430C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3" w:type="dxa"/>
            <w:vMerge w:val="continue"/>
            <w:vAlign w:val="center"/>
          </w:tcPr>
          <w:p w14:paraId="2BB145D1">
            <w:pPr>
              <w:tabs>
                <w:tab w:val="left" w:pos="2330"/>
                <w:tab w:val="left" w:pos="9230"/>
              </w:tabs>
              <w:autoSpaceDE w:val="0"/>
              <w:autoSpaceDN w:val="0"/>
              <w:adjustRightInd w:val="0"/>
              <w:jc w:val="center"/>
              <w:rPr>
                <w:rFonts w:ascii="宋体 (正文)" w:hAnsi="宋体 (正文)" w:eastAsia="宋体 (正文)" w:cs="宋体 (正文)"/>
                <w:highlight w:val="none"/>
              </w:rPr>
            </w:pPr>
          </w:p>
        </w:tc>
        <w:tc>
          <w:tcPr>
            <w:tcW w:w="1723" w:type="dxa"/>
            <w:vAlign w:val="center"/>
          </w:tcPr>
          <w:p w14:paraId="585B1643">
            <w:pPr>
              <w:jc w:val="center"/>
              <w:rPr>
                <w:rFonts w:ascii="宋体 (正文)" w:hAnsi="宋体 (正文)" w:eastAsia="宋体 (正文)" w:cs="宋体 (正文)"/>
                <w:b/>
                <w:highlight w:val="none"/>
              </w:rPr>
            </w:pPr>
            <w:r>
              <w:rPr>
                <w:rFonts w:hint="eastAsia" w:ascii="宋体 (正文)" w:hAnsi="宋体 (正文)" w:eastAsia="宋体 (正文)" w:cs="宋体 (正文)"/>
                <w:b/>
                <w:sz w:val="28"/>
                <w:highlight w:val="none"/>
              </w:rPr>
              <w:t>条目</w:t>
            </w:r>
          </w:p>
        </w:tc>
        <w:tc>
          <w:tcPr>
            <w:tcW w:w="1723" w:type="dxa"/>
            <w:vAlign w:val="center"/>
          </w:tcPr>
          <w:p w14:paraId="10C1026F">
            <w:pPr>
              <w:pStyle w:val="99"/>
              <w:ind w:left="-98" w:right="-233"/>
              <w:rPr>
                <w:rFonts w:ascii="宋体 (正文)" w:hAnsi="宋体 (正文)" w:eastAsia="宋体 (正文)" w:cs="宋体 (正文)"/>
                <w:b/>
                <w:highlight w:val="none"/>
              </w:rPr>
            </w:pPr>
            <w:r>
              <w:rPr>
                <w:rFonts w:hint="eastAsia" w:ascii="宋体 (正文)" w:hAnsi="宋体 (正文)" w:eastAsia="宋体 (正文)" w:cs="宋体 (正文)"/>
                <w:b/>
                <w:sz w:val="28"/>
                <w:highlight w:val="none"/>
              </w:rPr>
              <w:t>内容</w:t>
            </w:r>
          </w:p>
        </w:tc>
        <w:tc>
          <w:tcPr>
            <w:tcW w:w="1723" w:type="dxa"/>
            <w:vAlign w:val="center"/>
          </w:tcPr>
          <w:p w14:paraId="38026D46">
            <w:pPr>
              <w:jc w:val="center"/>
              <w:rPr>
                <w:rFonts w:ascii="宋体 (正文)" w:hAnsi="宋体 (正文)" w:eastAsia="宋体 (正文)" w:cs="宋体 (正文)"/>
                <w:b/>
                <w:highlight w:val="none"/>
              </w:rPr>
            </w:pPr>
            <w:r>
              <w:rPr>
                <w:rFonts w:hint="eastAsia" w:ascii="宋体 (正文)" w:hAnsi="宋体 (正文)" w:eastAsia="宋体 (正文)" w:cs="宋体 (正文)"/>
                <w:b/>
                <w:sz w:val="28"/>
                <w:highlight w:val="none"/>
              </w:rPr>
              <w:t>内容</w:t>
            </w:r>
          </w:p>
        </w:tc>
        <w:tc>
          <w:tcPr>
            <w:tcW w:w="1724" w:type="dxa"/>
            <w:vAlign w:val="center"/>
          </w:tcPr>
          <w:p w14:paraId="7013AC3B">
            <w:pPr>
              <w:jc w:val="center"/>
              <w:rPr>
                <w:rFonts w:ascii="宋体 (正文)" w:hAnsi="宋体 (正文)" w:eastAsia="宋体 (正文)" w:cs="宋体 (正文)"/>
                <w:b/>
                <w:highlight w:val="none"/>
              </w:rPr>
            </w:pPr>
            <w:r>
              <w:rPr>
                <w:rFonts w:hint="eastAsia" w:ascii="宋体 (正文)" w:hAnsi="宋体 (正文)" w:eastAsia="宋体 (正文)" w:cs="宋体 (正文)"/>
                <w:b/>
                <w:sz w:val="28"/>
                <w:highlight w:val="none"/>
              </w:rPr>
              <w:t>备注</w:t>
            </w:r>
          </w:p>
        </w:tc>
      </w:tr>
      <w:tr w14:paraId="4F33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tcPr>
          <w:p w14:paraId="6A3E239F">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r>
              <w:rPr>
                <w:rFonts w:hint="eastAsia" w:ascii="宋体 (正文)" w:hAnsi="宋体 (正文)" w:eastAsia="宋体 (正文)" w:cs="宋体 (正文)"/>
                <w:sz w:val="28"/>
                <w:highlight w:val="none"/>
              </w:rPr>
              <w:t>1</w:t>
            </w:r>
          </w:p>
        </w:tc>
        <w:tc>
          <w:tcPr>
            <w:tcW w:w="1723" w:type="dxa"/>
          </w:tcPr>
          <w:p w14:paraId="3F06644C">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c>
          <w:tcPr>
            <w:tcW w:w="1723" w:type="dxa"/>
          </w:tcPr>
          <w:p w14:paraId="4EB75EE2">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c>
          <w:tcPr>
            <w:tcW w:w="1723" w:type="dxa"/>
          </w:tcPr>
          <w:p w14:paraId="43514E85">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c>
          <w:tcPr>
            <w:tcW w:w="1724" w:type="dxa"/>
          </w:tcPr>
          <w:p w14:paraId="0ACADA94">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r>
      <w:tr w14:paraId="7BB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tcPr>
          <w:p w14:paraId="505548F9">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r>
              <w:rPr>
                <w:rFonts w:hint="eastAsia" w:ascii="宋体 (正文)" w:hAnsi="宋体 (正文)" w:eastAsia="宋体 (正文)" w:cs="宋体 (正文)"/>
                <w:sz w:val="28"/>
                <w:highlight w:val="none"/>
              </w:rPr>
              <w:t>2</w:t>
            </w:r>
          </w:p>
        </w:tc>
        <w:tc>
          <w:tcPr>
            <w:tcW w:w="1723" w:type="dxa"/>
          </w:tcPr>
          <w:p w14:paraId="48329E06">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c>
          <w:tcPr>
            <w:tcW w:w="1723" w:type="dxa"/>
          </w:tcPr>
          <w:p w14:paraId="0A79C645">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c>
          <w:tcPr>
            <w:tcW w:w="1723" w:type="dxa"/>
          </w:tcPr>
          <w:p w14:paraId="4EE2DD02">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c>
          <w:tcPr>
            <w:tcW w:w="1724" w:type="dxa"/>
          </w:tcPr>
          <w:p w14:paraId="10039B03">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r>
      <w:tr w14:paraId="2F89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tcPr>
          <w:p w14:paraId="455327FA">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r>
              <w:rPr>
                <w:rFonts w:hint="eastAsia" w:ascii="宋体 (正文)" w:hAnsi="宋体 (正文)" w:eastAsia="宋体 (正文)" w:cs="宋体 (正文)"/>
                <w:sz w:val="28"/>
                <w:highlight w:val="none"/>
              </w:rPr>
              <w:t>3</w:t>
            </w:r>
          </w:p>
        </w:tc>
        <w:tc>
          <w:tcPr>
            <w:tcW w:w="1723" w:type="dxa"/>
          </w:tcPr>
          <w:p w14:paraId="219D482C">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c>
          <w:tcPr>
            <w:tcW w:w="1723" w:type="dxa"/>
          </w:tcPr>
          <w:p w14:paraId="7A2450BE">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c>
          <w:tcPr>
            <w:tcW w:w="1723" w:type="dxa"/>
          </w:tcPr>
          <w:p w14:paraId="2FD9EDD3">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c>
          <w:tcPr>
            <w:tcW w:w="1724" w:type="dxa"/>
          </w:tcPr>
          <w:p w14:paraId="39432103">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r>
      <w:tr w14:paraId="6CBF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tcPr>
          <w:p w14:paraId="29623DA9">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r>
              <w:rPr>
                <w:rFonts w:hint="eastAsia" w:ascii="宋体 (正文)" w:hAnsi="宋体 (正文)" w:eastAsia="宋体 (正文)" w:cs="宋体 (正文)"/>
                <w:sz w:val="28"/>
                <w:highlight w:val="none"/>
              </w:rPr>
              <w:t>4</w:t>
            </w:r>
          </w:p>
        </w:tc>
        <w:tc>
          <w:tcPr>
            <w:tcW w:w="1723" w:type="dxa"/>
          </w:tcPr>
          <w:p w14:paraId="11C1594E">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c>
          <w:tcPr>
            <w:tcW w:w="1723" w:type="dxa"/>
          </w:tcPr>
          <w:p w14:paraId="127E5209">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c>
          <w:tcPr>
            <w:tcW w:w="1723" w:type="dxa"/>
          </w:tcPr>
          <w:p w14:paraId="6E67D409">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c>
          <w:tcPr>
            <w:tcW w:w="1724" w:type="dxa"/>
          </w:tcPr>
          <w:p w14:paraId="1A51B754">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r>
      <w:tr w14:paraId="7156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tcPr>
          <w:p w14:paraId="57503D8A">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r>
              <w:rPr>
                <w:rFonts w:hint="eastAsia" w:ascii="宋体 (正文)" w:hAnsi="宋体 (正文)" w:eastAsia="宋体 (正文)" w:cs="宋体 (正文)"/>
                <w:sz w:val="28"/>
                <w:highlight w:val="none"/>
              </w:rPr>
              <w:t>……</w:t>
            </w:r>
          </w:p>
        </w:tc>
        <w:tc>
          <w:tcPr>
            <w:tcW w:w="1723" w:type="dxa"/>
          </w:tcPr>
          <w:p w14:paraId="033F3C8B">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c>
          <w:tcPr>
            <w:tcW w:w="1723" w:type="dxa"/>
          </w:tcPr>
          <w:p w14:paraId="7091707D">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c>
          <w:tcPr>
            <w:tcW w:w="1723" w:type="dxa"/>
          </w:tcPr>
          <w:p w14:paraId="7D921D24">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c>
          <w:tcPr>
            <w:tcW w:w="1724" w:type="dxa"/>
          </w:tcPr>
          <w:p w14:paraId="5FAF5D1B">
            <w:pPr>
              <w:tabs>
                <w:tab w:val="left" w:pos="2330"/>
                <w:tab w:val="left" w:pos="9230"/>
              </w:tabs>
              <w:autoSpaceDE w:val="0"/>
              <w:autoSpaceDN w:val="0"/>
              <w:adjustRightInd w:val="0"/>
              <w:spacing w:line="360" w:lineRule="auto"/>
              <w:jc w:val="center"/>
              <w:rPr>
                <w:rFonts w:ascii="宋体 (正文)" w:hAnsi="宋体 (正文)" w:eastAsia="宋体 (正文)" w:cs="宋体 (正文)"/>
                <w:highlight w:val="none"/>
              </w:rPr>
            </w:pPr>
          </w:p>
        </w:tc>
      </w:tr>
    </w:tbl>
    <w:p w14:paraId="2ABEDDA1">
      <w:pPr>
        <w:tabs>
          <w:tab w:val="left" w:pos="2330"/>
          <w:tab w:val="left" w:pos="9230"/>
        </w:tabs>
        <w:autoSpaceDE w:val="0"/>
        <w:autoSpaceDN w:val="0"/>
        <w:adjustRightInd w:val="0"/>
        <w:spacing w:line="360" w:lineRule="auto"/>
        <w:rPr>
          <w:rFonts w:ascii="宋体 (正文)" w:hAnsi="宋体 (正文)" w:eastAsia="宋体 (正文)" w:cs="宋体 (正文)"/>
          <w:sz w:val="28"/>
          <w:highlight w:val="none"/>
        </w:rPr>
      </w:pPr>
    </w:p>
    <w:p w14:paraId="769B1CDC">
      <w:pPr>
        <w:tabs>
          <w:tab w:val="left" w:pos="2330"/>
          <w:tab w:val="left" w:pos="9230"/>
        </w:tabs>
        <w:autoSpaceDE w:val="0"/>
        <w:autoSpaceDN w:val="0"/>
        <w:adjustRightInd w:val="0"/>
        <w:spacing w:line="360" w:lineRule="auto"/>
        <w:rPr>
          <w:rFonts w:ascii="宋体 (正文)" w:hAnsi="宋体 (正文)" w:eastAsia="宋体 (正文)" w:cs="宋体 (正文)"/>
          <w:sz w:val="28"/>
          <w:highlight w:val="none"/>
        </w:rPr>
      </w:pPr>
      <w:r>
        <w:rPr>
          <w:rFonts w:hint="eastAsia" w:ascii="宋体 (正文)" w:hAnsi="宋体 (正文)" w:eastAsia="宋体 (正文)" w:cs="宋体 (正文)"/>
          <w:sz w:val="28"/>
          <w:highlight w:val="none"/>
        </w:rPr>
        <w:t>注：1、表格可按格式扩展。</w:t>
      </w:r>
    </w:p>
    <w:p w14:paraId="1748A39B">
      <w:pPr>
        <w:tabs>
          <w:tab w:val="left" w:pos="2330"/>
          <w:tab w:val="left" w:pos="9230"/>
        </w:tabs>
        <w:autoSpaceDE w:val="0"/>
        <w:autoSpaceDN w:val="0"/>
        <w:adjustRightInd w:val="0"/>
        <w:spacing w:line="360" w:lineRule="auto"/>
        <w:rPr>
          <w:rFonts w:ascii="宋体 (正文)" w:hAnsi="宋体 (正文)" w:eastAsia="宋体 (正文)" w:cs="宋体 (正文)"/>
          <w:sz w:val="28"/>
          <w:highlight w:val="none"/>
        </w:rPr>
      </w:pPr>
      <w:r>
        <w:rPr>
          <w:rFonts w:hint="eastAsia" w:ascii="宋体 (正文)" w:hAnsi="宋体 (正文)" w:eastAsia="宋体 (正文)" w:cs="宋体 (正文)"/>
          <w:sz w:val="28"/>
          <w:highlight w:val="none"/>
        </w:rPr>
        <w:t xml:space="preserve">    2、只列出发生负偏离的项目，没有列出的将被视为完全响应。</w:t>
      </w:r>
    </w:p>
    <w:p w14:paraId="06934507">
      <w:pPr>
        <w:spacing w:line="400" w:lineRule="exact"/>
        <w:ind w:left="617" w:leftChars="257" w:firstLine="3360" w:firstLineChars="1200"/>
        <w:rPr>
          <w:rFonts w:ascii="宋体 (正文)" w:hAnsi="宋体 (正文)" w:eastAsia="宋体 (正文)" w:cs="宋体 (正文)"/>
          <w:color w:val="000000"/>
          <w:sz w:val="28"/>
          <w:highlight w:val="none"/>
        </w:rPr>
      </w:pPr>
      <w:r>
        <w:rPr>
          <w:rFonts w:hint="eastAsia" w:ascii="宋体 (正文)" w:hAnsi="宋体 (正文)" w:eastAsia="宋体 (正文)" w:cs="宋体 (正文)"/>
          <w:color w:val="000000"/>
          <w:sz w:val="28"/>
          <w:highlight w:val="none"/>
        </w:rPr>
        <w:t>授权代表(签字)：</w:t>
      </w:r>
    </w:p>
    <w:p w14:paraId="761E8406">
      <w:pPr>
        <w:spacing w:line="400" w:lineRule="exact"/>
        <w:ind w:left="617" w:leftChars="257" w:firstLine="3360" w:firstLineChars="1200"/>
        <w:rPr>
          <w:rFonts w:ascii="宋体 (正文)" w:hAnsi="宋体 (正文)" w:eastAsia="宋体 (正文)" w:cs="宋体 (正文)"/>
          <w:color w:val="000000"/>
          <w:sz w:val="28"/>
          <w:highlight w:val="none"/>
        </w:rPr>
      </w:pPr>
      <w:r>
        <w:rPr>
          <w:rFonts w:hint="eastAsia" w:ascii="宋体 (正文)" w:hAnsi="宋体 (正文)" w:eastAsia="宋体 (正文)" w:cs="宋体 (正文)"/>
          <w:color w:val="000000"/>
          <w:sz w:val="28"/>
          <w:highlight w:val="none"/>
        </w:rPr>
        <w:t>投标单位（</w:t>
      </w:r>
      <w:r>
        <w:rPr>
          <w:rFonts w:hint="eastAsia" w:ascii="宋体 (正文)" w:hAnsi="宋体 (正文)" w:eastAsia="宋体 (正文)" w:cs="宋体 (正文)"/>
          <w:color w:val="000000"/>
          <w:sz w:val="28"/>
          <w:highlight w:val="none"/>
          <w:lang w:eastAsia="zh-CN"/>
        </w:rPr>
        <w:t>盖章</w:t>
      </w:r>
      <w:r>
        <w:rPr>
          <w:rFonts w:hint="eastAsia" w:ascii="宋体 (正文)" w:hAnsi="宋体 (正文)" w:eastAsia="宋体 (正文)" w:cs="宋体 (正文)"/>
          <w:color w:val="000000"/>
          <w:sz w:val="28"/>
          <w:highlight w:val="none"/>
        </w:rPr>
        <w:t>）：</w:t>
      </w:r>
    </w:p>
    <w:p w14:paraId="1AEEDF81">
      <w:pPr>
        <w:spacing w:line="400" w:lineRule="exact"/>
        <w:ind w:left="617" w:leftChars="257" w:firstLine="3360" w:firstLineChars="1200"/>
        <w:rPr>
          <w:rFonts w:ascii="宋体 (正文)" w:hAnsi="宋体 (正文)" w:eastAsia="宋体 (正文)" w:cs="宋体 (正文)"/>
          <w:sz w:val="28"/>
          <w:szCs w:val="36"/>
          <w:highlight w:val="none"/>
        </w:rPr>
      </w:pPr>
      <w:r>
        <w:rPr>
          <w:rFonts w:hint="eastAsia" w:ascii="宋体 (正文)" w:hAnsi="宋体 (正文)" w:eastAsia="宋体 (正文)" w:cs="宋体 (正文)"/>
          <w:color w:val="000000"/>
          <w:sz w:val="28"/>
          <w:highlight w:val="none"/>
        </w:rPr>
        <w:t xml:space="preserve">日期：         年    月    日    </w:t>
      </w:r>
    </w:p>
    <w:bookmarkEnd w:id="360"/>
    <w:p w14:paraId="143BDBA6">
      <w:pPr>
        <w:rPr>
          <w:sz w:val="28"/>
          <w:highlight w:val="none"/>
        </w:rPr>
      </w:pPr>
      <w:bookmarkStart w:id="367" w:name="_Toc2583"/>
      <w:bookmarkStart w:id="368" w:name="_Toc6423"/>
      <w:bookmarkStart w:id="369" w:name="_Toc21737"/>
      <w:bookmarkStart w:id="370" w:name="_Toc30699"/>
      <w:bookmarkStart w:id="371" w:name="_Toc18374"/>
      <w:r>
        <w:rPr>
          <w:rFonts w:hint="eastAsia"/>
          <w:sz w:val="28"/>
          <w:highlight w:val="none"/>
        </w:rPr>
        <w:br w:type="page"/>
      </w:r>
    </w:p>
    <w:bookmarkEnd w:id="367"/>
    <w:bookmarkEnd w:id="368"/>
    <w:bookmarkEnd w:id="369"/>
    <w:bookmarkEnd w:id="370"/>
    <w:bookmarkEnd w:id="371"/>
    <w:p w14:paraId="66CDFC7B">
      <w:pPr>
        <w:pStyle w:val="3"/>
        <w:bidi w:val="0"/>
        <w:jc w:val="left"/>
        <w:rPr>
          <w:rFonts w:hint="eastAsia" w:ascii="宋体" w:hAnsi="宋体"/>
          <w:b/>
          <w:bCs/>
          <w:highlight w:val="none"/>
        </w:rPr>
      </w:pPr>
      <w:bookmarkStart w:id="372" w:name="_Toc20766"/>
      <w:bookmarkStart w:id="373" w:name="_Toc13982"/>
      <w:bookmarkStart w:id="374" w:name="_Toc10614"/>
      <w:bookmarkStart w:id="375" w:name="_Toc5811"/>
      <w:bookmarkStart w:id="376" w:name="_Toc437297965"/>
      <w:bookmarkStart w:id="377" w:name="_Toc5970"/>
      <w:bookmarkStart w:id="378" w:name="_Toc22413"/>
      <w:bookmarkStart w:id="379" w:name="_Toc13839"/>
      <w:r>
        <w:rPr>
          <w:rFonts w:hint="eastAsia" w:ascii="宋体" w:hAnsi="宋体"/>
          <w:b/>
          <w:bCs/>
          <w:highlight w:val="none"/>
        </w:rPr>
        <w:t>附件</w:t>
      </w:r>
      <w:r>
        <w:rPr>
          <w:rFonts w:hint="eastAsia" w:ascii="宋体" w:hAnsi="宋体"/>
          <w:b/>
          <w:bCs/>
          <w:highlight w:val="none"/>
          <w:lang w:val="en-US" w:eastAsia="zh-CN"/>
        </w:rPr>
        <w:t>7</w:t>
      </w:r>
      <w:r>
        <w:rPr>
          <w:rFonts w:hint="eastAsia" w:ascii="宋体" w:hAnsi="宋体"/>
          <w:b/>
          <w:bCs/>
          <w:highlight w:val="none"/>
        </w:rPr>
        <w:t>.投标报价表</w:t>
      </w:r>
      <w:bookmarkEnd w:id="372"/>
      <w:bookmarkEnd w:id="373"/>
      <w:bookmarkEnd w:id="374"/>
      <w:bookmarkEnd w:id="375"/>
      <w:bookmarkEnd w:id="376"/>
      <w:bookmarkEnd w:id="377"/>
      <w:bookmarkEnd w:id="378"/>
      <w:bookmarkEnd w:id="379"/>
    </w:p>
    <w:p w14:paraId="2EFB9FF8">
      <w:pPr>
        <w:rPr>
          <w:rFonts w:ascii="宋体 (正文)" w:hAnsi="宋体 (正文)" w:eastAsia="宋体 (正文)" w:cs="宋体 (正文)"/>
          <w:sz w:val="28"/>
          <w:highlight w:val="none"/>
        </w:rPr>
      </w:pPr>
    </w:p>
    <w:p w14:paraId="76CF02C6">
      <w:pPr>
        <w:spacing w:line="360" w:lineRule="auto"/>
        <w:rPr>
          <w:rFonts w:ascii="宋体 (正文)" w:hAnsi="宋体 (正文)" w:eastAsia="宋体 (正文)" w:cs="宋体 (正文)"/>
          <w:kern w:val="0"/>
          <w:sz w:val="28"/>
          <w:highlight w:val="none"/>
        </w:rPr>
      </w:pPr>
      <w:r>
        <w:rPr>
          <w:rFonts w:hint="eastAsia" w:ascii="宋体 (正文)" w:hAnsi="宋体 (正文)" w:eastAsia="宋体 (正文)" w:cs="宋体 (正文)"/>
          <w:kern w:val="0"/>
          <w:sz w:val="28"/>
          <w:highlight w:val="none"/>
        </w:rPr>
        <w:t>（一）投标报价表</w:t>
      </w:r>
    </w:p>
    <w:p w14:paraId="3AFF63AC">
      <w:pPr>
        <w:spacing w:line="360" w:lineRule="auto"/>
        <w:jc w:val="right"/>
        <w:rPr>
          <w:rFonts w:ascii="宋体 (正文)" w:hAnsi="宋体 (正文)" w:eastAsia="宋体 (正文)" w:cs="宋体 (正文)"/>
          <w:kern w:val="0"/>
          <w:highlight w:val="none"/>
        </w:rPr>
      </w:pPr>
      <w:r>
        <w:rPr>
          <w:rFonts w:hint="eastAsia" w:ascii="宋体 (正文)" w:hAnsi="宋体 (正文)" w:eastAsia="宋体 (正文)" w:cs="宋体 (正文)"/>
          <w:kern w:val="0"/>
          <w:sz w:val="28"/>
          <w:highlight w:val="none"/>
        </w:rPr>
        <w:t>单位：人民币 元</w:t>
      </w:r>
    </w:p>
    <w:tbl>
      <w:tblPr>
        <w:tblStyle w:val="35"/>
        <w:tblW w:w="872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1"/>
        <w:gridCol w:w="2004"/>
        <w:gridCol w:w="3080"/>
      </w:tblGrid>
      <w:tr w14:paraId="35A8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641" w:type="dxa"/>
            <w:vAlign w:val="center"/>
          </w:tcPr>
          <w:p w14:paraId="30FF88EF">
            <w:pPr>
              <w:spacing w:line="240" w:lineRule="auto"/>
              <w:jc w:val="center"/>
              <w:rPr>
                <w:rFonts w:ascii="宋体 (正文)" w:hAnsi="宋体 (正文)" w:eastAsia="宋体 (正文)" w:cs="宋体 (正文)"/>
                <w:b/>
                <w:kern w:val="0"/>
                <w:highlight w:val="none"/>
              </w:rPr>
            </w:pPr>
            <w:r>
              <w:rPr>
                <w:rFonts w:hint="eastAsia" w:ascii="宋体 (正文)" w:hAnsi="宋体 (正文)" w:eastAsia="宋体 (正文)" w:cs="宋体 (正文)"/>
                <w:b/>
                <w:kern w:val="0"/>
                <w:sz w:val="28"/>
                <w:highlight w:val="none"/>
              </w:rPr>
              <w:t>投保人</w:t>
            </w:r>
          </w:p>
        </w:tc>
        <w:tc>
          <w:tcPr>
            <w:tcW w:w="2004" w:type="dxa"/>
            <w:vAlign w:val="center"/>
          </w:tcPr>
          <w:p w14:paraId="1D0997A2">
            <w:pPr>
              <w:spacing w:line="240" w:lineRule="auto"/>
              <w:jc w:val="center"/>
              <w:rPr>
                <w:rFonts w:ascii="宋体 (正文)" w:hAnsi="宋体 (正文)" w:eastAsia="宋体 (正文)" w:cs="宋体 (正文)"/>
                <w:b/>
                <w:kern w:val="0"/>
                <w:highlight w:val="none"/>
              </w:rPr>
            </w:pPr>
            <w:r>
              <w:rPr>
                <w:rFonts w:hint="eastAsia" w:ascii="宋体 (正文)" w:hAnsi="宋体 (正文)" w:eastAsia="宋体 (正文)" w:cs="宋体 (正文)"/>
                <w:b/>
                <w:kern w:val="0"/>
                <w:sz w:val="28"/>
                <w:highlight w:val="none"/>
              </w:rPr>
              <w:t>险种</w:t>
            </w:r>
          </w:p>
        </w:tc>
        <w:tc>
          <w:tcPr>
            <w:tcW w:w="3080" w:type="dxa"/>
            <w:vAlign w:val="center"/>
          </w:tcPr>
          <w:p w14:paraId="6D2CDACA">
            <w:pPr>
              <w:spacing w:line="240" w:lineRule="auto"/>
              <w:jc w:val="center"/>
              <w:rPr>
                <w:rFonts w:ascii="宋体 (正文)" w:hAnsi="宋体 (正文)" w:eastAsia="宋体 (正文)" w:cs="宋体 (正文)"/>
                <w:b/>
                <w:kern w:val="0"/>
                <w:highlight w:val="none"/>
              </w:rPr>
            </w:pPr>
            <w:r>
              <w:rPr>
                <w:rFonts w:hint="eastAsia" w:ascii="宋体 (正文)" w:hAnsi="宋体 (正文)" w:eastAsia="宋体 (正文)" w:cs="宋体 (正文)"/>
                <w:b/>
                <w:kern w:val="0"/>
                <w:sz w:val="28"/>
                <w:highlight w:val="none"/>
              </w:rPr>
              <w:t>保费</w:t>
            </w:r>
          </w:p>
        </w:tc>
      </w:tr>
      <w:tr w14:paraId="3240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3641" w:type="dxa"/>
            <w:vAlign w:val="center"/>
          </w:tcPr>
          <w:p w14:paraId="761846FF">
            <w:pPr>
              <w:spacing w:line="360" w:lineRule="auto"/>
              <w:jc w:val="center"/>
              <w:rPr>
                <w:rFonts w:hint="eastAsia" w:ascii="宋体 (正文)" w:hAnsi="宋体 (正文)" w:eastAsia="宋体 (正文)" w:cs="宋体 (正文)"/>
                <w:kern w:val="0"/>
                <w:szCs w:val="21"/>
                <w:highlight w:val="none"/>
                <w:lang w:eastAsia="zh-CN"/>
              </w:rPr>
            </w:pPr>
            <w:r>
              <w:rPr>
                <w:rFonts w:hint="eastAsia" w:ascii="宋体 (正文)" w:hAnsi="宋体 (正文)" w:eastAsia="宋体 (正文)" w:cs="宋体 (正文)"/>
                <w:kern w:val="0"/>
                <w:sz w:val="28"/>
                <w:szCs w:val="21"/>
                <w:highlight w:val="none"/>
                <w:lang w:eastAsia="zh-CN"/>
              </w:rPr>
              <w:t>深圳市福田区第二人民医院</w:t>
            </w:r>
          </w:p>
        </w:tc>
        <w:tc>
          <w:tcPr>
            <w:tcW w:w="2004" w:type="dxa"/>
            <w:vAlign w:val="center"/>
          </w:tcPr>
          <w:p w14:paraId="7D8C1320">
            <w:pPr>
              <w:spacing w:line="360" w:lineRule="auto"/>
              <w:jc w:val="center"/>
              <w:rPr>
                <w:rFonts w:ascii="宋体 (正文)" w:hAnsi="宋体 (正文)" w:eastAsia="宋体 (正文)" w:cs="宋体 (正文)"/>
                <w:kern w:val="0"/>
                <w:szCs w:val="21"/>
                <w:highlight w:val="none"/>
              </w:rPr>
            </w:pPr>
            <w:r>
              <w:rPr>
                <w:rFonts w:hint="eastAsia" w:ascii="宋体 (正文)" w:hAnsi="宋体 (正文)" w:eastAsia="宋体 (正文)" w:cs="宋体 (正文)"/>
                <w:kern w:val="0"/>
                <w:sz w:val="28"/>
                <w:szCs w:val="21"/>
                <w:highlight w:val="none"/>
              </w:rPr>
              <w:t>医疗责任保险</w:t>
            </w:r>
          </w:p>
        </w:tc>
        <w:tc>
          <w:tcPr>
            <w:tcW w:w="3080" w:type="dxa"/>
            <w:vAlign w:val="center"/>
          </w:tcPr>
          <w:p w14:paraId="7A52C1DC">
            <w:pPr>
              <w:spacing w:line="360" w:lineRule="auto"/>
              <w:jc w:val="center"/>
              <w:rPr>
                <w:rFonts w:ascii="宋体 (正文)" w:hAnsi="宋体 (正文)" w:eastAsia="宋体 (正文)" w:cs="宋体 (正文)"/>
                <w:kern w:val="0"/>
                <w:highlight w:val="none"/>
              </w:rPr>
            </w:pPr>
          </w:p>
        </w:tc>
      </w:tr>
    </w:tbl>
    <w:p w14:paraId="253BF23C">
      <w:pPr>
        <w:spacing w:line="360" w:lineRule="auto"/>
        <w:ind w:right="480" w:rightChars="200"/>
        <w:rPr>
          <w:rFonts w:ascii="宋体 (正文)" w:hAnsi="宋体 (正文)" w:eastAsia="宋体 (正文)" w:cs="宋体 (正文)"/>
          <w:sz w:val="28"/>
          <w:highlight w:val="none"/>
        </w:rPr>
      </w:pPr>
    </w:p>
    <w:p w14:paraId="25ACF753">
      <w:pPr>
        <w:spacing w:line="360" w:lineRule="auto"/>
        <w:ind w:right="480" w:rightChars="200"/>
        <w:rPr>
          <w:rFonts w:ascii="宋体 (正文)" w:hAnsi="宋体 (正文)" w:eastAsia="宋体 (正文)" w:cs="宋体 (正文)"/>
          <w:sz w:val="28"/>
          <w:highlight w:val="none"/>
        </w:rPr>
      </w:pPr>
      <w:r>
        <w:rPr>
          <w:rFonts w:hint="eastAsia" w:ascii="宋体 (正文)" w:hAnsi="宋体 (正文)" w:eastAsia="宋体 (正文)" w:cs="宋体 (正文)"/>
          <w:sz w:val="28"/>
          <w:highlight w:val="none"/>
        </w:rPr>
        <w:t>（二）投标说明</w:t>
      </w:r>
    </w:p>
    <w:p w14:paraId="6F8D4489">
      <w:pPr>
        <w:spacing w:line="360" w:lineRule="auto"/>
        <w:ind w:right="480" w:rightChars="200" w:firstLine="560" w:firstLineChars="200"/>
        <w:rPr>
          <w:rFonts w:ascii="宋体 (正文)" w:hAnsi="宋体 (正文)" w:eastAsia="宋体 (正文)" w:cs="宋体 (正文)"/>
          <w:sz w:val="28"/>
          <w:highlight w:val="none"/>
        </w:rPr>
      </w:pPr>
      <w:r>
        <w:rPr>
          <w:rFonts w:hint="eastAsia" w:ascii="宋体 (正文)" w:hAnsi="宋体 (正文)" w:eastAsia="宋体 (正文)" w:cs="宋体 (正文)"/>
          <w:sz w:val="28"/>
          <w:highlight w:val="none"/>
        </w:rPr>
        <w:t>1投标有效期：自投标截止时间起90个日历日。</w:t>
      </w:r>
    </w:p>
    <w:p w14:paraId="12D3B3DB">
      <w:pPr>
        <w:spacing w:line="360" w:lineRule="auto"/>
        <w:ind w:right="480" w:rightChars="200" w:firstLine="560" w:firstLineChars="200"/>
        <w:rPr>
          <w:highlight w:val="none"/>
        </w:rPr>
      </w:pPr>
      <w:r>
        <w:rPr>
          <w:rFonts w:hint="eastAsia" w:ascii="宋体 (正文)" w:hAnsi="宋体 (正文)" w:eastAsia="宋体 (正文)" w:cs="宋体 (正文)"/>
          <w:sz w:val="28"/>
          <w:highlight w:val="none"/>
        </w:rPr>
        <w:t>2此报价已包含投标人依法应支付给保险经纪人的保险经纪费。</w:t>
      </w:r>
    </w:p>
    <w:p w14:paraId="291BFF6B">
      <w:pPr>
        <w:spacing w:line="360" w:lineRule="auto"/>
        <w:ind w:right="480" w:rightChars="200"/>
        <w:rPr>
          <w:rFonts w:ascii="宋体 (正文)" w:hAnsi="宋体 (正文)" w:eastAsia="宋体 (正文)" w:cs="宋体 (正文)"/>
          <w:sz w:val="28"/>
          <w:highlight w:val="none"/>
        </w:rPr>
      </w:pPr>
    </w:p>
    <w:p w14:paraId="489520F2">
      <w:pPr>
        <w:spacing w:line="360" w:lineRule="auto"/>
        <w:ind w:left="617" w:leftChars="257" w:firstLine="4060" w:firstLineChars="1450"/>
        <w:rPr>
          <w:rFonts w:ascii="宋体 (正文)" w:hAnsi="宋体 (正文)" w:eastAsia="宋体 (正文)" w:cs="宋体 (正文)"/>
          <w:color w:val="000000"/>
          <w:sz w:val="28"/>
          <w:highlight w:val="none"/>
          <w:u w:val="single"/>
        </w:rPr>
      </w:pPr>
      <w:r>
        <w:rPr>
          <w:rFonts w:hint="eastAsia" w:ascii="宋体 (正文)" w:hAnsi="宋体 (正文)" w:eastAsia="宋体 (正文)" w:cs="宋体 (正文)"/>
          <w:color w:val="000000"/>
          <w:sz w:val="28"/>
          <w:highlight w:val="none"/>
        </w:rPr>
        <w:t>授权代表（签字）：</w:t>
      </w:r>
    </w:p>
    <w:p w14:paraId="56C0B32F">
      <w:pPr>
        <w:spacing w:line="360" w:lineRule="auto"/>
        <w:ind w:left="617" w:leftChars="257" w:firstLine="4060" w:firstLineChars="1450"/>
        <w:rPr>
          <w:rFonts w:ascii="宋体 (正文)" w:hAnsi="宋体 (正文)" w:eastAsia="宋体 (正文)" w:cs="宋体 (正文)"/>
          <w:color w:val="000000"/>
          <w:sz w:val="28"/>
          <w:highlight w:val="none"/>
          <w:u w:val="single"/>
        </w:rPr>
      </w:pPr>
      <w:r>
        <w:rPr>
          <w:rFonts w:hint="eastAsia" w:ascii="宋体 (正文)" w:hAnsi="宋体 (正文)" w:eastAsia="宋体 (正文)" w:cs="宋体 (正文)"/>
          <w:color w:val="000000"/>
          <w:sz w:val="28"/>
          <w:highlight w:val="none"/>
        </w:rPr>
        <w:t>投标单位（</w:t>
      </w:r>
      <w:r>
        <w:rPr>
          <w:rFonts w:hint="eastAsia" w:ascii="宋体 (正文)" w:hAnsi="宋体 (正文)" w:eastAsia="宋体 (正文)" w:cs="宋体 (正文)"/>
          <w:color w:val="000000"/>
          <w:sz w:val="28"/>
          <w:highlight w:val="none"/>
          <w:lang w:eastAsia="zh-CN"/>
        </w:rPr>
        <w:t>盖章</w:t>
      </w:r>
      <w:r>
        <w:rPr>
          <w:rFonts w:hint="eastAsia" w:ascii="宋体 (正文)" w:hAnsi="宋体 (正文)" w:eastAsia="宋体 (正文)" w:cs="宋体 (正文)"/>
          <w:color w:val="000000"/>
          <w:sz w:val="28"/>
          <w:highlight w:val="none"/>
        </w:rPr>
        <w:t>）：</w:t>
      </w:r>
    </w:p>
    <w:p w14:paraId="01C8D13F">
      <w:pPr>
        <w:rPr>
          <w:rStyle w:val="63"/>
          <w:b w:val="0"/>
          <w:bCs w:val="0"/>
          <w:highlight w:val="none"/>
        </w:rPr>
      </w:pPr>
      <w:r>
        <w:rPr>
          <w:rFonts w:hint="eastAsia" w:ascii="宋体 (正文)" w:hAnsi="宋体 (正文)" w:eastAsia="宋体 (正文)" w:cs="宋体 (正文)"/>
          <w:color w:val="000000"/>
          <w:sz w:val="28"/>
          <w:highlight w:val="none"/>
        </w:rPr>
        <w:t xml:space="preserve">                        日期：        年    月    日</w:t>
      </w:r>
    </w:p>
    <w:bookmarkEnd w:id="361"/>
    <w:bookmarkEnd w:id="362"/>
    <w:bookmarkEnd w:id="363"/>
    <w:bookmarkEnd w:id="364"/>
    <w:bookmarkEnd w:id="365"/>
    <w:bookmarkEnd w:id="366"/>
    <w:p w14:paraId="4643ABDA">
      <w:pPr>
        <w:rPr>
          <w:sz w:val="28"/>
          <w:highlight w:val="none"/>
        </w:rPr>
      </w:pPr>
      <w:bookmarkStart w:id="380" w:name="_Toc27125"/>
      <w:bookmarkStart w:id="381" w:name="_Toc11619"/>
      <w:bookmarkStart w:id="382" w:name="_Toc1885"/>
      <w:bookmarkStart w:id="383" w:name="_Toc12558_WPSOffice_Level1"/>
      <w:bookmarkStart w:id="384" w:name="_Toc27104_WPSOffice_Level1"/>
      <w:r>
        <w:rPr>
          <w:rFonts w:hint="eastAsia"/>
          <w:sz w:val="28"/>
          <w:highlight w:val="none"/>
        </w:rPr>
        <w:br w:type="page"/>
      </w:r>
    </w:p>
    <w:p w14:paraId="244B1484">
      <w:pPr>
        <w:pStyle w:val="3"/>
        <w:bidi w:val="0"/>
        <w:jc w:val="left"/>
        <w:rPr>
          <w:rFonts w:hint="eastAsia" w:ascii="宋体" w:hAnsi="宋体"/>
          <w:b/>
          <w:bCs/>
          <w:highlight w:val="none"/>
        </w:rPr>
      </w:pPr>
      <w:bookmarkStart w:id="385" w:name="_Toc14479"/>
      <w:bookmarkStart w:id="386" w:name="_Toc21545"/>
      <w:r>
        <w:rPr>
          <w:rFonts w:hint="eastAsia" w:ascii="宋体" w:hAnsi="宋体"/>
          <w:b/>
          <w:bCs/>
          <w:highlight w:val="none"/>
        </w:rPr>
        <w:t>附件</w:t>
      </w:r>
      <w:r>
        <w:rPr>
          <w:rFonts w:hint="eastAsia" w:ascii="宋体" w:hAnsi="宋体"/>
          <w:b/>
          <w:bCs/>
          <w:highlight w:val="none"/>
          <w:lang w:val="en-US" w:eastAsia="zh-CN"/>
        </w:rPr>
        <w:t>8</w:t>
      </w:r>
      <w:r>
        <w:rPr>
          <w:rFonts w:hint="eastAsia" w:ascii="宋体" w:hAnsi="宋体"/>
          <w:b/>
          <w:bCs/>
          <w:highlight w:val="none"/>
        </w:rPr>
        <w:t>.佣金比例确认函</w:t>
      </w:r>
      <w:bookmarkEnd w:id="380"/>
      <w:bookmarkEnd w:id="381"/>
      <w:bookmarkEnd w:id="382"/>
      <w:bookmarkEnd w:id="385"/>
      <w:bookmarkEnd w:id="386"/>
    </w:p>
    <w:p w14:paraId="241133C3">
      <w:pPr>
        <w:spacing w:before="480" w:beforeLines="200" w:line="360" w:lineRule="auto"/>
        <w:rPr>
          <w:rFonts w:ascii="宋体" w:hAnsi="宋体"/>
          <w:sz w:val="28"/>
          <w:highlight w:val="none"/>
        </w:rPr>
      </w:pPr>
      <w:r>
        <w:rPr>
          <w:rFonts w:hint="eastAsia" w:ascii="宋体" w:hAnsi="宋体"/>
          <w:sz w:val="28"/>
          <w:highlight w:val="none"/>
        </w:rPr>
        <w:t>友太安保险经纪有限公司深圳分公司：</w:t>
      </w:r>
    </w:p>
    <w:p w14:paraId="38D4F55D">
      <w:pPr>
        <w:spacing w:line="360" w:lineRule="auto"/>
        <w:rPr>
          <w:rFonts w:ascii="宋体" w:hAnsi="宋体"/>
          <w:b/>
          <w:bCs/>
          <w:sz w:val="28"/>
          <w:highlight w:val="none"/>
        </w:rPr>
      </w:pPr>
    </w:p>
    <w:p w14:paraId="7AED2DDF">
      <w:pPr>
        <w:spacing w:line="360" w:lineRule="auto"/>
        <w:ind w:firstLine="630" w:firstLineChars="225"/>
        <w:rPr>
          <w:rFonts w:ascii="宋体" w:hAnsi="宋体"/>
          <w:sz w:val="28"/>
          <w:highlight w:val="none"/>
        </w:rPr>
      </w:pPr>
      <w:r>
        <w:rPr>
          <w:rFonts w:hint="eastAsia" w:ascii="宋体" w:hAnsi="宋体"/>
          <w:sz w:val="28"/>
          <w:highlight w:val="none"/>
        </w:rPr>
        <w:t>我公司同意向贵公司支付</w:t>
      </w:r>
      <w:r>
        <w:rPr>
          <w:rFonts w:hint="eastAsia" w:ascii="宋体" w:hAnsi="宋体"/>
          <w:kern w:val="0"/>
          <w:sz w:val="28"/>
          <w:highlight w:val="none"/>
          <w:lang w:eastAsia="zh-CN"/>
        </w:rPr>
        <w:t>深圳市福田区第二人民医院</w:t>
      </w:r>
      <w:r>
        <w:rPr>
          <w:rFonts w:hint="eastAsia" w:ascii="宋体" w:hAnsi="宋体"/>
          <w:kern w:val="0"/>
          <w:sz w:val="28"/>
          <w:highlight w:val="none"/>
        </w:rPr>
        <w:t>医疗责任保</w:t>
      </w:r>
      <w:r>
        <w:rPr>
          <w:rFonts w:hint="eastAsia" w:ascii="宋体" w:hAnsi="宋体"/>
          <w:sz w:val="28"/>
          <w:highlight w:val="none"/>
        </w:rPr>
        <w:t>险招标</w:t>
      </w:r>
      <w:r>
        <w:rPr>
          <w:rFonts w:hint="eastAsia" w:ascii="宋体" w:hAnsi="宋体"/>
          <w:kern w:val="0"/>
          <w:sz w:val="28"/>
          <w:highlight w:val="none"/>
        </w:rPr>
        <w:t>项目</w:t>
      </w:r>
      <w:r>
        <w:rPr>
          <w:rFonts w:hint="eastAsia" w:ascii="宋体" w:hAnsi="宋体"/>
          <w:sz w:val="28"/>
          <w:highlight w:val="none"/>
        </w:rPr>
        <w:t>的经纪人佣金，佣金比例为含税保险费的</w:t>
      </w:r>
      <w:r>
        <w:rPr>
          <w:rFonts w:hint="eastAsia" w:ascii="宋体" w:hAnsi="宋体"/>
          <w:sz w:val="28"/>
          <w:highlight w:val="none"/>
          <w:u w:val="single"/>
        </w:rPr>
        <w:t xml:space="preserve"> </w:t>
      </w:r>
      <w:r>
        <w:rPr>
          <w:rFonts w:hint="eastAsia" w:ascii="宋体" w:hAnsi="宋体"/>
          <w:sz w:val="28"/>
          <w:highlight w:val="none"/>
          <w:u w:val="single"/>
          <w:lang w:val="en-US" w:eastAsia="zh-CN"/>
        </w:rPr>
        <w:t xml:space="preserve"> </w:t>
      </w:r>
      <w:r>
        <w:rPr>
          <w:rFonts w:hint="eastAsia" w:ascii="宋体" w:hAnsi="宋体"/>
          <w:sz w:val="28"/>
          <w:highlight w:val="none"/>
          <w:u w:val="single"/>
        </w:rPr>
        <w:t xml:space="preserve"> </w:t>
      </w:r>
      <w:r>
        <w:rPr>
          <w:rFonts w:hint="eastAsia" w:ascii="宋体" w:hAnsi="宋体"/>
          <w:sz w:val="28"/>
          <w:highlight w:val="none"/>
        </w:rPr>
        <w:t>%。</w:t>
      </w:r>
    </w:p>
    <w:p w14:paraId="4A08E590">
      <w:pPr>
        <w:spacing w:line="360" w:lineRule="auto"/>
        <w:ind w:firstLine="630" w:firstLineChars="225"/>
        <w:rPr>
          <w:rFonts w:ascii="宋体" w:hAnsi="宋体"/>
          <w:sz w:val="28"/>
          <w:highlight w:val="none"/>
        </w:rPr>
      </w:pPr>
      <w:r>
        <w:rPr>
          <w:rFonts w:hint="eastAsia" w:ascii="宋体" w:hAnsi="宋体"/>
          <w:sz w:val="28"/>
          <w:highlight w:val="none"/>
        </w:rPr>
        <w:t>我公司将在保险费到帐后15个工作日内向贵公司支付。</w:t>
      </w:r>
    </w:p>
    <w:p w14:paraId="244A3097">
      <w:pPr>
        <w:spacing w:line="360" w:lineRule="auto"/>
        <w:ind w:firstLine="630" w:firstLineChars="225"/>
        <w:rPr>
          <w:rFonts w:ascii="宋体" w:hAnsi="宋体"/>
          <w:sz w:val="28"/>
          <w:highlight w:val="none"/>
        </w:rPr>
      </w:pPr>
    </w:p>
    <w:p w14:paraId="701D8428">
      <w:pPr>
        <w:tabs>
          <w:tab w:val="left" w:pos="5805"/>
        </w:tabs>
        <w:spacing w:line="360" w:lineRule="auto"/>
        <w:ind w:firstLine="630" w:firstLineChars="225"/>
        <w:rPr>
          <w:rFonts w:ascii="宋体" w:hAnsi="宋体"/>
          <w:sz w:val="28"/>
          <w:highlight w:val="none"/>
        </w:rPr>
      </w:pPr>
    </w:p>
    <w:p w14:paraId="2C9BFA16">
      <w:pPr>
        <w:spacing w:line="360" w:lineRule="auto"/>
        <w:rPr>
          <w:rFonts w:ascii="宋体" w:hAnsi="宋体"/>
          <w:sz w:val="28"/>
          <w:highlight w:val="none"/>
        </w:rPr>
      </w:pPr>
    </w:p>
    <w:p w14:paraId="0D264697">
      <w:pPr>
        <w:spacing w:line="360" w:lineRule="auto"/>
        <w:ind w:left="617" w:leftChars="257" w:firstLine="3360" w:firstLineChars="1200"/>
        <w:rPr>
          <w:rFonts w:hint="eastAsia" w:ascii="宋体" w:hAnsi="宋体"/>
          <w:color w:val="000000"/>
          <w:sz w:val="28"/>
          <w:highlight w:val="none"/>
          <w:u w:val="single"/>
        </w:rPr>
      </w:pPr>
      <w:r>
        <w:rPr>
          <w:rFonts w:hint="eastAsia" w:ascii="宋体" w:hAnsi="宋体"/>
          <w:color w:val="000000"/>
          <w:sz w:val="28"/>
          <w:highlight w:val="none"/>
        </w:rPr>
        <w:t>授权代表(签字)：</w:t>
      </w:r>
      <w:r>
        <w:rPr>
          <w:rFonts w:hint="eastAsia" w:ascii="宋体" w:hAnsi="宋体"/>
          <w:color w:val="000000"/>
          <w:sz w:val="28"/>
          <w:highlight w:val="none"/>
          <w:u w:val="single"/>
        </w:rPr>
        <w:t xml:space="preserve">               </w:t>
      </w:r>
    </w:p>
    <w:p w14:paraId="241035CA">
      <w:pPr>
        <w:spacing w:line="360" w:lineRule="auto"/>
        <w:ind w:left="617" w:leftChars="257" w:firstLine="3360" w:firstLineChars="1200"/>
        <w:rPr>
          <w:rFonts w:hint="eastAsia" w:ascii="宋体" w:hAnsi="宋体"/>
          <w:color w:val="000000"/>
          <w:sz w:val="28"/>
          <w:highlight w:val="none"/>
          <w:u w:val="single"/>
        </w:rPr>
      </w:pPr>
      <w:r>
        <w:rPr>
          <w:rFonts w:hint="eastAsia" w:ascii="宋体" w:hAnsi="宋体"/>
          <w:color w:val="000000"/>
          <w:sz w:val="28"/>
          <w:highlight w:val="none"/>
        </w:rPr>
        <w:t>投标单位（</w:t>
      </w:r>
      <w:r>
        <w:rPr>
          <w:rFonts w:hint="eastAsia" w:ascii="宋体" w:hAnsi="宋体"/>
          <w:color w:val="000000"/>
          <w:sz w:val="28"/>
          <w:highlight w:val="none"/>
          <w:lang w:eastAsia="zh-CN"/>
        </w:rPr>
        <w:t>盖章</w:t>
      </w:r>
      <w:r>
        <w:rPr>
          <w:rFonts w:hint="eastAsia" w:ascii="宋体" w:hAnsi="宋体"/>
          <w:color w:val="000000"/>
          <w:sz w:val="28"/>
          <w:highlight w:val="none"/>
        </w:rPr>
        <w:t>）：</w:t>
      </w:r>
      <w:r>
        <w:rPr>
          <w:rFonts w:hint="eastAsia" w:ascii="宋体" w:hAnsi="宋体"/>
          <w:color w:val="000000"/>
          <w:sz w:val="28"/>
          <w:highlight w:val="none"/>
          <w:u w:val="single"/>
        </w:rPr>
        <w:t xml:space="preserve">         </w:t>
      </w:r>
    </w:p>
    <w:p w14:paraId="4A56B88E">
      <w:pPr>
        <w:spacing w:line="360" w:lineRule="auto"/>
        <w:ind w:left="257"/>
        <w:jc w:val="right"/>
        <w:rPr>
          <w:rFonts w:ascii="宋体" w:hAnsi="宋体"/>
          <w:color w:val="000000"/>
          <w:sz w:val="28"/>
          <w:highlight w:val="none"/>
        </w:rPr>
      </w:pPr>
      <w:r>
        <w:rPr>
          <w:rFonts w:hint="eastAsia" w:ascii="宋体" w:hAnsi="宋体"/>
          <w:color w:val="000000"/>
          <w:sz w:val="28"/>
          <w:highlight w:val="none"/>
        </w:rPr>
        <w:t>日期：        年    月    日</w:t>
      </w:r>
      <w:bookmarkEnd w:id="383"/>
      <w:bookmarkEnd w:id="384"/>
    </w:p>
    <w:p w14:paraId="740E9695">
      <w:pPr>
        <w:rPr>
          <w:rFonts w:ascii="宋体" w:hAnsi="宋体" w:cs="宋体"/>
          <w:sz w:val="28"/>
          <w:szCs w:val="28"/>
          <w:highlight w:val="none"/>
        </w:rPr>
      </w:pPr>
    </w:p>
    <w:sectPr>
      <w:headerReference r:id="rId11" w:type="first"/>
      <w:footerReference r:id="rId12" w:type="default"/>
      <w:pgSz w:w="11906" w:h="16838"/>
      <w:pgMar w:top="1440" w:right="1797" w:bottom="1440" w:left="1797" w:header="851" w:footer="992" w:gutter="0"/>
      <w:pgNumType w:fmt="numberInDash"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8"/>
    <w:family w:val="modern"/>
    <w:pitch w:val="default"/>
    <w:sig w:usb0="00000000" w:usb1="00000000" w:usb2="00000010" w:usb3="00000000" w:csb0="0010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全真簡中楷">
    <w:altName w:val="宋体"/>
    <w:panose1 w:val="00000000000000000000"/>
    <w:charset w:val="88"/>
    <w:family w:val="modern"/>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宋体 (正文)">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C675D">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F641">
    <w:pPr>
      <w:pStyle w:val="24"/>
      <w:tabs>
        <w:tab w:val="center" w:pos="4873"/>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C2E14">
    <w:pPr>
      <w:pStyle w:val="2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F2424">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6D2EF">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DF9DA">
                          <w:pPr>
                            <w:pStyle w:val="2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DFDF9DA">
                    <w:pPr>
                      <w:pStyle w:val="2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342D0">
    <w:pPr>
      <w:pStyle w:val="25"/>
      <w:pBdr>
        <w:bottom w:val="double" w:color="auto" w:sz="8" w:space="0"/>
      </w:pBdr>
      <w:jc w:val="right"/>
    </w:pPr>
    <w:r>
      <w:drawing>
        <wp:anchor distT="0" distB="0" distL="114300" distR="114300" simplePos="0" relativeHeight="251659264" behindDoc="0" locked="0" layoutInCell="1" allowOverlap="1">
          <wp:simplePos x="0" y="0"/>
          <wp:positionH relativeFrom="column">
            <wp:posOffset>-17780</wp:posOffset>
          </wp:positionH>
          <wp:positionV relativeFrom="paragraph">
            <wp:posOffset>-71755</wp:posOffset>
          </wp:positionV>
          <wp:extent cx="1189355" cy="210820"/>
          <wp:effectExtent l="0" t="0" r="10795" b="17780"/>
          <wp:wrapNone/>
          <wp:docPr id="1" name="图片 1" descr="透明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透明大.png"/>
                  <pic:cNvPicPr>
                    <a:picLocks noChangeAspect="1"/>
                  </pic:cNvPicPr>
                </pic:nvPicPr>
                <pic:blipFill>
                  <a:blip r:embed="rId1"/>
                  <a:stretch>
                    <a:fillRect/>
                  </a:stretch>
                </pic:blipFill>
                <pic:spPr>
                  <a:xfrm>
                    <a:off x="0" y="0"/>
                    <a:ext cx="1189355" cy="210820"/>
                  </a:xfrm>
                  <a:prstGeom prst="rect">
                    <a:avLst/>
                  </a:prstGeom>
                  <a:noFill/>
                  <a:ln w="9525">
                    <a:noFill/>
                  </a:ln>
                </pic:spPr>
              </pic:pic>
            </a:graphicData>
          </a:graphic>
        </wp:anchor>
      </w:drawing>
    </w:r>
    <w:r>
      <w:rPr>
        <w:rFonts w:hint="eastAsia" w:ascii="宋体" w:hAnsi="宋体" w:cs="宋体"/>
        <w:bCs/>
      </w:rPr>
      <w:t>广州中医药大学深圳医院医务部服装配饰招标文件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8F192">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6EC89">
    <w:pPr>
      <w:pStyle w:val="25"/>
      <w:pBdr>
        <w:bottom w:val="double" w:color="auto" w:sz="8" w:space="0"/>
      </w:pBdr>
      <w:jc w:val="right"/>
    </w:pPr>
    <w:r>
      <w:rPr>
        <w:rFonts w:hint="eastAsia" w:ascii="仿宋" w:hAnsi="仿宋" w:eastAsia="仿宋" w:cs="仿宋"/>
        <w:b w:val="0"/>
        <w:bCs/>
        <w:color w:val="808080" w:themeColor="background1" w:themeShade="80"/>
        <w:lang w:val="en-US" w:eastAsia="zh-CN"/>
      </w:rPr>
      <w:t>深圳市福田区第二人民医院</w:t>
    </w:r>
    <w:r>
      <w:rPr>
        <w:rFonts w:hint="eastAsia" w:ascii="仿宋" w:hAnsi="仿宋" w:eastAsia="仿宋" w:cs="仿宋"/>
        <w:b w:val="0"/>
        <w:bCs/>
        <w:color w:val="808080" w:themeColor="background1" w:themeShade="80"/>
      </w:rPr>
      <w:t>医疗责任保险项目招标文件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2CB24">
    <w:pPr>
      <w:pStyle w:val="25"/>
      <w:pBdr>
        <w:bottom w:val="none" w:color="auto" w:sz="0" w:space="0"/>
      </w:pBdr>
    </w:pPr>
    <w:r>
      <w:drawing>
        <wp:inline distT="0" distB="0" distL="114300" distR="114300">
          <wp:extent cx="4788535" cy="848360"/>
          <wp:effectExtent l="0" t="0" r="12065" b="8890"/>
          <wp:docPr id="6" name="图片 5" descr="透明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透明大.png"/>
                  <pic:cNvPicPr>
                    <a:picLocks noChangeAspect="1"/>
                  </pic:cNvPicPr>
                </pic:nvPicPr>
                <pic:blipFill>
                  <a:blip r:embed="rId1"/>
                  <a:stretch>
                    <a:fillRect/>
                  </a:stretch>
                </pic:blipFill>
                <pic:spPr>
                  <a:xfrm>
                    <a:off x="0" y="0"/>
                    <a:ext cx="4788535" cy="848360"/>
                  </a:xfrm>
                  <a:prstGeom prst="rect">
                    <a:avLst/>
                  </a:prstGeom>
                  <a:noFill/>
                  <a:ln w="9525">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21D6">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decimal"/>
      <w:lvlText w:val="(%1)"/>
      <w:lvlJc w:val="left"/>
      <w:pPr>
        <w:ind w:left="420" w:hanging="420"/>
      </w:pPr>
      <w:rPr>
        <w:rFonts w:hint="eastAsia"/>
      </w:rPr>
    </w:lvl>
    <w:lvl w:ilvl="1" w:tentative="0">
      <w:start w:val="1"/>
      <w:numFmt w:val="decimal"/>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1">
    <w:nsid w:val="077F42A4"/>
    <w:multiLevelType w:val="multilevel"/>
    <w:tmpl w:val="077F42A4"/>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OGY5YmVkMjBhOTE5YzE5MDI0ZmRmYWY2NTVjNzIifQ=="/>
  </w:docVars>
  <w:rsids>
    <w:rsidRoot w:val="00172A27"/>
    <w:rsid w:val="00000299"/>
    <w:rsid w:val="0000077C"/>
    <w:rsid w:val="00002E08"/>
    <w:rsid w:val="00005356"/>
    <w:rsid w:val="00005B62"/>
    <w:rsid w:val="000425A1"/>
    <w:rsid w:val="00045583"/>
    <w:rsid w:val="000573A4"/>
    <w:rsid w:val="000622EC"/>
    <w:rsid w:val="00072AAE"/>
    <w:rsid w:val="00072D18"/>
    <w:rsid w:val="0007537E"/>
    <w:rsid w:val="000825AF"/>
    <w:rsid w:val="00090979"/>
    <w:rsid w:val="00091043"/>
    <w:rsid w:val="000A15FD"/>
    <w:rsid w:val="000A1BD0"/>
    <w:rsid w:val="000C3C5E"/>
    <w:rsid w:val="000C5D88"/>
    <w:rsid w:val="000D27B6"/>
    <w:rsid w:val="000D7E6F"/>
    <w:rsid w:val="000E119A"/>
    <w:rsid w:val="000E1652"/>
    <w:rsid w:val="000E3179"/>
    <w:rsid w:val="000F16A3"/>
    <w:rsid w:val="00101E2F"/>
    <w:rsid w:val="00106039"/>
    <w:rsid w:val="00115DCB"/>
    <w:rsid w:val="00124922"/>
    <w:rsid w:val="00131EE8"/>
    <w:rsid w:val="00153716"/>
    <w:rsid w:val="001549B0"/>
    <w:rsid w:val="00160C2D"/>
    <w:rsid w:val="001614B8"/>
    <w:rsid w:val="00171B87"/>
    <w:rsid w:val="00172203"/>
    <w:rsid w:val="00172A27"/>
    <w:rsid w:val="001811DE"/>
    <w:rsid w:val="001963EE"/>
    <w:rsid w:val="001A3DE9"/>
    <w:rsid w:val="001A48AD"/>
    <w:rsid w:val="001A71EE"/>
    <w:rsid w:val="001B5114"/>
    <w:rsid w:val="001C3400"/>
    <w:rsid w:val="001C4439"/>
    <w:rsid w:val="001C5F3E"/>
    <w:rsid w:val="001C7A80"/>
    <w:rsid w:val="001E436E"/>
    <w:rsid w:val="001E693D"/>
    <w:rsid w:val="001E70FC"/>
    <w:rsid w:val="001F5A90"/>
    <w:rsid w:val="002009CE"/>
    <w:rsid w:val="00207A26"/>
    <w:rsid w:val="00211927"/>
    <w:rsid w:val="00212CE3"/>
    <w:rsid w:val="002161AC"/>
    <w:rsid w:val="00221F99"/>
    <w:rsid w:val="0022306C"/>
    <w:rsid w:val="00232596"/>
    <w:rsid w:val="002338C3"/>
    <w:rsid w:val="002350EB"/>
    <w:rsid w:val="0024549B"/>
    <w:rsid w:val="0025785B"/>
    <w:rsid w:val="002617BB"/>
    <w:rsid w:val="00273852"/>
    <w:rsid w:val="00284F5F"/>
    <w:rsid w:val="00297CAC"/>
    <w:rsid w:val="002B3FF1"/>
    <w:rsid w:val="002C20F0"/>
    <w:rsid w:val="002D276E"/>
    <w:rsid w:val="002E2B7A"/>
    <w:rsid w:val="002E3B21"/>
    <w:rsid w:val="002E712C"/>
    <w:rsid w:val="003011B9"/>
    <w:rsid w:val="00303CB3"/>
    <w:rsid w:val="003149F8"/>
    <w:rsid w:val="00314AA7"/>
    <w:rsid w:val="003219B8"/>
    <w:rsid w:val="00322DBE"/>
    <w:rsid w:val="00324821"/>
    <w:rsid w:val="00325B1E"/>
    <w:rsid w:val="00333FE1"/>
    <w:rsid w:val="00344234"/>
    <w:rsid w:val="00346C48"/>
    <w:rsid w:val="00347897"/>
    <w:rsid w:val="00350FB2"/>
    <w:rsid w:val="003542CB"/>
    <w:rsid w:val="003549DC"/>
    <w:rsid w:val="003571FB"/>
    <w:rsid w:val="00361518"/>
    <w:rsid w:val="00386013"/>
    <w:rsid w:val="003869B1"/>
    <w:rsid w:val="00392C27"/>
    <w:rsid w:val="0039628B"/>
    <w:rsid w:val="00397222"/>
    <w:rsid w:val="003A2051"/>
    <w:rsid w:val="003A4D81"/>
    <w:rsid w:val="003A5D0D"/>
    <w:rsid w:val="003C5144"/>
    <w:rsid w:val="003D2A5A"/>
    <w:rsid w:val="003D697A"/>
    <w:rsid w:val="003E6866"/>
    <w:rsid w:val="003F72F5"/>
    <w:rsid w:val="004016BB"/>
    <w:rsid w:val="00401D0F"/>
    <w:rsid w:val="00402850"/>
    <w:rsid w:val="00404568"/>
    <w:rsid w:val="00427E7D"/>
    <w:rsid w:val="00433F59"/>
    <w:rsid w:val="004344AF"/>
    <w:rsid w:val="004402A5"/>
    <w:rsid w:val="00446179"/>
    <w:rsid w:val="00446C91"/>
    <w:rsid w:val="00447451"/>
    <w:rsid w:val="00447F3A"/>
    <w:rsid w:val="00452753"/>
    <w:rsid w:val="00452C71"/>
    <w:rsid w:val="00456468"/>
    <w:rsid w:val="00457234"/>
    <w:rsid w:val="00461AB7"/>
    <w:rsid w:val="00462496"/>
    <w:rsid w:val="0046334E"/>
    <w:rsid w:val="0047270B"/>
    <w:rsid w:val="00490011"/>
    <w:rsid w:val="00492AF6"/>
    <w:rsid w:val="004966D7"/>
    <w:rsid w:val="004A22B7"/>
    <w:rsid w:val="004B2546"/>
    <w:rsid w:val="004B2BD5"/>
    <w:rsid w:val="004B3AAD"/>
    <w:rsid w:val="004B3EEE"/>
    <w:rsid w:val="004B6FE8"/>
    <w:rsid w:val="004F1334"/>
    <w:rsid w:val="0050437A"/>
    <w:rsid w:val="00507BAE"/>
    <w:rsid w:val="00512F9D"/>
    <w:rsid w:val="0051609B"/>
    <w:rsid w:val="00516DAB"/>
    <w:rsid w:val="00522229"/>
    <w:rsid w:val="00523E70"/>
    <w:rsid w:val="00537E26"/>
    <w:rsid w:val="00542995"/>
    <w:rsid w:val="005647B4"/>
    <w:rsid w:val="00564CD3"/>
    <w:rsid w:val="00571CE1"/>
    <w:rsid w:val="00577665"/>
    <w:rsid w:val="00584EDB"/>
    <w:rsid w:val="00593D2F"/>
    <w:rsid w:val="00595D40"/>
    <w:rsid w:val="005A59F9"/>
    <w:rsid w:val="005B0122"/>
    <w:rsid w:val="005C026D"/>
    <w:rsid w:val="005C56DF"/>
    <w:rsid w:val="005C79CB"/>
    <w:rsid w:val="005D32E3"/>
    <w:rsid w:val="005D7F8A"/>
    <w:rsid w:val="005E2AC2"/>
    <w:rsid w:val="005E4A5F"/>
    <w:rsid w:val="005F0686"/>
    <w:rsid w:val="005F4912"/>
    <w:rsid w:val="00606971"/>
    <w:rsid w:val="00615B0B"/>
    <w:rsid w:val="00643513"/>
    <w:rsid w:val="006565C3"/>
    <w:rsid w:val="00680739"/>
    <w:rsid w:val="00686761"/>
    <w:rsid w:val="00693527"/>
    <w:rsid w:val="006A2C66"/>
    <w:rsid w:val="006B133D"/>
    <w:rsid w:val="006B16FB"/>
    <w:rsid w:val="006B3A43"/>
    <w:rsid w:val="006C2D35"/>
    <w:rsid w:val="006C50A8"/>
    <w:rsid w:val="006D56A4"/>
    <w:rsid w:val="006D6C56"/>
    <w:rsid w:val="006F0445"/>
    <w:rsid w:val="007031A3"/>
    <w:rsid w:val="00705621"/>
    <w:rsid w:val="0071429F"/>
    <w:rsid w:val="0072694F"/>
    <w:rsid w:val="00726E40"/>
    <w:rsid w:val="00732BD5"/>
    <w:rsid w:val="00733E0E"/>
    <w:rsid w:val="007479D8"/>
    <w:rsid w:val="00751E4A"/>
    <w:rsid w:val="0076079E"/>
    <w:rsid w:val="007858AC"/>
    <w:rsid w:val="00790373"/>
    <w:rsid w:val="00790A91"/>
    <w:rsid w:val="00792BA2"/>
    <w:rsid w:val="007A1051"/>
    <w:rsid w:val="007A2D52"/>
    <w:rsid w:val="007A4FA3"/>
    <w:rsid w:val="007B02BA"/>
    <w:rsid w:val="007B0322"/>
    <w:rsid w:val="007B3D3C"/>
    <w:rsid w:val="007C0ECB"/>
    <w:rsid w:val="007C28CB"/>
    <w:rsid w:val="007C41FD"/>
    <w:rsid w:val="007D5ACB"/>
    <w:rsid w:val="007D6A28"/>
    <w:rsid w:val="007E7074"/>
    <w:rsid w:val="00802A2C"/>
    <w:rsid w:val="0080660E"/>
    <w:rsid w:val="00820D14"/>
    <w:rsid w:val="00825137"/>
    <w:rsid w:val="00827274"/>
    <w:rsid w:val="00827C62"/>
    <w:rsid w:val="008309C2"/>
    <w:rsid w:val="00840BE9"/>
    <w:rsid w:val="0084597A"/>
    <w:rsid w:val="00851595"/>
    <w:rsid w:val="008535CE"/>
    <w:rsid w:val="00855D81"/>
    <w:rsid w:val="0086029B"/>
    <w:rsid w:val="00860EC7"/>
    <w:rsid w:val="00863792"/>
    <w:rsid w:val="008706B7"/>
    <w:rsid w:val="00871964"/>
    <w:rsid w:val="00874195"/>
    <w:rsid w:val="008754A1"/>
    <w:rsid w:val="00891BF9"/>
    <w:rsid w:val="008A6368"/>
    <w:rsid w:val="008B0A97"/>
    <w:rsid w:val="008B6D02"/>
    <w:rsid w:val="008D0F37"/>
    <w:rsid w:val="008D49B7"/>
    <w:rsid w:val="008D56D1"/>
    <w:rsid w:val="008E0008"/>
    <w:rsid w:val="008F2BA7"/>
    <w:rsid w:val="008F4D19"/>
    <w:rsid w:val="008F6876"/>
    <w:rsid w:val="008F7AA3"/>
    <w:rsid w:val="00900C70"/>
    <w:rsid w:val="00902672"/>
    <w:rsid w:val="00906F78"/>
    <w:rsid w:val="00907A99"/>
    <w:rsid w:val="00911107"/>
    <w:rsid w:val="00913196"/>
    <w:rsid w:val="00917C19"/>
    <w:rsid w:val="00923ECE"/>
    <w:rsid w:val="00934A31"/>
    <w:rsid w:val="00942D88"/>
    <w:rsid w:val="0094434F"/>
    <w:rsid w:val="0094441B"/>
    <w:rsid w:val="00956447"/>
    <w:rsid w:val="00961C58"/>
    <w:rsid w:val="00972D93"/>
    <w:rsid w:val="00977763"/>
    <w:rsid w:val="009863B1"/>
    <w:rsid w:val="009A31EA"/>
    <w:rsid w:val="009A44E4"/>
    <w:rsid w:val="009A5B9B"/>
    <w:rsid w:val="009A7B7D"/>
    <w:rsid w:val="009B034A"/>
    <w:rsid w:val="009C2A40"/>
    <w:rsid w:val="009D5391"/>
    <w:rsid w:val="009E37B6"/>
    <w:rsid w:val="009E3BE2"/>
    <w:rsid w:val="009F0D35"/>
    <w:rsid w:val="009F5CDB"/>
    <w:rsid w:val="00A04EC7"/>
    <w:rsid w:val="00A16256"/>
    <w:rsid w:val="00A203CF"/>
    <w:rsid w:val="00A3099F"/>
    <w:rsid w:val="00A37207"/>
    <w:rsid w:val="00A42997"/>
    <w:rsid w:val="00A47F62"/>
    <w:rsid w:val="00A51859"/>
    <w:rsid w:val="00A71697"/>
    <w:rsid w:val="00A71A29"/>
    <w:rsid w:val="00A84697"/>
    <w:rsid w:val="00A869E8"/>
    <w:rsid w:val="00A901BD"/>
    <w:rsid w:val="00A92009"/>
    <w:rsid w:val="00A97EA2"/>
    <w:rsid w:val="00AA2872"/>
    <w:rsid w:val="00AA3856"/>
    <w:rsid w:val="00AA6654"/>
    <w:rsid w:val="00AB027D"/>
    <w:rsid w:val="00AB2A92"/>
    <w:rsid w:val="00AB3711"/>
    <w:rsid w:val="00AC69E1"/>
    <w:rsid w:val="00AD17D6"/>
    <w:rsid w:val="00AD2D25"/>
    <w:rsid w:val="00AD6259"/>
    <w:rsid w:val="00AD790A"/>
    <w:rsid w:val="00AE117B"/>
    <w:rsid w:val="00AE5482"/>
    <w:rsid w:val="00AF1AFC"/>
    <w:rsid w:val="00AF4C22"/>
    <w:rsid w:val="00AF6569"/>
    <w:rsid w:val="00AF75A2"/>
    <w:rsid w:val="00B00683"/>
    <w:rsid w:val="00B068B8"/>
    <w:rsid w:val="00B10D83"/>
    <w:rsid w:val="00B10E4D"/>
    <w:rsid w:val="00B14236"/>
    <w:rsid w:val="00B22FE6"/>
    <w:rsid w:val="00B2413C"/>
    <w:rsid w:val="00B24606"/>
    <w:rsid w:val="00B36E5D"/>
    <w:rsid w:val="00B45262"/>
    <w:rsid w:val="00B5416D"/>
    <w:rsid w:val="00B60234"/>
    <w:rsid w:val="00B63156"/>
    <w:rsid w:val="00B67C22"/>
    <w:rsid w:val="00B71675"/>
    <w:rsid w:val="00B75929"/>
    <w:rsid w:val="00B8054C"/>
    <w:rsid w:val="00B80F5C"/>
    <w:rsid w:val="00B85B1B"/>
    <w:rsid w:val="00BA1507"/>
    <w:rsid w:val="00BA5477"/>
    <w:rsid w:val="00BA5C21"/>
    <w:rsid w:val="00BC3A0E"/>
    <w:rsid w:val="00BC6769"/>
    <w:rsid w:val="00BD2757"/>
    <w:rsid w:val="00BD5396"/>
    <w:rsid w:val="00BE29A0"/>
    <w:rsid w:val="00BE666A"/>
    <w:rsid w:val="00BF03DC"/>
    <w:rsid w:val="00C0300E"/>
    <w:rsid w:val="00C041BD"/>
    <w:rsid w:val="00C153A8"/>
    <w:rsid w:val="00C17902"/>
    <w:rsid w:val="00C32CDF"/>
    <w:rsid w:val="00C45C02"/>
    <w:rsid w:val="00C4616E"/>
    <w:rsid w:val="00C50083"/>
    <w:rsid w:val="00C52BF2"/>
    <w:rsid w:val="00C533FF"/>
    <w:rsid w:val="00C627DB"/>
    <w:rsid w:val="00C72BA0"/>
    <w:rsid w:val="00C93DF5"/>
    <w:rsid w:val="00CB0DA1"/>
    <w:rsid w:val="00CC0B27"/>
    <w:rsid w:val="00CC2584"/>
    <w:rsid w:val="00CC7B4F"/>
    <w:rsid w:val="00CD341D"/>
    <w:rsid w:val="00D0012B"/>
    <w:rsid w:val="00D06D98"/>
    <w:rsid w:val="00D11DD0"/>
    <w:rsid w:val="00D156E8"/>
    <w:rsid w:val="00D2302A"/>
    <w:rsid w:val="00D26F86"/>
    <w:rsid w:val="00D43F7C"/>
    <w:rsid w:val="00D5037B"/>
    <w:rsid w:val="00D610AB"/>
    <w:rsid w:val="00D7761C"/>
    <w:rsid w:val="00D829CB"/>
    <w:rsid w:val="00D85106"/>
    <w:rsid w:val="00D87DCA"/>
    <w:rsid w:val="00D900B8"/>
    <w:rsid w:val="00D95AAE"/>
    <w:rsid w:val="00D972C4"/>
    <w:rsid w:val="00DA22F2"/>
    <w:rsid w:val="00DC2D1F"/>
    <w:rsid w:val="00DD1755"/>
    <w:rsid w:val="00DF4D0C"/>
    <w:rsid w:val="00E207A2"/>
    <w:rsid w:val="00E24007"/>
    <w:rsid w:val="00E307E3"/>
    <w:rsid w:val="00E32726"/>
    <w:rsid w:val="00E53F38"/>
    <w:rsid w:val="00E54CE6"/>
    <w:rsid w:val="00E55EE4"/>
    <w:rsid w:val="00E57C5A"/>
    <w:rsid w:val="00E57F26"/>
    <w:rsid w:val="00E677B5"/>
    <w:rsid w:val="00E73221"/>
    <w:rsid w:val="00E7675D"/>
    <w:rsid w:val="00E77FC3"/>
    <w:rsid w:val="00E82EDE"/>
    <w:rsid w:val="00EA0525"/>
    <w:rsid w:val="00EA2D1D"/>
    <w:rsid w:val="00EB1660"/>
    <w:rsid w:val="00EB23F1"/>
    <w:rsid w:val="00EB5901"/>
    <w:rsid w:val="00EB6811"/>
    <w:rsid w:val="00ED0D44"/>
    <w:rsid w:val="00ED3A61"/>
    <w:rsid w:val="00EF2716"/>
    <w:rsid w:val="00F04961"/>
    <w:rsid w:val="00F11F1C"/>
    <w:rsid w:val="00F161B0"/>
    <w:rsid w:val="00F17150"/>
    <w:rsid w:val="00F225B4"/>
    <w:rsid w:val="00F2439D"/>
    <w:rsid w:val="00F27517"/>
    <w:rsid w:val="00F31DC9"/>
    <w:rsid w:val="00F37360"/>
    <w:rsid w:val="00F50C07"/>
    <w:rsid w:val="00F52022"/>
    <w:rsid w:val="00F70D80"/>
    <w:rsid w:val="00F8011F"/>
    <w:rsid w:val="00F916F9"/>
    <w:rsid w:val="00F944F9"/>
    <w:rsid w:val="00FB3A0C"/>
    <w:rsid w:val="00FB3A13"/>
    <w:rsid w:val="00FB5A85"/>
    <w:rsid w:val="00FD1A05"/>
    <w:rsid w:val="00FD56DE"/>
    <w:rsid w:val="00FE28C2"/>
    <w:rsid w:val="00FE3B74"/>
    <w:rsid w:val="00FE5E43"/>
    <w:rsid w:val="00FF115F"/>
    <w:rsid w:val="01303975"/>
    <w:rsid w:val="022020ED"/>
    <w:rsid w:val="03487A1C"/>
    <w:rsid w:val="05C66B33"/>
    <w:rsid w:val="061728F2"/>
    <w:rsid w:val="08A12D1B"/>
    <w:rsid w:val="09733BE4"/>
    <w:rsid w:val="0BFF5B96"/>
    <w:rsid w:val="0DA54FBF"/>
    <w:rsid w:val="0DFC39C6"/>
    <w:rsid w:val="114D2695"/>
    <w:rsid w:val="11934EBB"/>
    <w:rsid w:val="12393F8A"/>
    <w:rsid w:val="148E6B4A"/>
    <w:rsid w:val="156975C4"/>
    <w:rsid w:val="1571028E"/>
    <w:rsid w:val="18F85469"/>
    <w:rsid w:val="1A91125A"/>
    <w:rsid w:val="1BBC5FD6"/>
    <w:rsid w:val="1D2C3303"/>
    <w:rsid w:val="1E937B8A"/>
    <w:rsid w:val="207F14FF"/>
    <w:rsid w:val="218A1C3C"/>
    <w:rsid w:val="21E16941"/>
    <w:rsid w:val="225C1BC1"/>
    <w:rsid w:val="23566C8C"/>
    <w:rsid w:val="245628AC"/>
    <w:rsid w:val="24BE3012"/>
    <w:rsid w:val="26CE30BA"/>
    <w:rsid w:val="28255CB0"/>
    <w:rsid w:val="2B373B1E"/>
    <w:rsid w:val="2D86672A"/>
    <w:rsid w:val="316F7C2F"/>
    <w:rsid w:val="31DB64EC"/>
    <w:rsid w:val="34682895"/>
    <w:rsid w:val="36E91773"/>
    <w:rsid w:val="39515CBE"/>
    <w:rsid w:val="3978579D"/>
    <w:rsid w:val="397E4358"/>
    <w:rsid w:val="3AC86F3A"/>
    <w:rsid w:val="3DA25940"/>
    <w:rsid w:val="3E9E7FA0"/>
    <w:rsid w:val="409E05D2"/>
    <w:rsid w:val="40EF13B2"/>
    <w:rsid w:val="447F2228"/>
    <w:rsid w:val="46FC7069"/>
    <w:rsid w:val="477D53C8"/>
    <w:rsid w:val="48361E18"/>
    <w:rsid w:val="48F33588"/>
    <w:rsid w:val="4D1A0820"/>
    <w:rsid w:val="4EA30AE0"/>
    <w:rsid w:val="4EC51EB2"/>
    <w:rsid w:val="4F006285"/>
    <w:rsid w:val="4FE573D1"/>
    <w:rsid w:val="51F0057D"/>
    <w:rsid w:val="529D5BEA"/>
    <w:rsid w:val="53C222ED"/>
    <w:rsid w:val="55A21B63"/>
    <w:rsid w:val="56FF700C"/>
    <w:rsid w:val="5B355425"/>
    <w:rsid w:val="62CE51E0"/>
    <w:rsid w:val="64FA574E"/>
    <w:rsid w:val="65F015BD"/>
    <w:rsid w:val="66CC2DBB"/>
    <w:rsid w:val="6A607E96"/>
    <w:rsid w:val="6C2F2DCC"/>
    <w:rsid w:val="6FF45001"/>
    <w:rsid w:val="70454ED6"/>
    <w:rsid w:val="71835F0E"/>
    <w:rsid w:val="72941417"/>
    <w:rsid w:val="74F1246E"/>
    <w:rsid w:val="772D7134"/>
    <w:rsid w:val="78467E27"/>
    <w:rsid w:val="789B489C"/>
    <w:rsid w:val="78AE78C5"/>
    <w:rsid w:val="7F5F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63"/>
    <w:qFormat/>
    <w:uiPriority w:val="0"/>
    <w:pPr>
      <w:spacing w:before="240" w:after="240" w:line="360" w:lineRule="auto"/>
      <w:jc w:val="center"/>
      <w:outlineLvl w:val="0"/>
    </w:pPr>
    <w:rPr>
      <w:rFonts w:ascii="宋体" w:hAnsi="宋体" w:eastAsia="黑体"/>
      <w:b/>
      <w:kern w:val="44"/>
      <w:sz w:val="28"/>
      <w:szCs w:val="44"/>
    </w:rPr>
  </w:style>
  <w:style w:type="paragraph" w:styleId="4">
    <w:name w:val="heading 2"/>
    <w:basedOn w:val="1"/>
    <w:next w:val="1"/>
    <w:link w:val="64"/>
    <w:qFormat/>
    <w:uiPriority w:val="0"/>
    <w:pPr>
      <w:adjustRightInd w:val="0"/>
      <w:spacing w:after="50" w:afterLines="50"/>
      <w:jc w:val="left"/>
      <w:textAlignment w:val="baseline"/>
      <w:outlineLvl w:val="1"/>
    </w:pPr>
    <w:rPr>
      <w:rFonts w:ascii="宋体" w:hAnsi="宋体"/>
      <w:b/>
      <w:kern w:val="0"/>
      <w:sz w:val="28"/>
      <w:szCs w:val="20"/>
    </w:rPr>
  </w:style>
  <w:style w:type="paragraph" w:styleId="5">
    <w:name w:val="heading 3"/>
    <w:basedOn w:val="1"/>
    <w:next w:val="1"/>
    <w:link w:val="65"/>
    <w:unhideWhenUsed/>
    <w:qFormat/>
    <w:uiPriority w:val="0"/>
    <w:pPr>
      <w:keepNext/>
      <w:keepLines/>
      <w:spacing w:line="288" w:lineRule="auto"/>
      <w:outlineLvl w:val="2"/>
    </w:pPr>
    <w:rPr>
      <w:rFonts w:ascii="Times New Roman" w:hAnsi="Times New Roman" w:eastAsia="宋体"/>
      <w:b/>
      <w:bCs/>
      <w:szCs w:val="32"/>
    </w:rPr>
  </w:style>
  <w:style w:type="paragraph" w:styleId="6">
    <w:name w:val="heading 4"/>
    <w:basedOn w:val="1"/>
    <w:next w:val="1"/>
    <w:link w:val="66"/>
    <w:unhideWhenUsed/>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8"/>
    <w:link w:val="67"/>
    <w:qFormat/>
    <w:uiPriority w:val="0"/>
    <w:pPr>
      <w:keepNext/>
      <w:keepLines/>
      <w:spacing w:before="280" w:after="290" w:line="376" w:lineRule="auto"/>
      <w:outlineLvl w:val="4"/>
    </w:pPr>
    <w:rPr>
      <w:b/>
      <w:sz w:val="28"/>
      <w:szCs w:val="20"/>
    </w:rPr>
  </w:style>
  <w:style w:type="paragraph" w:styleId="9">
    <w:name w:val="heading 6"/>
    <w:basedOn w:val="1"/>
    <w:next w:val="8"/>
    <w:link w:val="68"/>
    <w:qFormat/>
    <w:uiPriority w:val="0"/>
    <w:pPr>
      <w:keepNext/>
      <w:keepLines/>
      <w:spacing w:before="240" w:after="64" w:line="320" w:lineRule="auto"/>
      <w:outlineLvl w:val="5"/>
    </w:pPr>
    <w:rPr>
      <w:rFonts w:ascii="Arial" w:hAnsi="Arial" w:eastAsia="黑体"/>
      <w:b/>
      <w:szCs w:val="20"/>
    </w:rPr>
  </w:style>
  <w:style w:type="paragraph" w:styleId="10">
    <w:name w:val="heading 7"/>
    <w:basedOn w:val="1"/>
    <w:next w:val="8"/>
    <w:link w:val="69"/>
    <w:qFormat/>
    <w:uiPriority w:val="0"/>
    <w:pPr>
      <w:keepNext/>
      <w:keepLines/>
      <w:spacing w:before="240" w:after="64" w:line="320" w:lineRule="auto"/>
      <w:outlineLvl w:val="6"/>
    </w:pPr>
    <w:rPr>
      <w:b/>
      <w:szCs w:val="20"/>
    </w:rPr>
  </w:style>
  <w:style w:type="paragraph" w:styleId="11">
    <w:name w:val="heading 8"/>
    <w:basedOn w:val="1"/>
    <w:next w:val="8"/>
    <w:link w:val="70"/>
    <w:qFormat/>
    <w:uiPriority w:val="0"/>
    <w:pPr>
      <w:keepNext/>
      <w:keepLines/>
      <w:spacing w:before="240" w:after="64" w:line="320" w:lineRule="auto"/>
      <w:outlineLvl w:val="7"/>
    </w:pPr>
    <w:rPr>
      <w:rFonts w:ascii="Arial" w:hAnsi="Arial" w:eastAsia="黑体"/>
      <w:szCs w:val="20"/>
    </w:rPr>
  </w:style>
  <w:style w:type="paragraph" w:styleId="12">
    <w:name w:val="heading 9"/>
    <w:basedOn w:val="1"/>
    <w:next w:val="8"/>
    <w:link w:val="71"/>
    <w:qFormat/>
    <w:uiPriority w:val="0"/>
    <w:pPr>
      <w:keepNext/>
      <w:keepLines/>
      <w:spacing w:before="240" w:after="64" w:line="320" w:lineRule="auto"/>
      <w:outlineLvl w:val="8"/>
    </w:pPr>
    <w:rPr>
      <w:rFonts w:ascii="Arial" w:hAnsi="Arial" w:eastAsia="黑体"/>
      <w:sz w:val="21"/>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Normal Indent"/>
    <w:basedOn w:val="1"/>
    <w:qFormat/>
    <w:uiPriority w:val="0"/>
    <w:pPr>
      <w:spacing w:line="360" w:lineRule="auto"/>
      <w:ind w:firstLine="200" w:firstLineChars="200"/>
    </w:pPr>
  </w:style>
  <w:style w:type="paragraph" w:styleId="13">
    <w:name w:val="List Bullet"/>
    <w:basedOn w:val="1"/>
    <w:qFormat/>
    <w:uiPriority w:val="0"/>
    <w:pPr>
      <w:tabs>
        <w:tab w:val="left" w:pos="360"/>
      </w:tabs>
      <w:ind w:left="562" w:hanging="420"/>
    </w:pPr>
    <w:rPr>
      <w:sz w:val="21"/>
      <w:szCs w:val="20"/>
    </w:rPr>
  </w:style>
  <w:style w:type="paragraph" w:styleId="14">
    <w:name w:val="Document Map"/>
    <w:basedOn w:val="1"/>
    <w:link w:val="78"/>
    <w:qFormat/>
    <w:uiPriority w:val="0"/>
    <w:rPr>
      <w:rFonts w:ascii="宋体"/>
      <w:sz w:val="18"/>
      <w:szCs w:val="18"/>
    </w:rPr>
  </w:style>
  <w:style w:type="paragraph" w:styleId="15">
    <w:name w:val="annotation text"/>
    <w:basedOn w:val="1"/>
    <w:link w:val="75"/>
    <w:qFormat/>
    <w:uiPriority w:val="0"/>
    <w:pPr>
      <w:jc w:val="left"/>
    </w:pPr>
  </w:style>
  <w:style w:type="paragraph" w:styleId="16">
    <w:name w:val="Body Text 3"/>
    <w:basedOn w:val="1"/>
    <w:link w:val="91"/>
    <w:qFormat/>
    <w:uiPriority w:val="0"/>
    <w:pPr>
      <w:spacing w:after="120"/>
    </w:pPr>
    <w:rPr>
      <w:sz w:val="16"/>
      <w:szCs w:val="16"/>
    </w:rPr>
  </w:style>
  <w:style w:type="paragraph" w:styleId="17">
    <w:name w:val="Body Text"/>
    <w:basedOn w:val="1"/>
    <w:link w:val="72"/>
    <w:qFormat/>
    <w:uiPriority w:val="0"/>
    <w:pPr>
      <w:spacing w:after="120"/>
    </w:pPr>
  </w:style>
  <w:style w:type="paragraph" w:styleId="18">
    <w:name w:val="Body Text Indent"/>
    <w:basedOn w:val="1"/>
    <w:link w:val="87"/>
    <w:qFormat/>
    <w:uiPriority w:val="0"/>
    <w:pPr>
      <w:spacing w:line="360" w:lineRule="auto"/>
      <w:ind w:firstLine="420" w:firstLineChars="200"/>
    </w:pPr>
    <w:rPr>
      <w:sz w:val="21"/>
    </w:rPr>
  </w:style>
  <w:style w:type="paragraph" w:styleId="19">
    <w:name w:val="toc 3"/>
    <w:basedOn w:val="1"/>
    <w:next w:val="1"/>
    <w:unhideWhenUsed/>
    <w:qFormat/>
    <w:uiPriority w:val="39"/>
    <w:pPr>
      <w:ind w:left="840" w:leftChars="400"/>
    </w:pPr>
  </w:style>
  <w:style w:type="paragraph" w:styleId="20">
    <w:name w:val="Plain Text"/>
    <w:basedOn w:val="1"/>
    <w:link w:val="74"/>
    <w:qFormat/>
    <w:uiPriority w:val="0"/>
    <w:rPr>
      <w:rFonts w:ascii="宋体" w:hAnsi="Courier New" w:cs="Courier New"/>
      <w:sz w:val="21"/>
      <w:szCs w:val="21"/>
    </w:rPr>
  </w:style>
  <w:style w:type="paragraph" w:styleId="21">
    <w:name w:val="Date"/>
    <w:basedOn w:val="1"/>
    <w:next w:val="1"/>
    <w:link w:val="80"/>
    <w:qFormat/>
    <w:uiPriority w:val="0"/>
    <w:rPr>
      <w:rFonts w:ascii="宋体" w:hAnsi="Courier New"/>
      <w:sz w:val="32"/>
      <w:szCs w:val="22"/>
    </w:rPr>
  </w:style>
  <w:style w:type="paragraph" w:styleId="22">
    <w:name w:val="Body Text Indent 2"/>
    <w:basedOn w:val="1"/>
    <w:link w:val="86"/>
    <w:qFormat/>
    <w:uiPriority w:val="0"/>
    <w:pPr>
      <w:spacing w:beforeLines="50" w:afterLines="50" w:line="120" w:lineRule="auto"/>
      <w:ind w:firstLine="840" w:firstLineChars="400"/>
      <w:jc w:val="left"/>
    </w:pPr>
    <w:rPr>
      <w:rFonts w:ascii="宋体" w:hAnsi="宋体"/>
      <w:sz w:val="21"/>
    </w:rPr>
  </w:style>
  <w:style w:type="paragraph" w:styleId="23">
    <w:name w:val="Balloon Text"/>
    <w:basedOn w:val="1"/>
    <w:link w:val="77"/>
    <w:qFormat/>
    <w:uiPriority w:val="0"/>
    <w:rPr>
      <w:sz w:val="18"/>
      <w:szCs w:val="18"/>
    </w:rPr>
  </w:style>
  <w:style w:type="paragraph" w:styleId="24">
    <w:name w:val="footer"/>
    <w:basedOn w:val="1"/>
    <w:link w:val="62"/>
    <w:unhideWhenUsed/>
    <w:qFormat/>
    <w:uiPriority w:val="99"/>
    <w:pPr>
      <w:tabs>
        <w:tab w:val="center" w:pos="4153"/>
        <w:tab w:val="right" w:pos="8306"/>
      </w:tabs>
      <w:snapToGrid w:val="0"/>
      <w:jc w:val="left"/>
    </w:pPr>
    <w:rPr>
      <w:sz w:val="18"/>
      <w:szCs w:val="18"/>
    </w:rPr>
  </w:style>
  <w:style w:type="paragraph" w:styleId="25">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b/>
      <w:bCs/>
      <w:caps/>
      <w:sz w:val="21"/>
    </w:rPr>
  </w:style>
  <w:style w:type="paragraph" w:styleId="27">
    <w:name w:val="Body Text Indent 3"/>
    <w:basedOn w:val="1"/>
    <w:link w:val="88"/>
    <w:qFormat/>
    <w:uiPriority w:val="0"/>
    <w:pPr>
      <w:spacing w:line="360" w:lineRule="auto"/>
      <w:ind w:firstLine="482" w:firstLineChars="200"/>
    </w:pPr>
    <w:rPr>
      <w:rFonts w:ascii="宋体"/>
      <w:b/>
      <w:bCs/>
    </w:rPr>
  </w:style>
  <w:style w:type="paragraph" w:styleId="28">
    <w:name w:val="toc 2"/>
    <w:basedOn w:val="1"/>
    <w:next w:val="1"/>
    <w:unhideWhenUsed/>
    <w:qFormat/>
    <w:uiPriority w:val="39"/>
    <w:pPr>
      <w:ind w:left="420" w:leftChars="200"/>
    </w:pPr>
  </w:style>
  <w:style w:type="paragraph" w:styleId="29">
    <w:name w:val="Body Text 2"/>
    <w:basedOn w:val="1"/>
    <w:link w:val="89"/>
    <w:qFormat/>
    <w:uiPriority w:val="0"/>
    <w:pPr>
      <w:spacing w:line="360" w:lineRule="auto"/>
    </w:pPr>
  </w:style>
  <w:style w:type="paragraph" w:styleId="30">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31">
    <w:name w:val="Normal (Web)"/>
    <w:basedOn w:val="1"/>
    <w:qFormat/>
    <w:uiPriority w:val="99"/>
  </w:style>
  <w:style w:type="paragraph" w:styleId="32">
    <w:name w:val="index 1"/>
    <w:basedOn w:val="1"/>
    <w:next w:val="1"/>
    <w:qFormat/>
    <w:uiPriority w:val="0"/>
    <w:rPr>
      <w:sz w:val="21"/>
    </w:rPr>
  </w:style>
  <w:style w:type="paragraph" w:styleId="33">
    <w:name w:val="Title"/>
    <w:basedOn w:val="1"/>
    <w:link w:val="73"/>
    <w:qFormat/>
    <w:uiPriority w:val="0"/>
    <w:pPr>
      <w:spacing w:before="240" w:after="60"/>
      <w:jc w:val="center"/>
      <w:outlineLvl w:val="0"/>
    </w:pPr>
    <w:rPr>
      <w:rFonts w:ascii="仿宋_GB2312" w:hAnsi="Arial" w:eastAsia="仿宋_GB2312" w:cs="Arial"/>
      <w:b/>
      <w:bCs/>
      <w:sz w:val="28"/>
      <w:szCs w:val="28"/>
    </w:rPr>
  </w:style>
  <w:style w:type="paragraph" w:styleId="34">
    <w:name w:val="annotation subject"/>
    <w:basedOn w:val="15"/>
    <w:next w:val="15"/>
    <w:link w:val="76"/>
    <w:qFormat/>
    <w:uiPriority w:val="0"/>
    <w:rPr>
      <w:b/>
      <w:bCs/>
    </w:rPr>
  </w:style>
  <w:style w:type="table" w:styleId="36">
    <w:name w:val="Table Grid"/>
    <w:basedOn w:val="3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FollowedHyperlink"/>
    <w:basedOn w:val="37"/>
    <w:qFormat/>
    <w:uiPriority w:val="0"/>
    <w:rPr>
      <w:color w:val="800080"/>
      <w:u w:val="single"/>
    </w:rPr>
  </w:style>
  <w:style w:type="character" w:styleId="40">
    <w:name w:val="Hyperlink"/>
    <w:basedOn w:val="37"/>
    <w:qFormat/>
    <w:uiPriority w:val="99"/>
    <w:rPr>
      <w:color w:val="0000FF"/>
      <w:u w:val="single"/>
    </w:rPr>
  </w:style>
  <w:style w:type="character" w:styleId="41">
    <w:name w:val="annotation reference"/>
    <w:basedOn w:val="37"/>
    <w:qFormat/>
    <w:uiPriority w:val="0"/>
    <w:rPr>
      <w:sz w:val="21"/>
      <w:szCs w:val="21"/>
    </w:rPr>
  </w:style>
  <w:style w:type="paragraph" w:customStyle="1" w:styleId="42">
    <w:name w:val="样式3"/>
    <w:basedOn w:val="17"/>
    <w:qFormat/>
    <w:uiPriority w:val="0"/>
    <w:pPr>
      <w:spacing w:line="360" w:lineRule="auto"/>
    </w:pPr>
    <w:rPr>
      <w:rFonts w:ascii="宋体"/>
      <w:sz w:val="21"/>
    </w:rPr>
  </w:style>
  <w:style w:type="paragraph" w:customStyle="1" w:styleId="4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USE 1"/>
    <w:basedOn w:val="1"/>
    <w:qFormat/>
    <w:uiPriority w:val="0"/>
    <w:pPr>
      <w:spacing w:line="200" w:lineRule="atLeast"/>
      <w:jc w:val="left"/>
    </w:pPr>
    <w:rPr>
      <w:rFonts w:ascii="宋体" w:hAnsi="宋体"/>
      <w:b/>
      <w:szCs w:val="28"/>
    </w:rPr>
  </w:style>
  <w:style w:type="paragraph" w:customStyle="1" w:styleId="45">
    <w:name w:val="列出段落1"/>
    <w:basedOn w:val="1"/>
    <w:unhideWhenUsed/>
    <w:qFormat/>
    <w:uiPriority w:val="0"/>
    <w:pPr>
      <w:ind w:firstLine="420" w:firstLineChars="200"/>
    </w:pPr>
    <w:rPr>
      <w:sz w:val="21"/>
    </w:rPr>
  </w:style>
  <w:style w:type="paragraph" w:styleId="46">
    <w:name w:val="List Paragraph"/>
    <w:basedOn w:val="1"/>
    <w:qFormat/>
    <w:uiPriority w:val="34"/>
    <w:pPr>
      <w:ind w:firstLine="420" w:firstLineChars="200"/>
    </w:pPr>
    <w:rPr>
      <w:rFonts w:ascii="Calibri" w:hAnsi="Calibri" w:cs="Arial"/>
      <w:sz w:val="21"/>
      <w:szCs w:val="22"/>
    </w:rPr>
  </w:style>
  <w:style w:type="paragraph" w:customStyle="1" w:styleId="47">
    <w:name w:val="Char Char Char Char Char"/>
    <w:basedOn w:val="1"/>
    <w:qFormat/>
    <w:uiPriority w:val="0"/>
    <w:rPr>
      <w:rFonts w:ascii="Tahoma" w:hAnsi="Tahoma"/>
      <w:szCs w:val="20"/>
    </w:rPr>
  </w:style>
  <w:style w:type="paragraph" w:customStyle="1" w:styleId="48">
    <w:name w:val="Char Char Char Char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49">
    <w:name w:val="Char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50">
    <w:name w:val="自定义正文"/>
    <w:basedOn w:val="1"/>
    <w:qFormat/>
    <w:uiPriority w:val="0"/>
    <w:pPr>
      <w:spacing w:afterLines="50"/>
      <w:ind w:left="600" w:leftChars="600"/>
    </w:pPr>
    <w:rPr>
      <w:sz w:val="21"/>
    </w:rPr>
  </w:style>
  <w:style w:type="paragraph" w:customStyle="1" w:styleId="51">
    <w:name w:val="Char Char Char"/>
    <w:basedOn w:val="1"/>
    <w:qFormat/>
    <w:uiPriority w:val="0"/>
    <w:pPr>
      <w:spacing w:line="360" w:lineRule="auto"/>
      <w:ind w:firstLine="560" w:firstLineChars="200"/>
    </w:pPr>
    <w:rPr>
      <w:sz w:val="21"/>
    </w:rPr>
  </w:style>
  <w:style w:type="paragraph" w:customStyle="1" w:styleId="52">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53">
    <w:name w:val="样式 (西文) 宋体 行距: 1.5 倍行距"/>
    <w:basedOn w:val="1"/>
    <w:qFormat/>
    <w:uiPriority w:val="0"/>
    <w:pPr>
      <w:spacing w:line="360" w:lineRule="auto"/>
    </w:pPr>
    <w:rPr>
      <w:rFonts w:ascii="宋体" w:hAnsi="宋体" w:cs="宋体"/>
      <w:sz w:val="21"/>
      <w:szCs w:val="20"/>
    </w:rPr>
  </w:style>
  <w:style w:type="paragraph" w:customStyle="1" w:styleId="54">
    <w:name w:val="È±Ê¡ÎÄ±¾"/>
    <w:basedOn w:val="1"/>
    <w:qFormat/>
    <w:uiPriority w:val="0"/>
    <w:pPr>
      <w:widowControl/>
      <w:overflowPunct w:val="0"/>
      <w:autoSpaceDE w:val="0"/>
      <w:autoSpaceDN w:val="0"/>
      <w:adjustRightInd w:val="0"/>
      <w:jc w:val="left"/>
      <w:textAlignment w:val="baseline"/>
    </w:pPr>
    <w:rPr>
      <w:kern w:val="0"/>
      <w:szCs w:val="20"/>
    </w:rPr>
  </w:style>
  <w:style w:type="paragraph" w:customStyle="1" w:styleId="55">
    <w:name w:val="样式41"/>
    <w:basedOn w:val="1"/>
    <w:qFormat/>
    <w:uiPriority w:val="0"/>
    <w:pPr>
      <w:tabs>
        <w:tab w:val="left" w:pos="945"/>
      </w:tabs>
      <w:spacing w:line="360" w:lineRule="auto"/>
      <w:ind w:left="562" w:hanging="420"/>
    </w:pPr>
    <w:rPr>
      <w:b/>
      <w:color w:val="000000"/>
      <w:szCs w:val="20"/>
    </w:rPr>
  </w:style>
  <w:style w:type="paragraph" w:customStyle="1" w:styleId="56">
    <w:name w:val="_Style 54"/>
    <w:basedOn w:val="3"/>
    <w:next w:val="1"/>
    <w:qFormat/>
    <w:uiPriority w:val="39"/>
    <w:pPr>
      <w:widowControl/>
      <w:spacing w:before="480" w:after="0" w:line="276" w:lineRule="auto"/>
      <w:jc w:val="left"/>
      <w:outlineLvl w:val="9"/>
    </w:pPr>
    <w:rPr>
      <w:rFonts w:ascii="Cambria" w:hAnsi="Cambria" w:eastAsia="宋体"/>
      <w:color w:val="365F91"/>
      <w:kern w:val="0"/>
      <w:szCs w:val="28"/>
    </w:rPr>
  </w:style>
  <w:style w:type="paragraph" w:customStyle="1" w:styleId="57">
    <w:name w:val="文档正文"/>
    <w:basedOn w:val="1"/>
    <w:qFormat/>
    <w:uiPriority w:val="0"/>
    <w:pPr>
      <w:adjustRightInd w:val="0"/>
      <w:spacing w:line="480" w:lineRule="atLeast"/>
      <w:ind w:firstLine="567" w:firstLineChars="200"/>
      <w:textAlignment w:val="baseline"/>
    </w:pPr>
    <w:rPr>
      <w:rFonts w:ascii="长城仿宋"/>
      <w:kern w:val="0"/>
      <w:sz w:val="21"/>
      <w:szCs w:val="20"/>
    </w:rPr>
  </w:style>
  <w:style w:type="paragraph" w:customStyle="1" w:styleId="5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9">
    <w:name w:val="图"/>
    <w:basedOn w:val="1"/>
    <w:qFormat/>
    <w:uiPriority w:val="0"/>
    <w:pPr>
      <w:keepNext/>
      <w:adjustRightInd w:val="0"/>
      <w:snapToGrid w:val="0"/>
      <w:spacing w:before="60" w:after="60" w:line="300" w:lineRule="auto"/>
      <w:jc w:val="center"/>
    </w:pPr>
    <w:rPr>
      <w:spacing w:val="20"/>
      <w:kern w:val="0"/>
      <w:szCs w:val="20"/>
    </w:rPr>
  </w:style>
  <w:style w:type="paragraph" w:customStyle="1" w:styleId="6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1">
    <w:name w:val="页眉 Char"/>
    <w:basedOn w:val="37"/>
    <w:link w:val="25"/>
    <w:qFormat/>
    <w:uiPriority w:val="0"/>
    <w:rPr>
      <w:sz w:val="18"/>
      <w:szCs w:val="18"/>
    </w:rPr>
  </w:style>
  <w:style w:type="character" w:customStyle="1" w:styleId="62">
    <w:name w:val="页脚 Char"/>
    <w:basedOn w:val="37"/>
    <w:link w:val="24"/>
    <w:qFormat/>
    <w:uiPriority w:val="99"/>
    <w:rPr>
      <w:sz w:val="18"/>
      <w:szCs w:val="18"/>
    </w:rPr>
  </w:style>
  <w:style w:type="character" w:customStyle="1" w:styleId="63">
    <w:name w:val="标题 1 Char"/>
    <w:basedOn w:val="37"/>
    <w:link w:val="3"/>
    <w:qFormat/>
    <w:uiPriority w:val="0"/>
    <w:rPr>
      <w:rFonts w:ascii="宋体" w:hAnsi="宋体" w:eastAsia="黑体" w:cs="Times New Roman"/>
      <w:b/>
      <w:bCs/>
      <w:kern w:val="44"/>
      <w:sz w:val="28"/>
      <w:szCs w:val="44"/>
    </w:rPr>
  </w:style>
  <w:style w:type="character" w:customStyle="1" w:styleId="64">
    <w:name w:val="标题 2 Char"/>
    <w:basedOn w:val="37"/>
    <w:link w:val="4"/>
    <w:qFormat/>
    <w:uiPriority w:val="0"/>
    <w:rPr>
      <w:rFonts w:ascii="宋体" w:hAnsi="宋体" w:eastAsia="宋体" w:cs="Times New Roman"/>
      <w:b/>
      <w:kern w:val="0"/>
      <w:sz w:val="28"/>
      <w:szCs w:val="20"/>
    </w:rPr>
  </w:style>
  <w:style w:type="character" w:customStyle="1" w:styleId="65">
    <w:name w:val="标题 3 Char"/>
    <w:basedOn w:val="37"/>
    <w:link w:val="5"/>
    <w:qFormat/>
    <w:uiPriority w:val="0"/>
    <w:rPr>
      <w:rFonts w:ascii="Times New Roman" w:hAnsi="Times New Roman" w:eastAsia="宋体" w:cs="Times New Roman"/>
      <w:b/>
      <w:bCs/>
      <w:sz w:val="24"/>
      <w:szCs w:val="32"/>
    </w:rPr>
  </w:style>
  <w:style w:type="character" w:customStyle="1" w:styleId="66">
    <w:name w:val="标题 4 Char"/>
    <w:basedOn w:val="37"/>
    <w:link w:val="6"/>
    <w:qFormat/>
    <w:uiPriority w:val="0"/>
    <w:rPr>
      <w:rFonts w:ascii="Cambria" w:hAnsi="Cambria" w:eastAsia="宋体" w:cs="Times New Roman"/>
      <w:b/>
      <w:bCs/>
      <w:sz w:val="28"/>
      <w:szCs w:val="28"/>
    </w:rPr>
  </w:style>
  <w:style w:type="character" w:customStyle="1" w:styleId="67">
    <w:name w:val="标题 5 Char"/>
    <w:basedOn w:val="37"/>
    <w:link w:val="7"/>
    <w:qFormat/>
    <w:uiPriority w:val="0"/>
    <w:rPr>
      <w:rFonts w:ascii="Times New Roman" w:hAnsi="Times New Roman" w:eastAsia="宋体" w:cs="Times New Roman"/>
      <w:b/>
      <w:sz w:val="28"/>
      <w:szCs w:val="20"/>
    </w:rPr>
  </w:style>
  <w:style w:type="character" w:customStyle="1" w:styleId="68">
    <w:name w:val="标题 6 Char"/>
    <w:basedOn w:val="37"/>
    <w:link w:val="9"/>
    <w:qFormat/>
    <w:uiPriority w:val="0"/>
    <w:rPr>
      <w:rFonts w:ascii="Arial" w:hAnsi="Arial" w:eastAsia="黑体" w:cs="Times New Roman"/>
      <w:b/>
      <w:sz w:val="24"/>
      <w:szCs w:val="20"/>
    </w:rPr>
  </w:style>
  <w:style w:type="character" w:customStyle="1" w:styleId="69">
    <w:name w:val="标题 7 Char"/>
    <w:basedOn w:val="37"/>
    <w:link w:val="10"/>
    <w:qFormat/>
    <w:uiPriority w:val="0"/>
    <w:rPr>
      <w:rFonts w:ascii="Times New Roman" w:hAnsi="Times New Roman" w:eastAsia="宋体" w:cs="Times New Roman"/>
      <w:b/>
      <w:sz w:val="24"/>
      <w:szCs w:val="20"/>
    </w:rPr>
  </w:style>
  <w:style w:type="character" w:customStyle="1" w:styleId="70">
    <w:name w:val="标题 8 Char"/>
    <w:basedOn w:val="37"/>
    <w:link w:val="11"/>
    <w:qFormat/>
    <w:uiPriority w:val="0"/>
    <w:rPr>
      <w:rFonts w:ascii="Arial" w:hAnsi="Arial" w:eastAsia="黑体" w:cs="Times New Roman"/>
      <w:sz w:val="24"/>
      <w:szCs w:val="20"/>
    </w:rPr>
  </w:style>
  <w:style w:type="character" w:customStyle="1" w:styleId="71">
    <w:name w:val="标题 9 Char"/>
    <w:basedOn w:val="37"/>
    <w:link w:val="12"/>
    <w:qFormat/>
    <w:uiPriority w:val="0"/>
    <w:rPr>
      <w:rFonts w:ascii="Arial" w:hAnsi="Arial" w:eastAsia="黑体" w:cs="Times New Roman"/>
      <w:szCs w:val="20"/>
    </w:rPr>
  </w:style>
  <w:style w:type="character" w:customStyle="1" w:styleId="72">
    <w:name w:val="正文文本 Char"/>
    <w:basedOn w:val="37"/>
    <w:link w:val="17"/>
    <w:qFormat/>
    <w:uiPriority w:val="0"/>
    <w:rPr>
      <w:rFonts w:ascii="Times New Roman" w:hAnsi="Times New Roman" w:eastAsia="宋体" w:cs="Times New Roman"/>
      <w:sz w:val="24"/>
      <w:szCs w:val="24"/>
    </w:rPr>
  </w:style>
  <w:style w:type="character" w:customStyle="1" w:styleId="73">
    <w:name w:val="标题 Char"/>
    <w:basedOn w:val="37"/>
    <w:link w:val="33"/>
    <w:qFormat/>
    <w:uiPriority w:val="0"/>
    <w:rPr>
      <w:rFonts w:ascii="仿宋_GB2312" w:hAnsi="Arial" w:eastAsia="仿宋_GB2312" w:cs="Arial"/>
      <w:b/>
      <w:bCs/>
      <w:sz w:val="28"/>
      <w:szCs w:val="28"/>
    </w:rPr>
  </w:style>
  <w:style w:type="character" w:customStyle="1" w:styleId="74">
    <w:name w:val="纯文本 Char"/>
    <w:basedOn w:val="37"/>
    <w:link w:val="20"/>
    <w:qFormat/>
    <w:uiPriority w:val="0"/>
    <w:rPr>
      <w:rFonts w:ascii="宋体" w:hAnsi="Courier New" w:eastAsia="宋体" w:cs="Courier New"/>
      <w:szCs w:val="21"/>
    </w:rPr>
  </w:style>
  <w:style w:type="character" w:customStyle="1" w:styleId="75">
    <w:name w:val="批注文字 Char"/>
    <w:basedOn w:val="37"/>
    <w:link w:val="15"/>
    <w:qFormat/>
    <w:uiPriority w:val="0"/>
    <w:rPr>
      <w:rFonts w:ascii="Times New Roman" w:hAnsi="Times New Roman" w:eastAsia="宋体" w:cs="Times New Roman"/>
      <w:sz w:val="24"/>
      <w:szCs w:val="24"/>
    </w:rPr>
  </w:style>
  <w:style w:type="character" w:customStyle="1" w:styleId="76">
    <w:name w:val="批注主题 Char"/>
    <w:basedOn w:val="75"/>
    <w:link w:val="34"/>
    <w:qFormat/>
    <w:uiPriority w:val="0"/>
    <w:rPr>
      <w:rFonts w:ascii="Times New Roman" w:hAnsi="Times New Roman" w:eastAsia="宋体" w:cs="Times New Roman"/>
      <w:b/>
      <w:bCs/>
      <w:sz w:val="24"/>
      <w:szCs w:val="24"/>
    </w:rPr>
  </w:style>
  <w:style w:type="character" w:customStyle="1" w:styleId="77">
    <w:name w:val="批注框文本 Char"/>
    <w:basedOn w:val="37"/>
    <w:link w:val="23"/>
    <w:qFormat/>
    <w:uiPriority w:val="0"/>
    <w:rPr>
      <w:rFonts w:ascii="Times New Roman" w:hAnsi="Times New Roman" w:eastAsia="宋体" w:cs="Times New Roman"/>
      <w:sz w:val="18"/>
      <w:szCs w:val="18"/>
    </w:rPr>
  </w:style>
  <w:style w:type="character" w:customStyle="1" w:styleId="78">
    <w:name w:val="文档结构图 Char"/>
    <w:basedOn w:val="37"/>
    <w:link w:val="14"/>
    <w:qFormat/>
    <w:uiPriority w:val="0"/>
    <w:rPr>
      <w:rFonts w:ascii="宋体" w:hAnsi="Times New Roman" w:eastAsia="宋体" w:cs="Times New Roman"/>
      <w:sz w:val="18"/>
      <w:szCs w:val="18"/>
    </w:rPr>
  </w:style>
  <w:style w:type="character" w:customStyle="1" w:styleId="79">
    <w:name w:val="标题 3 Char Char"/>
    <w:basedOn w:val="37"/>
    <w:qFormat/>
    <w:uiPriority w:val="0"/>
    <w:rPr>
      <w:rFonts w:ascii="黑体" w:eastAsia="黑体"/>
      <w:bCs/>
      <w:sz w:val="30"/>
    </w:rPr>
  </w:style>
  <w:style w:type="character" w:customStyle="1" w:styleId="80">
    <w:name w:val="日期 Char"/>
    <w:basedOn w:val="37"/>
    <w:link w:val="21"/>
    <w:qFormat/>
    <w:uiPriority w:val="0"/>
    <w:rPr>
      <w:rFonts w:ascii="宋体" w:hAnsi="Courier New"/>
      <w:sz w:val="32"/>
    </w:rPr>
  </w:style>
  <w:style w:type="character" w:customStyle="1" w:styleId="81">
    <w:name w:val="日期 Char1"/>
    <w:basedOn w:val="37"/>
    <w:qFormat/>
    <w:uiPriority w:val="0"/>
    <w:rPr>
      <w:rFonts w:ascii="Times New Roman" w:hAnsi="Times New Roman" w:eastAsia="宋体" w:cs="Times New Roman"/>
      <w:sz w:val="24"/>
      <w:szCs w:val="24"/>
    </w:rPr>
  </w:style>
  <w:style w:type="character" w:customStyle="1" w:styleId="82">
    <w:name w:val="页眉 Char1"/>
    <w:basedOn w:val="37"/>
    <w:qFormat/>
    <w:uiPriority w:val="0"/>
    <w:rPr>
      <w:kern w:val="2"/>
      <w:sz w:val="18"/>
    </w:rPr>
  </w:style>
  <w:style w:type="character" w:customStyle="1" w:styleId="83">
    <w:name w:val="正文缩进 Char1"/>
    <w:basedOn w:val="37"/>
    <w:qFormat/>
    <w:uiPriority w:val="0"/>
    <w:rPr>
      <w:rFonts w:eastAsia="宋体"/>
      <w:kern w:val="2"/>
      <w:sz w:val="21"/>
      <w:lang w:val="en-US" w:eastAsia="zh-CN" w:bidi="ar-SA"/>
    </w:rPr>
  </w:style>
  <w:style w:type="character" w:customStyle="1" w:styleId="84">
    <w:name w:val="Char Char2"/>
    <w:basedOn w:val="37"/>
    <w:qFormat/>
    <w:uiPriority w:val="0"/>
    <w:rPr>
      <w:kern w:val="2"/>
      <w:sz w:val="18"/>
      <w:szCs w:val="18"/>
    </w:rPr>
  </w:style>
  <w:style w:type="character" w:customStyle="1" w:styleId="85">
    <w:name w:val="Char Char6"/>
    <w:basedOn w:val="37"/>
    <w:qFormat/>
    <w:uiPriority w:val="0"/>
    <w:rPr>
      <w:kern w:val="2"/>
      <w:sz w:val="18"/>
      <w:szCs w:val="18"/>
    </w:rPr>
  </w:style>
  <w:style w:type="character" w:customStyle="1" w:styleId="86">
    <w:name w:val="正文文本缩进 2 Char"/>
    <w:basedOn w:val="37"/>
    <w:link w:val="22"/>
    <w:qFormat/>
    <w:uiPriority w:val="0"/>
    <w:rPr>
      <w:rFonts w:ascii="宋体" w:hAnsi="宋体" w:eastAsia="宋体" w:cs="Times New Roman"/>
      <w:szCs w:val="24"/>
    </w:rPr>
  </w:style>
  <w:style w:type="character" w:customStyle="1" w:styleId="87">
    <w:name w:val="正文文本缩进 Char"/>
    <w:basedOn w:val="37"/>
    <w:link w:val="18"/>
    <w:qFormat/>
    <w:uiPriority w:val="0"/>
    <w:rPr>
      <w:rFonts w:ascii="Times New Roman" w:hAnsi="Times New Roman" w:eastAsia="宋体" w:cs="Times New Roman"/>
      <w:szCs w:val="24"/>
    </w:rPr>
  </w:style>
  <w:style w:type="character" w:customStyle="1" w:styleId="88">
    <w:name w:val="正文文本缩进 3 Char"/>
    <w:basedOn w:val="37"/>
    <w:link w:val="27"/>
    <w:qFormat/>
    <w:uiPriority w:val="0"/>
    <w:rPr>
      <w:rFonts w:ascii="宋体" w:hAnsi="Times New Roman" w:eastAsia="宋体" w:cs="Times New Roman"/>
      <w:b/>
      <w:bCs/>
      <w:sz w:val="24"/>
      <w:szCs w:val="24"/>
    </w:rPr>
  </w:style>
  <w:style w:type="character" w:customStyle="1" w:styleId="89">
    <w:name w:val="正文文本 2 Char"/>
    <w:basedOn w:val="37"/>
    <w:link w:val="29"/>
    <w:qFormat/>
    <w:uiPriority w:val="0"/>
    <w:rPr>
      <w:rFonts w:ascii="Times New Roman" w:hAnsi="Times New Roman" w:eastAsia="宋体" w:cs="Times New Roman"/>
      <w:sz w:val="24"/>
      <w:szCs w:val="24"/>
    </w:rPr>
  </w:style>
  <w:style w:type="character" w:customStyle="1" w:styleId="90">
    <w:name w:val="HTML 预设格式 Char"/>
    <w:basedOn w:val="37"/>
    <w:link w:val="30"/>
    <w:qFormat/>
    <w:uiPriority w:val="0"/>
    <w:rPr>
      <w:rFonts w:ascii="Arial Unicode MS" w:hAnsi="Arial Unicode MS" w:eastAsia="Arial Unicode MS" w:cs="Times New Roman"/>
      <w:color w:val="000000"/>
      <w:kern w:val="0"/>
      <w:sz w:val="20"/>
      <w:szCs w:val="20"/>
    </w:rPr>
  </w:style>
  <w:style w:type="character" w:customStyle="1" w:styleId="91">
    <w:name w:val="正文文本 3 Char"/>
    <w:basedOn w:val="37"/>
    <w:link w:val="16"/>
    <w:qFormat/>
    <w:uiPriority w:val="0"/>
    <w:rPr>
      <w:rFonts w:ascii="Times New Roman" w:hAnsi="Times New Roman" w:eastAsia="宋体" w:cs="Times New Roman"/>
      <w:sz w:val="16"/>
      <w:szCs w:val="16"/>
    </w:rPr>
  </w:style>
  <w:style w:type="paragraph" w:customStyle="1" w:styleId="92">
    <w:name w:val="WPSOffice手动目录 1"/>
    <w:qFormat/>
    <w:uiPriority w:val="0"/>
    <w:rPr>
      <w:rFonts w:ascii="Calibri" w:hAnsi="Calibri" w:eastAsia="宋体" w:cs="Times New Roman"/>
      <w:lang w:val="en-US" w:eastAsia="zh-CN" w:bidi="ar-SA"/>
    </w:rPr>
  </w:style>
  <w:style w:type="paragraph" w:customStyle="1" w:styleId="93">
    <w:name w:val="WPSOffice手动目录 2"/>
    <w:qFormat/>
    <w:uiPriority w:val="0"/>
    <w:pPr>
      <w:ind w:left="200" w:leftChars="200"/>
    </w:pPr>
    <w:rPr>
      <w:rFonts w:ascii="Calibri" w:hAnsi="Calibri" w:eastAsia="宋体" w:cs="Times New Roman"/>
      <w:lang w:val="en-US" w:eastAsia="zh-CN" w:bidi="ar-SA"/>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cstheme="minorBidi"/>
      <w:sz w:val="31"/>
      <w:szCs w:val="20"/>
    </w:rPr>
  </w:style>
  <w:style w:type="paragraph" w:customStyle="1" w:styleId="95">
    <w:name w:val="正文文本缩进1"/>
    <w:basedOn w:val="1"/>
    <w:qFormat/>
    <w:uiPriority w:val="99"/>
    <w:pPr>
      <w:widowControl/>
      <w:spacing w:line="360" w:lineRule="auto"/>
      <w:ind w:firstLine="600" w:firstLineChars="250"/>
      <w:jc w:val="left"/>
    </w:pPr>
    <w:rPr>
      <w:rFonts w:eastAsia="楷体_GB2312"/>
      <w:kern w:val="0"/>
      <w:sz w:val="20"/>
      <w:szCs w:val="20"/>
    </w:rPr>
  </w:style>
  <w:style w:type="paragraph" w:customStyle="1" w:styleId="96">
    <w:name w:val="Particulars Slip"/>
    <w:basedOn w:val="1"/>
    <w:qFormat/>
    <w:uiPriority w:val="0"/>
    <w:pPr>
      <w:tabs>
        <w:tab w:val="left" w:pos="2160"/>
        <w:tab w:val="left" w:pos="2520"/>
        <w:tab w:val="left" w:pos="2880"/>
        <w:tab w:val="left" w:pos="3240"/>
        <w:tab w:val="left" w:pos="3600"/>
        <w:tab w:val="left" w:pos="3960"/>
      </w:tabs>
    </w:pPr>
    <w:rPr>
      <w:rFonts w:ascii="全真簡中楷" w:eastAsia="全真簡中楷"/>
      <w:snapToGrid w:val="0"/>
      <w:kern w:val="0"/>
      <w:sz w:val="28"/>
      <w:szCs w:val="20"/>
      <w:lang w:val="en-GB" w:eastAsia="en-US"/>
    </w:rPr>
  </w:style>
  <w:style w:type="paragraph" w:customStyle="1" w:styleId="97">
    <w:name w:val="正文缩进1"/>
    <w:basedOn w:val="1"/>
    <w:qFormat/>
    <w:uiPriority w:val="99"/>
    <w:pPr>
      <w:adjustRightInd w:val="0"/>
      <w:spacing w:line="312" w:lineRule="atLeast"/>
      <w:ind w:firstLine="420"/>
    </w:pPr>
    <w:rPr>
      <w:kern w:val="0"/>
      <w:sz w:val="20"/>
      <w:szCs w:val="20"/>
    </w:rPr>
  </w:style>
  <w:style w:type="paragraph" w:customStyle="1" w:styleId="98">
    <w:name w:val="四级标题"/>
    <w:basedOn w:val="6"/>
    <w:qFormat/>
    <w:uiPriority w:val="99"/>
    <w:pPr>
      <w:tabs>
        <w:tab w:val="left" w:pos="840"/>
      </w:tabs>
      <w:spacing w:before="0" w:after="0" w:line="360" w:lineRule="auto"/>
    </w:pPr>
    <w:rPr>
      <w:bCs w:val="0"/>
      <w:szCs w:val="20"/>
    </w:rPr>
  </w:style>
  <w:style w:type="paragraph" w:customStyle="1" w:styleId="99">
    <w:name w:val="表格正文（左）"/>
    <w:basedOn w:val="1"/>
    <w:next w:val="1"/>
    <w:qFormat/>
    <w:uiPriority w:val="0"/>
    <w:pPr>
      <w:ind w:left="-86" w:leftChars="-41" w:right="-204" w:rightChars="-97"/>
      <w:contextualSpacing/>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17759</Words>
  <Characters>18277</Characters>
  <Lines>146</Lines>
  <Paragraphs>41</Paragraphs>
  <TotalTime>3</TotalTime>
  <ScaleCrop>false</ScaleCrop>
  <LinksUpToDate>false</LinksUpToDate>
  <CharactersWithSpaces>18520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2019-01-11T01:26:00Z</dcterms:created>
  <dc:creator>Workstation</dc:creator>
  <cp:lastModifiedBy>尐安逸丶</cp:lastModifiedBy>
  <cp:lastPrinted>2021-01-04T06:08:00Z</cp:lastPrinted>
  <dcterms:modified xsi:type="dcterms:W3CDTF">2025-02-18T01:02:22Z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9F7875DC396B438AB60608EBBCF6DA27</vt:lpwstr>
  </property>
  <property fmtid="{D5CDD505-2E9C-101B-9397-08002B2CF9AE}" pid="4" name="KSOTemplateDocerSaveRecord">
    <vt:lpwstr>eyJoZGlkIjoiYTJjOGY5YmVkMjBhOTE5YzE5MDI0ZmRmYWY2NTVjNzIiLCJ1c2VySWQiOiI1NjY5NTg3NTMifQ==</vt:lpwstr>
  </property>
</Properties>
</file>