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8816A">
      <w:pPr>
        <w:widowControl/>
        <w:spacing w:beforeAutospacing="1" w:afterAutospacing="1"/>
        <w:jc w:val="center"/>
        <w:outlineLvl w:val="1"/>
        <w:rPr>
          <w:rFonts w:ascii="黑体" w:hAnsi="宋体" w:eastAsia="黑体" w:cs="黑体"/>
          <w:kern w:val="0"/>
          <w:sz w:val="40"/>
          <w:szCs w:val="40"/>
        </w:rPr>
      </w:pPr>
      <w:bookmarkStart w:id="0" w:name="_Hlk71456902"/>
      <w:r>
        <w:rPr>
          <w:rFonts w:hint="eastAsia" w:ascii="黑体" w:hAnsi="宋体" w:eastAsia="黑体" w:cs="黑体"/>
          <w:kern w:val="0"/>
          <w:sz w:val="40"/>
          <w:szCs w:val="40"/>
        </w:rPr>
        <w:t>福田区第二人民医院</w:t>
      </w:r>
      <w:r>
        <w:rPr>
          <w:rFonts w:hint="eastAsia" w:ascii="黑体" w:eastAsia="黑体" w:cs="黑体"/>
          <w:kern w:val="0"/>
          <w:sz w:val="40"/>
          <w:szCs w:val="40"/>
        </w:rPr>
        <w:t>业务用车维修服务项目</w:t>
      </w:r>
    </w:p>
    <w:p w14:paraId="38B09B11">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谈判文件信息</w:t>
      </w:r>
    </w:p>
    <w:tbl>
      <w:tblPr>
        <w:tblStyle w:val="30"/>
        <w:tblW w:w="7943" w:type="dxa"/>
        <w:jc w:val="center"/>
        <w:tblCellSpacing w:w="0" w:type="dxa"/>
        <w:tblLayout w:type="autofit"/>
        <w:tblCellMar>
          <w:top w:w="45" w:type="dxa"/>
          <w:left w:w="45" w:type="dxa"/>
          <w:bottom w:w="45" w:type="dxa"/>
          <w:right w:w="45" w:type="dxa"/>
        </w:tblCellMar>
      </w:tblPr>
      <w:tblGrid>
        <w:gridCol w:w="2723"/>
        <w:gridCol w:w="5220"/>
      </w:tblGrid>
      <w:tr w14:paraId="4BCB8FE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984E8E6">
            <w:pPr>
              <w:widowControl/>
              <w:jc w:val="right"/>
              <w:rPr>
                <w:sz w:val="30"/>
                <w:szCs w:val="30"/>
              </w:rPr>
            </w:pPr>
            <w:r>
              <w:rPr>
                <w:rFonts w:ascii="宋体" w:hAnsi="宋体" w:cs="宋体"/>
                <w:kern w:val="0"/>
                <w:sz w:val="30"/>
                <w:szCs w:val="30"/>
                <w:lang w:bidi="ar"/>
              </w:rPr>
              <w:t>项目编号：</w:t>
            </w:r>
          </w:p>
        </w:tc>
        <w:tc>
          <w:tcPr>
            <w:tcW w:w="0" w:type="auto"/>
            <w:shd w:val="clear" w:color="auto" w:fill="auto"/>
            <w:vAlign w:val="center"/>
          </w:tcPr>
          <w:p w14:paraId="2A597F34">
            <w:pPr>
              <w:widowControl/>
              <w:jc w:val="left"/>
              <w:rPr>
                <w:sz w:val="30"/>
                <w:szCs w:val="30"/>
              </w:rPr>
            </w:pPr>
            <w:r>
              <w:rPr>
                <w:rFonts w:ascii="宋体" w:hAnsi="宋体" w:cs="宋体"/>
                <w:kern w:val="0"/>
                <w:sz w:val="30"/>
                <w:szCs w:val="30"/>
                <w:lang w:bidi="ar"/>
              </w:rPr>
              <w:t>FTEYHQZXCG202410</w:t>
            </w:r>
            <w:r>
              <w:rPr>
                <w:rFonts w:hint="eastAsia" w:ascii="宋体" w:hAnsi="宋体" w:cs="宋体"/>
                <w:kern w:val="0"/>
                <w:sz w:val="30"/>
                <w:szCs w:val="30"/>
                <w:lang w:bidi="ar"/>
              </w:rPr>
              <w:t>0</w:t>
            </w:r>
            <w:r>
              <w:rPr>
                <w:rFonts w:ascii="宋体" w:hAnsi="宋体" w:cs="宋体"/>
                <w:kern w:val="0"/>
                <w:sz w:val="30"/>
                <w:szCs w:val="30"/>
                <w:lang w:bidi="ar"/>
              </w:rPr>
              <w:t>1</w:t>
            </w:r>
          </w:p>
        </w:tc>
      </w:tr>
      <w:tr w14:paraId="1F905853">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659A76B4">
            <w:pPr>
              <w:widowControl/>
              <w:jc w:val="right"/>
              <w:rPr>
                <w:sz w:val="30"/>
                <w:szCs w:val="30"/>
              </w:rPr>
            </w:pPr>
            <w:r>
              <w:rPr>
                <w:rFonts w:ascii="宋体" w:hAnsi="宋体" w:cs="宋体"/>
                <w:kern w:val="0"/>
                <w:sz w:val="30"/>
                <w:szCs w:val="30"/>
                <w:lang w:bidi="ar"/>
              </w:rPr>
              <w:t>项目名称：</w:t>
            </w:r>
          </w:p>
        </w:tc>
        <w:tc>
          <w:tcPr>
            <w:tcW w:w="0" w:type="auto"/>
            <w:shd w:val="clear" w:color="auto" w:fill="auto"/>
            <w:vAlign w:val="center"/>
          </w:tcPr>
          <w:p w14:paraId="752F7DA7">
            <w:pPr>
              <w:widowControl/>
              <w:jc w:val="left"/>
              <w:rPr>
                <w:sz w:val="30"/>
                <w:szCs w:val="30"/>
              </w:rPr>
            </w:pPr>
            <w:r>
              <w:rPr>
                <w:rFonts w:hint="eastAsia" w:ascii="宋体" w:hAnsi="宋体" w:cs="宋体"/>
                <w:kern w:val="0"/>
                <w:sz w:val="30"/>
                <w:szCs w:val="30"/>
                <w:lang w:bidi="ar"/>
              </w:rPr>
              <w:t>福田区第二人民医院业务用车维修服务项目</w:t>
            </w:r>
          </w:p>
        </w:tc>
      </w:tr>
      <w:tr w14:paraId="78D4913E">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31F1EA5F">
            <w:pPr>
              <w:widowControl/>
              <w:jc w:val="right"/>
              <w:rPr>
                <w:sz w:val="30"/>
                <w:szCs w:val="30"/>
              </w:rPr>
            </w:pPr>
            <w:r>
              <w:rPr>
                <w:rFonts w:ascii="宋体" w:hAnsi="宋体" w:cs="宋体"/>
                <w:kern w:val="0"/>
                <w:sz w:val="30"/>
                <w:szCs w:val="30"/>
                <w:lang w:bidi="ar"/>
              </w:rPr>
              <w:t>包 号：</w:t>
            </w:r>
          </w:p>
        </w:tc>
        <w:tc>
          <w:tcPr>
            <w:tcW w:w="0" w:type="auto"/>
            <w:shd w:val="clear" w:color="auto" w:fill="auto"/>
            <w:vAlign w:val="center"/>
          </w:tcPr>
          <w:p w14:paraId="6797057B">
            <w:pPr>
              <w:widowControl/>
              <w:jc w:val="left"/>
              <w:rPr>
                <w:sz w:val="30"/>
                <w:szCs w:val="30"/>
              </w:rPr>
            </w:pPr>
            <w:r>
              <w:rPr>
                <w:rFonts w:ascii="宋体" w:hAnsi="宋体" w:cs="宋体"/>
                <w:kern w:val="0"/>
                <w:sz w:val="30"/>
                <w:szCs w:val="30"/>
                <w:lang w:bidi="ar"/>
              </w:rPr>
              <w:t>A</w:t>
            </w:r>
          </w:p>
        </w:tc>
      </w:tr>
      <w:tr w14:paraId="14301112">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4AB929B2">
            <w:pPr>
              <w:widowControl/>
              <w:jc w:val="right"/>
              <w:rPr>
                <w:sz w:val="30"/>
                <w:szCs w:val="30"/>
              </w:rPr>
            </w:pPr>
            <w:r>
              <w:rPr>
                <w:rFonts w:ascii="宋体" w:hAnsi="宋体" w:cs="宋体"/>
                <w:kern w:val="0"/>
                <w:sz w:val="30"/>
                <w:szCs w:val="30"/>
                <w:lang w:bidi="ar"/>
              </w:rPr>
              <w:t>项目类型：</w:t>
            </w:r>
          </w:p>
        </w:tc>
        <w:tc>
          <w:tcPr>
            <w:tcW w:w="0" w:type="auto"/>
            <w:shd w:val="clear" w:color="auto" w:fill="auto"/>
            <w:vAlign w:val="center"/>
          </w:tcPr>
          <w:p w14:paraId="7C4AB6C2">
            <w:pPr>
              <w:widowControl/>
              <w:jc w:val="left"/>
              <w:rPr>
                <w:sz w:val="30"/>
                <w:szCs w:val="30"/>
              </w:rPr>
            </w:pPr>
            <w:r>
              <w:rPr>
                <w:rFonts w:hint="eastAsia" w:ascii="宋体" w:hAnsi="宋体" w:cs="宋体"/>
                <w:kern w:val="0"/>
                <w:sz w:val="30"/>
                <w:szCs w:val="30"/>
                <w:lang w:bidi="ar"/>
              </w:rPr>
              <w:t>服务类</w:t>
            </w:r>
          </w:p>
        </w:tc>
      </w:tr>
      <w:tr w14:paraId="7A5E99DA">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37691F65">
            <w:pPr>
              <w:widowControl/>
              <w:jc w:val="right"/>
              <w:rPr>
                <w:sz w:val="30"/>
                <w:szCs w:val="30"/>
              </w:rPr>
            </w:pPr>
            <w:r>
              <w:rPr>
                <w:rFonts w:ascii="宋体" w:hAnsi="宋体" w:cs="宋体"/>
                <w:kern w:val="0"/>
                <w:sz w:val="30"/>
                <w:szCs w:val="30"/>
                <w:lang w:bidi="ar"/>
              </w:rPr>
              <w:t>采购方式：</w:t>
            </w:r>
          </w:p>
        </w:tc>
        <w:tc>
          <w:tcPr>
            <w:tcW w:w="0" w:type="auto"/>
            <w:shd w:val="clear" w:color="auto" w:fill="auto"/>
            <w:vAlign w:val="center"/>
          </w:tcPr>
          <w:p w14:paraId="2F1D6659">
            <w:pPr>
              <w:widowControl/>
              <w:jc w:val="left"/>
              <w:rPr>
                <w:sz w:val="30"/>
                <w:szCs w:val="30"/>
              </w:rPr>
            </w:pPr>
            <w:r>
              <w:rPr>
                <w:rFonts w:hint="eastAsia"/>
                <w:sz w:val="30"/>
                <w:szCs w:val="30"/>
              </w:rPr>
              <w:t>比价谈判</w:t>
            </w:r>
          </w:p>
        </w:tc>
      </w:tr>
      <w:tr w14:paraId="7F119566">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5E31418C">
            <w:pPr>
              <w:widowControl/>
              <w:jc w:val="right"/>
              <w:rPr>
                <w:sz w:val="30"/>
                <w:szCs w:val="30"/>
              </w:rPr>
            </w:pPr>
            <w:r>
              <w:rPr>
                <w:rFonts w:ascii="宋体" w:hAnsi="宋体" w:cs="宋体"/>
                <w:kern w:val="0"/>
                <w:sz w:val="30"/>
                <w:szCs w:val="30"/>
                <w:lang w:bidi="ar"/>
              </w:rPr>
              <w:t>货币类型：</w:t>
            </w:r>
          </w:p>
        </w:tc>
        <w:tc>
          <w:tcPr>
            <w:tcW w:w="0" w:type="auto"/>
            <w:shd w:val="clear" w:color="auto" w:fill="auto"/>
            <w:vAlign w:val="center"/>
          </w:tcPr>
          <w:p w14:paraId="2753E8A0">
            <w:pPr>
              <w:widowControl/>
              <w:jc w:val="left"/>
              <w:rPr>
                <w:sz w:val="30"/>
                <w:szCs w:val="30"/>
              </w:rPr>
            </w:pPr>
            <w:r>
              <w:rPr>
                <w:rFonts w:ascii="宋体" w:hAnsi="宋体" w:cs="宋体"/>
                <w:kern w:val="0"/>
                <w:sz w:val="30"/>
                <w:szCs w:val="30"/>
                <w:lang w:bidi="ar"/>
              </w:rPr>
              <w:t>人民币</w:t>
            </w:r>
          </w:p>
        </w:tc>
      </w:tr>
      <w:tr w14:paraId="1DB6A994">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0EE83CC6">
            <w:pPr>
              <w:widowControl/>
              <w:jc w:val="right"/>
              <w:rPr>
                <w:sz w:val="30"/>
                <w:szCs w:val="30"/>
              </w:rPr>
            </w:pPr>
            <w:r>
              <w:rPr>
                <w:rFonts w:hint="eastAsia" w:ascii="宋体" w:hAnsi="宋体" w:cs="宋体"/>
                <w:kern w:val="0"/>
                <w:sz w:val="30"/>
                <w:szCs w:val="30"/>
                <w:lang w:bidi="ar"/>
              </w:rPr>
              <w:t>评审</w:t>
            </w:r>
            <w:r>
              <w:rPr>
                <w:rFonts w:ascii="宋体" w:hAnsi="宋体" w:cs="宋体"/>
                <w:kern w:val="0"/>
                <w:sz w:val="30"/>
                <w:szCs w:val="30"/>
                <w:lang w:bidi="ar"/>
              </w:rPr>
              <w:t>方法：</w:t>
            </w:r>
          </w:p>
        </w:tc>
        <w:tc>
          <w:tcPr>
            <w:tcW w:w="0" w:type="auto"/>
            <w:shd w:val="clear" w:color="auto" w:fill="auto"/>
            <w:vAlign w:val="center"/>
          </w:tcPr>
          <w:p w14:paraId="1D19B57B">
            <w:pPr>
              <w:widowControl/>
              <w:jc w:val="left"/>
              <w:rPr>
                <w:sz w:val="30"/>
                <w:szCs w:val="30"/>
              </w:rPr>
            </w:pPr>
            <w:r>
              <w:rPr>
                <w:rFonts w:hint="eastAsia" w:ascii="宋体" w:hAnsi="宋体" w:cs="宋体"/>
                <w:kern w:val="0"/>
                <w:sz w:val="30"/>
                <w:szCs w:val="30"/>
                <w:lang w:bidi="ar"/>
              </w:rPr>
              <w:t>综合评分法</w:t>
            </w:r>
          </w:p>
        </w:tc>
      </w:tr>
      <w:bookmarkEnd w:id="0"/>
    </w:tbl>
    <w:p w14:paraId="40ABB4CF">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资格性审查表</w:t>
      </w:r>
    </w:p>
    <w:tbl>
      <w:tblPr>
        <w:tblStyle w:val="30"/>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046BD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A564DDF">
            <w:pPr>
              <w:widowControl/>
              <w:jc w:val="center"/>
              <w:rPr>
                <w:sz w:val="28"/>
                <w:szCs w:val="28"/>
              </w:rPr>
            </w:pPr>
            <w:r>
              <w:rPr>
                <w:rFonts w:ascii="宋体" w:hAnsi="宋体" w:cs="宋体"/>
                <w:kern w:val="0"/>
                <w:sz w:val="28"/>
                <w:szCs w:val="28"/>
                <w:lang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3A338704">
            <w:pPr>
              <w:widowControl/>
              <w:jc w:val="center"/>
              <w:rPr>
                <w:sz w:val="28"/>
                <w:szCs w:val="28"/>
              </w:rPr>
            </w:pPr>
            <w:r>
              <w:rPr>
                <w:rFonts w:ascii="宋体" w:hAnsi="宋体" w:cs="宋体"/>
                <w:kern w:val="0"/>
                <w:sz w:val="28"/>
                <w:szCs w:val="28"/>
                <w:lang w:bidi="ar"/>
              </w:rPr>
              <w:t>内容</w:t>
            </w:r>
          </w:p>
        </w:tc>
      </w:tr>
      <w:tr w14:paraId="3AC7FB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9E8222E">
            <w:pPr>
              <w:widowControl/>
              <w:jc w:val="center"/>
              <w:textAlignment w:val="top"/>
              <w:rPr>
                <w:szCs w:val="21"/>
              </w:rPr>
            </w:pPr>
            <w:r>
              <w:rPr>
                <w:rFonts w:ascii="宋体" w:hAnsi="宋体" w:cs="宋体"/>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26AB6B5">
            <w:pPr>
              <w:widowControl/>
              <w:jc w:val="left"/>
              <w:textAlignment w:val="top"/>
              <w:rPr>
                <w:szCs w:val="21"/>
              </w:rPr>
            </w:pPr>
            <w:r>
              <w:rPr>
                <w:szCs w:val="21"/>
              </w:rPr>
              <w:t>供应商不符合项目资格要求，或未提交相应的资格证明资料,且无法按照谈判小组要求及时补充的</w:t>
            </w:r>
            <w:r>
              <w:rPr>
                <w:rFonts w:ascii="宋体" w:hAnsi="宋体" w:cs="宋体"/>
                <w:kern w:val="0"/>
                <w:szCs w:val="21"/>
                <w:lang w:bidi="ar"/>
              </w:rPr>
              <w:t>（详见</w:t>
            </w:r>
            <w:r>
              <w:rPr>
                <w:rFonts w:hint="eastAsia" w:ascii="宋体" w:hAnsi="宋体" w:cs="宋体"/>
                <w:kern w:val="0"/>
                <w:szCs w:val="21"/>
                <w:lang w:bidi="ar"/>
              </w:rPr>
              <w:t>谈判公告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r w14:paraId="7E7A53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6E3E62C">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BB871B0">
            <w:pPr>
              <w:widowControl/>
              <w:jc w:val="left"/>
              <w:textAlignment w:val="top"/>
              <w:rPr>
                <w:rFonts w:ascii="宋体" w:hAnsi="宋体" w:cs="宋体"/>
                <w:kern w:val="0"/>
                <w:szCs w:val="21"/>
                <w:lang w:bidi="ar"/>
              </w:rPr>
            </w:pPr>
            <w:r>
              <w:rPr>
                <w:rFonts w:hint="eastAsia" w:ascii="宋体" w:hAnsi="宋体" w:cs="宋体"/>
                <w:kern w:val="0"/>
                <w:szCs w:val="21"/>
                <w:lang w:bidi="ar"/>
              </w:rPr>
              <w:t>供应商缺席谈判的；</w:t>
            </w:r>
          </w:p>
        </w:tc>
      </w:tr>
    </w:tbl>
    <w:p w14:paraId="549A651A">
      <w:pPr>
        <w:widowControl/>
        <w:spacing w:before="280"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符合性审查表</w:t>
      </w:r>
    </w:p>
    <w:tbl>
      <w:tblPr>
        <w:tblStyle w:val="30"/>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01A4F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788EF1">
            <w:pPr>
              <w:widowControl/>
              <w:jc w:val="center"/>
              <w:rPr>
                <w:sz w:val="28"/>
                <w:szCs w:val="28"/>
              </w:rPr>
            </w:pPr>
            <w:r>
              <w:rPr>
                <w:rFonts w:ascii="宋体" w:hAnsi="宋体" w:cs="宋体"/>
                <w:kern w:val="0"/>
                <w:sz w:val="28"/>
                <w:szCs w:val="28"/>
                <w:lang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A553538">
            <w:pPr>
              <w:widowControl/>
              <w:jc w:val="center"/>
              <w:rPr>
                <w:sz w:val="28"/>
                <w:szCs w:val="28"/>
              </w:rPr>
            </w:pPr>
            <w:r>
              <w:rPr>
                <w:rFonts w:ascii="宋体" w:hAnsi="宋体" w:cs="宋体"/>
                <w:kern w:val="0"/>
                <w:sz w:val="28"/>
                <w:szCs w:val="28"/>
                <w:lang w:bidi="ar"/>
              </w:rPr>
              <w:t>内容</w:t>
            </w:r>
          </w:p>
        </w:tc>
      </w:tr>
      <w:tr w14:paraId="6D4E2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4F4FC0D">
            <w:pPr>
              <w:widowControl/>
              <w:jc w:val="center"/>
              <w:textAlignment w:val="top"/>
              <w:rPr>
                <w:szCs w:val="21"/>
              </w:rPr>
            </w:pPr>
            <w:r>
              <w:rPr>
                <w:rFonts w:ascii="宋体" w:hAnsi="宋体" w:cs="宋体"/>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CCCB70E">
            <w:pPr>
              <w:widowControl/>
              <w:jc w:val="left"/>
              <w:textAlignment w:val="top"/>
              <w:rPr>
                <w:szCs w:val="21"/>
              </w:rPr>
            </w:pPr>
            <w:r>
              <w:rPr>
                <w:rFonts w:hint="eastAsia"/>
              </w:rPr>
              <w:t>不得将一个包的内容拆开进行应答；</w:t>
            </w:r>
          </w:p>
        </w:tc>
      </w:tr>
      <w:tr w14:paraId="6F264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4851557">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906C980">
            <w:pPr>
              <w:widowControl/>
              <w:jc w:val="left"/>
              <w:textAlignment w:val="top"/>
            </w:pPr>
            <w:r>
              <w:rPr>
                <w:rFonts w:hint="eastAsia"/>
                <w:szCs w:val="21"/>
              </w:rPr>
              <w:t>不得</w:t>
            </w:r>
            <w:r>
              <w:rPr>
                <w:szCs w:val="21"/>
              </w:rPr>
              <w:t>以他人的名义参与谈判、相互串通进行谈判、以行贿手段谋取成交或者以其他弄虚作假方式谈判；</w:t>
            </w:r>
          </w:p>
        </w:tc>
      </w:tr>
      <w:tr w14:paraId="56FF6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DA4F8EF">
            <w:pPr>
              <w:widowControl/>
              <w:jc w:val="center"/>
              <w:textAlignment w:val="top"/>
              <w:rPr>
                <w:szCs w:val="21"/>
              </w:rPr>
            </w:pPr>
            <w:r>
              <w:rPr>
                <w:rFonts w:hint="eastAsia"/>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82BBCBB">
            <w:pPr>
              <w:widowControl/>
              <w:jc w:val="left"/>
              <w:textAlignment w:val="top"/>
              <w:rPr>
                <w:szCs w:val="21"/>
              </w:rPr>
            </w:pPr>
            <w:r>
              <w:rPr>
                <w:rFonts w:hint="eastAsia"/>
              </w:rPr>
              <w:t>不得对同一项目提供两套以上的应答方案（谈判文件另有规定的除外）；</w:t>
            </w:r>
          </w:p>
        </w:tc>
      </w:tr>
      <w:tr w14:paraId="4A9FE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EBE81FD">
            <w:pPr>
              <w:widowControl/>
              <w:jc w:val="center"/>
              <w:textAlignment w:val="top"/>
              <w:rPr>
                <w:szCs w:val="21"/>
              </w:rPr>
            </w:pPr>
            <w:r>
              <w:rPr>
                <w:rFonts w:hint="eastAsia"/>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0613B33">
            <w:pPr>
              <w:widowControl/>
              <w:jc w:val="left"/>
              <w:textAlignment w:val="top"/>
              <w:rPr>
                <w:szCs w:val="21"/>
              </w:rPr>
            </w:pPr>
            <w:r>
              <w:rPr>
                <w:rFonts w:hint="eastAsia"/>
              </w:rPr>
              <w:t>填报的“折扣率”不满足“0＜折扣率≤1”公式要求的；“折扣率”缺填、漏填或填报了两个或以上“折扣率”；“投标关键信息”开标一览表中填写的投标报价与项目详细分项报价表中填写的“折扣率”不一致的；</w:t>
            </w:r>
          </w:p>
        </w:tc>
      </w:tr>
      <w:tr w14:paraId="39740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28665EF">
            <w:pPr>
              <w:widowControl/>
              <w:jc w:val="center"/>
              <w:textAlignment w:val="top"/>
              <w:rPr>
                <w:szCs w:val="21"/>
              </w:rPr>
            </w:pPr>
            <w:r>
              <w:rPr>
                <w:rFonts w:hint="eastAsia"/>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5BA803BD">
            <w:pPr>
              <w:widowControl/>
              <w:jc w:val="left"/>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14:paraId="2BF61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BB05BB7">
            <w:pPr>
              <w:widowControl/>
              <w:jc w:val="center"/>
              <w:textAlignment w:val="top"/>
              <w:rPr>
                <w:szCs w:val="21"/>
              </w:rPr>
            </w:pPr>
            <w:r>
              <w:rPr>
                <w:rFonts w:hint="eastAsia"/>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E4C0FF6">
            <w:pPr>
              <w:widowControl/>
              <w:jc w:val="left"/>
              <w:textAlignment w:val="top"/>
              <w:rPr>
                <w:szCs w:val="21"/>
              </w:rPr>
            </w:pPr>
            <w:r>
              <w:rPr>
                <w:rFonts w:hint="eastAsia"/>
              </w:rPr>
              <w:t>所投货物、服务在技术、商务等方面没有实质性满足谈判文件要求的（是否实质性满足谈判文件要求，由谈判小组根据实质性条款响应情况做出评判）；</w:t>
            </w:r>
          </w:p>
        </w:tc>
      </w:tr>
      <w:tr w14:paraId="6374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645137D">
            <w:pPr>
              <w:widowControl/>
              <w:jc w:val="center"/>
              <w:textAlignment w:val="top"/>
              <w:rPr>
                <w:szCs w:val="21"/>
              </w:rPr>
            </w:pPr>
            <w:r>
              <w:rPr>
                <w:rFonts w:hint="eastAsia"/>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52D32CD3">
            <w:pPr>
              <w:widowControl/>
              <w:jc w:val="left"/>
              <w:textAlignment w:val="top"/>
              <w:rPr>
                <w:szCs w:val="21"/>
              </w:rPr>
            </w:pPr>
            <w:r>
              <w:rPr>
                <w:rFonts w:hint="eastAsia"/>
              </w:rPr>
              <w:t>未按谈判文件所提供的样式填写《应答书》；未按谈判文件所提供的《政府采购应答及履约承诺函》进行承诺或不符合承诺的；未按谈判文件对应答文件组成的要求提供应答文件；</w:t>
            </w:r>
          </w:p>
        </w:tc>
      </w:tr>
      <w:tr w14:paraId="79983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8E04EDB">
            <w:pPr>
              <w:widowControl/>
              <w:jc w:val="center"/>
              <w:textAlignment w:val="top"/>
              <w:rPr>
                <w:szCs w:val="21"/>
              </w:rPr>
            </w:pPr>
            <w:r>
              <w:rPr>
                <w:rFonts w:hint="eastAsia"/>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8541AB1">
            <w:pPr>
              <w:widowControl/>
              <w:jc w:val="left"/>
              <w:textAlignment w:val="top"/>
              <w:rPr>
                <w:szCs w:val="21"/>
              </w:rPr>
            </w:pPr>
            <w:r>
              <w:rPr>
                <w:rFonts w:hint="eastAsia"/>
              </w:rPr>
              <w:t>谈判应答报价有缺漏项目,或者对谈判文件规定的项目需求内容或者需求数量进行修改</w:t>
            </w:r>
            <w:r>
              <w:rPr>
                <w:rFonts w:hint="eastAsia"/>
                <w:szCs w:val="21"/>
              </w:rPr>
              <w:t>，谈判小组判定谈判响应不满足谈判需求</w:t>
            </w:r>
            <w:r>
              <w:rPr>
                <w:rFonts w:hint="eastAsia"/>
              </w:rPr>
              <w:t>；</w:t>
            </w:r>
          </w:p>
        </w:tc>
      </w:tr>
      <w:tr w14:paraId="7671E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6C274B8">
            <w:pPr>
              <w:widowControl/>
              <w:jc w:val="center"/>
              <w:textAlignment w:val="top"/>
              <w:rPr>
                <w:szCs w:val="21"/>
              </w:rPr>
            </w:pPr>
            <w:r>
              <w:rPr>
                <w:rFonts w:hint="eastAsia"/>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E0A8A83">
            <w:pPr>
              <w:widowControl/>
              <w:jc w:val="left"/>
              <w:textAlignment w:val="top"/>
              <w:rPr>
                <w:szCs w:val="21"/>
              </w:rPr>
            </w:pPr>
            <w:r>
              <w:rPr>
                <w:rFonts w:hint="eastAsia"/>
              </w:rPr>
              <w:t>谈判应答附有采购人或谈判小组不能接受的条件；</w:t>
            </w:r>
          </w:p>
        </w:tc>
      </w:tr>
      <w:tr w14:paraId="30707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E47AEE0">
            <w:pPr>
              <w:widowControl/>
              <w:jc w:val="center"/>
              <w:textAlignment w:val="top"/>
              <w:rPr>
                <w:szCs w:val="21"/>
              </w:rPr>
            </w:pPr>
            <w:r>
              <w:rPr>
                <w:rFonts w:hint="eastAsia"/>
                <w:szCs w:val="21"/>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B0DFD2B">
            <w:pPr>
              <w:widowControl/>
              <w:jc w:val="left"/>
              <w:textAlignment w:val="top"/>
            </w:pPr>
            <w:r>
              <w:rPr>
                <w:rFonts w:hint="eastAsia"/>
              </w:rPr>
              <w:t>应答文件电子文档带病毒；</w:t>
            </w:r>
          </w:p>
        </w:tc>
      </w:tr>
      <w:tr w14:paraId="23373A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1BAD193">
            <w:pPr>
              <w:widowControl/>
              <w:jc w:val="center"/>
              <w:textAlignment w:val="top"/>
              <w:rPr>
                <w:szCs w:val="21"/>
              </w:rPr>
            </w:pPr>
            <w:r>
              <w:rPr>
                <w:rFonts w:hint="eastAsia"/>
                <w:szCs w:val="21"/>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B2B5B6C">
            <w:pPr>
              <w:widowControl/>
              <w:jc w:val="left"/>
              <w:textAlignment w:val="top"/>
              <w:rPr>
                <w:szCs w:val="21"/>
              </w:rPr>
            </w:pPr>
            <w:r>
              <w:rPr>
                <w:rFonts w:hint="eastAsia"/>
              </w:rPr>
              <w:t>应答文件用不属于本公司的公章盖章的；</w:t>
            </w:r>
          </w:p>
        </w:tc>
      </w:tr>
      <w:tr w14:paraId="4E840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ADBD4D0">
            <w:pPr>
              <w:widowControl/>
              <w:jc w:val="center"/>
              <w:textAlignment w:val="top"/>
              <w:rPr>
                <w:szCs w:val="21"/>
              </w:rPr>
            </w:pPr>
            <w:r>
              <w:rPr>
                <w:szCs w:val="21"/>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53BF66F">
            <w:pPr>
              <w:widowControl/>
              <w:jc w:val="left"/>
              <w:textAlignment w:val="top"/>
            </w:pPr>
            <w:r>
              <w:rPr>
                <w:rFonts w:hint="eastAsia"/>
              </w:rPr>
              <w:t>法律、法规、规章、规范性文件规定的其他情形。</w:t>
            </w:r>
          </w:p>
        </w:tc>
      </w:tr>
    </w:tbl>
    <w:p w14:paraId="2C9CA494">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评审信息</w:t>
      </w:r>
    </w:p>
    <w:tbl>
      <w:tblPr>
        <w:tblStyle w:val="30"/>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45" w:type="dxa"/>
          <w:left w:w="45" w:type="dxa"/>
          <w:bottom w:w="45" w:type="dxa"/>
          <w:right w:w="45" w:type="dxa"/>
        </w:tblCellMar>
      </w:tblPr>
      <w:tblGrid>
        <w:gridCol w:w="8675"/>
        <w:gridCol w:w="403"/>
      </w:tblGrid>
      <w:tr w14:paraId="540B81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0" w:type="auto"/>
            <w:shd w:val="clear" w:color="auto" w:fill="auto"/>
            <w:vAlign w:val="center"/>
          </w:tcPr>
          <w:p w14:paraId="3B4993CC">
            <w:pPr>
              <w:pStyle w:val="2"/>
              <w:widowControl/>
              <w:jc w:val="left"/>
              <w:rPr>
                <w:rFonts w:eastAsia="宋体"/>
                <w:b/>
                <w:bCs/>
                <w:sz w:val="21"/>
                <w:szCs w:val="21"/>
                <w:lang w:bidi="ar"/>
              </w:rPr>
            </w:pPr>
            <w:r>
              <w:rPr>
                <w:rFonts w:hint="eastAsia" w:eastAsia="宋体"/>
                <w:b/>
                <w:bCs/>
                <w:sz w:val="21"/>
                <w:szCs w:val="21"/>
              </w:rPr>
              <w:t>评审方法：综合评分法</w:t>
            </w:r>
          </w:p>
        </w:tc>
        <w:tc>
          <w:tcPr>
            <w:tcW w:w="0" w:type="auto"/>
            <w:shd w:val="clear" w:color="auto" w:fill="auto"/>
            <w:vAlign w:val="center"/>
          </w:tcPr>
          <w:p w14:paraId="3C4F08E0">
            <w:pPr>
              <w:jc w:val="right"/>
              <w:rPr>
                <w:rFonts w:ascii="宋体"/>
                <w:b/>
                <w:bCs/>
                <w:sz w:val="24"/>
              </w:rPr>
            </w:pPr>
          </w:p>
        </w:tc>
      </w:tr>
      <w:tr w14:paraId="0B117D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0CA25D80">
            <w:pPr>
              <w:pStyle w:val="27"/>
              <w:spacing w:line="276" w:lineRule="auto"/>
              <w:ind w:firstLine="420"/>
              <w:rPr>
                <w:rFonts w:ascii="宋体" w:hAnsi="宋体" w:cs="宋体"/>
                <w:sz w:val="21"/>
                <w:szCs w:val="21"/>
              </w:rPr>
            </w:pPr>
            <w:r>
              <w:rPr>
                <w:rFonts w:hint="eastAsia" w:ascii="宋体" w:hAnsi="宋体" w:cs="宋体"/>
                <w:sz w:val="21"/>
                <w:szCs w:val="21"/>
              </w:rPr>
              <w:t>综合评分法。在最大限度地满足招标文件实质性要求的前提下，按照招标文件中规定的各项因素进行综合评审，评标总得分排名前列的投标人，作为推荐的候选中标供应商。</w:t>
            </w:r>
          </w:p>
          <w:p w14:paraId="4BE9A25C">
            <w:pPr>
              <w:pStyle w:val="27"/>
              <w:spacing w:line="276" w:lineRule="auto"/>
              <w:ind w:firstLine="420"/>
              <w:rPr>
                <w:rFonts w:ascii="宋体" w:hAnsi="宋体" w:cs="宋体"/>
                <w:sz w:val="21"/>
                <w:szCs w:val="21"/>
              </w:rPr>
            </w:pPr>
            <w:r>
              <w:rPr>
                <w:rFonts w:hint="eastAsia" w:ascii="宋体" w:hAnsi="宋体" w:cs="宋体"/>
                <w:sz w:val="21"/>
                <w:szCs w:val="21"/>
              </w:rPr>
              <w:t>价格分计算方法：</w:t>
            </w:r>
          </w:p>
          <w:p w14:paraId="1FB2DE52">
            <w:pPr>
              <w:spacing w:line="276" w:lineRule="auto"/>
              <w:ind w:firstLine="420"/>
              <w:rPr>
                <w:rFonts w:ascii="宋体" w:cs="宋体"/>
                <w:szCs w:val="21"/>
              </w:rPr>
            </w:pPr>
            <w:r>
              <w:rPr>
                <w:rFonts w:hint="eastAsia" w:ascii="宋体" w:hAnsi="宋体" w:cs="宋体"/>
                <w:szCs w:val="21"/>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投标报价得分=(评标基准价／投标报价)×100 </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评标总得分＝F1×A1＋F2×A2＋……＋Fn×An </w:t>
            </w:r>
            <w:r>
              <w:rPr>
                <w:rFonts w:hint="eastAsia" w:ascii="宋体" w:hAnsi="宋体" w:cs="宋体"/>
                <w:szCs w:val="21"/>
              </w:rPr>
              <w:br w:type="textWrapping"/>
            </w:r>
            <w:r>
              <w:rPr>
                <w:rFonts w:ascii="宋体" w:hAnsi="宋体" w:cs="宋体"/>
                <w:szCs w:val="21"/>
              </w:rPr>
              <w:t xml:space="preserve">    </w:t>
            </w:r>
            <w:r>
              <w:rPr>
                <w:rFonts w:hint="eastAsia" w:ascii="宋体" w:hAnsi="宋体" w:cs="宋体"/>
                <w:szCs w:val="21"/>
              </w:rPr>
              <w:t xml:space="preserve">F1、F2……Fn分别为各项评审因素的得分； </w:t>
            </w:r>
            <w:r>
              <w:rPr>
                <w:rFonts w:hint="eastAsia" w:ascii="宋体" w:hAnsi="宋体" w:cs="宋体"/>
                <w:szCs w:val="21"/>
              </w:rPr>
              <w:br w:type="textWrapping"/>
            </w:r>
            <w:r>
              <w:rPr>
                <w:rFonts w:ascii="宋体" w:hAnsi="宋体" w:cs="宋体"/>
                <w:szCs w:val="21"/>
              </w:rPr>
              <w:t xml:space="preserve">    </w:t>
            </w:r>
            <w:r>
              <w:rPr>
                <w:rFonts w:hint="eastAsia" w:ascii="宋体" w:hAnsi="宋体" w:cs="宋体"/>
                <w:szCs w:val="21"/>
              </w:rPr>
              <w:t xml:space="preserve">A1、A2、……An 分别为各项评审因素所占的权重(A1＋A2＋……＋An＝1)。 </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评标过程中，不得去掉报价中的最高报价和最低报价。</w:t>
            </w:r>
          </w:p>
        </w:tc>
      </w:tr>
    </w:tbl>
    <w:tbl>
      <w:tblPr>
        <w:tblStyle w:val="30"/>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792"/>
        <w:gridCol w:w="1012"/>
        <w:gridCol w:w="4012"/>
      </w:tblGrid>
      <w:tr w14:paraId="71D5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tcBorders>
              <w:tl2br w:val="nil"/>
              <w:tr2bl w:val="nil"/>
            </w:tcBorders>
            <w:shd w:val="clear" w:color="auto" w:fill="E6EFFA"/>
            <w:vAlign w:val="center"/>
          </w:tcPr>
          <w:p w14:paraId="509AB76B">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序号</w:t>
            </w:r>
          </w:p>
        </w:tc>
        <w:tc>
          <w:tcPr>
            <w:tcW w:w="4352" w:type="dxa"/>
            <w:gridSpan w:val="3"/>
            <w:tcBorders>
              <w:tl2br w:val="nil"/>
              <w:tr2bl w:val="nil"/>
            </w:tcBorders>
            <w:shd w:val="clear" w:color="auto" w:fill="E6EFFA"/>
            <w:vAlign w:val="center"/>
          </w:tcPr>
          <w:p w14:paraId="5A7B547E">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评分项</w:t>
            </w:r>
          </w:p>
        </w:tc>
        <w:tc>
          <w:tcPr>
            <w:tcW w:w="4012" w:type="dxa"/>
            <w:tcBorders>
              <w:tl2br w:val="nil"/>
              <w:tr2bl w:val="nil"/>
            </w:tcBorders>
            <w:shd w:val="clear" w:color="auto" w:fill="E6EFFA"/>
            <w:vAlign w:val="center"/>
          </w:tcPr>
          <w:p w14:paraId="486550B2">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权重(%)</w:t>
            </w:r>
          </w:p>
        </w:tc>
      </w:tr>
      <w:tr w14:paraId="40DF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2B23B737">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1</w:t>
            </w:r>
          </w:p>
        </w:tc>
        <w:tc>
          <w:tcPr>
            <w:tcW w:w="4352" w:type="dxa"/>
            <w:gridSpan w:val="3"/>
            <w:tcBorders>
              <w:tl2br w:val="nil"/>
              <w:tr2bl w:val="nil"/>
            </w:tcBorders>
          </w:tcPr>
          <w:p w14:paraId="14388FFA">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价格</w:t>
            </w:r>
          </w:p>
        </w:tc>
        <w:tc>
          <w:tcPr>
            <w:tcW w:w="4012" w:type="dxa"/>
            <w:tcBorders>
              <w:tl2br w:val="nil"/>
              <w:tr2bl w:val="nil"/>
            </w:tcBorders>
          </w:tcPr>
          <w:p w14:paraId="58F818E0">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10</w:t>
            </w:r>
          </w:p>
        </w:tc>
      </w:tr>
      <w:tr w14:paraId="7F1C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BBE41FF">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14:paraId="5CF6B21F">
            <w:pPr>
              <w:wordWrap w:val="0"/>
              <w:adjustRightInd w:val="0"/>
              <w:snapToGrid w:val="0"/>
              <w:spacing w:line="320" w:lineRule="exact"/>
              <w:rPr>
                <w:rFonts w:ascii="宋体" w:hAnsi="宋体" w:cs="宋体"/>
                <w:szCs w:val="21"/>
              </w:rPr>
            </w:pPr>
          </w:p>
        </w:tc>
      </w:tr>
      <w:tr w14:paraId="6F19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14:paraId="76A978E2">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2</w:t>
            </w:r>
          </w:p>
        </w:tc>
        <w:tc>
          <w:tcPr>
            <w:tcW w:w="4352" w:type="dxa"/>
            <w:gridSpan w:val="3"/>
            <w:tcBorders>
              <w:tl2br w:val="nil"/>
              <w:tr2bl w:val="nil"/>
            </w:tcBorders>
          </w:tcPr>
          <w:p w14:paraId="5E8F5BA1">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技术部分</w:t>
            </w:r>
          </w:p>
        </w:tc>
        <w:tc>
          <w:tcPr>
            <w:tcW w:w="4012" w:type="dxa"/>
            <w:tcBorders>
              <w:tl2br w:val="nil"/>
              <w:tr2bl w:val="nil"/>
            </w:tcBorders>
          </w:tcPr>
          <w:p w14:paraId="3CBB0E20">
            <w:pPr>
              <w:wordWrap w:val="0"/>
              <w:adjustRightInd w:val="0"/>
              <w:snapToGrid w:val="0"/>
              <w:spacing w:line="320" w:lineRule="exact"/>
              <w:jc w:val="center"/>
              <w:rPr>
                <w:rFonts w:ascii="宋体" w:hAnsi="宋体" w:cs="宋体"/>
                <w:b/>
                <w:bCs/>
                <w:color w:val="0000FF"/>
                <w:szCs w:val="21"/>
              </w:rPr>
            </w:pPr>
            <w:r>
              <w:rPr>
                <w:rFonts w:ascii="宋体" w:hAnsi="宋体" w:cs="宋体"/>
                <w:b/>
                <w:bCs/>
                <w:color w:val="0000FF"/>
                <w:szCs w:val="21"/>
              </w:rPr>
              <w:t>55</w:t>
            </w:r>
          </w:p>
        </w:tc>
      </w:tr>
      <w:tr w14:paraId="5280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5D85CD4">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14:paraId="186E174C">
            <w:pPr>
              <w:wordWrap w:val="0"/>
              <w:adjustRightInd w:val="0"/>
              <w:snapToGrid w:val="0"/>
              <w:spacing w:line="320" w:lineRule="exact"/>
              <w:rPr>
                <w:rFonts w:ascii="宋体" w:hAnsi="宋体" w:cs="宋体"/>
                <w:szCs w:val="21"/>
              </w:rPr>
            </w:pPr>
          </w:p>
        </w:tc>
      </w:tr>
      <w:tr w14:paraId="7CFA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244C6BAD">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14:paraId="22CB8B8A">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792" w:type="dxa"/>
            <w:tcBorders>
              <w:tl2br w:val="nil"/>
              <w:tr2bl w:val="nil"/>
            </w:tcBorders>
            <w:shd w:val="clear" w:color="auto" w:fill="E6EFFA"/>
            <w:vAlign w:val="center"/>
          </w:tcPr>
          <w:p w14:paraId="75B4EFBE">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012" w:type="dxa"/>
            <w:tcBorders>
              <w:tl2br w:val="nil"/>
              <w:tr2bl w:val="nil"/>
            </w:tcBorders>
            <w:shd w:val="clear" w:color="auto" w:fill="E6EFFA"/>
            <w:vAlign w:val="center"/>
          </w:tcPr>
          <w:p w14:paraId="395E3838">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012" w:type="dxa"/>
            <w:tcBorders>
              <w:tl2br w:val="nil"/>
              <w:tr2bl w:val="nil"/>
            </w:tcBorders>
            <w:shd w:val="clear" w:color="auto" w:fill="E6EFFA"/>
            <w:vAlign w:val="center"/>
          </w:tcPr>
          <w:p w14:paraId="6E9FA145">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14:paraId="6D2F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BC862BF">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11810059">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792" w:type="dxa"/>
            <w:tcBorders>
              <w:tl2br w:val="nil"/>
              <w:tr2bl w:val="nil"/>
            </w:tcBorders>
            <w:vAlign w:val="center"/>
          </w:tcPr>
          <w:p w14:paraId="1CF70A56">
            <w:pPr>
              <w:wordWrap w:val="0"/>
              <w:adjustRightInd w:val="0"/>
              <w:snapToGrid w:val="0"/>
              <w:spacing w:line="320" w:lineRule="exact"/>
              <w:jc w:val="center"/>
              <w:rPr>
                <w:rFonts w:ascii="宋体" w:hAnsi="宋体" w:cs="宋体"/>
                <w:szCs w:val="21"/>
              </w:rPr>
            </w:pPr>
            <w:r>
              <w:rPr>
                <w:rFonts w:hint="eastAsia" w:ascii="宋体" w:hAnsi="宋体" w:cs="宋体"/>
                <w:szCs w:val="21"/>
              </w:rPr>
              <w:t>实施方案</w:t>
            </w:r>
          </w:p>
        </w:tc>
        <w:tc>
          <w:tcPr>
            <w:tcW w:w="1012" w:type="dxa"/>
            <w:tcBorders>
              <w:tl2br w:val="nil"/>
              <w:tr2bl w:val="nil"/>
            </w:tcBorders>
            <w:vAlign w:val="center"/>
          </w:tcPr>
          <w:p w14:paraId="4C543AF7">
            <w:pPr>
              <w:wordWrap w:val="0"/>
              <w:adjustRightInd w:val="0"/>
              <w:snapToGrid w:val="0"/>
              <w:spacing w:line="320" w:lineRule="exact"/>
              <w:jc w:val="center"/>
              <w:rPr>
                <w:rFonts w:ascii="宋体" w:hAnsi="宋体" w:cs="宋体"/>
                <w:szCs w:val="21"/>
              </w:rPr>
            </w:pPr>
            <w:r>
              <w:rPr>
                <w:rFonts w:ascii="宋体" w:hAnsi="宋体" w:cs="宋体"/>
                <w:szCs w:val="21"/>
              </w:rPr>
              <w:t>9</w:t>
            </w:r>
          </w:p>
        </w:tc>
        <w:tc>
          <w:tcPr>
            <w:tcW w:w="4012" w:type="dxa"/>
            <w:tcBorders>
              <w:tl2br w:val="nil"/>
              <w:tr2bl w:val="nil"/>
            </w:tcBorders>
          </w:tcPr>
          <w:p w14:paraId="55D58F0F">
            <w:pPr>
              <w:wordWrap w:val="0"/>
              <w:adjustRightInd w:val="0"/>
              <w:snapToGrid w:val="0"/>
              <w:spacing w:line="320" w:lineRule="exact"/>
              <w:rPr>
                <w:rFonts w:ascii="宋体" w:hAnsi="宋体" w:cs="宋体"/>
                <w:b/>
                <w:bCs/>
                <w:szCs w:val="21"/>
              </w:rPr>
            </w:pPr>
            <w:r>
              <w:rPr>
                <w:rFonts w:hint="eastAsia" w:ascii="宋体" w:hAnsi="宋体" w:cs="宋体"/>
                <w:b/>
                <w:bCs/>
                <w:szCs w:val="21"/>
              </w:rPr>
              <w:t>（一）评分内容：</w:t>
            </w:r>
          </w:p>
          <w:p w14:paraId="7CDE1307">
            <w:pPr>
              <w:wordWrap w:val="0"/>
              <w:adjustRightInd w:val="0"/>
              <w:snapToGrid w:val="0"/>
              <w:spacing w:line="320" w:lineRule="exact"/>
              <w:rPr>
                <w:rFonts w:ascii="宋体" w:hAnsi="宋体" w:cs="宋体"/>
                <w:szCs w:val="21"/>
              </w:rPr>
            </w:pPr>
            <w:r>
              <w:rPr>
                <w:rFonts w:hint="eastAsia" w:ascii="宋体" w:hAnsi="宋体" w:cs="宋体"/>
                <w:szCs w:val="21"/>
              </w:rPr>
              <w:t>根据谈判文件要求提供实施方案，内容应包括：</w:t>
            </w:r>
          </w:p>
          <w:p w14:paraId="6E8CF8EA">
            <w:pPr>
              <w:wordWrap w:val="0"/>
              <w:adjustRightInd w:val="0"/>
              <w:snapToGrid w:val="0"/>
              <w:spacing w:line="320" w:lineRule="exact"/>
              <w:rPr>
                <w:rFonts w:ascii="宋体" w:hAnsi="宋体" w:cs="宋体"/>
                <w:szCs w:val="21"/>
              </w:rPr>
            </w:pPr>
            <w:r>
              <w:rPr>
                <w:rFonts w:hint="eastAsia" w:ascii="宋体" w:hAnsi="宋体" w:cs="宋体"/>
                <w:szCs w:val="21"/>
              </w:rPr>
              <w:t>1.</w:t>
            </w:r>
            <w:r>
              <w:rPr>
                <w:rFonts w:hint="eastAsia" w:ascii="宋体" w:hAnsi="宋体" w:cs="宋体"/>
              </w:rPr>
              <w:t>安全生产管理方案。</w:t>
            </w:r>
          </w:p>
          <w:p w14:paraId="31360F23">
            <w:pPr>
              <w:wordWrap w:val="0"/>
              <w:adjustRightInd w:val="0"/>
              <w:snapToGrid w:val="0"/>
              <w:spacing w:line="320" w:lineRule="exact"/>
              <w:rPr>
                <w:rFonts w:ascii="宋体" w:hAnsi="宋体" w:cs="宋体"/>
                <w:szCs w:val="21"/>
              </w:rPr>
            </w:pPr>
            <w:r>
              <w:rPr>
                <w:rFonts w:hint="eastAsia" w:ascii="宋体" w:hAnsi="宋体" w:cs="宋体"/>
                <w:szCs w:val="21"/>
              </w:rPr>
              <w:t>2.维修质量保障方案</w:t>
            </w:r>
            <w:r>
              <w:rPr>
                <w:rFonts w:hint="eastAsia" w:ascii="宋体" w:hAnsi="宋体" w:cs="宋体"/>
              </w:rPr>
              <w:t>。</w:t>
            </w:r>
          </w:p>
          <w:p w14:paraId="01EF7B60">
            <w:pPr>
              <w:wordWrap w:val="0"/>
              <w:adjustRightInd w:val="0"/>
              <w:snapToGrid w:val="0"/>
              <w:spacing w:line="320" w:lineRule="exact"/>
              <w:rPr>
                <w:rFonts w:ascii="宋体" w:hAnsi="宋体" w:cs="宋体"/>
                <w:szCs w:val="21"/>
              </w:rPr>
            </w:pPr>
            <w:r>
              <w:rPr>
                <w:rFonts w:hint="eastAsia" w:ascii="宋体" w:hAnsi="宋体" w:cs="宋体"/>
                <w:szCs w:val="21"/>
              </w:rPr>
              <w:t>3.</w:t>
            </w:r>
            <w:r>
              <w:rPr>
                <w:rFonts w:hint="eastAsia" w:ascii="宋体" w:hAnsi="宋体" w:cs="宋体"/>
              </w:rPr>
              <w:t>服务流程规范方案。</w:t>
            </w:r>
          </w:p>
          <w:p w14:paraId="6A885094">
            <w:pPr>
              <w:wordWrap w:val="0"/>
              <w:adjustRightInd w:val="0"/>
              <w:snapToGrid w:val="0"/>
              <w:spacing w:line="320" w:lineRule="exact"/>
              <w:rPr>
                <w:rFonts w:ascii="宋体" w:hAnsi="宋体" w:cs="宋体"/>
                <w:b/>
                <w:bCs/>
                <w:szCs w:val="21"/>
              </w:rPr>
            </w:pPr>
            <w:r>
              <w:rPr>
                <w:rFonts w:hint="eastAsia" w:ascii="宋体" w:hAnsi="宋体" w:cs="宋体"/>
                <w:b/>
                <w:bCs/>
                <w:szCs w:val="21"/>
              </w:rPr>
              <w:t>（二）评分依据：</w:t>
            </w:r>
          </w:p>
          <w:p w14:paraId="0A88203A">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ascii="宋体" w:hAnsi="宋体" w:cs="宋体"/>
                <w:szCs w:val="21"/>
              </w:rPr>
              <w:t>2</w:t>
            </w:r>
            <w:r>
              <w:rPr>
                <w:rFonts w:hint="eastAsia" w:ascii="宋体" w:hAnsi="宋体" w:cs="宋体"/>
                <w:szCs w:val="21"/>
              </w:rPr>
              <w:t>分，本小项累计最高得</w:t>
            </w:r>
            <w:r>
              <w:rPr>
                <w:rFonts w:ascii="宋体" w:hAnsi="宋体" w:cs="宋体"/>
                <w:szCs w:val="21"/>
              </w:rPr>
              <w:t>6</w:t>
            </w:r>
            <w:r>
              <w:rPr>
                <w:rFonts w:hint="eastAsia" w:ascii="宋体" w:hAnsi="宋体" w:cs="宋体"/>
                <w:szCs w:val="21"/>
              </w:rPr>
              <w:t>分；在此基础上，专家根据各供应商的具体响应内容按照量化的评审因素指标进一步评审：</w:t>
            </w:r>
          </w:p>
          <w:p w14:paraId="2348F81C">
            <w:pPr>
              <w:wordWrap w:val="0"/>
              <w:adjustRightInd w:val="0"/>
              <w:snapToGrid w:val="0"/>
              <w:spacing w:line="320" w:lineRule="exact"/>
              <w:rPr>
                <w:rFonts w:ascii="宋体" w:hAnsi="宋体" w:cs="宋体"/>
                <w:szCs w:val="21"/>
              </w:rPr>
            </w:pPr>
            <w:r>
              <w:rPr>
                <w:rFonts w:hint="eastAsia" w:ascii="宋体" w:hAnsi="宋体" w:cs="宋体"/>
                <w:szCs w:val="21"/>
              </w:rPr>
              <w:t>1.方案整体科学合理、针对性强、可操作性强，评审为优的，加</w:t>
            </w:r>
            <w:r>
              <w:rPr>
                <w:rFonts w:ascii="宋体" w:hAnsi="宋体" w:cs="宋体"/>
                <w:szCs w:val="21"/>
              </w:rPr>
              <w:t>3</w:t>
            </w:r>
            <w:r>
              <w:rPr>
                <w:rFonts w:hint="eastAsia" w:ascii="宋体" w:hAnsi="宋体" w:cs="宋体"/>
                <w:szCs w:val="21"/>
              </w:rPr>
              <w:t>分；</w:t>
            </w:r>
          </w:p>
          <w:p w14:paraId="41631600">
            <w:pPr>
              <w:wordWrap w:val="0"/>
              <w:adjustRightInd w:val="0"/>
              <w:snapToGrid w:val="0"/>
              <w:spacing w:line="320" w:lineRule="exact"/>
              <w:rPr>
                <w:rFonts w:ascii="宋体" w:hAnsi="宋体" w:cs="宋体"/>
                <w:szCs w:val="21"/>
              </w:rPr>
            </w:pPr>
            <w:r>
              <w:rPr>
                <w:rFonts w:hint="eastAsia" w:ascii="宋体" w:hAnsi="宋体" w:cs="宋体"/>
                <w:szCs w:val="21"/>
              </w:rPr>
              <w:t>2.方案较合理、有一定针对性、一定可操作性，评审为良的，加</w:t>
            </w:r>
            <w:r>
              <w:rPr>
                <w:rFonts w:ascii="宋体" w:hAnsi="宋体" w:cs="宋体"/>
                <w:szCs w:val="21"/>
              </w:rPr>
              <w:t>2</w:t>
            </w:r>
            <w:r>
              <w:rPr>
                <w:rFonts w:hint="eastAsia" w:ascii="宋体" w:hAnsi="宋体" w:cs="宋体"/>
                <w:szCs w:val="21"/>
              </w:rPr>
              <w:t>分；</w:t>
            </w:r>
          </w:p>
          <w:p w14:paraId="4D2A9FA8">
            <w:pPr>
              <w:wordWrap w:val="0"/>
              <w:adjustRightInd w:val="0"/>
              <w:snapToGrid w:val="0"/>
              <w:spacing w:line="320" w:lineRule="exact"/>
              <w:rPr>
                <w:rFonts w:ascii="宋体" w:hAnsi="宋体" w:cs="宋体"/>
                <w:szCs w:val="21"/>
              </w:rPr>
            </w:pPr>
            <w:r>
              <w:rPr>
                <w:rFonts w:hint="eastAsia" w:ascii="宋体" w:hAnsi="宋体" w:cs="宋体"/>
                <w:szCs w:val="21"/>
              </w:rPr>
              <w:t>3.方案不尽合理、针对性一般、可操作性一般，评审为中的，加1分；</w:t>
            </w:r>
          </w:p>
          <w:p w14:paraId="0ED71AE8">
            <w:pPr>
              <w:wordWrap w:val="0"/>
              <w:adjustRightInd w:val="0"/>
              <w:snapToGrid w:val="0"/>
              <w:spacing w:line="320" w:lineRule="exact"/>
              <w:rPr>
                <w:rFonts w:ascii="宋体" w:hAnsi="宋体" w:cs="宋体"/>
                <w:szCs w:val="21"/>
              </w:rPr>
            </w:pPr>
            <w:r>
              <w:rPr>
                <w:rFonts w:hint="eastAsia" w:ascii="宋体" w:hAnsi="宋体" w:cs="宋体"/>
                <w:szCs w:val="21"/>
              </w:rPr>
              <w:t>4.方案不合理、无针对性、无可操作性，评审为差的，加0分。</w:t>
            </w:r>
          </w:p>
        </w:tc>
      </w:tr>
      <w:tr w14:paraId="1329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041BF01">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554968BF">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2792" w:type="dxa"/>
            <w:tcBorders>
              <w:tl2br w:val="nil"/>
              <w:tr2bl w:val="nil"/>
            </w:tcBorders>
            <w:vAlign w:val="center"/>
          </w:tcPr>
          <w:p w14:paraId="7C4449FD">
            <w:pPr>
              <w:wordWrap w:val="0"/>
              <w:adjustRightInd w:val="0"/>
              <w:snapToGrid w:val="0"/>
              <w:spacing w:line="320" w:lineRule="exact"/>
              <w:jc w:val="center"/>
              <w:rPr>
                <w:rFonts w:ascii="宋体" w:hAnsi="宋体" w:cs="宋体"/>
                <w:szCs w:val="21"/>
              </w:rPr>
            </w:pPr>
            <w:r>
              <w:rPr>
                <w:rFonts w:hint="eastAsia" w:ascii="宋体" w:hAnsi="宋体" w:cs="宋体"/>
                <w:szCs w:val="21"/>
              </w:rPr>
              <w:t>项目重点难点分析、应对措施及相关的合理化建议</w:t>
            </w:r>
          </w:p>
        </w:tc>
        <w:tc>
          <w:tcPr>
            <w:tcW w:w="1012" w:type="dxa"/>
            <w:tcBorders>
              <w:tl2br w:val="nil"/>
              <w:tr2bl w:val="nil"/>
            </w:tcBorders>
            <w:vAlign w:val="center"/>
          </w:tcPr>
          <w:p w14:paraId="62D7709C">
            <w:pPr>
              <w:wordWrap w:val="0"/>
              <w:adjustRightInd w:val="0"/>
              <w:snapToGrid w:val="0"/>
              <w:spacing w:line="320" w:lineRule="exact"/>
              <w:jc w:val="center"/>
              <w:rPr>
                <w:rFonts w:ascii="宋体" w:hAnsi="宋体" w:cs="宋体"/>
                <w:szCs w:val="21"/>
              </w:rPr>
            </w:pPr>
            <w:r>
              <w:rPr>
                <w:rFonts w:ascii="宋体" w:hAnsi="宋体" w:cs="宋体"/>
                <w:szCs w:val="21"/>
              </w:rPr>
              <w:t>9</w:t>
            </w:r>
          </w:p>
        </w:tc>
        <w:tc>
          <w:tcPr>
            <w:tcW w:w="4012" w:type="dxa"/>
            <w:tcBorders>
              <w:tl2br w:val="nil"/>
              <w:tr2bl w:val="nil"/>
            </w:tcBorders>
            <w:vAlign w:val="center"/>
          </w:tcPr>
          <w:p w14:paraId="70420F55">
            <w:pPr>
              <w:wordWrap w:val="0"/>
              <w:spacing w:line="320" w:lineRule="exact"/>
              <w:rPr>
                <w:rFonts w:ascii="宋体" w:hAnsi="宋体" w:cs="宋体"/>
                <w:szCs w:val="21"/>
              </w:rPr>
            </w:pPr>
            <w:r>
              <w:rPr>
                <w:rFonts w:hint="eastAsia" w:ascii="宋体" w:hAnsi="宋体" w:cs="宋体"/>
                <w:b/>
                <w:bCs/>
                <w:szCs w:val="21"/>
              </w:rPr>
              <w:t>（一）评分内容：</w:t>
            </w:r>
            <w:r>
              <w:rPr>
                <w:rFonts w:hint="eastAsia" w:ascii="宋体" w:hAnsi="宋体" w:cs="宋体"/>
                <w:szCs w:val="21"/>
              </w:rPr>
              <w:t>根据项目特点，提供项目重点难点分析、应对措施及相关的合理化建议，内容至少包括：</w:t>
            </w:r>
          </w:p>
          <w:p w14:paraId="31531329">
            <w:pPr>
              <w:wordWrap w:val="0"/>
              <w:spacing w:line="320" w:lineRule="exact"/>
              <w:rPr>
                <w:rFonts w:ascii="宋体" w:hAnsi="宋体" w:cs="宋体"/>
                <w:szCs w:val="21"/>
              </w:rPr>
            </w:pPr>
            <w:r>
              <w:rPr>
                <w:rFonts w:hint="eastAsia" w:ascii="宋体" w:hAnsi="宋体" w:cs="宋体"/>
                <w:szCs w:val="21"/>
              </w:rPr>
              <w:t>1.零配件管理。至少包括价格、质量管理。</w:t>
            </w:r>
          </w:p>
          <w:p w14:paraId="5B12D94B">
            <w:pPr>
              <w:wordWrap w:val="0"/>
              <w:spacing w:line="320" w:lineRule="exact"/>
              <w:rPr>
                <w:rFonts w:ascii="宋体" w:hAnsi="宋体" w:cs="宋体"/>
                <w:szCs w:val="21"/>
              </w:rPr>
            </w:pPr>
            <w:r>
              <w:rPr>
                <w:rFonts w:hint="eastAsia" w:ascii="宋体" w:hAnsi="宋体" w:cs="宋体"/>
                <w:szCs w:val="21"/>
              </w:rPr>
              <w:t>2.客户投诉处理流程。</w:t>
            </w:r>
          </w:p>
          <w:p w14:paraId="5A2CDFCB">
            <w:pPr>
              <w:wordWrap w:val="0"/>
              <w:spacing w:line="32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单项车辆维修验收标准。</w:t>
            </w:r>
          </w:p>
          <w:p w14:paraId="677E96B0">
            <w:pPr>
              <w:wordWrap w:val="0"/>
              <w:adjustRightInd w:val="0"/>
              <w:snapToGrid w:val="0"/>
              <w:spacing w:line="320" w:lineRule="exact"/>
              <w:rPr>
                <w:rFonts w:ascii="宋体" w:hAnsi="宋体"/>
              </w:rPr>
            </w:pPr>
            <w:r>
              <w:rPr>
                <w:rFonts w:hint="eastAsia" w:ascii="宋体" w:hAnsi="宋体" w:cs="宋体"/>
                <w:b/>
                <w:bCs/>
                <w:szCs w:val="21"/>
              </w:rPr>
              <w:t>（二）评分依据：</w:t>
            </w:r>
          </w:p>
          <w:p w14:paraId="7E67B9CC">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ascii="宋体" w:hAnsi="宋体" w:cs="宋体"/>
                <w:szCs w:val="21"/>
              </w:rPr>
              <w:t>2</w:t>
            </w:r>
            <w:r>
              <w:rPr>
                <w:rFonts w:hint="eastAsia" w:ascii="宋体" w:hAnsi="宋体" w:cs="宋体"/>
                <w:szCs w:val="21"/>
              </w:rPr>
              <w:t>分，本小项累计最高得</w:t>
            </w:r>
            <w:r>
              <w:rPr>
                <w:rFonts w:ascii="宋体" w:hAnsi="宋体" w:cs="宋体"/>
                <w:szCs w:val="21"/>
              </w:rPr>
              <w:t>6</w:t>
            </w:r>
            <w:r>
              <w:rPr>
                <w:rFonts w:hint="eastAsia" w:ascii="宋体" w:hAnsi="宋体" w:cs="宋体"/>
                <w:szCs w:val="21"/>
              </w:rPr>
              <w:t>分；在此基础上，专家根据各供应商的具体响应内容按照量化的评审因素指标进一步评审：</w:t>
            </w:r>
          </w:p>
          <w:p w14:paraId="6C4FBB78">
            <w:pPr>
              <w:spacing w:line="32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color w:val="000000" w:themeColor="text1"/>
                <w:szCs w:val="21"/>
                <w14:textFill>
                  <w14:solidFill>
                    <w14:schemeClr w14:val="tx1"/>
                  </w14:solidFill>
                </w14:textFill>
              </w:rPr>
              <w:t>内容完整充实，重点难点分析准确清晰，应对措施合理性强</w:t>
            </w:r>
            <w:r>
              <w:rPr>
                <w:rFonts w:hint="eastAsia" w:ascii="宋体" w:hAnsi="宋体" w:cs="宋体"/>
                <w:szCs w:val="21"/>
              </w:rPr>
              <w:t>，评审为优的，加</w:t>
            </w:r>
            <w:r>
              <w:rPr>
                <w:rFonts w:ascii="宋体" w:hAnsi="宋体" w:cs="宋体"/>
                <w:kern w:val="0"/>
                <w:szCs w:val="21"/>
              </w:rPr>
              <w:t>3</w:t>
            </w:r>
            <w:r>
              <w:rPr>
                <w:rFonts w:hint="eastAsia" w:ascii="宋体" w:hAnsi="宋体" w:cs="宋体"/>
                <w:szCs w:val="21"/>
              </w:rPr>
              <w:t>分；</w:t>
            </w:r>
          </w:p>
          <w:p w14:paraId="49D7EE3E">
            <w:pPr>
              <w:spacing w:line="320" w:lineRule="exact"/>
              <w:jc w:val="lef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color w:val="000000" w:themeColor="text1"/>
                <w:szCs w:val="21"/>
                <w14:textFill>
                  <w14:solidFill>
                    <w14:schemeClr w14:val="tx1"/>
                  </w14:solidFill>
                </w14:textFill>
              </w:rPr>
              <w:t>内容完整，重点难点分析较为准确，应对措施合理性较强</w:t>
            </w:r>
            <w:r>
              <w:rPr>
                <w:rFonts w:hint="eastAsia" w:ascii="宋体" w:hAnsi="宋体" w:cs="宋体"/>
                <w:szCs w:val="21"/>
              </w:rPr>
              <w:t>，评审为良的，加</w:t>
            </w:r>
            <w:r>
              <w:rPr>
                <w:rFonts w:ascii="宋体" w:hAnsi="宋体" w:cs="宋体"/>
                <w:kern w:val="0"/>
                <w:szCs w:val="21"/>
              </w:rPr>
              <w:t>2</w:t>
            </w:r>
            <w:r>
              <w:rPr>
                <w:rFonts w:hint="eastAsia" w:ascii="宋体" w:hAnsi="宋体" w:cs="宋体"/>
                <w:szCs w:val="21"/>
              </w:rPr>
              <w:t>分；</w:t>
            </w:r>
          </w:p>
          <w:p w14:paraId="7BDB9FE7">
            <w:pPr>
              <w:spacing w:line="320" w:lineRule="exact"/>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color w:val="000000" w:themeColor="text1"/>
                <w:szCs w:val="21"/>
                <w14:textFill>
                  <w14:solidFill>
                    <w14:schemeClr w14:val="tx1"/>
                  </w14:solidFill>
                </w14:textFill>
              </w:rPr>
              <w:t>内容较完整，重点难点分析较为准</w:t>
            </w:r>
            <w:r>
              <w:rPr>
                <w:rFonts w:hint="eastAsia" w:ascii="宋体" w:hAnsi="宋体" w:cs="宋体"/>
                <w:szCs w:val="21"/>
              </w:rPr>
              <w:t>确，应对措施合理性一般，评审为中的，加</w:t>
            </w:r>
            <w:r>
              <w:rPr>
                <w:rFonts w:ascii="宋体" w:hAnsi="宋体" w:cs="宋体"/>
                <w:kern w:val="0"/>
                <w:szCs w:val="21"/>
              </w:rPr>
              <w:t>1</w:t>
            </w:r>
            <w:r>
              <w:rPr>
                <w:rFonts w:hint="eastAsia" w:ascii="宋体" w:hAnsi="宋体" w:cs="宋体"/>
                <w:szCs w:val="21"/>
              </w:rPr>
              <w:t>分；</w:t>
            </w:r>
          </w:p>
          <w:p w14:paraId="7E07FAB1">
            <w:pPr>
              <w:wordWrap w:val="0"/>
              <w:adjustRightInd w:val="0"/>
              <w:snapToGrid w:val="0"/>
              <w:spacing w:line="320" w:lineRule="exact"/>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内容不完整，重点难点分析不准确，应对措施不合理，评审为差的，加0分。</w:t>
            </w:r>
            <w:r>
              <w:rPr>
                <w:rFonts w:ascii="宋体" w:hAnsi="宋体" w:cs="宋体"/>
                <w:szCs w:val="21"/>
              </w:rPr>
              <w:t xml:space="preserve"> </w:t>
            </w:r>
          </w:p>
        </w:tc>
      </w:tr>
      <w:tr w14:paraId="447B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454BD43">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31ED93B3">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2792" w:type="dxa"/>
            <w:tcBorders>
              <w:tl2br w:val="nil"/>
              <w:tr2bl w:val="nil"/>
            </w:tcBorders>
            <w:vAlign w:val="center"/>
          </w:tcPr>
          <w:p w14:paraId="02480423">
            <w:pPr>
              <w:wordWrap w:val="0"/>
              <w:adjustRightInd w:val="0"/>
              <w:snapToGrid w:val="0"/>
              <w:spacing w:line="320" w:lineRule="exact"/>
              <w:jc w:val="center"/>
              <w:rPr>
                <w:rFonts w:ascii="宋体" w:hAnsi="宋体" w:cs="宋体"/>
                <w:szCs w:val="21"/>
              </w:rPr>
            </w:pPr>
            <w:r>
              <w:rPr>
                <w:rFonts w:hint="eastAsia" w:ascii="宋体" w:hAnsi="宋体" w:cs="宋体"/>
                <w:szCs w:val="21"/>
              </w:rPr>
              <w:t>质量（完成时间、安全、环保）保障措施及方案</w:t>
            </w:r>
          </w:p>
        </w:tc>
        <w:tc>
          <w:tcPr>
            <w:tcW w:w="1012" w:type="dxa"/>
            <w:tcBorders>
              <w:tl2br w:val="nil"/>
              <w:tr2bl w:val="nil"/>
            </w:tcBorders>
            <w:vAlign w:val="center"/>
          </w:tcPr>
          <w:p w14:paraId="1FD3587B">
            <w:pPr>
              <w:wordWrap w:val="0"/>
              <w:adjustRightInd w:val="0"/>
              <w:snapToGrid w:val="0"/>
              <w:spacing w:line="320" w:lineRule="exact"/>
              <w:jc w:val="center"/>
              <w:rPr>
                <w:rFonts w:ascii="宋体" w:hAnsi="宋体" w:cs="宋体"/>
                <w:szCs w:val="21"/>
              </w:rPr>
            </w:pPr>
            <w:r>
              <w:rPr>
                <w:rFonts w:hint="eastAsia" w:ascii="宋体" w:hAnsi="宋体" w:cs="宋体"/>
                <w:szCs w:val="21"/>
              </w:rPr>
              <w:t>7</w:t>
            </w:r>
          </w:p>
        </w:tc>
        <w:tc>
          <w:tcPr>
            <w:tcW w:w="4012" w:type="dxa"/>
            <w:tcBorders>
              <w:tl2br w:val="nil"/>
              <w:tr2bl w:val="nil"/>
            </w:tcBorders>
            <w:vAlign w:val="center"/>
          </w:tcPr>
          <w:p w14:paraId="751AC729">
            <w:pPr>
              <w:wordWrap w:val="0"/>
              <w:adjustRightInd w:val="0"/>
              <w:snapToGrid w:val="0"/>
              <w:spacing w:line="320" w:lineRule="exact"/>
              <w:rPr>
                <w:rFonts w:ascii="宋体" w:hAnsi="宋体" w:cs="宋体"/>
                <w:b/>
                <w:bCs/>
                <w:szCs w:val="21"/>
              </w:rPr>
            </w:pPr>
            <w:r>
              <w:rPr>
                <w:rFonts w:hint="eastAsia" w:ascii="宋体" w:hAnsi="宋体" w:cs="宋体"/>
                <w:b/>
                <w:bCs/>
                <w:szCs w:val="21"/>
              </w:rPr>
              <w:t>（一）评审内容：</w:t>
            </w:r>
            <w:r>
              <w:rPr>
                <w:rFonts w:ascii="宋体" w:hAnsi="宋体" w:cs="宋体"/>
                <w:b/>
                <w:bCs/>
                <w:szCs w:val="21"/>
              </w:rPr>
              <w:t xml:space="preserve"> </w:t>
            </w:r>
          </w:p>
          <w:p w14:paraId="1F575533">
            <w:pPr>
              <w:rPr>
                <w:rFonts w:ascii="宋体" w:hAnsi="宋体"/>
              </w:rPr>
            </w:pPr>
            <w:r>
              <w:rPr>
                <w:rFonts w:hint="eastAsia" w:ascii="宋体" w:hAnsi="宋体"/>
              </w:rPr>
              <w:t>1.人员管理措施</w:t>
            </w:r>
            <w:r>
              <w:rPr>
                <w:rFonts w:hint="eastAsia" w:ascii="宋体" w:hAnsi="宋体" w:cs="宋体"/>
                <w:szCs w:val="21"/>
              </w:rPr>
              <w:t>。</w:t>
            </w:r>
          </w:p>
          <w:p w14:paraId="746C4F2E">
            <w:pPr>
              <w:rPr>
                <w:rFonts w:ascii="宋体" w:hAnsi="宋体"/>
              </w:rPr>
            </w:pPr>
            <w:r>
              <w:rPr>
                <w:rFonts w:hint="eastAsia" w:ascii="宋体" w:hAnsi="宋体"/>
              </w:rPr>
              <w:t>2.应急保障措施。</w:t>
            </w:r>
          </w:p>
          <w:p w14:paraId="7A2686C0">
            <w:pPr>
              <w:rPr>
                <w:rFonts w:ascii="宋体" w:hAnsi="宋体"/>
              </w:rPr>
            </w:pPr>
            <w:r>
              <w:rPr>
                <w:rFonts w:hint="eastAsia" w:ascii="宋体" w:hAnsi="宋体"/>
              </w:rPr>
              <w:t>3.</w:t>
            </w:r>
            <w:r>
              <w:rPr>
                <w:rFonts w:ascii="宋体" w:hAnsi="宋体" w:cs="宋体"/>
                <w:szCs w:val="21"/>
              </w:rPr>
              <w:t>质量检验措施</w:t>
            </w:r>
            <w:r>
              <w:rPr>
                <w:rFonts w:hint="eastAsia" w:ascii="宋体" w:hAnsi="宋体"/>
              </w:rPr>
              <w:t>。</w:t>
            </w:r>
          </w:p>
          <w:p w14:paraId="330C7B72">
            <w:pPr>
              <w:rPr>
                <w:rFonts w:ascii="宋体" w:hAnsi="宋体"/>
              </w:rPr>
            </w:pPr>
            <w:r>
              <w:rPr>
                <w:rFonts w:hint="eastAsia" w:ascii="宋体" w:hAnsi="宋体"/>
              </w:rPr>
              <w:t>4</w:t>
            </w:r>
            <w:r>
              <w:rPr>
                <w:rFonts w:ascii="宋体" w:hAnsi="宋体"/>
              </w:rPr>
              <w:t>.</w:t>
            </w:r>
            <w:r>
              <w:rPr>
                <w:rFonts w:hint="eastAsia" w:ascii="宋体" w:hAnsi="宋体" w:cs="宋体"/>
              </w:rPr>
              <w:t>车辆档案管理措施</w:t>
            </w:r>
            <w:r>
              <w:rPr>
                <w:rFonts w:hint="eastAsia" w:ascii="宋体" w:hAnsi="宋体" w:cs="宋体"/>
                <w:szCs w:val="21"/>
              </w:rPr>
              <w:t>。</w:t>
            </w:r>
            <w:r>
              <w:rPr>
                <w:rFonts w:hint="eastAsia" w:ascii="宋体" w:hAnsi="宋体"/>
              </w:rPr>
              <w:t xml:space="preserve"> </w:t>
            </w:r>
          </w:p>
          <w:p w14:paraId="00E89C75">
            <w:pPr>
              <w:wordWrap w:val="0"/>
              <w:adjustRightInd w:val="0"/>
              <w:snapToGrid w:val="0"/>
              <w:spacing w:line="320" w:lineRule="exact"/>
              <w:rPr>
                <w:rFonts w:ascii="宋体" w:hAnsi="宋体"/>
              </w:rPr>
            </w:pPr>
            <w:r>
              <w:rPr>
                <w:rFonts w:hint="eastAsia" w:ascii="宋体" w:hAnsi="宋体" w:cs="宋体"/>
                <w:b/>
                <w:bCs/>
                <w:szCs w:val="21"/>
              </w:rPr>
              <w:t>（二）评分依据：</w:t>
            </w:r>
          </w:p>
          <w:p w14:paraId="76C6F863">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ascii="宋体" w:hAnsi="宋体" w:cs="宋体"/>
                <w:szCs w:val="21"/>
              </w:rPr>
              <w:t>1</w:t>
            </w:r>
            <w:r>
              <w:rPr>
                <w:rFonts w:hint="eastAsia" w:ascii="宋体" w:hAnsi="宋体" w:cs="宋体"/>
                <w:szCs w:val="21"/>
              </w:rPr>
              <w:t>分，本小项累计最高得</w:t>
            </w:r>
            <w:r>
              <w:rPr>
                <w:rFonts w:ascii="宋体" w:hAnsi="宋体" w:cs="宋体"/>
                <w:szCs w:val="21"/>
              </w:rPr>
              <w:t>4</w:t>
            </w:r>
            <w:r>
              <w:rPr>
                <w:rFonts w:hint="eastAsia" w:ascii="宋体" w:hAnsi="宋体" w:cs="宋体"/>
                <w:szCs w:val="21"/>
              </w:rPr>
              <w:t>分；在此基础上，专家根据各供应商的具体响应内容按照量化的评审因素指标进一步评审：</w:t>
            </w:r>
          </w:p>
          <w:p w14:paraId="4A33DD89">
            <w:pPr>
              <w:wordWrap w:val="0"/>
              <w:adjustRightInd w:val="0"/>
              <w:snapToGrid w:val="0"/>
              <w:spacing w:line="320" w:lineRule="exact"/>
              <w:rPr>
                <w:rFonts w:ascii="宋体" w:hAnsi="宋体" w:cs="宋体"/>
                <w:szCs w:val="21"/>
              </w:rPr>
            </w:pPr>
            <w:r>
              <w:rPr>
                <w:rFonts w:hint="eastAsia" w:ascii="宋体" w:hAnsi="宋体" w:cs="宋体"/>
                <w:szCs w:val="21"/>
              </w:rPr>
              <w:t>1.措施、方案整体科学合理、针对性强、可操作性强，评审为优的，加</w:t>
            </w:r>
            <w:r>
              <w:rPr>
                <w:rFonts w:ascii="宋体" w:hAnsi="宋体" w:cs="宋体"/>
                <w:szCs w:val="21"/>
              </w:rPr>
              <w:t>3</w:t>
            </w:r>
            <w:r>
              <w:rPr>
                <w:rFonts w:hint="eastAsia" w:ascii="宋体" w:hAnsi="宋体" w:cs="宋体"/>
                <w:szCs w:val="21"/>
              </w:rPr>
              <w:t>分；</w:t>
            </w:r>
          </w:p>
          <w:p w14:paraId="42C6A19E">
            <w:pPr>
              <w:wordWrap w:val="0"/>
              <w:adjustRightInd w:val="0"/>
              <w:snapToGrid w:val="0"/>
              <w:spacing w:line="320" w:lineRule="exact"/>
              <w:rPr>
                <w:rFonts w:ascii="宋体" w:hAnsi="宋体" w:cs="宋体"/>
                <w:szCs w:val="21"/>
              </w:rPr>
            </w:pPr>
            <w:r>
              <w:rPr>
                <w:rFonts w:hint="eastAsia" w:ascii="宋体" w:hAnsi="宋体" w:cs="宋体"/>
                <w:szCs w:val="21"/>
              </w:rPr>
              <w:t>2.措施、方案较合理、有一定针对性、一定可操作性，评审为良的，加</w:t>
            </w:r>
            <w:r>
              <w:rPr>
                <w:rFonts w:ascii="宋体" w:hAnsi="宋体" w:cs="宋体"/>
                <w:szCs w:val="21"/>
              </w:rPr>
              <w:t>2</w:t>
            </w:r>
            <w:r>
              <w:rPr>
                <w:rFonts w:hint="eastAsia" w:ascii="宋体" w:hAnsi="宋体" w:cs="宋体"/>
                <w:szCs w:val="21"/>
              </w:rPr>
              <w:t>分；</w:t>
            </w:r>
          </w:p>
          <w:p w14:paraId="593303DD">
            <w:pPr>
              <w:wordWrap w:val="0"/>
              <w:adjustRightInd w:val="0"/>
              <w:snapToGrid w:val="0"/>
              <w:spacing w:line="320" w:lineRule="exact"/>
              <w:rPr>
                <w:rFonts w:ascii="宋体" w:hAnsi="宋体" w:cs="宋体"/>
                <w:szCs w:val="21"/>
              </w:rPr>
            </w:pPr>
            <w:r>
              <w:rPr>
                <w:rFonts w:hint="eastAsia" w:ascii="宋体" w:hAnsi="宋体" w:cs="宋体"/>
                <w:szCs w:val="21"/>
              </w:rPr>
              <w:t>3.措施、方案不尽合理、针对性一般、可操作性一般，评审为中的，加1分；</w:t>
            </w:r>
          </w:p>
          <w:p w14:paraId="09F62F25">
            <w:pPr>
              <w:wordWrap w:val="0"/>
              <w:adjustRightInd w:val="0"/>
              <w:snapToGrid w:val="0"/>
              <w:spacing w:line="320" w:lineRule="exact"/>
              <w:jc w:val="left"/>
              <w:rPr>
                <w:rFonts w:ascii="宋体" w:hAnsi="宋体" w:cs="宋体"/>
                <w:szCs w:val="21"/>
              </w:rPr>
            </w:pPr>
            <w:r>
              <w:rPr>
                <w:rFonts w:hint="eastAsia" w:ascii="宋体" w:hAnsi="宋体" w:cs="宋体"/>
                <w:szCs w:val="21"/>
              </w:rPr>
              <w:t>4.措施、方案不合理、无针对性、无可操作性，评审为差的，加0分。</w:t>
            </w:r>
          </w:p>
        </w:tc>
      </w:tr>
      <w:tr w14:paraId="75BA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continue"/>
            <w:tcBorders>
              <w:tl2br w:val="nil"/>
              <w:tr2bl w:val="nil"/>
            </w:tcBorders>
            <w:vAlign w:val="center"/>
          </w:tcPr>
          <w:p w14:paraId="4B6CA5BF">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221F7B9C">
            <w:pPr>
              <w:wordWrap w:val="0"/>
              <w:adjustRightInd w:val="0"/>
              <w:snapToGrid w:val="0"/>
              <w:spacing w:line="320" w:lineRule="exact"/>
              <w:jc w:val="center"/>
              <w:rPr>
                <w:rFonts w:ascii="宋体" w:hAnsi="宋体" w:cs="宋体"/>
                <w:szCs w:val="21"/>
              </w:rPr>
            </w:pPr>
            <w:r>
              <w:rPr>
                <w:rFonts w:hint="eastAsia" w:ascii="宋体" w:hAnsi="宋体" w:cs="宋体"/>
                <w:szCs w:val="21"/>
              </w:rPr>
              <w:t>4</w:t>
            </w:r>
          </w:p>
        </w:tc>
        <w:tc>
          <w:tcPr>
            <w:tcW w:w="2792" w:type="dxa"/>
            <w:tcBorders>
              <w:tl2br w:val="nil"/>
              <w:tr2bl w:val="nil"/>
            </w:tcBorders>
            <w:vAlign w:val="center"/>
          </w:tcPr>
          <w:p w14:paraId="2CD5E6BD">
            <w:pPr>
              <w:wordWrap w:val="0"/>
              <w:adjustRightInd w:val="0"/>
              <w:snapToGrid w:val="0"/>
              <w:spacing w:line="320" w:lineRule="exact"/>
              <w:jc w:val="center"/>
              <w:rPr>
                <w:rFonts w:ascii="宋体" w:hAnsi="宋体" w:cs="宋体"/>
                <w:szCs w:val="21"/>
              </w:rPr>
            </w:pPr>
            <w:r>
              <w:rPr>
                <w:rFonts w:hint="eastAsia" w:ascii="宋体" w:hAnsi="宋体" w:cs="宋体"/>
                <w:szCs w:val="21"/>
              </w:rPr>
              <w:t>项目完成（服务期满）后的服务承诺</w:t>
            </w:r>
          </w:p>
        </w:tc>
        <w:tc>
          <w:tcPr>
            <w:tcW w:w="1012" w:type="dxa"/>
            <w:tcBorders>
              <w:tl2br w:val="nil"/>
              <w:tr2bl w:val="nil"/>
            </w:tcBorders>
            <w:vAlign w:val="center"/>
          </w:tcPr>
          <w:p w14:paraId="2501BD0C">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4012" w:type="dxa"/>
            <w:tcBorders>
              <w:tl2br w:val="nil"/>
              <w:tr2bl w:val="nil"/>
            </w:tcBorders>
            <w:vAlign w:val="center"/>
          </w:tcPr>
          <w:p w14:paraId="0CF98208">
            <w:pPr>
              <w:wordWrap w:val="0"/>
              <w:spacing w:line="320" w:lineRule="exact"/>
              <w:rPr>
                <w:rFonts w:ascii="宋体" w:hAnsi="宋体" w:cs="宋体"/>
                <w:b/>
                <w:bCs/>
                <w:szCs w:val="21"/>
              </w:rPr>
            </w:pPr>
            <w:r>
              <w:rPr>
                <w:rFonts w:hint="eastAsia" w:ascii="宋体" w:hAnsi="宋体" w:cs="宋体"/>
                <w:b/>
                <w:bCs/>
                <w:szCs w:val="21"/>
              </w:rPr>
              <w:t>（一）评分内容：</w:t>
            </w:r>
          </w:p>
          <w:p w14:paraId="5AFE12F8">
            <w:pPr>
              <w:wordWrap w:val="0"/>
              <w:spacing w:line="320" w:lineRule="exact"/>
              <w:rPr>
                <w:rFonts w:ascii="宋体" w:hAnsi="宋体" w:cs="宋体"/>
                <w:szCs w:val="21"/>
              </w:rPr>
            </w:pPr>
            <w:r>
              <w:rPr>
                <w:rFonts w:hint="eastAsia" w:ascii="宋体" w:hAnsi="宋体" w:cs="宋体"/>
                <w:szCs w:val="21"/>
              </w:rPr>
              <w:t>投标人提供项目完成（服务期满）后的服务承诺书，至少包括与后续服务公司的人员工作交接、记录台账交接以及服务期满后续服务公司未到位前仍按原合同服务内容提供服务等，得</w:t>
            </w:r>
            <w:r>
              <w:rPr>
                <w:rFonts w:ascii="宋体" w:hAnsi="宋体" w:cs="宋体"/>
                <w:szCs w:val="21"/>
              </w:rPr>
              <w:t>3</w:t>
            </w:r>
            <w:r>
              <w:rPr>
                <w:rFonts w:hint="eastAsia" w:ascii="宋体" w:hAnsi="宋体" w:cs="宋体"/>
                <w:szCs w:val="21"/>
              </w:rPr>
              <w:t xml:space="preserve">分。 </w:t>
            </w:r>
          </w:p>
          <w:p w14:paraId="602A986C">
            <w:pPr>
              <w:widowControl/>
              <w:kinsoku w:val="0"/>
              <w:autoSpaceDE w:val="0"/>
              <w:autoSpaceDN w:val="0"/>
              <w:adjustRightInd w:val="0"/>
              <w:snapToGrid w:val="0"/>
              <w:textAlignment w:val="baseline"/>
              <w:rPr>
                <w:rFonts w:ascii="宋体" w:hAnsi="宋体" w:cs="宋体"/>
                <w:b/>
                <w:bCs/>
                <w:szCs w:val="21"/>
              </w:rPr>
            </w:pPr>
            <w:r>
              <w:rPr>
                <w:rFonts w:hint="eastAsia" w:ascii="宋体" w:hAnsi="宋体" w:cs="宋体"/>
                <w:b/>
                <w:bCs/>
                <w:szCs w:val="21"/>
              </w:rPr>
              <w:t>(二)评分依据：</w:t>
            </w:r>
          </w:p>
          <w:p w14:paraId="4EBE4DC6">
            <w:pPr>
              <w:adjustRightInd w:val="0"/>
              <w:snapToGrid w:val="0"/>
              <w:spacing w:line="320" w:lineRule="exact"/>
              <w:jc w:val="left"/>
              <w:rPr>
                <w:rFonts w:ascii="宋体" w:hAnsi="宋体" w:cs="宋体"/>
                <w:szCs w:val="21"/>
              </w:rPr>
            </w:pPr>
            <w:r>
              <w:rPr>
                <w:rFonts w:hint="eastAsia" w:ascii="宋体" w:hAnsi="宋体"/>
                <w:color w:val="000000"/>
                <w:kern w:val="0"/>
              </w:rPr>
              <w:t>要求提供承诺(格式自定)作为得分依据，未提供承诺或承诺内容不满足要求不得分。</w:t>
            </w:r>
          </w:p>
        </w:tc>
      </w:tr>
      <w:tr w14:paraId="735E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08C86FF">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7A23ABE4">
            <w:pPr>
              <w:wordWrap w:val="0"/>
              <w:adjustRightInd w:val="0"/>
              <w:snapToGrid w:val="0"/>
              <w:spacing w:line="320" w:lineRule="exact"/>
              <w:jc w:val="center"/>
              <w:rPr>
                <w:rFonts w:ascii="宋体" w:hAnsi="宋体" w:cs="宋体"/>
                <w:szCs w:val="21"/>
              </w:rPr>
            </w:pPr>
            <w:r>
              <w:rPr>
                <w:rFonts w:hint="eastAsia" w:ascii="宋体" w:hAnsi="宋体" w:cs="宋体"/>
                <w:szCs w:val="21"/>
              </w:rPr>
              <w:t>5</w:t>
            </w:r>
          </w:p>
        </w:tc>
        <w:tc>
          <w:tcPr>
            <w:tcW w:w="2792" w:type="dxa"/>
            <w:tcBorders>
              <w:tl2br w:val="nil"/>
              <w:tr2bl w:val="nil"/>
            </w:tcBorders>
            <w:vAlign w:val="center"/>
          </w:tcPr>
          <w:p w14:paraId="45864011">
            <w:pPr>
              <w:wordWrap w:val="0"/>
              <w:adjustRightInd w:val="0"/>
              <w:snapToGrid w:val="0"/>
              <w:spacing w:line="320" w:lineRule="exact"/>
              <w:jc w:val="center"/>
              <w:rPr>
                <w:rFonts w:ascii="宋体" w:hAnsi="宋体" w:cs="宋体"/>
                <w:szCs w:val="21"/>
              </w:rPr>
            </w:pPr>
            <w:r>
              <w:rPr>
                <w:rFonts w:hint="eastAsia" w:ascii="宋体" w:hAnsi="宋体" w:cs="宋体"/>
                <w:szCs w:val="21"/>
              </w:rPr>
              <w:t>拟安排的项目负责人情况（仅限一人）</w:t>
            </w:r>
          </w:p>
        </w:tc>
        <w:tc>
          <w:tcPr>
            <w:tcW w:w="1012" w:type="dxa"/>
            <w:tcBorders>
              <w:tl2br w:val="nil"/>
              <w:tr2bl w:val="nil"/>
            </w:tcBorders>
            <w:vAlign w:val="center"/>
          </w:tcPr>
          <w:p w14:paraId="4A5497EE">
            <w:pPr>
              <w:wordWrap w:val="0"/>
              <w:adjustRightInd w:val="0"/>
              <w:snapToGrid w:val="0"/>
              <w:spacing w:line="320" w:lineRule="exact"/>
              <w:jc w:val="center"/>
              <w:rPr>
                <w:rFonts w:ascii="宋体" w:hAnsi="宋体" w:cs="宋体"/>
                <w:szCs w:val="21"/>
              </w:rPr>
            </w:pPr>
            <w:r>
              <w:rPr>
                <w:rFonts w:ascii="宋体" w:hAnsi="宋体" w:cs="宋体"/>
                <w:szCs w:val="21"/>
              </w:rPr>
              <w:t>8</w:t>
            </w:r>
          </w:p>
        </w:tc>
        <w:tc>
          <w:tcPr>
            <w:tcW w:w="4012" w:type="dxa"/>
            <w:tcBorders>
              <w:tl2br w:val="nil"/>
              <w:tr2bl w:val="nil"/>
            </w:tcBorders>
          </w:tcPr>
          <w:p w14:paraId="2A555171">
            <w:pPr>
              <w:adjustRightInd w:val="0"/>
              <w:snapToGrid w:val="0"/>
              <w:spacing w:line="320" w:lineRule="exact"/>
              <w:rPr>
                <w:rFonts w:ascii="宋体" w:hAnsi="宋体" w:cs="宋体"/>
                <w:b/>
                <w:bCs/>
                <w:szCs w:val="21"/>
              </w:rPr>
            </w:pPr>
            <w:r>
              <w:rPr>
                <w:rFonts w:hint="eastAsia" w:ascii="宋体" w:hAnsi="宋体" w:cs="宋体"/>
                <w:b/>
                <w:bCs/>
                <w:szCs w:val="21"/>
              </w:rPr>
              <w:t>（一）评分内容：</w:t>
            </w:r>
          </w:p>
          <w:p w14:paraId="26221692">
            <w:pPr>
              <w:adjustRightInd w:val="0"/>
              <w:snapToGrid w:val="0"/>
              <w:spacing w:line="320" w:lineRule="exact"/>
              <w:rPr>
                <w:rFonts w:ascii="宋体" w:hAnsi="宋体" w:cs="宋体"/>
                <w:szCs w:val="21"/>
              </w:rPr>
            </w:pPr>
            <w:r>
              <w:rPr>
                <w:rFonts w:hint="eastAsia" w:ascii="宋体" w:hAnsi="宋体" w:cs="宋体"/>
                <w:color w:val="FF0000"/>
                <w:szCs w:val="21"/>
              </w:rPr>
              <w:t>按招标文件要求提供人员配备承诺（格式见招标文件第四章-投标文件附件-人员配备承诺），</w:t>
            </w:r>
            <w:r>
              <w:rPr>
                <w:rFonts w:hint="eastAsia" w:ascii="宋体" w:hAnsi="宋体" w:cs="宋体"/>
                <w:szCs w:val="21"/>
              </w:rPr>
              <w:t>且拟安排项目负责人为投标单位员工（以社保为准），否则本项不得分。在此基础上：</w:t>
            </w:r>
          </w:p>
          <w:p w14:paraId="04C8B390">
            <w:pPr>
              <w:wordWrap w:val="0"/>
              <w:adjustRightInd w:val="0"/>
              <w:snapToGrid w:val="0"/>
              <w:spacing w:line="320" w:lineRule="exact"/>
              <w:rPr>
                <w:rFonts w:ascii="宋体" w:hAnsi="宋体" w:cs="宋体"/>
                <w:szCs w:val="21"/>
              </w:rPr>
            </w:pPr>
            <w:r>
              <w:rPr>
                <w:rFonts w:hint="eastAsia" w:ascii="宋体" w:hAnsi="宋体" w:cs="宋体"/>
                <w:szCs w:val="21"/>
              </w:rPr>
              <w:t>1.学历：</w:t>
            </w:r>
            <w:r>
              <w:rPr>
                <w:rFonts w:hint="eastAsia" w:ascii="宋体" w:hAnsi="宋体"/>
                <w:color w:val="000000"/>
                <w:kern w:val="0"/>
              </w:rPr>
              <w:t>具有大专学历得1分；本科（或以上）得</w:t>
            </w:r>
            <w:r>
              <w:rPr>
                <w:rFonts w:ascii="宋体" w:hAnsi="宋体"/>
                <w:color w:val="000000"/>
                <w:kern w:val="0"/>
              </w:rPr>
              <w:t>2</w:t>
            </w:r>
            <w:r>
              <w:rPr>
                <w:rFonts w:hint="eastAsia" w:ascii="宋体" w:hAnsi="宋体"/>
                <w:color w:val="000000"/>
                <w:kern w:val="0"/>
              </w:rPr>
              <w:t>分,最高得</w:t>
            </w:r>
            <w:r>
              <w:rPr>
                <w:rFonts w:ascii="宋体" w:hAnsi="宋体"/>
                <w:color w:val="000000"/>
                <w:kern w:val="0"/>
              </w:rPr>
              <w:t>2</w:t>
            </w:r>
            <w:r>
              <w:rPr>
                <w:rFonts w:hint="eastAsia" w:ascii="宋体" w:hAnsi="宋体"/>
                <w:color w:val="000000"/>
                <w:kern w:val="0"/>
              </w:rPr>
              <w:t>分。</w:t>
            </w:r>
          </w:p>
          <w:p w14:paraId="229D4A98">
            <w:pPr>
              <w:wordWrap w:val="0"/>
              <w:adjustRightInd w:val="0"/>
              <w:snapToGrid w:val="0"/>
              <w:spacing w:line="320" w:lineRule="exact"/>
              <w:rPr>
                <w:rFonts w:ascii="宋体" w:hAnsi="宋体" w:cs="宋体"/>
                <w:szCs w:val="21"/>
              </w:rPr>
            </w:pPr>
            <w:r>
              <w:rPr>
                <w:rFonts w:hint="eastAsia" w:ascii="宋体" w:hAnsi="宋体" w:cs="宋体"/>
                <w:szCs w:val="21"/>
              </w:rPr>
              <w:t>2.职称、资格证书、奖项：</w:t>
            </w:r>
          </w:p>
          <w:p w14:paraId="07C5BD52">
            <w:pPr>
              <w:adjustRightInd w:val="0"/>
              <w:snapToGrid w:val="0"/>
              <w:spacing w:line="320" w:lineRule="exact"/>
              <w:rPr>
                <w:rFonts w:ascii="宋体" w:hAnsi="宋体" w:cs="宋体"/>
                <w:szCs w:val="21"/>
              </w:rPr>
            </w:pPr>
            <w:r>
              <w:rPr>
                <w:rFonts w:hint="eastAsia" w:ascii="宋体" w:hAnsi="宋体" w:cs="宋体"/>
                <w:szCs w:val="21"/>
              </w:rPr>
              <w:t>具有人力资源和社会保障部颁发的汽车维修工二级或以上证书的，得</w:t>
            </w:r>
            <w:r>
              <w:rPr>
                <w:rFonts w:ascii="宋体" w:hAnsi="宋体" w:cs="宋体"/>
                <w:szCs w:val="21"/>
              </w:rPr>
              <w:t>2</w:t>
            </w:r>
            <w:r>
              <w:rPr>
                <w:rFonts w:hint="eastAsia" w:ascii="宋体" w:hAnsi="宋体" w:cs="宋体"/>
                <w:szCs w:val="21"/>
              </w:rPr>
              <w:t>分。</w:t>
            </w:r>
          </w:p>
          <w:p w14:paraId="0743744D">
            <w:pPr>
              <w:pStyle w:val="2"/>
              <w:adjustRightInd w:val="0"/>
              <w:snapToGrid w:val="0"/>
              <w:spacing w:line="320" w:lineRule="exact"/>
              <w:rPr>
                <w:sz w:val="21"/>
                <w:szCs w:val="21"/>
              </w:rPr>
            </w:pPr>
            <w:r>
              <w:rPr>
                <w:rFonts w:hint="eastAsia" w:eastAsia="宋体" w:cs="宋体"/>
                <w:sz w:val="21"/>
                <w:szCs w:val="21"/>
              </w:rPr>
              <w:t>3.同类项目经验：具有汽车维修管理负责人经验的，具有5年（含）以上的得</w:t>
            </w:r>
            <w:r>
              <w:rPr>
                <w:rFonts w:eastAsia="宋体" w:cs="宋体"/>
                <w:sz w:val="21"/>
                <w:szCs w:val="21"/>
              </w:rPr>
              <w:t>4</w:t>
            </w:r>
            <w:r>
              <w:rPr>
                <w:rFonts w:hint="eastAsia" w:eastAsia="宋体" w:cs="宋体"/>
                <w:sz w:val="21"/>
                <w:szCs w:val="21"/>
              </w:rPr>
              <w:t>分，3年（含）-</w:t>
            </w:r>
            <w:r>
              <w:rPr>
                <w:rFonts w:eastAsia="宋体" w:cs="宋体"/>
                <w:sz w:val="21"/>
                <w:szCs w:val="21"/>
              </w:rPr>
              <w:t>5</w:t>
            </w:r>
            <w:r>
              <w:rPr>
                <w:rFonts w:hint="eastAsia" w:eastAsia="宋体" w:cs="宋体"/>
                <w:sz w:val="21"/>
                <w:szCs w:val="21"/>
              </w:rPr>
              <w:t>年（不含）的得</w:t>
            </w:r>
            <w:r>
              <w:rPr>
                <w:rFonts w:eastAsia="宋体" w:cs="宋体"/>
                <w:sz w:val="21"/>
                <w:szCs w:val="21"/>
              </w:rPr>
              <w:t>2</w:t>
            </w:r>
            <w:r>
              <w:rPr>
                <w:rFonts w:hint="eastAsia" w:eastAsia="宋体" w:cs="宋体"/>
                <w:sz w:val="21"/>
                <w:szCs w:val="21"/>
              </w:rPr>
              <w:t>分，少于3年的不得分。</w:t>
            </w:r>
          </w:p>
          <w:p w14:paraId="41D16199">
            <w:pPr>
              <w:numPr>
                <w:ilvl w:val="0"/>
                <w:numId w:val="3"/>
              </w:numPr>
              <w:adjustRightInd w:val="0"/>
              <w:snapToGrid w:val="0"/>
              <w:spacing w:line="320" w:lineRule="exact"/>
              <w:jc w:val="left"/>
              <w:rPr>
                <w:rFonts w:ascii="宋体" w:hAnsi="宋体" w:cs="宋体"/>
                <w:b/>
                <w:bCs/>
                <w:szCs w:val="21"/>
              </w:rPr>
            </w:pPr>
            <w:r>
              <w:rPr>
                <w:rFonts w:hint="eastAsia" w:ascii="宋体" w:hAnsi="宋体" w:cs="宋体"/>
                <w:b/>
                <w:bCs/>
                <w:szCs w:val="21"/>
              </w:rPr>
              <w:t>评分依据：</w:t>
            </w:r>
          </w:p>
          <w:p w14:paraId="5909AC0E">
            <w:pPr>
              <w:wordWrap w:val="0"/>
              <w:adjustRightInd w:val="0"/>
              <w:snapToGrid w:val="0"/>
              <w:spacing w:line="320" w:lineRule="exact"/>
              <w:jc w:val="left"/>
              <w:rPr>
                <w:rFonts w:ascii="宋体" w:hAnsi="宋体" w:cs="宋体"/>
                <w:szCs w:val="21"/>
              </w:rPr>
            </w:pPr>
            <w:r>
              <w:rPr>
                <w:rFonts w:hint="eastAsia" w:ascii="宋体" w:hAnsi="宋体" w:cs="宋体"/>
                <w:szCs w:val="21"/>
              </w:rPr>
              <w:t>1.</w:t>
            </w:r>
            <w:r>
              <w:rPr>
                <w:rFonts w:hint="eastAsia" w:ascii="宋体" w:hAnsi="宋体" w:cs="宋体"/>
                <w:kern w:val="0"/>
                <w:sz w:val="22"/>
                <w:szCs w:val="22"/>
              </w:rPr>
              <w:t>要求提供通过投标人缴纳的近三个月（2024年</w:t>
            </w:r>
            <w:r>
              <w:rPr>
                <w:rFonts w:ascii="宋体" w:hAnsi="宋体" w:cs="宋体"/>
                <w:kern w:val="0"/>
                <w:sz w:val="22"/>
                <w:szCs w:val="22"/>
              </w:rPr>
              <w:t>7</w:t>
            </w:r>
            <w:r>
              <w:rPr>
                <w:rFonts w:hint="eastAsia" w:ascii="宋体" w:hAnsi="宋体" w:cs="宋体"/>
                <w:kern w:val="0"/>
                <w:sz w:val="22"/>
                <w:szCs w:val="22"/>
              </w:rPr>
              <w:t>-</w:t>
            </w:r>
            <w:r>
              <w:rPr>
                <w:rFonts w:ascii="宋体" w:hAnsi="宋体" w:cs="宋体"/>
                <w:kern w:val="0"/>
                <w:sz w:val="22"/>
                <w:szCs w:val="22"/>
              </w:rPr>
              <w:t>9</w:t>
            </w:r>
            <w:r>
              <w:rPr>
                <w:rFonts w:hint="eastAsia" w:ascii="宋体" w:hAnsi="宋体" w:cs="宋体"/>
                <w:kern w:val="0"/>
                <w:sz w:val="22"/>
                <w:szCs w:val="22"/>
              </w:rPr>
              <w:t>月）的任意一个月的社保证明作为本单位员工的证明依据。若供应商成立不足三个月的，需提供成立情况说明函(格式自拟)，无需提供相关人员社保，亦可得分。</w:t>
            </w:r>
          </w:p>
          <w:p w14:paraId="6885CAF2">
            <w:pPr>
              <w:wordWrap w:val="0"/>
              <w:adjustRightInd w:val="0"/>
              <w:snapToGrid w:val="0"/>
              <w:spacing w:line="320" w:lineRule="exact"/>
              <w:jc w:val="left"/>
              <w:rPr>
                <w:rFonts w:ascii="宋体" w:hAnsi="宋体" w:cs="宋体"/>
                <w:szCs w:val="21"/>
              </w:rPr>
            </w:pPr>
            <w:r>
              <w:rPr>
                <w:rFonts w:hint="eastAsia" w:ascii="宋体" w:hAnsi="宋体" w:cs="宋体"/>
                <w:szCs w:val="21"/>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6FC79B40">
            <w:pPr>
              <w:wordWrap w:val="0"/>
              <w:adjustRightInd w:val="0"/>
              <w:snapToGrid w:val="0"/>
              <w:spacing w:line="320" w:lineRule="exact"/>
              <w:jc w:val="left"/>
              <w:rPr>
                <w:rFonts w:ascii="宋体" w:hAnsi="宋体" w:cs="宋体"/>
                <w:szCs w:val="21"/>
              </w:rPr>
            </w:pPr>
            <w:r>
              <w:rPr>
                <w:rFonts w:hint="eastAsia" w:ascii="宋体" w:hAnsi="宋体" w:cs="宋体"/>
                <w:szCs w:val="21"/>
              </w:rPr>
              <w:t xml:space="preserve">3.提供证书扫描件，若人员证书为协会颁发的，则还需要提供该协会在全国社会组织信用信息公示平台（网址https://xxgs.chinanpo.mca.gov.cn)的查询“正常”页面截图。 </w:t>
            </w:r>
          </w:p>
          <w:p w14:paraId="579BD152">
            <w:pPr>
              <w:pStyle w:val="2"/>
              <w:adjustRightInd w:val="0"/>
              <w:snapToGrid w:val="0"/>
              <w:spacing w:line="320" w:lineRule="exact"/>
              <w:jc w:val="left"/>
              <w:rPr>
                <w:rFonts w:cs="宋体"/>
                <w:b/>
                <w:bCs/>
                <w:sz w:val="21"/>
                <w:szCs w:val="21"/>
              </w:rPr>
            </w:pPr>
            <w:r>
              <w:rPr>
                <w:rFonts w:hint="eastAsia" w:eastAsia="宋体" w:cs="宋体"/>
                <w:sz w:val="21"/>
                <w:szCs w:val="21"/>
              </w:rPr>
              <w:t>4.如涉及考察人员工作经验，要求提供项目合同关键信息作为得分依据，通过合同关键信息无法判断是否得分的，还须同时提供合同甲方出具的证明文件。</w:t>
            </w:r>
          </w:p>
          <w:p w14:paraId="0FBA265C">
            <w:pPr>
              <w:wordWrap w:val="0"/>
              <w:adjustRightInd w:val="0"/>
              <w:snapToGrid w:val="0"/>
              <w:spacing w:line="320" w:lineRule="exact"/>
              <w:jc w:val="left"/>
              <w:rPr>
                <w:rFonts w:ascii="宋体" w:hAnsi="宋体" w:cs="宋体"/>
                <w:szCs w:val="21"/>
              </w:rPr>
            </w:pPr>
            <w:r>
              <w:rPr>
                <w:rFonts w:hint="eastAsia" w:ascii="宋体" w:hAnsi="宋体" w:cs="宋体"/>
                <w:szCs w:val="21"/>
              </w:rPr>
              <w:t>5.评分中出现无证明资料或者专家无法凭所提供资料判断是否得分的情况，一律做不得分处理。</w:t>
            </w:r>
          </w:p>
        </w:tc>
      </w:tr>
      <w:tr w14:paraId="3419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6156C95">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7EF3319E">
            <w:pPr>
              <w:wordWrap w:val="0"/>
              <w:adjustRightInd w:val="0"/>
              <w:snapToGrid w:val="0"/>
              <w:spacing w:line="320" w:lineRule="exact"/>
              <w:jc w:val="center"/>
              <w:rPr>
                <w:rFonts w:ascii="宋体" w:hAnsi="宋体" w:cs="宋体"/>
                <w:szCs w:val="21"/>
              </w:rPr>
            </w:pPr>
            <w:r>
              <w:rPr>
                <w:rFonts w:hint="eastAsia" w:ascii="宋体" w:hAnsi="宋体" w:cs="宋体"/>
                <w:szCs w:val="21"/>
              </w:rPr>
              <w:t>6</w:t>
            </w:r>
          </w:p>
        </w:tc>
        <w:tc>
          <w:tcPr>
            <w:tcW w:w="2792" w:type="dxa"/>
            <w:tcBorders>
              <w:tl2br w:val="nil"/>
              <w:tr2bl w:val="nil"/>
            </w:tcBorders>
            <w:vAlign w:val="center"/>
          </w:tcPr>
          <w:p w14:paraId="52C38205">
            <w:pPr>
              <w:wordWrap w:val="0"/>
              <w:adjustRightInd w:val="0"/>
              <w:snapToGrid w:val="0"/>
              <w:spacing w:line="320" w:lineRule="exact"/>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1012" w:type="dxa"/>
            <w:tcBorders>
              <w:tl2br w:val="nil"/>
              <w:tr2bl w:val="nil"/>
            </w:tcBorders>
            <w:vAlign w:val="center"/>
          </w:tcPr>
          <w:p w14:paraId="315FCAF7">
            <w:pPr>
              <w:wordWrap w:val="0"/>
              <w:adjustRightInd w:val="0"/>
              <w:snapToGrid w:val="0"/>
              <w:spacing w:line="320" w:lineRule="exact"/>
              <w:jc w:val="center"/>
              <w:rPr>
                <w:rFonts w:ascii="宋体" w:hAnsi="宋体" w:cs="宋体"/>
                <w:szCs w:val="21"/>
              </w:rPr>
            </w:pPr>
            <w:r>
              <w:rPr>
                <w:rFonts w:ascii="宋体" w:hAnsi="宋体" w:cs="宋体"/>
                <w:szCs w:val="21"/>
              </w:rPr>
              <w:t>9</w:t>
            </w:r>
          </w:p>
        </w:tc>
        <w:tc>
          <w:tcPr>
            <w:tcW w:w="4012" w:type="dxa"/>
            <w:tcBorders>
              <w:tl2br w:val="nil"/>
              <w:tr2bl w:val="nil"/>
            </w:tcBorders>
          </w:tcPr>
          <w:p w14:paraId="42FA34B4">
            <w:pPr>
              <w:adjustRightInd w:val="0"/>
              <w:snapToGrid w:val="0"/>
              <w:spacing w:line="320" w:lineRule="exact"/>
              <w:rPr>
                <w:rFonts w:ascii="宋体" w:hAnsi="宋体" w:cs="宋体"/>
                <w:b/>
                <w:bCs/>
                <w:szCs w:val="21"/>
              </w:rPr>
            </w:pPr>
            <w:r>
              <w:rPr>
                <w:rFonts w:hint="eastAsia" w:ascii="宋体" w:hAnsi="宋体" w:cs="宋体"/>
                <w:b/>
                <w:bCs/>
                <w:szCs w:val="21"/>
              </w:rPr>
              <w:t>（一）评分内容：</w:t>
            </w:r>
          </w:p>
          <w:p w14:paraId="13C4C877">
            <w:pPr>
              <w:adjustRightInd w:val="0"/>
              <w:snapToGrid w:val="0"/>
              <w:spacing w:line="320" w:lineRule="exact"/>
              <w:rPr>
                <w:rFonts w:ascii="宋体" w:hAnsi="宋体" w:cs="宋体"/>
                <w:szCs w:val="21"/>
              </w:rPr>
            </w:pPr>
            <w:r>
              <w:rPr>
                <w:rFonts w:hint="eastAsia" w:ascii="宋体" w:hAnsi="宋体" w:cs="宋体"/>
                <w:color w:val="FF0000"/>
                <w:szCs w:val="21"/>
              </w:rPr>
              <w:t>按招标文件要求提供人员配备承诺（格式见招标文件第四章-投标文件附件-人员配备承诺），否则本项不得分；</w:t>
            </w:r>
            <w:r>
              <w:rPr>
                <w:rFonts w:hint="eastAsia" w:ascii="宋体" w:hAnsi="宋体" w:cs="宋体"/>
                <w:szCs w:val="21"/>
              </w:rPr>
              <w:t>拟安排项目团队成员为投标单位员工（以社保为准），否则该人员本项不得分。在此基础上：</w:t>
            </w:r>
          </w:p>
          <w:p w14:paraId="7F4B465B">
            <w:pPr>
              <w:pStyle w:val="75"/>
              <w:numPr>
                <w:ilvl w:val="0"/>
                <w:numId w:val="4"/>
              </w:numPr>
              <w:wordWrap w:val="0"/>
              <w:adjustRightInd w:val="0"/>
              <w:snapToGrid w:val="0"/>
              <w:spacing w:line="320" w:lineRule="exact"/>
              <w:ind w:firstLineChars="0"/>
              <w:rPr>
                <w:rFonts w:ascii="宋体" w:hAnsi="宋体" w:cs="宋体"/>
                <w:szCs w:val="21"/>
              </w:rPr>
            </w:pPr>
            <w:r>
              <w:rPr>
                <w:rFonts w:hint="eastAsia" w:ascii="宋体" w:hAnsi="宋体" w:cs="宋体"/>
                <w:szCs w:val="21"/>
              </w:rPr>
              <w:t>职称、资格证书、奖项：</w:t>
            </w:r>
            <w:r>
              <w:rPr>
                <w:rFonts w:ascii="宋体" w:hAnsi="宋体" w:cs="宋体"/>
                <w:szCs w:val="21"/>
              </w:rPr>
              <w:t xml:space="preserve"> </w:t>
            </w:r>
          </w:p>
          <w:p w14:paraId="0210BE02">
            <w:pPr>
              <w:pStyle w:val="2"/>
              <w:rPr>
                <w:rFonts w:eastAsia="宋体" w:cs="宋体"/>
                <w:sz w:val="21"/>
                <w:szCs w:val="21"/>
              </w:rPr>
            </w:pPr>
            <w:r>
              <w:rPr>
                <w:rFonts w:hint="eastAsia" w:eastAsia="宋体" w:cs="宋体"/>
                <w:sz w:val="21"/>
                <w:szCs w:val="21"/>
              </w:rPr>
              <w:t>1）每具有一个劳动和社会保障部或人力资源和社会保障部颁发的汽车维修工四级或以上证书的，得1分，最高得5分。</w:t>
            </w:r>
          </w:p>
          <w:p w14:paraId="05D71C0E">
            <w:pPr>
              <w:wordWrap w:val="0"/>
              <w:adjustRightInd w:val="0"/>
              <w:snapToGrid w:val="0"/>
              <w:spacing w:line="320" w:lineRule="exact"/>
              <w:rPr>
                <w:rFonts w:ascii="宋体" w:hAnsi="宋体" w:cs="宋体"/>
                <w:szCs w:val="21"/>
              </w:rPr>
            </w:pPr>
            <w:r>
              <w:rPr>
                <w:rFonts w:hint="eastAsia" w:ascii="宋体" w:hAnsi="宋体" w:cs="宋体"/>
                <w:szCs w:val="21"/>
              </w:rPr>
              <w:t>2）</w:t>
            </w:r>
            <w:r>
              <w:rPr>
                <w:rFonts w:hint="eastAsia" w:cs="宋体"/>
                <w:szCs w:val="21"/>
              </w:rPr>
              <w:t>具有劳动和社会保障部或人力资源和社会保障部颁发的汽车维修工油漆工五级或以上证书的，得1分。</w:t>
            </w:r>
          </w:p>
          <w:p w14:paraId="285BF677">
            <w:pPr>
              <w:pStyle w:val="2"/>
              <w:adjustRightInd w:val="0"/>
              <w:snapToGrid w:val="0"/>
              <w:spacing w:line="320" w:lineRule="exact"/>
              <w:rPr>
                <w:sz w:val="21"/>
                <w:szCs w:val="21"/>
              </w:rPr>
            </w:pPr>
            <w:r>
              <w:rPr>
                <w:rFonts w:eastAsia="宋体" w:cs="宋体"/>
                <w:sz w:val="21"/>
                <w:szCs w:val="21"/>
              </w:rPr>
              <w:t>2</w:t>
            </w:r>
            <w:r>
              <w:rPr>
                <w:rFonts w:hint="eastAsia" w:eastAsia="宋体" w:cs="宋体"/>
                <w:sz w:val="21"/>
                <w:szCs w:val="21"/>
              </w:rPr>
              <w:t>.同类项目经验：具有汽车维修经验的，具有5年（含）以上的得</w:t>
            </w:r>
            <w:r>
              <w:rPr>
                <w:rFonts w:eastAsia="宋体" w:cs="宋体"/>
                <w:sz w:val="21"/>
                <w:szCs w:val="21"/>
              </w:rPr>
              <w:t>3</w:t>
            </w:r>
            <w:r>
              <w:rPr>
                <w:rFonts w:hint="eastAsia" w:eastAsia="宋体" w:cs="宋体"/>
                <w:sz w:val="21"/>
                <w:szCs w:val="21"/>
              </w:rPr>
              <w:t>分，3年（含）-</w:t>
            </w:r>
            <w:r>
              <w:rPr>
                <w:rFonts w:eastAsia="宋体" w:cs="宋体"/>
                <w:sz w:val="21"/>
                <w:szCs w:val="21"/>
              </w:rPr>
              <w:t>5</w:t>
            </w:r>
            <w:r>
              <w:rPr>
                <w:rFonts w:hint="eastAsia" w:eastAsia="宋体" w:cs="宋体"/>
                <w:sz w:val="21"/>
                <w:szCs w:val="21"/>
              </w:rPr>
              <w:t>年（不含）的得</w:t>
            </w:r>
            <w:r>
              <w:rPr>
                <w:rFonts w:eastAsia="宋体" w:cs="宋体"/>
                <w:sz w:val="21"/>
                <w:szCs w:val="21"/>
              </w:rPr>
              <w:t>2</w:t>
            </w:r>
            <w:r>
              <w:rPr>
                <w:rFonts w:hint="eastAsia" w:eastAsia="宋体" w:cs="宋体"/>
                <w:sz w:val="21"/>
                <w:szCs w:val="21"/>
              </w:rPr>
              <w:t>分，少于3年的不得分。</w:t>
            </w:r>
          </w:p>
          <w:p w14:paraId="6B0B019A">
            <w:pPr>
              <w:numPr>
                <w:ilvl w:val="0"/>
                <w:numId w:val="5"/>
              </w:numPr>
              <w:adjustRightInd w:val="0"/>
              <w:snapToGrid w:val="0"/>
              <w:spacing w:line="320" w:lineRule="exact"/>
              <w:ind w:left="422" w:hanging="422"/>
              <w:jc w:val="left"/>
              <w:rPr>
                <w:rFonts w:ascii="宋体" w:hAnsi="宋体" w:cs="宋体"/>
                <w:b/>
                <w:bCs/>
                <w:szCs w:val="21"/>
              </w:rPr>
            </w:pPr>
            <w:r>
              <w:rPr>
                <w:rFonts w:hint="eastAsia" w:ascii="宋体" w:hAnsi="宋体" w:cs="宋体"/>
                <w:b/>
                <w:bCs/>
                <w:szCs w:val="21"/>
              </w:rPr>
              <w:t>评分依据：</w:t>
            </w:r>
          </w:p>
          <w:p w14:paraId="20497100">
            <w:pPr>
              <w:wordWrap w:val="0"/>
              <w:adjustRightInd w:val="0"/>
              <w:snapToGrid w:val="0"/>
              <w:spacing w:line="320" w:lineRule="exact"/>
              <w:jc w:val="left"/>
              <w:rPr>
                <w:rFonts w:ascii="宋体" w:hAnsi="宋体" w:cs="宋体"/>
                <w:szCs w:val="21"/>
              </w:rPr>
            </w:pPr>
            <w:r>
              <w:rPr>
                <w:rFonts w:hint="eastAsia" w:ascii="宋体" w:hAnsi="宋体" w:cs="宋体"/>
                <w:szCs w:val="21"/>
              </w:rPr>
              <w:t>1.</w:t>
            </w:r>
            <w:r>
              <w:rPr>
                <w:rFonts w:hint="eastAsia" w:ascii="宋体" w:hAnsi="宋体" w:cs="宋体"/>
                <w:kern w:val="0"/>
                <w:sz w:val="22"/>
                <w:szCs w:val="22"/>
              </w:rPr>
              <w:t>要求提供通过投标人缴纳的近三个月（2024年</w:t>
            </w:r>
            <w:r>
              <w:rPr>
                <w:rFonts w:ascii="宋体" w:hAnsi="宋体" w:cs="宋体"/>
                <w:kern w:val="0"/>
                <w:sz w:val="22"/>
                <w:szCs w:val="22"/>
              </w:rPr>
              <w:t>7</w:t>
            </w:r>
            <w:r>
              <w:rPr>
                <w:rFonts w:hint="eastAsia" w:ascii="宋体" w:hAnsi="宋体" w:cs="宋体"/>
                <w:kern w:val="0"/>
                <w:sz w:val="22"/>
                <w:szCs w:val="22"/>
              </w:rPr>
              <w:t>-</w:t>
            </w:r>
            <w:r>
              <w:rPr>
                <w:rFonts w:ascii="宋体" w:hAnsi="宋体" w:cs="宋体"/>
                <w:kern w:val="0"/>
                <w:sz w:val="22"/>
                <w:szCs w:val="22"/>
              </w:rPr>
              <w:t>9</w:t>
            </w:r>
            <w:r>
              <w:rPr>
                <w:rFonts w:hint="eastAsia" w:ascii="宋体" w:hAnsi="宋体" w:cs="宋体"/>
                <w:kern w:val="0"/>
                <w:sz w:val="22"/>
                <w:szCs w:val="22"/>
              </w:rPr>
              <w:t>月）的任意一个月的社保证明作为本单位员工的证明依据。若供应商成立不足三个月的，需提供成立情况说明函(格式自拟)，无需提供相关人员社保，亦可得分。</w:t>
            </w:r>
          </w:p>
          <w:p w14:paraId="3C80D0D0">
            <w:pPr>
              <w:wordWrap w:val="0"/>
              <w:adjustRightInd w:val="0"/>
              <w:snapToGrid w:val="0"/>
              <w:spacing w:line="320" w:lineRule="exact"/>
              <w:jc w:val="left"/>
              <w:rPr>
                <w:rFonts w:ascii="宋体" w:hAnsi="宋体" w:cs="宋体"/>
                <w:szCs w:val="21"/>
              </w:rPr>
            </w:pPr>
            <w:r>
              <w:rPr>
                <w:rFonts w:hint="eastAsia" w:ascii="宋体" w:hAnsi="宋体" w:cs="宋体"/>
                <w:szCs w:val="21"/>
              </w:rPr>
              <w:t>2.提供证书扫描件，若人员证书为协会颁发的，则还需要提供该协会在全国社会组织信用信息公示平台（网址https://xxgs.chinanpo.mca.gov.cn)的查询“正常”页面截图。</w:t>
            </w:r>
            <w:r>
              <w:rPr>
                <w:rFonts w:ascii="宋体" w:hAnsi="宋体" w:cs="宋体"/>
                <w:szCs w:val="21"/>
              </w:rPr>
              <w:t xml:space="preserve"> </w:t>
            </w:r>
          </w:p>
          <w:p w14:paraId="34D77DCD">
            <w:pPr>
              <w:wordWrap w:val="0"/>
              <w:adjustRightInd w:val="0"/>
              <w:snapToGrid w:val="0"/>
              <w:spacing w:line="320" w:lineRule="exact"/>
              <w:jc w:val="left"/>
              <w:rPr>
                <w:rFonts w:ascii="宋体" w:hAnsi="宋体" w:cs="宋体"/>
                <w:szCs w:val="21"/>
              </w:rPr>
            </w:pPr>
            <w:r>
              <w:rPr>
                <w:rFonts w:hint="eastAsia" w:ascii="宋体" w:hAnsi="宋体" w:cs="宋体"/>
                <w:szCs w:val="21"/>
              </w:rPr>
              <w:t>3.</w:t>
            </w:r>
            <w:r>
              <w:rPr>
                <w:rFonts w:hint="eastAsia" w:cs="宋体"/>
                <w:szCs w:val="21"/>
              </w:rPr>
              <w:t>如涉及考察人员工作经验，要求提供项目合同关键信息作为得分依据，通过合同关键信息无法判断是否得分的，还</w:t>
            </w:r>
            <w:r>
              <w:rPr>
                <w:rFonts w:hint="eastAsia" w:ascii="宋体" w:hAnsi="宋体" w:cs="宋体"/>
                <w:szCs w:val="21"/>
              </w:rPr>
              <w:t>须同时提供合同甲方出具的证明文件。</w:t>
            </w:r>
            <w:r>
              <w:rPr>
                <w:rFonts w:ascii="宋体" w:hAnsi="宋体" w:cs="宋体"/>
                <w:szCs w:val="21"/>
              </w:rPr>
              <w:t xml:space="preserve"> </w:t>
            </w:r>
          </w:p>
          <w:p w14:paraId="469A9A30">
            <w:pPr>
              <w:pStyle w:val="2"/>
              <w:adjustRightInd w:val="0"/>
              <w:snapToGrid w:val="0"/>
              <w:spacing w:line="320" w:lineRule="exact"/>
              <w:jc w:val="left"/>
              <w:rPr>
                <w:rFonts w:eastAsia="宋体" w:cs="宋体"/>
                <w:sz w:val="21"/>
                <w:szCs w:val="21"/>
              </w:rPr>
            </w:pPr>
            <w:r>
              <w:rPr>
                <w:rFonts w:hint="eastAsia" w:eastAsia="宋体" w:cs="宋体"/>
                <w:sz w:val="21"/>
                <w:szCs w:val="21"/>
              </w:rPr>
              <w:t>4.评分中出现无证明资料或者专家无法凭所提供资料判断是否得分的情况，一律做不得分处理。</w:t>
            </w:r>
            <w:r>
              <w:rPr>
                <w:rFonts w:eastAsia="宋体" w:cs="宋体"/>
                <w:sz w:val="21"/>
                <w:szCs w:val="21"/>
              </w:rPr>
              <w:t xml:space="preserve"> </w:t>
            </w:r>
          </w:p>
        </w:tc>
      </w:tr>
      <w:tr w14:paraId="614A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1E8B78D">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37D695D5">
            <w:pPr>
              <w:wordWrap w:val="0"/>
              <w:adjustRightInd w:val="0"/>
              <w:snapToGrid w:val="0"/>
              <w:spacing w:line="320" w:lineRule="exact"/>
              <w:jc w:val="center"/>
              <w:rPr>
                <w:rFonts w:ascii="宋体" w:hAnsi="宋体" w:cs="宋体"/>
                <w:szCs w:val="21"/>
              </w:rPr>
            </w:pPr>
            <w:r>
              <w:rPr>
                <w:rFonts w:hint="eastAsia" w:ascii="宋体" w:hAnsi="宋体" w:cs="宋体"/>
                <w:szCs w:val="21"/>
              </w:rPr>
              <w:t>7</w:t>
            </w:r>
          </w:p>
        </w:tc>
        <w:tc>
          <w:tcPr>
            <w:tcW w:w="2792" w:type="dxa"/>
            <w:tcBorders>
              <w:tl2br w:val="nil"/>
              <w:tr2bl w:val="nil"/>
            </w:tcBorders>
            <w:vAlign w:val="center"/>
          </w:tcPr>
          <w:p w14:paraId="3E3EDEA7">
            <w:pPr>
              <w:wordWrap w:val="0"/>
              <w:adjustRightInd w:val="0"/>
              <w:snapToGrid w:val="0"/>
              <w:spacing w:line="320" w:lineRule="exact"/>
              <w:jc w:val="center"/>
              <w:rPr>
                <w:rFonts w:ascii="宋体" w:hAnsi="宋体" w:cs="宋体"/>
                <w:szCs w:val="21"/>
              </w:rPr>
            </w:pPr>
            <w:r>
              <w:rPr>
                <w:rFonts w:hint="eastAsia" w:ascii="宋体" w:hAnsi="宋体" w:cs="宋体"/>
                <w:szCs w:val="21"/>
              </w:rPr>
              <w:t>拟投入的服务资源（车辆、场地、工具、机器等）情况</w:t>
            </w:r>
          </w:p>
        </w:tc>
        <w:tc>
          <w:tcPr>
            <w:tcW w:w="1012" w:type="dxa"/>
            <w:tcBorders>
              <w:tl2br w:val="nil"/>
              <w:tr2bl w:val="nil"/>
            </w:tcBorders>
            <w:vAlign w:val="center"/>
          </w:tcPr>
          <w:p w14:paraId="0CF07115">
            <w:pPr>
              <w:wordWrap w:val="0"/>
              <w:adjustRightInd w:val="0"/>
              <w:snapToGrid w:val="0"/>
              <w:spacing w:line="320" w:lineRule="exact"/>
              <w:jc w:val="center"/>
              <w:rPr>
                <w:rFonts w:ascii="宋体" w:hAnsi="宋体" w:cs="宋体"/>
                <w:szCs w:val="21"/>
              </w:rPr>
            </w:pPr>
            <w:r>
              <w:rPr>
                <w:rFonts w:ascii="宋体" w:hAnsi="宋体" w:cs="宋体"/>
                <w:szCs w:val="21"/>
              </w:rPr>
              <w:t>10</w:t>
            </w:r>
          </w:p>
        </w:tc>
        <w:tc>
          <w:tcPr>
            <w:tcW w:w="4012" w:type="dxa"/>
            <w:tcBorders>
              <w:tl2br w:val="nil"/>
              <w:tr2bl w:val="nil"/>
            </w:tcBorders>
          </w:tcPr>
          <w:p w14:paraId="397BB4E1">
            <w:pPr>
              <w:pStyle w:val="75"/>
              <w:numPr>
                <w:ilvl w:val="0"/>
                <w:numId w:val="6"/>
              </w:numPr>
              <w:adjustRightInd w:val="0"/>
              <w:snapToGrid w:val="0"/>
              <w:spacing w:line="320" w:lineRule="exact"/>
              <w:ind w:firstLineChars="0"/>
              <w:rPr>
                <w:rFonts w:ascii="宋体" w:hAnsi="宋体" w:cs="宋体"/>
                <w:b/>
                <w:bCs/>
                <w:szCs w:val="21"/>
              </w:rPr>
            </w:pPr>
            <w:r>
              <w:rPr>
                <w:rFonts w:hint="eastAsia" w:ascii="宋体" w:hAnsi="宋体" w:cs="宋体"/>
                <w:b/>
                <w:bCs/>
                <w:szCs w:val="21"/>
              </w:rPr>
              <w:t>评分内容：</w:t>
            </w:r>
          </w:p>
          <w:p w14:paraId="7F2EDFE2">
            <w:pPr>
              <w:wordWrap w:val="0"/>
              <w:adjustRightInd w:val="0"/>
              <w:snapToGrid w:val="0"/>
              <w:spacing w:line="32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至少为本项目投入以下设备：</w:t>
            </w:r>
          </w:p>
          <w:p w14:paraId="444FD637">
            <w:pPr>
              <w:wordWrap w:val="0"/>
              <w:adjustRightInd w:val="0"/>
              <w:snapToGrid w:val="0"/>
              <w:spacing w:line="320" w:lineRule="exact"/>
              <w:rPr>
                <w:rFonts w:ascii="宋体" w:hAnsi="宋体" w:cs="宋体"/>
                <w:szCs w:val="21"/>
              </w:rPr>
            </w:pPr>
            <w:r>
              <w:rPr>
                <w:rFonts w:hint="eastAsia" w:ascii="宋体" w:hAnsi="宋体"/>
                <w:szCs w:val="21"/>
              </w:rPr>
              <w:t>1）轮胎动平衡机；</w:t>
            </w:r>
          </w:p>
          <w:p w14:paraId="45D9D239">
            <w:pPr>
              <w:wordWrap w:val="0"/>
              <w:adjustRightInd w:val="0"/>
              <w:snapToGrid w:val="0"/>
              <w:spacing w:line="320" w:lineRule="exact"/>
              <w:rPr>
                <w:rFonts w:ascii="宋体" w:hAnsi="宋体" w:cs="宋体"/>
                <w:szCs w:val="21"/>
              </w:rPr>
            </w:pPr>
            <w:r>
              <w:rPr>
                <w:rFonts w:hint="eastAsia" w:ascii="宋体" w:hAnsi="宋体"/>
                <w:szCs w:val="21"/>
              </w:rPr>
              <w:t>2）轮胎剥胎机；</w:t>
            </w:r>
          </w:p>
          <w:p w14:paraId="5062B12B">
            <w:pPr>
              <w:wordWrap w:val="0"/>
              <w:adjustRightInd w:val="0"/>
              <w:snapToGrid w:val="0"/>
              <w:spacing w:line="320" w:lineRule="exact"/>
              <w:rPr>
                <w:rFonts w:ascii="宋体" w:hAnsi="宋体"/>
                <w:szCs w:val="21"/>
              </w:rPr>
            </w:pPr>
            <w:r>
              <w:rPr>
                <w:rFonts w:hint="eastAsia" w:ascii="宋体" w:hAnsi="宋体"/>
                <w:szCs w:val="21"/>
              </w:rPr>
              <w:t>3）发动机电脑检测仪；</w:t>
            </w:r>
          </w:p>
          <w:p w14:paraId="442BCAE6">
            <w:pPr>
              <w:wordWrap w:val="0"/>
              <w:adjustRightInd w:val="0"/>
              <w:snapToGrid w:val="0"/>
              <w:spacing w:line="320" w:lineRule="exact"/>
              <w:rPr>
                <w:rFonts w:ascii="宋体" w:hAnsi="宋体"/>
                <w:szCs w:val="21"/>
              </w:rPr>
            </w:pPr>
            <w:r>
              <w:rPr>
                <w:rFonts w:hint="eastAsia" w:ascii="宋体" w:hAnsi="宋体"/>
                <w:szCs w:val="21"/>
              </w:rPr>
              <w:t>4）四轮定位仪</w:t>
            </w:r>
            <w:r>
              <w:rPr>
                <w:rFonts w:ascii="宋体" w:hAnsi="宋体"/>
                <w:szCs w:val="21"/>
              </w:rPr>
              <w:t>/</w:t>
            </w:r>
            <w:r>
              <w:rPr>
                <w:rFonts w:hint="eastAsia" w:ascii="宋体" w:hAnsi="宋体"/>
                <w:szCs w:val="21"/>
              </w:rPr>
              <w:t>转向轮定位仪；</w:t>
            </w:r>
          </w:p>
          <w:p w14:paraId="48756720">
            <w:pPr>
              <w:wordWrap w:val="0"/>
              <w:adjustRightInd w:val="0"/>
              <w:snapToGrid w:val="0"/>
              <w:spacing w:line="320" w:lineRule="exact"/>
              <w:rPr>
                <w:rFonts w:ascii="宋体" w:hAnsi="宋体"/>
                <w:szCs w:val="21"/>
              </w:rPr>
            </w:pPr>
            <w:r>
              <w:rPr>
                <w:rFonts w:hint="eastAsia" w:ascii="宋体" w:hAnsi="宋体"/>
                <w:szCs w:val="21"/>
              </w:rPr>
              <w:t>5）尾气检测仪；</w:t>
            </w:r>
          </w:p>
          <w:p w14:paraId="11770075">
            <w:pPr>
              <w:wordWrap w:val="0"/>
              <w:adjustRightInd w:val="0"/>
              <w:snapToGrid w:val="0"/>
              <w:spacing w:line="320" w:lineRule="exact"/>
              <w:rPr>
                <w:rFonts w:ascii="宋体" w:hAnsi="宋体"/>
                <w:szCs w:val="21"/>
              </w:rPr>
            </w:pPr>
            <w:r>
              <w:rPr>
                <w:rFonts w:hint="eastAsia" w:ascii="宋体" w:hAnsi="宋体"/>
                <w:szCs w:val="21"/>
              </w:rPr>
              <w:t>6）空调制冷加注设备；</w:t>
            </w:r>
          </w:p>
          <w:p w14:paraId="170A6C0B">
            <w:pPr>
              <w:wordWrap w:val="0"/>
              <w:adjustRightInd w:val="0"/>
              <w:snapToGrid w:val="0"/>
              <w:spacing w:line="320" w:lineRule="exact"/>
              <w:rPr>
                <w:rFonts w:ascii="宋体" w:hAnsi="宋体"/>
                <w:szCs w:val="21"/>
              </w:rPr>
            </w:pPr>
            <w:r>
              <w:rPr>
                <w:rFonts w:hint="eastAsia" w:ascii="宋体" w:hAnsi="宋体"/>
                <w:szCs w:val="21"/>
              </w:rPr>
              <w:t>7）空气压缩机；</w:t>
            </w:r>
          </w:p>
          <w:p w14:paraId="4AE7E3A0">
            <w:pPr>
              <w:wordWrap w:val="0"/>
              <w:adjustRightInd w:val="0"/>
              <w:snapToGrid w:val="0"/>
              <w:spacing w:line="320" w:lineRule="exact"/>
              <w:rPr>
                <w:rFonts w:ascii="宋体" w:hAnsi="宋体"/>
                <w:szCs w:val="21"/>
              </w:rPr>
            </w:pPr>
            <w:r>
              <w:rPr>
                <w:rFonts w:hint="eastAsia" w:ascii="宋体" w:hAnsi="宋体"/>
                <w:szCs w:val="21"/>
              </w:rPr>
              <w:t>8）自动变速箱换油设备；</w:t>
            </w:r>
          </w:p>
          <w:p w14:paraId="52122A2C">
            <w:pPr>
              <w:wordWrap w:val="0"/>
              <w:adjustRightInd w:val="0"/>
              <w:snapToGrid w:val="0"/>
              <w:spacing w:line="320" w:lineRule="exact"/>
              <w:rPr>
                <w:rFonts w:ascii="宋体" w:hAnsi="宋体"/>
                <w:szCs w:val="21"/>
              </w:rPr>
            </w:pPr>
            <w:r>
              <w:rPr>
                <w:rFonts w:hint="eastAsia" w:ascii="宋体" w:hAnsi="宋体"/>
                <w:szCs w:val="21"/>
              </w:rPr>
              <w:t>9）刹车换油设备；</w:t>
            </w:r>
          </w:p>
          <w:p w14:paraId="1EF96C81">
            <w:pPr>
              <w:wordWrap w:val="0"/>
              <w:adjustRightInd w:val="0"/>
              <w:snapToGrid w:val="0"/>
              <w:spacing w:line="320" w:lineRule="exact"/>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）二氧化碳保护焊；</w:t>
            </w:r>
          </w:p>
          <w:p w14:paraId="63B5A5CE">
            <w:pPr>
              <w:wordWrap w:val="0"/>
              <w:adjustRightInd w:val="0"/>
              <w:snapToGrid w:val="0"/>
              <w:spacing w:line="320" w:lineRule="exact"/>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）气缸压力表；</w:t>
            </w:r>
          </w:p>
          <w:p w14:paraId="5BD3490B">
            <w:pPr>
              <w:wordWrap w:val="0"/>
              <w:adjustRightInd w:val="0"/>
              <w:snapToGrid w:val="0"/>
              <w:spacing w:line="320" w:lineRule="exac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）燃油压力表；</w:t>
            </w:r>
          </w:p>
          <w:p w14:paraId="74E06ECD">
            <w:pPr>
              <w:wordWrap w:val="0"/>
              <w:adjustRightInd w:val="0"/>
              <w:snapToGrid w:val="0"/>
              <w:spacing w:line="320" w:lineRule="exac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）液压油压力表。</w:t>
            </w:r>
          </w:p>
          <w:p w14:paraId="6C05A753">
            <w:pPr>
              <w:wordWrap w:val="0"/>
              <w:adjustRightInd w:val="0"/>
              <w:snapToGrid w:val="0"/>
              <w:spacing w:line="320" w:lineRule="exact"/>
              <w:rPr>
                <w:rFonts w:ascii="宋体" w:hAnsi="宋体"/>
                <w:szCs w:val="21"/>
              </w:rPr>
            </w:pPr>
            <w:r>
              <w:rPr>
                <w:rFonts w:hint="eastAsia" w:ascii="宋体" w:hAnsi="宋体"/>
                <w:szCs w:val="21"/>
              </w:rPr>
              <w:t>同时提供以上1</w:t>
            </w:r>
            <w:r>
              <w:rPr>
                <w:rFonts w:ascii="宋体" w:hAnsi="宋体"/>
                <w:szCs w:val="21"/>
              </w:rPr>
              <w:t>3</w:t>
            </w:r>
            <w:r>
              <w:rPr>
                <w:rFonts w:hint="eastAsia" w:ascii="宋体" w:hAnsi="宋体"/>
                <w:szCs w:val="21"/>
              </w:rPr>
              <w:t>项的，得</w:t>
            </w:r>
            <w:r>
              <w:rPr>
                <w:rFonts w:ascii="宋体" w:hAnsi="宋体"/>
                <w:szCs w:val="21"/>
              </w:rPr>
              <w:t>8</w:t>
            </w:r>
            <w:r>
              <w:rPr>
                <w:rFonts w:hint="eastAsia" w:ascii="宋体" w:hAnsi="宋体"/>
                <w:szCs w:val="21"/>
              </w:rPr>
              <w:t>分；同时提供以上</w:t>
            </w:r>
            <w:r>
              <w:rPr>
                <w:rFonts w:ascii="宋体" w:hAnsi="宋体"/>
                <w:szCs w:val="21"/>
              </w:rPr>
              <w:t>10</w:t>
            </w:r>
            <w:r>
              <w:rPr>
                <w:rFonts w:hint="eastAsia" w:ascii="宋体" w:hAnsi="宋体"/>
                <w:szCs w:val="21"/>
              </w:rPr>
              <w:t>项的，得</w:t>
            </w:r>
            <w:r>
              <w:rPr>
                <w:rFonts w:ascii="宋体" w:hAnsi="宋体"/>
                <w:szCs w:val="21"/>
              </w:rPr>
              <w:t>6</w:t>
            </w:r>
            <w:r>
              <w:rPr>
                <w:rFonts w:hint="eastAsia" w:ascii="宋体" w:hAnsi="宋体"/>
                <w:szCs w:val="21"/>
              </w:rPr>
              <w:t>分；同时提供以上7项的，得4分，其他情况不得分。</w:t>
            </w:r>
          </w:p>
          <w:p w14:paraId="64480138">
            <w:pPr>
              <w:pStyle w:val="2"/>
              <w:rPr>
                <w:rFonts w:eastAsia="宋体"/>
                <w:sz w:val="21"/>
                <w:szCs w:val="21"/>
              </w:rPr>
            </w:pPr>
            <w:r>
              <w:rPr>
                <w:rFonts w:eastAsia="宋体"/>
                <w:sz w:val="21"/>
                <w:szCs w:val="21"/>
              </w:rPr>
              <w:t>2.投标人具备自有的</w:t>
            </w:r>
            <w:r>
              <w:rPr>
                <w:rFonts w:hint="eastAsia" w:eastAsia="宋体"/>
                <w:sz w:val="21"/>
                <w:szCs w:val="21"/>
              </w:rPr>
              <w:t>独立烤漆房的，得</w:t>
            </w:r>
            <w:r>
              <w:rPr>
                <w:rFonts w:eastAsia="宋体"/>
                <w:sz w:val="21"/>
                <w:szCs w:val="21"/>
              </w:rPr>
              <w:t>1</w:t>
            </w:r>
            <w:r>
              <w:rPr>
                <w:rFonts w:hint="eastAsia" w:eastAsia="宋体"/>
                <w:sz w:val="21"/>
                <w:szCs w:val="21"/>
              </w:rPr>
              <w:t>分；具有合作烤漆房的，得</w:t>
            </w:r>
            <w:r>
              <w:rPr>
                <w:rFonts w:eastAsia="宋体"/>
                <w:sz w:val="21"/>
                <w:szCs w:val="21"/>
              </w:rPr>
              <w:t>0.5</w:t>
            </w:r>
            <w:r>
              <w:rPr>
                <w:rFonts w:hint="eastAsia" w:eastAsia="宋体"/>
                <w:sz w:val="21"/>
                <w:szCs w:val="21"/>
              </w:rPr>
              <w:t>分；否则不得分。</w:t>
            </w:r>
          </w:p>
          <w:p w14:paraId="28C7DC46">
            <w:pPr>
              <w:wordWrap w:val="0"/>
              <w:adjustRightInd w:val="0"/>
              <w:snapToGrid w:val="0"/>
              <w:spacing w:line="320" w:lineRule="exact"/>
              <w:rPr>
                <w:rFonts w:ascii="宋体" w:hAnsi="宋体"/>
                <w:szCs w:val="21"/>
              </w:rPr>
            </w:pPr>
            <w:r>
              <w:rPr>
                <w:rFonts w:hint="eastAsia" w:ascii="宋体" w:hAnsi="宋体"/>
                <w:szCs w:val="21"/>
              </w:rPr>
              <w:t>3</w:t>
            </w:r>
            <w:r>
              <w:rPr>
                <w:rFonts w:ascii="宋体" w:hAnsi="宋体"/>
                <w:szCs w:val="21"/>
              </w:rPr>
              <w:t>.投标人具备</w:t>
            </w:r>
            <w:r>
              <w:rPr>
                <w:rFonts w:hint="eastAsia" w:ascii="宋体" w:hAnsi="宋体"/>
                <w:szCs w:val="21"/>
              </w:rPr>
              <w:t>5（含）个</w:t>
            </w:r>
            <w:r>
              <w:rPr>
                <w:rFonts w:ascii="宋体" w:hAnsi="宋体"/>
                <w:szCs w:val="21"/>
              </w:rPr>
              <w:t>举升机</w:t>
            </w:r>
            <w:r>
              <w:rPr>
                <w:rFonts w:hint="eastAsia" w:ascii="宋体" w:hAnsi="宋体"/>
                <w:szCs w:val="21"/>
              </w:rPr>
              <w:t>的，得</w:t>
            </w:r>
            <w:r>
              <w:rPr>
                <w:rFonts w:ascii="宋体" w:hAnsi="宋体"/>
                <w:szCs w:val="21"/>
              </w:rPr>
              <w:t>1</w:t>
            </w:r>
            <w:r>
              <w:rPr>
                <w:rFonts w:hint="eastAsia" w:ascii="宋体" w:hAnsi="宋体"/>
                <w:szCs w:val="21"/>
              </w:rPr>
              <w:t>分；具备3（含）</w:t>
            </w:r>
            <w:r>
              <w:rPr>
                <w:rFonts w:ascii="宋体" w:hAnsi="宋体"/>
                <w:szCs w:val="21"/>
              </w:rPr>
              <w:t>-</w:t>
            </w:r>
            <w:r>
              <w:rPr>
                <w:rFonts w:hint="eastAsia" w:ascii="宋体" w:hAnsi="宋体"/>
                <w:szCs w:val="21"/>
              </w:rPr>
              <w:t>5（不含）个的，得</w:t>
            </w:r>
            <w:r>
              <w:rPr>
                <w:rFonts w:ascii="宋体" w:hAnsi="宋体"/>
                <w:szCs w:val="21"/>
              </w:rPr>
              <w:t>0.5</w:t>
            </w:r>
            <w:r>
              <w:rPr>
                <w:rFonts w:hint="eastAsia" w:ascii="宋体" w:hAnsi="宋体"/>
                <w:szCs w:val="21"/>
              </w:rPr>
              <w:t>分；少于3个的不得分。</w:t>
            </w:r>
          </w:p>
          <w:p w14:paraId="75339E00">
            <w:pPr>
              <w:adjustRightInd w:val="0"/>
              <w:snapToGrid w:val="0"/>
              <w:spacing w:line="320" w:lineRule="exact"/>
              <w:jc w:val="left"/>
              <w:rPr>
                <w:rFonts w:ascii="宋体" w:hAnsi="宋体" w:cs="宋体"/>
                <w:b/>
                <w:bCs/>
                <w:szCs w:val="21"/>
              </w:rPr>
            </w:pPr>
            <w:r>
              <w:rPr>
                <w:rFonts w:hint="eastAsia" w:ascii="宋体" w:hAnsi="宋体" w:cs="宋体"/>
                <w:b/>
                <w:bCs/>
                <w:szCs w:val="21"/>
              </w:rPr>
              <w:t>（二）评分依据:</w:t>
            </w:r>
          </w:p>
          <w:p w14:paraId="2FB1E426">
            <w:pPr>
              <w:pStyle w:val="2"/>
              <w:rPr>
                <w:rFonts w:eastAsia="宋体"/>
                <w:sz w:val="21"/>
                <w:szCs w:val="21"/>
              </w:rPr>
            </w:pPr>
            <w:r>
              <w:rPr>
                <w:rFonts w:hint="eastAsia" w:eastAsia="宋体"/>
                <w:sz w:val="21"/>
                <w:szCs w:val="21"/>
              </w:rPr>
              <w:t>1</w:t>
            </w:r>
            <w:r>
              <w:rPr>
                <w:rFonts w:eastAsia="宋体"/>
                <w:sz w:val="21"/>
                <w:szCs w:val="21"/>
              </w:rPr>
              <w:t>.</w:t>
            </w:r>
            <w:r>
              <w:rPr>
                <w:rFonts w:hint="eastAsia" w:eastAsia="宋体"/>
                <w:sz w:val="21"/>
                <w:szCs w:val="21"/>
              </w:rPr>
              <w:t>评分项</w:t>
            </w:r>
            <w:r>
              <w:rPr>
                <w:rFonts w:eastAsia="宋体"/>
                <w:sz w:val="21"/>
                <w:szCs w:val="21"/>
              </w:rPr>
              <w:t>1提供相关设备的购置发票</w:t>
            </w:r>
            <w:r>
              <w:rPr>
                <w:rFonts w:hint="eastAsia" w:eastAsia="宋体"/>
                <w:sz w:val="21"/>
                <w:szCs w:val="21"/>
              </w:rPr>
              <w:t>扫描件。</w:t>
            </w:r>
          </w:p>
          <w:p w14:paraId="1C937686">
            <w:pPr>
              <w:adjustRightInd w:val="0"/>
              <w:snapToGrid w:val="0"/>
              <w:spacing w:line="320" w:lineRule="exact"/>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评分项</w:t>
            </w:r>
            <w:r>
              <w:rPr>
                <w:rFonts w:ascii="宋体" w:hAnsi="宋体"/>
                <w:szCs w:val="21"/>
              </w:rPr>
              <w:t>2</w:t>
            </w:r>
            <w:r>
              <w:rPr>
                <w:rFonts w:hint="eastAsia" w:ascii="宋体" w:hAnsi="宋体"/>
                <w:szCs w:val="21"/>
              </w:rPr>
              <w:t>提供烤漆房证明材料（产权证明或租赁合同）以及烤漆房现场图片。</w:t>
            </w:r>
          </w:p>
          <w:p w14:paraId="2419BD63">
            <w:pPr>
              <w:pStyle w:val="2"/>
              <w:rPr>
                <w:rFonts w:eastAsia="宋体"/>
                <w:sz w:val="21"/>
                <w:szCs w:val="21"/>
              </w:rPr>
            </w:pPr>
            <w:r>
              <w:rPr>
                <w:rFonts w:eastAsia="宋体"/>
                <w:sz w:val="21"/>
                <w:szCs w:val="21"/>
              </w:rPr>
              <w:t>3.</w:t>
            </w:r>
            <w:r>
              <w:rPr>
                <w:rFonts w:hint="eastAsia" w:eastAsia="宋体"/>
                <w:sz w:val="21"/>
                <w:szCs w:val="21"/>
              </w:rPr>
              <w:t>评分项3</w:t>
            </w:r>
            <w:r>
              <w:rPr>
                <w:rFonts w:eastAsia="宋体"/>
                <w:sz w:val="21"/>
                <w:szCs w:val="21"/>
              </w:rPr>
              <w:t>提供</w:t>
            </w:r>
            <w:r>
              <w:rPr>
                <w:rFonts w:hint="eastAsia" w:eastAsia="宋体"/>
                <w:sz w:val="21"/>
                <w:szCs w:val="21"/>
              </w:rPr>
              <w:t>举升机</w:t>
            </w:r>
            <w:r>
              <w:rPr>
                <w:rFonts w:eastAsia="宋体"/>
                <w:sz w:val="21"/>
                <w:szCs w:val="21"/>
              </w:rPr>
              <w:t>的购置发票</w:t>
            </w:r>
            <w:r>
              <w:rPr>
                <w:rFonts w:hint="eastAsia" w:eastAsia="宋体"/>
                <w:sz w:val="21"/>
                <w:szCs w:val="21"/>
              </w:rPr>
              <w:t>扫描件。</w:t>
            </w:r>
          </w:p>
          <w:p w14:paraId="58416EF8">
            <w:pPr>
              <w:pStyle w:val="2"/>
              <w:rPr>
                <w:rFonts w:eastAsia="宋体"/>
                <w:sz w:val="21"/>
                <w:szCs w:val="21"/>
              </w:rPr>
            </w:pPr>
            <w:r>
              <w:rPr>
                <w:rFonts w:hint="eastAsia" w:eastAsia="宋体"/>
                <w:sz w:val="21"/>
                <w:szCs w:val="21"/>
              </w:rPr>
              <w:t>4</w:t>
            </w:r>
            <w:r>
              <w:rPr>
                <w:rFonts w:eastAsia="宋体"/>
                <w:sz w:val="21"/>
                <w:szCs w:val="21"/>
              </w:rPr>
              <w:t>.</w:t>
            </w:r>
            <w:r>
              <w:rPr>
                <w:rFonts w:hint="eastAsia" w:eastAsia="宋体"/>
                <w:sz w:val="21"/>
                <w:szCs w:val="21"/>
              </w:rPr>
              <w:t>评分中出现无证明资料或专家无法凭所提供资料判断是否得分的情况，一律作不得分处理。</w:t>
            </w:r>
          </w:p>
        </w:tc>
      </w:tr>
      <w:tr w14:paraId="116C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0D96BBB1">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3</w:t>
            </w:r>
          </w:p>
        </w:tc>
        <w:tc>
          <w:tcPr>
            <w:tcW w:w="4352" w:type="dxa"/>
            <w:gridSpan w:val="3"/>
            <w:tcBorders>
              <w:tl2br w:val="nil"/>
              <w:tr2bl w:val="nil"/>
            </w:tcBorders>
            <w:vAlign w:val="center"/>
          </w:tcPr>
          <w:p w14:paraId="6AAB2E65">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综合实力部分</w:t>
            </w:r>
          </w:p>
        </w:tc>
        <w:tc>
          <w:tcPr>
            <w:tcW w:w="4012" w:type="dxa"/>
            <w:tcBorders>
              <w:tl2br w:val="nil"/>
              <w:tr2bl w:val="nil"/>
            </w:tcBorders>
          </w:tcPr>
          <w:p w14:paraId="441FC244">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3</w:t>
            </w:r>
            <w:r>
              <w:rPr>
                <w:rFonts w:ascii="宋体" w:hAnsi="宋体" w:cs="宋体"/>
                <w:b/>
                <w:bCs/>
                <w:color w:val="0000FF"/>
                <w:szCs w:val="21"/>
              </w:rPr>
              <w:t>0</w:t>
            </w:r>
          </w:p>
        </w:tc>
      </w:tr>
      <w:tr w14:paraId="43F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AC0FEB3">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vAlign w:val="center"/>
          </w:tcPr>
          <w:p w14:paraId="28F7C2D7">
            <w:pPr>
              <w:wordWrap w:val="0"/>
              <w:adjustRightInd w:val="0"/>
              <w:snapToGrid w:val="0"/>
              <w:spacing w:line="320" w:lineRule="exact"/>
              <w:jc w:val="center"/>
              <w:rPr>
                <w:rFonts w:ascii="宋体" w:hAnsi="宋体" w:cs="宋体"/>
                <w:szCs w:val="21"/>
              </w:rPr>
            </w:pPr>
          </w:p>
        </w:tc>
      </w:tr>
      <w:tr w14:paraId="4845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7A22FF43">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14:paraId="2BA797F7">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792" w:type="dxa"/>
            <w:tcBorders>
              <w:tl2br w:val="nil"/>
              <w:tr2bl w:val="nil"/>
            </w:tcBorders>
            <w:shd w:val="clear" w:color="auto" w:fill="E6EFFA"/>
            <w:vAlign w:val="center"/>
          </w:tcPr>
          <w:p w14:paraId="577DA47D">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012" w:type="dxa"/>
            <w:tcBorders>
              <w:tl2br w:val="nil"/>
              <w:tr2bl w:val="nil"/>
            </w:tcBorders>
            <w:shd w:val="clear" w:color="auto" w:fill="E6EFFA"/>
            <w:vAlign w:val="center"/>
          </w:tcPr>
          <w:p w14:paraId="0A1C2D60">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012" w:type="dxa"/>
            <w:tcBorders>
              <w:tl2br w:val="nil"/>
              <w:tr2bl w:val="nil"/>
            </w:tcBorders>
            <w:shd w:val="clear" w:color="auto" w:fill="E6EFFA"/>
            <w:vAlign w:val="center"/>
          </w:tcPr>
          <w:p w14:paraId="760566CE">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14:paraId="71F5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E194501">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6A79013E">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792" w:type="dxa"/>
            <w:tcBorders>
              <w:tl2br w:val="nil"/>
              <w:tr2bl w:val="nil"/>
            </w:tcBorders>
            <w:vAlign w:val="center"/>
          </w:tcPr>
          <w:p w14:paraId="3F31851C">
            <w:pPr>
              <w:wordWrap w:val="0"/>
              <w:adjustRightInd w:val="0"/>
              <w:snapToGrid w:val="0"/>
              <w:spacing w:line="320" w:lineRule="exact"/>
              <w:jc w:val="center"/>
              <w:rPr>
                <w:rFonts w:ascii="宋体" w:hAnsi="宋体" w:cs="宋体"/>
                <w:szCs w:val="21"/>
              </w:rPr>
            </w:pPr>
            <w:r>
              <w:rPr>
                <w:rFonts w:hint="eastAsia" w:ascii="宋体" w:hAnsi="宋体" w:cs="宋体"/>
                <w:szCs w:val="21"/>
              </w:rPr>
              <w:t>同类项目业绩</w:t>
            </w:r>
          </w:p>
        </w:tc>
        <w:tc>
          <w:tcPr>
            <w:tcW w:w="1012" w:type="dxa"/>
            <w:tcBorders>
              <w:tl2br w:val="nil"/>
              <w:tr2bl w:val="nil"/>
            </w:tcBorders>
            <w:vAlign w:val="center"/>
          </w:tcPr>
          <w:p w14:paraId="69CC57FD">
            <w:pPr>
              <w:wordWrap w:val="0"/>
              <w:adjustRightInd w:val="0"/>
              <w:snapToGrid w:val="0"/>
              <w:spacing w:line="320" w:lineRule="exact"/>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012" w:type="dxa"/>
            <w:tcBorders>
              <w:tl2br w:val="nil"/>
              <w:tr2bl w:val="nil"/>
            </w:tcBorders>
          </w:tcPr>
          <w:p w14:paraId="5F58766D">
            <w:pPr>
              <w:pStyle w:val="15"/>
              <w:snapToGrid w:val="0"/>
              <w:spacing w:line="320" w:lineRule="exact"/>
              <w:rPr>
                <w:rFonts w:hAnsi="宋体" w:cs="宋体"/>
                <w:b/>
                <w:bCs/>
                <w:szCs w:val="21"/>
              </w:rPr>
            </w:pPr>
            <w:r>
              <w:rPr>
                <w:rFonts w:hint="eastAsia" w:hAnsi="宋体" w:cs="宋体"/>
                <w:b/>
                <w:bCs/>
                <w:szCs w:val="21"/>
              </w:rPr>
              <w:t>（一）评分内容：</w:t>
            </w:r>
          </w:p>
          <w:p w14:paraId="5FC4148E">
            <w:pPr>
              <w:pStyle w:val="15"/>
              <w:snapToGrid w:val="0"/>
              <w:spacing w:line="320" w:lineRule="exact"/>
              <w:rPr>
                <w:rFonts w:hAnsi="宋体" w:cs="宋体"/>
                <w:szCs w:val="21"/>
              </w:rPr>
            </w:pPr>
            <w:r>
              <w:rPr>
                <w:rFonts w:hint="eastAsia" w:hAnsi="宋体" w:cs="宋体"/>
                <w:szCs w:val="21"/>
              </w:rPr>
              <w:t>投标人自20</w:t>
            </w:r>
            <w:r>
              <w:rPr>
                <w:rFonts w:hAnsi="宋体" w:cs="宋体"/>
                <w:szCs w:val="21"/>
              </w:rPr>
              <w:t>21</w:t>
            </w:r>
            <w:r>
              <w:rPr>
                <w:rFonts w:hint="eastAsia" w:hAnsi="宋体" w:cs="宋体"/>
                <w:szCs w:val="21"/>
              </w:rPr>
              <w:t>年</w:t>
            </w:r>
            <w:r>
              <w:rPr>
                <w:rFonts w:hAnsi="宋体" w:cs="宋体"/>
                <w:szCs w:val="21"/>
              </w:rPr>
              <w:t>9</w:t>
            </w:r>
            <w:r>
              <w:rPr>
                <w:rFonts w:hint="eastAsia" w:hAnsi="宋体" w:cs="宋体"/>
                <w:szCs w:val="21"/>
              </w:rPr>
              <w:t>月1日至本项目投标截止时间（以合同签订日期为准）：具有业务用车维修保养经验的，每提供一个项目得</w:t>
            </w:r>
            <w:r>
              <w:rPr>
                <w:rFonts w:hAnsi="宋体" w:cs="宋体"/>
                <w:szCs w:val="21"/>
              </w:rPr>
              <w:t>2</w:t>
            </w:r>
            <w:r>
              <w:rPr>
                <w:rFonts w:hint="eastAsia" w:hAnsi="宋体" w:cs="宋体"/>
                <w:szCs w:val="21"/>
              </w:rPr>
              <w:t>分，最高得</w:t>
            </w:r>
            <w:r>
              <w:rPr>
                <w:rFonts w:hAnsi="宋体" w:cs="宋体"/>
                <w:szCs w:val="21"/>
              </w:rPr>
              <w:t>10</w:t>
            </w:r>
            <w:r>
              <w:rPr>
                <w:rFonts w:hint="eastAsia" w:hAnsi="宋体" w:cs="宋体"/>
                <w:szCs w:val="21"/>
              </w:rPr>
              <w:t>分。</w:t>
            </w:r>
          </w:p>
          <w:p w14:paraId="00556714">
            <w:pPr>
              <w:pStyle w:val="2"/>
              <w:adjustRightInd w:val="0"/>
              <w:snapToGrid w:val="0"/>
              <w:spacing w:line="320" w:lineRule="exact"/>
              <w:rPr>
                <w:rFonts w:ascii="Times New Roman" w:eastAsia="宋体" w:cs="宋体"/>
                <w:b/>
                <w:bCs/>
                <w:sz w:val="21"/>
                <w:szCs w:val="21"/>
              </w:rPr>
            </w:pPr>
            <w:r>
              <w:rPr>
                <w:rFonts w:hint="eastAsia" w:ascii="Times New Roman" w:eastAsia="宋体" w:cs="宋体"/>
                <w:b/>
                <w:bCs/>
                <w:sz w:val="21"/>
                <w:szCs w:val="21"/>
              </w:rPr>
              <w:t>（二）评分依据：</w:t>
            </w:r>
          </w:p>
          <w:p w14:paraId="6760156C">
            <w:pPr>
              <w:adjustRightInd w:val="0"/>
              <w:snapToGrid w:val="0"/>
              <w:spacing w:line="320" w:lineRule="exact"/>
              <w:rPr>
                <w:rFonts w:ascii="宋体" w:hAnsi="宋体" w:cs="宋体"/>
                <w:szCs w:val="21"/>
              </w:rPr>
            </w:pPr>
            <w:r>
              <w:rPr>
                <w:rFonts w:hint="eastAsia" w:ascii="宋体" w:hAnsi="宋体" w:cs="宋体"/>
                <w:szCs w:val="21"/>
              </w:rPr>
              <w:t>1.提供合同关键页（包括但不限于合同的项目名称、服务内容、签订日期、合同双方签字盖章页）；通过合同关键信息无法判断是否得分的，还须同时提供能证明得分的其它证明资料，如项目报告或合同甲方出具的证明文件等。</w:t>
            </w:r>
          </w:p>
          <w:p w14:paraId="6C22C20D">
            <w:pPr>
              <w:pStyle w:val="2"/>
              <w:adjustRightInd w:val="0"/>
              <w:snapToGrid w:val="0"/>
              <w:spacing w:line="320" w:lineRule="exact"/>
              <w:rPr>
                <w:rFonts w:eastAsia="宋体" w:cs="宋体"/>
                <w:sz w:val="21"/>
                <w:szCs w:val="21"/>
              </w:rPr>
            </w:pPr>
            <w:r>
              <w:rPr>
                <w:rFonts w:hint="eastAsia" w:eastAsia="宋体" w:cs="宋体"/>
                <w:sz w:val="21"/>
                <w:szCs w:val="21"/>
              </w:rPr>
              <w:t>2.如涉及履约评价，提供履约评价合格或者验收合格证明文件需加盖合同甲方公章（或甲方业务章）。</w:t>
            </w:r>
          </w:p>
          <w:p w14:paraId="0C7B5194">
            <w:pPr>
              <w:adjustRightInd w:val="0"/>
              <w:snapToGrid w:val="0"/>
              <w:spacing w:line="320" w:lineRule="exact"/>
              <w:rPr>
                <w:rFonts w:ascii="宋体" w:hAnsi="宋体" w:cs="宋体"/>
                <w:szCs w:val="21"/>
              </w:rPr>
            </w:pPr>
            <w:r>
              <w:rPr>
                <w:rFonts w:hint="eastAsia" w:ascii="宋体" w:hAnsi="宋体" w:cs="宋体"/>
                <w:szCs w:val="21"/>
              </w:rPr>
              <w:t>3.评分中出现无证明资料或专家无法凭所提供资料判断是否得分的情况，一律作不得分处理。</w:t>
            </w:r>
          </w:p>
        </w:tc>
      </w:tr>
      <w:tr w14:paraId="4B9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D9BD19A">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0DC4FE27">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2792" w:type="dxa"/>
            <w:tcBorders>
              <w:tl2br w:val="nil"/>
              <w:tr2bl w:val="nil"/>
            </w:tcBorders>
            <w:vAlign w:val="center"/>
          </w:tcPr>
          <w:p w14:paraId="5956E5B9">
            <w:pPr>
              <w:wordWrap w:val="0"/>
              <w:adjustRightInd w:val="0"/>
              <w:snapToGrid w:val="0"/>
              <w:spacing w:line="320" w:lineRule="exact"/>
              <w:jc w:val="center"/>
              <w:rPr>
                <w:rFonts w:ascii="宋体" w:hAnsi="宋体" w:cs="宋体"/>
                <w:szCs w:val="21"/>
              </w:rPr>
            </w:pPr>
            <w:r>
              <w:rPr>
                <w:rFonts w:hint="eastAsia" w:ascii="宋体" w:hAnsi="宋体" w:cs="宋体"/>
                <w:szCs w:val="21"/>
              </w:rPr>
              <w:t>履约评价</w:t>
            </w:r>
          </w:p>
        </w:tc>
        <w:tc>
          <w:tcPr>
            <w:tcW w:w="1012" w:type="dxa"/>
            <w:tcBorders>
              <w:tl2br w:val="nil"/>
              <w:tr2bl w:val="nil"/>
            </w:tcBorders>
            <w:vAlign w:val="center"/>
          </w:tcPr>
          <w:p w14:paraId="75B7D5F3">
            <w:pPr>
              <w:wordWrap w:val="0"/>
              <w:adjustRightInd w:val="0"/>
              <w:snapToGrid w:val="0"/>
              <w:spacing w:line="320" w:lineRule="exact"/>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012" w:type="dxa"/>
            <w:tcBorders>
              <w:tl2br w:val="nil"/>
              <w:tr2bl w:val="nil"/>
            </w:tcBorders>
          </w:tcPr>
          <w:p w14:paraId="13D3602B">
            <w:pPr>
              <w:jc w:val="left"/>
              <w:rPr>
                <w:rFonts w:ascii="宋体" w:hAnsi="宋体"/>
                <w:b/>
                <w:szCs w:val="21"/>
              </w:rPr>
            </w:pPr>
            <w:r>
              <w:rPr>
                <w:rFonts w:hint="eastAsia" w:ascii="宋体" w:hAnsi="宋体"/>
                <w:b/>
                <w:szCs w:val="21"/>
              </w:rPr>
              <w:t>评审标准：</w:t>
            </w:r>
          </w:p>
          <w:p w14:paraId="2F1D19A1">
            <w:pPr>
              <w:jc w:val="left"/>
              <w:rPr>
                <w:rFonts w:ascii="宋体" w:hAnsi="宋体"/>
                <w:szCs w:val="21"/>
              </w:rPr>
            </w:pPr>
            <w:r>
              <w:rPr>
                <w:rFonts w:hint="eastAsia" w:ascii="宋体" w:hAnsi="宋体"/>
                <w:szCs w:val="21"/>
              </w:rPr>
              <w:t>供应商在上述“同类项目业绩”评审项中参加评审并被认定有效的业绩（且获得评分），能够提供用户出具的履约评价书，且评价为优或者合格的，每份评价书得</w:t>
            </w:r>
            <w:r>
              <w:rPr>
                <w:rFonts w:ascii="宋体" w:hAnsi="宋体"/>
                <w:szCs w:val="21"/>
              </w:rPr>
              <w:t>2</w:t>
            </w:r>
            <w:r>
              <w:rPr>
                <w:rFonts w:hint="eastAsia" w:ascii="宋体" w:hAnsi="宋体"/>
                <w:szCs w:val="21"/>
              </w:rPr>
              <w:t>分，其他情况得</w:t>
            </w:r>
            <w:r>
              <w:rPr>
                <w:rFonts w:ascii="宋体" w:hAnsi="宋体"/>
                <w:szCs w:val="21"/>
              </w:rPr>
              <w:t>0</w:t>
            </w:r>
            <w:r>
              <w:rPr>
                <w:rFonts w:hint="eastAsia" w:ascii="宋体" w:hAnsi="宋体"/>
                <w:szCs w:val="21"/>
              </w:rPr>
              <w:t>分；最高得</w:t>
            </w:r>
            <w:r>
              <w:rPr>
                <w:rFonts w:ascii="宋体" w:hAnsi="宋体" w:cs="宋体"/>
                <w:kern w:val="0"/>
                <w:szCs w:val="21"/>
                <w:u w:val="single"/>
              </w:rPr>
              <w:t>10</w:t>
            </w:r>
            <w:r>
              <w:rPr>
                <w:rFonts w:hint="eastAsia" w:ascii="宋体" w:hAnsi="宋体"/>
                <w:szCs w:val="21"/>
              </w:rPr>
              <w:t>分。</w:t>
            </w:r>
          </w:p>
          <w:p w14:paraId="0A6CFE52">
            <w:pPr>
              <w:jc w:val="left"/>
              <w:rPr>
                <w:rFonts w:ascii="宋体" w:hAnsi="宋体"/>
                <w:szCs w:val="21"/>
              </w:rPr>
            </w:pPr>
            <w:r>
              <w:rPr>
                <w:rFonts w:hint="eastAsia" w:ascii="宋体" w:hAnsi="宋体"/>
                <w:szCs w:val="21"/>
              </w:rPr>
              <w:t>不提供或者不能有效证明的，得0分。</w:t>
            </w:r>
          </w:p>
          <w:p w14:paraId="1265588C">
            <w:pPr>
              <w:jc w:val="left"/>
              <w:rPr>
                <w:rFonts w:ascii="宋体" w:hAnsi="宋体"/>
                <w:b/>
                <w:szCs w:val="21"/>
              </w:rPr>
            </w:pPr>
            <w:r>
              <w:rPr>
                <w:rFonts w:hint="eastAsia" w:ascii="宋体" w:hAnsi="宋体"/>
                <w:b/>
                <w:szCs w:val="21"/>
              </w:rPr>
              <w:t>证明文件：</w:t>
            </w:r>
          </w:p>
          <w:p w14:paraId="5502B4A5">
            <w:pPr>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须提供用户出具的履约评价书扫描件（评价书需有甲方公章或业务章） 。</w:t>
            </w:r>
          </w:p>
          <w:p w14:paraId="73D4F3AD">
            <w:pPr>
              <w:pStyle w:val="2"/>
              <w:wordWrap w:val="0"/>
              <w:adjustRightInd w:val="0"/>
              <w:snapToGrid w:val="0"/>
              <w:spacing w:line="320" w:lineRule="exact"/>
              <w:rPr>
                <w:rFonts w:cs="宋体"/>
                <w:sz w:val="21"/>
                <w:szCs w:val="21"/>
              </w:rPr>
            </w:pPr>
            <w:r>
              <w:rPr>
                <w:rFonts w:eastAsia="宋体"/>
                <w:sz w:val="21"/>
                <w:szCs w:val="21"/>
              </w:rPr>
              <w:t>2</w:t>
            </w:r>
            <w:r>
              <w:rPr>
                <w:rFonts w:hint="eastAsia" w:eastAsia="宋体"/>
                <w:sz w:val="21"/>
                <w:szCs w:val="21"/>
              </w:rPr>
              <w:t>.评分中出现无证明资料或专家无法凭所提供资料判断是否得分的情况，一律作不得分处理。</w:t>
            </w:r>
          </w:p>
        </w:tc>
      </w:tr>
      <w:tr w14:paraId="0E51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0660C30">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25EE5C4D">
            <w:pPr>
              <w:wordWrap w:val="0"/>
              <w:adjustRightInd w:val="0"/>
              <w:snapToGrid w:val="0"/>
              <w:spacing w:line="320" w:lineRule="exact"/>
              <w:jc w:val="center"/>
              <w:rPr>
                <w:rFonts w:ascii="宋体" w:hAnsi="宋体" w:cs="宋体"/>
                <w:szCs w:val="21"/>
              </w:rPr>
            </w:pPr>
            <w:r>
              <w:rPr>
                <w:rFonts w:hint="eastAsia" w:ascii="宋体" w:hAnsi="宋体" w:cs="宋体"/>
                <w:szCs w:val="21"/>
              </w:rPr>
              <w:t>4</w:t>
            </w:r>
          </w:p>
        </w:tc>
        <w:tc>
          <w:tcPr>
            <w:tcW w:w="2792" w:type="dxa"/>
            <w:tcBorders>
              <w:tl2br w:val="nil"/>
              <w:tr2bl w:val="nil"/>
            </w:tcBorders>
            <w:vAlign w:val="center"/>
          </w:tcPr>
          <w:p w14:paraId="4457C373">
            <w:pPr>
              <w:wordWrap w:val="0"/>
              <w:adjustRightInd w:val="0"/>
              <w:snapToGrid w:val="0"/>
              <w:spacing w:line="320" w:lineRule="exact"/>
              <w:jc w:val="center"/>
              <w:rPr>
                <w:rFonts w:ascii="宋体" w:hAnsi="宋体" w:cs="宋体"/>
                <w:szCs w:val="21"/>
              </w:rPr>
            </w:pPr>
            <w:r>
              <w:rPr>
                <w:rFonts w:hint="eastAsia" w:ascii="宋体" w:hAnsi="宋体" w:cs="宋体"/>
                <w:szCs w:val="21"/>
              </w:rPr>
              <w:t>维修场所</w:t>
            </w:r>
          </w:p>
        </w:tc>
        <w:tc>
          <w:tcPr>
            <w:tcW w:w="1012" w:type="dxa"/>
            <w:tcBorders>
              <w:tl2br w:val="nil"/>
              <w:tr2bl w:val="nil"/>
            </w:tcBorders>
            <w:vAlign w:val="center"/>
          </w:tcPr>
          <w:p w14:paraId="75F1E592">
            <w:pPr>
              <w:wordWrap w:val="0"/>
              <w:adjustRightInd w:val="0"/>
              <w:snapToGrid w:val="0"/>
              <w:spacing w:line="320" w:lineRule="exact"/>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4012" w:type="dxa"/>
            <w:tcBorders>
              <w:tl2br w:val="nil"/>
              <w:tr2bl w:val="nil"/>
            </w:tcBorders>
          </w:tcPr>
          <w:p w14:paraId="5C01073A">
            <w:pPr>
              <w:pStyle w:val="15"/>
              <w:snapToGrid w:val="0"/>
              <w:spacing w:line="320" w:lineRule="exact"/>
              <w:rPr>
                <w:rFonts w:hAnsi="宋体" w:cs="宋体"/>
                <w:b/>
                <w:bCs/>
                <w:szCs w:val="21"/>
              </w:rPr>
            </w:pPr>
            <w:r>
              <w:rPr>
                <w:rFonts w:hint="eastAsia" w:hAnsi="宋体" w:cs="宋体"/>
                <w:b/>
                <w:bCs/>
                <w:szCs w:val="21"/>
              </w:rPr>
              <w:t>（一）评分内容：</w:t>
            </w:r>
          </w:p>
          <w:p w14:paraId="203560D7">
            <w:pPr>
              <w:jc w:val="left"/>
              <w:rPr>
                <w:rFonts w:ascii="宋体" w:hAnsi="宋体"/>
                <w:szCs w:val="21"/>
              </w:rPr>
            </w:pPr>
            <w:r>
              <w:rPr>
                <w:rFonts w:hint="eastAsia" w:ascii="宋体" w:hAnsi="宋体"/>
                <w:szCs w:val="21"/>
              </w:rPr>
              <w:t>投标人拟用于本项目的维修场所总面积</w:t>
            </w:r>
          </w:p>
          <w:p w14:paraId="7A2CC19F">
            <w:pPr>
              <w:jc w:val="left"/>
              <w:rPr>
                <w:rFonts w:ascii="宋体" w:hAnsi="宋体"/>
                <w:szCs w:val="21"/>
              </w:rPr>
            </w:pPr>
            <w:r>
              <w:rPr>
                <w:rFonts w:ascii="宋体" w:hAnsi="宋体"/>
                <w:szCs w:val="21"/>
              </w:rPr>
              <w:t>≥10</w:t>
            </w:r>
            <w:r>
              <w:rPr>
                <w:rFonts w:hint="eastAsia" w:ascii="宋体" w:hAnsi="宋体"/>
                <w:szCs w:val="21"/>
              </w:rPr>
              <w:t>00㎡（含）以上的，得10分；</w:t>
            </w:r>
            <w:r>
              <w:rPr>
                <w:rFonts w:ascii="宋体" w:hAnsi="宋体"/>
                <w:szCs w:val="21"/>
              </w:rPr>
              <w:t>600</w:t>
            </w:r>
            <w:r>
              <w:rPr>
                <w:rFonts w:hint="eastAsia" w:ascii="宋体" w:hAnsi="宋体"/>
                <w:szCs w:val="21"/>
              </w:rPr>
              <w:t>㎡（含）-</w:t>
            </w:r>
            <w:r>
              <w:rPr>
                <w:rFonts w:ascii="宋体" w:hAnsi="宋体"/>
                <w:szCs w:val="21"/>
              </w:rPr>
              <w:t>100</w:t>
            </w:r>
            <w:r>
              <w:rPr>
                <w:rFonts w:hint="eastAsia" w:ascii="宋体" w:hAnsi="宋体"/>
                <w:szCs w:val="21"/>
              </w:rPr>
              <w:t>0㎡（不含）的，得7</w:t>
            </w:r>
            <w:r>
              <w:rPr>
                <w:rFonts w:ascii="宋体" w:hAnsi="宋体"/>
                <w:szCs w:val="21"/>
              </w:rPr>
              <w:t>分</w:t>
            </w:r>
            <w:r>
              <w:rPr>
                <w:rFonts w:hint="eastAsia" w:ascii="宋体" w:hAnsi="宋体"/>
                <w:szCs w:val="21"/>
              </w:rPr>
              <w:t>；</w:t>
            </w:r>
          </w:p>
          <w:p w14:paraId="6431D4BC">
            <w:pPr>
              <w:jc w:val="left"/>
              <w:rPr>
                <w:rFonts w:ascii="宋体" w:hAnsi="宋体"/>
                <w:szCs w:val="21"/>
              </w:rPr>
            </w:pPr>
            <w:r>
              <w:rPr>
                <w:rFonts w:hint="eastAsia" w:ascii="宋体" w:hAnsi="宋体"/>
                <w:szCs w:val="21"/>
              </w:rPr>
              <w:t>2</w:t>
            </w:r>
            <w:r>
              <w:rPr>
                <w:rFonts w:ascii="宋体" w:hAnsi="宋体"/>
                <w:szCs w:val="21"/>
              </w:rPr>
              <w:t>00</w:t>
            </w:r>
            <w:r>
              <w:rPr>
                <w:rFonts w:hint="eastAsia" w:ascii="宋体" w:hAnsi="宋体"/>
                <w:szCs w:val="21"/>
              </w:rPr>
              <w:t>㎡（含）-</w:t>
            </w:r>
            <w:r>
              <w:rPr>
                <w:rFonts w:ascii="宋体" w:hAnsi="宋体"/>
                <w:szCs w:val="21"/>
              </w:rPr>
              <w:t>60</w:t>
            </w:r>
            <w:r>
              <w:rPr>
                <w:rFonts w:hint="eastAsia" w:ascii="宋体" w:hAnsi="宋体"/>
                <w:szCs w:val="21"/>
              </w:rPr>
              <w:t>0㎡（不含）的，得4</w:t>
            </w:r>
            <w:r>
              <w:rPr>
                <w:rFonts w:ascii="宋体" w:hAnsi="宋体"/>
                <w:szCs w:val="21"/>
              </w:rPr>
              <w:t>分</w:t>
            </w:r>
            <w:r>
              <w:rPr>
                <w:rFonts w:hint="eastAsia" w:ascii="宋体" w:hAnsi="宋体"/>
                <w:szCs w:val="21"/>
              </w:rPr>
              <w:t>；</w:t>
            </w:r>
            <w:r>
              <w:rPr>
                <w:rFonts w:ascii="宋体" w:hAnsi="宋体"/>
                <w:szCs w:val="21"/>
              </w:rPr>
              <w:t>小于200</w:t>
            </w:r>
            <w:r>
              <w:rPr>
                <w:rFonts w:hint="eastAsia" w:ascii="宋体" w:hAnsi="宋体"/>
                <w:szCs w:val="21"/>
              </w:rPr>
              <w:t>㎡的，不得分。</w:t>
            </w:r>
          </w:p>
          <w:p w14:paraId="26ECE93A">
            <w:pPr>
              <w:jc w:val="left"/>
              <w:rPr>
                <w:rFonts w:ascii="宋体" w:hAnsi="宋体"/>
                <w:szCs w:val="21"/>
              </w:rPr>
            </w:pPr>
            <w:r>
              <w:rPr>
                <w:rFonts w:hint="eastAsia" w:ascii="宋体" w:hAnsi="宋体"/>
                <w:szCs w:val="21"/>
              </w:rPr>
              <w:t>上述面积必须体现在一个维修场所内。</w:t>
            </w:r>
          </w:p>
          <w:p w14:paraId="13EF7A13">
            <w:pPr>
              <w:pStyle w:val="15"/>
              <w:snapToGrid w:val="0"/>
              <w:spacing w:line="320" w:lineRule="exact"/>
              <w:rPr>
                <w:rFonts w:hAnsi="宋体" w:cs="宋体"/>
                <w:b/>
                <w:bCs/>
                <w:szCs w:val="21"/>
              </w:rPr>
            </w:pPr>
            <w:r>
              <w:rPr>
                <w:rFonts w:hint="eastAsia" w:hAnsi="宋体" w:cs="宋体"/>
                <w:b/>
                <w:bCs/>
                <w:szCs w:val="21"/>
              </w:rPr>
              <w:t>（二）评分依据：</w:t>
            </w:r>
          </w:p>
          <w:p w14:paraId="0CC9E851">
            <w:pPr>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提供维修场所证明材料（产权证明或租赁合同），证明材料必须体现维修场所地址及面积大小，否则不得分。</w:t>
            </w:r>
          </w:p>
          <w:p w14:paraId="2DA782CC">
            <w:pPr>
              <w:adjustRightInd w:val="0"/>
              <w:snapToGrid w:val="0"/>
              <w:spacing w:after="160" w:line="320" w:lineRule="exact"/>
              <w:jc w:val="left"/>
              <w:rPr>
                <w:rFonts w:ascii="宋体" w:hAnsi="宋体" w:cs="宋体"/>
                <w:color w:val="FF0000"/>
                <w:szCs w:val="21"/>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评分中出现无证明资料或专家无法凭所提供资料判断是否得分的情况，一律作不得分处理。</w:t>
            </w:r>
          </w:p>
        </w:tc>
      </w:tr>
      <w:tr w14:paraId="636F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60C0EA4C">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4</w:t>
            </w:r>
          </w:p>
        </w:tc>
        <w:tc>
          <w:tcPr>
            <w:tcW w:w="4352" w:type="dxa"/>
            <w:gridSpan w:val="3"/>
            <w:tcBorders>
              <w:tl2br w:val="nil"/>
              <w:tr2bl w:val="nil"/>
            </w:tcBorders>
            <w:vAlign w:val="center"/>
          </w:tcPr>
          <w:p w14:paraId="63E962D0">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诚信情况</w:t>
            </w:r>
          </w:p>
        </w:tc>
        <w:tc>
          <w:tcPr>
            <w:tcW w:w="4012" w:type="dxa"/>
            <w:tcBorders>
              <w:tl2br w:val="nil"/>
              <w:tr2bl w:val="nil"/>
            </w:tcBorders>
          </w:tcPr>
          <w:p w14:paraId="0B80B369">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5</w:t>
            </w:r>
          </w:p>
        </w:tc>
      </w:tr>
      <w:tr w14:paraId="7699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7CA308D">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vAlign w:val="center"/>
          </w:tcPr>
          <w:p w14:paraId="32B576C0">
            <w:pPr>
              <w:wordWrap w:val="0"/>
              <w:adjustRightInd w:val="0"/>
              <w:snapToGrid w:val="0"/>
              <w:spacing w:line="320" w:lineRule="exact"/>
              <w:jc w:val="center"/>
              <w:rPr>
                <w:rFonts w:ascii="宋体" w:hAnsi="宋体" w:cs="宋体"/>
                <w:szCs w:val="21"/>
              </w:rPr>
            </w:pPr>
          </w:p>
        </w:tc>
      </w:tr>
      <w:tr w14:paraId="5E56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7A28F360">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14:paraId="100DB29F">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792" w:type="dxa"/>
            <w:tcBorders>
              <w:tl2br w:val="nil"/>
              <w:tr2bl w:val="nil"/>
            </w:tcBorders>
            <w:shd w:val="clear" w:color="auto" w:fill="E6EFFA"/>
            <w:vAlign w:val="center"/>
          </w:tcPr>
          <w:p w14:paraId="788A4444">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012" w:type="dxa"/>
            <w:tcBorders>
              <w:tl2br w:val="nil"/>
              <w:tr2bl w:val="nil"/>
            </w:tcBorders>
            <w:shd w:val="clear" w:color="auto" w:fill="E6EFFA"/>
            <w:vAlign w:val="center"/>
          </w:tcPr>
          <w:p w14:paraId="6B69E1FB">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012" w:type="dxa"/>
            <w:tcBorders>
              <w:tl2br w:val="nil"/>
              <w:tr2bl w:val="nil"/>
            </w:tcBorders>
            <w:shd w:val="clear" w:color="auto" w:fill="E6EFFA"/>
            <w:vAlign w:val="center"/>
          </w:tcPr>
          <w:p w14:paraId="580F4EFF">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14:paraId="465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4AE9C18">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14:paraId="29A7229B">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792" w:type="dxa"/>
            <w:tcBorders>
              <w:tl2br w:val="nil"/>
              <w:tr2bl w:val="nil"/>
            </w:tcBorders>
            <w:vAlign w:val="center"/>
          </w:tcPr>
          <w:p w14:paraId="0BE75EA4">
            <w:pPr>
              <w:wordWrap w:val="0"/>
              <w:adjustRightInd w:val="0"/>
              <w:snapToGrid w:val="0"/>
              <w:spacing w:line="320" w:lineRule="exact"/>
              <w:jc w:val="center"/>
              <w:rPr>
                <w:rFonts w:ascii="宋体" w:hAnsi="宋体" w:cs="宋体"/>
                <w:szCs w:val="21"/>
              </w:rPr>
            </w:pPr>
            <w:r>
              <w:rPr>
                <w:rFonts w:hint="eastAsia" w:ascii="宋体" w:hAnsi="宋体" w:cs="宋体"/>
                <w:szCs w:val="21"/>
              </w:rPr>
              <w:t>诚信情况</w:t>
            </w:r>
          </w:p>
        </w:tc>
        <w:tc>
          <w:tcPr>
            <w:tcW w:w="1012" w:type="dxa"/>
            <w:tcBorders>
              <w:tl2br w:val="nil"/>
              <w:tr2bl w:val="nil"/>
            </w:tcBorders>
            <w:vAlign w:val="center"/>
          </w:tcPr>
          <w:p w14:paraId="4626743F">
            <w:pPr>
              <w:wordWrap w:val="0"/>
              <w:adjustRightInd w:val="0"/>
              <w:snapToGrid w:val="0"/>
              <w:spacing w:line="320" w:lineRule="exact"/>
              <w:jc w:val="center"/>
              <w:rPr>
                <w:rFonts w:ascii="宋体" w:hAnsi="宋体" w:cs="宋体"/>
                <w:szCs w:val="21"/>
              </w:rPr>
            </w:pPr>
            <w:r>
              <w:rPr>
                <w:rFonts w:hint="eastAsia" w:ascii="宋体" w:hAnsi="宋体" w:cs="宋体"/>
                <w:szCs w:val="21"/>
              </w:rPr>
              <w:t>5</w:t>
            </w:r>
          </w:p>
        </w:tc>
        <w:tc>
          <w:tcPr>
            <w:tcW w:w="4012" w:type="dxa"/>
            <w:tcBorders>
              <w:tl2br w:val="nil"/>
              <w:tr2bl w:val="nil"/>
            </w:tcBorders>
          </w:tcPr>
          <w:p w14:paraId="02D2A2AB">
            <w:pPr>
              <w:adjustRightInd w:val="0"/>
              <w:snapToGrid w:val="0"/>
              <w:spacing w:line="320" w:lineRule="exact"/>
              <w:outlineLvl w:val="1"/>
              <w:rPr>
                <w:rFonts w:ascii="宋体" w:hAnsi="宋体" w:cs="宋体"/>
                <w:b/>
                <w:bCs/>
                <w:szCs w:val="21"/>
              </w:rPr>
            </w:pPr>
            <w:r>
              <w:rPr>
                <w:rFonts w:hint="eastAsia" w:ascii="宋体" w:hAnsi="宋体" w:cs="宋体"/>
                <w:b/>
                <w:bCs/>
                <w:szCs w:val="21"/>
              </w:rPr>
              <w:t>（一）评分内容：</w:t>
            </w:r>
          </w:p>
          <w:p w14:paraId="65B71BC3">
            <w:pPr>
              <w:jc w:val="left"/>
              <w:rPr>
                <w:rFonts w:ascii="宋体" w:hAnsi="宋体" w:cs="宋体"/>
                <w:szCs w:val="21"/>
              </w:rPr>
            </w:pPr>
            <w:r>
              <w:rPr>
                <w:rFonts w:hint="eastAsia" w:ascii="宋体" w:hAnsi="宋体" w:cs="宋体"/>
                <w:szCs w:val="21"/>
              </w:rPr>
              <w:t>投标人存在《深圳市财政局政府采购供应商信用信息管理办法》（深财规〔2023〕3号）列明的一般行政处罚信息、一般违法失信记录信息的，本项不得分，不存在上述情形的本项得</w:t>
            </w:r>
            <w:r>
              <w:rPr>
                <w:rFonts w:ascii="宋体" w:hAnsi="宋体" w:cs="宋体"/>
                <w:szCs w:val="21"/>
              </w:rPr>
              <w:t>5</w:t>
            </w:r>
            <w:r>
              <w:rPr>
                <w:rFonts w:hint="eastAsia" w:ascii="宋体" w:hAnsi="宋体" w:cs="宋体"/>
                <w:szCs w:val="21"/>
              </w:rPr>
              <w:t>分。投标人无需提供任何证明材料，评标过程中由工作人员向评审委员会提供供应商诚信查询结果。</w:t>
            </w:r>
          </w:p>
          <w:p w14:paraId="3CB0F709">
            <w:pPr>
              <w:adjustRightInd w:val="0"/>
              <w:snapToGrid w:val="0"/>
              <w:spacing w:line="320" w:lineRule="exact"/>
              <w:jc w:val="left"/>
              <w:outlineLvl w:val="1"/>
              <w:rPr>
                <w:rFonts w:ascii="宋体" w:hAnsi="宋体" w:cs="宋体"/>
                <w:szCs w:val="21"/>
              </w:rPr>
            </w:pPr>
            <w:r>
              <w:rPr>
                <w:rFonts w:hint="eastAsia" w:ascii="宋体" w:hAnsi="宋体" w:cs="宋体"/>
                <w:b/>
                <w:bCs/>
                <w:szCs w:val="21"/>
              </w:rPr>
              <w:t>（二）评分依据:</w:t>
            </w:r>
          </w:p>
          <w:p w14:paraId="4C467758">
            <w:pPr>
              <w:wordWrap w:val="0"/>
              <w:adjustRightInd w:val="0"/>
              <w:snapToGrid w:val="0"/>
              <w:spacing w:line="320" w:lineRule="exact"/>
              <w:rPr>
                <w:rFonts w:ascii="宋体" w:hAnsi="宋体" w:cs="宋体"/>
                <w:color w:val="FF0000"/>
                <w:szCs w:val="21"/>
              </w:rPr>
            </w:pPr>
            <w:r>
              <w:rPr>
                <w:rFonts w:hint="eastAsia" w:ascii="宋体" w:hAnsi="宋体" w:cs="宋体"/>
                <w:szCs w:val="21"/>
              </w:rPr>
              <w:t>查询渠道具体包括“信用中国”（www.creditchina.gov.cn）、“中国政府采购网”（www.ccgp.gov.cn）”以及“深圳市政府采购监管网”（http://zfcg.sz.gov.cn）为供应商信用信息的查询渠道，相关信息以开标当日的查询结果为准。</w:t>
            </w:r>
          </w:p>
        </w:tc>
      </w:tr>
      <w:tr w14:paraId="5AE2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1486058">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14:paraId="50A4BC8D">
            <w:pPr>
              <w:wordWrap w:val="0"/>
              <w:adjustRightInd w:val="0"/>
              <w:snapToGrid w:val="0"/>
              <w:spacing w:line="320" w:lineRule="exact"/>
              <w:rPr>
                <w:rFonts w:ascii="宋体" w:hAnsi="宋体" w:cs="宋体"/>
                <w:szCs w:val="21"/>
              </w:rPr>
            </w:pPr>
          </w:p>
        </w:tc>
      </w:tr>
    </w:tbl>
    <w:p w14:paraId="4B1F794C">
      <w:pPr>
        <w:rPr>
          <w:rFonts w:ascii="宋体" w:hAnsi="宋体"/>
          <w:b/>
          <w:sz w:val="120"/>
          <w:szCs w:val="120"/>
        </w:rPr>
      </w:pPr>
    </w:p>
    <w:p w14:paraId="5448FA60">
      <w:pPr>
        <w:rPr>
          <w:rFonts w:ascii="宋体" w:hAnsi="宋体"/>
          <w:b/>
          <w:sz w:val="120"/>
          <w:szCs w:val="120"/>
        </w:rPr>
      </w:pPr>
    </w:p>
    <w:p w14:paraId="091D2323">
      <w:pPr>
        <w:rPr>
          <w:rFonts w:ascii="宋体" w:hAnsi="宋体"/>
          <w:b/>
          <w:sz w:val="120"/>
          <w:szCs w:val="120"/>
        </w:rPr>
      </w:pPr>
    </w:p>
    <w:p w14:paraId="3EE8C349">
      <w:pPr>
        <w:jc w:val="center"/>
        <w:rPr>
          <w:b/>
          <w:sz w:val="120"/>
          <w:szCs w:val="120"/>
        </w:rPr>
      </w:pPr>
      <w:r>
        <w:rPr>
          <w:rFonts w:hint="eastAsia"/>
          <w:b/>
          <w:sz w:val="120"/>
          <w:szCs w:val="120"/>
        </w:rPr>
        <w:t>政府采购</w:t>
      </w:r>
    </w:p>
    <w:p w14:paraId="76804229">
      <w:pPr>
        <w:jc w:val="center"/>
        <w:rPr>
          <w:b/>
          <w:sz w:val="120"/>
          <w:szCs w:val="120"/>
        </w:rPr>
      </w:pPr>
      <w:r>
        <w:rPr>
          <w:rFonts w:hint="eastAsia"/>
          <w:b/>
          <w:sz w:val="120"/>
          <w:szCs w:val="120"/>
        </w:rPr>
        <w:t>谈判文件</w:t>
      </w:r>
    </w:p>
    <w:p w14:paraId="6B47120F">
      <w:pPr>
        <w:jc w:val="center"/>
        <w:rPr>
          <w:b/>
          <w:sz w:val="52"/>
          <w:szCs w:val="52"/>
        </w:rPr>
      </w:pPr>
      <w:r>
        <w:rPr>
          <w:rFonts w:hint="eastAsia"/>
          <w:b/>
          <w:sz w:val="52"/>
          <w:szCs w:val="52"/>
        </w:rPr>
        <w:t>（服务类）</w:t>
      </w:r>
    </w:p>
    <w:p w14:paraId="0A069FB2"/>
    <w:p w14:paraId="65D3BC94"/>
    <w:p w14:paraId="6C0554EC"/>
    <w:p w14:paraId="651BCFFD"/>
    <w:p w14:paraId="25025206"/>
    <w:p w14:paraId="62400510"/>
    <w:p w14:paraId="1FBD5922"/>
    <w:p w14:paraId="791C3D4E"/>
    <w:p w14:paraId="0B2F2392"/>
    <w:p w14:paraId="011A3C17"/>
    <w:p w14:paraId="0BA4D10B"/>
    <w:p w14:paraId="5587F76E"/>
    <w:p w14:paraId="1FA47FA0"/>
    <w:p w14:paraId="78571901"/>
    <w:p w14:paraId="546ACD18"/>
    <w:p w14:paraId="3531588F"/>
    <w:p w14:paraId="4B8C6502"/>
    <w:p w14:paraId="2BEE96E5"/>
    <w:p w14:paraId="188744A6">
      <w:pPr>
        <w:jc w:val="center"/>
        <w:rPr>
          <w:b/>
          <w:sz w:val="44"/>
          <w:szCs w:val="44"/>
        </w:rPr>
      </w:pPr>
      <w:bookmarkStart w:id="1" w:name="_Hlk71465316"/>
      <w:r>
        <w:rPr>
          <w:rFonts w:hint="eastAsia"/>
          <w:b/>
          <w:sz w:val="44"/>
          <w:szCs w:val="44"/>
        </w:rPr>
        <w:t>深圳市福田区第二人民医院</w:t>
      </w:r>
    </w:p>
    <w:p w14:paraId="7A79C0EB">
      <w:pPr>
        <w:jc w:val="center"/>
        <w:rPr>
          <w:b/>
          <w:sz w:val="44"/>
          <w:szCs w:val="44"/>
        </w:rPr>
      </w:pPr>
      <w:r>
        <w:rPr>
          <w:rFonts w:hint="eastAsia"/>
          <w:b/>
          <w:sz w:val="44"/>
          <w:szCs w:val="44"/>
        </w:rPr>
        <w:t>（</w:t>
      </w:r>
      <w:r>
        <w:rPr>
          <w:b/>
          <w:sz w:val="44"/>
          <w:szCs w:val="44"/>
        </w:rPr>
        <w:t>2024</w:t>
      </w:r>
      <w:r>
        <w:rPr>
          <w:rFonts w:hint="eastAsia"/>
          <w:b/>
          <w:sz w:val="44"/>
          <w:szCs w:val="44"/>
        </w:rPr>
        <w:t>）</w:t>
      </w:r>
      <w:bookmarkEnd w:id="1"/>
    </w:p>
    <w:p w14:paraId="3353542B">
      <w:pPr>
        <w:jc w:val="center"/>
        <w:rPr>
          <w:rFonts w:ascii="宋体" w:hAnsi="宋体" w:eastAsia="黑体"/>
          <w:b/>
          <w:bCs/>
          <w:color w:val="0000FF"/>
          <w:kern w:val="44"/>
          <w:sz w:val="28"/>
          <w:szCs w:val="44"/>
        </w:rPr>
      </w:pPr>
      <w:r>
        <w:rPr>
          <w:rFonts w:ascii="宋体" w:hAnsi="宋体"/>
          <w:lang w:val="zh-CN"/>
        </w:rPr>
        <w:br w:type="page"/>
      </w:r>
      <w:r>
        <w:rPr>
          <w:rFonts w:hint="eastAsia" w:ascii="宋体" w:hAnsi="宋体" w:eastAsia="黑体"/>
          <w:b/>
          <w:bCs/>
          <w:color w:val="0000FF"/>
          <w:kern w:val="44"/>
          <w:sz w:val="28"/>
          <w:szCs w:val="44"/>
        </w:rPr>
        <w:t>警示条款</w:t>
      </w:r>
    </w:p>
    <w:p w14:paraId="283A9130">
      <w:pPr>
        <w:jc w:val="center"/>
        <w:rPr>
          <w:rFonts w:ascii="宋体" w:hAnsi="宋体"/>
          <w:color w:val="0000FF"/>
          <w:szCs w:val="21"/>
        </w:rPr>
      </w:pPr>
    </w:p>
    <w:p w14:paraId="57E3A61A">
      <w:pPr>
        <w:ind w:firstLine="400" w:firstLineChars="200"/>
        <w:rPr>
          <w:rFonts w:ascii="宋体" w:hAnsi="宋体"/>
          <w:color w:val="0000FF"/>
          <w:sz w:val="20"/>
          <w:szCs w:val="20"/>
        </w:rPr>
      </w:pPr>
      <w:r>
        <w:rPr>
          <w:rFonts w:hint="eastAsia" w:ascii="宋体" w:hAnsi="宋体"/>
          <w:color w:val="0000FF"/>
          <w:sz w:val="20"/>
          <w:szCs w:val="20"/>
        </w:rPr>
        <w:t>一、</w:t>
      </w:r>
      <w:r>
        <w:rPr>
          <w:rFonts w:hint="eastAsia" w:ascii="宋体" w:hAnsi="宋体"/>
          <w:b/>
          <w:bCs/>
          <w:color w:val="0000FF"/>
          <w:sz w:val="20"/>
          <w:szCs w:val="20"/>
        </w:rPr>
        <w:t>《深圳经济特区政府采购条例》第五十七条</w:t>
      </w:r>
      <w:r>
        <w:rPr>
          <w:rFonts w:hint="eastAsia" w:ascii="宋体" w:hAnsi="宋体"/>
          <w:color w:val="0000FF"/>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09A3BD5">
      <w:pPr>
        <w:ind w:firstLine="400" w:firstLineChars="200"/>
        <w:rPr>
          <w:rFonts w:ascii="宋体" w:hAnsi="宋体"/>
          <w:color w:val="0000FF"/>
          <w:sz w:val="20"/>
          <w:szCs w:val="20"/>
        </w:rPr>
      </w:pPr>
      <w:r>
        <w:rPr>
          <w:rFonts w:hint="eastAsia" w:ascii="宋体" w:hAnsi="宋体"/>
          <w:color w:val="0000FF"/>
          <w:sz w:val="20"/>
          <w:szCs w:val="20"/>
        </w:rPr>
        <w:t>（一）在采购活动中应当回避而未回避的；</w:t>
      </w:r>
    </w:p>
    <w:p w14:paraId="0D14692B">
      <w:pPr>
        <w:ind w:firstLine="400" w:firstLineChars="200"/>
        <w:rPr>
          <w:rFonts w:ascii="宋体" w:hAnsi="宋体"/>
          <w:color w:val="0000FF"/>
          <w:sz w:val="20"/>
          <w:szCs w:val="20"/>
        </w:rPr>
      </w:pPr>
      <w:r>
        <w:rPr>
          <w:rFonts w:hint="eastAsia" w:ascii="宋体" w:hAnsi="宋体"/>
          <w:color w:val="0000FF"/>
          <w:sz w:val="20"/>
          <w:szCs w:val="20"/>
        </w:rPr>
        <w:t>（二）未按本条例规定签订、履行采购合同，造成严重后果的；</w:t>
      </w:r>
    </w:p>
    <w:p w14:paraId="75F3DA7B">
      <w:pPr>
        <w:ind w:firstLine="400" w:firstLineChars="200"/>
        <w:rPr>
          <w:rFonts w:ascii="宋体" w:hAnsi="宋体"/>
          <w:color w:val="0000FF"/>
          <w:sz w:val="20"/>
          <w:szCs w:val="20"/>
        </w:rPr>
      </w:pPr>
      <w:r>
        <w:rPr>
          <w:rFonts w:hint="eastAsia" w:ascii="宋体" w:hAnsi="宋体"/>
          <w:color w:val="0000FF"/>
          <w:sz w:val="20"/>
          <w:szCs w:val="20"/>
        </w:rPr>
        <w:t>（三）隐瞒真实情况，提供虚假资料的；</w:t>
      </w:r>
    </w:p>
    <w:p w14:paraId="483189E0">
      <w:pPr>
        <w:ind w:firstLine="400" w:firstLineChars="200"/>
        <w:rPr>
          <w:rFonts w:ascii="宋体" w:hAnsi="宋体"/>
          <w:color w:val="0000FF"/>
          <w:sz w:val="20"/>
          <w:szCs w:val="20"/>
        </w:rPr>
      </w:pPr>
      <w:r>
        <w:rPr>
          <w:rFonts w:hint="eastAsia" w:ascii="宋体" w:hAnsi="宋体"/>
          <w:color w:val="0000FF"/>
          <w:sz w:val="20"/>
          <w:szCs w:val="20"/>
        </w:rPr>
        <w:t>（四）以非法手段排斥其他供应商参与竞争的；</w:t>
      </w:r>
    </w:p>
    <w:p w14:paraId="36659B51">
      <w:pPr>
        <w:ind w:firstLine="400" w:firstLineChars="200"/>
        <w:rPr>
          <w:rFonts w:ascii="宋体" w:hAnsi="宋体"/>
          <w:color w:val="0000FF"/>
          <w:sz w:val="20"/>
          <w:szCs w:val="20"/>
        </w:rPr>
      </w:pPr>
      <w:r>
        <w:rPr>
          <w:rFonts w:hint="eastAsia" w:ascii="宋体" w:hAnsi="宋体"/>
          <w:color w:val="0000FF"/>
          <w:sz w:val="20"/>
          <w:szCs w:val="20"/>
        </w:rPr>
        <w:t>（五）与其他采购参加人串通应答的；</w:t>
      </w:r>
    </w:p>
    <w:p w14:paraId="6E0C586E">
      <w:pPr>
        <w:ind w:firstLine="400" w:firstLineChars="200"/>
        <w:rPr>
          <w:rFonts w:ascii="宋体" w:hAnsi="宋体"/>
          <w:color w:val="0000FF"/>
          <w:sz w:val="20"/>
          <w:szCs w:val="20"/>
        </w:rPr>
      </w:pPr>
      <w:r>
        <w:rPr>
          <w:rFonts w:hint="eastAsia" w:ascii="宋体" w:hAnsi="宋体"/>
          <w:color w:val="0000FF"/>
          <w:sz w:val="20"/>
          <w:szCs w:val="20"/>
        </w:rPr>
        <w:t>（六）恶意投诉的；</w:t>
      </w:r>
    </w:p>
    <w:p w14:paraId="1ED997D0">
      <w:pPr>
        <w:ind w:firstLine="400" w:firstLineChars="200"/>
        <w:rPr>
          <w:rFonts w:ascii="宋体" w:hAnsi="宋体"/>
          <w:color w:val="0000FF"/>
          <w:sz w:val="20"/>
          <w:szCs w:val="20"/>
        </w:rPr>
      </w:pPr>
      <w:r>
        <w:rPr>
          <w:rFonts w:hint="eastAsia" w:ascii="宋体" w:hAnsi="宋体"/>
          <w:color w:val="0000FF"/>
          <w:sz w:val="20"/>
          <w:szCs w:val="20"/>
        </w:rPr>
        <w:t>（七）向采购项目相关人行贿或者提供其他不当利益的；</w:t>
      </w:r>
    </w:p>
    <w:p w14:paraId="2DAE65A1">
      <w:pPr>
        <w:ind w:firstLine="400" w:firstLineChars="200"/>
        <w:rPr>
          <w:rFonts w:ascii="宋体" w:hAnsi="宋体"/>
          <w:color w:val="0000FF"/>
          <w:sz w:val="20"/>
          <w:szCs w:val="20"/>
        </w:rPr>
      </w:pPr>
      <w:r>
        <w:rPr>
          <w:rFonts w:hint="eastAsia" w:ascii="宋体" w:hAnsi="宋体"/>
          <w:color w:val="0000FF"/>
          <w:sz w:val="20"/>
          <w:szCs w:val="20"/>
        </w:rPr>
        <w:t>（八）阻碍、抗拒主管部门监督检查的；</w:t>
      </w:r>
    </w:p>
    <w:p w14:paraId="590A1A51">
      <w:pPr>
        <w:ind w:firstLine="400" w:firstLineChars="200"/>
        <w:rPr>
          <w:rFonts w:ascii="宋体" w:hAnsi="宋体"/>
          <w:color w:val="0000FF"/>
          <w:sz w:val="20"/>
          <w:szCs w:val="20"/>
        </w:rPr>
      </w:pPr>
      <w:r>
        <w:rPr>
          <w:rFonts w:hint="eastAsia" w:ascii="宋体" w:hAnsi="宋体"/>
          <w:color w:val="0000FF"/>
          <w:sz w:val="20"/>
          <w:szCs w:val="20"/>
        </w:rPr>
        <w:t>（九）其他违反本条例规定的行为。</w:t>
      </w:r>
    </w:p>
    <w:p w14:paraId="05E23B12">
      <w:pPr>
        <w:ind w:firstLine="402" w:firstLineChars="200"/>
        <w:rPr>
          <w:rFonts w:ascii="宋体" w:hAnsi="宋体"/>
          <w:color w:val="0000FF"/>
          <w:sz w:val="20"/>
          <w:szCs w:val="20"/>
        </w:rPr>
      </w:pPr>
      <w:r>
        <w:rPr>
          <w:rFonts w:hint="eastAsia" w:ascii="宋体" w:hAnsi="宋体"/>
          <w:b/>
          <w:bCs/>
          <w:color w:val="0000FF"/>
          <w:sz w:val="20"/>
          <w:szCs w:val="20"/>
        </w:rPr>
        <w:t>二、《深圳经济特区政府采购条例实施细则》第七十五条 </w:t>
      </w:r>
      <w:r>
        <w:rPr>
          <w:rFonts w:hint="eastAsia" w:ascii="宋体" w:hAnsi="宋体"/>
          <w:color w:val="0000FF"/>
          <w:sz w:val="20"/>
          <w:szCs w:val="20"/>
        </w:rPr>
        <w:t>供应商有下列情形的，属于采购条例所称的串通应答行为，按照采购条例第五十七条有关规定处理：（一）应答供应商之间相互约定给予未应答的供应商利益补偿；（二）不同应答供应商的法定代表人、主要经营负责人、项目应答授权代表人、项目负责人、主要技术人员为同一人、属同一单位或者在同一单位缴纳社会保险；（三）不同应答供应商的应答文件由同一单位或者同一人编制，或者由同一人分阶段参与编制的；（四）不同应答供应商的应答文件或部分应答文件相互混装；（五）不同应答供应商的应答文件内容存在非正常一致；（六）由同一单位工作人员为两家以上（含两家）供应商进行同一项应答活动的；（七）主管部门依照法律、法规认定的其他情形。</w:t>
      </w:r>
    </w:p>
    <w:p w14:paraId="525EF6FC">
      <w:pPr>
        <w:ind w:firstLine="402" w:firstLineChars="200"/>
        <w:rPr>
          <w:rFonts w:ascii="宋体" w:hAnsi="宋体"/>
          <w:color w:val="0000FF"/>
          <w:sz w:val="20"/>
          <w:szCs w:val="20"/>
        </w:rPr>
      </w:pPr>
      <w:r>
        <w:rPr>
          <w:rFonts w:hint="eastAsia" w:ascii="宋体" w:hAnsi="宋体"/>
          <w:b/>
          <w:bCs/>
          <w:color w:val="0000FF"/>
          <w:sz w:val="20"/>
          <w:szCs w:val="20"/>
        </w:rPr>
        <w:t>三、《深圳经济特区政府采购条例实施细则》第七十七条 </w:t>
      </w:r>
      <w:r>
        <w:rPr>
          <w:rFonts w:hint="eastAsia" w:ascii="宋体" w:hAnsi="宋体"/>
          <w:color w:val="0000FF"/>
          <w:sz w:val="20"/>
          <w:szCs w:val="20"/>
        </w:rPr>
        <w:t>供应商有下列情形之一的，属于隐瞒真实情况，提供虚假资料，按照采购条例第五十七的有关规定处理：（一）通过转让或者租借等方式从其他单位获取资格或者资质证书应答的；（二）由其他单位或者其他单位负责人在应答供应商编制的应答文件上加盖印章或者签字的；（三）项目负责人或者主要技术人员不是本单位人员的；（四）应答保证金不是从应答供应商基本账户转出的；（五）其他隐瞒真实情况、提供虚假资料的行为。</w:t>
      </w:r>
    </w:p>
    <w:p w14:paraId="14C0096E">
      <w:pPr>
        <w:ind w:firstLine="400" w:firstLineChars="200"/>
        <w:rPr>
          <w:rFonts w:ascii="宋体" w:hAnsi="宋体"/>
          <w:color w:val="0000FF"/>
          <w:sz w:val="20"/>
          <w:szCs w:val="20"/>
        </w:rPr>
      </w:pPr>
      <w:r>
        <w:rPr>
          <w:rFonts w:hint="eastAsia" w:ascii="宋体" w:hAnsi="宋体"/>
          <w:color w:val="0000FF"/>
          <w:sz w:val="20"/>
          <w:szCs w:val="20"/>
        </w:rPr>
        <w:t>谈判供应商不能提供项目负责人或者主要技术人员的劳动合同、社会保险等劳动关系证明材料的，视为存在前款第（三）项规定的情形。</w:t>
      </w:r>
    </w:p>
    <w:p w14:paraId="4ECEDBA4">
      <w:pPr>
        <w:ind w:firstLine="400" w:firstLineChars="200"/>
        <w:rPr>
          <w:rFonts w:ascii="宋体" w:hAnsi="宋体"/>
          <w:color w:val="0000FF"/>
          <w:sz w:val="20"/>
          <w:szCs w:val="20"/>
        </w:rPr>
      </w:pPr>
      <w:r>
        <w:rPr>
          <w:rFonts w:hint="eastAsia" w:ascii="宋体" w:hAnsi="宋体"/>
          <w:color w:val="0000FF"/>
          <w:sz w:val="20"/>
          <w:szCs w:val="20"/>
        </w:rPr>
        <w:t>四、请供应商阅读《政府采购违法行为风险知悉确认书》（内容详见“应答文件附件”中节点“供应商认为需要加以说明的其他内容（格式自定）”），并经各供应商负责人或谈判授权代表签字并加盖单位公章后，扫描上传至应答文件一并提交。</w:t>
      </w:r>
    </w:p>
    <w:p w14:paraId="6DA70E64">
      <w:pPr>
        <w:ind w:firstLine="400" w:firstLineChars="200"/>
        <w:rPr>
          <w:rFonts w:ascii="宋体" w:hAnsi="宋体"/>
          <w:color w:val="0000FF"/>
          <w:sz w:val="20"/>
          <w:szCs w:val="20"/>
        </w:rPr>
      </w:pPr>
      <w:r>
        <w:rPr>
          <w:rFonts w:hint="eastAsia" w:ascii="宋体" w:hAnsi="宋体"/>
          <w:color w:val="0000FF"/>
          <w:sz w:val="20"/>
          <w:szCs w:val="20"/>
        </w:rPr>
        <w:t>注：该风险知悉确认书用于对供应商违法行为的警示， 不作为供应商资格性审查及符合性审查条件。</w:t>
      </w:r>
    </w:p>
    <w:p w14:paraId="0CC2F7C6">
      <w:pPr>
        <w:widowControl/>
        <w:ind w:firstLine="400" w:firstLineChars="200"/>
        <w:jc w:val="left"/>
        <w:rPr>
          <w:b/>
          <w:kern w:val="44"/>
          <w:sz w:val="44"/>
          <w:szCs w:val="20"/>
        </w:rPr>
      </w:pPr>
      <w:r>
        <w:rPr>
          <w:rFonts w:hint="eastAsia" w:ascii="宋体" w:hAnsi="宋体"/>
          <w:color w:val="0000FF"/>
          <w:sz w:val="20"/>
          <w:szCs w:val="20"/>
        </w:rPr>
        <w:t>五、根据《深圳经济特区政府采购条例实施细则》第七十五条规定，不同投标</w:t>
      </w:r>
      <w:r>
        <w:rPr>
          <w:rFonts w:hint="eastAsia"/>
          <w:bCs/>
          <w:color w:val="FF0000"/>
          <w:sz w:val="20"/>
          <w:szCs w:val="20"/>
        </w:rPr>
        <w:t>（应答）</w:t>
      </w:r>
      <w:r>
        <w:rPr>
          <w:rFonts w:hint="eastAsia" w:ascii="宋体" w:hAnsi="宋体"/>
          <w:color w:val="0000FF"/>
          <w:sz w:val="20"/>
          <w:szCs w:val="20"/>
        </w:rPr>
        <w:t>供应商的投标</w:t>
      </w:r>
      <w:r>
        <w:rPr>
          <w:rFonts w:hint="eastAsia"/>
          <w:bCs/>
          <w:color w:val="FF0000"/>
          <w:sz w:val="20"/>
          <w:szCs w:val="20"/>
        </w:rPr>
        <w:t>（应答）</w:t>
      </w:r>
      <w:r>
        <w:rPr>
          <w:rFonts w:hint="eastAsia" w:ascii="宋体" w:hAnsi="宋体"/>
          <w:color w:val="0000FF"/>
          <w:sz w:val="20"/>
          <w:szCs w:val="20"/>
        </w:rPr>
        <w:t>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w:t>
      </w:r>
      <w:r>
        <w:rPr>
          <w:rFonts w:hint="eastAsia"/>
          <w:bCs/>
          <w:color w:val="FF0000"/>
          <w:sz w:val="20"/>
          <w:szCs w:val="20"/>
        </w:rPr>
        <w:t>（应答）</w:t>
      </w:r>
      <w:r>
        <w:rPr>
          <w:rFonts w:hint="eastAsia" w:ascii="宋体" w:hAnsi="宋体"/>
          <w:color w:val="0000FF"/>
          <w:sz w:val="20"/>
          <w:szCs w:val="20"/>
        </w:rPr>
        <w:t>文件。</w:t>
      </w:r>
      <w:r>
        <w:br w:type="page"/>
      </w:r>
    </w:p>
    <w:p w14:paraId="3759F027">
      <w:pPr>
        <w:pStyle w:val="3"/>
        <w:numPr>
          <w:ilvl w:val="0"/>
          <w:numId w:val="0"/>
        </w:numPr>
        <w:jc w:val="center"/>
        <w:rPr>
          <w:rFonts w:eastAsia="黑体"/>
          <w:sz w:val="21"/>
          <w:szCs w:val="44"/>
        </w:rPr>
      </w:pPr>
      <w:r>
        <w:rPr>
          <w:rFonts w:hint="eastAsia"/>
        </w:rPr>
        <w:t>目   录</w:t>
      </w:r>
    </w:p>
    <w:p w14:paraId="6BC2CFDB">
      <w:pPr>
        <w:widowControl/>
        <w:wordWrap w:val="0"/>
        <w:jc w:val="left"/>
        <w:textAlignment w:val="top"/>
        <w:rPr>
          <w:szCs w:val="21"/>
        </w:rPr>
      </w:pPr>
      <w:r>
        <w:rPr>
          <w:sz w:val="24"/>
        </w:rPr>
        <w:t xml:space="preserve">        </w:t>
      </w:r>
      <w:r>
        <w:rPr>
          <w:szCs w:val="21"/>
        </w:rPr>
        <w:t xml:space="preserve">   </w:t>
      </w:r>
      <w:r>
        <w:rPr>
          <w:rFonts w:hint="eastAsia"/>
          <w:szCs w:val="21"/>
        </w:rPr>
        <w:t>关键信息</w:t>
      </w:r>
    </w:p>
    <w:p w14:paraId="6B3B72F3">
      <w:pPr>
        <w:widowControl/>
        <w:wordWrap w:val="0"/>
        <w:spacing w:line="480" w:lineRule="auto"/>
        <w:ind w:firstLine="1260" w:firstLineChars="600"/>
        <w:jc w:val="left"/>
        <w:textAlignment w:val="top"/>
        <w:rPr>
          <w:szCs w:val="21"/>
        </w:rPr>
      </w:pPr>
      <w:r>
        <w:rPr>
          <w:rFonts w:hint="eastAsia"/>
          <w:szCs w:val="21"/>
        </w:rPr>
        <w:t>第一章</w:t>
      </w:r>
      <w:r>
        <w:rPr>
          <w:szCs w:val="21"/>
        </w:rPr>
        <w:t xml:space="preserve">  </w:t>
      </w:r>
      <w:r>
        <w:rPr>
          <w:rFonts w:hint="eastAsia"/>
          <w:szCs w:val="21"/>
        </w:rPr>
        <w:t>谈判公告</w:t>
      </w:r>
    </w:p>
    <w:p w14:paraId="301E91D3">
      <w:pPr>
        <w:widowControl/>
        <w:wordWrap w:val="0"/>
        <w:spacing w:line="480" w:lineRule="auto"/>
        <w:ind w:firstLine="1260" w:firstLineChars="600"/>
        <w:jc w:val="left"/>
        <w:textAlignment w:val="top"/>
        <w:rPr>
          <w:szCs w:val="21"/>
        </w:rPr>
      </w:pPr>
      <w:r>
        <w:rPr>
          <w:rFonts w:hint="eastAsia"/>
          <w:szCs w:val="21"/>
        </w:rPr>
        <w:t>第二章</w:t>
      </w:r>
      <w:r>
        <w:rPr>
          <w:szCs w:val="21"/>
        </w:rPr>
        <w:t xml:space="preserve">  </w:t>
      </w:r>
      <w:bookmarkStart w:id="2" w:name="_Hlk71994379"/>
      <w:r>
        <w:rPr>
          <w:rFonts w:hint="eastAsia"/>
          <w:szCs w:val="21"/>
        </w:rPr>
        <w:t>对谈判须知条款的补充内容及其他关键信息</w:t>
      </w:r>
      <w:bookmarkEnd w:id="2"/>
    </w:p>
    <w:p w14:paraId="484203B5">
      <w:pPr>
        <w:widowControl/>
        <w:wordWrap w:val="0"/>
        <w:spacing w:line="480" w:lineRule="auto"/>
        <w:ind w:firstLine="1260" w:firstLineChars="600"/>
        <w:jc w:val="left"/>
        <w:textAlignment w:val="top"/>
        <w:rPr>
          <w:szCs w:val="21"/>
        </w:rPr>
      </w:pPr>
      <w:r>
        <w:rPr>
          <w:rFonts w:hint="eastAsia"/>
          <w:szCs w:val="21"/>
        </w:rPr>
        <w:t>第三章</w:t>
      </w:r>
      <w:r>
        <w:rPr>
          <w:szCs w:val="21"/>
        </w:rPr>
        <w:t xml:space="preserve">  </w:t>
      </w:r>
      <w:r>
        <w:rPr>
          <w:rFonts w:hint="eastAsia"/>
          <w:szCs w:val="21"/>
        </w:rPr>
        <w:t>用户需求书</w:t>
      </w:r>
    </w:p>
    <w:p w14:paraId="0DBE222E">
      <w:pPr>
        <w:widowControl/>
        <w:wordWrap w:val="0"/>
        <w:spacing w:line="480" w:lineRule="auto"/>
        <w:ind w:firstLine="1260" w:firstLineChars="600"/>
        <w:jc w:val="left"/>
        <w:textAlignment w:val="top"/>
        <w:rPr>
          <w:szCs w:val="21"/>
        </w:rPr>
      </w:pPr>
      <w:r>
        <w:rPr>
          <w:rFonts w:hint="eastAsia"/>
          <w:szCs w:val="21"/>
        </w:rPr>
        <w:t>第四章</w:t>
      </w:r>
      <w:r>
        <w:rPr>
          <w:szCs w:val="21"/>
        </w:rPr>
        <w:t xml:space="preserve">  </w:t>
      </w:r>
      <w:r>
        <w:rPr>
          <w:rFonts w:hint="eastAsia"/>
          <w:szCs w:val="21"/>
        </w:rPr>
        <w:t>谈判应答文件组成要求及格式</w:t>
      </w:r>
    </w:p>
    <w:p w14:paraId="02F950CA">
      <w:pPr>
        <w:widowControl/>
        <w:wordWrap w:val="0"/>
        <w:spacing w:line="480" w:lineRule="auto"/>
        <w:ind w:firstLine="1260" w:firstLineChars="600"/>
        <w:jc w:val="left"/>
        <w:textAlignment w:val="top"/>
        <w:rPr>
          <w:szCs w:val="21"/>
        </w:rPr>
      </w:pPr>
      <w:r>
        <w:rPr>
          <w:rFonts w:hint="eastAsia"/>
          <w:szCs w:val="21"/>
        </w:rPr>
        <w:t>第五章</w:t>
      </w:r>
      <w:r>
        <w:rPr>
          <w:szCs w:val="21"/>
        </w:rPr>
        <w:t xml:space="preserve">  </w:t>
      </w:r>
      <w:r>
        <w:rPr>
          <w:rFonts w:hint="eastAsia"/>
          <w:szCs w:val="21"/>
        </w:rPr>
        <w:t>合同条款及格式</w:t>
      </w:r>
    </w:p>
    <w:p w14:paraId="54D18870">
      <w:pPr>
        <w:widowControl/>
        <w:wordWrap w:val="0"/>
        <w:spacing w:line="480" w:lineRule="auto"/>
        <w:ind w:firstLine="1260" w:firstLineChars="600"/>
        <w:jc w:val="left"/>
        <w:textAlignment w:val="top"/>
        <w:rPr>
          <w:szCs w:val="21"/>
        </w:rPr>
      </w:pPr>
      <w:r>
        <w:rPr>
          <w:rFonts w:hint="eastAsia"/>
          <w:szCs w:val="21"/>
        </w:rPr>
        <w:t>第六章</w:t>
      </w:r>
      <w:r>
        <w:rPr>
          <w:szCs w:val="21"/>
        </w:rPr>
        <w:t xml:space="preserve">  </w:t>
      </w:r>
      <w:r>
        <w:rPr>
          <w:rFonts w:hint="eastAsia"/>
          <w:szCs w:val="21"/>
        </w:rPr>
        <w:t>谈判须知</w:t>
      </w:r>
    </w:p>
    <w:p w14:paraId="133D4B65">
      <w:pPr>
        <w:rPr>
          <w:b/>
          <w:sz w:val="24"/>
        </w:rPr>
      </w:pPr>
    </w:p>
    <w:p w14:paraId="3866A54D">
      <w:pPr>
        <w:ind w:firstLine="400" w:firstLineChars="200"/>
        <w:rPr>
          <w:rFonts w:ascii="宋体" w:hAnsi="宋体"/>
          <w:color w:val="0000FF"/>
          <w:sz w:val="20"/>
          <w:szCs w:val="20"/>
        </w:rPr>
      </w:pPr>
    </w:p>
    <w:p w14:paraId="1C3D2DAB">
      <w:pPr>
        <w:jc w:val="center"/>
        <w:rPr>
          <w:rFonts w:ascii="宋体" w:hAnsi="宋体"/>
          <w:kern w:val="0"/>
          <w:sz w:val="24"/>
        </w:rPr>
      </w:pPr>
      <w:r>
        <w:rPr>
          <w:sz w:val="44"/>
        </w:rPr>
        <w:br w:type="page"/>
      </w:r>
    </w:p>
    <w:p w14:paraId="67BFB3F3">
      <w:pPr>
        <w:keepNext/>
        <w:keepLines/>
        <w:tabs>
          <w:tab w:val="left" w:pos="360"/>
        </w:tabs>
        <w:adjustRightInd w:val="0"/>
        <w:ind w:left="562"/>
        <w:jc w:val="center"/>
        <w:textAlignment w:val="baseline"/>
        <w:outlineLvl w:val="1"/>
        <w:rPr>
          <w:rFonts w:ascii="宋体" w:hAnsi="宋体"/>
          <w:b/>
          <w:bCs/>
          <w:kern w:val="0"/>
          <w:sz w:val="28"/>
          <w:szCs w:val="28"/>
        </w:rPr>
      </w:pPr>
      <w:bookmarkStart w:id="3" w:name="bt采购邀请函"/>
      <w:bookmarkEnd w:id="3"/>
      <w:bookmarkStart w:id="4" w:name="_Toc78084035"/>
      <w:bookmarkStart w:id="5" w:name="_Toc78082816"/>
      <w:bookmarkStart w:id="6" w:name="_Toc195435174"/>
      <w:bookmarkStart w:id="7" w:name="_Toc78083913"/>
      <w:r>
        <w:rPr>
          <w:rFonts w:hint="eastAsia" w:ascii="宋体" w:hAnsi="宋体"/>
          <w:b/>
          <w:bCs/>
          <w:kern w:val="0"/>
          <w:sz w:val="28"/>
          <w:szCs w:val="28"/>
        </w:rPr>
        <w:t>第一章  谈判公告</w:t>
      </w:r>
    </w:p>
    <w:p w14:paraId="7DDB33C2">
      <w:pPr>
        <w:spacing w:before="60" w:beforeLines="25" w:after="60" w:afterLines="25"/>
        <w:ind w:firstLine="394" w:firstLineChars="187"/>
        <w:rPr>
          <w:rFonts w:ascii="宋体" w:hAnsi="宋体" w:cs="宋体"/>
          <w:color w:val="0000FF"/>
          <w:kern w:val="0"/>
          <w:szCs w:val="21"/>
        </w:rPr>
      </w:pPr>
      <w:r>
        <w:rPr>
          <w:rFonts w:hint="eastAsia" w:ascii="宋体" w:hAnsi="宋体" w:cs="宋体"/>
          <w:b/>
          <w:kern w:val="0"/>
          <w:szCs w:val="21"/>
        </w:rPr>
        <w:t>供应商资格要求：</w:t>
      </w:r>
    </w:p>
    <w:p w14:paraId="0725136F">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8" w:name="_Hlk72162904"/>
      <w:bookmarkStart w:id="9" w:name="_Hlk72576406"/>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8"/>
      <w:r>
        <w:rPr>
          <w:rFonts w:hint="eastAsia"/>
        </w:rPr>
        <w:t>；</w:t>
      </w:r>
    </w:p>
    <w:p w14:paraId="68FDBA2B">
      <w:pPr>
        <w:ind w:firstLine="630" w:firstLineChars="300"/>
        <w:rPr>
          <w:rFonts w:ascii="宋体" w:hAnsi="宋体" w:cs="宋体"/>
          <w:kern w:val="0"/>
          <w:szCs w:val="21"/>
        </w:rPr>
      </w:pPr>
      <w:r>
        <w:rPr>
          <w:rFonts w:hint="eastAsia" w:ascii="宋体" w:hAnsi="宋体" w:cs="宋体"/>
          <w:kern w:val="0"/>
          <w:szCs w:val="21"/>
        </w:rPr>
        <w:t xml:space="preserve">2.必须是采购人邀请的供应商； </w:t>
      </w:r>
      <w:bookmarkEnd w:id="9"/>
    </w:p>
    <w:p w14:paraId="7DA860D9">
      <w:pPr>
        <w:ind w:firstLine="630" w:firstLineChars="300"/>
        <w:rPr>
          <w:rFonts w:ascii="宋体" w:hAnsi="宋体" w:cs="宋体"/>
          <w:color w:val="FF0000"/>
          <w:kern w:val="0"/>
          <w:szCs w:val="21"/>
        </w:rPr>
      </w:pPr>
      <w:r>
        <w:rPr>
          <w:rFonts w:ascii="宋体" w:hAnsi="宋体" w:cs="宋体"/>
          <w:kern w:val="0"/>
          <w:szCs w:val="21"/>
        </w:rPr>
        <w:t>3.</w:t>
      </w:r>
      <w:r>
        <w:rPr>
          <w:rFonts w:hint="eastAsia" w:ascii="宋体" w:hAnsi="宋体" w:cs="宋体"/>
          <w:color w:val="FF0000"/>
          <w:kern w:val="0"/>
          <w:szCs w:val="21"/>
        </w:rPr>
        <w:t>本项目</w:t>
      </w:r>
      <w:r>
        <w:rPr>
          <w:rFonts w:hint="eastAsia" w:ascii="宋体" w:hAnsi="宋体" w:cs="宋体"/>
          <w:color w:val="FF0000"/>
          <w:kern w:val="0"/>
          <w:szCs w:val="21"/>
          <w:highlight w:val="yellow"/>
        </w:rPr>
        <w:t>不接受</w:t>
      </w:r>
      <w:r>
        <w:rPr>
          <w:rFonts w:hint="eastAsia" w:ascii="宋体" w:hAnsi="宋体" w:cs="宋体"/>
          <w:color w:val="FF0000"/>
          <w:kern w:val="0"/>
          <w:szCs w:val="21"/>
        </w:rPr>
        <w:t>联合体参与谈判，不接受供应商选用进口产品参与谈判；</w:t>
      </w:r>
    </w:p>
    <w:p w14:paraId="06A2381F">
      <w:pPr>
        <w:ind w:firstLine="630" w:firstLineChars="300"/>
        <w:rPr>
          <w:rFonts w:ascii="宋体" w:hAnsi="宋体" w:cs="宋体"/>
          <w:kern w:val="0"/>
          <w:szCs w:val="21"/>
        </w:rPr>
      </w:pPr>
      <w:r>
        <w:rPr>
          <w:rFonts w:ascii="宋体" w:hAnsi="宋体" w:cs="宋体"/>
          <w:kern w:val="0"/>
          <w:szCs w:val="21"/>
        </w:rPr>
        <w:t>4.</w:t>
      </w:r>
      <w:r>
        <w:rPr>
          <w:rFonts w:hint="eastAsia" w:ascii="宋体" w:hAnsi="宋体" w:cs="宋体"/>
          <w:kern w:val="0"/>
          <w:szCs w:val="21"/>
        </w:rPr>
        <w:t>参与本项目政府采购活动时不存在被有关部门禁止参与政府采购活动且在有效期内的情况（由供应商在《政府采购应答及履约承诺函》中作出声明）；</w:t>
      </w:r>
    </w:p>
    <w:p w14:paraId="64DAD286">
      <w:pPr>
        <w:ind w:firstLine="630" w:firstLineChars="300"/>
        <w:rPr>
          <w:rFonts w:ascii="宋体" w:hAnsi="宋体" w:cs="宋体"/>
          <w:kern w:val="0"/>
          <w:szCs w:val="21"/>
        </w:rPr>
      </w:pPr>
      <w:r>
        <w:rPr>
          <w:rFonts w:ascii="宋体" w:hAnsi="宋体" w:cs="宋体"/>
          <w:kern w:val="0"/>
          <w:szCs w:val="21"/>
        </w:rPr>
        <w:t>5.</w:t>
      </w:r>
      <w:r>
        <w:rPr>
          <w:rFonts w:hint="eastAsia" w:ascii="宋体" w:hAnsi="宋体" w:cs="宋体"/>
          <w:kern w:val="0"/>
          <w:szCs w:val="21"/>
        </w:rPr>
        <w:t>具备《中华人民共和国政府采购法》第二十二条第一款的条件（由供应商在《政府采购应答及履约承诺函》中作出声明）；</w:t>
      </w:r>
    </w:p>
    <w:p w14:paraId="36776A67">
      <w:pPr>
        <w:ind w:firstLine="630" w:firstLineChars="300"/>
        <w:rPr>
          <w:rFonts w:ascii="宋体" w:hAnsi="宋体" w:cs="宋体"/>
          <w:kern w:val="0"/>
          <w:szCs w:val="21"/>
        </w:rPr>
      </w:pPr>
      <w:r>
        <w:rPr>
          <w:rFonts w:ascii="宋体" w:hAnsi="宋体" w:cs="宋体"/>
          <w:kern w:val="0"/>
          <w:szCs w:val="21"/>
        </w:rPr>
        <w:t>6.</w:t>
      </w:r>
      <w:r>
        <w:rPr>
          <w:rFonts w:hint="eastAsia" w:ascii="宋体" w:hAnsi="宋体" w:cs="宋体"/>
          <w:kern w:val="0"/>
          <w:szCs w:val="21"/>
        </w:rPr>
        <w:t>未被列入失信被执行人、重大税收违法案件当事人名单、政府采购严重违法失信行为记录名单（由供应商在《政府采购应答及履约承诺函》中作出声明）；</w:t>
      </w:r>
    </w:p>
    <w:p w14:paraId="0EF73622">
      <w:pPr>
        <w:ind w:firstLine="630" w:firstLineChars="300"/>
        <w:rPr>
          <w:rFonts w:ascii="宋体" w:hAnsi="宋体" w:cs="宋体"/>
          <w:kern w:val="0"/>
          <w:szCs w:val="21"/>
        </w:rPr>
      </w:pPr>
      <w:r>
        <w:t>7</w:t>
      </w:r>
      <w:r>
        <w:rPr>
          <w:rFonts w:hint="eastAsia"/>
        </w:rPr>
        <w:t>.</w:t>
      </w:r>
      <w:r>
        <w:rPr>
          <w:rFonts w:hint="eastAsia" w:ascii="宋体" w:hAnsi="宋体" w:cs="宋体"/>
          <w:kern w:val="0"/>
          <w:szCs w:val="21"/>
        </w:rPr>
        <w:t>参与本项目政府采购活动时不存在《深圳市财政局政府采购供应商信用信息管理办法》（深财规〔2023〕3号）列明的严重违法失信行为（由供应商在《政府采购投标及履约承诺函》中作出声明）；</w:t>
      </w:r>
    </w:p>
    <w:p w14:paraId="202AC937">
      <w:pPr>
        <w:ind w:firstLine="630" w:firstLineChars="300"/>
        <w:rPr>
          <w:rFonts w:ascii="宋体" w:hAnsi="宋体" w:cs="宋体"/>
          <w:kern w:val="0"/>
          <w:szCs w:val="21"/>
        </w:rPr>
      </w:pPr>
      <w:r>
        <w:rPr>
          <w:rFonts w:ascii="宋体" w:hAnsi="宋体" w:cs="宋体"/>
          <w:kern w:val="0"/>
          <w:szCs w:val="21"/>
        </w:rPr>
        <w:t>8.</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应答及履约承诺函》中作出声明）；</w:t>
      </w:r>
      <w:r>
        <w:rPr>
          <w:rFonts w:hint="eastAsia" w:ascii="宋体" w:hAnsi="宋体" w:cs="宋体"/>
          <w:color w:val="FF0000"/>
          <w:kern w:val="0"/>
          <w:szCs w:val="21"/>
        </w:rPr>
        <w:t xml:space="preserve"> </w:t>
      </w:r>
    </w:p>
    <w:p w14:paraId="5BB23A26">
      <w:pPr>
        <w:ind w:firstLine="630" w:firstLineChars="300"/>
        <w:rPr>
          <w:rFonts w:ascii="宋体" w:hAnsi="宋体"/>
        </w:rPr>
      </w:pPr>
      <w:r>
        <w:rPr>
          <w:rFonts w:ascii="宋体" w:hAnsi="宋体" w:cs="宋体"/>
          <w:kern w:val="0"/>
          <w:szCs w:val="21"/>
        </w:rPr>
        <w:t>9.</w:t>
      </w:r>
      <w:r>
        <w:rPr>
          <w:rFonts w:hint="eastAsia" w:ascii="宋体" w:hAnsi="宋体" w:cs="宋体"/>
          <w:color w:val="FF0000"/>
          <w:kern w:val="0"/>
          <w:szCs w:val="21"/>
        </w:rPr>
        <w:t>本项目属于专门面向中小企业采购：</w:t>
      </w:r>
      <w:r>
        <w:rPr>
          <w:rFonts w:hint="eastAsia" w:ascii="宋体" w:hAnsi="宋体" w:cs="宋体"/>
          <w:kern w:val="0"/>
          <w:szCs w:val="21"/>
        </w:rPr>
        <w:t>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作资格审查不通过处理）。</w:t>
      </w:r>
    </w:p>
    <w:p w14:paraId="1D4CD66D">
      <w:pPr>
        <w:ind w:firstLine="630" w:firstLineChars="300"/>
        <w:rPr>
          <w:rFonts w:ascii="宋体" w:hAnsi="宋体" w:cs="宋体"/>
          <w:kern w:val="0"/>
          <w:szCs w:val="21"/>
        </w:rPr>
      </w:pPr>
      <w:r>
        <w:rPr>
          <w:rFonts w:hint="eastAsia" w:ascii="宋体" w:hAnsi="宋体" w:cs="宋体"/>
          <w:kern w:val="0"/>
          <w:szCs w:val="21"/>
        </w:rPr>
        <w:t xml:space="preserve"> </w:t>
      </w:r>
    </w:p>
    <w:p w14:paraId="35573E41">
      <w:pPr>
        <w:wordWrap w:val="0"/>
        <w:ind w:firstLine="420" w:firstLineChars="200"/>
        <w:rPr>
          <w:rFonts w:ascii="宋体" w:hAnsi="宋体" w:cs="宋体"/>
          <w:kern w:val="0"/>
          <w:szCs w:val="21"/>
        </w:rPr>
      </w:pPr>
    </w:p>
    <w:p w14:paraId="2EEEB425">
      <w:pPr>
        <w:widowControl/>
        <w:ind w:left="210" w:leftChars="100" w:firstLine="105" w:firstLineChars="50"/>
        <w:jc w:val="left"/>
        <w:rPr>
          <w:rFonts w:ascii="宋体" w:hAnsi="宋体" w:cs="宋体"/>
          <w:kern w:val="0"/>
          <w:szCs w:val="21"/>
        </w:rPr>
      </w:pPr>
      <w:r>
        <w:rPr>
          <w:rFonts w:hint="eastAsia" w:ascii="宋体" w:hAnsi="宋体" w:cs="宋体"/>
          <w:kern w:val="0"/>
          <w:szCs w:val="21"/>
        </w:rPr>
        <w:t>注：（1）注：信息查询渠道，具体包括“信用中国”（www.creditchina.gov.cn）、“中国政府采购网”（www.ccgp.gov.cn）、“深圳市政府采购监管网”（http://zfcg.sz.gov.cn）以及市、区财政部门认定的其他渠道，具体以开标当日上述渠道的全部查询结果为准。</w:t>
      </w:r>
    </w:p>
    <w:p w14:paraId="684BBCE9">
      <w:pPr>
        <w:ind w:firstLine="630" w:firstLineChars="300"/>
      </w:pPr>
    </w:p>
    <w:p w14:paraId="66CE979B">
      <w:pPr>
        <w:ind w:firstLine="630" w:firstLineChars="300"/>
      </w:pPr>
    </w:p>
    <w:p w14:paraId="1C77D0A6">
      <w:pPr>
        <w:ind w:firstLine="630" w:firstLineChars="300"/>
      </w:pPr>
    </w:p>
    <w:p w14:paraId="33BDC319">
      <w:pPr>
        <w:spacing w:before="60" w:beforeLines="25" w:after="60" w:afterLines="25"/>
        <w:ind w:firstLine="392" w:firstLineChars="187"/>
        <w:rPr>
          <w:rFonts w:ascii="宋体" w:hAnsi="宋体" w:cs="宋体"/>
          <w:kern w:val="0"/>
          <w:szCs w:val="21"/>
        </w:rPr>
      </w:pPr>
      <w:r>
        <w:rPr>
          <w:rFonts w:hint="eastAsia" w:ascii="宋体" w:hAnsi="宋体" w:cs="宋体"/>
          <w:kern w:val="0"/>
          <w:szCs w:val="21"/>
        </w:rPr>
        <w:t>完整公告内容详见：深圳市福田区第二人民医院（</w:t>
      </w:r>
      <w:r>
        <w:rPr>
          <w:rFonts w:ascii="宋体" w:hAnsi="宋体" w:cs="宋体"/>
          <w:kern w:val="0"/>
          <w:szCs w:val="21"/>
        </w:rPr>
        <w:t>https://www.ft2yy.cn/</w:t>
      </w:r>
      <w:r>
        <w:rPr>
          <w:rFonts w:hint="eastAsia" w:ascii="宋体" w:hAnsi="宋体" w:cs="宋体"/>
          <w:kern w:val="0"/>
          <w:szCs w:val="21"/>
        </w:rPr>
        <w:t>）</w:t>
      </w:r>
    </w:p>
    <w:p w14:paraId="61EBACC5">
      <w:pPr>
        <w:pStyle w:val="2"/>
      </w:pPr>
    </w:p>
    <w:p w14:paraId="7905666A">
      <w:pPr>
        <w:pStyle w:val="2"/>
      </w:pPr>
    </w:p>
    <w:p w14:paraId="7199190A">
      <w:pPr>
        <w:pStyle w:val="2"/>
      </w:pPr>
    </w:p>
    <w:p w14:paraId="7387C36C">
      <w:pPr>
        <w:pStyle w:val="2"/>
      </w:pPr>
    </w:p>
    <w:p w14:paraId="57D49DD9">
      <w:pPr>
        <w:pStyle w:val="2"/>
      </w:pPr>
    </w:p>
    <w:p w14:paraId="49E94693">
      <w:pPr>
        <w:pStyle w:val="2"/>
      </w:pPr>
    </w:p>
    <w:p w14:paraId="206ADEC6">
      <w:pPr>
        <w:pStyle w:val="2"/>
      </w:pPr>
    </w:p>
    <w:p w14:paraId="41660190">
      <w:pPr>
        <w:pStyle w:val="2"/>
      </w:pPr>
    </w:p>
    <w:p w14:paraId="3CBC37EC">
      <w:pPr>
        <w:pStyle w:val="2"/>
      </w:pPr>
    </w:p>
    <w:p w14:paraId="395163C0">
      <w:pPr>
        <w:pStyle w:val="2"/>
      </w:pPr>
    </w:p>
    <w:p w14:paraId="04B0077B">
      <w:pPr>
        <w:pStyle w:val="2"/>
      </w:pPr>
    </w:p>
    <w:p w14:paraId="400BF45A">
      <w:pPr>
        <w:pStyle w:val="2"/>
      </w:pPr>
    </w:p>
    <w:p w14:paraId="4A360790">
      <w:pPr>
        <w:keepNext/>
        <w:keepLines/>
        <w:tabs>
          <w:tab w:val="left" w:pos="360"/>
        </w:tabs>
        <w:adjustRightInd w:val="0"/>
        <w:ind w:left="562"/>
        <w:jc w:val="center"/>
        <w:textAlignment w:val="baseline"/>
        <w:outlineLvl w:val="1"/>
        <w:rPr>
          <w:rFonts w:ascii="宋体" w:hAnsi="宋体"/>
          <w:b/>
          <w:bCs/>
          <w:kern w:val="0"/>
          <w:sz w:val="28"/>
          <w:szCs w:val="28"/>
        </w:rPr>
      </w:pPr>
      <w:r>
        <w:rPr>
          <w:rFonts w:hint="eastAsia" w:ascii="宋体" w:hAnsi="宋体"/>
          <w:b/>
          <w:bCs/>
          <w:kern w:val="0"/>
          <w:sz w:val="28"/>
          <w:szCs w:val="28"/>
        </w:rPr>
        <w:t xml:space="preserve">第二章 </w:t>
      </w:r>
      <w:bookmarkStart w:id="10" w:name="_Hlk71926094"/>
      <w:r>
        <w:rPr>
          <w:rFonts w:hint="eastAsia" w:ascii="宋体" w:hAnsi="宋体"/>
          <w:b/>
          <w:bCs/>
          <w:kern w:val="0"/>
          <w:sz w:val="28"/>
          <w:szCs w:val="28"/>
        </w:rPr>
        <w:t>对谈判须知条款的补充内容及其他关键信息</w:t>
      </w:r>
      <w:bookmarkEnd w:id="10"/>
    </w:p>
    <w:p w14:paraId="38118147">
      <w:pPr>
        <w:tabs>
          <w:tab w:val="left" w:pos="360"/>
        </w:tabs>
        <w:adjustRightInd w:val="0"/>
        <w:spacing w:before="120" w:beforeLines="50" w:after="120" w:afterLines="50"/>
        <w:jc w:val="center"/>
        <w:textAlignment w:val="baseline"/>
        <w:outlineLvl w:val="1"/>
        <w:rPr>
          <w:kern w:val="0"/>
          <w:sz w:val="24"/>
        </w:rPr>
      </w:pPr>
      <w:bookmarkStart w:id="11" w:name="_Toc60631620"/>
      <w:bookmarkStart w:id="12" w:name="_Toc73521635"/>
      <w:bookmarkStart w:id="13" w:name="_Toc101074876"/>
      <w:bookmarkStart w:id="14" w:name="_Toc73521547"/>
      <w:bookmarkStart w:id="15" w:name="_Toc60560625"/>
      <w:bookmarkStart w:id="16" w:name="_Toc100052364"/>
      <w:bookmarkStart w:id="17" w:name="_Toc73518117"/>
      <w:bookmarkStart w:id="18" w:name="_Toc73517639"/>
      <w:r>
        <w:rPr>
          <w:rFonts w:hint="eastAsia"/>
          <w:kern w:val="0"/>
          <w:sz w:val="24"/>
        </w:rPr>
        <w:t>一、对谈判须知条款的补充内容</w:t>
      </w:r>
    </w:p>
    <w:bookmarkEnd w:id="11"/>
    <w:bookmarkEnd w:id="12"/>
    <w:bookmarkEnd w:id="13"/>
    <w:bookmarkEnd w:id="14"/>
    <w:bookmarkEnd w:id="15"/>
    <w:bookmarkEnd w:id="16"/>
    <w:bookmarkEnd w:id="17"/>
    <w:bookmarkEnd w:id="18"/>
    <w:tbl>
      <w:tblPr>
        <w:tblStyle w:val="30"/>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40D03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060D0E">
            <w:pPr>
              <w:jc w:val="center"/>
              <w:rPr>
                <w:rFonts w:ascii="宋体" w:hAnsi="宋体"/>
                <w:b/>
                <w:bCs/>
              </w:rPr>
            </w:pPr>
            <w:bookmarkStart w:id="19" w:name="_Hlk72218097"/>
            <w:r>
              <w:rPr>
                <w:rFonts w:hint="eastAsia" w:ascii="宋体" w:hAnsi="宋体"/>
                <w:b/>
                <w:bCs/>
              </w:rPr>
              <w:t>通用条款序号</w:t>
            </w:r>
          </w:p>
        </w:tc>
        <w:tc>
          <w:tcPr>
            <w:tcW w:w="2409" w:type="dxa"/>
            <w:vAlign w:val="center"/>
          </w:tcPr>
          <w:p w14:paraId="762F882E">
            <w:pPr>
              <w:jc w:val="center"/>
              <w:rPr>
                <w:rFonts w:ascii="宋体" w:hAnsi="宋体"/>
                <w:b/>
                <w:bCs/>
              </w:rPr>
            </w:pPr>
            <w:r>
              <w:rPr>
                <w:rFonts w:hint="eastAsia" w:ascii="宋体" w:hAnsi="宋体"/>
                <w:b/>
                <w:bCs/>
              </w:rPr>
              <w:t>涉及事项</w:t>
            </w:r>
          </w:p>
        </w:tc>
        <w:tc>
          <w:tcPr>
            <w:tcW w:w="4980" w:type="dxa"/>
            <w:vAlign w:val="center"/>
          </w:tcPr>
          <w:p w14:paraId="18885276">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51433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952E62">
            <w:pPr>
              <w:jc w:val="center"/>
              <w:rPr>
                <w:rFonts w:ascii="宋体" w:hAnsi="宋体"/>
              </w:rPr>
            </w:pPr>
            <w:r>
              <w:rPr>
                <w:rFonts w:hint="eastAsia" w:ascii="宋体" w:hAnsi="宋体"/>
              </w:rPr>
              <w:t>3</w:t>
            </w:r>
            <w:r>
              <w:rPr>
                <w:rFonts w:ascii="宋体" w:hAnsi="宋体"/>
              </w:rPr>
              <w:t>.1</w:t>
            </w:r>
          </w:p>
        </w:tc>
        <w:tc>
          <w:tcPr>
            <w:tcW w:w="2409" w:type="dxa"/>
            <w:vAlign w:val="center"/>
          </w:tcPr>
          <w:p w14:paraId="0C212512">
            <w:pPr>
              <w:jc w:val="center"/>
            </w:pPr>
            <w:r>
              <w:rPr>
                <w:rFonts w:hint="eastAsia"/>
              </w:rPr>
              <w:t>采购人</w:t>
            </w:r>
          </w:p>
        </w:tc>
        <w:tc>
          <w:tcPr>
            <w:tcW w:w="4980" w:type="dxa"/>
            <w:vAlign w:val="center"/>
          </w:tcPr>
          <w:p w14:paraId="6E97D13E">
            <w:pPr>
              <w:jc w:val="center"/>
              <w:rPr>
                <w:rFonts w:ascii="宋体" w:hAnsi="宋体"/>
              </w:rPr>
            </w:pPr>
            <w:r>
              <w:rPr>
                <w:rFonts w:hint="eastAsia"/>
                <w:b/>
                <w:color w:val="0000FF"/>
                <w:szCs w:val="21"/>
              </w:rPr>
              <w:t>深圳市福田区第二人民医院</w:t>
            </w:r>
          </w:p>
        </w:tc>
      </w:tr>
      <w:tr w14:paraId="3C0BD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D1531D">
            <w:pPr>
              <w:jc w:val="center"/>
              <w:rPr>
                <w:rFonts w:ascii="宋体" w:hAnsi="宋体"/>
              </w:rPr>
            </w:pPr>
            <w:r>
              <w:rPr>
                <w:rFonts w:hint="eastAsia" w:ascii="宋体" w:hAnsi="宋体"/>
              </w:rPr>
              <w:t>1</w:t>
            </w:r>
            <w:r>
              <w:rPr>
                <w:rFonts w:ascii="宋体" w:hAnsi="宋体"/>
              </w:rPr>
              <w:t>0</w:t>
            </w:r>
            <w:r>
              <w:rPr>
                <w:rFonts w:hint="eastAsia" w:ascii="宋体" w:hAnsi="宋体"/>
              </w:rPr>
              <w:t>/1</w:t>
            </w:r>
            <w:r>
              <w:rPr>
                <w:rFonts w:ascii="宋体" w:hAnsi="宋体"/>
              </w:rPr>
              <w:t>1</w:t>
            </w:r>
          </w:p>
        </w:tc>
        <w:tc>
          <w:tcPr>
            <w:tcW w:w="2409" w:type="dxa"/>
            <w:vAlign w:val="center"/>
          </w:tcPr>
          <w:p w14:paraId="226E4C90">
            <w:pPr>
              <w:jc w:val="center"/>
              <w:rPr>
                <w:rFonts w:ascii="宋体" w:hAnsi="宋体"/>
              </w:rPr>
            </w:pPr>
            <w:r>
              <w:rPr>
                <w:rFonts w:hint="eastAsia" w:ascii="宋体" w:hAnsi="宋体"/>
              </w:rPr>
              <w:t>应答文件的澄清和修改</w:t>
            </w:r>
          </w:p>
        </w:tc>
        <w:tc>
          <w:tcPr>
            <w:tcW w:w="4980" w:type="dxa"/>
            <w:vAlign w:val="center"/>
          </w:tcPr>
          <w:p w14:paraId="7C7BFFA8">
            <w:pPr>
              <w:jc w:val="center"/>
              <w:rPr>
                <w:rFonts w:ascii="宋体" w:hAnsi="宋体"/>
              </w:rPr>
            </w:pPr>
            <w:r>
              <w:rPr>
                <w:rFonts w:hint="eastAsia" w:ascii="宋体" w:hAnsi="宋体"/>
              </w:rPr>
              <w:t>不晚于谈判应答文件递交截止日三日前，供应商有义务在谈判公告发布期间在</w:t>
            </w:r>
            <w:r>
              <w:rPr>
                <w:rFonts w:hint="eastAsia" w:ascii="宋体" w:hAnsi="宋体" w:cs="宋体"/>
                <w:szCs w:val="21"/>
              </w:rPr>
              <w:t>深圳市福田区第二人民医院网站</w:t>
            </w:r>
            <w:r>
              <w:rPr>
                <w:rFonts w:hint="eastAsia" w:ascii="宋体" w:hAnsi="宋体"/>
              </w:rPr>
              <w:t>浏览与本项目有关的澄清和修改信息</w:t>
            </w:r>
          </w:p>
        </w:tc>
      </w:tr>
      <w:tr w14:paraId="6FD40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4E67F4">
            <w:pPr>
              <w:jc w:val="center"/>
              <w:rPr>
                <w:rFonts w:ascii="宋体" w:hAnsi="宋体"/>
              </w:rPr>
            </w:pPr>
            <w:r>
              <w:rPr>
                <w:rFonts w:hint="eastAsia" w:ascii="宋体" w:hAnsi="宋体"/>
              </w:rPr>
              <w:t>1</w:t>
            </w:r>
            <w:r>
              <w:rPr>
                <w:rFonts w:ascii="宋体" w:hAnsi="宋体"/>
              </w:rPr>
              <w:t>8</w:t>
            </w:r>
          </w:p>
        </w:tc>
        <w:tc>
          <w:tcPr>
            <w:tcW w:w="2409" w:type="dxa"/>
            <w:vAlign w:val="center"/>
          </w:tcPr>
          <w:p w14:paraId="10F6C9B8">
            <w:pPr>
              <w:jc w:val="center"/>
              <w:rPr>
                <w:rFonts w:ascii="宋体" w:hAnsi="宋体"/>
              </w:rPr>
            </w:pPr>
            <w:r>
              <w:rPr>
                <w:rFonts w:hint="eastAsia" w:ascii="宋体" w:hAnsi="宋体"/>
              </w:rPr>
              <w:t>谈判应答有效期</w:t>
            </w:r>
          </w:p>
        </w:tc>
        <w:tc>
          <w:tcPr>
            <w:tcW w:w="4980" w:type="dxa"/>
            <w:vAlign w:val="center"/>
          </w:tcPr>
          <w:p w14:paraId="66A555A8">
            <w:pPr>
              <w:jc w:val="center"/>
              <w:rPr>
                <w:rFonts w:ascii="宋体" w:hAnsi="宋体"/>
              </w:rPr>
            </w:pPr>
            <w:r>
              <w:rPr>
                <w:rFonts w:hint="eastAsia" w:ascii="宋体" w:hAnsi="宋体"/>
              </w:rPr>
              <w:t>120个日历日</w:t>
            </w:r>
          </w:p>
        </w:tc>
      </w:tr>
      <w:tr w14:paraId="40D56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5B4F2B">
            <w:pPr>
              <w:jc w:val="center"/>
              <w:rPr>
                <w:rFonts w:ascii="宋体" w:hAnsi="宋体"/>
              </w:rPr>
            </w:pPr>
            <w:r>
              <w:rPr>
                <w:rFonts w:hint="eastAsia" w:ascii="宋体" w:hAnsi="宋体"/>
              </w:rPr>
              <w:t>2</w:t>
            </w:r>
            <w:r>
              <w:rPr>
                <w:rFonts w:ascii="宋体" w:hAnsi="宋体"/>
              </w:rPr>
              <w:t>0</w:t>
            </w:r>
          </w:p>
        </w:tc>
        <w:tc>
          <w:tcPr>
            <w:tcW w:w="2409" w:type="dxa"/>
            <w:vAlign w:val="center"/>
          </w:tcPr>
          <w:p w14:paraId="2DF90043">
            <w:pPr>
              <w:jc w:val="center"/>
              <w:rPr>
                <w:rFonts w:ascii="宋体" w:hAnsi="宋体"/>
              </w:rPr>
            </w:pPr>
            <w:r>
              <w:rPr>
                <w:rFonts w:hint="eastAsia" w:ascii="宋体" w:hAnsi="宋体"/>
              </w:rPr>
              <w:t>供应商的替代方案</w:t>
            </w:r>
          </w:p>
        </w:tc>
        <w:tc>
          <w:tcPr>
            <w:tcW w:w="4980" w:type="dxa"/>
            <w:vAlign w:val="center"/>
          </w:tcPr>
          <w:p w14:paraId="448BC36F">
            <w:pPr>
              <w:jc w:val="center"/>
              <w:rPr>
                <w:rFonts w:ascii="宋体" w:hAnsi="宋体"/>
              </w:rPr>
            </w:pPr>
            <w:r>
              <w:rPr>
                <w:rFonts w:hint="eastAsia" w:ascii="宋体" w:hAnsi="宋体"/>
              </w:rPr>
              <w:t xml:space="preserve">不接受 </w:t>
            </w:r>
          </w:p>
        </w:tc>
      </w:tr>
      <w:tr w14:paraId="3D23C5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53FE8C5">
            <w:pPr>
              <w:jc w:val="center"/>
              <w:rPr>
                <w:rFonts w:ascii="宋体" w:hAnsi="宋体"/>
              </w:rPr>
            </w:pPr>
            <w:r>
              <w:rPr>
                <w:rFonts w:hint="eastAsia" w:ascii="宋体" w:hAnsi="宋体"/>
              </w:rPr>
              <w:t>2</w:t>
            </w:r>
            <w:r>
              <w:rPr>
                <w:rFonts w:ascii="宋体" w:hAnsi="宋体"/>
              </w:rPr>
              <w:t>5</w:t>
            </w:r>
          </w:p>
        </w:tc>
        <w:tc>
          <w:tcPr>
            <w:tcW w:w="2409" w:type="dxa"/>
            <w:vAlign w:val="center"/>
          </w:tcPr>
          <w:p w14:paraId="0FD1B7E5">
            <w:pPr>
              <w:jc w:val="center"/>
              <w:rPr>
                <w:rFonts w:ascii="宋体" w:hAnsi="宋体"/>
              </w:rPr>
            </w:pPr>
            <w:r>
              <w:rPr>
                <w:rFonts w:hint="eastAsia" w:ascii="宋体" w:hAnsi="宋体"/>
              </w:rPr>
              <w:t>应答文件的大小</w:t>
            </w:r>
          </w:p>
        </w:tc>
        <w:tc>
          <w:tcPr>
            <w:tcW w:w="4980" w:type="dxa"/>
            <w:vAlign w:val="center"/>
          </w:tcPr>
          <w:p w14:paraId="7B887600">
            <w:pPr>
              <w:jc w:val="center"/>
              <w:rPr>
                <w:rFonts w:ascii="宋体" w:hAnsi="宋体"/>
              </w:rPr>
            </w:pPr>
            <w:r>
              <w:rPr>
                <w:rFonts w:hint="eastAsia" w:ascii="宋体" w:hAnsi="宋体"/>
              </w:rPr>
              <w:t>电子应答文件大小不得超过</w:t>
            </w:r>
            <w:r>
              <w:rPr>
                <w:rFonts w:ascii="宋体" w:hAnsi="宋体"/>
              </w:rPr>
              <w:t>1</w:t>
            </w:r>
            <w:r>
              <w:rPr>
                <w:rFonts w:hint="eastAsia" w:ascii="宋体" w:hAnsi="宋体"/>
              </w:rPr>
              <w:t>00MB</w:t>
            </w:r>
          </w:p>
        </w:tc>
      </w:tr>
      <w:tr w14:paraId="317A5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5BAD51">
            <w:pPr>
              <w:jc w:val="center"/>
              <w:rPr>
                <w:rFonts w:ascii="宋体" w:hAnsi="宋体"/>
              </w:rPr>
            </w:pPr>
            <w:r>
              <w:rPr>
                <w:rFonts w:hint="eastAsia" w:ascii="宋体" w:hAnsi="宋体"/>
              </w:rPr>
              <w:t>3</w:t>
            </w:r>
            <w:r>
              <w:rPr>
                <w:rFonts w:ascii="宋体" w:hAnsi="宋体"/>
              </w:rPr>
              <w:t>2</w:t>
            </w:r>
          </w:p>
        </w:tc>
        <w:tc>
          <w:tcPr>
            <w:tcW w:w="2409" w:type="dxa"/>
            <w:vAlign w:val="center"/>
          </w:tcPr>
          <w:p w14:paraId="7814C7A7">
            <w:pPr>
              <w:jc w:val="center"/>
              <w:rPr>
                <w:rFonts w:ascii="宋体" w:hAnsi="宋体"/>
              </w:rPr>
            </w:pPr>
            <w:r>
              <w:rPr>
                <w:rFonts w:hint="eastAsia" w:ascii="宋体" w:hAnsi="宋体"/>
              </w:rPr>
              <w:t>评审方法</w:t>
            </w:r>
          </w:p>
        </w:tc>
        <w:tc>
          <w:tcPr>
            <w:tcW w:w="4980" w:type="dxa"/>
            <w:vAlign w:val="center"/>
          </w:tcPr>
          <w:p w14:paraId="503C3998">
            <w:pPr>
              <w:jc w:val="center"/>
              <w:rPr>
                <w:rFonts w:ascii="宋体" w:hAnsi="宋体"/>
              </w:rPr>
            </w:pPr>
            <w:r>
              <w:rPr>
                <w:rFonts w:hint="eastAsia" w:ascii="宋体" w:hAnsi="宋体"/>
              </w:rPr>
              <w:t>口最低价法   ■综合评分法</w:t>
            </w:r>
          </w:p>
        </w:tc>
      </w:tr>
      <w:tr w14:paraId="433A4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E85343">
            <w:pPr>
              <w:jc w:val="center"/>
              <w:rPr>
                <w:rFonts w:ascii="宋体" w:hAnsi="宋体"/>
              </w:rPr>
            </w:pPr>
            <w:r>
              <w:rPr>
                <w:rFonts w:hint="eastAsia" w:ascii="宋体" w:hAnsi="宋体"/>
              </w:rPr>
              <w:t>3</w:t>
            </w:r>
            <w:r>
              <w:rPr>
                <w:rFonts w:ascii="宋体" w:hAnsi="宋体"/>
              </w:rPr>
              <w:t>8</w:t>
            </w:r>
          </w:p>
        </w:tc>
        <w:tc>
          <w:tcPr>
            <w:tcW w:w="2409" w:type="dxa"/>
            <w:vAlign w:val="center"/>
          </w:tcPr>
          <w:p w14:paraId="37CEF527">
            <w:pPr>
              <w:jc w:val="center"/>
              <w:rPr>
                <w:rFonts w:ascii="宋体" w:hAnsi="宋体"/>
              </w:rPr>
            </w:pPr>
            <w:r>
              <w:rPr>
                <w:rFonts w:hint="eastAsia" w:ascii="宋体" w:hAnsi="宋体"/>
              </w:rPr>
              <w:t>履约担保</w:t>
            </w:r>
          </w:p>
        </w:tc>
        <w:tc>
          <w:tcPr>
            <w:tcW w:w="4980" w:type="dxa"/>
            <w:vAlign w:val="center"/>
          </w:tcPr>
          <w:p w14:paraId="1B19AE23">
            <w:pPr>
              <w:jc w:val="center"/>
              <w:rPr>
                <w:rFonts w:ascii="宋体" w:hAnsi="宋体"/>
              </w:rPr>
            </w:pPr>
            <w:r>
              <w:rPr>
                <w:rFonts w:hint="eastAsia" w:ascii="宋体" w:hAnsi="宋体"/>
              </w:rPr>
              <w:t xml:space="preserve">口需要   ■不需要； </w:t>
            </w:r>
          </w:p>
        </w:tc>
      </w:tr>
    </w:tbl>
    <w:p w14:paraId="6AC1271A">
      <w:pPr>
        <w:rPr>
          <w:szCs w:val="21"/>
        </w:rPr>
      </w:pPr>
    </w:p>
    <w:p w14:paraId="4BF9F291">
      <w:pPr>
        <w:rPr>
          <w:b/>
        </w:rPr>
      </w:pPr>
      <w:r>
        <w:rPr>
          <w:rFonts w:hint="eastAsia"/>
          <w:szCs w:val="21"/>
        </w:rPr>
        <w:t>备注：本表是谈判须知条款相关条款的补充和明确，如与谈判须知条款内容相冲突的，以本表为准。</w:t>
      </w:r>
    </w:p>
    <w:bookmarkEnd w:id="19"/>
    <w:p w14:paraId="321D431B">
      <w:pPr>
        <w:tabs>
          <w:tab w:val="left" w:pos="360"/>
        </w:tabs>
        <w:adjustRightInd w:val="0"/>
        <w:spacing w:before="120" w:beforeLines="50" w:after="120" w:afterLines="50"/>
        <w:jc w:val="center"/>
        <w:textAlignment w:val="baseline"/>
        <w:outlineLvl w:val="1"/>
        <w:rPr>
          <w:kern w:val="0"/>
          <w:sz w:val="24"/>
        </w:rPr>
      </w:pPr>
      <w:bookmarkStart w:id="20" w:name="_Hlk72218117"/>
      <w:r>
        <w:rPr>
          <w:rFonts w:hint="eastAsia"/>
          <w:kern w:val="0"/>
          <w:sz w:val="24"/>
        </w:rPr>
        <w:t>二、其他关键信息</w:t>
      </w:r>
    </w:p>
    <w:p w14:paraId="3CC979F3">
      <w:pPr>
        <w:numPr>
          <w:ilvl w:val="0"/>
          <w:numId w:val="7"/>
        </w:numPr>
        <w:ind w:firstLine="422" w:firstLineChars="200"/>
        <w:rPr>
          <w:b/>
          <w:bCs/>
        </w:rPr>
      </w:pPr>
      <w:r>
        <w:rPr>
          <w:rFonts w:hint="eastAsia"/>
          <w:b/>
          <w:bCs/>
        </w:rPr>
        <w:t>与“对谈判须知条款的补充内容”章节相关的事项</w:t>
      </w:r>
    </w:p>
    <w:p w14:paraId="2D61DE40">
      <w:pPr>
        <w:ind w:firstLine="422" w:firstLineChars="200"/>
        <w:rPr>
          <w:rFonts w:ascii="宋体" w:hAnsi="宋体"/>
          <w:b/>
        </w:rPr>
      </w:pPr>
      <w:r>
        <w:rPr>
          <w:rFonts w:hint="eastAsia" w:ascii="宋体" w:hAnsi="宋体"/>
          <w:b/>
        </w:rPr>
        <w:t>1. 评审信息</w:t>
      </w:r>
    </w:p>
    <w:tbl>
      <w:tblPr>
        <w:tblStyle w:val="3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5474"/>
      </w:tblGrid>
      <w:tr w14:paraId="7183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56" w:type="dxa"/>
          </w:tcPr>
          <w:p w14:paraId="1092648E">
            <w:pPr>
              <w:ind w:firstLine="422" w:firstLineChars="200"/>
              <w:jc w:val="center"/>
              <w:rPr>
                <w:rFonts w:ascii="宋体" w:hAnsi="宋体"/>
                <w:b/>
                <w:bCs/>
                <w:szCs w:val="21"/>
              </w:rPr>
            </w:pPr>
            <w:r>
              <w:rPr>
                <w:rFonts w:hint="eastAsia" w:ascii="宋体" w:hAnsi="宋体"/>
                <w:b/>
                <w:bCs/>
                <w:szCs w:val="21"/>
              </w:rPr>
              <w:t>评审方法</w:t>
            </w:r>
          </w:p>
        </w:tc>
        <w:tc>
          <w:tcPr>
            <w:tcW w:w="5474" w:type="dxa"/>
          </w:tcPr>
          <w:p w14:paraId="2F6BB951">
            <w:pPr>
              <w:ind w:firstLine="422" w:firstLineChars="200"/>
              <w:jc w:val="center"/>
              <w:rPr>
                <w:rFonts w:ascii="宋体" w:hAnsi="宋体"/>
                <w:b/>
                <w:bCs/>
                <w:szCs w:val="21"/>
                <w:highlight w:val="yellow"/>
              </w:rPr>
            </w:pPr>
            <w:r>
              <w:rPr>
                <w:rFonts w:hint="eastAsia" w:ascii="宋体" w:hAnsi="宋体"/>
                <w:b/>
                <w:bCs/>
                <w:szCs w:val="21"/>
                <w:highlight w:val="yellow"/>
              </w:rPr>
              <w:t>综合评分法</w:t>
            </w:r>
          </w:p>
        </w:tc>
      </w:tr>
      <w:tr w14:paraId="47D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56" w:type="dxa"/>
          </w:tcPr>
          <w:p w14:paraId="14DE17DE">
            <w:pPr>
              <w:ind w:firstLine="420" w:firstLineChars="200"/>
              <w:jc w:val="left"/>
              <w:rPr>
                <w:rFonts w:ascii="宋体" w:hAnsi="宋体"/>
                <w:szCs w:val="21"/>
              </w:rPr>
            </w:pPr>
            <w:r>
              <w:rPr>
                <w:rFonts w:hint="eastAsia" w:ascii="宋体" w:hAnsi="宋体"/>
                <w:szCs w:val="21"/>
              </w:rPr>
              <w:t>成交供应商数量</w:t>
            </w:r>
          </w:p>
        </w:tc>
        <w:tc>
          <w:tcPr>
            <w:tcW w:w="5474" w:type="dxa"/>
          </w:tcPr>
          <w:p w14:paraId="73BD68B9">
            <w:pPr>
              <w:ind w:firstLine="420" w:firstLineChars="200"/>
              <w:jc w:val="center"/>
              <w:rPr>
                <w:rFonts w:ascii="宋体" w:hAnsi="宋体"/>
                <w:szCs w:val="21"/>
                <w:highlight w:val="yellow"/>
              </w:rPr>
            </w:pPr>
            <w:r>
              <w:rPr>
                <w:rFonts w:hint="eastAsia" w:ascii="宋体" w:hAnsi="宋体"/>
                <w:szCs w:val="21"/>
                <w:highlight w:val="yellow"/>
              </w:rPr>
              <w:t>1</w:t>
            </w:r>
          </w:p>
        </w:tc>
      </w:tr>
      <w:tr w14:paraId="438D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56" w:type="dxa"/>
          </w:tcPr>
          <w:p w14:paraId="7CD6C1F2">
            <w:pPr>
              <w:ind w:firstLine="420" w:firstLineChars="200"/>
              <w:jc w:val="left"/>
              <w:rPr>
                <w:rFonts w:ascii="宋体" w:hAnsi="宋体"/>
                <w:szCs w:val="21"/>
              </w:rPr>
            </w:pPr>
            <w:r>
              <w:rPr>
                <w:rFonts w:hint="eastAsia" w:ascii="宋体" w:hAnsi="宋体"/>
                <w:szCs w:val="21"/>
              </w:rPr>
              <w:t>候选成交供应商数量</w:t>
            </w:r>
          </w:p>
        </w:tc>
        <w:tc>
          <w:tcPr>
            <w:tcW w:w="5474" w:type="dxa"/>
          </w:tcPr>
          <w:p w14:paraId="69BA71C4">
            <w:pPr>
              <w:ind w:firstLine="420" w:firstLineChars="200"/>
              <w:jc w:val="center"/>
              <w:rPr>
                <w:rFonts w:ascii="宋体" w:hAnsi="宋体"/>
                <w:szCs w:val="21"/>
                <w:highlight w:val="yellow"/>
              </w:rPr>
            </w:pPr>
            <w:r>
              <w:rPr>
                <w:rFonts w:ascii="宋体" w:hAnsi="宋体"/>
                <w:szCs w:val="21"/>
                <w:highlight w:val="yellow"/>
              </w:rPr>
              <w:t>3</w:t>
            </w:r>
          </w:p>
        </w:tc>
      </w:tr>
    </w:tbl>
    <w:p w14:paraId="48A320EB">
      <w:pPr>
        <w:ind w:firstLine="422" w:firstLineChars="200"/>
        <w:rPr>
          <w:b/>
          <w:bCs/>
        </w:rPr>
      </w:pPr>
    </w:p>
    <w:p w14:paraId="2F919DD7">
      <w:pPr>
        <w:ind w:firstLine="422" w:firstLineChars="200"/>
        <w:rPr>
          <w:b/>
          <w:bCs/>
        </w:rPr>
      </w:pPr>
      <w:r>
        <w:rPr>
          <w:rFonts w:hint="eastAsia" w:ascii="宋体" w:hAnsi="宋体"/>
          <w:b/>
        </w:rPr>
        <w:t>2.</w:t>
      </w:r>
      <w:r>
        <w:rPr>
          <w:rFonts w:hint="eastAsia"/>
          <w:b/>
        </w:rPr>
        <w:t>其他事项</w:t>
      </w:r>
    </w:p>
    <w:p w14:paraId="11D0D1C7">
      <w:pPr>
        <w:adjustRightInd w:val="0"/>
        <w:spacing w:line="276" w:lineRule="auto"/>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 xml:space="preserve">、 关于享受优惠政策的主体及价格扣除比例 </w:t>
      </w:r>
    </w:p>
    <w:p w14:paraId="130C6835">
      <w:pPr>
        <w:widowControl/>
        <w:jc w:val="left"/>
        <w:rPr>
          <w:rFonts w:ascii="宋体" w:hAnsi="宋体" w:cs="宋体"/>
          <w:kern w:val="0"/>
          <w:sz w:val="24"/>
        </w:rPr>
      </w:pPr>
      <w:r>
        <w:rPr>
          <w:rFonts w:hint="eastAsia" w:ascii="瀹嬩綋" w:hAnsi="宋体" w:eastAsia="瀹嬩綋" w:cs="宋体"/>
          <w:color w:val="000000"/>
          <w:kern w:val="0"/>
          <w:szCs w:val="21"/>
        </w:rPr>
        <w:t>（</w:t>
      </w:r>
      <w:r>
        <w:rPr>
          <w:rFonts w:ascii="Calibri" w:hAnsi="Calibri" w:cs="宋体"/>
          <w:color w:val="000000"/>
          <w:kern w:val="0"/>
          <w:szCs w:val="21"/>
        </w:rPr>
        <w:t>1</w:t>
      </w:r>
      <w:r>
        <w:rPr>
          <w:rFonts w:hint="eastAsia" w:ascii="瀹嬩綋" w:hAnsi="宋体" w:eastAsia="瀹嬩綋" w:cs="宋体"/>
          <w:color w:val="000000"/>
          <w:kern w:val="0"/>
          <w:szCs w:val="21"/>
        </w:rPr>
        <w:t xml:space="preserve">）专门面向中小企业采购的项目，不再执行价格扣除比例。 </w:t>
      </w:r>
    </w:p>
    <w:p w14:paraId="5E067379">
      <w:pPr>
        <w:widowControl/>
        <w:jc w:val="left"/>
        <w:rPr>
          <w:rFonts w:ascii="宋体" w:hAnsi="宋体" w:cs="宋体"/>
          <w:kern w:val="0"/>
          <w:sz w:val="24"/>
        </w:rPr>
      </w:pPr>
      <w:r>
        <w:rPr>
          <w:rFonts w:hint="eastAsia" w:ascii="瀹嬩綋" w:hAnsi="宋体" w:eastAsia="瀹嬩綋" w:cs="宋体"/>
          <w:color w:val="000000"/>
          <w:kern w:val="0"/>
          <w:szCs w:val="21"/>
        </w:rPr>
        <w:t xml:space="preserve">（2）中小企业参加政府采购活动，应当按照国务院批准的《中小企业划型标准规定》 </w:t>
      </w:r>
    </w:p>
    <w:p w14:paraId="3888C7F8">
      <w:pPr>
        <w:widowControl/>
        <w:jc w:val="left"/>
        <w:rPr>
          <w:rFonts w:ascii="宋体" w:hAnsi="宋体" w:cs="宋体"/>
          <w:kern w:val="0"/>
          <w:sz w:val="24"/>
        </w:rPr>
      </w:pPr>
      <w:r>
        <w:rPr>
          <w:rFonts w:hint="eastAsia" w:ascii="瀹嬩綋" w:hAnsi="宋体" w:eastAsia="瀹嬩綋" w:cs="宋体"/>
          <w:color w:val="000000"/>
          <w:kern w:val="0"/>
          <w:szCs w:val="21"/>
        </w:rPr>
        <w:t xml:space="preserve">（工信部联企 业〔2011〕300 号）、《金融业企业划型标准规定》（银发〔2015〕309 号） </w:t>
      </w:r>
    </w:p>
    <w:p w14:paraId="726C34DB">
      <w:pPr>
        <w:widowControl/>
        <w:jc w:val="left"/>
        <w:rPr>
          <w:rFonts w:ascii="宋体" w:hAnsi="宋体" w:cs="宋体"/>
          <w:kern w:val="0"/>
          <w:sz w:val="24"/>
        </w:rPr>
      </w:pPr>
      <w:r>
        <w:rPr>
          <w:rFonts w:hint="eastAsia" w:ascii="瀹嬩綋" w:hAnsi="宋体" w:eastAsia="瀹嬩綋" w:cs="宋体"/>
          <w:color w:val="000000"/>
          <w:kern w:val="0"/>
          <w:szCs w:val="21"/>
        </w:rPr>
        <w:t xml:space="preserve">和《财政部 工业和信息化部关于印发〈政府采购促进中小企业发展管理办法〉的通知》（财 </w:t>
      </w:r>
    </w:p>
    <w:p w14:paraId="3C34A581">
      <w:pPr>
        <w:widowControl/>
        <w:jc w:val="left"/>
        <w:rPr>
          <w:rFonts w:ascii="宋体" w:hAnsi="宋体" w:cs="宋体"/>
          <w:kern w:val="0"/>
          <w:sz w:val="24"/>
        </w:rPr>
      </w:pPr>
      <w:r>
        <w:rPr>
          <w:rFonts w:hint="eastAsia" w:ascii="瀹嬩綋" w:hAnsi="宋体" w:eastAsia="瀹嬩綋" w:cs="宋体"/>
          <w:color w:val="000000"/>
          <w:kern w:val="0"/>
          <w:szCs w:val="21"/>
        </w:rPr>
        <w:t>库〔2020〕46 号）的规定，出具《中小企业声明函》，</w:t>
      </w:r>
      <w:r>
        <w:rPr>
          <w:rFonts w:hint="eastAsia" w:ascii="瀹嬩綋" w:hAnsi="宋体" w:eastAsia="瀹嬩綋" w:cs="宋体"/>
          <w:b/>
          <w:bCs/>
          <w:color w:val="FF0000"/>
          <w:kern w:val="0"/>
          <w:szCs w:val="21"/>
        </w:rPr>
        <w:t xml:space="preserve">《中小企业声明函》中相关企业所 </w:t>
      </w:r>
    </w:p>
    <w:p w14:paraId="4ABE07BA">
      <w:pPr>
        <w:widowControl/>
        <w:jc w:val="left"/>
        <w:rPr>
          <w:rFonts w:ascii="宋体" w:hAnsi="宋体" w:cs="宋体"/>
          <w:kern w:val="0"/>
          <w:sz w:val="24"/>
        </w:rPr>
      </w:pPr>
      <w:r>
        <w:rPr>
          <w:rFonts w:hint="eastAsia" w:ascii="瀹嬩綋" w:hAnsi="宋体" w:eastAsia="瀹嬩綋" w:cs="宋体"/>
          <w:b/>
          <w:bCs/>
          <w:color w:val="FF0000"/>
          <w:kern w:val="0"/>
          <w:szCs w:val="21"/>
        </w:rPr>
        <w:t>属行业应当与采购标的所属行业相一致。</w:t>
      </w:r>
      <w:r>
        <w:rPr>
          <w:rFonts w:hint="eastAsia" w:ascii="瀹嬩綋" w:hAnsi="宋体" w:eastAsia="瀹嬩綋" w:cs="宋体"/>
          <w:color w:val="000000"/>
          <w:kern w:val="0"/>
          <w:szCs w:val="21"/>
        </w:rPr>
        <w:t xml:space="preserve">本项目采购标的（服务需求）对应的中小企业划分 </w:t>
      </w:r>
    </w:p>
    <w:p w14:paraId="773B3772">
      <w:pPr>
        <w:widowControl/>
        <w:jc w:val="left"/>
        <w:rPr>
          <w:rFonts w:ascii="宋体" w:hAnsi="宋体" w:cs="宋体"/>
          <w:kern w:val="0"/>
          <w:sz w:val="24"/>
        </w:rPr>
      </w:pPr>
      <w:r>
        <w:rPr>
          <w:rFonts w:hint="eastAsia" w:ascii="瀹嬩綋" w:hAnsi="宋体" w:eastAsia="瀹嬩綋" w:cs="宋体"/>
          <w:color w:val="000000"/>
          <w:kern w:val="0"/>
          <w:szCs w:val="21"/>
        </w:rPr>
        <w:t>标准所属行业为</w:t>
      </w:r>
      <w:r>
        <w:rPr>
          <w:rFonts w:hint="eastAsia" w:ascii="瀹嬩綋" w:hAnsi="宋体" w:eastAsia="瀹嬩綋" w:cs="宋体"/>
          <w:b/>
          <w:bCs/>
          <w:color w:val="FF0000"/>
          <w:kern w:val="0"/>
          <w:szCs w:val="21"/>
        </w:rPr>
        <w:t>其他未列明行业</w:t>
      </w:r>
      <w:r>
        <w:rPr>
          <w:rFonts w:hint="eastAsia" w:ascii="瀹嬩綋" w:hAnsi="宋体" w:eastAsia="瀹嬩綋" w:cs="宋体"/>
          <w:color w:val="000000"/>
          <w:kern w:val="0"/>
          <w:szCs w:val="21"/>
        </w:rPr>
        <w:t xml:space="preserve">。 </w:t>
      </w:r>
    </w:p>
    <w:p w14:paraId="35CAF831">
      <w:pPr>
        <w:widowControl/>
        <w:jc w:val="left"/>
        <w:rPr>
          <w:rFonts w:ascii="宋体" w:hAnsi="宋体" w:cs="宋体"/>
          <w:kern w:val="0"/>
          <w:sz w:val="24"/>
        </w:rPr>
      </w:pPr>
      <w:r>
        <w:rPr>
          <w:rFonts w:hint="eastAsia" w:ascii="瀹嬩綋" w:hAnsi="宋体" w:eastAsia="瀹嬩綋" w:cs="宋体"/>
          <w:color w:val="000000"/>
          <w:kern w:val="0"/>
          <w:szCs w:val="21"/>
        </w:rPr>
        <w:t>（</w:t>
      </w:r>
      <w:r>
        <w:rPr>
          <w:color w:val="000000"/>
          <w:kern w:val="0"/>
          <w:szCs w:val="21"/>
        </w:rPr>
        <w:t>3</w:t>
      </w:r>
      <w:r>
        <w:rPr>
          <w:rFonts w:hint="eastAsia" w:ascii="瀹嬩綋" w:hAnsi="宋体" w:eastAsia="瀹嬩綋" w:cs="宋体"/>
          <w:color w:val="000000"/>
          <w:kern w:val="0"/>
          <w:szCs w:val="21"/>
        </w:rPr>
        <w:t xml:space="preserve">）小型企业、微型企业、残疾人福利性单位作为优惠主体的认定资料为《中小企业 </w:t>
      </w:r>
    </w:p>
    <w:p w14:paraId="46A0394E">
      <w:pPr>
        <w:widowControl/>
        <w:jc w:val="left"/>
        <w:rPr>
          <w:rFonts w:ascii="宋体" w:hAnsi="宋体" w:cs="宋体"/>
          <w:kern w:val="0"/>
          <w:sz w:val="24"/>
        </w:rPr>
      </w:pPr>
      <w:r>
        <w:rPr>
          <w:rFonts w:hint="eastAsia" w:ascii="瀹嬩綋" w:hAnsi="宋体" w:eastAsia="瀹嬩綋" w:cs="宋体"/>
          <w:color w:val="000000"/>
          <w:kern w:val="0"/>
          <w:szCs w:val="21"/>
        </w:rPr>
        <w:t>声明函》、《残疾人福利性单位声明函》；监狱企业作为优惠主体的认定资料为省级以上监</w:t>
      </w:r>
      <w:r>
        <w:rPr>
          <w:color w:val="000000"/>
          <w:kern w:val="0"/>
          <w:sz w:val="18"/>
          <w:szCs w:val="18"/>
        </w:rPr>
        <w:t xml:space="preserve">- 13 - </w:t>
      </w:r>
    </w:p>
    <w:p w14:paraId="0BC34672">
      <w:pPr>
        <w:widowControl/>
        <w:jc w:val="left"/>
        <w:rPr>
          <w:rFonts w:ascii="宋体" w:hAnsi="宋体" w:cs="宋体"/>
          <w:kern w:val="0"/>
          <w:sz w:val="24"/>
        </w:rPr>
      </w:pPr>
      <w:r>
        <w:rPr>
          <w:rFonts w:hint="eastAsia" w:ascii="瀹嬩綋" w:hAnsi="宋体" w:eastAsia="瀹嬩綋" w:cs="宋体"/>
          <w:color w:val="000000"/>
          <w:kern w:val="0"/>
          <w:szCs w:val="21"/>
        </w:rPr>
        <w:t xml:space="preserve">狱管理局、戒毒管理局出具的监狱企业证明文件。声明函样式见本谈判文件第一册专用条款 </w:t>
      </w:r>
    </w:p>
    <w:p w14:paraId="5D724679">
      <w:pPr>
        <w:widowControl/>
        <w:jc w:val="left"/>
        <w:rPr>
          <w:rFonts w:ascii="宋体" w:hAnsi="宋体" w:cs="宋体"/>
          <w:kern w:val="0"/>
          <w:sz w:val="24"/>
        </w:rPr>
      </w:pPr>
      <w:r>
        <w:rPr>
          <w:rFonts w:hint="eastAsia" w:ascii="瀹嬩綋" w:hAnsi="宋体" w:eastAsia="瀹嬩綋" w:cs="宋体"/>
          <w:color w:val="000000"/>
          <w:kern w:val="0"/>
          <w:szCs w:val="21"/>
        </w:rPr>
        <w:t xml:space="preserve">第三章“投标文件格式、附件”中“四、投标人情况介绍”章节提供的格式）。 </w:t>
      </w:r>
    </w:p>
    <w:p w14:paraId="04067F9B">
      <w:pPr>
        <w:adjustRightInd w:val="0"/>
        <w:snapToGrid w:val="0"/>
        <w:spacing w:line="276" w:lineRule="auto"/>
        <w:ind w:firstLine="420" w:firstLineChars="200"/>
        <w:rPr>
          <w:rFonts w:ascii="宋体" w:hAnsi="宋体" w:cs="宋体"/>
        </w:rPr>
      </w:pPr>
      <w:r>
        <w:rPr>
          <w:rFonts w:hint="eastAsia" w:ascii="瀹嬩綋" w:hAnsi="宋体" w:eastAsia="瀹嬩綋" w:cs="宋体"/>
          <w:color w:val="000000"/>
          <w:kern w:val="0"/>
          <w:szCs w:val="21"/>
        </w:rPr>
        <w:t>（</w:t>
      </w:r>
      <w:r>
        <w:rPr>
          <w:color w:val="000000"/>
          <w:kern w:val="0"/>
          <w:szCs w:val="21"/>
        </w:rPr>
        <w:t>4</w:t>
      </w:r>
      <w:r>
        <w:rPr>
          <w:rFonts w:hint="eastAsia" w:ascii="瀹嬩綋" w:hAnsi="宋体" w:eastAsia="瀹嬩綋" w:cs="宋体"/>
          <w:color w:val="000000"/>
          <w:kern w:val="0"/>
          <w:szCs w:val="21"/>
        </w:rPr>
        <w:t>）享受价格扣除获得政府采购合同的，小微企业不得将合同分包给大中型企业。</w:t>
      </w:r>
    </w:p>
    <w:p w14:paraId="085A0327">
      <w:pPr>
        <w:adjustRightInd w:val="0"/>
        <w:spacing w:line="276" w:lineRule="auto"/>
        <w:ind w:firstLine="422" w:firstLineChars="200"/>
        <w:rPr>
          <w:rFonts w:ascii="宋体" w:hAnsi="宋体" w:cs="宋体"/>
          <w:b/>
          <w:bCs/>
          <w:szCs w:val="21"/>
        </w:rPr>
      </w:pPr>
      <w:r>
        <w:rPr>
          <w:rFonts w:ascii="宋体" w:hAnsi="宋体" w:cs="宋体"/>
          <w:b/>
          <w:bCs/>
          <w:szCs w:val="21"/>
        </w:rPr>
        <w:t>2</w:t>
      </w:r>
      <w:r>
        <w:rPr>
          <w:rFonts w:hint="eastAsia" w:ascii="宋体" w:hAnsi="宋体" w:cs="宋体"/>
          <w:b/>
          <w:bCs/>
          <w:szCs w:val="21"/>
        </w:rPr>
        <w:t>、长期服务采购项目</w:t>
      </w:r>
    </w:p>
    <w:p w14:paraId="0037983C">
      <w:pPr>
        <w:spacing w:line="276"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本项目非长期服务项目。</w:t>
      </w:r>
    </w:p>
    <w:p w14:paraId="78F7B9B5">
      <w:pPr>
        <w:pStyle w:val="2"/>
      </w:pPr>
    </w:p>
    <w:p w14:paraId="353609CD">
      <w:pPr>
        <w:ind w:firstLine="420" w:firstLineChars="200"/>
        <w:rPr>
          <w:rFonts w:ascii="宋体" w:hAnsi="宋体"/>
          <w:szCs w:val="21"/>
        </w:rPr>
      </w:pPr>
    </w:p>
    <w:p w14:paraId="17F49EE1">
      <w:pPr>
        <w:spacing w:line="540" w:lineRule="exact"/>
        <w:ind w:firstLine="422" w:firstLineChars="200"/>
        <w:rPr>
          <w:b/>
          <w:bCs/>
        </w:rPr>
      </w:pPr>
    </w:p>
    <w:p w14:paraId="36D5E5F0">
      <w:pPr>
        <w:ind w:firstLine="422" w:firstLineChars="200"/>
        <w:rPr>
          <w:b/>
        </w:rPr>
      </w:pPr>
    </w:p>
    <w:bookmarkEnd w:id="4"/>
    <w:bookmarkEnd w:id="5"/>
    <w:bookmarkEnd w:id="6"/>
    <w:bookmarkEnd w:id="7"/>
    <w:bookmarkEnd w:id="20"/>
    <w:p w14:paraId="50C05AEF"/>
    <w:p w14:paraId="631A1783">
      <w:pPr>
        <w:pStyle w:val="4"/>
        <w:pageBreakBefore/>
        <w:spacing w:line="240" w:lineRule="auto"/>
        <w:jc w:val="center"/>
        <w:rPr>
          <w:rFonts w:ascii="宋体" w:hAnsi="宋体" w:eastAsia="宋体"/>
          <w:bCs/>
          <w:sz w:val="28"/>
          <w:szCs w:val="28"/>
        </w:rPr>
      </w:pPr>
      <w:r>
        <w:rPr>
          <w:rFonts w:hint="eastAsia" w:ascii="宋体" w:hAnsi="宋体" w:eastAsia="宋体"/>
          <w:bCs/>
          <w:sz w:val="28"/>
          <w:szCs w:val="28"/>
        </w:rPr>
        <w:t>第三章</w:t>
      </w:r>
      <w:r>
        <w:rPr>
          <w:rFonts w:ascii="宋体" w:hAnsi="宋体" w:eastAsia="宋体"/>
          <w:bCs/>
          <w:sz w:val="28"/>
          <w:szCs w:val="28"/>
        </w:rPr>
        <w:t xml:space="preserve"> </w:t>
      </w:r>
      <w:r>
        <w:rPr>
          <w:rFonts w:hint="eastAsia" w:ascii="宋体" w:hAnsi="宋体" w:eastAsia="宋体"/>
          <w:bCs/>
          <w:sz w:val="28"/>
          <w:szCs w:val="28"/>
        </w:rPr>
        <w:t>用户需求</w:t>
      </w:r>
      <w:bookmarkStart w:id="21" w:name="bt谈判须知"/>
      <w:bookmarkEnd w:id="21"/>
      <w:bookmarkStart w:id="22" w:name="_Toc78083914"/>
      <w:bookmarkStart w:id="23" w:name="_Toc195435187"/>
      <w:bookmarkStart w:id="24" w:name="_Toc78084036"/>
      <w:bookmarkStart w:id="25" w:name="_Toc78082817"/>
      <w:r>
        <w:rPr>
          <w:rFonts w:hint="eastAsia" w:ascii="宋体" w:hAnsi="宋体" w:eastAsia="宋体"/>
          <w:bCs/>
          <w:sz w:val="28"/>
          <w:szCs w:val="28"/>
        </w:rPr>
        <w:t>书</w:t>
      </w:r>
    </w:p>
    <w:p w14:paraId="02B81097">
      <w:pPr>
        <w:spacing w:line="276" w:lineRule="auto"/>
        <w:jc w:val="left"/>
        <w:rPr>
          <w:rFonts w:ascii="Arial" w:hAnsi="Arial" w:cs="Arial"/>
          <w:b/>
          <w:bCs/>
          <w:color w:val="0000FF"/>
          <w:kern w:val="0"/>
          <w:sz w:val="18"/>
          <w:szCs w:val="18"/>
        </w:rPr>
      </w:pPr>
    </w:p>
    <w:p w14:paraId="1C8749DE">
      <w:pPr>
        <w:spacing w:line="276" w:lineRule="auto"/>
        <w:ind w:firstLine="420" w:firstLineChars="200"/>
        <w:rPr>
          <w:rFonts w:ascii="宋体" w:hAnsi="宋体"/>
          <w:bCs/>
          <w:szCs w:val="21"/>
        </w:rPr>
      </w:pPr>
      <w:bookmarkStart w:id="26" w:name="_Hlk74206664"/>
      <w:r>
        <w:rPr>
          <w:rFonts w:hint="eastAsia" w:ascii="宋体" w:hAnsi="宋体"/>
          <w:bCs/>
          <w:szCs w:val="21"/>
        </w:rPr>
        <w:t>福田区第二人民医院业务用车维修服务项目，采用比价谈判进行采购，邀请</w:t>
      </w:r>
      <w:r>
        <w:rPr>
          <w:rFonts w:hint="eastAsia" w:ascii="宋体" w:hAnsi="宋体"/>
          <w:bCs/>
          <w:color w:val="FF0000"/>
          <w:szCs w:val="21"/>
        </w:rPr>
        <w:t>深圳市爱车族汽车发展有限公司、深圳市深之美汽车服务有限公司、深圳市新三九汽车服务有限公司</w:t>
      </w:r>
      <w:r>
        <w:rPr>
          <w:rFonts w:hint="eastAsia" w:ascii="宋体" w:hAnsi="宋体"/>
          <w:bCs/>
          <w:szCs w:val="21"/>
        </w:rPr>
        <w:t>参加本项目比价谈判。</w:t>
      </w:r>
    </w:p>
    <w:p w14:paraId="4F2B93B7">
      <w:pPr>
        <w:spacing w:line="276" w:lineRule="auto"/>
        <w:ind w:firstLine="420" w:firstLineChars="200"/>
        <w:jc w:val="left"/>
        <w:rPr>
          <w:rFonts w:ascii="Arial" w:hAnsi="Arial" w:cs="Arial"/>
          <w:b/>
          <w:bCs/>
          <w:color w:val="0000FF"/>
          <w:kern w:val="0"/>
          <w:sz w:val="18"/>
          <w:szCs w:val="18"/>
        </w:rPr>
      </w:pPr>
      <w:r>
        <w:rPr>
          <w:rFonts w:hint="eastAsia" w:ascii="宋体" w:hAnsi="宋体"/>
          <w:bCs/>
          <w:szCs w:val="21"/>
        </w:rPr>
        <w:t>本项目的潜在供应商应在深圳市福田区第二人民医院获取谈判文件，并于</w:t>
      </w:r>
      <w:r>
        <w:rPr>
          <w:rFonts w:ascii="宋体" w:hAnsi="宋体"/>
          <w:bCs/>
          <w:szCs w:val="21"/>
        </w:rPr>
        <w:t>2024</w:t>
      </w:r>
      <w:r>
        <w:rPr>
          <w:rFonts w:hint="eastAsia" w:ascii="宋体" w:hAnsi="宋体"/>
          <w:bCs/>
          <w:szCs w:val="21"/>
        </w:rPr>
        <w:t>年</w:t>
      </w:r>
      <w:r>
        <w:rPr>
          <w:rFonts w:ascii="宋体" w:hAnsi="宋体"/>
          <w:bCs/>
          <w:szCs w:val="21"/>
        </w:rPr>
        <w:t>10</w:t>
      </w:r>
      <w:r>
        <w:rPr>
          <w:rFonts w:hint="eastAsia" w:ascii="宋体" w:hAnsi="宋体"/>
          <w:bCs/>
          <w:szCs w:val="21"/>
        </w:rPr>
        <w:t>月</w:t>
      </w:r>
      <w:r>
        <w:rPr>
          <w:rFonts w:ascii="宋体" w:hAnsi="宋体"/>
          <w:bCs/>
          <w:szCs w:val="21"/>
        </w:rPr>
        <w:t>21</w:t>
      </w:r>
      <w:r>
        <w:rPr>
          <w:rFonts w:hint="eastAsia" w:ascii="宋体" w:hAnsi="宋体"/>
          <w:bCs/>
          <w:szCs w:val="21"/>
        </w:rPr>
        <w:t>日</w:t>
      </w:r>
      <w:r>
        <w:rPr>
          <w:rFonts w:ascii="宋体" w:hAnsi="宋体"/>
          <w:bCs/>
          <w:szCs w:val="21"/>
        </w:rPr>
        <w:t>16点 00 分00秒（北京时间）</w:t>
      </w:r>
      <w:r>
        <w:rPr>
          <w:rFonts w:hint="eastAsia" w:ascii="宋体" w:hAnsi="宋体"/>
          <w:bCs/>
          <w:szCs w:val="21"/>
        </w:rPr>
        <w:t>前递交应答文件。</w:t>
      </w:r>
      <w:bookmarkEnd w:id="26"/>
    </w:p>
    <w:p w14:paraId="54259EB8">
      <w:pPr>
        <w:pStyle w:val="5"/>
        <w:numPr>
          <w:ilvl w:val="0"/>
          <w:numId w:val="0"/>
        </w:numPr>
        <w:spacing w:before="120" w:after="120"/>
        <w:rPr>
          <w:rFonts w:ascii="黑体" w:eastAsia="黑体"/>
          <w:sz w:val="24"/>
        </w:rPr>
      </w:pPr>
    </w:p>
    <w:p w14:paraId="2D0001C8">
      <w:pPr>
        <w:pStyle w:val="5"/>
        <w:spacing w:before="120" w:after="120"/>
        <w:jc w:val="center"/>
        <w:rPr>
          <w:rFonts w:ascii="黑体" w:eastAsia="黑体"/>
          <w:sz w:val="24"/>
        </w:rPr>
      </w:pPr>
      <w:r>
        <w:rPr>
          <w:rFonts w:hint="eastAsia" w:ascii="黑体" w:eastAsia="黑体"/>
          <w:sz w:val="24"/>
        </w:rPr>
        <w:t>一、项目基本信息</w:t>
      </w:r>
    </w:p>
    <w:tbl>
      <w:tblPr>
        <w:tblStyle w:val="30"/>
        <w:tblpPr w:leftFromText="180" w:rightFromText="180" w:vertAnchor="text" w:horzAnchor="margin" w:tblpXSpec="center" w:tblpY="28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37"/>
        <w:gridCol w:w="2810"/>
        <w:gridCol w:w="1275"/>
        <w:gridCol w:w="1327"/>
        <w:gridCol w:w="1508"/>
      </w:tblGrid>
      <w:tr w14:paraId="0DF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0" w:type="dxa"/>
            <w:vAlign w:val="center"/>
          </w:tcPr>
          <w:p w14:paraId="1E4FFE09">
            <w:pPr>
              <w:jc w:val="center"/>
              <w:rPr>
                <w:bCs/>
                <w:szCs w:val="21"/>
              </w:rPr>
            </w:pPr>
            <w:r>
              <w:rPr>
                <w:rFonts w:hint="eastAsia"/>
                <w:bCs/>
                <w:szCs w:val="21"/>
              </w:rPr>
              <w:t>序号</w:t>
            </w:r>
          </w:p>
        </w:tc>
        <w:tc>
          <w:tcPr>
            <w:tcW w:w="1637" w:type="dxa"/>
            <w:vAlign w:val="center"/>
          </w:tcPr>
          <w:p w14:paraId="7DD15271">
            <w:pPr>
              <w:jc w:val="center"/>
              <w:rPr>
                <w:bCs/>
                <w:szCs w:val="21"/>
              </w:rPr>
            </w:pPr>
            <w:r>
              <w:rPr>
                <w:rFonts w:hint="eastAsia"/>
                <w:szCs w:val="21"/>
              </w:rPr>
              <w:t>项目编号</w:t>
            </w:r>
          </w:p>
        </w:tc>
        <w:tc>
          <w:tcPr>
            <w:tcW w:w="2810" w:type="dxa"/>
            <w:vAlign w:val="center"/>
          </w:tcPr>
          <w:p w14:paraId="6254BB93">
            <w:pPr>
              <w:jc w:val="center"/>
              <w:rPr>
                <w:bCs/>
                <w:szCs w:val="21"/>
              </w:rPr>
            </w:pPr>
            <w:r>
              <w:rPr>
                <w:rFonts w:hint="eastAsia"/>
                <w:bCs/>
                <w:szCs w:val="21"/>
              </w:rPr>
              <w:t>采购项目名称</w:t>
            </w:r>
          </w:p>
        </w:tc>
        <w:tc>
          <w:tcPr>
            <w:tcW w:w="1275" w:type="dxa"/>
            <w:vAlign w:val="center"/>
          </w:tcPr>
          <w:p w14:paraId="67ACE06C">
            <w:pPr>
              <w:jc w:val="center"/>
              <w:rPr>
                <w:bCs/>
                <w:szCs w:val="21"/>
              </w:rPr>
            </w:pPr>
            <w:r>
              <w:rPr>
                <w:rFonts w:hint="eastAsia"/>
                <w:bCs/>
                <w:szCs w:val="21"/>
              </w:rPr>
              <w:t>服务期限或完成时间</w:t>
            </w:r>
          </w:p>
        </w:tc>
        <w:tc>
          <w:tcPr>
            <w:tcW w:w="1327" w:type="dxa"/>
          </w:tcPr>
          <w:p w14:paraId="71ED2BEF">
            <w:pPr>
              <w:jc w:val="center"/>
              <w:rPr>
                <w:bCs/>
                <w:szCs w:val="21"/>
              </w:rPr>
            </w:pPr>
            <w:r>
              <w:rPr>
                <w:rFonts w:hint="eastAsia"/>
                <w:bCs/>
                <w:szCs w:val="21"/>
              </w:rPr>
              <w:t>所属行业</w:t>
            </w:r>
          </w:p>
        </w:tc>
        <w:tc>
          <w:tcPr>
            <w:tcW w:w="1508" w:type="dxa"/>
            <w:vAlign w:val="center"/>
          </w:tcPr>
          <w:p w14:paraId="32BB68AF">
            <w:pPr>
              <w:jc w:val="center"/>
              <w:rPr>
                <w:bCs/>
                <w:szCs w:val="21"/>
              </w:rPr>
            </w:pPr>
            <w:r>
              <w:rPr>
                <w:rFonts w:hint="eastAsia"/>
                <w:bCs/>
                <w:szCs w:val="21"/>
              </w:rPr>
              <w:t>预算金额</w:t>
            </w:r>
          </w:p>
          <w:p w14:paraId="5AABDAF6">
            <w:pPr>
              <w:jc w:val="center"/>
              <w:rPr>
                <w:bCs/>
                <w:szCs w:val="21"/>
              </w:rPr>
            </w:pPr>
            <w:r>
              <w:rPr>
                <w:rFonts w:hint="eastAsia"/>
                <w:bCs/>
                <w:szCs w:val="21"/>
              </w:rPr>
              <w:t>（元/年）</w:t>
            </w:r>
          </w:p>
        </w:tc>
      </w:tr>
      <w:tr w14:paraId="502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0" w:type="dxa"/>
            <w:vAlign w:val="center"/>
          </w:tcPr>
          <w:p w14:paraId="183099C2">
            <w:pPr>
              <w:jc w:val="center"/>
              <w:rPr>
                <w:bCs/>
                <w:szCs w:val="21"/>
              </w:rPr>
            </w:pPr>
            <w:r>
              <w:rPr>
                <w:rFonts w:hint="eastAsia"/>
                <w:bCs/>
                <w:szCs w:val="21"/>
              </w:rPr>
              <w:t>1</w:t>
            </w:r>
          </w:p>
        </w:tc>
        <w:tc>
          <w:tcPr>
            <w:tcW w:w="1637" w:type="dxa"/>
            <w:vAlign w:val="center"/>
          </w:tcPr>
          <w:p w14:paraId="1B877375">
            <w:pPr>
              <w:jc w:val="center"/>
              <w:rPr>
                <w:rFonts w:ascii="宋体" w:hAnsi="宋体"/>
                <w:bCs/>
                <w:szCs w:val="21"/>
              </w:rPr>
            </w:pPr>
            <w:r>
              <w:rPr>
                <w:rFonts w:ascii="宋体" w:hAnsi="宋体"/>
                <w:bCs/>
                <w:szCs w:val="21"/>
              </w:rPr>
              <w:t>FTEYHQZXCG202410</w:t>
            </w:r>
            <w:r>
              <w:rPr>
                <w:rFonts w:hint="eastAsia" w:ascii="宋体" w:hAnsi="宋体"/>
                <w:bCs/>
                <w:szCs w:val="21"/>
              </w:rPr>
              <w:t>0</w:t>
            </w:r>
            <w:r>
              <w:rPr>
                <w:rFonts w:ascii="宋体" w:hAnsi="宋体"/>
                <w:bCs/>
                <w:szCs w:val="21"/>
              </w:rPr>
              <w:t>1</w:t>
            </w:r>
          </w:p>
        </w:tc>
        <w:tc>
          <w:tcPr>
            <w:tcW w:w="2810" w:type="dxa"/>
            <w:vAlign w:val="center"/>
          </w:tcPr>
          <w:p w14:paraId="36650A06">
            <w:pPr>
              <w:jc w:val="center"/>
              <w:rPr>
                <w:bCs/>
                <w:szCs w:val="21"/>
              </w:rPr>
            </w:pPr>
            <w:r>
              <w:rPr>
                <w:rFonts w:hint="eastAsia"/>
                <w:bCs/>
                <w:szCs w:val="21"/>
              </w:rPr>
              <w:t>福田区第二人民医院</w:t>
            </w:r>
          </w:p>
          <w:p w14:paraId="5D3E5CB3">
            <w:pPr>
              <w:jc w:val="center"/>
              <w:rPr>
                <w:bCs/>
                <w:szCs w:val="21"/>
              </w:rPr>
            </w:pPr>
            <w:r>
              <w:rPr>
                <w:rFonts w:hint="eastAsia"/>
                <w:bCs/>
                <w:szCs w:val="21"/>
              </w:rPr>
              <w:t>业务用车维修服务项目</w:t>
            </w:r>
          </w:p>
        </w:tc>
        <w:tc>
          <w:tcPr>
            <w:tcW w:w="1275" w:type="dxa"/>
            <w:vAlign w:val="center"/>
          </w:tcPr>
          <w:p w14:paraId="3C7714AC">
            <w:pPr>
              <w:jc w:val="center"/>
              <w:rPr>
                <w:bCs/>
                <w:szCs w:val="21"/>
              </w:rPr>
            </w:pPr>
            <w:r>
              <w:rPr>
                <w:rFonts w:hint="eastAsia" w:ascii="宋体" w:hAnsi="宋体"/>
                <w:bCs/>
                <w:szCs w:val="21"/>
              </w:rPr>
              <w:t>自合同签订之日起1</w:t>
            </w:r>
            <w:r>
              <w:rPr>
                <w:rFonts w:ascii="宋体" w:hAnsi="宋体"/>
                <w:bCs/>
                <w:szCs w:val="21"/>
              </w:rPr>
              <w:t>2</w:t>
            </w:r>
            <w:r>
              <w:rPr>
                <w:rFonts w:hint="eastAsia" w:ascii="宋体" w:hAnsi="宋体"/>
                <w:bCs/>
                <w:szCs w:val="21"/>
              </w:rPr>
              <w:t>个月</w:t>
            </w:r>
          </w:p>
        </w:tc>
        <w:tc>
          <w:tcPr>
            <w:tcW w:w="1327" w:type="dxa"/>
          </w:tcPr>
          <w:p w14:paraId="00EDCF4E">
            <w:pPr>
              <w:jc w:val="center"/>
              <w:rPr>
                <w:bCs/>
                <w:szCs w:val="21"/>
              </w:rPr>
            </w:pPr>
            <w:bookmarkStart w:id="27" w:name="_Hlk174548592"/>
            <w:r>
              <w:rPr>
                <w:rFonts w:hint="eastAsia"/>
                <w:bCs/>
                <w:szCs w:val="21"/>
              </w:rPr>
              <w:t>其他未列明行业</w:t>
            </w:r>
            <w:bookmarkEnd w:id="27"/>
          </w:p>
        </w:tc>
        <w:tc>
          <w:tcPr>
            <w:tcW w:w="1508" w:type="dxa"/>
            <w:vAlign w:val="center"/>
          </w:tcPr>
          <w:p w14:paraId="3E369C95">
            <w:pPr>
              <w:jc w:val="center"/>
              <w:rPr>
                <w:bCs/>
                <w:szCs w:val="21"/>
              </w:rPr>
            </w:pPr>
            <w:r>
              <w:rPr>
                <w:rFonts w:hint="eastAsia"/>
                <w:bCs/>
                <w:szCs w:val="21"/>
              </w:rPr>
              <w:t>15</w:t>
            </w:r>
            <w:r>
              <w:rPr>
                <w:bCs/>
                <w:szCs w:val="21"/>
              </w:rPr>
              <w:t>0000</w:t>
            </w:r>
          </w:p>
        </w:tc>
      </w:tr>
    </w:tbl>
    <w:p w14:paraId="471FB39F">
      <w:pPr>
        <w:pStyle w:val="5"/>
        <w:spacing w:before="120" w:after="120"/>
        <w:jc w:val="center"/>
        <w:rPr>
          <w:rFonts w:ascii="黑体" w:eastAsia="黑体"/>
          <w:sz w:val="24"/>
        </w:rPr>
      </w:pPr>
    </w:p>
    <w:p w14:paraId="7847EB57">
      <w:pPr>
        <w:pStyle w:val="5"/>
        <w:spacing w:before="120" w:after="120"/>
        <w:jc w:val="center"/>
        <w:rPr>
          <w:rFonts w:ascii="黑体" w:eastAsia="黑体"/>
          <w:sz w:val="24"/>
        </w:rPr>
      </w:pPr>
      <w:r>
        <w:rPr>
          <w:rFonts w:hint="eastAsia" w:ascii="黑体" w:eastAsia="黑体"/>
          <w:sz w:val="24"/>
        </w:rPr>
        <w:t>二、项目概况</w:t>
      </w:r>
    </w:p>
    <w:p w14:paraId="6C830996">
      <w:pPr>
        <w:widowControl/>
        <w:spacing w:line="276" w:lineRule="auto"/>
        <w:ind w:firstLine="1050" w:firstLineChars="500"/>
        <w:rPr>
          <w:szCs w:val="21"/>
        </w:rPr>
      </w:pPr>
      <w:r>
        <w:rPr>
          <w:rFonts w:hint="eastAsia"/>
          <w:szCs w:val="21"/>
        </w:rPr>
        <w:t>采购人目前共有业务用车(含特种用车)1</w:t>
      </w:r>
      <w:r>
        <w:rPr>
          <w:szCs w:val="21"/>
        </w:rPr>
        <w:t>0</w:t>
      </w:r>
      <w:r>
        <w:rPr>
          <w:rFonts w:hint="eastAsia"/>
          <w:szCs w:val="21"/>
        </w:rPr>
        <w:t>辆，其中4辆救护车、2辆体检车、4辆其他业务用车。</w:t>
      </w:r>
    </w:p>
    <w:p w14:paraId="46F60B39">
      <w:pPr>
        <w:widowControl/>
        <w:spacing w:line="276" w:lineRule="auto"/>
        <w:ind w:firstLine="420" w:firstLineChars="200"/>
        <w:rPr>
          <w:szCs w:val="21"/>
        </w:rPr>
      </w:pPr>
      <w:r>
        <w:rPr>
          <w:rFonts w:hint="eastAsia"/>
          <w:szCs w:val="21"/>
        </w:rPr>
        <w:t>（一）本项目</w:t>
      </w:r>
      <w:r>
        <w:rPr>
          <w:szCs w:val="21"/>
        </w:rPr>
        <w:t>服务地点</w:t>
      </w:r>
      <w:r>
        <w:rPr>
          <w:rFonts w:hint="eastAsia"/>
          <w:szCs w:val="21"/>
        </w:rPr>
        <w:t>：深圳市福田区上梅林中康路27、25号，梅林街道龙尾社区梅亭路1号4栋；</w:t>
      </w:r>
    </w:p>
    <w:p w14:paraId="68196E8F">
      <w:pPr>
        <w:spacing w:line="276" w:lineRule="auto"/>
        <w:ind w:firstLine="420" w:firstLineChars="200"/>
        <w:rPr>
          <w:rFonts w:ascii="宋体" w:hAnsi="宋体"/>
          <w:bCs/>
          <w:kern w:val="0"/>
          <w:szCs w:val="21"/>
        </w:rPr>
      </w:pPr>
      <w:r>
        <w:rPr>
          <w:rFonts w:hint="eastAsia"/>
        </w:rPr>
        <w:t>（二）</w:t>
      </w:r>
      <w:r>
        <w:rPr>
          <w:rFonts w:hint="eastAsia" w:ascii="宋体" w:hAnsi="宋体" w:cs="宋体"/>
          <w:bCs/>
          <w:lang w:bidi="ar"/>
        </w:rPr>
        <w:t>服务内容及范围：满足车辆正常维护、日常小修、大修及事故车辆修复等使用要求。</w:t>
      </w:r>
      <w:r>
        <w:rPr>
          <w:rFonts w:ascii="宋体" w:hAnsi="宋体"/>
          <w:bCs/>
          <w:kern w:val="0"/>
          <w:szCs w:val="21"/>
        </w:rPr>
        <w:t>原则上</w:t>
      </w:r>
      <w:r>
        <w:rPr>
          <w:rFonts w:hint="eastAsia" w:ascii="宋体" w:hAnsi="宋体"/>
          <w:bCs/>
          <w:kern w:val="0"/>
          <w:szCs w:val="21"/>
        </w:rPr>
        <w:t>，</w:t>
      </w:r>
      <w:r>
        <w:rPr>
          <w:rFonts w:ascii="宋体" w:hAnsi="宋体"/>
          <w:bCs/>
          <w:kern w:val="0"/>
          <w:szCs w:val="21"/>
        </w:rPr>
        <w:t>本项目服务期限内</w:t>
      </w:r>
      <w:r>
        <w:rPr>
          <w:rFonts w:hint="eastAsia" w:ascii="宋体" w:hAnsi="宋体"/>
          <w:bCs/>
          <w:kern w:val="0"/>
          <w:szCs w:val="21"/>
        </w:rPr>
        <w:t>，</w:t>
      </w:r>
      <w:r>
        <w:rPr>
          <w:rFonts w:ascii="宋体" w:hAnsi="宋体"/>
          <w:bCs/>
          <w:kern w:val="0"/>
          <w:szCs w:val="21"/>
        </w:rPr>
        <w:t>本次</w:t>
      </w:r>
      <w:r>
        <w:rPr>
          <w:rFonts w:hint="eastAsia" w:ascii="宋体" w:hAnsi="宋体"/>
          <w:bCs/>
          <w:kern w:val="0"/>
          <w:szCs w:val="21"/>
        </w:rPr>
        <w:t>采购</w:t>
      </w:r>
      <w:r>
        <w:rPr>
          <w:rFonts w:ascii="宋体" w:hAnsi="宋体"/>
          <w:bCs/>
          <w:kern w:val="0"/>
          <w:szCs w:val="21"/>
        </w:rPr>
        <w:t>涉及的</w:t>
      </w:r>
      <w:r>
        <w:rPr>
          <w:rFonts w:hint="eastAsia" w:ascii="宋体" w:hAnsi="宋体"/>
          <w:bCs/>
          <w:kern w:val="0"/>
          <w:szCs w:val="21"/>
        </w:rPr>
        <w:t>业务用车（含特种用车）</w:t>
      </w:r>
      <w:r>
        <w:rPr>
          <w:rFonts w:ascii="宋体" w:hAnsi="宋体"/>
          <w:bCs/>
          <w:kern w:val="0"/>
          <w:szCs w:val="21"/>
        </w:rPr>
        <w:t>如产生车辆维修的需求</w:t>
      </w:r>
      <w:r>
        <w:rPr>
          <w:rFonts w:hint="eastAsia" w:ascii="宋体" w:hAnsi="宋体"/>
          <w:bCs/>
          <w:kern w:val="0"/>
          <w:szCs w:val="21"/>
        </w:rPr>
        <w:t>，</w:t>
      </w:r>
      <w:r>
        <w:rPr>
          <w:rFonts w:ascii="宋体" w:hAnsi="宋体"/>
          <w:bCs/>
          <w:kern w:val="0"/>
          <w:szCs w:val="21"/>
        </w:rPr>
        <w:t>必须向本项目中标人采购</w:t>
      </w:r>
      <w:r>
        <w:rPr>
          <w:rFonts w:hint="eastAsia" w:ascii="宋体" w:hAnsi="宋体"/>
          <w:bCs/>
          <w:kern w:val="0"/>
          <w:szCs w:val="21"/>
        </w:rPr>
        <w:t>。</w:t>
      </w:r>
      <w:r>
        <w:rPr>
          <w:rFonts w:ascii="宋体" w:hAnsi="宋体"/>
          <w:bCs/>
          <w:kern w:val="0"/>
          <w:szCs w:val="21"/>
        </w:rPr>
        <w:t>但</w:t>
      </w:r>
      <w:r>
        <w:rPr>
          <w:rFonts w:hint="eastAsia" w:ascii="宋体" w:hAnsi="宋体"/>
          <w:bCs/>
          <w:kern w:val="0"/>
          <w:szCs w:val="21"/>
        </w:rPr>
        <w:t>下列情况允许向非本项目中标人企业进行采购：</w:t>
      </w:r>
    </w:p>
    <w:p w14:paraId="32B35085">
      <w:pPr>
        <w:widowControl/>
        <w:spacing w:line="276" w:lineRule="auto"/>
        <w:ind w:firstLine="420" w:firstLineChars="200"/>
        <w:rPr>
          <w:rFonts w:ascii="宋体" w:hAnsi="宋体"/>
          <w:bCs/>
          <w:kern w:val="0"/>
          <w:szCs w:val="21"/>
        </w:rPr>
      </w:pPr>
      <w:r>
        <w:rPr>
          <w:rFonts w:hint="eastAsia" w:ascii="宋体" w:hAnsi="宋体"/>
          <w:bCs/>
          <w:kern w:val="0"/>
          <w:szCs w:val="21"/>
        </w:rPr>
        <w:t>1.保险公司指定专修厂提供特约服务，不在指定专修厂维修无法办理保险理赔事宜的；</w:t>
      </w:r>
    </w:p>
    <w:p w14:paraId="2424DFBA">
      <w:pPr>
        <w:widowControl/>
        <w:spacing w:line="276" w:lineRule="auto"/>
        <w:ind w:firstLine="420" w:firstLineChars="200"/>
        <w:rPr>
          <w:rFonts w:ascii="宋体" w:hAnsi="宋体"/>
          <w:bCs/>
          <w:kern w:val="0"/>
          <w:szCs w:val="21"/>
        </w:rPr>
      </w:pPr>
      <w:r>
        <w:rPr>
          <w:rFonts w:hint="eastAsia" w:ascii="宋体" w:hAnsi="宋体"/>
          <w:bCs/>
          <w:kern w:val="0"/>
          <w:szCs w:val="21"/>
        </w:rPr>
        <w:t>2.在深圳以外地区发生故障需要就地维修的；</w:t>
      </w:r>
    </w:p>
    <w:p w14:paraId="35A79B24">
      <w:pPr>
        <w:widowControl/>
        <w:spacing w:line="276" w:lineRule="auto"/>
        <w:ind w:firstLine="420" w:firstLineChars="200"/>
        <w:rPr>
          <w:rFonts w:ascii="宋体" w:hAnsi="宋体"/>
          <w:bCs/>
          <w:kern w:val="0"/>
          <w:szCs w:val="21"/>
        </w:rPr>
      </w:pPr>
      <w:r>
        <w:rPr>
          <w:rFonts w:hint="eastAsia" w:ascii="宋体" w:hAnsi="宋体"/>
          <w:bCs/>
          <w:kern w:val="0"/>
          <w:szCs w:val="21"/>
        </w:rPr>
        <w:t>3.特殊车辆，本项目中标人企业无能力维修的；</w:t>
      </w:r>
    </w:p>
    <w:p w14:paraId="79F7933C">
      <w:pPr>
        <w:widowControl/>
        <w:spacing w:line="276" w:lineRule="auto"/>
        <w:ind w:firstLine="420" w:firstLineChars="200"/>
        <w:rPr>
          <w:rFonts w:ascii="宋体" w:hAnsi="宋体"/>
          <w:bCs/>
          <w:kern w:val="0"/>
          <w:szCs w:val="21"/>
        </w:rPr>
      </w:pPr>
      <w:r>
        <w:rPr>
          <w:rFonts w:hint="eastAsia" w:ascii="宋体" w:hAnsi="宋体"/>
          <w:bCs/>
          <w:kern w:val="0"/>
          <w:szCs w:val="21"/>
        </w:rPr>
        <w:t xml:space="preserve">4.其他合法合规的特殊情况，需使用其他维修供应商的。 </w:t>
      </w:r>
    </w:p>
    <w:p w14:paraId="75001EAC">
      <w:pPr>
        <w:pStyle w:val="5"/>
        <w:spacing w:before="120" w:after="120"/>
        <w:jc w:val="center"/>
        <w:rPr>
          <w:rFonts w:ascii="黑体" w:eastAsia="黑体"/>
          <w:sz w:val="24"/>
        </w:rPr>
      </w:pPr>
      <w:r>
        <w:rPr>
          <w:rFonts w:hint="eastAsia" w:ascii="黑体" w:eastAsia="黑体"/>
          <w:sz w:val="24"/>
        </w:rPr>
        <w:t>三、服务需求</w:t>
      </w:r>
    </w:p>
    <w:p w14:paraId="623BA4C9"/>
    <w:p w14:paraId="6D953DD1">
      <w:pPr>
        <w:jc w:val="left"/>
        <w:rPr>
          <w:rFonts w:ascii="Arial" w:hAnsi="Arial" w:cs="Arial"/>
          <w:b/>
          <w:bCs/>
          <w:color w:val="0000FF"/>
          <w:kern w:val="0"/>
          <w:sz w:val="18"/>
          <w:szCs w:val="18"/>
        </w:rPr>
      </w:pPr>
    </w:p>
    <w:tbl>
      <w:tblPr>
        <w:tblStyle w:val="30"/>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399"/>
        <w:gridCol w:w="6904"/>
      </w:tblGrid>
      <w:tr w14:paraId="5B1B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Borders>
              <w:top w:val="single" w:color="auto" w:sz="4" w:space="0"/>
              <w:left w:val="single" w:color="auto" w:sz="4" w:space="0"/>
              <w:bottom w:val="single" w:color="auto" w:sz="4" w:space="0"/>
              <w:right w:val="single" w:color="auto" w:sz="4" w:space="0"/>
            </w:tcBorders>
            <w:vAlign w:val="center"/>
          </w:tcPr>
          <w:p w14:paraId="25C9F20B">
            <w:pPr>
              <w:jc w:val="center"/>
              <w:rPr>
                <w:rFonts w:ascii="宋体" w:hAnsi="宋体"/>
                <w:bCs/>
                <w:szCs w:val="21"/>
              </w:rPr>
            </w:pPr>
            <w:r>
              <w:rPr>
                <w:rFonts w:hint="eastAsia" w:ascii="宋体" w:hAnsi="宋体"/>
                <w:bCs/>
                <w:szCs w:val="21"/>
              </w:rPr>
              <w:t>序号</w:t>
            </w:r>
          </w:p>
        </w:tc>
        <w:tc>
          <w:tcPr>
            <w:tcW w:w="2399" w:type="dxa"/>
            <w:tcBorders>
              <w:top w:val="single" w:color="auto" w:sz="4" w:space="0"/>
              <w:left w:val="single" w:color="auto" w:sz="4" w:space="0"/>
              <w:bottom w:val="single" w:color="auto" w:sz="4" w:space="0"/>
              <w:right w:val="single" w:color="auto" w:sz="4" w:space="0"/>
            </w:tcBorders>
            <w:vAlign w:val="center"/>
          </w:tcPr>
          <w:p w14:paraId="670277BC">
            <w:pPr>
              <w:jc w:val="center"/>
              <w:rPr>
                <w:rFonts w:ascii="宋体" w:hAnsi="宋体"/>
                <w:bCs/>
                <w:szCs w:val="21"/>
              </w:rPr>
            </w:pPr>
            <w:r>
              <w:rPr>
                <w:rFonts w:hint="eastAsia" w:ascii="宋体" w:hAnsi="宋体"/>
                <w:bCs/>
                <w:szCs w:val="21"/>
              </w:rPr>
              <w:t>名称</w:t>
            </w:r>
          </w:p>
        </w:tc>
        <w:tc>
          <w:tcPr>
            <w:tcW w:w="6904" w:type="dxa"/>
            <w:tcBorders>
              <w:top w:val="single" w:color="auto" w:sz="4" w:space="0"/>
              <w:left w:val="single" w:color="auto" w:sz="4" w:space="0"/>
              <w:bottom w:val="single" w:color="auto" w:sz="4" w:space="0"/>
              <w:right w:val="single" w:color="auto" w:sz="4" w:space="0"/>
            </w:tcBorders>
            <w:vAlign w:val="center"/>
          </w:tcPr>
          <w:p w14:paraId="36595461">
            <w:pPr>
              <w:jc w:val="center"/>
              <w:rPr>
                <w:rFonts w:ascii="宋体" w:hAnsi="宋体"/>
                <w:bCs/>
                <w:szCs w:val="21"/>
              </w:rPr>
            </w:pPr>
            <w:r>
              <w:rPr>
                <w:rFonts w:hint="eastAsia" w:ascii="宋体" w:hAnsi="宋体"/>
                <w:bCs/>
                <w:szCs w:val="21"/>
              </w:rPr>
              <w:t>具体内容</w:t>
            </w:r>
          </w:p>
        </w:tc>
      </w:tr>
      <w:tr w14:paraId="7A5C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Borders>
              <w:top w:val="single" w:color="auto" w:sz="4" w:space="0"/>
              <w:left w:val="single" w:color="auto" w:sz="4" w:space="0"/>
              <w:bottom w:val="single" w:color="auto" w:sz="4" w:space="0"/>
              <w:right w:val="single" w:color="auto" w:sz="4" w:space="0"/>
            </w:tcBorders>
            <w:vAlign w:val="center"/>
          </w:tcPr>
          <w:p w14:paraId="6484228B">
            <w:pPr>
              <w:rPr>
                <w:rFonts w:ascii="宋体" w:hAnsi="宋体"/>
                <w:bCs/>
                <w:szCs w:val="21"/>
              </w:rPr>
            </w:pPr>
            <w:r>
              <w:rPr>
                <w:rFonts w:hint="eastAsia" w:ascii="宋体" w:hAnsi="宋体"/>
                <w:bCs/>
                <w:szCs w:val="21"/>
              </w:rPr>
              <w:t>1</w:t>
            </w:r>
          </w:p>
        </w:tc>
        <w:tc>
          <w:tcPr>
            <w:tcW w:w="2399" w:type="dxa"/>
            <w:tcBorders>
              <w:top w:val="single" w:color="auto" w:sz="4" w:space="0"/>
              <w:left w:val="single" w:color="auto" w:sz="4" w:space="0"/>
              <w:bottom w:val="single" w:color="auto" w:sz="4" w:space="0"/>
              <w:right w:val="single" w:color="auto" w:sz="4" w:space="0"/>
            </w:tcBorders>
            <w:vAlign w:val="center"/>
          </w:tcPr>
          <w:p w14:paraId="38A4C885">
            <w:pPr>
              <w:jc w:val="center"/>
              <w:rPr>
                <w:rFonts w:ascii="宋体" w:hAnsi="宋体"/>
                <w:bCs/>
                <w:szCs w:val="21"/>
              </w:rPr>
            </w:pPr>
            <w:r>
              <w:rPr>
                <w:rFonts w:hint="eastAsia" w:ascii="宋体" w:hAnsi="宋体"/>
                <w:bCs/>
                <w:szCs w:val="21"/>
              </w:rPr>
              <w:t>服务要求</w:t>
            </w:r>
          </w:p>
        </w:tc>
        <w:tc>
          <w:tcPr>
            <w:tcW w:w="6904" w:type="dxa"/>
            <w:tcBorders>
              <w:top w:val="single" w:color="auto" w:sz="4" w:space="0"/>
              <w:left w:val="single" w:color="auto" w:sz="4" w:space="0"/>
              <w:bottom w:val="single" w:color="auto" w:sz="4" w:space="0"/>
              <w:right w:val="single" w:color="auto" w:sz="4" w:space="0"/>
            </w:tcBorders>
            <w:vAlign w:val="center"/>
          </w:tcPr>
          <w:p w14:paraId="48734876">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本项目业务用车（含特种用车）维修服务涉及到的维修车辆包括：</w:t>
            </w:r>
          </w:p>
          <w:p w14:paraId="655C287A">
            <w:pPr>
              <w:spacing w:line="276" w:lineRule="auto"/>
              <w:rPr>
                <w:rFonts w:ascii="宋体" w:hAnsi="宋体" w:cs="仿宋"/>
                <w:color w:val="000000"/>
                <w:szCs w:val="21"/>
              </w:rPr>
            </w:pPr>
            <w:r>
              <w:rPr>
                <w:rFonts w:hint="eastAsia" w:ascii="宋体" w:hAnsi="宋体" w:cs="仿宋"/>
                <w:color w:val="000000"/>
                <w:szCs w:val="21"/>
              </w:rPr>
              <w:t>人货车、小轿车、商务车、中巴车、大巴车、救护车、体检车等。供应商需同时具备针对上述车型的维修能力。</w:t>
            </w:r>
          </w:p>
          <w:p w14:paraId="23EF1605">
            <w:pPr>
              <w:pStyle w:val="75"/>
              <w:numPr>
                <w:ilvl w:val="0"/>
                <w:numId w:val="8"/>
              </w:numPr>
              <w:spacing w:line="276" w:lineRule="auto"/>
              <w:ind w:firstLineChars="0"/>
              <w:rPr>
                <w:kern w:val="0"/>
                <w:sz w:val="24"/>
              </w:rPr>
            </w:pPr>
            <w:r>
              <w:rPr>
                <w:rFonts w:hint="eastAsia" w:ascii="宋体" w:hAnsi="宋体"/>
              </w:rPr>
              <w:t>供应商具有一定的专业人员、技术设备、维修经验和必要的零件储备。</w:t>
            </w:r>
          </w:p>
          <w:p w14:paraId="656EBB99">
            <w:pPr>
              <w:spacing w:line="276" w:lineRule="auto"/>
              <w:rPr>
                <w:kern w:val="0"/>
                <w:sz w:val="24"/>
              </w:rPr>
            </w:pPr>
            <w:r>
              <w:rPr>
                <w:rFonts w:hint="eastAsia" w:ascii="宋体" w:hAnsi="宋体"/>
              </w:rPr>
              <w:t>包括业务用车装备维修、一级、二级维护，大、中、小修理，车辆年审和其它有关的汽车维修服务项目；</w:t>
            </w:r>
          </w:p>
          <w:p w14:paraId="0FB7540D">
            <w:pPr>
              <w:pStyle w:val="75"/>
              <w:numPr>
                <w:ilvl w:val="0"/>
                <w:numId w:val="8"/>
              </w:numPr>
              <w:spacing w:line="276" w:lineRule="auto"/>
              <w:ind w:firstLineChars="0"/>
            </w:pPr>
            <w:r>
              <w:rPr>
                <w:rFonts w:hint="eastAsia" w:ascii="宋体" w:hAnsi="宋体" w:cs="仿宋"/>
                <w:color w:val="000000"/>
                <w:szCs w:val="21"/>
              </w:rPr>
              <w:t>在项目履约服务期内，</w:t>
            </w:r>
            <w:r>
              <w:rPr>
                <w:rFonts w:hint="eastAsia" w:ascii="宋体" w:hAnsi="宋体"/>
              </w:rPr>
              <w:t>供应商具备完成本项目的履约能力。</w:t>
            </w:r>
            <w:r>
              <w:rPr>
                <w:rFonts w:hint="eastAsia" w:ascii="宋体" w:hAnsi="宋体" w:cs="仿宋"/>
                <w:color w:val="000000"/>
                <w:szCs w:val="21"/>
              </w:rPr>
              <w:t>如供应商</w:t>
            </w:r>
          </w:p>
          <w:p w14:paraId="1BA59DF5">
            <w:pPr>
              <w:spacing w:line="276" w:lineRule="auto"/>
            </w:pPr>
            <w:r>
              <w:rPr>
                <w:rFonts w:hint="eastAsia" w:ascii="宋体" w:hAnsi="宋体" w:cs="仿宋"/>
                <w:color w:val="000000"/>
                <w:szCs w:val="21"/>
              </w:rPr>
              <w:t>出现资质条件变更、经营范围变更等不能承担履行项目能力的情况，供应商有义务及时书面告知采购人，主动申请放弃或者由采购人取消其维修企业资格。</w:t>
            </w:r>
          </w:p>
          <w:p w14:paraId="32032FB7">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供应商须接受采购人以及相关监督部门的监管，积极配合上述部门的</w:t>
            </w:r>
          </w:p>
          <w:p w14:paraId="3BA98098">
            <w:pPr>
              <w:spacing w:line="276" w:lineRule="auto"/>
              <w:rPr>
                <w:rFonts w:ascii="宋体" w:hAnsi="宋体" w:cs="仿宋"/>
                <w:color w:val="000000"/>
                <w:szCs w:val="21"/>
              </w:rPr>
            </w:pPr>
            <w:r>
              <w:rPr>
                <w:rFonts w:hint="eastAsia" w:ascii="宋体" w:hAnsi="宋体" w:cs="仿宋"/>
                <w:color w:val="000000"/>
                <w:szCs w:val="21"/>
              </w:rPr>
              <w:t>工作检查，提供相应资料。</w:t>
            </w:r>
          </w:p>
          <w:p w14:paraId="5E5B3D57">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供应商须理解并遵照执行采购人的相关管理制度规定，并接受违反制</w:t>
            </w:r>
          </w:p>
          <w:p w14:paraId="70B710B9">
            <w:pPr>
              <w:spacing w:line="276" w:lineRule="auto"/>
              <w:rPr>
                <w:rFonts w:ascii="宋体" w:hAnsi="宋体" w:cs="仿宋"/>
                <w:color w:val="000000"/>
                <w:szCs w:val="21"/>
              </w:rPr>
            </w:pPr>
            <w:r>
              <w:rPr>
                <w:rFonts w:hint="eastAsia" w:ascii="宋体" w:hAnsi="宋体" w:cs="仿宋"/>
                <w:color w:val="000000"/>
                <w:szCs w:val="21"/>
              </w:rPr>
              <w:t>度的相应处理。</w:t>
            </w:r>
          </w:p>
          <w:p w14:paraId="1CB2FAC0">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供应商承担的维修项目维修后效果应符合国家的质量、服务、安全等</w:t>
            </w:r>
          </w:p>
          <w:p w14:paraId="3A096A51">
            <w:pPr>
              <w:spacing w:line="276" w:lineRule="auto"/>
              <w:rPr>
                <w:rFonts w:ascii="宋体" w:hAnsi="宋体" w:cs="仿宋"/>
                <w:color w:val="000000"/>
                <w:szCs w:val="21"/>
              </w:rPr>
            </w:pPr>
            <w:r>
              <w:rPr>
                <w:rFonts w:hint="eastAsia" w:ascii="宋体" w:hAnsi="宋体" w:cs="仿宋"/>
                <w:color w:val="000000"/>
                <w:szCs w:val="21"/>
              </w:rPr>
              <w:t>相关标准。</w:t>
            </w:r>
          </w:p>
          <w:p w14:paraId="20717D3E">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供应商应严格按照国家对车辆维修行业的有关法律、法规以及政策、</w:t>
            </w:r>
          </w:p>
          <w:p w14:paraId="1640687D">
            <w:pPr>
              <w:spacing w:line="276" w:lineRule="auto"/>
              <w:rPr>
                <w:rFonts w:ascii="宋体" w:hAnsi="宋体" w:cs="仿宋"/>
                <w:color w:val="000000"/>
                <w:szCs w:val="21"/>
              </w:rPr>
            </w:pPr>
            <w:r>
              <w:rPr>
                <w:rFonts w:hint="eastAsia" w:ascii="宋体" w:hAnsi="宋体" w:cs="仿宋"/>
                <w:color w:val="000000"/>
                <w:szCs w:val="21"/>
              </w:rPr>
              <w:t>规定进行经营。</w:t>
            </w:r>
          </w:p>
          <w:p w14:paraId="7F9C1BA6">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供应商应制定严格的内部管理制度，安排专人负责材料监控，建立详</w:t>
            </w:r>
          </w:p>
          <w:p w14:paraId="3FF54CB1">
            <w:pPr>
              <w:spacing w:line="276" w:lineRule="auto"/>
              <w:rPr>
                <w:rFonts w:ascii="宋体" w:hAnsi="宋体" w:cs="仿宋"/>
                <w:color w:val="000000"/>
                <w:szCs w:val="21"/>
              </w:rPr>
            </w:pPr>
            <w:r>
              <w:rPr>
                <w:rFonts w:hint="eastAsia" w:ascii="宋体" w:hAnsi="宋体" w:cs="仿宋"/>
                <w:color w:val="000000"/>
                <w:szCs w:val="21"/>
              </w:rPr>
              <w:t>细的材料（零、配件）账目、材料进货有效价格凭证、出入库记录、零配件清单、厂家联系资料及有效发票等必须妥善保管，在车辆维修结算中作为相应维修项目的附件一起验收存档，随时接受有关部门的检查，确保账目与实物相符。</w:t>
            </w:r>
          </w:p>
          <w:p w14:paraId="117E688D">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供应商应严格执行国家及行业主管部门相关质量标准，确保采购质</w:t>
            </w:r>
          </w:p>
          <w:p w14:paraId="408BEE81">
            <w:pPr>
              <w:spacing w:line="276" w:lineRule="auto"/>
              <w:rPr>
                <w:rFonts w:ascii="宋体" w:hAnsi="宋体" w:cs="仿宋"/>
                <w:color w:val="000000"/>
                <w:szCs w:val="21"/>
              </w:rPr>
            </w:pPr>
            <w:r>
              <w:rPr>
                <w:rFonts w:hint="eastAsia" w:ascii="宋体" w:hAnsi="宋体" w:cs="仿宋"/>
                <w:color w:val="000000"/>
                <w:szCs w:val="21"/>
              </w:rPr>
              <w:t>量，保证所用配件是符合国家质量标准的全新原厂配件，不得使用假冒伪劣产品，不得以旧充新、以副顶正、以次充好，严把材料质量关。供应商需明确提供各类配件品牌、型号等，合同期间，采购人将不定期对供应商更换相关车辆配件进行抽检；如存在更换配件与维修单登记不符的，将责令供应商整改并扣减当次维修费，拒不整改的，采购人有权解除合同。</w:t>
            </w:r>
          </w:p>
          <w:p w14:paraId="3F8FE2BB">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供应商应执行深圳市汽车维修行业协会编制的《深圳汽车维修工时定</w:t>
            </w:r>
          </w:p>
          <w:p w14:paraId="53499A49">
            <w:pPr>
              <w:spacing w:line="276" w:lineRule="auto"/>
              <w:rPr>
                <w:rFonts w:ascii="宋体" w:hAnsi="宋体" w:cs="仿宋"/>
                <w:color w:val="000000"/>
                <w:szCs w:val="21"/>
              </w:rPr>
            </w:pPr>
            <w:r>
              <w:rPr>
                <w:rFonts w:hint="eastAsia" w:ascii="宋体" w:hAnsi="宋体" w:cs="仿宋"/>
                <w:color w:val="000000"/>
                <w:szCs w:val="21"/>
              </w:rPr>
              <w:t>额标准》（2017版）制定的车系维修工时定额和售后服务收费标准，不得虚报维修项目和时间，不得擅自提高工时单价和相关费用。若《深圳汽车维修工时定额标准》（2017版）没有规定的，可参照生产厂家的工时定额实施。</w:t>
            </w:r>
          </w:p>
          <w:p w14:paraId="330E33BC">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供应商在合同执行期内需严格执行中标的人工工时单价及材料管理</w:t>
            </w:r>
          </w:p>
          <w:p w14:paraId="49B0D10A">
            <w:pPr>
              <w:spacing w:line="276" w:lineRule="auto"/>
              <w:rPr>
                <w:rFonts w:ascii="宋体" w:hAnsi="宋体" w:cs="仿宋"/>
                <w:color w:val="000000"/>
                <w:szCs w:val="21"/>
              </w:rPr>
            </w:pPr>
            <w:r>
              <w:rPr>
                <w:rFonts w:hint="eastAsia" w:ascii="宋体" w:hAnsi="宋体" w:cs="仿宋"/>
                <w:color w:val="000000"/>
                <w:szCs w:val="21"/>
              </w:rPr>
              <w:t>费率，不得随意提价或变相提价。</w:t>
            </w:r>
          </w:p>
          <w:p w14:paraId="319DF223">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供应商应建立车辆维修档案，将车辆“送修—维修—结算－上报”整</w:t>
            </w:r>
          </w:p>
          <w:p w14:paraId="1F504367">
            <w:pPr>
              <w:spacing w:line="276" w:lineRule="auto"/>
              <w:rPr>
                <w:rFonts w:ascii="宋体" w:hAnsi="宋体" w:cs="仿宋"/>
                <w:color w:val="000000"/>
                <w:szCs w:val="21"/>
              </w:rPr>
            </w:pPr>
            <w:r>
              <w:rPr>
                <w:rFonts w:hint="eastAsia" w:ascii="宋体" w:hAnsi="宋体" w:cs="仿宋"/>
                <w:color w:val="000000"/>
                <w:szCs w:val="21"/>
              </w:rPr>
              <w:t>个维修过程的相关真实资料保存完整，做到一车一档，存档三年以上，装订整齐交由专人负责管理。业务用车维修档案储存内容主要包括：协议维修服务月报表、维修项目送修确认单、维修清单详细信息、维修收费结算单、材料零配件进货单价的有效发票 、进货凭证清单、零配件供应商联系资料等。档案管理要求随查随调，归档内容完整、资料齐全。</w:t>
            </w:r>
          </w:p>
          <w:p w14:paraId="15EC0887">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供应商车辆维修结算时，需主动向车属单位出示当月每次维修时填写</w:t>
            </w:r>
          </w:p>
          <w:p w14:paraId="653686EE">
            <w:pPr>
              <w:spacing w:line="276" w:lineRule="auto"/>
              <w:rPr>
                <w:rFonts w:ascii="宋体" w:hAnsi="宋体" w:cs="仿宋"/>
                <w:color w:val="000000"/>
                <w:szCs w:val="21"/>
              </w:rPr>
            </w:pPr>
            <w:r>
              <w:rPr>
                <w:rFonts w:hint="eastAsia" w:ascii="宋体" w:hAnsi="宋体" w:cs="仿宋"/>
                <w:color w:val="000000"/>
                <w:szCs w:val="21"/>
              </w:rPr>
              <w:t xml:space="preserve">的车辆协议维修项目确认单、维修清单详细信息、车辆协议维修收费结算单和材料进货单价的有效凭证等，采购人核实无误后按有关规定支付相关费用。同一维修项目不分拆结算，不虚开结算单，不重复维修、多次收费，确保维修质量。 </w:t>
            </w:r>
          </w:p>
          <w:p w14:paraId="3A38BA19">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供应商应配合采购人车辆维修项目管理，协助采购人对车辆维修信息</w:t>
            </w:r>
          </w:p>
          <w:p w14:paraId="578F50F0">
            <w:pPr>
              <w:spacing w:line="276" w:lineRule="auto"/>
              <w:rPr>
                <w:rFonts w:ascii="宋体" w:hAnsi="宋体" w:cs="仿宋"/>
                <w:color w:val="000000"/>
                <w:szCs w:val="21"/>
              </w:rPr>
            </w:pPr>
            <w:r>
              <w:rPr>
                <w:rFonts w:hint="eastAsia" w:ascii="宋体" w:hAnsi="宋体" w:cs="仿宋"/>
                <w:color w:val="000000"/>
                <w:szCs w:val="21"/>
              </w:rPr>
              <w:t>进行实时监控，并将按要求报送相关数据和资料。</w:t>
            </w:r>
          </w:p>
          <w:p w14:paraId="2E600A96">
            <w:pPr>
              <w:pStyle w:val="75"/>
              <w:numPr>
                <w:ilvl w:val="0"/>
                <w:numId w:val="8"/>
              </w:numPr>
              <w:spacing w:line="276" w:lineRule="auto"/>
              <w:ind w:firstLineChars="0"/>
              <w:rPr>
                <w:rFonts w:ascii="宋体" w:hAnsi="宋体" w:cs="仿宋"/>
                <w:color w:val="000000"/>
                <w:szCs w:val="21"/>
              </w:rPr>
            </w:pPr>
            <w:r>
              <w:rPr>
                <w:rFonts w:hint="eastAsia" w:ascii="宋体" w:hAnsi="宋体" w:cs="仿宋"/>
                <w:color w:val="000000"/>
                <w:szCs w:val="21"/>
              </w:rPr>
              <w:t>送修车辆维修出厂后，要按《广东省汽车、摩托车维修行业管理办法</w:t>
            </w:r>
          </w:p>
          <w:p w14:paraId="08276F0A">
            <w:pPr>
              <w:spacing w:line="276" w:lineRule="auto"/>
              <w:rPr>
                <w:rFonts w:ascii="宋体" w:hAnsi="宋体" w:cs="仿宋"/>
                <w:color w:val="000000"/>
                <w:szCs w:val="21"/>
              </w:rPr>
            </w:pPr>
            <w:r>
              <w:rPr>
                <w:rFonts w:hint="eastAsia" w:ascii="宋体" w:hAnsi="宋体" w:cs="仿宋"/>
                <w:color w:val="000000"/>
                <w:szCs w:val="21"/>
              </w:rPr>
              <w:t>实施细则》相关规定执行。在质量保证期内至少需要达到</w:t>
            </w:r>
            <w:r>
              <w:rPr>
                <w:rFonts w:hint="eastAsia" w:ascii="宋体" w:hAnsi="宋体"/>
              </w:rPr>
              <w:t>一级维护2000公里内无故障、小修及专项修理保证正常行驶</w:t>
            </w:r>
            <w:r>
              <w:rPr>
                <w:rFonts w:ascii="宋体" w:hAnsi="宋体"/>
              </w:rPr>
              <w:t>5</w:t>
            </w:r>
            <w:r>
              <w:rPr>
                <w:rFonts w:hint="eastAsia" w:ascii="宋体" w:hAnsi="宋体"/>
              </w:rPr>
              <w:t>000公里内无故障，二级维护维修保证5000公里内无故障，中修保证正常行驶</w:t>
            </w:r>
            <w:r>
              <w:rPr>
                <w:rFonts w:ascii="宋体" w:hAnsi="宋体"/>
              </w:rPr>
              <w:t>8</w:t>
            </w:r>
            <w:r>
              <w:rPr>
                <w:rFonts w:hint="eastAsia" w:ascii="宋体" w:hAnsi="宋体"/>
              </w:rPr>
              <w:t>000公里内无故障，整车大修和总成大修的车辆保证20000公里内无故障；车辆返修率要控制在3%以内；</w:t>
            </w:r>
            <w:r>
              <w:rPr>
                <w:rFonts w:hint="eastAsia" w:ascii="宋体" w:hAnsi="宋体" w:cs="仿宋"/>
                <w:color w:val="000000"/>
                <w:szCs w:val="21"/>
              </w:rPr>
              <w:t>发生同样故障引起的维修，应给予全部免费维修。对查不出原因的维修质量问题，在质量保修期内，应无偿进行返修。</w:t>
            </w:r>
          </w:p>
          <w:p w14:paraId="19B50F7B">
            <w:pPr>
              <w:pStyle w:val="75"/>
              <w:numPr>
                <w:ilvl w:val="0"/>
                <w:numId w:val="8"/>
              </w:numPr>
              <w:spacing w:line="276" w:lineRule="auto"/>
              <w:ind w:firstLineChars="0"/>
              <w:rPr>
                <w:rFonts w:cs="仿宋"/>
                <w:color w:val="000000"/>
                <w:szCs w:val="21"/>
              </w:rPr>
            </w:pPr>
            <w:r>
              <w:rPr>
                <w:rFonts w:hint="eastAsia" w:ascii="宋体" w:hAnsi="宋体" w:cs="仿宋"/>
                <w:color w:val="000000"/>
                <w:szCs w:val="21"/>
              </w:rPr>
              <w:t>合同签订后，采购人将车辆交付供应商进厂进行检查，5个工作日内</w:t>
            </w:r>
          </w:p>
          <w:p w14:paraId="595555A7">
            <w:pPr>
              <w:spacing w:line="276" w:lineRule="auto"/>
              <w:rPr>
                <w:rFonts w:ascii="宋体" w:hAnsi="宋体" w:cs="仿宋"/>
                <w:color w:val="000000"/>
                <w:szCs w:val="21"/>
              </w:rPr>
            </w:pPr>
            <w:r>
              <w:rPr>
                <w:rFonts w:hint="eastAsia" w:ascii="宋体" w:hAnsi="宋体" w:cs="仿宋"/>
                <w:color w:val="000000"/>
                <w:szCs w:val="21"/>
              </w:rPr>
              <w:t>由供应商出具车辆检查报告予采购人；告知车辆整体状况及维护维修建议；确保车辆行驶安全。</w:t>
            </w:r>
          </w:p>
        </w:tc>
      </w:tr>
      <w:tr w14:paraId="764E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Borders>
              <w:top w:val="single" w:color="auto" w:sz="4" w:space="0"/>
              <w:left w:val="single" w:color="auto" w:sz="4" w:space="0"/>
              <w:bottom w:val="single" w:color="auto" w:sz="4" w:space="0"/>
              <w:right w:val="single" w:color="auto" w:sz="4" w:space="0"/>
            </w:tcBorders>
            <w:vAlign w:val="center"/>
          </w:tcPr>
          <w:p w14:paraId="572DD9BF">
            <w:pPr>
              <w:rPr>
                <w:rFonts w:ascii="宋体" w:hAnsi="宋体"/>
                <w:bCs/>
                <w:szCs w:val="21"/>
              </w:rPr>
            </w:pPr>
            <w:r>
              <w:rPr>
                <w:rFonts w:hint="eastAsia" w:ascii="宋体" w:hAnsi="宋体"/>
                <w:bCs/>
                <w:szCs w:val="21"/>
              </w:rPr>
              <w:t>2</w:t>
            </w:r>
          </w:p>
        </w:tc>
        <w:tc>
          <w:tcPr>
            <w:tcW w:w="2399" w:type="dxa"/>
            <w:tcBorders>
              <w:top w:val="single" w:color="auto" w:sz="4" w:space="0"/>
              <w:left w:val="single" w:color="auto" w:sz="4" w:space="0"/>
              <w:bottom w:val="single" w:color="auto" w:sz="4" w:space="0"/>
              <w:right w:val="single" w:color="auto" w:sz="4" w:space="0"/>
            </w:tcBorders>
            <w:vAlign w:val="center"/>
          </w:tcPr>
          <w:p w14:paraId="0CCC5B59">
            <w:pPr>
              <w:jc w:val="center"/>
              <w:rPr>
                <w:rFonts w:ascii="宋体" w:hAnsi="宋体"/>
                <w:bCs/>
                <w:szCs w:val="21"/>
              </w:rPr>
            </w:pPr>
            <w:r>
              <w:rPr>
                <w:rFonts w:hint="eastAsia" w:ascii="宋体" w:hAnsi="宋体"/>
                <w:bCs/>
                <w:szCs w:val="21"/>
              </w:rPr>
              <w:t>人员要求</w:t>
            </w:r>
          </w:p>
        </w:tc>
        <w:tc>
          <w:tcPr>
            <w:tcW w:w="6904" w:type="dxa"/>
            <w:tcBorders>
              <w:top w:val="single" w:color="auto" w:sz="4" w:space="0"/>
              <w:left w:val="single" w:color="auto" w:sz="4" w:space="0"/>
              <w:bottom w:val="single" w:color="auto" w:sz="4" w:space="0"/>
              <w:right w:val="single" w:color="auto" w:sz="4" w:space="0"/>
            </w:tcBorders>
            <w:vAlign w:val="center"/>
          </w:tcPr>
          <w:p w14:paraId="63B4DEFD">
            <w:pPr>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技术负责人1人，应具备3年以上汽车维修行业管理经验,工作热情、沟通能力强。</w:t>
            </w:r>
          </w:p>
          <w:p w14:paraId="6695A620">
            <w:pPr>
              <w:rPr>
                <w:rFonts w:ascii="宋体" w:hAnsi="宋体"/>
                <w:bCs/>
                <w:szCs w:val="21"/>
              </w:rPr>
            </w:pPr>
            <w:r>
              <w:rPr>
                <w:rFonts w:ascii="宋体" w:hAnsi="宋体"/>
                <w:bCs/>
                <w:szCs w:val="21"/>
              </w:rPr>
              <w:t>2.</w:t>
            </w:r>
            <w:r>
              <w:rPr>
                <w:rFonts w:hint="eastAsia" w:ascii="宋体" w:hAnsi="宋体"/>
                <w:bCs/>
                <w:szCs w:val="21"/>
              </w:rPr>
              <w:t>汽车维修人员不少于5人，需具有</w:t>
            </w:r>
            <w:r>
              <w:rPr>
                <w:rFonts w:ascii="宋体" w:hAnsi="宋体"/>
                <w:bCs/>
                <w:szCs w:val="21"/>
              </w:rPr>
              <w:t>2</w:t>
            </w:r>
            <w:r>
              <w:rPr>
                <w:rFonts w:hint="eastAsia" w:ascii="宋体" w:hAnsi="宋体"/>
                <w:bCs/>
                <w:szCs w:val="21"/>
              </w:rPr>
              <w:t>年以上汽车维修经验，岗位有持证要求的需依照相关法律法规持证上岗。</w:t>
            </w:r>
          </w:p>
        </w:tc>
      </w:tr>
      <w:tr w14:paraId="3DB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Borders>
              <w:top w:val="single" w:color="auto" w:sz="4" w:space="0"/>
              <w:left w:val="single" w:color="auto" w:sz="4" w:space="0"/>
              <w:bottom w:val="single" w:color="auto" w:sz="4" w:space="0"/>
              <w:right w:val="single" w:color="auto" w:sz="4" w:space="0"/>
            </w:tcBorders>
            <w:vAlign w:val="center"/>
          </w:tcPr>
          <w:p w14:paraId="19B68632">
            <w:pPr>
              <w:rPr>
                <w:rFonts w:ascii="宋体" w:hAnsi="宋体"/>
                <w:bCs/>
                <w:szCs w:val="21"/>
              </w:rPr>
            </w:pPr>
            <w:r>
              <w:rPr>
                <w:rFonts w:hint="eastAsia" w:ascii="宋体" w:hAnsi="宋体"/>
                <w:bCs/>
                <w:szCs w:val="21"/>
              </w:rPr>
              <w:t>3</w:t>
            </w:r>
          </w:p>
        </w:tc>
        <w:tc>
          <w:tcPr>
            <w:tcW w:w="2399" w:type="dxa"/>
            <w:tcBorders>
              <w:top w:val="single" w:color="auto" w:sz="4" w:space="0"/>
              <w:left w:val="single" w:color="auto" w:sz="4" w:space="0"/>
              <w:bottom w:val="single" w:color="auto" w:sz="4" w:space="0"/>
              <w:right w:val="single" w:color="auto" w:sz="4" w:space="0"/>
            </w:tcBorders>
          </w:tcPr>
          <w:p w14:paraId="4BDEAE0B">
            <w:pPr>
              <w:jc w:val="center"/>
              <w:rPr>
                <w:rFonts w:ascii="宋体" w:hAnsi="宋体"/>
                <w:bCs/>
                <w:szCs w:val="21"/>
              </w:rPr>
            </w:pPr>
            <w:r>
              <w:rPr>
                <w:rFonts w:hint="eastAsia"/>
              </w:rPr>
              <w:t>其他要求</w:t>
            </w:r>
            <w:r>
              <w:rPr>
                <w:rFonts w:hint="eastAsia" w:ascii="宋体" w:hAnsi="宋体"/>
                <w:b/>
                <w:snapToGrid w:val="0"/>
                <w:color w:val="FF0000"/>
                <w:kern w:val="0"/>
                <w:szCs w:val="21"/>
                <w:lang w:val="zh-CN"/>
              </w:rPr>
              <w:t>★</w:t>
            </w:r>
          </w:p>
        </w:tc>
        <w:tc>
          <w:tcPr>
            <w:tcW w:w="6904" w:type="dxa"/>
            <w:tcBorders>
              <w:top w:val="single" w:color="auto" w:sz="4" w:space="0"/>
              <w:left w:val="single" w:color="auto" w:sz="4" w:space="0"/>
              <w:bottom w:val="single" w:color="auto" w:sz="4" w:space="0"/>
              <w:right w:val="single" w:color="auto" w:sz="4" w:space="0"/>
            </w:tcBorders>
            <w:vAlign w:val="center"/>
          </w:tcPr>
          <w:p w14:paraId="769766AA">
            <w:pPr>
              <w:pStyle w:val="75"/>
              <w:numPr>
                <w:ilvl w:val="0"/>
                <w:numId w:val="9"/>
              </w:numPr>
              <w:spacing w:line="276" w:lineRule="auto"/>
              <w:ind w:firstLineChars="0"/>
              <w:rPr>
                <w:rFonts w:ascii="宋体" w:hAnsi="宋体" w:cs="宋体"/>
                <w:color w:val="FF0000"/>
                <w:szCs w:val="21"/>
              </w:rPr>
            </w:pPr>
            <w:r>
              <w:rPr>
                <w:rFonts w:hint="eastAsia" w:ascii="宋体" w:hAnsi="宋体" w:cs="宋体"/>
                <w:color w:val="FF0000"/>
                <w:szCs w:val="21"/>
              </w:rPr>
              <w:t>本项目要求应答文件仅提供</w:t>
            </w:r>
            <w:r>
              <w:rPr>
                <w:rFonts w:ascii="宋体" w:hAnsi="宋体" w:cs="宋体"/>
                <w:color w:val="FF0000"/>
                <w:szCs w:val="21"/>
              </w:rPr>
              <w:t>1</w:t>
            </w:r>
            <w:r>
              <w:rPr>
                <w:rFonts w:hint="eastAsia" w:ascii="宋体" w:hAnsi="宋体" w:cs="宋体"/>
                <w:color w:val="FF0000"/>
                <w:szCs w:val="21"/>
              </w:rPr>
              <w:t>处维修地点。</w:t>
            </w:r>
          </w:p>
          <w:p w14:paraId="4AF3187C">
            <w:pPr>
              <w:pStyle w:val="75"/>
              <w:numPr>
                <w:ilvl w:val="0"/>
                <w:numId w:val="9"/>
              </w:numPr>
              <w:spacing w:line="276" w:lineRule="auto"/>
              <w:ind w:firstLineChars="0"/>
              <w:rPr>
                <w:rFonts w:ascii="宋体" w:hAnsi="宋体" w:cs="宋体"/>
                <w:szCs w:val="21"/>
              </w:rPr>
            </w:pPr>
            <w:r>
              <w:rPr>
                <w:rFonts w:hint="eastAsia" w:ascii="宋体" w:hAnsi="宋体" w:cs="宋体"/>
                <w:szCs w:val="21"/>
              </w:rPr>
              <w:t>如采购人有要求，供应商在接到采购人通知后，应在30分钟内到场并</w:t>
            </w:r>
          </w:p>
          <w:p w14:paraId="199BB54E">
            <w:pPr>
              <w:spacing w:line="276" w:lineRule="auto"/>
              <w:rPr>
                <w:rFonts w:ascii="宋体" w:hAnsi="宋体" w:cs="宋体"/>
                <w:szCs w:val="21"/>
              </w:rPr>
            </w:pPr>
            <w:r>
              <w:rPr>
                <w:rFonts w:hint="eastAsia" w:ascii="宋体" w:hAnsi="宋体" w:cs="宋体"/>
                <w:szCs w:val="21"/>
              </w:rPr>
              <w:t>配合采购人完成车辆维修过程中的车辆接送工作。</w:t>
            </w:r>
          </w:p>
          <w:p w14:paraId="55F0E616">
            <w:pPr>
              <w:pStyle w:val="75"/>
              <w:numPr>
                <w:ilvl w:val="0"/>
                <w:numId w:val="9"/>
              </w:numPr>
              <w:spacing w:line="276" w:lineRule="auto"/>
              <w:ind w:firstLineChars="0"/>
              <w:rPr>
                <w:rFonts w:ascii="宋体" w:hAnsi="宋体" w:cs="宋体"/>
                <w:szCs w:val="21"/>
              </w:rPr>
            </w:pPr>
            <w:r>
              <w:rPr>
                <w:rFonts w:hint="eastAsia" w:ascii="宋体" w:hAnsi="宋体" w:cs="宋体"/>
                <w:szCs w:val="21"/>
              </w:rPr>
              <w:t>车辆在维修等行驶过程中产生的综合费用（包括但不限于油耗、汽车</w:t>
            </w:r>
          </w:p>
          <w:p w14:paraId="65943E8C">
            <w:pPr>
              <w:spacing w:line="276" w:lineRule="auto"/>
              <w:rPr>
                <w:rFonts w:ascii="宋体" w:hAnsi="宋体" w:cs="宋体"/>
                <w:szCs w:val="21"/>
              </w:rPr>
            </w:pPr>
            <w:r>
              <w:rPr>
                <w:rFonts w:hint="eastAsia" w:ascii="宋体" w:hAnsi="宋体" w:cs="宋体"/>
                <w:szCs w:val="21"/>
              </w:rPr>
              <w:t>损耗）由供应商承担，按1元/公里计。</w:t>
            </w:r>
          </w:p>
          <w:p w14:paraId="2759D873">
            <w:pPr>
              <w:pStyle w:val="75"/>
              <w:numPr>
                <w:ilvl w:val="0"/>
                <w:numId w:val="9"/>
              </w:numPr>
              <w:spacing w:line="276" w:lineRule="auto"/>
              <w:ind w:firstLineChars="0"/>
              <w:rPr>
                <w:rFonts w:ascii="宋体" w:hAnsi="宋体" w:cs="宋体"/>
                <w:szCs w:val="21"/>
              </w:rPr>
            </w:pPr>
            <w:r>
              <w:rPr>
                <w:rFonts w:hint="eastAsia" w:ascii="宋体" w:hAnsi="宋体" w:cs="宋体"/>
                <w:szCs w:val="21"/>
              </w:rPr>
              <w:t>维修材料进货价以中标人实际进货价格为准（每季度向采购人提供零</w:t>
            </w:r>
          </w:p>
          <w:p w14:paraId="46429360">
            <w:pPr>
              <w:spacing w:line="276" w:lineRule="auto"/>
              <w:rPr>
                <w:rFonts w:ascii="宋体" w:hAnsi="宋体" w:cs="宋体"/>
                <w:szCs w:val="21"/>
              </w:rPr>
            </w:pPr>
            <w:r>
              <w:rPr>
                <w:rFonts w:hint="eastAsia" w:ascii="宋体" w:hAnsi="宋体" w:cs="宋体"/>
                <w:szCs w:val="21"/>
              </w:rPr>
              <w:t>配件价格及发票进行备案）；交通事故造成车辆损坏的，维修材料以保险公司车辆定损价格为准。投标人提供的维修材料必须是原厂出品材料，按季度报备维修材料主要配件来源及进货价格明细表。</w:t>
            </w:r>
          </w:p>
          <w:p w14:paraId="7CFFB433">
            <w:pPr>
              <w:pStyle w:val="75"/>
              <w:numPr>
                <w:ilvl w:val="0"/>
                <w:numId w:val="9"/>
              </w:numPr>
              <w:spacing w:line="276" w:lineRule="auto"/>
              <w:ind w:firstLineChars="0"/>
            </w:pPr>
            <w:r>
              <w:rPr>
                <w:rFonts w:hint="eastAsia" w:ascii="宋体" w:hAnsi="宋体"/>
                <w:snapToGrid w:val="0"/>
                <w:kern w:val="0"/>
                <w:szCs w:val="18"/>
              </w:rPr>
              <w:t>合同期间，采购人将不定期对供应商各类配件价格进行市场价格摸排，</w:t>
            </w:r>
          </w:p>
          <w:p w14:paraId="14186CD0">
            <w:pPr>
              <w:spacing w:line="276" w:lineRule="auto"/>
              <w:rPr>
                <w:rFonts w:ascii="宋体" w:hAnsi="宋体"/>
                <w:snapToGrid w:val="0"/>
                <w:kern w:val="0"/>
                <w:szCs w:val="18"/>
              </w:rPr>
            </w:pPr>
            <w:r>
              <w:rPr>
                <w:rFonts w:hint="eastAsia" w:ascii="宋体" w:hAnsi="宋体"/>
                <w:snapToGrid w:val="0"/>
                <w:kern w:val="0"/>
                <w:szCs w:val="18"/>
              </w:rPr>
              <w:t>对于单个配件价格高于市场价格20%的配件，采购人有权要求供应商在合同执行期间予以价格调整。</w:t>
            </w:r>
          </w:p>
          <w:p w14:paraId="031C975B">
            <w:pPr>
              <w:pStyle w:val="75"/>
              <w:numPr>
                <w:ilvl w:val="0"/>
                <w:numId w:val="9"/>
              </w:numPr>
              <w:spacing w:line="276" w:lineRule="auto"/>
              <w:ind w:firstLineChars="0"/>
              <w:rPr>
                <w:rFonts w:ascii="宋体" w:hAnsi="宋体" w:cs="宋体"/>
                <w:szCs w:val="21"/>
              </w:rPr>
            </w:pPr>
            <w:r>
              <w:rPr>
                <w:rFonts w:hint="eastAsia" w:ascii="宋体" w:hAnsi="宋体" w:cs="宋体"/>
                <w:szCs w:val="21"/>
              </w:rPr>
              <w:t>其他服务要求内容：</w:t>
            </w:r>
          </w:p>
          <w:p w14:paraId="7AE72A7D">
            <w:pPr>
              <w:spacing w:line="276" w:lineRule="auto"/>
              <w:ind w:firstLine="411" w:firstLineChars="196"/>
              <w:rPr>
                <w:rFonts w:ascii="宋体" w:hAnsi="宋体" w:cs="宋体"/>
                <w:szCs w:val="21"/>
              </w:rPr>
            </w:pPr>
            <w:r>
              <w:rPr>
                <w:rFonts w:hint="eastAsia" w:ascii="宋体" w:hAnsi="宋体" w:cs="宋体"/>
                <w:szCs w:val="21"/>
              </w:rPr>
              <w:t>（1）24小时免费拖车服务（含节假日）；</w:t>
            </w:r>
          </w:p>
          <w:p w14:paraId="1155F29B">
            <w:pPr>
              <w:spacing w:line="276" w:lineRule="auto"/>
              <w:ind w:firstLine="411" w:firstLineChars="196"/>
              <w:rPr>
                <w:rFonts w:ascii="宋体" w:hAnsi="宋体" w:cs="宋体"/>
                <w:szCs w:val="21"/>
              </w:rPr>
            </w:pPr>
            <w:r>
              <w:rPr>
                <w:rFonts w:hint="eastAsia" w:ascii="宋体" w:hAnsi="宋体" w:cs="宋体"/>
                <w:szCs w:val="21"/>
              </w:rPr>
              <w:t>（2）24小时应急维修服务（含节假日）；</w:t>
            </w:r>
          </w:p>
          <w:p w14:paraId="34841B9D">
            <w:pPr>
              <w:spacing w:line="276" w:lineRule="auto"/>
              <w:ind w:firstLine="411" w:firstLineChars="196"/>
              <w:rPr>
                <w:rFonts w:ascii="宋体" w:hAnsi="宋体" w:cs="宋体"/>
                <w:szCs w:val="21"/>
              </w:rPr>
            </w:pPr>
            <w:r>
              <w:rPr>
                <w:rFonts w:hint="eastAsia" w:ascii="宋体" w:hAnsi="宋体" w:cs="宋体"/>
                <w:szCs w:val="21"/>
              </w:rPr>
              <w:t>（3）为修理出厂车辆提供免费清洁、吸尘及年审服务（年审服务中产生的相关费用均由采购人支付）。</w:t>
            </w:r>
          </w:p>
          <w:p w14:paraId="38FD39B0">
            <w:pPr>
              <w:pStyle w:val="2"/>
            </w:pPr>
            <w:r>
              <w:rPr>
                <w:rFonts w:hint="eastAsia" w:eastAsia="宋体"/>
                <w:b/>
                <w:sz w:val="21"/>
                <w:szCs w:val="21"/>
                <w:highlight w:val="yellow"/>
              </w:rPr>
              <w:t>针对谈判文件星号内容，投标供应商在响应文件中无须提供其他相关证明资料，响应此表即可。待中标后需提供相应证明资料给采购人核查。</w:t>
            </w:r>
          </w:p>
        </w:tc>
      </w:tr>
      <w:tr w14:paraId="11F1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Borders>
              <w:top w:val="single" w:color="auto" w:sz="4" w:space="0"/>
              <w:left w:val="single" w:color="auto" w:sz="4" w:space="0"/>
              <w:bottom w:val="single" w:color="auto" w:sz="4" w:space="0"/>
              <w:right w:val="single" w:color="auto" w:sz="4" w:space="0"/>
            </w:tcBorders>
            <w:vAlign w:val="center"/>
          </w:tcPr>
          <w:p w14:paraId="6FF53AFA">
            <w:pPr>
              <w:rPr>
                <w:rFonts w:ascii="宋体" w:hAnsi="宋体"/>
                <w:bCs/>
                <w:szCs w:val="21"/>
              </w:rPr>
            </w:pPr>
            <w:r>
              <w:rPr>
                <w:rFonts w:hint="eastAsia" w:ascii="宋体" w:hAnsi="宋体"/>
                <w:bCs/>
                <w:szCs w:val="21"/>
              </w:rPr>
              <w:t>4</w:t>
            </w:r>
          </w:p>
        </w:tc>
        <w:tc>
          <w:tcPr>
            <w:tcW w:w="2399" w:type="dxa"/>
            <w:tcBorders>
              <w:top w:val="single" w:color="auto" w:sz="4" w:space="0"/>
              <w:left w:val="single" w:color="auto" w:sz="4" w:space="0"/>
              <w:bottom w:val="single" w:color="auto" w:sz="4" w:space="0"/>
              <w:right w:val="single" w:color="auto" w:sz="4" w:space="0"/>
            </w:tcBorders>
          </w:tcPr>
          <w:p w14:paraId="5FDDD8F4">
            <w:pPr>
              <w:jc w:val="center"/>
              <w:rPr>
                <w:rFonts w:ascii="宋体" w:hAnsi="宋体"/>
                <w:bCs/>
                <w:szCs w:val="21"/>
              </w:rPr>
            </w:pPr>
            <w:r>
              <w:rPr>
                <w:rFonts w:hint="eastAsia" w:ascii="宋体" w:hAnsi="宋体"/>
                <w:bCs/>
                <w:szCs w:val="21"/>
              </w:rPr>
              <w:t>服务期限</w:t>
            </w:r>
          </w:p>
        </w:tc>
        <w:tc>
          <w:tcPr>
            <w:tcW w:w="6904" w:type="dxa"/>
            <w:tcBorders>
              <w:top w:val="single" w:color="auto" w:sz="4" w:space="0"/>
              <w:left w:val="single" w:color="auto" w:sz="4" w:space="0"/>
              <w:bottom w:val="single" w:color="auto" w:sz="4" w:space="0"/>
              <w:right w:val="single" w:color="auto" w:sz="4" w:space="0"/>
            </w:tcBorders>
            <w:vAlign w:val="center"/>
          </w:tcPr>
          <w:p w14:paraId="2F212655">
            <w:r>
              <w:rPr>
                <w:rFonts w:hint="eastAsia" w:ascii="宋体" w:hAnsi="宋体" w:cs="宋体"/>
                <w:szCs w:val="21"/>
              </w:rPr>
              <w:t>自合同签订生效之日起12个月</w:t>
            </w:r>
          </w:p>
        </w:tc>
      </w:tr>
    </w:tbl>
    <w:p w14:paraId="4D8176AF">
      <w:pPr>
        <w:jc w:val="left"/>
        <w:rPr>
          <w:rFonts w:ascii="宋体" w:hAnsi="宋体"/>
          <w:szCs w:val="21"/>
        </w:rPr>
      </w:pPr>
    </w:p>
    <w:p w14:paraId="6417594C">
      <w:pPr>
        <w:pStyle w:val="5"/>
        <w:spacing w:before="120" w:after="120"/>
        <w:jc w:val="center"/>
        <w:rPr>
          <w:rFonts w:ascii="黑体" w:eastAsia="黑体"/>
          <w:sz w:val="24"/>
        </w:rPr>
      </w:pPr>
      <w:r>
        <w:rPr>
          <w:rFonts w:ascii="黑体" w:eastAsia="黑体"/>
          <w:sz w:val="24"/>
        </w:rPr>
        <w:br w:type="page"/>
      </w:r>
      <w:r>
        <w:rPr>
          <w:rFonts w:hint="eastAsia" w:ascii="黑体" w:eastAsia="黑体"/>
          <w:sz w:val="24"/>
        </w:rPr>
        <w:t>三、服务需求明细</w:t>
      </w:r>
    </w:p>
    <w:tbl>
      <w:tblPr>
        <w:tblStyle w:val="30"/>
        <w:tblpPr w:leftFromText="180" w:rightFromText="180" w:vertAnchor="text" w:horzAnchor="margin" w:tblpXSpec="center" w:tblpY="173"/>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69"/>
        <w:gridCol w:w="3167"/>
        <w:gridCol w:w="816"/>
        <w:gridCol w:w="1262"/>
      </w:tblGrid>
      <w:tr w14:paraId="567B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36" w:type="dxa"/>
            <w:vAlign w:val="center"/>
          </w:tcPr>
          <w:p w14:paraId="6EC9AE2B">
            <w:pPr>
              <w:jc w:val="center"/>
              <w:rPr>
                <w:bCs/>
                <w:szCs w:val="21"/>
              </w:rPr>
            </w:pPr>
            <w:r>
              <w:rPr>
                <w:rFonts w:hint="eastAsia"/>
                <w:bCs/>
                <w:szCs w:val="21"/>
              </w:rPr>
              <w:t>序号</w:t>
            </w:r>
          </w:p>
        </w:tc>
        <w:tc>
          <w:tcPr>
            <w:tcW w:w="1769" w:type="dxa"/>
            <w:vAlign w:val="center"/>
          </w:tcPr>
          <w:p w14:paraId="4A2BA799">
            <w:pPr>
              <w:jc w:val="center"/>
              <w:rPr>
                <w:bCs/>
                <w:szCs w:val="21"/>
              </w:rPr>
            </w:pPr>
            <w:r>
              <w:rPr>
                <w:rFonts w:hint="eastAsia"/>
                <w:szCs w:val="21"/>
              </w:rPr>
              <w:t>采购计划编号</w:t>
            </w:r>
          </w:p>
        </w:tc>
        <w:tc>
          <w:tcPr>
            <w:tcW w:w="3167" w:type="dxa"/>
            <w:vAlign w:val="center"/>
          </w:tcPr>
          <w:p w14:paraId="07C97BB7">
            <w:pPr>
              <w:jc w:val="center"/>
              <w:rPr>
                <w:bCs/>
                <w:szCs w:val="21"/>
              </w:rPr>
            </w:pPr>
            <w:r>
              <w:rPr>
                <w:rFonts w:hint="eastAsia"/>
                <w:bCs/>
                <w:szCs w:val="21"/>
              </w:rPr>
              <w:t>服务需求名称（标的名称）</w:t>
            </w:r>
          </w:p>
        </w:tc>
        <w:tc>
          <w:tcPr>
            <w:tcW w:w="816" w:type="dxa"/>
            <w:vAlign w:val="center"/>
          </w:tcPr>
          <w:p w14:paraId="579BDADE">
            <w:pPr>
              <w:jc w:val="center"/>
              <w:rPr>
                <w:bCs/>
                <w:szCs w:val="21"/>
              </w:rPr>
            </w:pPr>
            <w:r>
              <w:rPr>
                <w:rFonts w:hint="eastAsia"/>
                <w:bCs/>
                <w:szCs w:val="21"/>
              </w:rPr>
              <w:t>数量</w:t>
            </w:r>
          </w:p>
        </w:tc>
        <w:tc>
          <w:tcPr>
            <w:tcW w:w="1262" w:type="dxa"/>
            <w:vAlign w:val="center"/>
          </w:tcPr>
          <w:p w14:paraId="11286A1E">
            <w:pPr>
              <w:jc w:val="center"/>
              <w:rPr>
                <w:bCs/>
                <w:szCs w:val="21"/>
              </w:rPr>
            </w:pPr>
            <w:r>
              <w:rPr>
                <w:rFonts w:hint="eastAsia"/>
                <w:bCs/>
                <w:szCs w:val="21"/>
              </w:rPr>
              <w:t>单位</w:t>
            </w:r>
          </w:p>
        </w:tc>
      </w:tr>
      <w:tr w14:paraId="3D86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36" w:type="dxa"/>
            <w:vAlign w:val="center"/>
          </w:tcPr>
          <w:p w14:paraId="623C7EA0">
            <w:pPr>
              <w:jc w:val="center"/>
              <w:rPr>
                <w:bCs/>
                <w:szCs w:val="21"/>
              </w:rPr>
            </w:pPr>
            <w:r>
              <w:rPr>
                <w:rFonts w:hint="eastAsia"/>
                <w:bCs/>
                <w:szCs w:val="21"/>
              </w:rPr>
              <w:t>1</w:t>
            </w:r>
          </w:p>
        </w:tc>
        <w:tc>
          <w:tcPr>
            <w:tcW w:w="1769" w:type="dxa"/>
            <w:vAlign w:val="center"/>
          </w:tcPr>
          <w:p w14:paraId="45D29B63">
            <w:pPr>
              <w:jc w:val="center"/>
              <w:rPr>
                <w:bCs/>
                <w:szCs w:val="21"/>
              </w:rPr>
            </w:pPr>
            <w:r>
              <w:rPr>
                <w:rFonts w:ascii="宋体" w:hAnsi="宋体"/>
                <w:bCs/>
                <w:szCs w:val="21"/>
              </w:rPr>
              <w:t>FTEYHQZXCG202410</w:t>
            </w:r>
            <w:r>
              <w:rPr>
                <w:rFonts w:hint="eastAsia" w:ascii="宋体" w:hAnsi="宋体"/>
                <w:bCs/>
                <w:szCs w:val="21"/>
              </w:rPr>
              <w:t>0</w:t>
            </w:r>
            <w:r>
              <w:rPr>
                <w:rFonts w:ascii="宋体" w:hAnsi="宋体"/>
                <w:bCs/>
                <w:szCs w:val="21"/>
              </w:rPr>
              <w:t>1</w:t>
            </w:r>
          </w:p>
        </w:tc>
        <w:tc>
          <w:tcPr>
            <w:tcW w:w="3167" w:type="dxa"/>
            <w:vAlign w:val="center"/>
          </w:tcPr>
          <w:p w14:paraId="66476371">
            <w:pPr>
              <w:jc w:val="center"/>
              <w:rPr>
                <w:bCs/>
                <w:szCs w:val="21"/>
              </w:rPr>
            </w:pPr>
            <w:r>
              <w:rPr>
                <w:rFonts w:hint="eastAsia"/>
                <w:bCs/>
                <w:szCs w:val="21"/>
              </w:rPr>
              <w:t>福田区第二人民医院</w:t>
            </w:r>
          </w:p>
          <w:p w14:paraId="3BA007F2">
            <w:pPr>
              <w:jc w:val="center"/>
              <w:rPr>
                <w:bCs/>
                <w:szCs w:val="21"/>
              </w:rPr>
            </w:pPr>
            <w:r>
              <w:rPr>
                <w:rFonts w:hint="eastAsia"/>
                <w:bCs/>
                <w:szCs w:val="21"/>
              </w:rPr>
              <w:t>业务用车维修服务项目</w:t>
            </w:r>
          </w:p>
        </w:tc>
        <w:tc>
          <w:tcPr>
            <w:tcW w:w="816" w:type="dxa"/>
            <w:vAlign w:val="center"/>
          </w:tcPr>
          <w:p w14:paraId="055DA6BC">
            <w:pPr>
              <w:jc w:val="center"/>
              <w:rPr>
                <w:bCs/>
                <w:szCs w:val="21"/>
              </w:rPr>
            </w:pPr>
            <w:r>
              <w:rPr>
                <w:rFonts w:hint="eastAsia"/>
              </w:rPr>
              <w:t>1</w:t>
            </w:r>
          </w:p>
        </w:tc>
        <w:tc>
          <w:tcPr>
            <w:tcW w:w="1262" w:type="dxa"/>
            <w:vAlign w:val="center"/>
          </w:tcPr>
          <w:p w14:paraId="74D22946">
            <w:pPr>
              <w:jc w:val="center"/>
              <w:rPr>
                <w:bCs/>
                <w:szCs w:val="21"/>
              </w:rPr>
            </w:pPr>
            <w:r>
              <w:rPr>
                <w:rFonts w:hint="eastAsia"/>
                <w:bCs/>
                <w:szCs w:val="21"/>
              </w:rPr>
              <w:t>项</w:t>
            </w:r>
          </w:p>
        </w:tc>
      </w:tr>
    </w:tbl>
    <w:p w14:paraId="1010BDD6"/>
    <w:p w14:paraId="2074F0AF">
      <w:pPr>
        <w:pStyle w:val="2"/>
      </w:pPr>
    </w:p>
    <w:p w14:paraId="237D8993">
      <w:pPr>
        <w:pStyle w:val="2"/>
      </w:pPr>
    </w:p>
    <w:p w14:paraId="6273BD05">
      <w:pPr>
        <w:pStyle w:val="2"/>
      </w:pPr>
    </w:p>
    <w:p w14:paraId="3762CB20">
      <w:pPr>
        <w:pStyle w:val="2"/>
        <w:jc w:val="center"/>
        <w:rPr>
          <w:rFonts w:ascii="黑体" w:hAnsi="Times New Roman" w:eastAsia="黑体"/>
          <w:b/>
          <w:kern w:val="0"/>
          <w:sz w:val="24"/>
          <w:szCs w:val="20"/>
        </w:rPr>
      </w:pPr>
      <w:r>
        <w:rPr>
          <w:rFonts w:hint="eastAsia" w:ascii="黑体" w:hAnsi="Times New Roman" w:eastAsia="黑体"/>
          <w:b/>
          <w:kern w:val="0"/>
          <w:sz w:val="24"/>
          <w:szCs w:val="20"/>
        </w:rPr>
        <w:t>四、实质性条款</w:t>
      </w:r>
    </w:p>
    <w:p w14:paraId="29D2124D">
      <w:pPr>
        <w:pStyle w:val="2"/>
      </w:pPr>
    </w:p>
    <w:tbl>
      <w:tblPr>
        <w:tblStyle w:val="3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672"/>
      </w:tblGrid>
      <w:tr w14:paraId="0525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20A6A4A7">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8672" w:type="dxa"/>
          </w:tcPr>
          <w:p w14:paraId="4D8FAD18">
            <w:pPr>
              <w:adjustRightInd w:val="0"/>
              <w:snapToGrid w:val="0"/>
              <w:spacing w:line="360" w:lineRule="auto"/>
              <w:jc w:val="center"/>
              <w:rPr>
                <w:rFonts w:ascii="宋体" w:hAnsi="宋体"/>
                <w:kern w:val="0"/>
                <w:szCs w:val="21"/>
              </w:rPr>
            </w:pPr>
            <w:r>
              <w:rPr>
                <w:rFonts w:hint="eastAsia" w:ascii="宋体" w:hAnsi="宋体" w:cs="宋体"/>
                <w:b/>
                <w:color w:val="FF0000"/>
                <w:szCs w:val="21"/>
              </w:rPr>
              <w:t>★</w:t>
            </w:r>
            <w:r>
              <w:rPr>
                <w:rFonts w:hint="eastAsia" w:ascii="宋体" w:hAnsi="宋体"/>
                <w:kern w:val="0"/>
                <w:szCs w:val="21"/>
              </w:rPr>
              <w:t>实质性条款具体内容</w:t>
            </w:r>
          </w:p>
        </w:tc>
      </w:tr>
      <w:tr w14:paraId="6AB4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03BB5D9">
            <w:pPr>
              <w:adjustRightInd w:val="0"/>
              <w:snapToGrid w:val="0"/>
              <w:spacing w:line="360" w:lineRule="auto"/>
              <w:rPr>
                <w:rFonts w:ascii="宋体" w:hAnsi="宋体"/>
                <w:kern w:val="0"/>
                <w:szCs w:val="21"/>
              </w:rPr>
            </w:pPr>
            <w:r>
              <w:rPr>
                <w:rFonts w:ascii="宋体" w:hAnsi="宋体"/>
                <w:kern w:val="0"/>
                <w:szCs w:val="21"/>
              </w:rPr>
              <w:t>1</w:t>
            </w:r>
          </w:p>
        </w:tc>
        <w:tc>
          <w:tcPr>
            <w:tcW w:w="8672" w:type="dxa"/>
          </w:tcPr>
          <w:p w14:paraId="1E33F46D">
            <w:pPr>
              <w:rPr>
                <w:rFonts w:asciiTheme="minorEastAsia" w:hAnsiTheme="minorEastAsia" w:eastAsiaTheme="minorEastAsia"/>
              </w:rPr>
            </w:pPr>
            <w:r>
              <w:rPr>
                <w:rFonts w:hint="eastAsia" w:ascii="宋体" w:hAnsi="宋体"/>
                <w:kern w:val="0"/>
                <w:szCs w:val="21"/>
              </w:rPr>
              <w:t>服务需求中的“其他要求”；商务要求</w:t>
            </w:r>
          </w:p>
        </w:tc>
      </w:tr>
    </w:tbl>
    <w:p w14:paraId="429ADA2C">
      <w:pPr>
        <w:pStyle w:val="2"/>
      </w:pPr>
    </w:p>
    <w:p w14:paraId="2477062A">
      <w:pPr>
        <w:widowControl/>
        <w:jc w:val="left"/>
        <w:rPr>
          <w:rFonts w:ascii="黑体" w:eastAsia="黑体"/>
          <w:b/>
          <w:kern w:val="0"/>
          <w:sz w:val="24"/>
          <w:szCs w:val="20"/>
        </w:rPr>
      </w:pPr>
    </w:p>
    <w:p w14:paraId="59C427BD">
      <w:pPr>
        <w:pStyle w:val="5"/>
        <w:spacing w:before="120" w:after="120"/>
        <w:jc w:val="center"/>
        <w:rPr>
          <w:rFonts w:ascii="黑体" w:eastAsia="黑体"/>
          <w:sz w:val="24"/>
        </w:rPr>
      </w:pPr>
      <w:r>
        <w:rPr>
          <w:rFonts w:hint="eastAsia" w:ascii="黑体" w:eastAsia="黑体"/>
          <w:sz w:val="24"/>
        </w:rPr>
        <w:t>五、商务要求</w:t>
      </w:r>
    </w:p>
    <w:p w14:paraId="0B1379C5">
      <w:pPr>
        <w:rPr>
          <w:rFonts w:ascii="宋体" w:hAnsi="宋体"/>
          <w:b/>
          <w:szCs w:val="21"/>
        </w:rPr>
      </w:pPr>
      <w:r>
        <w:rPr>
          <w:rFonts w:hint="eastAsia" w:ascii="宋体" w:hAnsi="宋体"/>
          <w:b/>
          <w:szCs w:val="21"/>
        </w:rPr>
        <w:t>说明：</w:t>
      </w:r>
    </w:p>
    <w:p w14:paraId="7E7E2293">
      <w:pPr>
        <w:ind w:left="413" w:hanging="413" w:hangingChars="196"/>
        <w:rPr>
          <w:rFonts w:ascii="宋体" w:hAnsi="宋体"/>
          <w:b/>
          <w:szCs w:val="21"/>
        </w:rPr>
      </w:pPr>
      <w:r>
        <w:rPr>
          <w:rFonts w:hint="eastAsia" w:ascii="宋体" w:hAnsi="宋体"/>
          <w:b/>
          <w:szCs w:val="21"/>
        </w:rPr>
        <w:t>（1）以下序号并非和格式合同序号相对应，仅为本合同主要条款编排；内容如与格式合同不一致，以本条款内容为准。</w:t>
      </w:r>
    </w:p>
    <w:p w14:paraId="0ADF2F0D">
      <w:pPr>
        <w:ind w:left="413" w:hanging="413" w:hangingChars="196"/>
        <w:rPr>
          <w:rFonts w:ascii="宋体" w:hAnsi="宋体"/>
          <w:b/>
          <w:color w:val="0000FF"/>
          <w:szCs w:val="21"/>
        </w:rPr>
      </w:pPr>
      <w:r>
        <w:rPr>
          <w:rFonts w:hint="eastAsia" w:ascii="宋体" w:hAnsi="宋体"/>
          <w:b/>
          <w:szCs w:val="21"/>
        </w:rPr>
        <w:t>（2）</w:t>
      </w:r>
      <w:r>
        <w:rPr>
          <w:rFonts w:hint="eastAsia" w:ascii="宋体" w:hAnsi="宋体"/>
          <w:b/>
          <w:color w:val="0000FF"/>
          <w:szCs w:val="21"/>
        </w:rPr>
        <w:t>以下商务条款为合同的组成部分，属于实质性条款。供应商必须满足商务条款中各条款，否则，应答无效处理。</w:t>
      </w:r>
    </w:p>
    <w:p w14:paraId="1B476D7B">
      <w:pPr>
        <w:ind w:left="413" w:hanging="413" w:hangingChars="196"/>
        <w:rPr>
          <w:rFonts w:ascii="宋体" w:hAnsi="宋体"/>
          <w:b/>
          <w:szCs w:val="21"/>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7615"/>
      </w:tblGrid>
      <w:tr w14:paraId="342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Align w:val="center"/>
          </w:tcPr>
          <w:p w14:paraId="141ED63D">
            <w:pPr>
              <w:jc w:val="center"/>
              <w:rPr>
                <w:rFonts w:ascii="宋体" w:hAnsi="宋体"/>
                <w:b/>
                <w:snapToGrid w:val="0"/>
                <w:kern w:val="0"/>
                <w:szCs w:val="21"/>
                <w:lang w:val="zh-CN"/>
              </w:rPr>
            </w:pPr>
            <w:r>
              <w:rPr>
                <w:rFonts w:hint="eastAsia" w:ascii="宋体" w:hAnsi="宋体"/>
                <w:b/>
                <w:snapToGrid w:val="0"/>
                <w:kern w:val="0"/>
                <w:szCs w:val="21"/>
                <w:lang w:val="zh-CN"/>
              </w:rPr>
              <w:t>序号</w:t>
            </w:r>
          </w:p>
        </w:tc>
        <w:tc>
          <w:tcPr>
            <w:tcW w:w="1418" w:type="dxa"/>
            <w:vAlign w:val="center"/>
          </w:tcPr>
          <w:p w14:paraId="4F0AD5DE">
            <w:pPr>
              <w:jc w:val="center"/>
              <w:rPr>
                <w:rFonts w:ascii="宋体" w:hAnsi="宋体"/>
                <w:b/>
                <w:snapToGrid w:val="0"/>
                <w:kern w:val="0"/>
                <w:szCs w:val="21"/>
                <w:lang w:val="zh-CN"/>
              </w:rPr>
            </w:pPr>
            <w:r>
              <w:rPr>
                <w:rFonts w:hint="eastAsia" w:ascii="宋体" w:hAnsi="宋体"/>
                <w:b/>
                <w:snapToGrid w:val="0"/>
                <w:kern w:val="0"/>
                <w:szCs w:val="21"/>
                <w:lang w:val="zh-CN"/>
              </w:rPr>
              <w:t>目录</w:t>
            </w:r>
          </w:p>
        </w:tc>
        <w:tc>
          <w:tcPr>
            <w:tcW w:w="7615" w:type="dxa"/>
            <w:vAlign w:val="center"/>
          </w:tcPr>
          <w:p w14:paraId="56FA80A5">
            <w:pPr>
              <w:jc w:val="center"/>
              <w:rPr>
                <w:rFonts w:ascii="宋体" w:hAnsi="宋体"/>
                <w:b/>
                <w:snapToGrid w:val="0"/>
                <w:kern w:val="0"/>
                <w:szCs w:val="21"/>
                <w:lang w:val="zh-CN"/>
              </w:rPr>
            </w:pPr>
            <w:r>
              <w:rPr>
                <w:rFonts w:hint="eastAsia" w:ascii="宋体" w:hAnsi="宋体"/>
                <w:b/>
                <w:snapToGrid w:val="0"/>
                <w:color w:val="FF0000"/>
                <w:kern w:val="0"/>
                <w:szCs w:val="21"/>
                <w:lang w:val="zh-CN"/>
              </w:rPr>
              <w:t>★</w:t>
            </w:r>
            <w:r>
              <w:rPr>
                <w:rFonts w:hint="eastAsia" w:ascii="宋体" w:hAnsi="宋体"/>
                <w:b/>
                <w:snapToGrid w:val="0"/>
                <w:kern w:val="0"/>
                <w:szCs w:val="21"/>
                <w:lang w:val="zh-CN"/>
              </w:rPr>
              <w:t>商务条款要求</w:t>
            </w:r>
          </w:p>
        </w:tc>
      </w:tr>
      <w:tr w14:paraId="42D7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6565EE">
            <w:pPr>
              <w:rPr>
                <w:rFonts w:ascii="宋体" w:hAnsi="宋体"/>
                <w:b/>
                <w:snapToGrid w:val="0"/>
                <w:kern w:val="0"/>
                <w:szCs w:val="21"/>
                <w:lang w:val="zh-CN"/>
              </w:rPr>
            </w:pPr>
            <w:r>
              <w:rPr>
                <w:rFonts w:hint="eastAsia" w:ascii="宋体" w:hAnsi="宋体"/>
                <w:b/>
                <w:snapToGrid w:val="0"/>
                <w:kern w:val="0"/>
                <w:szCs w:val="21"/>
                <w:lang w:val="zh-CN"/>
              </w:rPr>
              <w:t>1</w:t>
            </w:r>
          </w:p>
        </w:tc>
        <w:tc>
          <w:tcPr>
            <w:tcW w:w="1418" w:type="dxa"/>
            <w:vAlign w:val="center"/>
          </w:tcPr>
          <w:p w14:paraId="4EFA1C98">
            <w:pPr>
              <w:rPr>
                <w:rFonts w:ascii="宋体" w:hAnsi="宋体"/>
                <w:b/>
                <w:snapToGrid w:val="0"/>
                <w:kern w:val="0"/>
                <w:szCs w:val="21"/>
                <w:lang w:val="zh-CN"/>
              </w:rPr>
            </w:pPr>
            <w:r>
              <w:rPr>
                <w:rFonts w:hint="eastAsia" w:ascii="宋体" w:hAnsi="宋体"/>
                <w:b/>
                <w:snapToGrid w:val="0"/>
                <w:kern w:val="0"/>
                <w:szCs w:val="21"/>
                <w:lang w:val="zh-CN"/>
              </w:rPr>
              <w:t>服务期要求</w:t>
            </w:r>
          </w:p>
        </w:tc>
        <w:tc>
          <w:tcPr>
            <w:tcW w:w="7615" w:type="dxa"/>
          </w:tcPr>
          <w:p w14:paraId="351EEE49">
            <w:pPr>
              <w:rPr>
                <w:rFonts w:ascii="宋体" w:hAnsi="宋体"/>
                <w:bCs/>
                <w:snapToGrid w:val="0"/>
                <w:kern w:val="0"/>
                <w:szCs w:val="21"/>
                <w:lang w:val="zh-CN"/>
              </w:rPr>
            </w:pPr>
            <w:r>
              <w:rPr>
                <w:rFonts w:hint="eastAsia" w:ascii="宋体" w:hAnsi="宋体"/>
                <w:szCs w:val="21"/>
              </w:rPr>
              <w:t>系指合同签订之日起至服务结束的时间期限</w:t>
            </w:r>
            <w:r>
              <w:rPr>
                <w:rFonts w:hint="eastAsia" w:ascii="宋体" w:hAnsi="宋体"/>
                <w:bCs/>
                <w:szCs w:val="21"/>
              </w:rPr>
              <w:t>。具体是指合同签订后</w:t>
            </w:r>
            <w:r>
              <w:rPr>
                <w:rFonts w:hint="eastAsia" w:ascii="宋体" w:hAnsi="宋体"/>
                <w:bCs/>
                <w:szCs w:val="21"/>
                <w:u w:val="single"/>
              </w:rPr>
              <w:t xml:space="preserve">   </w:t>
            </w:r>
            <w:r>
              <w:rPr>
                <w:rFonts w:ascii="宋体" w:hAnsi="宋体"/>
                <w:bCs/>
                <w:szCs w:val="21"/>
                <w:u w:val="single"/>
              </w:rPr>
              <w:t>12</w:t>
            </w:r>
            <w:r>
              <w:rPr>
                <w:rFonts w:hint="eastAsia" w:ascii="宋体" w:hAnsi="宋体"/>
                <w:bCs/>
                <w:szCs w:val="21"/>
                <w:u w:val="single"/>
              </w:rPr>
              <w:t xml:space="preserve">个月 </w:t>
            </w:r>
            <w:r>
              <w:rPr>
                <w:rFonts w:hint="eastAsia" w:ascii="宋体" w:hAnsi="宋体"/>
                <w:bCs/>
                <w:szCs w:val="21"/>
              </w:rPr>
              <w:t>。</w:t>
            </w:r>
          </w:p>
        </w:tc>
      </w:tr>
      <w:tr w14:paraId="7CE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CDD900E">
            <w:pPr>
              <w:rPr>
                <w:rFonts w:ascii="宋体" w:hAnsi="宋体"/>
                <w:b/>
                <w:snapToGrid w:val="0"/>
                <w:kern w:val="0"/>
                <w:szCs w:val="21"/>
                <w:lang w:val="zh-CN"/>
              </w:rPr>
            </w:pPr>
            <w:r>
              <w:rPr>
                <w:rFonts w:hint="eastAsia" w:ascii="宋体" w:hAnsi="宋体"/>
                <w:b/>
                <w:snapToGrid w:val="0"/>
                <w:kern w:val="0"/>
                <w:szCs w:val="21"/>
                <w:lang w:val="zh-CN"/>
              </w:rPr>
              <w:t>2</w:t>
            </w:r>
          </w:p>
        </w:tc>
        <w:tc>
          <w:tcPr>
            <w:tcW w:w="1418" w:type="dxa"/>
            <w:vAlign w:val="center"/>
          </w:tcPr>
          <w:p w14:paraId="6E4FA67F">
            <w:pPr>
              <w:rPr>
                <w:rFonts w:ascii="宋体" w:hAnsi="宋体"/>
                <w:b/>
                <w:snapToGrid w:val="0"/>
                <w:kern w:val="0"/>
                <w:szCs w:val="21"/>
                <w:lang w:val="zh-CN"/>
              </w:rPr>
            </w:pPr>
            <w:r>
              <w:rPr>
                <w:rFonts w:hint="eastAsia" w:ascii="宋体" w:hAnsi="宋体"/>
                <w:b/>
                <w:snapToGrid w:val="0"/>
                <w:kern w:val="0"/>
                <w:szCs w:val="21"/>
                <w:lang w:val="zh-CN"/>
              </w:rPr>
              <w:t>服务地点</w:t>
            </w:r>
          </w:p>
        </w:tc>
        <w:tc>
          <w:tcPr>
            <w:tcW w:w="7615" w:type="dxa"/>
          </w:tcPr>
          <w:p w14:paraId="01A79C02">
            <w:pPr>
              <w:rPr>
                <w:rFonts w:ascii="宋体" w:hAnsi="宋体"/>
                <w:bCs/>
                <w:snapToGrid w:val="0"/>
                <w:kern w:val="0"/>
                <w:szCs w:val="21"/>
                <w:lang w:val="zh-CN"/>
              </w:rPr>
            </w:pPr>
            <w:r>
              <w:rPr>
                <w:rFonts w:hint="eastAsia" w:ascii="宋体" w:hAnsi="宋体"/>
                <w:bCs/>
                <w:snapToGrid w:val="0"/>
                <w:kern w:val="0"/>
                <w:szCs w:val="21"/>
                <w:lang w:val="zh-CN"/>
              </w:rPr>
              <w:t>深圳市福田区第二人民医院</w:t>
            </w:r>
          </w:p>
        </w:tc>
      </w:tr>
      <w:tr w14:paraId="20F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E8DD31">
            <w:pPr>
              <w:rPr>
                <w:rFonts w:ascii="宋体" w:hAnsi="宋体"/>
                <w:b/>
                <w:snapToGrid w:val="0"/>
                <w:kern w:val="0"/>
                <w:szCs w:val="21"/>
                <w:lang w:val="zh-CN"/>
              </w:rPr>
            </w:pPr>
            <w:r>
              <w:rPr>
                <w:rFonts w:hint="eastAsia" w:ascii="宋体" w:hAnsi="宋体"/>
                <w:b/>
                <w:snapToGrid w:val="0"/>
                <w:kern w:val="0"/>
                <w:szCs w:val="21"/>
                <w:lang w:val="zh-CN"/>
              </w:rPr>
              <w:t>3</w:t>
            </w:r>
          </w:p>
        </w:tc>
        <w:tc>
          <w:tcPr>
            <w:tcW w:w="1418" w:type="dxa"/>
            <w:vAlign w:val="center"/>
          </w:tcPr>
          <w:p w14:paraId="2D4BB0BF">
            <w:pPr>
              <w:rPr>
                <w:rFonts w:ascii="宋体" w:hAnsi="宋体"/>
                <w:b/>
                <w:snapToGrid w:val="0"/>
                <w:kern w:val="0"/>
                <w:szCs w:val="21"/>
                <w:lang w:val="zh-CN"/>
              </w:rPr>
            </w:pPr>
            <w:r>
              <w:rPr>
                <w:rFonts w:hint="eastAsia" w:ascii="宋体" w:hAnsi="宋体"/>
                <w:b/>
                <w:snapToGrid w:val="0"/>
                <w:kern w:val="0"/>
                <w:szCs w:val="21"/>
                <w:lang w:val="zh-CN"/>
              </w:rPr>
              <w:t>付款方式</w:t>
            </w:r>
          </w:p>
        </w:tc>
        <w:tc>
          <w:tcPr>
            <w:tcW w:w="7615" w:type="dxa"/>
          </w:tcPr>
          <w:p w14:paraId="0D4B6F1E">
            <w:pPr>
              <w:rPr>
                <w:kern w:val="0"/>
                <w:sz w:val="24"/>
              </w:rPr>
            </w:pPr>
            <w:r>
              <w:rPr>
                <w:rFonts w:hint="eastAsia" w:ascii="宋体" w:hAnsi="宋体" w:cs="宋体"/>
                <w:szCs w:val="21"/>
              </w:rPr>
              <w:t>按月结算。供应商每月10日前须将上月</w:t>
            </w:r>
            <w:r>
              <w:rPr>
                <w:rFonts w:hint="eastAsia" w:ascii="宋体" w:hAnsi="宋体"/>
              </w:rPr>
              <w:t xml:space="preserve"> “车辆维修报价单”“车辆维修送修单”“车辆维修汇总表”“车辆维修结算单”等</w:t>
            </w:r>
            <w:r>
              <w:rPr>
                <w:rFonts w:hint="eastAsia" w:ascii="宋体" w:hAnsi="宋体" w:cs="宋体"/>
                <w:szCs w:val="21"/>
              </w:rPr>
              <w:t>维修结算材料交采购人并提供合法票据, 采购人审核原始凭证票据无误后1</w:t>
            </w:r>
            <w:r>
              <w:rPr>
                <w:rFonts w:ascii="宋体" w:hAnsi="宋体" w:cs="宋体"/>
                <w:szCs w:val="21"/>
              </w:rPr>
              <w:t>0</w:t>
            </w:r>
            <w:r>
              <w:rPr>
                <w:rFonts w:hint="eastAsia" w:ascii="宋体" w:hAnsi="宋体" w:cs="宋体"/>
                <w:szCs w:val="21"/>
              </w:rPr>
              <w:t>个工作日内付款。本项目</w:t>
            </w:r>
            <w:r>
              <w:rPr>
                <w:rFonts w:hint="eastAsia" w:ascii="宋体" w:hAnsi="宋体" w:cs="宋体"/>
                <w:color w:val="FF0000"/>
                <w:szCs w:val="21"/>
              </w:rPr>
              <w:t>年度结算支付金额不得超过本项目支付上限，即年结算支付总额不得超过1</w:t>
            </w:r>
            <w:r>
              <w:rPr>
                <w:rFonts w:ascii="宋体" w:hAnsi="宋体" w:cs="宋体"/>
                <w:color w:val="FF0000"/>
                <w:szCs w:val="21"/>
              </w:rPr>
              <w:t>50000</w:t>
            </w:r>
            <w:r>
              <w:rPr>
                <w:rFonts w:hint="eastAsia" w:ascii="宋体" w:hAnsi="宋体" w:cs="宋体"/>
                <w:color w:val="FF0000"/>
                <w:szCs w:val="21"/>
              </w:rPr>
              <w:t>元。</w:t>
            </w:r>
          </w:p>
        </w:tc>
      </w:tr>
      <w:tr w14:paraId="5726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A2FE74">
            <w:pPr>
              <w:rPr>
                <w:rFonts w:ascii="宋体" w:hAnsi="宋体"/>
                <w:b/>
                <w:snapToGrid w:val="0"/>
                <w:kern w:val="0"/>
                <w:szCs w:val="21"/>
                <w:lang w:val="zh-CN"/>
              </w:rPr>
            </w:pPr>
            <w:r>
              <w:rPr>
                <w:rFonts w:hint="eastAsia" w:ascii="宋体" w:hAnsi="宋体"/>
                <w:b/>
                <w:snapToGrid w:val="0"/>
                <w:kern w:val="0"/>
                <w:szCs w:val="21"/>
                <w:lang w:val="zh-CN"/>
              </w:rPr>
              <w:t>4</w:t>
            </w:r>
          </w:p>
        </w:tc>
        <w:tc>
          <w:tcPr>
            <w:tcW w:w="1418" w:type="dxa"/>
            <w:vAlign w:val="center"/>
          </w:tcPr>
          <w:p w14:paraId="2D21D077">
            <w:pPr>
              <w:rPr>
                <w:rFonts w:ascii="宋体" w:hAnsi="宋体"/>
                <w:b/>
                <w:snapToGrid w:val="0"/>
                <w:kern w:val="0"/>
                <w:szCs w:val="21"/>
                <w:lang w:val="zh-CN"/>
              </w:rPr>
            </w:pPr>
            <w:r>
              <w:rPr>
                <w:rFonts w:hint="eastAsia" w:ascii="宋体" w:hAnsi="宋体"/>
                <w:b/>
                <w:snapToGrid w:val="0"/>
                <w:kern w:val="0"/>
                <w:szCs w:val="21"/>
                <w:lang w:val="zh-CN"/>
              </w:rPr>
              <w:t>关于验收</w:t>
            </w:r>
          </w:p>
          <w:p w14:paraId="11EB1CA0">
            <w:pPr>
              <w:rPr>
                <w:rFonts w:ascii="宋体" w:hAnsi="宋体"/>
                <w:b/>
                <w:snapToGrid w:val="0"/>
                <w:kern w:val="0"/>
                <w:szCs w:val="21"/>
                <w:lang w:val="zh-CN"/>
              </w:rPr>
            </w:pPr>
          </w:p>
        </w:tc>
        <w:tc>
          <w:tcPr>
            <w:tcW w:w="7615" w:type="dxa"/>
          </w:tcPr>
          <w:p w14:paraId="6400725D">
            <w:pPr>
              <w:tabs>
                <w:tab w:val="left" w:pos="1260"/>
              </w:tabs>
              <w:ind w:left="886" w:leftChars="356" w:hanging="138" w:hangingChars="66"/>
              <w:rPr>
                <w:rFonts w:ascii="宋体" w:hAnsi="宋体"/>
                <w:szCs w:val="21"/>
              </w:rPr>
            </w:pPr>
            <w:r>
              <w:rPr>
                <w:rFonts w:hint="eastAsia" w:ascii="宋体" w:hAnsi="宋体"/>
                <w:szCs w:val="21"/>
              </w:rPr>
              <w:t>标准：</w:t>
            </w:r>
          </w:p>
          <w:p w14:paraId="00303C9F">
            <w:pPr>
              <w:tabs>
                <w:tab w:val="left" w:pos="1260"/>
              </w:tabs>
              <w:ind w:left="886" w:leftChars="356" w:hanging="138" w:hangingChars="66"/>
              <w:rPr>
                <w:rFonts w:ascii="宋体" w:hAnsi="宋体"/>
                <w:b/>
                <w:szCs w:val="21"/>
              </w:rPr>
            </w:pPr>
            <w:r>
              <w:rPr>
                <w:rFonts w:hint="eastAsia" w:ascii="宋体" w:hAnsi="宋体"/>
                <w:bCs/>
                <w:szCs w:val="21"/>
              </w:rPr>
              <w:t>1）服务经过双方检验认可后，签署验收报告。</w:t>
            </w:r>
          </w:p>
          <w:p w14:paraId="55924347">
            <w:pPr>
              <w:tabs>
                <w:tab w:val="left" w:pos="1260"/>
              </w:tabs>
              <w:ind w:left="886" w:leftChars="356" w:hanging="138" w:hangingChars="66"/>
              <w:rPr>
                <w:rFonts w:ascii="宋体" w:hAnsi="宋体"/>
                <w:bCs/>
                <w:szCs w:val="21"/>
              </w:rPr>
            </w:pPr>
            <w:r>
              <w:rPr>
                <w:rFonts w:hint="eastAsia" w:ascii="宋体" w:hAnsi="宋体"/>
                <w:bCs/>
                <w:szCs w:val="21"/>
              </w:rPr>
              <w:t>2）当满足以下条件时，采购人才向中标人签发验收报告：</w:t>
            </w:r>
          </w:p>
          <w:p w14:paraId="672BD861">
            <w:pPr>
              <w:tabs>
                <w:tab w:val="left" w:pos="1260"/>
              </w:tabs>
              <w:ind w:left="886" w:leftChars="356" w:hanging="138" w:hangingChars="66"/>
              <w:rPr>
                <w:rFonts w:ascii="宋体" w:hAnsi="宋体"/>
                <w:bCs/>
                <w:szCs w:val="21"/>
              </w:rPr>
            </w:pPr>
            <w:r>
              <w:rPr>
                <w:rFonts w:hint="eastAsia" w:ascii="宋体" w:hAnsi="宋体"/>
                <w:bCs/>
                <w:szCs w:val="21"/>
              </w:rPr>
              <w:t>a、中标人已按照合同规定提供了全部技术资料。</w:t>
            </w:r>
          </w:p>
          <w:p w14:paraId="4FEBBC58">
            <w:pPr>
              <w:ind w:firstLine="735" w:firstLineChars="350"/>
              <w:rPr>
                <w:rFonts w:ascii="宋体" w:hAnsi="宋体"/>
                <w:bCs/>
                <w:snapToGrid w:val="0"/>
                <w:kern w:val="0"/>
                <w:szCs w:val="21"/>
                <w:lang w:val="zh-CN"/>
              </w:rPr>
            </w:pPr>
            <w:r>
              <w:rPr>
                <w:rFonts w:hint="eastAsia" w:ascii="宋体" w:hAnsi="宋体"/>
                <w:bCs/>
                <w:szCs w:val="21"/>
              </w:rPr>
              <w:t>b、服务项目符合谈判文件的服务要求</w:t>
            </w:r>
          </w:p>
        </w:tc>
      </w:tr>
      <w:tr w14:paraId="3BE1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5CB193">
            <w:pPr>
              <w:rPr>
                <w:rFonts w:ascii="宋体" w:hAnsi="宋体"/>
                <w:b/>
                <w:snapToGrid w:val="0"/>
                <w:kern w:val="0"/>
                <w:szCs w:val="21"/>
                <w:lang w:val="zh-CN"/>
              </w:rPr>
            </w:pPr>
            <w:r>
              <w:rPr>
                <w:rFonts w:hint="eastAsia" w:ascii="宋体" w:hAnsi="宋体"/>
                <w:b/>
                <w:snapToGrid w:val="0"/>
                <w:kern w:val="0"/>
                <w:szCs w:val="21"/>
                <w:lang w:val="zh-CN"/>
              </w:rPr>
              <w:t>5</w:t>
            </w:r>
          </w:p>
        </w:tc>
        <w:tc>
          <w:tcPr>
            <w:tcW w:w="1418" w:type="dxa"/>
            <w:vAlign w:val="center"/>
          </w:tcPr>
          <w:p w14:paraId="0111E475">
            <w:pPr>
              <w:rPr>
                <w:rFonts w:ascii="宋体" w:hAnsi="宋体"/>
                <w:b/>
                <w:snapToGrid w:val="0"/>
                <w:kern w:val="0"/>
                <w:szCs w:val="21"/>
                <w:lang w:val="zh-CN"/>
              </w:rPr>
            </w:pPr>
            <w:r>
              <w:rPr>
                <w:rFonts w:hint="eastAsia" w:ascii="宋体" w:hAnsi="宋体"/>
                <w:b/>
                <w:snapToGrid w:val="0"/>
                <w:kern w:val="0"/>
                <w:szCs w:val="21"/>
                <w:lang w:val="zh-CN"/>
              </w:rPr>
              <w:t>其他</w:t>
            </w:r>
          </w:p>
        </w:tc>
        <w:tc>
          <w:tcPr>
            <w:tcW w:w="7615" w:type="dxa"/>
          </w:tcPr>
          <w:p w14:paraId="0A2204D8">
            <w:pPr>
              <w:pStyle w:val="75"/>
              <w:numPr>
                <w:ilvl w:val="0"/>
                <w:numId w:val="10"/>
              </w:numPr>
              <w:ind w:firstLineChars="0"/>
              <w:rPr>
                <w:rFonts w:ascii="宋体" w:hAnsi="宋体" w:cs="宋体"/>
                <w:bCs/>
                <w:szCs w:val="21"/>
              </w:rPr>
            </w:pPr>
            <w:r>
              <w:rPr>
                <w:rFonts w:hint="eastAsia" w:ascii="宋体" w:hAnsi="宋体" w:cs="宋体"/>
                <w:bCs/>
                <w:szCs w:val="21"/>
              </w:rPr>
              <w:t>计价方式</w:t>
            </w:r>
          </w:p>
          <w:p w14:paraId="0A8AF775">
            <w:pPr>
              <w:ind w:firstLine="420" w:firstLineChars="200"/>
              <w:rPr>
                <w:rFonts w:ascii="宋体" w:hAnsi="宋体" w:cs="宋体"/>
                <w:bCs/>
                <w:szCs w:val="21"/>
              </w:rPr>
            </w:pPr>
            <w:r>
              <w:rPr>
                <w:rFonts w:hint="eastAsia" w:ascii="宋体" w:hAnsi="宋体" w:cs="宋体"/>
                <w:bCs/>
                <w:szCs w:val="21"/>
              </w:rPr>
              <w:t>车辆维修部分</w:t>
            </w:r>
          </w:p>
          <w:p w14:paraId="1043EE4B">
            <w:pPr>
              <w:ind w:firstLine="420" w:firstLineChars="200"/>
              <w:rPr>
                <w:rFonts w:ascii="宋体" w:hAnsi="宋体" w:cs="宋体"/>
                <w:szCs w:val="21"/>
              </w:rPr>
            </w:pPr>
            <w:r>
              <w:rPr>
                <w:rFonts w:hint="eastAsia" w:ascii="宋体" w:hAnsi="宋体" w:cs="宋体"/>
                <w:szCs w:val="21"/>
              </w:rPr>
              <w:t>①计价公式：单辆车辆维修费 =</w:t>
            </w:r>
            <w:r>
              <w:rPr>
                <w:rFonts w:ascii="宋体" w:hAnsi="宋体" w:cs="宋体"/>
                <w:szCs w:val="21"/>
              </w:rPr>
              <w:t xml:space="preserve"> </w:t>
            </w:r>
            <w:r>
              <w:rPr>
                <w:rFonts w:hint="eastAsia" w:ascii="宋体" w:hAnsi="宋体" w:cs="宋体"/>
                <w:szCs w:val="21"/>
              </w:rPr>
              <w:t>（工时定额 ×工时基准价＋维修材料进货价×维修材料管理费率基准价）×中标折扣+维修材料进货价</w:t>
            </w:r>
          </w:p>
          <w:p w14:paraId="19195BDC">
            <w:pPr>
              <w:ind w:firstLine="420" w:firstLineChars="200"/>
              <w:rPr>
                <w:rFonts w:ascii="宋体" w:hAnsi="宋体" w:cs="宋体"/>
                <w:szCs w:val="21"/>
              </w:rPr>
            </w:pPr>
            <w:r>
              <w:rPr>
                <w:rFonts w:hint="eastAsia" w:ascii="宋体" w:hAnsi="宋体" w:cs="宋体"/>
                <w:szCs w:val="21"/>
              </w:rPr>
              <w:t>②工时定额按《深圳市汽车维修工时定额标准（2017修订版）》执行。车辆实施维修前，中标人应向采购人申报工时定额，经采购人审批后确定方可执行。</w:t>
            </w:r>
          </w:p>
          <w:p w14:paraId="7CE5CBA1">
            <w:pPr>
              <w:ind w:firstLine="420" w:firstLineChars="200"/>
              <w:rPr>
                <w:rStyle w:val="35"/>
                <w:rFonts w:ascii="宋体"/>
                <w:kern w:val="0"/>
              </w:rPr>
            </w:pPr>
            <w:r>
              <w:rPr>
                <w:rFonts w:hint="eastAsia" w:ascii="宋体" w:hAnsi="宋体" w:cs="宋体"/>
                <w:szCs w:val="21"/>
              </w:rPr>
              <w:t>③维修材料进货价以中标人实际进货价格为准（每季度向采购人提供零配件价格及发票进行备案）；交通事故造成车辆损坏的，维修材料以保险公司车辆定损价格为准。投标人提供的维修材料必须是原厂出品材料。（</w:t>
            </w:r>
            <w:r>
              <w:rPr>
                <w:rFonts w:hint="eastAsia" w:ascii="宋体" w:hAnsi="宋体" w:cs="宋体"/>
                <w:b/>
                <w:color w:val="FF0000"/>
                <w:szCs w:val="21"/>
              </w:rPr>
              <w:t>投标人须提供加盖公章的《业务用车维修响应承诺函》（格式自拟），承诺按季度报备维修材料主要配件来源及进货价格明细表，并承诺所提供的维修材料均为原厂出品，否则视为未实质性响应采购文件</w:t>
            </w:r>
            <w:r>
              <w:rPr>
                <w:rFonts w:hint="eastAsia" w:ascii="宋体" w:hAnsi="宋体" w:cs="宋体"/>
                <w:szCs w:val="21"/>
              </w:rPr>
              <w:t>。）</w:t>
            </w:r>
          </w:p>
          <w:p w14:paraId="062DA55D">
            <w:pPr>
              <w:pStyle w:val="75"/>
              <w:numPr>
                <w:ilvl w:val="0"/>
                <w:numId w:val="10"/>
              </w:numPr>
              <w:ind w:firstLineChars="0"/>
              <w:rPr>
                <w:rFonts w:ascii="宋体" w:hAnsi="宋体"/>
                <w:bCs/>
                <w:snapToGrid w:val="0"/>
                <w:kern w:val="0"/>
                <w:szCs w:val="21"/>
                <w:lang w:val="zh-CN"/>
              </w:rPr>
            </w:pPr>
            <w:r>
              <w:rPr>
                <w:rFonts w:hint="eastAsia" w:ascii="宋体" w:hAnsi="宋体"/>
                <w:bCs/>
                <w:snapToGrid w:val="0"/>
                <w:kern w:val="0"/>
                <w:szCs w:val="21"/>
                <w:lang w:val="zh-CN"/>
              </w:rPr>
              <w:t>履约管理</w:t>
            </w:r>
          </w:p>
          <w:p w14:paraId="08C81C7B">
            <w:pPr>
              <w:pStyle w:val="75"/>
              <w:numPr>
                <w:ilvl w:val="0"/>
                <w:numId w:val="11"/>
              </w:numPr>
              <w:ind w:firstLineChars="0"/>
              <w:rPr>
                <w:rFonts w:ascii="宋体" w:hAnsi="宋体" w:cs="宋体"/>
                <w:szCs w:val="21"/>
              </w:rPr>
            </w:pPr>
            <w:r>
              <w:rPr>
                <w:rFonts w:hint="eastAsia" w:ascii="宋体" w:hAnsi="宋体" w:cs="宋体"/>
                <w:szCs w:val="21"/>
              </w:rPr>
              <w:t>采购人在合同履约完成后对中标人的服务质量进行验收。当服务质量验收不</w:t>
            </w:r>
          </w:p>
          <w:p w14:paraId="3563D6BF">
            <w:pPr>
              <w:rPr>
                <w:rFonts w:ascii="宋体" w:hAnsi="宋体" w:cs="宋体"/>
                <w:szCs w:val="21"/>
              </w:rPr>
            </w:pPr>
            <w:r>
              <w:rPr>
                <w:rFonts w:hint="eastAsia" w:ascii="宋体" w:hAnsi="宋体" w:cs="宋体"/>
                <w:szCs w:val="21"/>
              </w:rPr>
              <w:t>合格时，将影响年度履约评价。</w:t>
            </w:r>
          </w:p>
          <w:p w14:paraId="2959B690">
            <w:pPr>
              <w:pStyle w:val="75"/>
              <w:numPr>
                <w:ilvl w:val="0"/>
                <w:numId w:val="11"/>
              </w:numPr>
              <w:ind w:firstLineChars="0"/>
              <w:rPr>
                <w:rFonts w:ascii="宋体" w:hAnsi="宋体" w:cs="宋体"/>
                <w:szCs w:val="21"/>
              </w:rPr>
            </w:pPr>
            <w:r>
              <w:rPr>
                <w:rFonts w:hint="eastAsia" w:ascii="宋体" w:hAnsi="宋体" w:cs="宋体"/>
                <w:szCs w:val="21"/>
              </w:rPr>
              <w:t>采购人有权组织或授权相关人员对供应商进行现场考察，核实相关资料，供</w:t>
            </w:r>
          </w:p>
          <w:p w14:paraId="52322E62">
            <w:pPr>
              <w:rPr>
                <w:rFonts w:ascii="宋体" w:hAnsi="宋体" w:cs="宋体"/>
                <w:szCs w:val="21"/>
              </w:rPr>
            </w:pPr>
            <w:r>
              <w:rPr>
                <w:rFonts w:hint="eastAsia" w:ascii="宋体" w:hAnsi="宋体" w:cs="宋体"/>
                <w:szCs w:val="21"/>
              </w:rPr>
              <w:t>应商应提前准备相关资料原件，以备核准。</w:t>
            </w:r>
          </w:p>
          <w:p w14:paraId="5F12B7B5">
            <w:pPr>
              <w:pStyle w:val="75"/>
              <w:numPr>
                <w:ilvl w:val="0"/>
                <w:numId w:val="11"/>
              </w:numPr>
              <w:ind w:firstLineChars="0"/>
              <w:rPr>
                <w:rFonts w:ascii="宋体" w:hAnsi="宋体" w:cs="宋体"/>
                <w:szCs w:val="21"/>
              </w:rPr>
            </w:pPr>
            <w:r>
              <w:rPr>
                <w:rFonts w:hint="eastAsia" w:ascii="宋体" w:hAnsi="宋体" w:cs="宋体"/>
                <w:szCs w:val="21"/>
              </w:rPr>
              <w:t>采购人有权邀请行业专家或委托第三方评估单位对中标供应商开展现场抽</w:t>
            </w:r>
          </w:p>
          <w:p w14:paraId="6A2A4D00">
            <w:pPr>
              <w:rPr>
                <w:rFonts w:ascii="宋体" w:hAnsi="宋体" w:cs="宋体"/>
                <w:szCs w:val="21"/>
              </w:rPr>
            </w:pPr>
            <w:r>
              <w:rPr>
                <w:rFonts w:hint="eastAsia" w:ascii="宋体" w:hAnsi="宋体" w:cs="宋体"/>
                <w:szCs w:val="21"/>
              </w:rPr>
              <w:t>查，并在日常工作中及时跟踪了解行业动态及供应商的价格、服务、履约执行情况，处理执行过程中出现的问题。</w:t>
            </w:r>
          </w:p>
          <w:p w14:paraId="751674D8">
            <w:pPr>
              <w:pStyle w:val="75"/>
              <w:numPr>
                <w:ilvl w:val="0"/>
                <w:numId w:val="11"/>
              </w:numPr>
              <w:ind w:firstLineChars="0"/>
              <w:rPr>
                <w:rFonts w:ascii="宋体" w:hAnsi="宋体" w:cs="宋体"/>
                <w:szCs w:val="21"/>
              </w:rPr>
            </w:pPr>
            <w:r>
              <w:rPr>
                <w:rFonts w:hint="eastAsia" w:ascii="宋体" w:hAnsi="宋体" w:cs="宋体"/>
                <w:szCs w:val="21"/>
              </w:rPr>
              <w:t>通过项目现场抽检等方式，对出现违法违规情形且拒不整改的供应商，采购</w:t>
            </w:r>
          </w:p>
          <w:p w14:paraId="73D8EC50">
            <w:pPr>
              <w:rPr>
                <w:rFonts w:ascii="宋体" w:hAnsi="宋体" w:cs="宋体"/>
                <w:szCs w:val="21"/>
              </w:rPr>
            </w:pPr>
            <w:r>
              <w:rPr>
                <w:rFonts w:hint="eastAsia" w:ascii="宋体" w:hAnsi="宋体" w:cs="宋体"/>
                <w:szCs w:val="21"/>
              </w:rPr>
              <w:t>人有权取消合同。</w:t>
            </w:r>
          </w:p>
          <w:p w14:paraId="20D7BB53">
            <w:pPr>
              <w:pStyle w:val="75"/>
              <w:numPr>
                <w:ilvl w:val="0"/>
                <w:numId w:val="11"/>
              </w:numPr>
              <w:ind w:firstLineChars="0"/>
              <w:rPr>
                <w:rFonts w:ascii="宋体" w:hAnsi="宋体" w:cs="宋体"/>
                <w:szCs w:val="21"/>
              </w:rPr>
            </w:pPr>
            <w:r>
              <w:rPr>
                <w:rFonts w:hint="eastAsia" w:ascii="宋体" w:hAnsi="宋体" w:cs="宋体"/>
                <w:szCs w:val="21"/>
              </w:rPr>
              <w:t>供应商应严格按照采购文件及合同要求诚信履约，并对履约行为和结果承担</w:t>
            </w:r>
          </w:p>
          <w:p w14:paraId="63EEA7CE">
            <w:pPr>
              <w:rPr>
                <w:rFonts w:ascii="宋体" w:hAnsi="宋体" w:cs="宋体"/>
                <w:szCs w:val="21"/>
              </w:rPr>
            </w:pPr>
            <w:r>
              <w:rPr>
                <w:rFonts w:hint="eastAsia" w:ascii="宋体" w:hAnsi="宋体" w:cs="宋体"/>
                <w:szCs w:val="21"/>
              </w:rPr>
              <w:t>法律责任。</w:t>
            </w:r>
          </w:p>
          <w:p w14:paraId="36C675F3">
            <w:pPr>
              <w:pStyle w:val="75"/>
              <w:numPr>
                <w:ilvl w:val="0"/>
                <w:numId w:val="10"/>
              </w:numPr>
              <w:ind w:firstLineChars="0"/>
              <w:rPr>
                <w:rFonts w:ascii="宋体" w:hAnsi="宋体"/>
                <w:bCs/>
                <w:snapToGrid w:val="0"/>
                <w:kern w:val="0"/>
                <w:szCs w:val="21"/>
                <w:lang w:val="zh-CN"/>
              </w:rPr>
            </w:pPr>
            <w:r>
              <w:rPr>
                <w:rFonts w:hint="eastAsia" w:ascii="宋体" w:hAnsi="宋体"/>
                <w:bCs/>
                <w:snapToGrid w:val="0"/>
                <w:kern w:val="0"/>
                <w:szCs w:val="21"/>
                <w:lang w:val="zh-CN"/>
              </w:rPr>
              <w:t>资料保密要求</w:t>
            </w:r>
          </w:p>
          <w:p w14:paraId="7BA2F6DE">
            <w:pPr>
              <w:rPr>
                <w:rFonts w:ascii="宋体" w:hAnsi="宋体" w:cs="宋体"/>
                <w:szCs w:val="21"/>
              </w:rPr>
            </w:pPr>
            <w:r>
              <w:rPr>
                <w:rFonts w:hint="eastAsia" w:ascii="宋体" w:hAnsi="宋体" w:cs="宋体"/>
                <w:szCs w:val="21"/>
              </w:rPr>
              <w:t>在执行本项目过程中所获悉的属于另一方的且无法自公开渠道获得的信息、文件及资料（包括商业秘密、商业计划、运营活动、财务信息、技术信息、经营信息及其他商业秘密）予以保密。未经该信息、资料和文件的原提供方同意，另一方不得向任何第三方泄露该商业秘密的全部或部分内容，更不得不正当使用。但法律、法规另有规定或双方另有约定的除外。双方同时应保证其雇员、代表履行上述保密义务。</w:t>
            </w:r>
          </w:p>
        </w:tc>
      </w:tr>
    </w:tbl>
    <w:p w14:paraId="65F74349">
      <w:pPr>
        <w:ind w:left="632" w:hanging="632" w:hangingChars="301"/>
        <w:rPr>
          <w:rFonts w:ascii="宋体" w:hAnsi="宋体"/>
          <w:szCs w:val="21"/>
        </w:rPr>
      </w:pPr>
    </w:p>
    <w:p w14:paraId="2AE02D80">
      <w:pPr>
        <w:pStyle w:val="5"/>
        <w:spacing w:before="120" w:after="120"/>
        <w:jc w:val="center"/>
        <w:rPr>
          <w:rFonts w:ascii="黑体" w:eastAsia="黑体"/>
          <w:sz w:val="24"/>
        </w:rPr>
      </w:pPr>
      <w:r>
        <w:rPr>
          <w:rFonts w:hint="eastAsia" w:ascii="黑体" w:eastAsia="黑体"/>
          <w:sz w:val="24"/>
        </w:rPr>
        <w:t>六、其他重要条款</w:t>
      </w:r>
    </w:p>
    <w:p w14:paraId="7416335D">
      <w:pPr>
        <w:ind w:firstLine="420" w:firstLineChars="200"/>
        <w:rPr>
          <w:bCs/>
          <w:szCs w:val="21"/>
        </w:rPr>
      </w:pPr>
      <w:r>
        <w:rPr>
          <w:rFonts w:hint="eastAsia"/>
          <w:bCs/>
          <w:szCs w:val="21"/>
        </w:rPr>
        <w:t>1.本项目应答报价采用包干制，应包括成本、法定税费和相应的利润，应涵盖本项目采购范围和谈判文件所列的各项内容中所述的全部。由供应商根据采购需求自行测算应答报价；一经成交，应答报价即作为成交单位与采购人签定的合同金额。</w:t>
      </w:r>
    </w:p>
    <w:p w14:paraId="3CE7CFE5">
      <w:pPr>
        <w:ind w:firstLine="420" w:firstLineChars="200"/>
        <w:jc w:val="left"/>
        <w:rPr>
          <w:rFonts w:ascii="宋体" w:hAnsi="宋体" w:cs="宋体"/>
          <w:color w:val="FF0000"/>
          <w:szCs w:val="21"/>
        </w:rPr>
      </w:pPr>
      <w:r>
        <w:rPr>
          <w:bCs/>
          <w:color w:val="FF0000"/>
          <w:szCs w:val="21"/>
        </w:rPr>
        <w:t>2</w:t>
      </w:r>
      <w:r>
        <w:rPr>
          <w:rFonts w:hint="eastAsia"/>
          <w:bCs/>
          <w:color w:val="FF0000"/>
          <w:szCs w:val="21"/>
        </w:rPr>
        <w:t>.项目基准价：工时单价基准价5</w:t>
      </w:r>
      <w:r>
        <w:rPr>
          <w:bCs/>
          <w:color w:val="FF0000"/>
          <w:szCs w:val="21"/>
        </w:rPr>
        <w:t>0</w:t>
      </w:r>
      <w:r>
        <w:rPr>
          <w:rFonts w:hint="eastAsia"/>
          <w:bCs/>
          <w:color w:val="FF0000"/>
          <w:szCs w:val="21"/>
        </w:rPr>
        <w:t>元/小时；维修材料管理费率基准价1</w:t>
      </w:r>
      <w:r>
        <w:rPr>
          <w:bCs/>
          <w:color w:val="FF0000"/>
          <w:szCs w:val="21"/>
        </w:rPr>
        <w:t>5%</w:t>
      </w:r>
      <w:r>
        <w:rPr>
          <w:rFonts w:hint="eastAsia"/>
          <w:bCs/>
          <w:color w:val="FF0000"/>
          <w:szCs w:val="21"/>
        </w:rPr>
        <w:t>。注明</w:t>
      </w:r>
      <w:r>
        <w:rPr>
          <w:rFonts w:hint="eastAsia" w:ascii="宋体" w:hAnsi="宋体" w:cs="宋体"/>
          <w:color w:val="FF0000"/>
          <w:szCs w:val="21"/>
        </w:rPr>
        <w:t>说明：①、基准价包含服务成本、维修费、检测费、运输费、法定税费和企业利润等一切费用）；②、折扣：供应商在基准价上报折扣（如九折，在基准价上下浮1</w:t>
      </w:r>
      <w:r>
        <w:rPr>
          <w:rFonts w:ascii="宋体" w:hAnsi="宋体" w:cs="宋体"/>
          <w:color w:val="FF0000"/>
          <w:szCs w:val="21"/>
        </w:rPr>
        <w:t>0%</w:t>
      </w:r>
      <w:r>
        <w:rPr>
          <w:rFonts w:hint="eastAsia" w:ascii="宋体" w:hAnsi="宋体" w:cs="宋体"/>
          <w:color w:val="FF0000"/>
          <w:szCs w:val="21"/>
        </w:rPr>
        <w:t>，则在响应文件中折扣填报0</w:t>
      </w:r>
      <w:r>
        <w:rPr>
          <w:rFonts w:ascii="宋体" w:hAnsi="宋体" w:cs="宋体"/>
          <w:color w:val="FF0000"/>
          <w:szCs w:val="21"/>
        </w:rPr>
        <w:t>.90</w:t>
      </w:r>
      <w:r>
        <w:rPr>
          <w:rFonts w:hint="eastAsia" w:ascii="宋体" w:hAnsi="宋体" w:cs="宋体"/>
          <w:color w:val="FF0000"/>
          <w:szCs w:val="21"/>
        </w:rPr>
        <w:t>），折扣填报采用小数点格式进行填报，且只保留小数点后两位；③、折扣填写要求：0＜折扣≤</w:t>
      </w:r>
      <w:r>
        <w:rPr>
          <w:rFonts w:ascii="宋体" w:hAnsi="宋体" w:cs="宋体"/>
          <w:color w:val="FF0000"/>
          <w:szCs w:val="21"/>
        </w:rPr>
        <w:t>1</w:t>
      </w:r>
      <w:r>
        <w:rPr>
          <w:rFonts w:hint="eastAsia" w:ascii="宋体" w:hAnsi="宋体" w:cs="宋体"/>
          <w:color w:val="FF0000"/>
          <w:szCs w:val="21"/>
        </w:rPr>
        <w:t>。</w:t>
      </w:r>
    </w:p>
    <w:p w14:paraId="64750C98">
      <w:pPr>
        <w:spacing w:before="60" w:beforeLines="25" w:after="60" w:afterLines="25"/>
        <w:ind w:firstLine="392" w:firstLineChars="187"/>
        <w:rPr>
          <w:rFonts w:ascii="宋体" w:hAnsi="宋体"/>
          <w:szCs w:val="21"/>
        </w:rPr>
      </w:pPr>
      <w:r>
        <w:rPr>
          <w:bCs/>
          <w:szCs w:val="21"/>
        </w:rPr>
        <w:t>3.</w:t>
      </w:r>
      <w:r>
        <w:rPr>
          <w:rFonts w:hint="eastAsia"/>
          <w:bCs/>
          <w:szCs w:val="21"/>
        </w:rPr>
        <w:t>供应商应充分了解项目的位置、情况、道路及任何其它足以影响应答报价的情况，任何因忽视或误解项目情况而导致的索赔或服务期限延长申请将不获批准。</w:t>
      </w:r>
    </w:p>
    <w:p w14:paraId="32BEE354">
      <w:pPr>
        <w:ind w:firstLine="420" w:firstLineChars="200"/>
        <w:rPr>
          <w:bCs/>
          <w:szCs w:val="21"/>
        </w:rPr>
      </w:pPr>
      <w:r>
        <w:rPr>
          <w:bCs/>
          <w:szCs w:val="21"/>
        </w:rPr>
        <w:t>4</w:t>
      </w:r>
      <w:r>
        <w:rPr>
          <w:rFonts w:hint="eastAsia"/>
          <w:bCs/>
          <w:szCs w:val="21"/>
        </w:rPr>
        <w:t>.供应商不得期望通过索赔等方式获取补偿，否则，除可能遭到拒绝外，还可能将被作为不良行为记录在案，并可能影响其以后正常参与政府采购项目。各供应商在应答报价时，应充分考虑风险。</w:t>
      </w:r>
    </w:p>
    <w:p w14:paraId="5D4A03CA">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14:paraId="13BFB9FB">
      <w:pPr>
        <w:ind w:firstLine="420" w:firstLineChars="200"/>
        <w:rPr>
          <w:bCs/>
          <w:szCs w:val="21"/>
        </w:rPr>
      </w:pPr>
      <w:r>
        <w:rPr>
          <w:bCs/>
          <w:szCs w:val="21"/>
        </w:rPr>
        <w:t>6</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3D4E9625">
      <w:pPr>
        <w:ind w:firstLine="420" w:firstLineChars="200"/>
        <w:rPr>
          <w:bCs/>
          <w:szCs w:val="21"/>
        </w:rPr>
      </w:pPr>
    </w:p>
    <w:p w14:paraId="58FA8877">
      <w:pPr>
        <w:ind w:firstLine="420" w:firstLineChars="200"/>
        <w:rPr>
          <w:bCs/>
          <w:szCs w:val="21"/>
        </w:rPr>
      </w:pPr>
    </w:p>
    <w:p w14:paraId="4BE33D1A">
      <w:pPr>
        <w:ind w:firstLine="420" w:firstLineChars="200"/>
        <w:rPr>
          <w:bCs/>
          <w:szCs w:val="21"/>
        </w:rPr>
      </w:pPr>
    </w:p>
    <w:p w14:paraId="04032100">
      <w:pPr>
        <w:rPr>
          <w:rFonts w:ascii="宋体" w:hAnsi="宋体"/>
        </w:rPr>
      </w:pPr>
    </w:p>
    <w:bookmarkEnd w:id="22"/>
    <w:bookmarkEnd w:id="23"/>
    <w:bookmarkEnd w:id="24"/>
    <w:bookmarkEnd w:id="25"/>
    <w:p w14:paraId="168BE9BA">
      <w:pPr>
        <w:pStyle w:val="3"/>
        <w:pageBreakBefore/>
        <w:numPr>
          <w:ilvl w:val="0"/>
          <w:numId w:val="0"/>
        </w:numPr>
        <w:spacing w:line="360" w:lineRule="auto"/>
        <w:jc w:val="center"/>
      </w:pPr>
      <w:bookmarkStart w:id="28" w:name="bt合同格式"/>
      <w:bookmarkEnd w:id="28"/>
      <w:bookmarkStart w:id="29" w:name="bt附件及谈判文件格式"/>
      <w:bookmarkEnd w:id="29"/>
      <w:bookmarkStart w:id="30" w:name="_Toc78083942"/>
      <w:bookmarkStart w:id="31" w:name="_Toc78082845"/>
      <w:bookmarkStart w:id="32" w:name="_Toc78084064"/>
      <w:bookmarkStart w:id="33" w:name="_Toc195435215"/>
      <w:r>
        <w:rPr>
          <w:rFonts w:hint="eastAsia"/>
        </w:rPr>
        <w:t>第四章</w:t>
      </w:r>
      <w:r>
        <w:t xml:space="preserve"> </w:t>
      </w:r>
      <w:bookmarkEnd w:id="30"/>
      <w:bookmarkEnd w:id="31"/>
      <w:bookmarkEnd w:id="32"/>
      <w:bookmarkEnd w:id="33"/>
      <w:r>
        <w:rPr>
          <w:rFonts w:hint="eastAsia"/>
        </w:rPr>
        <w:t>应答文件组成要求及格式</w:t>
      </w:r>
    </w:p>
    <w:p w14:paraId="06ED1164">
      <w:pPr>
        <w:rPr>
          <w:rFonts w:ascii="宋体" w:hAnsi="宋体"/>
          <w:b/>
          <w:szCs w:val="21"/>
        </w:rPr>
      </w:pPr>
      <w:bookmarkStart w:id="34" w:name="_Toc195435218"/>
      <w:r>
        <w:rPr>
          <w:rFonts w:hint="eastAsia" w:ascii="宋体" w:hAnsi="宋体"/>
          <w:b/>
          <w:szCs w:val="21"/>
        </w:rPr>
        <w:t>特别提醒：</w:t>
      </w:r>
    </w:p>
    <w:p w14:paraId="58AEA872">
      <w:pPr>
        <w:ind w:firstLine="420" w:firstLineChars="200"/>
        <w:rPr>
          <w:rFonts w:ascii="宋体" w:hAnsi="宋体"/>
          <w:szCs w:val="21"/>
        </w:rPr>
      </w:pPr>
      <w:r>
        <w:rPr>
          <w:rFonts w:hint="eastAsia" w:ascii="宋体" w:hAnsi="宋体"/>
          <w:szCs w:val="21"/>
        </w:rPr>
        <w:t>应答文件正文将对外公开，应答文件附件不公开。供应商在编辑应答文件时，在应答文件目录中属于本节点内容的必须在本节点中填写，填写到其他节点或附件的将可能导致投标（应答）无效，一切后果由供应商自行承担。</w:t>
      </w:r>
    </w:p>
    <w:p w14:paraId="2AFCA05A">
      <w:pPr>
        <w:ind w:firstLine="420" w:firstLineChars="200"/>
        <w:rPr>
          <w:rFonts w:ascii="宋体" w:hAnsi="宋体"/>
          <w:szCs w:val="21"/>
        </w:rPr>
      </w:pPr>
      <w:r>
        <w:rPr>
          <w:rFonts w:hint="eastAsia" w:ascii="宋体" w:hAnsi="宋体"/>
          <w:szCs w:val="21"/>
        </w:rPr>
        <w:t xml:space="preserve">   </w:t>
      </w:r>
    </w:p>
    <w:p w14:paraId="50369FDE">
      <w:pPr>
        <w:jc w:val="left"/>
        <w:rPr>
          <w:rFonts w:ascii="宋体" w:hAnsi="宋体"/>
          <w:b/>
          <w:sz w:val="28"/>
          <w:szCs w:val="28"/>
        </w:rPr>
      </w:pPr>
    </w:p>
    <w:p w14:paraId="4FA38E17">
      <w:pPr>
        <w:jc w:val="left"/>
        <w:rPr>
          <w:rFonts w:ascii="宋体" w:hAnsi="宋体"/>
          <w:b/>
          <w:sz w:val="28"/>
          <w:szCs w:val="28"/>
        </w:rPr>
      </w:pPr>
      <w:r>
        <w:rPr>
          <w:rFonts w:hint="eastAsia" w:ascii="宋体" w:hAnsi="宋体"/>
          <w:b/>
          <w:sz w:val="28"/>
          <w:szCs w:val="28"/>
        </w:rPr>
        <w:t>应答文件组成：</w:t>
      </w:r>
    </w:p>
    <w:p w14:paraId="08106733">
      <w:pPr>
        <w:pStyle w:val="75"/>
        <w:ind w:left="720" w:firstLine="0" w:firstLineChars="0"/>
        <w:rPr>
          <w:rFonts w:ascii="宋体" w:hAnsi="宋体"/>
          <w:b/>
          <w:szCs w:val="21"/>
        </w:rPr>
      </w:pPr>
    </w:p>
    <w:p w14:paraId="7442CE9E">
      <w:pPr>
        <w:jc w:val="center"/>
        <w:rPr>
          <w:b/>
          <w:bCs/>
        </w:rPr>
      </w:pPr>
      <w:r>
        <w:rPr>
          <w:rFonts w:hint="eastAsia"/>
          <w:b/>
          <w:bCs/>
        </w:rPr>
        <w:t>1.应答文件正文</w:t>
      </w:r>
      <w:r>
        <w:rPr>
          <w:rFonts w:hint="eastAsia"/>
          <w:b/>
          <w:bCs/>
          <w:color w:val="FF0000"/>
        </w:rPr>
        <w:t>（信息公开部分）</w:t>
      </w:r>
      <w:r>
        <w:rPr>
          <w:rFonts w:hint="eastAsia"/>
          <w:b/>
          <w:bCs/>
        </w:rPr>
        <w:t>，主要包括以下内容：</w:t>
      </w:r>
    </w:p>
    <w:p w14:paraId="4D86E535">
      <w:pPr>
        <w:ind w:left="718" w:leftChars="342" w:firstLine="1417" w:firstLineChars="675"/>
        <w:rPr>
          <w:szCs w:val="21"/>
        </w:rPr>
      </w:pPr>
      <w:r>
        <w:rPr>
          <w:rFonts w:hint="eastAsia"/>
          <w:szCs w:val="21"/>
        </w:rPr>
        <w:t>（1）应答书</w:t>
      </w:r>
    </w:p>
    <w:p w14:paraId="16133E5A">
      <w:pPr>
        <w:ind w:left="718" w:leftChars="342" w:firstLine="1417" w:firstLineChars="675"/>
        <w:rPr>
          <w:szCs w:val="21"/>
        </w:rPr>
      </w:pPr>
      <w:r>
        <w:rPr>
          <w:rFonts w:hint="eastAsia"/>
          <w:szCs w:val="21"/>
        </w:rPr>
        <w:t>（2）政府采购应答及履约承诺函</w:t>
      </w:r>
    </w:p>
    <w:p w14:paraId="51FDF881">
      <w:pPr>
        <w:ind w:left="718" w:leftChars="342" w:firstLine="1417" w:firstLineChars="675"/>
        <w:rPr>
          <w:szCs w:val="21"/>
        </w:rPr>
      </w:pPr>
      <w:r>
        <w:rPr>
          <w:rFonts w:hint="eastAsia"/>
          <w:szCs w:val="21"/>
        </w:rPr>
        <w:t>（</w:t>
      </w:r>
      <w:r>
        <w:rPr>
          <w:szCs w:val="21"/>
        </w:rPr>
        <w:t>3</w:t>
      </w:r>
      <w:r>
        <w:rPr>
          <w:rFonts w:hint="eastAsia"/>
          <w:szCs w:val="21"/>
        </w:rPr>
        <w:t>）供应商情况及资格证明文件</w:t>
      </w:r>
    </w:p>
    <w:p w14:paraId="0638D7BC">
      <w:pPr>
        <w:ind w:left="718" w:leftChars="342" w:firstLine="1417" w:firstLineChars="675"/>
        <w:rPr>
          <w:szCs w:val="21"/>
        </w:rPr>
      </w:pPr>
      <w:r>
        <w:rPr>
          <w:rFonts w:hint="eastAsia"/>
          <w:szCs w:val="21"/>
        </w:rPr>
        <w:t>（4）开标一览表</w:t>
      </w:r>
    </w:p>
    <w:p w14:paraId="72BC9DB0">
      <w:pPr>
        <w:ind w:left="718" w:leftChars="342" w:firstLine="1417" w:firstLineChars="675"/>
        <w:rPr>
          <w:szCs w:val="21"/>
        </w:rPr>
      </w:pPr>
      <w:bookmarkStart w:id="35" w:name="_Hlk72257201"/>
      <w:r>
        <w:rPr>
          <w:rFonts w:hint="eastAsia"/>
          <w:szCs w:val="21"/>
        </w:rPr>
        <w:t>（</w:t>
      </w:r>
      <w:r>
        <w:rPr>
          <w:szCs w:val="21"/>
        </w:rPr>
        <w:t>5</w:t>
      </w:r>
      <w:r>
        <w:rPr>
          <w:rFonts w:hint="eastAsia"/>
          <w:szCs w:val="21"/>
        </w:rPr>
        <w:t>）项目详细报价</w:t>
      </w:r>
    </w:p>
    <w:p w14:paraId="48FA6937">
      <w:pPr>
        <w:ind w:left="718" w:leftChars="342" w:firstLine="1417" w:firstLineChars="675"/>
        <w:rPr>
          <w:szCs w:val="21"/>
        </w:rPr>
      </w:pPr>
      <w:r>
        <w:rPr>
          <w:rFonts w:hint="eastAsia"/>
          <w:szCs w:val="21"/>
        </w:rPr>
        <w:t>（</w:t>
      </w:r>
      <w:r>
        <w:rPr>
          <w:szCs w:val="21"/>
        </w:rPr>
        <w:t>6</w:t>
      </w:r>
      <w:r>
        <w:rPr>
          <w:rFonts w:hint="eastAsia"/>
          <w:szCs w:val="21"/>
        </w:rPr>
        <w:t>）同类项目业绩</w:t>
      </w:r>
    </w:p>
    <w:p w14:paraId="49A33B9F">
      <w:pPr>
        <w:ind w:left="718" w:leftChars="342" w:firstLine="1417" w:firstLineChars="675"/>
        <w:rPr>
          <w:szCs w:val="21"/>
        </w:rPr>
      </w:pPr>
      <w:r>
        <w:rPr>
          <w:rFonts w:hint="eastAsia"/>
          <w:szCs w:val="21"/>
        </w:rPr>
        <w:t>（</w:t>
      </w:r>
      <w:r>
        <w:rPr>
          <w:szCs w:val="21"/>
        </w:rPr>
        <w:t>7</w:t>
      </w:r>
      <w:r>
        <w:rPr>
          <w:rFonts w:hint="eastAsia"/>
          <w:szCs w:val="21"/>
        </w:rPr>
        <w:t>）履约评价</w:t>
      </w:r>
    </w:p>
    <w:p w14:paraId="0B975BFA">
      <w:pPr>
        <w:pStyle w:val="2"/>
        <w:ind w:firstLine="2100" w:firstLineChars="1000"/>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8</w:t>
      </w:r>
      <w:r>
        <w:rPr>
          <w:rFonts w:hint="eastAsia" w:ascii="Times New Roman" w:hAnsi="Times New Roman" w:eastAsia="宋体"/>
          <w:sz w:val="21"/>
          <w:szCs w:val="21"/>
        </w:rPr>
        <w:t>）维修场所</w:t>
      </w:r>
    </w:p>
    <w:p w14:paraId="41E7F8C0">
      <w:pPr>
        <w:pStyle w:val="2"/>
        <w:ind w:firstLine="2100" w:firstLineChars="1000"/>
        <w:rPr>
          <w:rFonts w:ascii="Times New Roman" w:hAnsi="Times New Roman" w:eastAsia="宋体"/>
          <w:sz w:val="21"/>
          <w:szCs w:val="21"/>
        </w:rPr>
      </w:pPr>
    </w:p>
    <w:bookmarkEnd w:id="35"/>
    <w:p w14:paraId="69156CF3">
      <w:pPr>
        <w:jc w:val="center"/>
        <w:rPr>
          <w:b/>
          <w:bCs/>
        </w:rPr>
      </w:pPr>
      <w:r>
        <w:rPr>
          <w:rFonts w:hint="eastAsia"/>
          <w:b/>
          <w:bCs/>
        </w:rPr>
        <w:t>2.应答文件附件</w:t>
      </w:r>
      <w:r>
        <w:rPr>
          <w:rFonts w:hint="eastAsia"/>
          <w:b/>
          <w:bCs/>
          <w:color w:val="FF0000"/>
        </w:rPr>
        <w:t>（信息不公开部分）</w:t>
      </w:r>
      <w:r>
        <w:rPr>
          <w:rFonts w:hint="eastAsia"/>
          <w:b/>
          <w:bCs/>
        </w:rPr>
        <w:t>：主要包括以下内容：</w:t>
      </w:r>
    </w:p>
    <w:p w14:paraId="796D4DAE">
      <w:pPr>
        <w:ind w:firstLine="2100" w:firstLineChars="1000"/>
        <w:rPr>
          <w:szCs w:val="21"/>
        </w:rPr>
      </w:pPr>
      <w:r>
        <w:rPr>
          <w:rFonts w:hint="eastAsia"/>
          <w:szCs w:val="21"/>
        </w:rPr>
        <w:t>（1）法定代表人（负责人）证明书</w:t>
      </w:r>
    </w:p>
    <w:p w14:paraId="637C5F77">
      <w:pPr>
        <w:ind w:left="718" w:leftChars="342" w:firstLine="1417" w:firstLineChars="675"/>
        <w:rPr>
          <w:szCs w:val="21"/>
        </w:rPr>
      </w:pPr>
      <w:r>
        <w:rPr>
          <w:rFonts w:hint="eastAsia"/>
          <w:szCs w:val="21"/>
        </w:rPr>
        <w:t>（2）谈判应答文件签署授权委托书</w:t>
      </w:r>
    </w:p>
    <w:p w14:paraId="7A72FED0">
      <w:pPr>
        <w:ind w:left="718" w:leftChars="342" w:firstLine="1417" w:firstLineChars="675"/>
        <w:rPr>
          <w:szCs w:val="21"/>
        </w:rPr>
      </w:pPr>
      <w:bookmarkStart w:id="36" w:name="OLE_LINK164"/>
      <w:r>
        <w:rPr>
          <w:rFonts w:hint="eastAsia"/>
          <w:szCs w:val="21"/>
        </w:rPr>
        <w:t>（3）</w:t>
      </w:r>
      <w:bookmarkEnd w:id="36"/>
      <w:r>
        <w:rPr>
          <w:szCs w:val="21"/>
        </w:rPr>
        <w:t>实质性条款响应情况表</w:t>
      </w:r>
    </w:p>
    <w:p w14:paraId="05BEE616">
      <w:pPr>
        <w:ind w:left="718" w:leftChars="342" w:firstLine="1417" w:firstLineChars="675"/>
        <w:rPr>
          <w:szCs w:val="21"/>
        </w:rPr>
      </w:pPr>
      <w:r>
        <w:rPr>
          <w:rFonts w:hint="eastAsia"/>
          <w:szCs w:val="21"/>
        </w:rPr>
        <w:t>（4）</w:t>
      </w:r>
      <w:r>
        <w:rPr>
          <w:rFonts w:hint="eastAsia" w:ascii="宋体" w:hAnsi="宋体" w:cs="宋体"/>
          <w:szCs w:val="21"/>
        </w:rPr>
        <w:t>实施方案</w:t>
      </w:r>
    </w:p>
    <w:p w14:paraId="697F7D18">
      <w:pPr>
        <w:ind w:left="718" w:leftChars="342" w:firstLine="1417" w:firstLineChars="675"/>
        <w:rPr>
          <w:szCs w:val="21"/>
        </w:rPr>
      </w:pPr>
      <w:r>
        <w:rPr>
          <w:rFonts w:hint="eastAsia"/>
          <w:szCs w:val="21"/>
        </w:rPr>
        <w:t>（5）</w:t>
      </w:r>
      <w:r>
        <w:rPr>
          <w:rFonts w:hint="eastAsia" w:ascii="宋体" w:hAnsi="宋体" w:cs="宋体"/>
          <w:szCs w:val="21"/>
        </w:rPr>
        <w:t>项目重点难点分析、应对措施及相关的合理化建议</w:t>
      </w:r>
    </w:p>
    <w:p w14:paraId="459E2145">
      <w:pPr>
        <w:ind w:left="718" w:leftChars="342" w:firstLine="1417" w:firstLineChars="675"/>
        <w:rPr>
          <w:szCs w:val="21"/>
        </w:rPr>
      </w:pPr>
      <w:r>
        <w:rPr>
          <w:rFonts w:hint="eastAsia"/>
          <w:szCs w:val="21"/>
        </w:rPr>
        <w:t>（6）</w:t>
      </w:r>
      <w:r>
        <w:rPr>
          <w:rFonts w:hint="eastAsia" w:ascii="宋体" w:hAnsi="宋体" w:cs="宋体"/>
          <w:szCs w:val="21"/>
        </w:rPr>
        <w:t>质量（完成时间、安全、环保）保障措施及方案</w:t>
      </w:r>
    </w:p>
    <w:p w14:paraId="5C2B42FD">
      <w:pPr>
        <w:ind w:left="718" w:leftChars="342" w:firstLine="1417" w:firstLineChars="675"/>
        <w:rPr>
          <w:rFonts w:ascii="宋体" w:hAnsi="宋体" w:cs="宋体"/>
          <w:szCs w:val="21"/>
        </w:rPr>
      </w:pPr>
      <w:r>
        <w:rPr>
          <w:rFonts w:hint="eastAsia"/>
          <w:szCs w:val="21"/>
        </w:rPr>
        <w:t>（</w:t>
      </w:r>
      <w:r>
        <w:rPr>
          <w:szCs w:val="21"/>
        </w:rPr>
        <w:t>7</w:t>
      </w:r>
      <w:r>
        <w:rPr>
          <w:rFonts w:hint="eastAsia"/>
          <w:szCs w:val="21"/>
        </w:rPr>
        <w:t>）</w:t>
      </w:r>
      <w:r>
        <w:rPr>
          <w:rFonts w:hint="eastAsia" w:ascii="宋体" w:hAnsi="宋体" w:cs="宋体"/>
          <w:szCs w:val="21"/>
        </w:rPr>
        <w:t>项目完成（服务期满）后的服务承诺</w:t>
      </w:r>
    </w:p>
    <w:p w14:paraId="4309C2FC">
      <w:pPr>
        <w:ind w:left="718" w:leftChars="342" w:firstLine="1417" w:firstLineChars="675"/>
        <w:rPr>
          <w:szCs w:val="21"/>
        </w:rPr>
      </w:pPr>
      <w:r>
        <w:rPr>
          <w:rFonts w:hint="eastAsia"/>
          <w:szCs w:val="21"/>
        </w:rPr>
        <w:t>（</w:t>
      </w:r>
      <w:r>
        <w:rPr>
          <w:szCs w:val="21"/>
        </w:rPr>
        <w:t>8</w:t>
      </w:r>
      <w:r>
        <w:rPr>
          <w:rFonts w:hint="eastAsia"/>
          <w:szCs w:val="21"/>
        </w:rPr>
        <w:t>）</w:t>
      </w:r>
      <w:r>
        <w:rPr>
          <w:rFonts w:hint="eastAsia" w:ascii="宋体" w:hAnsi="宋体" w:cs="宋体"/>
          <w:szCs w:val="21"/>
        </w:rPr>
        <w:t>拟安排的项目负责人情况（仅限一人）</w:t>
      </w:r>
    </w:p>
    <w:p w14:paraId="688A1BA8">
      <w:pPr>
        <w:ind w:left="718" w:leftChars="342" w:firstLine="1417" w:firstLineChars="675"/>
        <w:rPr>
          <w:szCs w:val="21"/>
        </w:rPr>
      </w:pPr>
      <w:r>
        <w:rPr>
          <w:rFonts w:hint="eastAsia"/>
          <w:szCs w:val="21"/>
        </w:rPr>
        <w:t>（</w:t>
      </w:r>
      <w:r>
        <w:rPr>
          <w:szCs w:val="21"/>
        </w:rPr>
        <w:t>9</w:t>
      </w:r>
      <w:r>
        <w:rPr>
          <w:rFonts w:hint="eastAsia"/>
          <w:szCs w:val="21"/>
        </w:rPr>
        <w:t>）</w:t>
      </w:r>
      <w:r>
        <w:rPr>
          <w:rFonts w:hint="eastAsia" w:ascii="宋体" w:hAnsi="宋体" w:cs="宋体"/>
          <w:szCs w:val="21"/>
        </w:rPr>
        <w:t>拟安排的项目主要团队成员（主要技术人员）情况（项目负责人除外）</w:t>
      </w:r>
    </w:p>
    <w:p w14:paraId="1553DB45">
      <w:pPr>
        <w:ind w:left="718" w:leftChars="342" w:firstLine="1417" w:firstLineChars="675"/>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）拟投入的服务资源（车辆、场地、工具、机器等）情况</w:t>
      </w:r>
    </w:p>
    <w:p w14:paraId="0623E945">
      <w:pPr>
        <w:ind w:left="718" w:leftChars="342" w:firstLine="1417" w:firstLineChars="675"/>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）《业务用车维修响应承诺函》（格式自拟）</w:t>
      </w:r>
    </w:p>
    <w:p w14:paraId="065D8E2C">
      <w:pPr>
        <w:spacing w:line="276" w:lineRule="auto"/>
        <w:ind w:firstLine="2100" w:firstLineChars="1000"/>
        <w:rPr>
          <w:rFonts w:ascii="宋体" w:hAnsi="宋体" w:cs="宋体"/>
          <w:szCs w:val="21"/>
        </w:rPr>
      </w:pPr>
      <w:r>
        <w:rPr>
          <w:rFonts w:hint="eastAsia"/>
          <w:szCs w:val="21"/>
        </w:rPr>
        <w:t>（</w:t>
      </w:r>
      <w:r>
        <w:rPr>
          <w:szCs w:val="21"/>
        </w:rPr>
        <w:t>12</w:t>
      </w:r>
      <w:r>
        <w:rPr>
          <w:rFonts w:hint="eastAsia"/>
          <w:szCs w:val="21"/>
        </w:rPr>
        <w:t>）</w:t>
      </w:r>
      <w:r>
        <w:rPr>
          <w:rFonts w:hint="eastAsia" w:ascii="宋体" w:hAnsi="宋体" w:cs="宋体"/>
          <w:szCs w:val="21"/>
        </w:rPr>
        <w:t>投标人认为需要加以说明的其他内容（格式自定）</w:t>
      </w:r>
    </w:p>
    <w:p w14:paraId="52AAEE70">
      <w:pPr>
        <w:ind w:left="718" w:leftChars="342" w:firstLine="1417" w:firstLineChars="675"/>
        <w:rPr>
          <w:rFonts w:ascii="宋体" w:hAnsi="宋体" w:cs="宋体"/>
          <w:szCs w:val="21"/>
        </w:rPr>
      </w:pPr>
    </w:p>
    <w:p w14:paraId="17D6730A">
      <w:pPr>
        <w:spacing w:line="276" w:lineRule="auto"/>
        <w:rPr>
          <w:rFonts w:ascii="宋体" w:hAnsi="宋体"/>
          <w:b/>
          <w:szCs w:val="21"/>
        </w:rPr>
      </w:pPr>
      <w:r>
        <w:rPr>
          <w:rFonts w:hint="eastAsia" w:ascii="宋体" w:hAnsi="宋体"/>
          <w:b/>
          <w:szCs w:val="21"/>
        </w:rPr>
        <w:t>备注：</w:t>
      </w:r>
    </w:p>
    <w:p w14:paraId="19080C8B">
      <w:pPr>
        <w:spacing w:line="276" w:lineRule="auto"/>
        <w:ind w:firstLine="426" w:firstLineChars="202"/>
        <w:rPr>
          <w:rFonts w:ascii="宋体" w:hAnsi="宋体"/>
          <w:b/>
          <w:szCs w:val="21"/>
        </w:rPr>
      </w:pPr>
      <w:r>
        <w:rPr>
          <w:rFonts w:hint="eastAsia" w:ascii="宋体" w:hAnsi="宋体"/>
          <w:b/>
          <w:szCs w:val="21"/>
        </w:rPr>
        <w:t>1.本项目投标文件需法定代表人或授权委托人另行签字，需加盖单位公章，谈判文件专用条款另有规定的除外。</w:t>
      </w:r>
    </w:p>
    <w:p w14:paraId="64D5F607">
      <w:pPr>
        <w:jc w:val="left"/>
        <w:rPr>
          <w:rFonts w:ascii="宋体" w:hAnsi="宋体"/>
          <w:b/>
          <w:color w:val="FF0000"/>
          <w:sz w:val="36"/>
          <w:szCs w:val="36"/>
        </w:rPr>
      </w:pPr>
      <w:r>
        <w:rPr>
          <w:rFonts w:hint="eastAsia" w:ascii="宋体" w:hAnsi="宋体"/>
          <w:b/>
          <w:color w:val="FF0000"/>
          <w:sz w:val="36"/>
          <w:szCs w:val="36"/>
        </w:rPr>
        <w:br w:type="page"/>
      </w:r>
    </w:p>
    <w:p w14:paraId="2EEA12DF">
      <w:pPr>
        <w:widowControl/>
        <w:jc w:val="left"/>
        <w:rPr>
          <w:rFonts w:ascii="黑体" w:hAnsi="宋体" w:eastAsia="黑体"/>
          <w:sz w:val="24"/>
          <w:szCs w:val="32"/>
        </w:rPr>
      </w:pPr>
    </w:p>
    <w:p w14:paraId="52D8E7A7">
      <w:pPr>
        <w:spacing w:line="360" w:lineRule="auto"/>
        <w:ind w:firstLine="422" w:firstLineChars="200"/>
        <w:rPr>
          <w:b/>
          <w:color w:val="FF0000"/>
          <w:szCs w:val="21"/>
        </w:rPr>
      </w:pPr>
    </w:p>
    <w:p w14:paraId="3B88A8EC">
      <w:pPr>
        <w:outlineLvl w:val="1"/>
        <w:rPr>
          <w:rFonts w:ascii="黑体" w:eastAsia="黑体"/>
          <w:sz w:val="24"/>
        </w:rPr>
      </w:pPr>
      <w:r>
        <w:rPr>
          <w:rFonts w:hint="eastAsia" w:ascii="宋体" w:hAnsi="宋体"/>
          <w:b/>
          <w:color w:val="FF0000"/>
          <w:sz w:val="28"/>
          <w:szCs w:val="28"/>
        </w:rPr>
        <w:t>应答文件正文（信息公开部分）</w:t>
      </w:r>
    </w:p>
    <w:p w14:paraId="57804270">
      <w:pPr>
        <w:rPr>
          <w:rFonts w:ascii="宋体" w:hAnsi="宋体"/>
          <w:color w:val="FF0000"/>
          <w:sz w:val="24"/>
        </w:rPr>
      </w:pPr>
    </w:p>
    <w:p w14:paraId="6BB8AE28">
      <w:pPr>
        <w:pStyle w:val="2"/>
        <w:rPr>
          <w:color w:val="FF0000"/>
          <w:sz w:val="24"/>
        </w:rPr>
      </w:pPr>
    </w:p>
    <w:p w14:paraId="044336A5">
      <w:pPr>
        <w:tabs>
          <w:tab w:val="left" w:pos="360"/>
        </w:tabs>
        <w:spacing w:before="120" w:after="120"/>
        <w:jc w:val="center"/>
        <w:outlineLvl w:val="2"/>
        <w:rPr>
          <w:rFonts w:ascii="黑体" w:hAnsi="宋体" w:eastAsia="黑体"/>
          <w:sz w:val="24"/>
          <w:szCs w:val="32"/>
        </w:rPr>
      </w:pPr>
      <w:r>
        <w:rPr>
          <w:rFonts w:hint="eastAsia" w:ascii="黑体" w:hAnsi="宋体" w:eastAsia="黑体"/>
          <w:sz w:val="24"/>
          <w:szCs w:val="32"/>
        </w:rPr>
        <w:t>一、应答书</w:t>
      </w:r>
    </w:p>
    <w:p w14:paraId="2B9FFF43">
      <w:pPr>
        <w:rPr>
          <w:rFonts w:ascii="宋体" w:hAnsi="宋体"/>
          <w:color w:val="FF0000"/>
          <w:sz w:val="24"/>
        </w:rPr>
      </w:pPr>
    </w:p>
    <w:p w14:paraId="64711EE2">
      <w:pPr>
        <w:spacing w:line="360" w:lineRule="auto"/>
        <w:rPr>
          <w:rFonts w:ascii="宋体" w:hAnsi="宋体"/>
          <w:color w:val="FF0000"/>
          <w:szCs w:val="21"/>
        </w:rPr>
      </w:pPr>
      <w:r>
        <w:rPr>
          <w:rFonts w:hint="eastAsia" w:ascii="宋体" w:hAnsi="宋体"/>
          <w:color w:val="FF0000"/>
          <w:szCs w:val="21"/>
        </w:rPr>
        <w:t>致：深圳市福田区第二人民医院</w:t>
      </w:r>
    </w:p>
    <w:p w14:paraId="4B573E6D">
      <w:pPr>
        <w:ind w:firstLine="420" w:firstLineChars="200"/>
        <w:rPr>
          <w:rFonts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（供应商名称、地址）提交电子谈判应答文件一份。</w:t>
      </w:r>
    </w:p>
    <w:p w14:paraId="757FFF65">
      <w:pPr>
        <w:ind w:firstLine="420" w:firstLineChars="200"/>
        <w:rPr>
          <w:rFonts w:ascii="宋体" w:hAnsi="宋体"/>
          <w:szCs w:val="21"/>
        </w:rPr>
      </w:pPr>
      <w:r>
        <w:rPr>
          <w:rFonts w:ascii="宋体" w:hAnsi="宋体"/>
          <w:szCs w:val="21"/>
        </w:rPr>
        <w:t>2</w:t>
      </w:r>
      <w:r>
        <w:rPr>
          <w:rFonts w:hint="eastAsia" w:ascii="宋体" w:hAnsi="宋体"/>
          <w:szCs w:val="21"/>
        </w:rPr>
        <w:t>、谈判价格具体见</w:t>
      </w:r>
      <w:r>
        <w:rPr>
          <w:rFonts w:hint="eastAsia" w:ascii="宋体" w:hAnsi="宋体"/>
          <w:color w:val="FF0000"/>
          <w:szCs w:val="21"/>
        </w:rPr>
        <w:t>“开标一览表”</w:t>
      </w:r>
      <w:r>
        <w:rPr>
          <w:rFonts w:hint="eastAsia" w:ascii="宋体" w:hAnsi="宋体"/>
          <w:szCs w:val="21"/>
        </w:rPr>
        <w:t>，具体以谈判最终报价为准。</w:t>
      </w:r>
    </w:p>
    <w:p w14:paraId="635CA8FC">
      <w:pPr>
        <w:ind w:firstLine="420" w:firstLineChars="200"/>
        <w:rPr>
          <w:rFonts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14:paraId="0A63867C">
      <w:pPr>
        <w:ind w:firstLine="420" w:firstLineChars="200"/>
        <w:rPr>
          <w:rFonts w:ascii="宋体" w:hAnsi="宋体"/>
          <w:szCs w:val="21"/>
        </w:rPr>
      </w:pPr>
      <w:r>
        <w:rPr>
          <w:rFonts w:ascii="宋体" w:hAnsi="宋体"/>
          <w:szCs w:val="21"/>
        </w:rPr>
        <w:t>4</w:t>
      </w:r>
      <w:r>
        <w:rPr>
          <w:rFonts w:hint="eastAsia" w:ascii="宋体" w:hAnsi="宋体"/>
          <w:szCs w:val="21"/>
        </w:rPr>
        <w:t>、我单位同意所递交的应答文件在“对谈判须知条款的补充内容”中明确的谈判应答有效期内有效，在此期间内我单位有可能获得成交资格，我单位将受此约束，履行合同责任和义务。</w:t>
      </w:r>
    </w:p>
    <w:p w14:paraId="1CF4083A">
      <w:pPr>
        <w:ind w:firstLine="420" w:firstLineChars="200"/>
        <w:rPr>
          <w:rFonts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14:paraId="672A4D0D">
      <w:pPr>
        <w:ind w:firstLine="420" w:firstLineChars="200"/>
        <w:rPr>
          <w:rFonts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14:paraId="2A7546FF">
      <w:pPr>
        <w:ind w:firstLine="420" w:firstLineChars="200"/>
        <w:rPr>
          <w:rFonts w:ascii="宋体" w:hAnsi="宋体"/>
          <w:szCs w:val="21"/>
        </w:rPr>
      </w:pPr>
      <w:r>
        <w:rPr>
          <w:rFonts w:hint="eastAsia" w:ascii="宋体" w:hAnsi="宋体"/>
          <w:szCs w:val="21"/>
        </w:rPr>
        <w:t>7、如我单位提交样品，且未在规定时间内取回样品的，视同放弃取回，同意深圳市福田区第二人民医院对我单位提交的样品进行清理。</w:t>
      </w:r>
    </w:p>
    <w:p w14:paraId="2C6CE13F">
      <w:pPr>
        <w:pStyle w:val="2"/>
        <w:ind w:firstLine="640" w:firstLineChars="200"/>
      </w:pPr>
    </w:p>
    <w:p w14:paraId="3E10EEF5">
      <w:pPr>
        <w:pStyle w:val="2"/>
        <w:ind w:firstLine="640" w:firstLineChars="200"/>
      </w:pPr>
    </w:p>
    <w:p w14:paraId="4A305858">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198D32C9">
      <w:pPr>
        <w:ind w:left="540" w:leftChars="257"/>
        <w:rPr>
          <w:szCs w:val="21"/>
          <w:u w:val="single"/>
        </w:rPr>
      </w:pPr>
      <w:r>
        <w:rPr>
          <w:rFonts w:hint="eastAsia"/>
          <w:szCs w:val="21"/>
        </w:rPr>
        <w:t>法定代表人（负责人）或其代理人：</w:t>
      </w:r>
      <w:r>
        <w:rPr>
          <w:rFonts w:hint="eastAsia"/>
          <w:szCs w:val="21"/>
          <w:u w:val="single"/>
        </w:rPr>
        <w:t xml:space="preserve">                   </w:t>
      </w:r>
    </w:p>
    <w:p w14:paraId="2E75AAB5">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58E9FAF8">
      <w:pPr>
        <w:spacing w:line="360" w:lineRule="auto"/>
        <w:ind w:firstLine="560"/>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566C967">
      <w:pPr>
        <w:ind w:firstLine="540"/>
        <w:rPr>
          <w:rFonts w:ascii="宋体" w:hAnsi="宋体"/>
          <w:szCs w:val="21"/>
        </w:rPr>
      </w:pPr>
    </w:p>
    <w:bookmarkEnd w:id="34"/>
    <w:p w14:paraId="24666D3E">
      <w:pPr>
        <w:keepNext/>
        <w:keepLines/>
        <w:spacing w:before="260" w:after="260" w:line="413" w:lineRule="auto"/>
        <w:jc w:val="center"/>
        <w:outlineLvl w:val="2"/>
        <w:rPr>
          <w:rFonts w:ascii="黑体" w:hAnsi="Calibri" w:eastAsia="黑体"/>
          <w:sz w:val="24"/>
        </w:rPr>
      </w:pPr>
      <w:r>
        <w:rPr>
          <w:rFonts w:hint="eastAsia" w:ascii="黑体" w:hAnsi="Calibri" w:eastAsia="黑体"/>
          <w:sz w:val="24"/>
        </w:rPr>
        <w:t>二、政府采购应答及履约承诺函</w:t>
      </w:r>
    </w:p>
    <w:p w14:paraId="7D2E8890">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深圳市福田区第二人民医院</w:t>
      </w:r>
    </w:p>
    <w:p w14:paraId="486F2974">
      <w:pPr>
        <w:ind w:right="-815" w:firstLine="420" w:firstLineChars="200"/>
        <w:rPr>
          <w:rFonts w:ascii="宋体" w:hAnsi="宋体"/>
          <w:szCs w:val="21"/>
        </w:rPr>
      </w:pPr>
      <w:r>
        <w:rPr>
          <w:rFonts w:hint="eastAsia" w:ascii="宋体" w:hAnsi="宋体"/>
          <w:szCs w:val="21"/>
        </w:rPr>
        <w:t>我单位承诺：</w:t>
      </w:r>
    </w:p>
    <w:p w14:paraId="09BF95EE">
      <w:pPr>
        <w:ind w:firstLine="420" w:firstLineChars="200"/>
        <w:rPr>
          <w:rFonts w:ascii="宋体" w:hAnsi="宋体"/>
          <w:szCs w:val="21"/>
        </w:rPr>
      </w:pPr>
      <w:r>
        <w:rPr>
          <w:rFonts w:hint="eastAsia" w:ascii="宋体" w:hAnsi="宋体"/>
          <w:szCs w:val="21"/>
        </w:rPr>
        <w:t>1.</w:t>
      </w:r>
      <w:r>
        <w:rPr>
          <w:rFonts w:hint="eastAsia" w:ascii="宋体" w:hAnsi="宋体"/>
          <w:bCs/>
          <w:szCs w:val="21"/>
        </w:rPr>
        <w:t>我单位参与本项目所投标（响应）的货物、工程或服务，不存在侵犯知识产权的情况。</w:t>
      </w:r>
    </w:p>
    <w:p w14:paraId="25198355">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3A1C9E60">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531B4523">
      <w:pPr>
        <w:ind w:firstLine="420" w:firstLineChars="200"/>
        <w:rPr>
          <w:rFonts w:ascii="宋体" w:hAnsi="宋体"/>
          <w:szCs w:val="21"/>
        </w:rPr>
      </w:pPr>
      <w:r>
        <w:rPr>
          <w:rFonts w:hint="eastAsia" w:ascii="宋体" w:hAnsi="宋体"/>
          <w:szCs w:val="21"/>
        </w:rPr>
        <w:t>4.我单位</w:t>
      </w:r>
      <w:r>
        <w:rPr>
          <w:rFonts w:hint="eastAsia"/>
        </w:rPr>
        <w:t>未被列入失信被执行人、重大税收违法案件当事人名单、政府采购严重违法失信行为记录名单</w:t>
      </w:r>
    </w:p>
    <w:p w14:paraId="0BE6E892">
      <w:pPr>
        <w:ind w:firstLine="420" w:firstLineChars="200"/>
        <w:rPr>
          <w:rFonts w:ascii="宋体" w:hAnsi="宋体"/>
          <w:szCs w:val="21"/>
        </w:rPr>
      </w:pPr>
      <w:r>
        <w:rPr>
          <w:rFonts w:hint="eastAsia" w:ascii="宋体" w:hAnsi="宋体"/>
          <w:szCs w:val="21"/>
        </w:rPr>
        <w:t>5.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436C40DA">
      <w:pPr>
        <w:ind w:firstLine="420" w:firstLineChars="200"/>
        <w:rPr>
          <w:rFonts w:ascii="宋体" w:hAnsi="宋体"/>
          <w:szCs w:val="21"/>
        </w:rPr>
      </w:pPr>
      <w:r>
        <w:rPr>
          <w:rFonts w:hint="eastAsia" w:ascii="宋体" w:hAnsi="宋体" w:cs="宋体"/>
          <w:szCs w:val="21"/>
        </w:rPr>
        <w:t>我单位参与本项目政府采购活动时不存在《深圳市财政局政府采购供应商信用信息管理办法》（深财规〔2023〕3号）列明的严重违法失信行为。</w:t>
      </w:r>
    </w:p>
    <w:p w14:paraId="2DB9A7AB">
      <w:pPr>
        <w:ind w:firstLine="420" w:firstLineChars="200"/>
        <w:rPr>
          <w:rFonts w:ascii="宋体" w:hAnsi="宋体"/>
          <w:szCs w:val="21"/>
        </w:rPr>
      </w:pPr>
      <w:r>
        <w:rPr>
          <w:rFonts w:hint="eastAsia" w:ascii="宋体" w:hAnsi="宋体"/>
          <w:szCs w:val="21"/>
        </w:rPr>
        <w:t>6.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14:paraId="3DBA927E">
      <w:pPr>
        <w:ind w:firstLine="420" w:firstLineChars="200"/>
        <w:rPr>
          <w:rFonts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159A9B54">
      <w:pPr>
        <w:ind w:firstLine="420" w:firstLineChars="200"/>
        <w:rPr>
          <w:rFonts w:ascii="宋体" w:hAnsi="宋体"/>
          <w:szCs w:val="21"/>
        </w:rPr>
      </w:pPr>
      <w:r>
        <w:rPr>
          <w:rFonts w:hint="eastAsia" w:ascii="宋体" w:hAnsi="宋体"/>
          <w:szCs w:val="21"/>
        </w:rPr>
        <w:t>7.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30047F5F">
      <w:pPr>
        <w:ind w:firstLine="420" w:firstLineChars="200"/>
        <w:rPr>
          <w:rFonts w:ascii="宋体" w:hAnsi="宋体"/>
          <w:szCs w:val="21"/>
        </w:rPr>
      </w:pPr>
      <w:r>
        <w:rPr>
          <w:rFonts w:hint="eastAsia" w:ascii="宋体" w:hAnsi="宋体"/>
          <w:szCs w:val="21"/>
        </w:rPr>
        <w:t>8.我单位承诺成交后项目不转包，未经采购人同意不进行分包。</w:t>
      </w:r>
    </w:p>
    <w:p w14:paraId="20D10AAF">
      <w:pPr>
        <w:ind w:firstLine="420" w:firstLineChars="200"/>
        <w:rPr>
          <w:rFonts w:ascii="宋体" w:hAnsi="宋体"/>
        </w:rPr>
      </w:pPr>
      <w:r>
        <w:rPr>
          <w:rFonts w:hint="eastAsia" w:ascii="宋体" w:hAnsi="宋体"/>
          <w:szCs w:val="21"/>
        </w:rPr>
        <w:t>9</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5965764">
      <w:pPr>
        <w:ind w:firstLine="420" w:firstLineChars="200"/>
        <w:rPr>
          <w:rFonts w:ascii="宋体" w:hAnsi="宋体"/>
        </w:rPr>
      </w:pPr>
      <w:r>
        <w:rPr>
          <w:rFonts w:hint="eastAsia" w:ascii="宋体" w:hAnsi="宋体"/>
        </w:rPr>
        <w:t>10</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r>
        <w:rPr>
          <w:rFonts w:hint="eastAsia" w:ascii="宋体" w:hAnsi="宋体"/>
        </w:rPr>
        <w:t>。</w:t>
      </w:r>
    </w:p>
    <w:p w14:paraId="4358C97F">
      <w:pPr>
        <w:ind w:firstLine="420" w:firstLineChars="200"/>
        <w:rPr>
          <w:rFonts w:ascii="宋体" w:hAnsi="宋体"/>
        </w:rPr>
      </w:pPr>
      <w:r>
        <w:rPr>
          <w:rFonts w:ascii="宋体" w:hAnsi="宋体"/>
        </w:rPr>
        <w:t>11.</w:t>
      </w:r>
      <w:r>
        <w:rPr>
          <w:rFonts w:hint="eastAsia" w:ascii="宋体" w:hAnsi="宋体"/>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7A0104E">
      <w:pPr>
        <w:ind w:firstLine="420" w:firstLineChars="200"/>
        <w:rPr>
          <w:rFonts w:ascii="宋体" w:hAnsi="宋体"/>
          <w:bCs/>
        </w:rPr>
      </w:pPr>
      <w:r>
        <w:rPr>
          <w:rFonts w:hint="eastAsia" w:ascii="宋体" w:hAnsi="宋体"/>
          <w:bCs/>
        </w:rPr>
        <w:t>1</w:t>
      </w:r>
      <w:r>
        <w:rPr>
          <w:rFonts w:ascii="宋体" w:hAnsi="宋体"/>
          <w:bCs/>
        </w:rPr>
        <w:t>2</w:t>
      </w:r>
      <w:r>
        <w:rPr>
          <w:rFonts w:hint="eastAsia" w:ascii="宋体" w:hAnsi="宋体"/>
          <w:bCs/>
        </w:rPr>
        <w:t>.我单位已知悉并同意中标（成交）结果信息公示（公开）的内容。</w:t>
      </w:r>
    </w:p>
    <w:p w14:paraId="55D9D17D">
      <w:pPr>
        <w:ind w:firstLine="420" w:firstLineChars="200"/>
        <w:rPr>
          <w:rFonts w:ascii="宋体" w:hAnsi="宋体"/>
          <w:bCs/>
        </w:rPr>
      </w:pPr>
      <w:r>
        <w:rPr>
          <w:rFonts w:hint="eastAsia" w:ascii="宋体" w:hAnsi="宋体" w:cs="宋体"/>
          <w:bCs/>
          <w:kern w:val="0"/>
          <w:szCs w:val="21"/>
        </w:rPr>
        <w:t>1</w:t>
      </w:r>
      <w:r>
        <w:rPr>
          <w:rFonts w:ascii="宋体" w:hAnsi="宋体" w:cs="宋体"/>
          <w:bCs/>
          <w:kern w:val="0"/>
          <w:szCs w:val="21"/>
        </w:rPr>
        <w:t>3</w:t>
      </w:r>
      <w:r>
        <w:rPr>
          <w:rFonts w:hint="eastAsia" w:ascii="宋体" w:hAnsi="宋体" w:cs="宋体"/>
          <w:bCs/>
          <w:kern w:val="0"/>
          <w:szCs w:val="21"/>
        </w:rPr>
        <w:t>.</w:t>
      </w:r>
      <w:r>
        <w:rPr>
          <w:rFonts w:ascii="宋体" w:hAnsi="宋体"/>
          <w:bCs/>
        </w:rPr>
        <w:t>我单位保证，符合《中华人民共和国政府采购法实施条例》第十八条规定，与其他</w:t>
      </w:r>
      <w:r>
        <w:rPr>
          <w:rFonts w:hint="eastAsia" w:ascii="宋体" w:hAnsi="宋体"/>
          <w:bCs/>
        </w:rPr>
        <w:t>应答</w:t>
      </w:r>
      <w:r>
        <w:rPr>
          <w:rFonts w:ascii="宋体" w:hAnsi="宋体"/>
          <w:bCs/>
        </w:rPr>
        <w:t>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46F46FF7">
      <w:pPr>
        <w:ind w:firstLine="422" w:firstLineChars="200"/>
        <w:rPr>
          <w:rFonts w:ascii="宋体" w:hAnsi="宋体"/>
          <w:b/>
        </w:rPr>
      </w:pPr>
    </w:p>
    <w:p w14:paraId="744311F6">
      <w:pPr>
        <w:ind w:firstLine="422" w:firstLineChars="200"/>
        <w:rPr>
          <w:rFonts w:ascii="宋体" w:hAnsi="宋体"/>
          <w:b/>
          <w:szCs w:val="21"/>
        </w:rPr>
      </w:pPr>
      <w:r>
        <w:rPr>
          <w:rFonts w:hint="eastAsia" w:ascii="宋体" w:hAnsi="宋体"/>
          <w:b/>
        </w:rPr>
        <w:t>1</w:t>
      </w:r>
      <w:r>
        <w:rPr>
          <w:rFonts w:ascii="宋体" w:hAnsi="宋体"/>
          <w:b/>
        </w:rPr>
        <w:t>4</w:t>
      </w:r>
      <w:r>
        <w:rPr>
          <w:rFonts w:hint="eastAsia" w:ascii="宋体" w:hAnsi="宋体"/>
          <w:b/>
        </w:rPr>
        <w:t>.我单位清楚，如存在违反应答承诺行为情节严重的，将根据《深圳市财政局关于印发&lt;深圳市财政局政府采购供应商信用信息管理办法&gt;的通知》，依法被列入失信信息。</w:t>
      </w:r>
    </w:p>
    <w:p w14:paraId="642E365E">
      <w:pPr>
        <w:ind w:firstLine="420" w:firstLineChars="200"/>
        <w:rPr>
          <w:rFonts w:ascii="宋体" w:hAnsi="宋体"/>
        </w:rPr>
      </w:pPr>
    </w:p>
    <w:p w14:paraId="5BF57E22">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62A8A7F9">
      <w:pPr>
        <w:spacing w:before="60" w:beforeLines="25" w:after="60" w:afterLines="25"/>
        <w:ind w:firstLine="5460" w:firstLineChars="2600"/>
        <w:rPr>
          <w:color w:val="FF0000"/>
          <w:szCs w:val="21"/>
        </w:rPr>
      </w:pPr>
      <w:r>
        <w:rPr>
          <w:rFonts w:hint="eastAsia" w:ascii="宋体" w:hAnsi="宋体"/>
          <w:szCs w:val="21"/>
        </w:rPr>
        <w:t xml:space="preserve">                                    </w:t>
      </w:r>
    </w:p>
    <w:p w14:paraId="6A9D5EF6">
      <w:pPr>
        <w:spacing w:line="360" w:lineRule="auto"/>
        <w:ind w:firstLine="5460" w:firstLineChars="2600"/>
        <w:rPr>
          <w:rFonts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B97D7C8">
      <w:pPr>
        <w:jc w:val="left"/>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915A2E6">
      <w:pPr>
        <w:pStyle w:val="5"/>
        <w:jc w:val="center"/>
        <w:rPr>
          <w:rFonts w:ascii="黑体" w:hAnsi="宋体" w:eastAsia="黑体"/>
          <w:b w:val="0"/>
          <w:kern w:val="2"/>
          <w:sz w:val="24"/>
          <w:szCs w:val="24"/>
        </w:rPr>
      </w:pPr>
      <w:r>
        <w:rPr>
          <w:rFonts w:hint="eastAsia" w:ascii="宋体" w:hAnsi="宋体"/>
          <w:szCs w:val="21"/>
        </w:rPr>
        <w:br w:type="page"/>
      </w:r>
      <w:r>
        <w:rPr>
          <w:rFonts w:hint="eastAsia" w:ascii="黑体" w:hAnsi="宋体" w:eastAsia="黑体"/>
          <w:b w:val="0"/>
          <w:kern w:val="2"/>
          <w:sz w:val="24"/>
          <w:szCs w:val="24"/>
        </w:rPr>
        <w:t>三、供应商情况及资格证明文件</w:t>
      </w:r>
    </w:p>
    <w:p w14:paraId="242C84CB">
      <w:pPr>
        <w:rPr>
          <w:b/>
          <w:bCs/>
          <w:sz w:val="24"/>
        </w:rPr>
      </w:pPr>
    </w:p>
    <w:p w14:paraId="14BEDB9F">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（一）供应商资格证明文件</w:t>
      </w:r>
    </w:p>
    <w:p w14:paraId="5050BB38">
      <w:pPr>
        <w:spacing w:before="120" w:beforeLines="50"/>
        <w:ind w:firstLine="422" w:firstLineChars="200"/>
        <w:rPr>
          <w:b/>
          <w:bCs/>
          <w:color w:val="FF0000"/>
        </w:rPr>
      </w:pPr>
      <w:r>
        <w:rPr>
          <w:rFonts w:hint="eastAsia"/>
          <w:b/>
          <w:bCs/>
          <w:color w:val="FF0000"/>
        </w:rPr>
        <w:t>【特别提示：供应商须按本谈判文件第一章谈判公告 “申请人的资格要求”（即供应商资格要求）提供相关的资格证明资料】</w:t>
      </w:r>
    </w:p>
    <w:p w14:paraId="181C8987">
      <w:pPr>
        <w:rPr>
          <w:b/>
          <w:bCs/>
          <w:sz w:val="24"/>
        </w:rPr>
      </w:pPr>
    </w:p>
    <w:p w14:paraId="428A18AA">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8656026">
      <w:pPr>
        <w:ind w:firstLine="480" w:firstLineChars="200"/>
        <w:rPr>
          <w:rFonts w:ascii="黑体" w:hAnsi="宋体" w:eastAsia="黑体"/>
          <w:bCs/>
          <w:kern w:val="0"/>
          <w:sz w:val="24"/>
          <w:szCs w:val="32"/>
        </w:rPr>
      </w:pPr>
    </w:p>
    <w:p w14:paraId="02837A4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6B51CA86">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1、该部分内容由供应商根据自身实际情况填写，不符合要求的供应商可以不填写或直接删除相应的声明函。</w:t>
      </w:r>
      <w:r>
        <w:rPr>
          <w:rFonts w:hint="eastAsia" w:ascii="黑体" w:hAnsi="黑体" w:eastAsia="黑体"/>
          <w:color w:val="FF0000"/>
          <w:szCs w:val="21"/>
        </w:rPr>
        <w:t>供应商提供的声明函不属实的，属于提供虚假资料谋取成交，依照《中华人民共和国政府采购法》等国家有关规定追究相应责任。</w:t>
      </w:r>
    </w:p>
    <w:p w14:paraId="79FDE558">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285A0D8F">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38EB302E">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57F35537">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598AF11">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467E14EE">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1041923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p>
    <w:p w14:paraId="250AB19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326415C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DB2E21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w:t>
      </w:r>
    </w:p>
    <w:p w14:paraId="76C52FE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62FBB47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谈判文件第三章用户需求书“服务需求明细”的“服务需求名称”一栏为准）；如果涉及多个服务需求（标的）由同一企业承接，“标的名称”下划线处可以如实填写多个服务需求（标的）；</w:t>
      </w:r>
    </w:p>
    <w:p w14:paraId="535DEC37">
      <w:pPr>
        <w:spacing w:line="276" w:lineRule="auto"/>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第四处，在“谈判文件中明确的所属行业”下划线处填写采购标的对应的中小企业划分标准所属行业（所属行业可在谈判文件第二章“对谈判须知条款的补充内容及其他关键信息”章节查看）；</w:t>
      </w:r>
      <w:r>
        <w:rPr>
          <w:rFonts w:ascii="黑体" w:hAnsi="宋体" w:eastAsia="黑体"/>
          <w:bCs/>
          <w:color w:val="FF0000"/>
          <w:kern w:val="0"/>
          <w:szCs w:val="21"/>
        </w:rPr>
        <w:t xml:space="preserve"> </w:t>
      </w:r>
    </w:p>
    <w:p w14:paraId="265E3DD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谈判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14:paraId="4FBB325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（2）声明是残疾人福利性单位须填写《残疾人福利性单位声明函》的相关内容（填写位置的字体已加粗），具体参照以上《中小企业声明函》填写要求执行。 </w:t>
      </w:r>
    </w:p>
    <w:p w14:paraId="3818E1A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（3）声明是监狱企业须填写《监狱企业声明函》的相关内容（填写位置的字体已加粗），具体参照以上《中小企业声明函》填写要求执行。</w:t>
      </w:r>
    </w:p>
    <w:p w14:paraId="2A66C69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函的有效性最终由谈判小组判定；如谈判小组判定声明函无效，相关供应商不享受价格扣除（但不作应答无效处理）。如项目属于专门面向中小企业，声明函的有效性最终由采购代理机构或采购人判定；如采购代理机构或采购人判定声明函无效，相关供应商作投标（应答）无效处理。</w:t>
      </w:r>
    </w:p>
    <w:p w14:paraId="2B1AA083">
      <w:pPr>
        <w:ind w:firstLine="420" w:firstLineChars="200"/>
      </w:pPr>
    </w:p>
    <w:p w14:paraId="154E6F09">
      <w:pPr>
        <w:numPr>
          <w:ilvl w:val="0"/>
          <w:numId w:val="12"/>
        </w:numPr>
        <w:jc w:val="center"/>
        <w:outlineLvl w:val="3"/>
        <w:rPr>
          <w:b/>
          <w:sz w:val="24"/>
        </w:rPr>
      </w:pPr>
      <w:r>
        <w:rPr>
          <w:b/>
          <w:sz w:val="24"/>
        </w:rPr>
        <w:t>中小企业声明函（</w:t>
      </w:r>
      <w:r>
        <w:rPr>
          <w:rFonts w:hint="eastAsia"/>
          <w:b/>
          <w:sz w:val="24"/>
        </w:rPr>
        <w:t>服务类</w:t>
      </w:r>
      <w:r>
        <w:rPr>
          <w:b/>
          <w:sz w:val="24"/>
        </w:rPr>
        <w:t>）</w:t>
      </w:r>
    </w:p>
    <w:p w14:paraId="7D06691C">
      <w:pPr>
        <w:pStyle w:val="2"/>
      </w:pPr>
    </w:p>
    <w:p w14:paraId="79FB43E4">
      <w:pPr>
        <w:spacing w:line="360" w:lineRule="auto"/>
        <w:ind w:firstLine="420" w:firstLineChars="200"/>
        <w:outlineLvl w:val="3"/>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u w:val="single"/>
        </w:rPr>
        <w:t>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u w:val="single"/>
        </w:rPr>
        <w:t>采购活动，服务全部由符合政策要求的中小企业承接。相关企业（含联合体中的中小企业、签订分包意向协议的中小企业）的具体情况如下：</w:t>
      </w:r>
    </w:p>
    <w:p w14:paraId="3768713F">
      <w:pPr>
        <w:spacing w:line="360" w:lineRule="auto"/>
        <w:ind w:firstLine="420" w:firstLineChars="200"/>
        <w:outlineLvl w:val="3"/>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1.</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u w:val="single"/>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u w:val="single"/>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（企业名称，要求承接企业本身所属行业应当与谈判文件要求的行业相一致）    </w:t>
      </w:r>
      <w:r>
        <w:rPr>
          <w:rFonts w:hint="eastAsia" w:asciiTheme="minorEastAsia" w:hAnsiTheme="minorEastAsia" w:eastAsiaTheme="minorEastAsia" w:cstheme="minorEastAsia"/>
          <w:szCs w:val="21"/>
          <w:u w:val="single"/>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u w:val="single"/>
        </w:rPr>
        <w:t>；</w:t>
      </w:r>
    </w:p>
    <w:p w14:paraId="3CCD5B9F">
      <w:pPr>
        <w:spacing w:line="360" w:lineRule="auto"/>
        <w:ind w:firstLine="420" w:firstLineChars="200"/>
        <w:outlineLvl w:val="3"/>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2.</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u w:val="single"/>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u w:val="single"/>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（企业名称，要求承接企业本身所属行业应当与谈判文件要求的行业相一致）    </w:t>
      </w:r>
      <w:r>
        <w:rPr>
          <w:rFonts w:hint="eastAsia" w:asciiTheme="minorEastAsia" w:hAnsiTheme="minorEastAsia" w:eastAsiaTheme="minorEastAsia" w:cstheme="minorEastAsia"/>
          <w:szCs w:val="21"/>
          <w:u w:val="single"/>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u w:val="single"/>
        </w:rPr>
        <w:t>；</w:t>
      </w:r>
    </w:p>
    <w:p w14:paraId="2D40C585">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28E6423B">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24878CC7">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7F3082BC">
      <w:pPr>
        <w:spacing w:line="360" w:lineRule="auto"/>
        <w:ind w:firstLine="420" w:firstLineChars="200"/>
        <w:outlineLvl w:val="3"/>
        <w:rPr>
          <w:rFonts w:asciiTheme="minorEastAsia" w:hAnsiTheme="minorEastAsia" w:eastAsiaTheme="minorEastAsia" w:cstheme="minorEastAsia"/>
          <w:szCs w:val="21"/>
        </w:rPr>
      </w:pPr>
      <w:bookmarkStart w:id="37"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7"/>
    </w:p>
    <w:p w14:paraId="58E0091A">
      <w:pPr>
        <w:wordWrap w:val="0"/>
        <w:adjustRightInd w:val="0"/>
        <w:spacing w:line="300" w:lineRule="exact"/>
        <w:ind w:firstLine="420" w:firstLineChars="200"/>
        <w:jc w:val="right"/>
        <w:rPr>
          <w:rFonts w:ascii="宋体" w:hAnsi="宋体" w:cs="宋体"/>
          <w:szCs w:val="21"/>
        </w:rPr>
      </w:pPr>
      <w:r>
        <w:rPr>
          <w:rFonts w:hint="eastAsia" w:ascii="宋体" w:hAnsi="宋体" w:cs="宋体"/>
          <w:szCs w:val="21"/>
        </w:rPr>
        <w:t xml:space="preserve">企业名称（公章）：                </w:t>
      </w:r>
    </w:p>
    <w:p w14:paraId="0789B91F">
      <w:pPr>
        <w:adjustRightInd w:val="0"/>
        <w:spacing w:line="300" w:lineRule="exact"/>
        <w:ind w:right="420"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日 期：  </w:t>
      </w:r>
    </w:p>
    <w:p w14:paraId="4653A741">
      <w:pPr>
        <w:pStyle w:val="2"/>
      </w:pPr>
    </w:p>
    <w:p w14:paraId="5E1280B1">
      <w:pPr>
        <w:pStyle w:val="2"/>
      </w:pPr>
    </w:p>
    <w:p w14:paraId="03145B57">
      <w:pPr>
        <w:ind w:firstLine="420" w:firstLineChars="200"/>
      </w:pPr>
    </w:p>
    <w:p w14:paraId="3F00C197">
      <w:pPr>
        <w:jc w:val="center"/>
        <w:outlineLvl w:val="3"/>
        <w:rPr>
          <w:b/>
          <w:sz w:val="24"/>
        </w:rPr>
      </w:pPr>
      <w:r>
        <w:rPr>
          <w:rFonts w:hint="eastAsia"/>
          <w:b/>
          <w:sz w:val="24"/>
        </w:rPr>
        <w:t>2、残疾人福利性单位声明函（服务类）</w:t>
      </w:r>
    </w:p>
    <w:p w14:paraId="1B0FA56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424978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17A73B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B97F6FF">
      <w:pPr>
        <w:pStyle w:val="2"/>
      </w:pPr>
    </w:p>
    <w:p w14:paraId="5ABACEA4">
      <w:pPr>
        <w:wordWrap w:val="0"/>
        <w:adjustRightInd w:val="0"/>
        <w:spacing w:line="300" w:lineRule="exact"/>
        <w:ind w:firstLine="420" w:firstLineChars="200"/>
        <w:jc w:val="right"/>
        <w:rPr>
          <w:rFonts w:ascii="宋体" w:hAnsi="宋体" w:cs="宋体"/>
          <w:szCs w:val="21"/>
        </w:rPr>
      </w:pPr>
      <w:r>
        <w:rPr>
          <w:rFonts w:hint="eastAsia" w:ascii="宋体" w:hAnsi="宋体" w:cs="宋体"/>
          <w:szCs w:val="21"/>
        </w:rPr>
        <w:t xml:space="preserve">供应商（公章）：                </w:t>
      </w:r>
    </w:p>
    <w:p w14:paraId="4B96443E">
      <w:pPr>
        <w:adjustRightInd w:val="0"/>
        <w:spacing w:line="300" w:lineRule="exact"/>
        <w:ind w:right="420"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日 期：  </w:t>
      </w:r>
    </w:p>
    <w:p w14:paraId="38A63137">
      <w:pPr>
        <w:pStyle w:val="2"/>
      </w:pPr>
    </w:p>
    <w:p w14:paraId="05B2939F">
      <w:pPr>
        <w:ind w:firstLine="420" w:firstLineChars="200"/>
        <w:rPr>
          <w:rFonts w:ascii="宋体" w:hAnsi="宋体"/>
          <w:szCs w:val="21"/>
        </w:rPr>
      </w:pPr>
    </w:p>
    <w:p w14:paraId="2ED5E7CC">
      <w:pPr>
        <w:ind w:firstLine="420" w:firstLineChars="200"/>
        <w:rPr>
          <w:rFonts w:ascii="宋体" w:hAnsi="宋体"/>
          <w:szCs w:val="21"/>
        </w:rPr>
      </w:pPr>
    </w:p>
    <w:p w14:paraId="5F2A36F4">
      <w:pPr>
        <w:ind w:firstLine="420" w:firstLineChars="200"/>
        <w:rPr>
          <w:rFonts w:ascii="宋体" w:hAnsi="宋体"/>
          <w:szCs w:val="21"/>
        </w:rPr>
      </w:pPr>
    </w:p>
    <w:p w14:paraId="718B112B">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7F1E995A">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53EDFFE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6C7F9556">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75910291">
      <w:pPr>
        <w:ind w:firstLine="420" w:firstLineChars="200"/>
        <w:outlineLvl w:val="3"/>
        <w:rPr>
          <w:rFonts w:ascii="宋体" w:hAnsi="宋体"/>
          <w:szCs w:val="21"/>
        </w:rPr>
      </w:pPr>
      <w:r>
        <w:rPr>
          <w:rFonts w:ascii="宋体" w:hAnsi="宋体"/>
          <w:szCs w:val="21"/>
        </w:rPr>
        <w:t xml:space="preserve">…… </w:t>
      </w:r>
    </w:p>
    <w:p w14:paraId="571C7E78">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7B2C9CEE">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56BC857C">
      <w:pPr>
        <w:ind w:firstLine="482" w:firstLineChars="200"/>
        <w:rPr>
          <w:b/>
          <w:bCs/>
          <w:sz w:val="24"/>
        </w:rPr>
      </w:pPr>
    </w:p>
    <w:p w14:paraId="5ACAFC1E">
      <w:pPr>
        <w:wordWrap w:val="0"/>
        <w:adjustRightInd w:val="0"/>
        <w:spacing w:line="300" w:lineRule="exact"/>
        <w:ind w:firstLine="420" w:firstLineChars="200"/>
        <w:jc w:val="right"/>
        <w:rPr>
          <w:rFonts w:ascii="宋体" w:hAnsi="宋体" w:cs="宋体"/>
          <w:szCs w:val="21"/>
        </w:rPr>
      </w:pPr>
      <w:r>
        <w:rPr>
          <w:rFonts w:hint="eastAsia" w:ascii="宋体" w:hAnsi="宋体" w:cs="宋体"/>
          <w:szCs w:val="21"/>
        </w:rPr>
        <w:t xml:space="preserve">供应商（公章）：                </w:t>
      </w:r>
    </w:p>
    <w:p w14:paraId="3836F2E6">
      <w:pPr>
        <w:adjustRightInd w:val="0"/>
        <w:spacing w:line="300" w:lineRule="exact"/>
        <w:ind w:right="420"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日 期：  </w:t>
      </w:r>
    </w:p>
    <w:p w14:paraId="1AB7CB80">
      <w:pPr>
        <w:widowControl/>
        <w:ind w:firstLine="482"/>
        <w:jc w:val="left"/>
        <w:rPr>
          <w:rFonts w:ascii="宋体" w:hAnsi="宋体"/>
          <w:b/>
          <w:szCs w:val="21"/>
        </w:rPr>
      </w:pPr>
    </w:p>
    <w:p w14:paraId="3F7107AF">
      <w:pPr>
        <w:pStyle w:val="2"/>
      </w:pPr>
    </w:p>
    <w:p w14:paraId="3EEAA71D">
      <w:pPr>
        <w:pStyle w:val="2"/>
      </w:pPr>
    </w:p>
    <w:p w14:paraId="2D1DC2EC">
      <w:pPr>
        <w:tabs>
          <w:tab w:val="left" w:pos="360"/>
        </w:tabs>
        <w:spacing w:before="120" w:after="120"/>
        <w:ind w:left="480"/>
        <w:jc w:val="center"/>
        <w:outlineLvl w:val="2"/>
        <w:rPr>
          <w:rFonts w:ascii="黑体" w:hAnsi="宋体" w:eastAsia="黑体"/>
          <w:sz w:val="24"/>
          <w:szCs w:val="32"/>
        </w:rPr>
      </w:pPr>
      <w:bookmarkStart w:id="38" w:name="_Toc59916724"/>
      <w:r>
        <w:rPr>
          <w:rFonts w:hint="eastAsia" w:ascii="黑体" w:hAnsi="宋体" w:eastAsia="黑体"/>
          <w:sz w:val="24"/>
          <w:szCs w:val="32"/>
        </w:rPr>
        <w:t>四、</w:t>
      </w:r>
      <w:bookmarkEnd w:id="38"/>
      <w:r>
        <w:rPr>
          <w:rFonts w:hint="eastAsia" w:ascii="黑体" w:hAnsi="宋体" w:eastAsia="黑体"/>
          <w:sz w:val="24"/>
          <w:szCs w:val="32"/>
        </w:rPr>
        <w:t>开标一览表</w:t>
      </w:r>
    </w:p>
    <w:p w14:paraId="25AC07BB">
      <w:pPr>
        <w:pStyle w:val="2"/>
        <w:jc w:val="right"/>
        <w:rPr>
          <w:rFonts w:eastAsia="宋体"/>
          <w:sz w:val="21"/>
          <w:szCs w:val="21"/>
        </w:rPr>
      </w:pPr>
      <w:r>
        <w:rPr>
          <w:rFonts w:hint="eastAsia" w:eastAsia="宋体"/>
          <w:sz w:val="21"/>
          <w:szCs w:val="21"/>
        </w:rPr>
        <w:t>货币单位：人民币元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402"/>
        <w:gridCol w:w="1985"/>
        <w:gridCol w:w="2087"/>
      </w:tblGrid>
      <w:tr w14:paraId="3CED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7D2913E">
            <w:pPr>
              <w:spacing w:line="360" w:lineRule="auto"/>
              <w:jc w:val="center"/>
              <w:rPr>
                <w:rFonts w:ascii="宋体" w:hAnsi="宋体"/>
                <w:szCs w:val="21"/>
              </w:rPr>
            </w:pPr>
            <w:r>
              <w:rPr>
                <w:rFonts w:hint="eastAsia" w:ascii="宋体" w:hAnsi="宋体"/>
                <w:szCs w:val="21"/>
              </w:rPr>
              <w:t>项目编号</w:t>
            </w:r>
          </w:p>
        </w:tc>
        <w:tc>
          <w:tcPr>
            <w:tcW w:w="3402" w:type="dxa"/>
          </w:tcPr>
          <w:p w14:paraId="641AE3A5">
            <w:pPr>
              <w:spacing w:line="360" w:lineRule="auto"/>
              <w:jc w:val="center"/>
              <w:rPr>
                <w:rFonts w:ascii="宋体" w:hAnsi="宋体"/>
                <w:szCs w:val="21"/>
              </w:rPr>
            </w:pPr>
            <w:r>
              <w:rPr>
                <w:rFonts w:hint="eastAsia" w:ascii="宋体" w:hAnsi="宋体"/>
                <w:szCs w:val="21"/>
              </w:rPr>
              <w:t>项目名称</w:t>
            </w:r>
          </w:p>
        </w:tc>
        <w:tc>
          <w:tcPr>
            <w:tcW w:w="1985" w:type="dxa"/>
          </w:tcPr>
          <w:p w14:paraId="769C0EF9">
            <w:pPr>
              <w:spacing w:line="360" w:lineRule="auto"/>
              <w:jc w:val="center"/>
              <w:rPr>
                <w:rFonts w:ascii="宋体" w:hAnsi="宋体"/>
                <w:szCs w:val="21"/>
              </w:rPr>
            </w:pPr>
            <w:r>
              <w:rPr>
                <w:rFonts w:hint="eastAsia" w:ascii="宋体" w:hAnsi="宋体"/>
                <w:szCs w:val="21"/>
              </w:rPr>
              <w:t>投标折扣</w:t>
            </w:r>
          </w:p>
        </w:tc>
        <w:tc>
          <w:tcPr>
            <w:tcW w:w="2087" w:type="dxa"/>
          </w:tcPr>
          <w:p w14:paraId="5BF76516">
            <w:pPr>
              <w:spacing w:line="360" w:lineRule="auto"/>
              <w:jc w:val="center"/>
              <w:rPr>
                <w:rFonts w:ascii="宋体" w:hAnsi="宋体"/>
                <w:szCs w:val="21"/>
              </w:rPr>
            </w:pPr>
            <w:r>
              <w:rPr>
                <w:rFonts w:hint="eastAsia" w:ascii="宋体" w:hAnsi="宋体"/>
                <w:szCs w:val="21"/>
              </w:rPr>
              <w:t>备注</w:t>
            </w:r>
          </w:p>
        </w:tc>
      </w:tr>
      <w:tr w14:paraId="244B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B34FC9B">
            <w:pPr>
              <w:spacing w:line="360" w:lineRule="auto"/>
              <w:rPr>
                <w:rFonts w:ascii="宋体" w:hAnsi="宋体"/>
                <w:szCs w:val="21"/>
              </w:rPr>
            </w:pPr>
          </w:p>
        </w:tc>
        <w:tc>
          <w:tcPr>
            <w:tcW w:w="3402" w:type="dxa"/>
          </w:tcPr>
          <w:p w14:paraId="0ACB846D">
            <w:pPr>
              <w:spacing w:line="360" w:lineRule="auto"/>
              <w:rPr>
                <w:rFonts w:ascii="宋体" w:hAnsi="宋体"/>
                <w:szCs w:val="21"/>
              </w:rPr>
            </w:pPr>
          </w:p>
        </w:tc>
        <w:tc>
          <w:tcPr>
            <w:tcW w:w="1985" w:type="dxa"/>
          </w:tcPr>
          <w:p w14:paraId="3CA41354">
            <w:pPr>
              <w:spacing w:line="360" w:lineRule="auto"/>
              <w:rPr>
                <w:rFonts w:ascii="宋体" w:hAnsi="宋体"/>
                <w:szCs w:val="21"/>
              </w:rPr>
            </w:pPr>
          </w:p>
        </w:tc>
        <w:tc>
          <w:tcPr>
            <w:tcW w:w="2087" w:type="dxa"/>
          </w:tcPr>
          <w:p w14:paraId="7D864D29">
            <w:pPr>
              <w:spacing w:line="360" w:lineRule="auto"/>
              <w:rPr>
                <w:rFonts w:ascii="宋体" w:hAnsi="宋体"/>
                <w:szCs w:val="21"/>
              </w:rPr>
            </w:pPr>
          </w:p>
        </w:tc>
      </w:tr>
    </w:tbl>
    <w:p w14:paraId="0DDC3C3F">
      <w:pPr>
        <w:jc w:val="left"/>
        <w:rPr>
          <w:rFonts w:ascii="宋体" w:hAnsi="宋体" w:cs="宋体"/>
          <w:szCs w:val="21"/>
        </w:rPr>
      </w:pPr>
      <w:r>
        <w:rPr>
          <w:rFonts w:hint="eastAsia" w:ascii="宋体" w:hAnsi="宋体" w:cs="宋体"/>
          <w:szCs w:val="21"/>
        </w:rPr>
        <w:t>注明：1</w:t>
      </w:r>
      <w:r>
        <w:rPr>
          <w:rFonts w:ascii="宋体" w:hAnsi="宋体" w:cs="宋体"/>
          <w:szCs w:val="21"/>
        </w:rPr>
        <w:t>.</w:t>
      </w:r>
      <w:r>
        <w:rPr>
          <w:rFonts w:hint="eastAsia" w:ascii="宋体" w:hAnsi="宋体" w:cs="宋体"/>
          <w:szCs w:val="21"/>
        </w:rPr>
        <w:t>①、基准价包含服务成本、维修费、检测费、运输费、法定税费和企业利润等一切费用）；②、折扣：供应商在基准价上报折扣（如九折，在基准价上下浮1</w:t>
      </w:r>
      <w:r>
        <w:rPr>
          <w:rFonts w:ascii="宋体" w:hAnsi="宋体" w:cs="宋体"/>
          <w:szCs w:val="21"/>
        </w:rPr>
        <w:t>0%</w:t>
      </w:r>
      <w:r>
        <w:rPr>
          <w:rFonts w:hint="eastAsia" w:ascii="宋体" w:hAnsi="宋体" w:cs="宋体"/>
          <w:szCs w:val="21"/>
        </w:rPr>
        <w:t>，则在响应文件中折扣填报0</w:t>
      </w:r>
      <w:r>
        <w:rPr>
          <w:rFonts w:ascii="宋体" w:hAnsi="宋体" w:cs="宋体"/>
          <w:szCs w:val="21"/>
        </w:rPr>
        <w:t>.90</w:t>
      </w:r>
      <w:r>
        <w:rPr>
          <w:rFonts w:hint="eastAsia" w:ascii="宋体" w:hAnsi="宋体" w:cs="宋体"/>
          <w:szCs w:val="21"/>
        </w:rPr>
        <w:t>），折扣填报采用小数点格式进行填报，且只保留小数点后两位；③、折扣填写要求：0＜折扣≤</w:t>
      </w:r>
      <w:r>
        <w:rPr>
          <w:rFonts w:ascii="宋体" w:hAnsi="宋体" w:cs="宋体"/>
          <w:szCs w:val="21"/>
        </w:rPr>
        <w:t>1</w:t>
      </w:r>
      <w:r>
        <w:rPr>
          <w:rFonts w:hint="eastAsia" w:ascii="宋体" w:hAnsi="宋体" w:cs="宋体"/>
          <w:szCs w:val="21"/>
        </w:rPr>
        <w:t>。</w:t>
      </w:r>
    </w:p>
    <w:p w14:paraId="5244D9B1">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投标人如果需要对报价或其他内容加以说明，可在备注栏填写。</w:t>
      </w:r>
    </w:p>
    <w:p w14:paraId="366049E5">
      <w:pPr>
        <w:ind w:firstLine="422" w:firstLineChars="200"/>
        <w:rPr>
          <w:rFonts w:ascii="宋体" w:hAnsi="宋体" w:cs="宋体"/>
          <w:b/>
          <w:bCs/>
          <w:color w:val="FF0000"/>
          <w:szCs w:val="21"/>
        </w:rPr>
      </w:pPr>
      <w:r>
        <w:rPr>
          <w:rFonts w:ascii="宋体" w:hAnsi="宋体" w:cs="宋体"/>
          <w:b/>
          <w:bCs/>
          <w:color w:val="FF0000"/>
          <w:szCs w:val="21"/>
        </w:rPr>
        <w:t>3</w:t>
      </w:r>
      <w:r>
        <w:rPr>
          <w:rFonts w:hint="eastAsia" w:ascii="宋体" w:hAnsi="宋体" w:cs="宋体"/>
          <w:b/>
          <w:bCs/>
          <w:color w:val="FF0000"/>
          <w:szCs w:val="21"/>
        </w:rPr>
        <w:t>.《开标一览表》作为开标时唱标的依据，除按格式要求放入响应文件中外，还应另行单独密封提交一份，在封口密封处加盖公章（或密封封口处粘贴封条并加盖投标单位公章），并在信封上标明“开标一览表”字样。</w:t>
      </w:r>
    </w:p>
    <w:p w14:paraId="26FFB3EE">
      <w:pPr>
        <w:ind w:firstLine="422" w:firstLineChars="200"/>
        <w:rPr>
          <w:rFonts w:ascii="宋体" w:hAnsi="宋体" w:cs="宋体"/>
          <w:b/>
          <w:bCs/>
          <w:color w:val="FF0000"/>
          <w:szCs w:val="21"/>
        </w:rPr>
      </w:pPr>
      <w:r>
        <w:rPr>
          <w:rFonts w:ascii="宋体" w:hAnsi="宋体" w:cs="宋体"/>
          <w:b/>
          <w:bCs/>
          <w:color w:val="FF0000"/>
          <w:szCs w:val="21"/>
        </w:rPr>
        <w:t>4</w:t>
      </w:r>
      <w:r>
        <w:rPr>
          <w:rFonts w:hint="eastAsia" w:ascii="宋体" w:hAnsi="宋体" w:cs="宋体"/>
          <w:b/>
          <w:bCs/>
          <w:color w:val="FF0000"/>
          <w:szCs w:val="21"/>
        </w:rPr>
        <w:t>.《开标一览表》未按采购文件规定签字、盖章、密封的，将导致废标。</w:t>
      </w:r>
    </w:p>
    <w:p w14:paraId="352565CC">
      <w:pPr>
        <w:pStyle w:val="2"/>
        <w:rPr>
          <w:rFonts w:eastAsia="宋体" w:cs="宋体"/>
          <w:sz w:val="21"/>
          <w:szCs w:val="21"/>
        </w:rPr>
      </w:pPr>
    </w:p>
    <w:p w14:paraId="1628D407">
      <w:pPr>
        <w:spacing w:line="360" w:lineRule="auto"/>
        <w:rPr>
          <w:rFonts w:ascii="宋体" w:hAnsi="宋体"/>
          <w:szCs w:val="21"/>
        </w:rPr>
      </w:pPr>
    </w:p>
    <w:p w14:paraId="211DE94C">
      <w:pPr>
        <w:wordWrap w:val="0"/>
        <w:adjustRightInd w:val="0"/>
        <w:spacing w:line="300" w:lineRule="exact"/>
        <w:ind w:firstLine="420" w:firstLineChars="200"/>
        <w:jc w:val="right"/>
        <w:rPr>
          <w:rFonts w:ascii="宋体" w:hAnsi="宋体" w:cs="宋体"/>
          <w:szCs w:val="21"/>
        </w:rPr>
      </w:pPr>
      <w:r>
        <w:rPr>
          <w:rFonts w:hint="eastAsia" w:ascii="宋体" w:hAnsi="宋体" w:cs="宋体"/>
          <w:szCs w:val="21"/>
        </w:rPr>
        <w:t xml:space="preserve">供应商（公章）：                </w:t>
      </w:r>
    </w:p>
    <w:p w14:paraId="138BCBE6">
      <w:pPr>
        <w:adjustRightInd w:val="0"/>
        <w:spacing w:line="300" w:lineRule="exact"/>
        <w:ind w:right="420"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日 期：  </w:t>
      </w:r>
    </w:p>
    <w:p w14:paraId="4CD0AD8E">
      <w:pPr>
        <w:pStyle w:val="2"/>
      </w:pPr>
    </w:p>
    <w:p w14:paraId="74D2B4E7">
      <w:pPr>
        <w:pStyle w:val="2"/>
      </w:pPr>
    </w:p>
    <w:p w14:paraId="1DEC360D">
      <w:pPr>
        <w:pStyle w:val="2"/>
      </w:pPr>
    </w:p>
    <w:p w14:paraId="7EDABF13">
      <w:pPr>
        <w:pStyle w:val="2"/>
      </w:pPr>
    </w:p>
    <w:p w14:paraId="62673997">
      <w:pPr>
        <w:pStyle w:val="2"/>
      </w:pPr>
    </w:p>
    <w:p w14:paraId="3D1910E0">
      <w:pPr>
        <w:pStyle w:val="2"/>
      </w:pPr>
    </w:p>
    <w:p w14:paraId="4876DCF9">
      <w:pPr>
        <w:pStyle w:val="2"/>
      </w:pPr>
    </w:p>
    <w:p w14:paraId="4D139403">
      <w:pPr>
        <w:pStyle w:val="2"/>
      </w:pPr>
    </w:p>
    <w:p w14:paraId="124BFABE">
      <w:pPr>
        <w:tabs>
          <w:tab w:val="left" w:pos="360"/>
        </w:tabs>
        <w:spacing w:before="120" w:after="120"/>
        <w:ind w:left="480"/>
        <w:jc w:val="center"/>
        <w:outlineLvl w:val="2"/>
        <w:rPr>
          <w:rFonts w:ascii="黑体" w:hAnsi="宋体" w:eastAsia="黑体"/>
          <w:sz w:val="24"/>
          <w:szCs w:val="32"/>
        </w:rPr>
      </w:pPr>
      <w:r>
        <w:rPr>
          <w:rFonts w:hint="eastAsia" w:ascii="黑体" w:hAnsi="宋体" w:eastAsia="黑体"/>
          <w:sz w:val="24"/>
          <w:szCs w:val="32"/>
        </w:rPr>
        <w:t>五、项目详细报价</w:t>
      </w:r>
    </w:p>
    <w:p w14:paraId="46E7F7C6">
      <w:pPr>
        <w:pStyle w:val="2"/>
        <w:jc w:val="right"/>
        <w:rPr>
          <w:rFonts w:eastAsia="宋体"/>
          <w:sz w:val="21"/>
          <w:szCs w:val="21"/>
        </w:rPr>
      </w:pPr>
      <w:r>
        <w:rPr>
          <w:rFonts w:hint="eastAsia" w:eastAsia="宋体"/>
          <w:sz w:val="21"/>
          <w:szCs w:val="21"/>
        </w:rPr>
        <w:t>货币单位：人民币元</w:t>
      </w:r>
    </w:p>
    <w:p w14:paraId="5FEB7571">
      <w:pPr>
        <w:pStyle w:val="6"/>
        <w:spacing w:before="0" w:after="0" w:line="240" w:lineRule="auto"/>
        <w:jc w:val="left"/>
        <w:rPr>
          <w:rFonts w:ascii="宋体" w:hAnsi="宋体" w:eastAsia="宋体"/>
          <w:sz w:val="21"/>
          <w:szCs w:val="21"/>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3246"/>
        <w:gridCol w:w="3246"/>
      </w:tblGrid>
      <w:tr w14:paraId="611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tcPr>
          <w:p w14:paraId="6DB904EE">
            <w:pPr>
              <w:jc w:val="center"/>
              <w:rPr>
                <w:rFonts w:ascii="宋体" w:hAnsi="宋体"/>
                <w:szCs w:val="21"/>
              </w:rPr>
            </w:pPr>
            <w:r>
              <w:rPr>
                <w:rFonts w:hint="eastAsia" w:ascii="宋体" w:hAnsi="宋体"/>
                <w:szCs w:val="21"/>
              </w:rPr>
              <w:t>内容</w:t>
            </w:r>
          </w:p>
        </w:tc>
        <w:tc>
          <w:tcPr>
            <w:tcW w:w="3246" w:type="dxa"/>
          </w:tcPr>
          <w:p w14:paraId="6DFF20AF">
            <w:pPr>
              <w:jc w:val="center"/>
              <w:rPr>
                <w:rFonts w:ascii="宋体" w:hAnsi="宋体"/>
                <w:szCs w:val="21"/>
              </w:rPr>
            </w:pPr>
            <w:r>
              <w:rPr>
                <w:rFonts w:hint="eastAsia" w:ascii="宋体" w:hAnsi="宋体"/>
                <w:szCs w:val="21"/>
              </w:rPr>
              <w:t>基准价</w:t>
            </w:r>
          </w:p>
        </w:tc>
        <w:tc>
          <w:tcPr>
            <w:tcW w:w="3246" w:type="dxa"/>
          </w:tcPr>
          <w:p w14:paraId="6F95CE16">
            <w:pPr>
              <w:jc w:val="center"/>
              <w:rPr>
                <w:rFonts w:ascii="宋体" w:hAnsi="宋体"/>
                <w:szCs w:val="21"/>
              </w:rPr>
            </w:pPr>
            <w:r>
              <w:rPr>
                <w:rFonts w:hint="eastAsia" w:ascii="宋体" w:hAnsi="宋体"/>
                <w:szCs w:val="21"/>
              </w:rPr>
              <w:t>投标折扣</w:t>
            </w:r>
          </w:p>
        </w:tc>
      </w:tr>
      <w:tr w14:paraId="2EE3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vAlign w:val="center"/>
          </w:tcPr>
          <w:p w14:paraId="3FD7CE1F">
            <w:pPr>
              <w:jc w:val="center"/>
              <w:rPr>
                <w:rFonts w:ascii="宋体" w:hAnsi="宋体"/>
                <w:szCs w:val="21"/>
                <w:u w:val="single"/>
              </w:rPr>
            </w:pPr>
            <w:r>
              <w:rPr>
                <w:rFonts w:hint="eastAsia" w:ascii="宋体" w:hAnsi="宋体"/>
                <w:szCs w:val="21"/>
              </w:rPr>
              <w:t>工时单价</w:t>
            </w:r>
          </w:p>
        </w:tc>
        <w:tc>
          <w:tcPr>
            <w:tcW w:w="3246" w:type="dxa"/>
            <w:vAlign w:val="center"/>
          </w:tcPr>
          <w:p w14:paraId="550B5E9E">
            <w:pPr>
              <w:jc w:val="center"/>
              <w:rPr>
                <w:rFonts w:ascii="宋体" w:hAnsi="宋体"/>
                <w:szCs w:val="21"/>
                <w:u w:val="single"/>
              </w:rPr>
            </w:pPr>
            <w:r>
              <w:rPr>
                <w:rFonts w:hint="eastAsia" w:ascii="宋体" w:hAnsi="宋体" w:cs="宋体"/>
                <w:b/>
                <w:color w:val="FF0000"/>
                <w:szCs w:val="21"/>
              </w:rPr>
              <w:t>50元/小时</w:t>
            </w:r>
          </w:p>
        </w:tc>
        <w:tc>
          <w:tcPr>
            <w:tcW w:w="3246" w:type="dxa"/>
          </w:tcPr>
          <w:p w14:paraId="3039A7B2">
            <w:pPr>
              <w:jc w:val="center"/>
              <w:rPr>
                <w:rFonts w:ascii="宋体" w:hAnsi="宋体"/>
                <w:szCs w:val="21"/>
                <w:u w:val="single"/>
              </w:rPr>
            </w:pPr>
          </w:p>
        </w:tc>
      </w:tr>
      <w:tr w14:paraId="1B56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vAlign w:val="center"/>
          </w:tcPr>
          <w:p w14:paraId="3DFD7CA9">
            <w:pPr>
              <w:jc w:val="center"/>
              <w:rPr>
                <w:rFonts w:ascii="宋体" w:hAnsi="宋体"/>
                <w:szCs w:val="21"/>
                <w:u w:val="single"/>
              </w:rPr>
            </w:pPr>
            <w:r>
              <w:rPr>
                <w:rFonts w:hint="eastAsia" w:ascii="宋体" w:hAnsi="宋体"/>
                <w:szCs w:val="21"/>
              </w:rPr>
              <w:t>维修材料管理费率</w:t>
            </w:r>
          </w:p>
        </w:tc>
        <w:tc>
          <w:tcPr>
            <w:tcW w:w="3246" w:type="dxa"/>
            <w:vAlign w:val="center"/>
          </w:tcPr>
          <w:p w14:paraId="40A43364">
            <w:pPr>
              <w:jc w:val="center"/>
              <w:rPr>
                <w:rFonts w:ascii="宋体" w:hAnsi="宋体"/>
                <w:szCs w:val="21"/>
                <w:u w:val="single"/>
              </w:rPr>
            </w:pPr>
            <w:r>
              <w:rPr>
                <w:rFonts w:hint="eastAsia" w:ascii="宋体" w:hAnsi="宋体" w:cs="宋体"/>
                <w:b/>
                <w:color w:val="FF0000"/>
                <w:szCs w:val="21"/>
              </w:rPr>
              <w:t>15%</w:t>
            </w:r>
          </w:p>
        </w:tc>
        <w:tc>
          <w:tcPr>
            <w:tcW w:w="3246" w:type="dxa"/>
          </w:tcPr>
          <w:p w14:paraId="76544E8E">
            <w:pPr>
              <w:jc w:val="center"/>
              <w:rPr>
                <w:rFonts w:ascii="宋体" w:hAnsi="宋体"/>
                <w:szCs w:val="21"/>
                <w:u w:val="single"/>
              </w:rPr>
            </w:pPr>
          </w:p>
        </w:tc>
      </w:tr>
    </w:tbl>
    <w:p w14:paraId="5647265D">
      <w:pPr>
        <w:rPr>
          <w:rFonts w:ascii="宋体" w:hAnsi="宋体"/>
          <w:szCs w:val="21"/>
        </w:rPr>
      </w:pPr>
      <w:r>
        <w:rPr>
          <w:rFonts w:hint="eastAsia" w:ascii="宋体" w:hAnsi="宋体"/>
          <w:szCs w:val="21"/>
        </w:rPr>
        <w:t>备注：</w:t>
      </w:r>
    </w:p>
    <w:p w14:paraId="15B02773">
      <w:pPr>
        <w:spacing w:line="360" w:lineRule="auto"/>
        <w:ind w:firstLine="525" w:firstLineChars="250"/>
        <w:jc w:val="left"/>
        <w:rPr>
          <w:rFonts w:ascii="宋体" w:hAnsi="宋体" w:cs="宋体"/>
          <w:color w:val="FF0000"/>
          <w:szCs w:val="21"/>
        </w:rPr>
      </w:pPr>
      <w:r>
        <w:rPr>
          <w:rFonts w:hint="eastAsia" w:ascii="宋体" w:hAnsi="宋体" w:cs="宋体"/>
          <w:color w:val="FF0000"/>
          <w:szCs w:val="21"/>
        </w:rPr>
        <w:t>1</w:t>
      </w:r>
      <w:r>
        <w:rPr>
          <w:rFonts w:ascii="宋体" w:hAnsi="宋体" w:cs="宋体"/>
          <w:color w:val="FF0000"/>
          <w:szCs w:val="21"/>
        </w:rPr>
        <w:t>.</w:t>
      </w:r>
      <w:r>
        <w:rPr>
          <w:rFonts w:hint="eastAsia" w:ascii="宋体" w:hAnsi="宋体" w:cs="宋体"/>
          <w:color w:val="FF0000"/>
          <w:szCs w:val="21"/>
        </w:rPr>
        <w:t>基准价包含服务成本、维修费、检测费、运输费、法定税费和企业利润等一切费用）；</w:t>
      </w:r>
    </w:p>
    <w:p w14:paraId="018C4766">
      <w:pPr>
        <w:spacing w:line="360" w:lineRule="auto"/>
        <w:ind w:firstLine="525" w:firstLineChars="250"/>
        <w:jc w:val="left"/>
        <w:rPr>
          <w:rFonts w:ascii="宋体" w:hAnsi="宋体" w:cs="宋体"/>
          <w:color w:val="FF0000"/>
          <w:szCs w:val="21"/>
        </w:rPr>
      </w:pPr>
      <w:r>
        <w:rPr>
          <w:rFonts w:ascii="宋体" w:hAnsi="宋体" w:cs="宋体"/>
          <w:color w:val="FF0000"/>
          <w:szCs w:val="21"/>
        </w:rPr>
        <w:t>2.</w:t>
      </w:r>
      <w:r>
        <w:rPr>
          <w:rFonts w:hint="eastAsia" w:ascii="宋体" w:hAnsi="宋体" w:cs="宋体"/>
          <w:color w:val="FF0000"/>
          <w:szCs w:val="21"/>
        </w:rPr>
        <w:t>折扣：供应商在基准价上报折扣（如九折，在基准价上下浮1</w:t>
      </w:r>
      <w:r>
        <w:rPr>
          <w:rFonts w:ascii="宋体" w:hAnsi="宋体" w:cs="宋体"/>
          <w:color w:val="FF0000"/>
          <w:szCs w:val="21"/>
        </w:rPr>
        <w:t>0%</w:t>
      </w:r>
      <w:r>
        <w:rPr>
          <w:rFonts w:hint="eastAsia" w:ascii="宋体" w:hAnsi="宋体" w:cs="宋体"/>
          <w:color w:val="FF0000"/>
          <w:szCs w:val="21"/>
        </w:rPr>
        <w:t>，则在响应文件中折扣填报0</w:t>
      </w:r>
      <w:r>
        <w:rPr>
          <w:rFonts w:ascii="宋体" w:hAnsi="宋体" w:cs="宋体"/>
          <w:color w:val="FF0000"/>
          <w:szCs w:val="21"/>
        </w:rPr>
        <w:t>.90</w:t>
      </w:r>
      <w:r>
        <w:rPr>
          <w:rFonts w:hint="eastAsia" w:ascii="宋体" w:hAnsi="宋体" w:cs="宋体"/>
          <w:color w:val="FF0000"/>
          <w:szCs w:val="21"/>
        </w:rPr>
        <w:t>），折扣填报采用小数点格式进行填报，且只保留小数点后两位；</w:t>
      </w:r>
    </w:p>
    <w:p w14:paraId="0B192E77">
      <w:pPr>
        <w:spacing w:line="360" w:lineRule="auto"/>
        <w:ind w:firstLine="525" w:firstLineChars="250"/>
        <w:jc w:val="left"/>
        <w:rPr>
          <w:rFonts w:ascii="宋体" w:hAnsi="宋体" w:cs="宋体"/>
          <w:color w:val="FF0000"/>
          <w:szCs w:val="21"/>
        </w:rPr>
      </w:pPr>
      <w:r>
        <w:rPr>
          <w:rFonts w:hint="eastAsia" w:ascii="宋体" w:hAnsi="宋体" w:cs="宋体"/>
          <w:color w:val="FF0000"/>
          <w:szCs w:val="21"/>
        </w:rPr>
        <w:t>3</w:t>
      </w:r>
      <w:r>
        <w:rPr>
          <w:rFonts w:ascii="宋体" w:hAnsi="宋体" w:cs="宋体"/>
          <w:color w:val="FF0000"/>
          <w:szCs w:val="21"/>
        </w:rPr>
        <w:t>.</w:t>
      </w:r>
      <w:r>
        <w:rPr>
          <w:rFonts w:hint="eastAsia" w:ascii="宋体" w:hAnsi="宋体" w:cs="宋体"/>
          <w:color w:val="FF0000"/>
          <w:szCs w:val="21"/>
        </w:rPr>
        <w:t>折扣填写要求：0＜折扣≤</w:t>
      </w:r>
      <w:r>
        <w:rPr>
          <w:rFonts w:ascii="宋体" w:hAnsi="宋体" w:cs="宋体"/>
          <w:color w:val="FF0000"/>
          <w:szCs w:val="21"/>
        </w:rPr>
        <w:t>1</w:t>
      </w:r>
      <w:r>
        <w:rPr>
          <w:rFonts w:hint="eastAsia" w:ascii="宋体" w:hAnsi="宋体" w:cs="宋体"/>
          <w:color w:val="FF0000"/>
          <w:szCs w:val="21"/>
        </w:rPr>
        <w:t>。</w:t>
      </w:r>
    </w:p>
    <w:p w14:paraId="2AB3EF8F">
      <w:pPr>
        <w:spacing w:line="360" w:lineRule="auto"/>
        <w:ind w:firstLine="516" w:firstLineChars="246"/>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《项目详细报价》的投标折扣应与开标一览表的投标折扣一致,如不一致,以开标一览表的投标折扣为准。</w:t>
      </w:r>
    </w:p>
    <w:p w14:paraId="19836597">
      <w:pPr>
        <w:adjustRightInd w:val="0"/>
        <w:spacing w:line="300" w:lineRule="exact"/>
        <w:ind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供应商（公章）：</w:t>
      </w:r>
    </w:p>
    <w:p w14:paraId="60DD0A33">
      <w:pPr>
        <w:adjustRightInd w:val="0"/>
        <w:spacing w:line="300" w:lineRule="exact"/>
        <w:ind w:right="420" w:firstLine="420" w:firstLineChars="20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日 期：  </w:t>
      </w:r>
    </w:p>
    <w:p w14:paraId="39C6ECC2">
      <w:pPr>
        <w:pStyle w:val="2"/>
        <w:ind w:firstLine="627" w:firstLineChars="196"/>
      </w:pPr>
    </w:p>
    <w:p w14:paraId="6D40C13D">
      <w:pPr>
        <w:pStyle w:val="5"/>
        <w:spacing w:line="276" w:lineRule="auto"/>
        <w:jc w:val="center"/>
        <w:rPr>
          <w:rFonts w:ascii="黑体" w:eastAsia="黑体"/>
          <w:b w:val="0"/>
          <w:sz w:val="24"/>
          <w:szCs w:val="24"/>
        </w:rPr>
      </w:pPr>
      <w:r>
        <w:rPr>
          <w:rFonts w:hint="eastAsia" w:ascii="黑体" w:eastAsia="黑体"/>
          <w:b w:val="0"/>
          <w:sz w:val="24"/>
          <w:szCs w:val="24"/>
        </w:rPr>
        <w:t>六、同类项目业绩</w:t>
      </w:r>
    </w:p>
    <w:tbl>
      <w:tblPr>
        <w:tblStyle w:val="30"/>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26E42C4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tcBorders>
              <w:top w:val="double" w:color="auto" w:sz="4" w:space="0"/>
              <w:left w:val="double" w:color="auto" w:sz="4" w:space="0"/>
              <w:bottom w:val="double" w:color="auto" w:sz="4" w:space="0"/>
              <w:right w:val="double" w:color="auto" w:sz="4" w:space="0"/>
            </w:tcBorders>
            <w:vAlign w:val="center"/>
          </w:tcPr>
          <w:p w14:paraId="6842354C">
            <w:pPr>
              <w:spacing w:line="276" w:lineRule="auto"/>
              <w:jc w:val="center"/>
              <w:rPr>
                <w:rFonts w:ascii="宋体"/>
                <w:szCs w:val="21"/>
              </w:rPr>
            </w:pPr>
            <w:r>
              <w:rPr>
                <w:rFonts w:hint="eastAsia" w:ascii="宋体" w:hAnsi="宋体"/>
                <w:szCs w:val="21"/>
              </w:rPr>
              <w:t>序号</w:t>
            </w:r>
          </w:p>
        </w:tc>
        <w:tc>
          <w:tcPr>
            <w:tcW w:w="1267" w:type="dxa"/>
            <w:tcBorders>
              <w:top w:val="double" w:color="auto" w:sz="4" w:space="0"/>
              <w:left w:val="double" w:color="auto" w:sz="4" w:space="0"/>
              <w:bottom w:val="double" w:color="auto" w:sz="4" w:space="0"/>
              <w:right w:val="double" w:color="auto" w:sz="4" w:space="0"/>
            </w:tcBorders>
            <w:vAlign w:val="center"/>
          </w:tcPr>
          <w:p w14:paraId="4F03936D">
            <w:pPr>
              <w:spacing w:line="276" w:lineRule="auto"/>
              <w:jc w:val="center"/>
              <w:rPr>
                <w:rFonts w:ascii="宋体"/>
                <w:szCs w:val="21"/>
              </w:rPr>
            </w:pPr>
            <w:r>
              <w:rPr>
                <w:rFonts w:hint="eastAsia" w:ascii="宋体" w:hAnsi="宋体"/>
                <w:szCs w:val="21"/>
              </w:rPr>
              <w:t>采购人</w:t>
            </w:r>
          </w:p>
        </w:tc>
        <w:tc>
          <w:tcPr>
            <w:tcW w:w="1105" w:type="dxa"/>
            <w:tcBorders>
              <w:top w:val="double" w:color="auto" w:sz="4" w:space="0"/>
              <w:left w:val="double" w:color="auto" w:sz="4" w:space="0"/>
              <w:bottom w:val="double" w:color="auto" w:sz="4" w:space="0"/>
              <w:right w:val="double" w:color="auto" w:sz="4" w:space="0"/>
            </w:tcBorders>
            <w:vAlign w:val="center"/>
          </w:tcPr>
          <w:p w14:paraId="573BAF3D">
            <w:pPr>
              <w:spacing w:line="276" w:lineRule="auto"/>
              <w:jc w:val="center"/>
              <w:rPr>
                <w:rFonts w:ascii="宋体"/>
                <w:szCs w:val="21"/>
              </w:rPr>
            </w:pPr>
            <w:r>
              <w:rPr>
                <w:rFonts w:hint="eastAsia" w:ascii="宋体" w:hAnsi="宋体"/>
                <w:szCs w:val="21"/>
              </w:rPr>
              <w:t>项目名称</w:t>
            </w:r>
          </w:p>
        </w:tc>
        <w:tc>
          <w:tcPr>
            <w:tcW w:w="1538" w:type="dxa"/>
            <w:tcBorders>
              <w:top w:val="double" w:color="auto" w:sz="4" w:space="0"/>
              <w:left w:val="double" w:color="auto" w:sz="4" w:space="0"/>
              <w:bottom w:val="double" w:color="auto" w:sz="4" w:space="0"/>
              <w:right w:val="double" w:color="auto" w:sz="4" w:space="0"/>
            </w:tcBorders>
            <w:vAlign w:val="center"/>
          </w:tcPr>
          <w:p w14:paraId="27BE8D8E">
            <w:pPr>
              <w:spacing w:line="276" w:lineRule="auto"/>
              <w:jc w:val="center"/>
              <w:rPr>
                <w:rFonts w:ascii="宋体"/>
                <w:szCs w:val="21"/>
              </w:rPr>
            </w:pPr>
            <w:r>
              <w:rPr>
                <w:rFonts w:hint="eastAsia" w:ascii="宋体"/>
                <w:szCs w:val="21"/>
              </w:rPr>
              <w:t>合同签订时间</w:t>
            </w:r>
          </w:p>
        </w:tc>
        <w:tc>
          <w:tcPr>
            <w:tcW w:w="1287" w:type="dxa"/>
            <w:tcBorders>
              <w:top w:val="double" w:color="auto" w:sz="4" w:space="0"/>
              <w:left w:val="double" w:color="auto" w:sz="4" w:space="0"/>
              <w:bottom w:val="double" w:color="auto" w:sz="4" w:space="0"/>
              <w:right w:val="double" w:color="auto" w:sz="4" w:space="0"/>
            </w:tcBorders>
            <w:vAlign w:val="center"/>
          </w:tcPr>
          <w:p w14:paraId="5449449F">
            <w:pPr>
              <w:spacing w:line="276" w:lineRule="auto"/>
              <w:jc w:val="center"/>
              <w:rPr>
                <w:rFonts w:ascii="宋体"/>
                <w:szCs w:val="21"/>
              </w:rPr>
            </w:pPr>
            <w:r>
              <w:rPr>
                <w:rFonts w:hint="eastAsia" w:ascii="宋体" w:hAnsi="宋体"/>
                <w:szCs w:val="21"/>
              </w:rPr>
              <w:t>完成时间</w:t>
            </w:r>
          </w:p>
        </w:tc>
        <w:tc>
          <w:tcPr>
            <w:tcW w:w="1113" w:type="dxa"/>
            <w:tcBorders>
              <w:top w:val="double" w:color="auto" w:sz="4" w:space="0"/>
              <w:left w:val="double" w:color="auto" w:sz="4" w:space="0"/>
              <w:bottom w:val="double" w:color="auto" w:sz="4" w:space="0"/>
              <w:right w:val="double" w:color="auto" w:sz="4" w:space="0"/>
            </w:tcBorders>
            <w:vAlign w:val="center"/>
          </w:tcPr>
          <w:p w14:paraId="19DA5EE8">
            <w:pPr>
              <w:spacing w:line="276" w:lineRule="auto"/>
              <w:jc w:val="center"/>
              <w:rPr>
                <w:rFonts w:ascii="宋体"/>
                <w:szCs w:val="21"/>
              </w:rPr>
            </w:pPr>
            <w:r>
              <w:rPr>
                <w:rFonts w:hint="eastAsia" w:ascii="宋体" w:hAnsi="宋体"/>
                <w:szCs w:val="21"/>
              </w:rPr>
              <w:t>服务情况</w:t>
            </w:r>
          </w:p>
        </w:tc>
        <w:tc>
          <w:tcPr>
            <w:tcW w:w="907" w:type="dxa"/>
            <w:tcBorders>
              <w:top w:val="double" w:color="auto" w:sz="4" w:space="0"/>
              <w:left w:val="double" w:color="auto" w:sz="4" w:space="0"/>
              <w:bottom w:val="double" w:color="auto" w:sz="4" w:space="0"/>
              <w:right w:val="double" w:color="auto" w:sz="4" w:space="0"/>
            </w:tcBorders>
            <w:vAlign w:val="center"/>
          </w:tcPr>
          <w:p w14:paraId="6977A745">
            <w:pPr>
              <w:spacing w:line="276" w:lineRule="auto"/>
              <w:jc w:val="center"/>
              <w:rPr>
                <w:rFonts w:ascii="宋体"/>
                <w:szCs w:val="21"/>
              </w:rPr>
            </w:pPr>
            <w:r>
              <w:rPr>
                <w:rFonts w:hint="eastAsia" w:ascii="宋体" w:hAnsi="宋体"/>
                <w:szCs w:val="21"/>
              </w:rPr>
              <w:t>联系人</w:t>
            </w:r>
          </w:p>
        </w:tc>
        <w:tc>
          <w:tcPr>
            <w:tcW w:w="1123" w:type="dxa"/>
            <w:tcBorders>
              <w:top w:val="double" w:color="auto" w:sz="4" w:space="0"/>
              <w:left w:val="double" w:color="auto" w:sz="4" w:space="0"/>
              <w:bottom w:val="double" w:color="auto" w:sz="4" w:space="0"/>
              <w:right w:val="double" w:color="auto" w:sz="4" w:space="0"/>
            </w:tcBorders>
            <w:vAlign w:val="center"/>
          </w:tcPr>
          <w:p w14:paraId="2E58FCBA">
            <w:pPr>
              <w:spacing w:line="276" w:lineRule="auto"/>
              <w:jc w:val="center"/>
              <w:rPr>
                <w:rFonts w:ascii="宋体"/>
                <w:szCs w:val="21"/>
              </w:rPr>
            </w:pPr>
            <w:r>
              <w:rPr>
                <w:rFonts w:hint="eastAsia" w:ascii="宋体" w:hAnsi="宋体"/>
                <w:szCs w:val="21"/>
              </w:rPr>
              <w:t>联系电话</w:t>
            </w:r>
          </w:p>
        </w:tc>
      </w:tr>
      <w:tr w14:paraId="7BD3409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Borders>
              <w:top w:val="double" w:color="auto" w:sz="4" w:space="0"/>
              <w:left w:val="double" w:color="auto" w:sz="4" w:space="0"/>
              <w:bottom w:val="double" w:color="auto" w:sz="4" w:space="0"/>
              <w:right w:val="double" w:color="auto" w:sz="4" w:space="0"/>
            </w:tcBorders>
          </w:tcPr>
          <w:p w14:paraId="1A84AA25">
            <w:pPr>
              <w:spacing w:line="276" w:lineRule="auto"/>
              <w:rPr>
                <w:rFonts w:ascii="宋体"/>
                <w:szCs w:val="21"/>
              </w:rPr>
            </w:pPr>
          </w:p>
        </w:tc>
        <w:tc>
          <w:tcPr>
            <w:tcW w:w="1267" w:type="dxa"/>
            <w:tcBorders>
              <w:top w:val="double" w:color="auto" w:sz="4" w:space="0"/>
              <w:left w:val="double" w:color="auto" w:sz="4" w:space="0"/>
              <w:bottom w:val="double" w:color="auto" w:sz="4" w:space="0"/>
              <w:right w:val="double" w:color="auto" w:sz="4" w:space="0"/>
            </w:tcBorders>
          </w:tcPr>
          <w:p w14:paraId="6E7FFFF1">
            <w:pPr>
              <w:spacing w:line="276" w:lineRule="auto"/>
              <w:rPr>
                <w:rFonts w:ascii="宋体"/>
                <w:szCs w:val="21"/>
              </w:rPr>
            </w:pPr>
          </w:p>
        </w:tc>
        <w:tc>
          <w:tcPr>
            <w:tcW w:w="1105" w:type="dxa"/>
            <w:tcBorders>
              <w:top w:val="double" w:color="auto" w:sz="4" w:space="0"/>
              <w:left w:val="double" w:color="auto" w:sz="4" w:space="0"/>
              <w:bottom w:val="double" w:color="auto" w:sz="4" w:space="0"/>
              <w:right w:val="double" w:color="auto" w:sz="4" w:space="0"/>
            </w:tcBorders>
          </w:tcPr>
          <w:p w14:paraId="3F8AAAB9">
            <w:pPr>
              <w:spacing w:line="276" w:lineRule="auto"/>
              <w:rPr>
                <w:rFonts w:ascii="宋体"/>
                <w:szCs w:val="21"/>
              </w:rPr>
            </w:pPr>
          </w:p>
        </w:tc>
        <w:tc>
          <w:tcPr>
            <w:tcW w:w="1538" w:type="dxa"/>
            <w:tcBorders>
              <w:top w:val="double" w:color="auto" w:sz="4" w:space="0"/>
              <w:left w:val="double" w:color="auto" w:sz="4" w:space="0"/>
              <w:bottom w:val="double" w:color="auto" w:sz="4" w:space="0"/>
              <w:right w:val="double" w:color="auto" w:sz="4" w:space="0"/>
            </w:tcBorders>
          </w:tcPr>
          <w:p w14:paraId="45C463E2">
            <w:pPr>
              <w:spacing w:line="276" w:lineRule="auto"/>
              <w:rPr>
                <w:rFonts w:ascii="宋体"/>
                <w:szCs w:val="21"/>
              </w:rPr>
            </w:pPr>
          </w:p>
        </w:tc>
        <w:tc>
          <w:tcPr>
            <w:tcW w:w="1287" w:type="dxa"/>
            <w:tcBorders>
              <w:top w:val="double" w:color="auto" w:sz="4" w:space="0"/>
              <w:left w:val="double" w:color="auto" w:sz="4" w:space="0"/>
              <w:bottom w:val="double" w:color="auto" w:sz="4" w:space="0"/>
              <w:right w:val="double" w:color="auto" w:sz="4" w:space="0"/>
            </w:tcBorders>
          </w:tcPr>
          <w:p w14:paraId="1A38A56D">
            <w:pPr>
              <w:spacing w:line="276" w:lineRule="auto"/>
              <w:rPr>
                <w:rFonts w:ascii="宋体"/>
                <w:szCs w:val="21"/>
              </w:rPr>
            </w:pPr>
          </w:p>
        </w:tc>
        <w:tc>
          <w:tcPr>
            <w:tcW w:w="1113" w:type="dxa"/>
            <w:tcBorders>
              <w:top w:val="double" w:color="auto" w:sz="4" w:space="0"/>
              <w:left w:val="double" w:color="auto" w:sz="4" w:space="0"/>
              <w:bottom w:val="double" w:color="auto" w:sz="4" w:space="0"/>
              <w:right w:val="double" w:color="auto" w:sz="4" w:space="0"/>
            </w:tcBorders>
          </w:tcPr>
          <w:p w14:paraId="0A2F15A7">
            <w:pPr>
              <w:spacing w:line="276" w:lineRule="auto"/>
              <w:rPr>
                <w:rFonts w:ascii="宋体"/>
                <w:szCs w:val="21"/>
              </w:rPr>
            </w:pPr>
          </w:p>
        </w:tc>
        <w:tc>
          <w:tcPr>
            <w:tcW w:w="907" w:type="dxa"/>
            <w:tcBorders>
              <w:top w:val="double" w:color="auto" w:sz="4" w:space="0"/>
              <w:left w:val="double" w:color="auto" w:sz="4" w:space="0"/>
              <w:bottom w:val="double" w:color="auto" w:sz="4" w:space="0"/>
              <w:right w:val="double" w:color="auto" w:sz="4" w:space="0"/>
            </w:tcBorders>
          </w:tcPr>
          <w:p w14:paraId="4B5E4CFB">
            <w:pPr>
              <w:spacing w:line="276" w:lineRule="auto"/>
              <w:rPr>
                <w:rFonts w:ascii="宋体"/>
                <w:szCs w:val="21"/>
              </w:rPr>
            </w:pPr>
          </w:p>
        </w:tc>
        <w:tc>
          <w:tcPr>
            <w:tcW w:w="1123" w:type="dxa"/>
            <w:tcBorders>
              <w:top w:val="double" w:color="auto" w:sz="4" w:space="0"/>
              <w:left w:val="double" w:color="auto" w:sz="4" w:space="0"/>
              <w:bottom w:val="double" w:color="auto" w:sz="4" w:space="0"/>
              <w:right w:val="double" w:color="auto" w:sz="4" w:space="0"/>
            </w:tcBorders>
          </w:tcPr>
          <w:p w14:paraId="7BBC248D">
            <w:pPr>
              <w:spacing w:line="276" w:lineRule="auto"/>
              <w:rPr>
                <w:rFonts w:ascii="宋体"/>
                <w:szCs w:val="21"/>
              </w:rPr>
            </w:pPr>
          </w:p>
        </w:tc>
      </w:tr>
      <w:tr w14:paraId="537992D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Borders>
              <w:top w:val="double" w:color="auto" w:sz="4" w:space="0"/>
              <w:left w:val="double" w:color="auto" w:sz="4" w:space="0"/>
              <w:bottom w:val="double" w:color="auto" w:sz="4" w:space="0"/>
              <w:right w:val="double" w:color="auto" w:sz="4" w:space="0"/>
            </w:tcBorders>
          </w:tcPr>
          <w:p w14:paraId="7261B4FF">
            <w:pPr>
              <w:spacing w:line="276" w:lineRule="auto"/>
              <w:rPr>
                <w:rFonts w:ascii="宋体"/>
                <w:szCs w:val="21"/>
              </w:rPr>
            </w:pPr>
          </w:p>
        </w:tc>
        <w:tc>
          <w:tcPr>
            <w:tcW w:w="1267" w:type="dxa"/>
            <w:tcBorders>
              <w:top w:val="double" w:color="auto" w:sz="4" w:space="0"/>
              <w:left w:val="double" w:color="auto" w:sz="4" w:space="0"/>
              <w:bottom w:val="double" w:color="auto" w:sz="4" w:space="0"/>
              <w:right w:val="double" w:color="auto" w:sz="4" w:space="0"/>
            </w:tcBorders>
          </w:tcPr>
          <w:p w14:paraId="29699A3E">
            <w:pPr>
              <w:spacing w:line="276" w:lineRule="auto"/>
              <w:rPr>
                <w:rFonts w:ascii="宋体"/>
                <w:szCs w:val="21"/>
              </w:rPr>
            </w:pPr>
          </w:p>
        </w:tc>
        <w:tc>
          <w:tcPr>
            <w:tcW w:w="1105" w:type="dxa"/>
            <w:tcBorders>
              <w:top w:val="double" w:color="auto" w:sz="4" w:space="0"/>
              <w:left w:val="double" w:color="auto" w:sz="4" w:space="0"/>
              <w:bottom w:val="double" w:color="auto" w:sz="4" w:space="0"/>
              <w:right w:val="double" w:color="auto" w:sz="4" w:space="0"/>
            </w:tcBorders>
          </w:tcPr>
          <w:p w14:paraId="534EFCE3">
            <w:pPr>
              <w:spacing w:line="276" w:lineRule="auto"/>
              <w:rPr>
                <w:rFonts w:ascii="宋体"/>
                <w:szCs w:val="21"/>
              </w:rPr>
            </w:pPr>
          </w:p>
        </w:tc>
        <w:tc>
          <w:tcPr>
            <w:tcW w:w="1538" w:type="dxa"/>
            <w:tcBorders>
              <w:top w:val="double" w:color="auto" w:sz="4" w:space="0"/>
              <w:left w:val="double" w:color="auto" w:sz="4" w:space="0"/>
              <w:bottom w:val="double" w:color="auto" w:sz="4" w:space="0"/>
              <w:right w:val="double" w:color="auto" w:sz="4" w:space="0"/>
            </w:tcBorders>
          </w:tcPr>
          <w:p w14:paraId="18486B6E">
            <w:pPr>
              <w:spacing w:line="276" w:lineRule="auto"/>
              <w:rPr>
                <w:rFonts w:ascii="宋体"/>
                <w:szCs w:val="21"/>
              </w:rPr>
            </w:pPr>
          </w:p>
        </w:tc>
        <w:tc>
          <w:tcPr>
            <w:tcW w:w="1287" w:type="dxa"/>
            <w:tcBorders>
              <w:top w:val="double" w:color="auto" w:sz="4" w:space="0"/>
              <w:left w:val="double" w:color="auto" w:sz="4" w:space="0"/>
              <w:bottom w:val="double" w:color="auto" w:sz="4" w:space="0"/>
              <w:right w:val="double" w:color="auto" w:sz="4" w:space="0"/>
            </w:tcBorders>
          </w:tcPr>
          <w:p w14:paraId="2D4E2212">
            <w:pPr>
              <w:spacing w:line="276" w:lineRule="auto"/>
              <w:rPr>
                <w:rFonts w:ascii="宋体"/>
                <w:szCs w:val="21"/>
              </w:rPr>
            </w:pPr>
          </w:p>
        </w:tc>
        <w:tc>
          <w:tcPr>
            <w:tcW w:w="1113" w:type="dxa"/>
            <w:tcBorders>
              <w:top w:val="double" w:color="auto" w:sz="4" w:space="0"/>
              <w:left w:val="double" w:color="auto" w:sz="4" w:space="0"/>
              <w:bottom w:val="double" w:color="auto" w:sz="4" w:space="0"/>
              <w:right w:val="double" w:color="auto" w:sz="4" w:space="0"/>
            </w:tcBorders>
          </w:tcPr>
          <w:p w14:paraId="297DCE7A">
            <w:pPr>
              <w:spacing w:line="276" w:lineRule="auto"/>
              <w:rPr>
                <w:rFonts w:ascii="宋体"/>
                <w:szCs w:val="21"/>
              </w:rPr>
            </w:pPr>
          </w:p>
        </w:tc>
        <w:tc>
          <w:tcPr>
            <w:tcW w:w="907" w:type="dxa"/>
            <w:tcBorders>
              <w:top w:val="double" w:color="auto" w:sz="4" w:space="0"/>
              <w:left w:val="double" w:color="auto" w:sz="4" w:space="0"/>
              <w:bottom w:val="double" w:color="auto" w:sz="4" w:space="0"/>
              <w:right w:val="double" w:color="auto" w:sz="4" w:space="0"/>
            </w:tcBorders>
          </w:tcPr>
          <w:p w14:paraId="5A66F22A">
            <w:pPr>
              <w:spacing w:line="276" w:lineRule="auto"/>
              <w:rPr>
                <w:rFonts w:ascii="宋体"/>
                <w:szCs w:val="21"/>
              </w:rPr>
            </w:pPr>
          </w:p>
        </w:tc>
        <w:tc>
          <w:tcPr>
            <w:tcW w:w="1123" w:type="dxa"/>
            <w:tcBorders>
              <w:top w:val="double" w:color="auto" w:sz="4" w:space="0"/>
              <w:left w:val="double" w:color="auto" w:sz="4" w:space="0"/>
              <w:bottom w:val="double" w:color="auto" w:sz="4" w:space="0"/>
              <w:right w:val="double" w:color="auto" w:sz="4" w:space="0"/>
            </w:tcBorders>
          </w:tcPr>
          <w:p w14:paraId="3A6518EA">
            <w:pPr>
              <w:spacing w:line="276" w:lineRule="auto"/>
              <w:rPr>
                <w:rFonts w:ascii="宋体"/>
                <w:szCs w:val="21"/>
              </w:rPr>
            </w:pPr>
          </w:p>
        </w:tc>
      </w:tr>
      <w:tr w14:paraId="1D9E83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Borders>
              <w:top w:val="double" w:color="auto" w:sz="4" w:space="0"/>
              <w:left w:val="double" w:color="auto" w:sz="4" w:space="0"/>
              <w:bottom w:val="double" w:color="auto" w:sz="4" w:space="0"/>
              <w:right w:val="double" w:color="auto" w:sz="4" w:space="0"/>
            </w:tcBorders>
          </w:tcPr>
          <w:p w14:paraId="7A020C2D">
            <w:pPr>
              <w:spacing w:line="276" w:lineRule="auto"/>
              <w:rPr>
                <w:rFonts w:ascii="宋体"/>
                <w:szCs w:val="21"/>
              </w:rPr>
            </w:pPr>
          </w:p>
        </w:tc>
        <w:tc>
          <w:tcPr>
            <w:tcW w:w="1267" w:type="dxa"/>
            <w:tcBorders>
              <w:top w:val="double" w:color="auto" w:sz="4" w:space="0"/>
              <w:left w:val="double" w:color="auto" w:sz="4" w:space="0"/>
              <w:bottom w:val="double" w:color="auto" w:sz="4" w:space="0"/>
              <w:right w:val="double" w:color="auto" w:sz="4" w:space="0"/>
            </w:tcBorders>
          </w:tcPr>
          <w:p w14:paraId="3B9A19A7">
            <w:pPr>
              <w:spacing w:line="276" w:lineRule="auto"/>
              <w:rPr>
                <w:rFonts w:ascii="宋体"/>
                <w:szCs w:val="21"/>
              </w:rPr>
            </w:pPr>
          </w:p>
        </w:tc>
        <w:tc>
          <w:tcPr>
            <w:tcW w:w="1105" w:type="dxa"/>
            <w:tcBorders>
              <w:top w:val="double" w:color="auto" w:sz="4" w:space="0"/>
              <w:left w:val="double" w:color="auto" w:sz="4" w:space="0"/>
              <w:bottom w:val="double" w:color="auto" w:sz="4" w:space="0"/>
              <w:right w:val="double" w:color="auto" w:sz="4" w:space="0"/>
            </w:tcBorders>
          </w:tcPr>
          <w:p w14:paraId="21D6E686">
            <w:pPr>
              <w:spacing w:line="276" w:lineRule="auto"/>
              <w:rPr>
                <w:rFonts w:ascii="宋体"/>
                <w:szCs w:val="21"/>
              </w:rPr>
            </w:pPr>
          </w:p>
        </w:tc>
        <w:tc>
          <w:tcPr>
            <w:tcW w:w="1538" w:type="dxa"/>
            <w:tcBorders>
              <w:top w:val="double" w:color="auto" w:sz="4" w:space="0"/>
              <w:left w:val="double" w:color="auto" w:sz="4" w:space="0"/>
              <w:bottom w:val="double" w:color="auto" w:sz="4" w:space="0"/>
              <w:right w:val="double" w:color="auto" w:sz="4" w:space="0"/>
            </w:tcBorders>
          </w:tcPr>
          <w:p w14:paraId="4C5667C3">
            <w:pPr>
              <w:spacing w:line="276" w:lineRule="auto"/>
              <w:rPr>
                <w:rFonts w:ascii="宋体"/>
                <w:szCs w:val="21"/>
              </w:rPr>
            </w:pPr>
          </w:p>
        </w:tc>
        <w:tc>
          <w:tcPr>
            <w:tcW w:w="1287" w:type="dxa"/>
            <w:tcBorders>
              <w:top w:val="double" w:color="auto" w:sz="4" w:space="0"/>
              <w:left w:val="double" w:color="auto" w:sz="4" w:space="0"/>
              <w:bottom w:val="double" w:color="auto" w:sz="4" w:space="0"/>
              <w:right w:val="double" w:color="auto" w:sz="4" w:space="0"/>
            </w:tcBorders>
          </w:tcPr>
          <w:p w14:paraId="29D78FD0">
            <w:pPr>
              <w:spacing w:line="276" w:lineRule="auto"/>
              <w:rPr>
                <w:rFonts w:ascii="宋体"/>
                <w:szCs w:val="21"/>
              </w:rPr>
            </w:pPr>
          </w:p>
        </w:tc>
        <w:tc>
          <w:tcPr>
            <w:tcW w:w="1113" w:type="dxa"/>
            <w:tcBorders>
              <w:top w:val="double" w:color="auto" w:sz="4" w:space="0"/>
              <w:left w:val="double" w:color="auto" w:sz="4" w:space="0"/>
              <w:bottom w:val="double" w:color="auto" w:sz="4" w:space="0"/>
              <w:right w:val="double" w:color="auto" w:sz="4" w:space="0"/>
            </w:tcBorders>
          </w:tcPr>
          <w:p w14:paraId="4DB4EE96">
            <w:pPr>
              <w:spacing w:line="276" w:lineRule="auto"/>
              <w:rPr>
                <w:rFonts w:ascii="宋体"/>
                <w:szCs w:val="21"/>
              </w:rPr>
            </w:pPr>
          </w:p>
        </w:tc>
        <w:tc>
          <w:tcPr>
            <w:tcW w:w="907" w:type="dxa"/>
            <w:tcBorders>
              <w:top w:val="double" w:color="auto" w:sz="4" w:space="0"/>
              <w:left w:val="double" w:color="auto" w:sz="4" w:space="0"/>
              <w:bottom w:val="double" w:color="auto" w:sz="4" w:space="0"/>
              <w:right w:val="double" w:color="auto" w:sz="4" w:space="0"/>
            </w:tcBorders>
          </w:tcPr>
          <w:p w14:paraId="3131CA08">
            <w:pPr>
              <w:spacing w:line="276" w:lineRule="auto"/>
              <w:rPr>
                <w:rFonts w:ascii="宋体"/>
                <w:szCs w:val="21"/>
              </w:rPr>
            </w:pPr>
          </w:p>
        </w:tc>
        <w:tc>
          <w:tcPr>
            <w:tcW w:w="1123" w:type="dxa"/>
            <w:tcBorders>
              <w:top w:val="double" w:color="auto" w:sz="4" w:space="0"/>
              <w:left w:val="double" w:color="auto" w:sz="4" w:space="0"/>
              <w:bottom w:val="double" w:color="auto" w:sz="4" w:space="0"/>
              <w:right w:val="double" w:color="auto" w:sz="4" w:space="0"/>
            </w:tcBorders>
          </w:tcPr>
          <w:p w14:paraId="5E207111">
            <w:pPr>
              <w:spacing w:line="276" w:lineRule="auto"/>
              <w:rPr>
                <w:rFonts w:ascii="宋体"/>
                <w:szCs w:val="21"/>
              </w:rPr>
            </w:pPr>
          </w:p>
        </w:tc>
      </w:tr>
      <w:tr w14:paraId="5150A2B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Borders>
              <w:top w:val="double" w:color="auto" w:sz="4" w:space="0"/>
              <w:left w:val="double" w:color="auto" w:sz="4" w:space="0"/>
              <w:bottom w:val="double" w:color="auto" w:sz="4" w:space="0"/>
              <w:right w:val="double" w:color="auto" w:sz="4" w:space="0"/>
            </w:tcBorders>
          </w:tcPr>
          <w:p w14:paraId="65165673">
            <w:pPr>
              <w:spacing w:line="276" w:lineRule="auto"/>
              <w:rPr>
                <w:rFonts w:ascii="宋体"/>
                <w:szCs w:val="21"/>
              </w:rPr>
            </w:pPr>
          </w:p>
        </w:tc>
        <w:tc>
          <w:tcPr>
            <w:tcW w:w="1267" w:type="dxa"/>
            <w:tcBorders>
              <w:top w:val="double" w:color="auto" w:sz="4" w:space="0"/>
              <w:left w:val="double" w:color="auto" w:sz="4" w:space="0"/>
              <w:bottom w:val="double" w:color="auto" w:sz="4" w:space="0"/>
              <w:right w:val="double" w:color="auto" w:sz="4" w:space="0"/>
            </w:tcBorders>
          </w:tcPr>
          <w:p w14:paraId="24FF539E">
            <w:pPr>
              <w:spacing w:line="276" w:lineRule="auto"/>
              <w:rPr>
                <w:rFonts w:ascii="宋体"/>
                <w:szCs w:val="21"/>
              </w:rPr>
            </w:pPr>
          </w:p>
        </w:tc>
        <w:tc>
          <w:tcPr>
            <w:tcW w:w="1105" w:type="dxa"/>
            <w:tcBorders>
              <w:top w:val="double" w:color="auto" w:sz="4" w:space="0"/>
              <w:left w:val="double" w:color="auto" w:sz="4" w:space="0"/>
              <w:bottom w:val="double" w:color="auto" w:sz="4" w:space="0"/>
              <w:right w:val="double" w:color="auto" w:sz="4" w:space="0"/>
            </w:tcBorders>
          </w:tcPr>
          <w:p w14:paraId="7237A611">
            <w:pPr>
              <w:spacing w:line="276" w:lineRule="auto"/>
              <w:rPr>
                <w:rFonts w:ascii="宋体"/>
                <w:szCs w:val="21"/>
              </w:rPr>
            </w:pPr>
          </w:p>
        </w:tc>
        <w:tc>
          <w:tcPr>
            <w:tcW w:w="1538" w:type="dxa"/>
            <w:tcBorders>
              <w:top w:val="double" w:color="auto" w:sz="4" w:space="0"/>
              <w:left w:val="double" w:color="auto" w:sz="4" w:space="0"/>
              <w:bottom w:val="double" w:color="auto" w:sz="4" w:space="0"/>
              <w:right w:val="double" w:color="auto" w:sz="4" w:space="0"/>
            </w:tcBorders>
          </w:tcPr>
          <w:p w14:paraId="5BEAD9ED">
            <w:pPr>
              <w:spacing w:line="276" w:lineRule="auto"/>
              <w:rPr>
                <w:rFonts w:ascii="宋体"/>
                <w:szCs w:val="21"/>
              </w:rPr>
            </w:pPr>
          </w:p>
        </w:tc>
        <w:tc>
          <w:tcPr>
            <w:tcW w:w="1287" w:type="dxa"/>
            <w:tcBorders>
              <w:top w:val="double" w:color="auto" w:sz="4" w:space="0"/>
              <w:left w:val="double" w:color="auto" w:sz="4" w:space="0"/>
              <w:bottom w:val="double" w:color="auto" w:sz="4" w:space="0"/>
              <w:right w:val="double" w:color="auto" w:sz="4" w:space="0"/>
            </w:tcBorders>
          </w:tcPr>
          <w:p w14:paraId="5BB74DC2">
            <w:pPr>
              <w:spacing w:line="276" w:lineRule="auto"/>
              <w:rPr>
                <w:rFonts w:ascii="宋体"/>
                <w:szCs w:val="21"/>
              </w:rPr>
            </w:pPr>
          </w:p>
        </w:tc>
        <w:tc>
          <w:tcPr>
            <w:tcW w:w="1113" w:type="dxa"/>
            <w:tcBorders>
              <w:top w:val="double" w:color="auto" w:sz="4" w:space="0"/>
              <w:left w:val="double" w:color="auto" w:sz="4" w:space="0"/>
              <w:bottom w:val="double" w:color="auto" w:sz="4" w:space="0"/>
              <w:right w:val="double" w:color="auto" w:sz="4" w:space="0"/>
            </w:tcBorders>
          </w:tcPr>
          <w:p w14:paraId="222F0490">
            <w:pPr>
              <w:spacing w:line="276" w:lineRule="auto"/>
              <w:rPr>
                <w:rFonts w:ascii="宋体"/>
                <w:szCs w:val="21"/>
              </w:rPr>
            </w:pPr>
          </w:p>
        </w:tc>
        <w:tc>
          <w:tcPr>
            <w:tcW w:w="907" w:type="dxa"/>
            <w:tcBorders>
              <w:top w:val="double" w:color="auto" w:sz="4" w:space="0"/>
              <w:left w:val="double" w:color="auto" w:sz="4" w:space="0"/>
              <w:bottom w:val="double" w:color="auto" w:sz="4" w:space="0"/>
              <w:right w:val="double" w:color="auto" w:sz="4" w:space="0"/>
            </w:tcBorders>
          </w:tcPr>
          <w:p w14:paraId="00CED02C">
            <w:pPr>
              <w:spacing w:line="276" w:lineRule="auto"/>
              <w:rPr>
                <w:rFonts w:ascii="宋体"/>
                <w:szCs w:val="21"/>
              </w:rPr>
            </w:pPr>
          </w:p>
        </w:tc>
        <w:tc>
          <w:tcPr>
            <w:tcW w:w="1123" w:type="dxa"/>
            <w:tcBorders>
              <w:top w:val="double" w:color="auto" w:sz="4" w:space="0"/>
              <w:left w:val="double" w:color="auto" w:sz="4" w:space="0"/>
              <w:bottom w:val="double" w:color="auto" w:sz="4" w:space="0"/>
              <w:right w:val="double" w:color="auto" w:sz="4" w:space="0"/>
            </w:tcBorders>
          </w:tcPr>
          <w:p w14:paraId="1914E2E1">
            <w:pPr>
              <w:spacing w:line="276" w:lineRule="auto"/>
              <w:rPr>
                <w:rFonts w:ascii="宋体"/>
                <w:szCs w:val="21"/>
              </w:rPr>
            </w:pPr>
          </w:p>
        </w:tc>
      </w:tr>
      <w:tr w14:paraId="5626834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Borders>
              <w:top w:val="double" w:color="auto" w:sz="4" w:space="0"/>
              <w:left w:val="double" w:color="auto" w:sz="4" w:space="0"/>
              <w:bottom w:val="double" w:color="auto" w:sz="4" w:space="0"/>
              <w:right w:val="double" w:color="auto" w:sz="4" w:space="0"/>
            </w:tcBorders>
          </w:tcPr>
          <w:p w14:paraId="1D7FF934">
            <w:pPr>
              <w:spacing w:line="276" w:lineRule="auto"/>
              <w:rPr>
                <w:rFonts w:ascii="宋体"/>
                <w:szCs w:val="21"/>
              </w:rPr>
            </w:pPr>
          </w:p>
        </w:tc>
        <w:tc>
          <w:tcPr>
            <w:tcW w:w="1267" w:type="dxa"/>
            <w:tcBorders>
              <w:top w:val="double" w:color="auto" w:sz="4" w:space="0"/>
              <w:left w:val="double" w:color="auto" w:sz="4" w:space="0"/>
              <w:bottom w:val="double" w:color="auto" w:sz="4" w:space="0"/>
              <w:right w:val="double" w:color="auto" w:sz="4" w:space="0"/>
            </w:tcBorders>
          </w:tcPr>
          <w:p w14:paraId="5187F517">
            <w:pPr>
              <w:spacing w:line="276" w:lineRule="auto"/>
              <w:rPr>
                <w:rFonts w:ascii="宋体"/>
                <w:szCs w:val="21"/>
              </w:rPr>
            </w:pPr>
          </w:p>
        </w:tc>
        <w:tc>
          <w:tcPr>
            <w:tcW w:w="1105" w:type="dxa"/>
            <w:tcBorders>
              <w:top w:val="double" w:color="auto" w:sz="4" w:space="0"/>
              <w:left w:val="double" w:color="auto" w:sz="4" w:space="0"/>
              <w:bottom w:val="double" w:color="auto" w:sz="4" w:space="0"/>
              <w:right w:val="double" w:color="auto" w:sz="4" w:space="0"/>
            </w:tcBorders>
          </w:tcPr>
          <w:p w14:paraId="67D24BD8">
            <w:pPr>
              <w:spacing w:line="276" w:lineRule="auto"/>
              <w:rPr>
                <w:rFonts w:ascii="宋体"/>
                <w:szCs w:val="21"/>
              </w:rPr>
            </w:pPr>
          </w:p>
        </w:tc>
        <w:tc>
          <w:tcPr>
            <w:tcW w:w="1538" w:type="dxa"/>
            <w:tcBorders>
              <w:top w:val="double" w:color="auto" w:sz="4" w:space="0"/>
              <w:left w:val="double" w:color="auto" w:sz="4" w:space="0"/>
              <w:bottom w:val="double" w:color="auto" w:sz="4" w:space="0"/>
              <w:right w:val="double" w:color="auto" w:sz="4" w:space="0"/>
            </w:tcBorders>
          </w:tcPr>
          <w:p w14:paraId="09B48B2B">
            <w:pPr>
              <w:spacing w:line="276" w:lineRule="auto"/>
              <w:rPr>
                <w:rFonts w:ascii="宋体"/>
                <w:szCs w:val="21"/>
              </w:rPr>
            </w:pPr>
          </w:p>
        </w:tc>
        <w:tc>
          <w:tcPr>
            <w:tcW w:w="1287" w:type="dxa"/>
            <w:tcBorders>
              <w:top w:val="double" w:color="auto" w:sz="4" w:space="0"/>
              <w:left w:val="double" w:color="auto" w:sz="4" w:space="0"/>
              <w:bottom w:val="double" w:color="auto" w:sz="4" w:space="0"/>
              <w:right w:val="double" w:color="auto" w:sz="4" w:space="0"/>
            </w:tcBorders>
          </w:tcPr>
          <w:p w14:paraId="6E4BA119">
            <w:pPr>
              <w:spacing w:line="276" w:lineRule="auto"/>
              <w:rPr>
                <w:rFonts w:ascii="宋体"/>
                <w:szCs w:val="21"/>
              </w:rPr>
            </w:pPr>
          </w:p>
        </w:tc>
        <w:tc>
          <w:tcPr>
            <w:tcW w:w="1113" w:type="dxa"/>
            <w:tcBorders>
              <w:top w:val="double" w:color="auto" w:sz="4" w:space="0"/>
              <w:left w:val="double" w:color="auto" w:sz="4" w:space="0"/>
              <w:bottom w:val="double" w:color="auto" w:sz="4" w:space="0"/>
              <w:right w:val="double" w:color="auto" w:sz="4" w:space="0"/>
            </w:tcBorders>
          </w:tcPr>
          <w:p w14:paraId="667029ED">
            <w:pPr>
              <w:spacing w:line="276" w:lineRule="auto"/>
              <w:rPr>
                <w:rFonts w:ascii="宋体"/>
                <w:szCs w:val="21"/>
              </w:rPr>
            </w:pPr>
          </w:p>
        </w:tc>
        <w:tc>
          <w:tcPr>
            <w:tcW w:w="907" w:type="dxa"/>
            <w:tcBorders>
              <w:top w:val="double" w:color="auto" w:sz="4" w:space="0"/>
              <w:left w:val="double" w:color="auto" w:sz="4" w:space="0"/>
              <w:bottom w:val="double" w:color="auto" w:sz="4" w:space="0"/>
              <w:right w:val="double" w:color="auto" w:sz="4" w:space="0"/>
            </w:tcBorders>
          </w:tcPr>
          <w:p w14:paraId="78054E06">
            <w:pPr>
              <w:spacing w:line="276" w:lineRule="auto"/>
              <w:rPr>
                <w:rFonts w:ascii="宋体"/>
                <w:szCs w:val="21"/>
              </w:rPr>
            </w:pPr>
          </w:p>
        </w:tc>
        <w:tc>
          <w:tcPr>
            <w:tcW w:w="1123" w:type="dxa"/>
            <w:tcBorders>
              <w:top w:val="double" w:color="auto" w:sz="4" w:space="0"/>
              <w:left w:val="double" w:color="auto" w:sz="4" w:space="0"/>
              <w:bottom w:val="double" w:color="auto" w:sz="4" w:space="0"/>
              <w:right w:val="double" w:color="auto" w:sz="4" w:space="0"/>
            </w:tcBorders>
          </w:tcPr>
          <w:p w14:paraId="7E8F2FB7">
            <w:pPr>
              <w:spacing w:line="276" w:lineRule="auto"/>
              <w:rPr>
                <w:rFonts w:ascii="宋体"/>
                <w:szCs w:val="21"/>
              </w:rPr>
            </w:pPr>
          </w:p>
        </w:tc>
      </w:tr>
    </w:tbl>
    <w:p w14:paraId="1E87281E">
      <w:pPr>
        <w:pStyle w:val="2"/>
        <w:spacing w:line="276" w:lineRule="auto"/>
        <w:rPr>
          <w:rFonts w:ascii="瀹嬩綋" w:eastAsia="瀹嬩綋" w:cs="宋体"/>
          <w:color w:val="000000"/>
          <w:kern w:val="0"/>
          <w:sz w:val="21"/>
          <w:szCs w:val="21"/>
        </w:rPr>
      </w:pPr>
      <w:r>
        <w:rPr>
          <w:rFonts w:hint="eastAsia" w:ascii="瀹嬩綋" w:eastAsia="瀹嬩綋" w:cs="宋体"/>
          <w:color w:val="000000"/>
          <w:kern w:val="0"/>
          <w:sz w:val="21"/>
          <w:szCs w:val="21"/>
        </w:rPr>
        <w:t>（特别提示：以上表格仅供参考。投标人须按本谈判文件评标信息中“同类项目业绩”这一评分因素要求，提供证明资料）</w:t>
      </w:r>
    </w:p>
    <w:p w14:paraId="421ABAE6">
      <w:pPr>
        <w:pStyle w:val="5"/>
        <w:spacing w:line="276" w:lineRule="auto"/>
        <w:jc w:val="center"/>
        <w:rPr>
          <w:rFonts w:ascii="黑体" w:eastAsia="黑体"/>
          <w:b w:val="0"/>
          <w:bCs/>
          <w:sz w:val="24"/>
          <w:szCs w:val="24"/>
        </w:rPr>
      </w:pPr>
      <w:bookmarkStart w:id="39" w:name="_Toc59916729"/>
      <w:r>
        <w:rPr>
          <w:rFonts w:hint="eastAsia" w:ascii="黑体" w:eastAsia="黑体"/>
          <w:b w:val="0"/>
          <w:sz w:val="24"/>
          <w:szCs w:val="24"/>
        </w:rPr>
        <w:t>七、</w:t>
      </w:r>
      <w:bookmarkEnd w:id="39"/>
      <w:r>
        <w:rPr>
          <w:rFonts w:hint="eastAsia" w:ascii="黑体" w:eastAsia="黑体"/>
          <w:b w:val="0"/>
          <w:sz w:val="24"/>
          <w:szCs w:val="24"/>
        </w:rPr>
        <w:t>履约评价</w:t>
      </w:r>
    </w:p>
    <w:p w14:paraId="1680E5A5">
      <w:pPr>
        <w:widowControl/>
        <w:jc w:val="left"/>
        <w:rPr>
          <w:rFonts w:ascii="宋体" w:hAnsi="宋体" w:cs="宋体"/>
          <w:kern w:val="0"/>
          <w:sz w:val="24"/>
        </w:rPr>
      </w:pPr>
      <w:r>
        <w:rPr>
          <w:rFonts w:hint="eastAsia" w:ascii="瀹嬩綋" w:hAnsi="宋体" w:eastAsia="瀹嬩綋" w:cs="宋体"/>
          <w:color w:val="000000"/>
          <w:kern w:val="0"/>
          <w:szCs w:val="21"/>
        </w:rPr>
        <w:t xml:space="preserve">（特别提示：投标人须按本谈判文件评标信息中“履约评价”这一评分因素要求，提供证明 </w:t>
      </w:r>
    </w:p>
    <w:p w14:paraId="69F6A77B">
      <w:pPr>
        <w:widowControl/>
        <w:tabs>
          <w:tab w:val="left" w:pos="720"/>
        </w:tabs>
        <w:spacing w:line="360" w:lineRule="auto"/>
        <w:jc w:val="left"/>
        <w:rPr>
          <w:rFonts w:ascii="黑体" w:hAnsi="宋体" w:eastAsia="黑体"/>
          <w:bCs/>
          <w:sz w:val="24"/>
        </w:rPr>
      </w:pPr>
      <w:r>
        <w:rPr>
          <w:rFonts w:hint="eastAsia" w:ascii="瀹嬩綋" w:hAnsi="宋体" w:eastAsia="瀹嬩綋" w:cs="宋体"/>
          <w:color w:val="000000"/>
          <w:kern w:val="0"/>
          <w:szCs w:val="21"/>
        </w:rPr>
        <w:t>资料）</w:t>
      </w:r>
    </w:p>
    <w:p w14:paraId="547F9622">
      <w:pPr>
        <w:pStyle w:val="5"/>
        <w:spacing w:line="276" w:lineRule="auto"/>
        <w:jc w:val="center"/>
        <w:rPr>
          <w:rFonts w:ascii="黑体" w:eastAsia="黑体"/>
          <w:b w:val="0"/>
          <w:bCs/>
          <w:sz w:val="24"/>
          <w:szCs w:val="24"/>
        </w:rPr>
      </w:pPr>
      <w:r>
        <w:rPr>
          <w:rFonts w:hint="eastAsia" w:ascii="黑体" w:eastAsia="黑体"/>
          <w:b w:val="0"/>
          <w:sz w:val="24"/>
          <w:szCs w:val="24"/>
        </w:rPr>
        <w:t>八、维修场所</w:t>
      </w:r>
    </w:p>
    <w:p w14:paraId="75A87D4B">
      <w:pPr>
        <w:widowControl/>
        <w:jc w:val="left"/>
        <w:rPr>
          <w:rFonts w:ascii="宋体" w:hAnsi="宋体" w:cs="宋体"/>
          <w:kern w:val="0"/>
          <w:sz w:val="24"/>
        </w:rPr>
      </w:pPr>
      <w:r>
        <w:rPr>
          <w:rFonts w:hint="eastAsia" w:ascii="瀹嬩綋" w:hAnsi="宋体" w:eastAsia="瀹嬩綋" w:cs="宋体"/>
          <w:color w:val="000000"/>
          <w:kern w:val="0"/>
          <w:szCs w:val="21"/>
        </w:rPr>
        <w:t xml:space="preserve">（特别提示：投标人须按本谈判文件评标信息中“维修场所”这一评分因素要求，提供证明 </w:t>
      </w:r>
    </w:p>
    <w:p w14:paraId="5BDB99EF">
      <w:pPr>
        <w:widowControl/>
        <w:tabs>
          <w:tab w:val="left" w:pos="720"/>
        </w:tabs>
        <w:spacing w:line="360" w:lineRule="auto"/>
        <w:jc w:val="left"/>
        <w:rPr>
          <w:rFonts w:ascii="黑体" w:hAnsi="宋体" w:eastAsia="黑体"/>
          <w:bCs/>
          <w:sz w:val="24"/>
        </w:rPr>
      </w:pPr>
      <w:r>
        <w:rPr>
          <w:rFonts w:hint="eastAsia" w:ascii="瀹嬩綋" w:hAnsi="宋体" w:eastAsia="瀹嬩綋" w:cs="宋体"/>
          <w:color w:val="000000"/>
          <w:kern w:val="0"/>
          <w:szCs w:val="21"/>
        </w:rPr>
        <w:t>资料）</w:t>
      </w:r>
    </w:p>
    <w:p w14:paraId="21878A18">
      <w:pPr>
        <w:pStyle w:val="2"/>
      </w:pPr>
    </w:p>
    <w:p w14:paraId="1535FF54">
      <w:pPr>
        <w:rPr>
          <w:b/>
          <w:color w:val="FF0000"/>
          <w:sz w:val="24"/>
        </w:rPr>
      </w:pPr>
      <w:r>
        <w:rPr>
          <w:rFonts w:hint="eastAsia"/>
          <w:b/>
          <w:color w:val="FF0000"/>
          <w:sz w:val="24"/>
        </w:rPr>
        <w:t>（信息公开部分的内容到此为止！以下为信息不公开部分。）</w:t>
      </w:r>
    </w:p>
    <w:p w14:paraId="734D22D3">
      <w:pPr>
        <w:outlineLvl w:val="1"/>
        <w:rPr>
          <w:rFonts w:ascii="宋体" w:hAnsi="宋体"/>
          <w:b/>
          <w:color w:val="FF0000"/>
          <w:sz w:val="28"/>
          <w:szCs w:val="28"/>
        </w:rPr>
      </w:pPr>
      <w:r>
        <w:rPr>
          <w:rFonts w:hint="eastAsia" w:ascii="宋体" w:hAnsi="宋体"/>
          <w:b/>
          <w:color w:val="FF0000"/>
          <w:sz w:val="28"/>
          <w:szCs w:val="28"/>
        </w:rPr>
        <w:t>应答文件附件（信息不公开部分）</w:t>
      </w:r>
    </w:p>
    <w:p w14:paraId="650D0E93">
      <w:pPr>
        <w:ind w:firstLine="480" w:firstLineChars="200"/>
        <w:rPr>
          <w:rFonts w:ascii="黑体" w:eastAsia="黑体"/>
          <w:kern w:val="0"/>
          <w:sz w:val="24"/>
        </w:rPr>
      </w:pPr>
    </w:p>
    <w:p w14:paraId="2C404366">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一、法定代表人（负责人）证明书</w:t>
      </w:r>
    </w:p>
    <w:p w14:paraId="3627231F">
      <w:pPr>
        <w:rPr>
          <w:sz w:val="24"/>
        </w:rPr>
      </w:pPr>
    </w:p>
    <w:p w14:paraId="2B973CD5">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职务，为法定代表人（负责人），身份证号：</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特此证明。</w:t>
      </w:r>
    </w:p>
    <w:p w14:paraId="226767E4">
      <w:pPr>
        <w:spacing w:line="360" w:lineRule="auto"/>
        <w:rPr>
          <w:szCs w:val="21"/>
        </w:rPr>
      </w:pPr>
      <w:r>
        <w:rPr>
          <w:rFonts w:hint="eastAsia"/>
          <w:szCs w:val="21"/>
        </w:rPr>
        <w:t xml:space="preserve">         </w:t>
      </w:r>
    </w:p>
    <w:p w14:paraId="2789A69D">
      <w:pPr>
        <w:spacing w:line="360" w:lineRule="auto"/>
        <w:rPr>
          <w:szCs w:val="21"/>
        </w:rPr>
      </w:pPr>
      <w:r>
        <w:rPr>
          <w:rFonts w:hint="eastAsia"/>
          <w:szCs w:val="21"/>
        </w:rPr>
        <w:t>说明：1.法定代表人为供应商（企业事业单位、国家机关、社会团体）的主要行政负责人。</w:t>
      </w:r>
    </w:p>
    <w:p w14:paraId="408F772A">
      <w:pPr>
        <w:spacing w:line="360" w:lineRule="auto"/>
        <w:ind w:firstLine="420" w:firstLineChars="200"/>
        <w:rPr>
          <w:szCs w:val="21"/>
        </w:rPr>
      </w:pPr>
      <w:r>
        <w:rPr>
          <w:rFonts w:hint="eastAsia"/>
          <w:szCs w:val="21"/>
        </w:rPr>
        <w:t>2.本证明书要求供应商同时提供法定代表人（负责人）的身份证扫描件（正反两面）作为附件方为有效；</w:t>
      </w:r>
    </w:p>
    <w:p w14:paraId="20ED6A60">
      <w:pPr>
        <w:spacing w:line="360" w:lineRule="auto"/>
        <w:ind w:firstLine="420" w:firstLineChars="200"/>
        <w:rPr>
          <w:szCs w:val="21"/>
        </w:rPr>
      </w:pPr>
      <w:r>
        <w:rPr>
          <w:rFonts w:hint="eastAsia"/>
          <w:szCs w:val="21"/>
        </w:rPr>
        <w:t>3.本项目谈判授权代表为法定代表人（负责人）的，无需提供《谈判应答文件签署授权委托书》。</w:t>
      </w:r>
    </w:p>
    <w:p w14:paraId="3B20023E">
      <w:pPr>
        <w:spacing w:line="360" w:lineRule="auto"/>
        <w:rPr>
          <w:szCs w:val="21"/>
        </w:rPr>
      </w:pPr>
      <w:r>
        <w:rPr>
          <w:rFonts w:hint="eastAsia"/>
          <w:szCs w:val="21"/>
        </w:rPr>
        <w:t xml:space="preserve">    4.内容必须填写真实、清楚，涂改无效，不得转让、买卖。</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9"/>
      </w:tblGrid>
      <w:tr w14:paraId="2262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9" w:type="dxa"/>
            <w:tcBorders>
              <w:top w:val="single" w:color="auto" w:sz="4" w:space="0"/>
              <w:left w:val="single" w:color="auto" w:sz="4" w:space="0"/>
              <w:bottom w:val="single" w:color="auto" w:sz="4" w:space="0"/>
              <w:right w:val="single" w:color="auto" w:sz="4" w:space="0"/>
            </w:tcBorders>
          </w:tcPr>
          <w:p w14:paraId="61775690">
            <w:pPr>
              <w:jc w:val="center"/>
              <w:rPr>
                <w:b/>
                <w:bCs/>
                <w:szCs w:val="21"/>
              </w:rPr>
            </w:pPr>
          </w:p>
          <w:p w14:paraId="3A40AB54">
            <w:pPr>
              <w:pStyle w:val="2"/>
              <w:jc w:val="center"/>
              <w:rPr>
                <w:rFonts w:ascii="Times New Roman" w:hAnsi="Times New Roman" w:eastAsia="宋体"/>
                <w:b/>
                <w:bCs/>
                <w:sz w:val="21"/>
                <w:szCs w:val="21"/>
              </w:rPr>
            </w:pPr>
            <w:r>
              <w:rPr>
                <w:rFonts w:hint="eastAsia" w:ascii="Times New Roman" w:hAnsi="Times New Roman" w:eastAsia="宋体"/>
                <w:b/>
                <w:bCs/>
                <w:sz w:val="21"/>
                <w:szCs w:val="21"/>
              </w:rPr>
              <w:t>证件扫描件正面</w:t>
            </w:r>
          </w:p>
          <w:p w14:paraId="5DF98743">
            <w:pPr>
              <w:pStyle w:val="26"/>
              <w:ind w:left="420" w:hanging="420"/>
              <w:jc w:val="center"/>
              <w:rPr>
                <w:b/>
                <w:bCs/>
                <w:szCs w:val="21"/>
              </w:rPr>
            </w:pPr>
          </w:p>
          <w:p w14:paraId="48C6F5B3">
            <w:pPr>
              <w:pStyle w:val="26"/>
              <w:ind w:left="420" w:hanging="420"/>
              <w:jc w:val="center"/>
              <w:rPr>
                <w:b/>
                <w:bCs/>
                <w:szCs w:val="21"/>
              </w:rPr>
            </w:pPr>
          </w:p>
        </w:tc>
        <w:tc>
          <w:tcPr>
            <w:tcW w:w="4539" w:type="dxa"/>
            <w:tcBorders>
              <w:top w:val="single" w:color="auto" w:sz="4" w:space="0"/>
              <w:left w:val="single" w:color="auto" w:sz="4" w:space="0"/>
              <w:bottom w:val="single" w:color="auto" w:sz="4" w:space="0"/>
              <w:right w:val="single" w:color="auto" w:sz="4" w:space="0"/>
            </w:tcBorders>
          </w:tcPr>
          <w:p w14:paraId="13CC9E22">
            <w:pPr>
              <w:jc w:val="center"/>
              <w:rPr>
                <w:b/>
                <w:bCs/>
                <w:szCs w:val="21"/>
              </w:rPr>
            </w:pPr>
          </w:p>
          <w:p w14:paraId="2BDB4A7B">
            <w:pPr>
              <w:pStyle w:val="2"/>
              <w:jc w:val="center"/>
              <w:rPr>
                <w:rFonts w:ascii="Times New Roman" w:hAnsi="Times New Roman" w:eastAsia="宋体"/>
                <w:b/>
                <w:bCs/>
                <w:sz w:val="21"/>
                <w:szCs w:val="21"/>
              </w:rPr>
            </w:pPr>
            <w:r>
              <w:rPr>
                <w:rFonts w:hint="eastAsia" w:ascii="Times New Roman" w:hAnsi="Times New Roman" w:eastAsia="宋体"/>
                <w:b/>
                <w:bCs/>
                <w:sz w:val="21"/>
                <w:szCs w:val="21"/>
              </w:rPr>
              <w:t>证件扫描件反面</w:t>
            </w:r>
          </w:p>
          <w:p w14:paraId="16C51924">
            <w:pPr>
              <w:jc w:val="center"/>
              <w:rPr>
                <w:b/>
                <w:bCs/>
                <w:szCs w:val="21"/>
              </w:rPr>
            </w:pPr>
          </w:p>
        </w:tc>
      </w:tr>
    </w:tbl>
    <w:p w14:paraId="4958E4FC">
      <w:pPr>
        <w:rPr>
          <w:b/>
          <w:bCs/>
          <w:sz w:val="24"/>
        </w:rPr>
      </w:pPr>
    </w:p>
    <w:p w14:paraId="22E4CD69">
      <w:pPr>
        <w:keepNext/>
        <w:keepLines/>
        <w:spacing w:before="120" w:after="120"/>
        <w:jc w:val="center"/>
        <w:outlineLvl w:val="2"/>
        <w:rPr>
          <w:rFonts w:ascii="黑体" w:hAnsi="宋体" w:eastAsia="黑体"/>
          <w:bCs/>
          <w:sz w:val="24"/>
          <w:szCs w:val="32"/>
        </w:rPr>
      </w:pPr>
    </w:p>
    <w:p w14:paraId="75605A59">
      <w:pPr>
        <w:keepNext/>
        <w:keepLines/>
        <w:spacing w:before="120" w:after="120"/>
        <w:jc w:val="center"/>
        <w:outlineLvl w:val="2"/>
        <w:rPr>
          <w:rFonts w:ascii="黑体" w:hAnsi="宋体" w:eastAsia="黑体"/>
          <w:bCs/>
          <w:sz w:val="24"/>
          <w:szCs w:val="32"/>
        </w:rPr>
      </w:pPr>
    </w:p>
    <w:p w14:paraId="18BD19D1">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二、谈判应答文件签署授权委托书</w:t>
      </w:r>
    </w:p>
    <w:p w14:paraId="1A08F60C">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w:t>
      </w:r>
      <w:r>
        <w:rPr>
          <w:rFonts w:hint="eastAsia" w:ascii="宋体" w:hAnsi="宋体"/>
        </w:rPr>
        <w:t>（应答）</w:t>
      </w:r>
      <w:r>
        <w:rPr>
          <w:rFonts w:hint="eastAsia"/>
          <w:szCs w:val="21"/>
        </w:rPr>
        <w:t>人名称）的法定代表人（负责人），现授权委托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hint="eastAsia" w:ascii="宋体" w:hAnsi="宋体"/>
          <w:szCs w:val="21"/>
        </w:rPr>
        <w:t>代理人全权代表我所签署的本项目已递交的谈判应答文件内容，以及本项目谈判组织实施过程中对谈判应答文件的修改和补充内容我均承认。</w:t>
      </w:r>
    </w:p>
    <w:p w14:paraId="5AB534E5">
      <w:pPr>
        <w:spacing w:line="360" w:lineRule="auto"/>
        <w:ind w:firstLine="420"/>
        <w:rPr>
          <w:szCs w:val="21"/>
        </w:rPr>
      </w:pPr>
      <w:r>
        <w:rPr>
          <w:rFonts w:hint="eastAsia"/>
          <w:szCs w:val="21"/>
        </w:rPr>
        <w:t>代理人无转委托权，特此委托。</w:t>
      </w:r>
    </w:p>
    <w:p w14:paraId="1861276C">
      <w:pPr>
        <w:spacing w:line="360" w:lineRule="auto"/>
        <w:ind w:firstLine="420"/>
        <w:rPr>
          <w:szCs w:val="21"/>
        </w:rPr>
      </w:pPr>
      <w:r>
        <w:rPr>
          <w:rFonts w:hint="eastAsia"/>
          <w:szCs w:val="21"/>
        </w:rPr>
        <w:t>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7C9A6C2">
      <w:pPr>
        <w:spacing w:line="360" w:lineRule="auto"/>
        <w:ind w:firstLine="420"/>
        <w:rPr>
          <w:szCs w:val="21"/>
        </w:rPr>
      </w:pPr>
      <w:r>
        <w:rPr>
          <w:rFonts w:hint="eastAsia"/>
          <w:szCs w:val="21"/>
        </w:rPr>
        <w:t>联系电话：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手机：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B8A94EC">
      <w:pPr>
        <w:spacing w:line="360" w:lineRule="auto"/>
        <w:ind w:firstLine="420"/>
        <w:rPr>
          <w:szCs w:val="21"/>
        </w:rPr>
      </w:pPr>
      <w:r>
        <w:rPr>
          <w:rFonts w:hint="eastAsia"/>
          <w:szCs w:val="21"/>
        </w:rPr>
        <w:t>身份证号码：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职务：</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6F7A4E6">
      <w:pPr>
        <w:spacing w:line="360" w:lineRule="auto"/>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p>
    <w:p w14:paraId="20DA48B4"/>
    <w:p w14:paraId="46873BC1">
      <w:pPr>
        <w:ind w:firstLine="422" w:firstLineChars="200"/>
        <w:rPr>
          <w:rFonts w:ascii="宋体" w:hAnsi="宋体"/>
          <w:b/>
          <w:bCs/>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14:paraId="6D792076">
      <w:pPr>
        <w:widowControl/>
        <w:jc w:val="left"/>
        <w:rPr>
          <w:rFonts w:ascii="宋体" w:hAnsi="宋体"/>
          <w:kern w:val="0"/>
          <w:szCs w:val="21"/>
        </w:rPr>
      </w:pPr>
      <w:r>
        <w:rPr>
          <w:rFonts w:hint="eastAsia" w:ascii="宋体" w:hAnsi="宋体"/>
          <w:kern w:val="0"/>
          <w:szCs w:val="21"/>
        </w:rPr>
        <w:br w:type="page"/>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9"/>
      </w:tblGrid>
      <w:tr w14:paraId="156B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4539" w:type="dxa"/>
            <w:tcBorders>
              <w:top w:val="single" w:color="auto" w:sz="4" w:space="0"/>
              <w:left w:val="single" w:color="auto" w:sz="4" w:space="0"/>
              <w:bottom w:val="single" w:color="auto" w:sz="4" w:space="0"/>
              <w:right w:val="single" w:color="auto" w:sz="4" w:space="0"/>
            </w:tcBorders>
          </w:tcPr>
          <w:p w14:paraId="5ADF44D7">
            <w:pPr>
              <w:jc w:val="center"/>
              <w:rPr>
                <w:rFonts w:ascii="宋体" w:hAnsi="宋体"/>
                <w:b/>
                <w:bCs/>
                <w:szCs w:val="21"/>
              </w:rPr>
            </w:pPr>
          </w:p>
          <w:p w14:paraId="4260D8FA">
            <w:pPr>
              <w:pStyle w:val="2"/>
              <w:jc w:val="center"/>
              <w:rPr>
                <w:rFonts w:eastAsia="宋体"/>
                <w:b/>
                <w:bCs/>
                <w:sz w:val="21"/>
                <w:szCs w:val="21"/>
              </w:rPr>
            </w:pPr>
            <w:r>
              <w:rPr>
                <w:rFonts w:hint="eastAsia" w:eastAsia="宋体"/>
                <w:b/>
                <w:bCs/>
                <w:sz w:val="21"/>
                <w:szCs w:val="21"/>
              </w:rPr>
              <w:t>证件扫描件正面</w:t>
            </w:r>
          </w:p>
          <w:p w14:paraId="1870C5BD">
            <w:pPr>
              <w:pStyle w:val="26"/>
              <w:ind w:left="420" w:hanging="420"/>
              <w:jc w:val="center"/>
              <w:rPr>
                <w:rFonts w:ascii="宋体" w:hAnsi="宋体"/>
                <w:b/>
                <w:bCs/>
                <w:szCs w:val="21"/>
              </w:rPr>
            </w:pPr>
          </w:p>
          <w:p w14:paraId="395EB21C">
            <w:pPr>
              <w:pStyle w:val="26"/>
              <w:ind w:left="420" w:hanging="420"/>
              <w:jc w:val="center"/>
              <w:rPr>
                <w:rFonts w:ascii="宋体" w:hAnsi="宋体"/>
                <w:b/>
                <w:bCs/>
                <w:szCs w:val="21"/>
              </w:rPr>
            </w:pPr>
          </w:p>
        </w:tc>
        <w:tc>
          <w:tcPr>
            <w:tcW w:w="4539" w:type="dxa"/>
            <w:tcBorders>
              <w:top w:val="single" w:color="auto" w:sz="4" w:space="0"/>
              <w:left w:val="single" w:color="auto" w:sz="4" w:space="0"/>
              <w:bottom w:val="single" w:color="auto" w:sz="4" w:space="0"/>
              <w:right w:val="single" w:color="auto" w:sz="4" w:space="0"/>
            </w:tcBorders>
          </w:tcPr>
          <w:p w14:paraId="00E3BCD5">
            <w:pPr>
              <w:jc w:val="center"/>
              <w:rPr>
                <w:rFonts w:ascii="宋体" w:hAnsi="宋体"/>
                <w:b/>
                <w:bCs/>
                <w:szCs w:val="21"/>
              </w:rPr>
            </w:pPr>
          </w:p>
          <w:p w14:paraId="3BCFF6FE">
            <w:pPr>
              <w:pStyle w:val="2"/>
              <w:jc w:val="center"/>
              <w:rPr>
                <w:rFonts w:eastAsia="宋体"/>
                <w:b/>
                <w:bCs/>
                <w:sz w:val="21"/>
                <w:szCs w:val="21"/>
              </w:rPr>
            </w:pPr>
            <w:r>
              <w:rPr>
                <w:rFonts w:hint="eastAsia" w:eastAsia="宋体"/>
                <w:b/>
                <w:bCs/>
                <w:sz w:val="21"/>
                <w:szCs w:val="21"/>
              </w:rPr>
              <w:t>证件扫描件反面</w:t>
            </w:r>
          </w:p>
          <w:p w14:paraId="34435048">
            <w:pPr>
              <w:jc w:val="center"/>
              <w:rPr>
                <w:rFonts w:ascii="宋体" w:hAnsi="宋体"/>
                <w:b/>
                <w:bCs/>
                <w:szCs w:val="21"/>
              </w:rPr>
            </w:pPr>
          </w:p>
        </w:tc>
      </w:tr>
    </w:tbl>
    <w:p w14:paraId="4252E052">
      <w:pPr>
        <w:widowControl/>
        <w:jc w:val="left"/>
        <w:rPr>
          <w:rFonts w:ascii="宋体" w:hAnsi="宋体"/>
          <w:kern w:val="0"/>
          <w:szCs w:val="21"/>
        </w:rPr>
      </w:pPr>
    </w:p>
    <w:p w14:paraId="4F702C6F">
      <w:pPr>
        <w:pStyle w:val="5"/>
        <w:jc w:val="center"/>
        <w:rPr>
          <w:rFonts w:ascii="黑体" w:hAnsi="宋体" w:eastAsia="黑体"/>
          <w:b w:val="0"/>
          <w:bCs/>
          <w:sz w:val="24"/>
          <w:szCs w:val="24"/>
        </w:rPr>
      </w:pPr>
      <w:bookmarkStart w:id="40" w:name="_Toc59916723"/>
      <w:r>
        <w:rPr>
          <w:rFonts w:hint="eastAsia" w:ascii="黑体" w:hAnsi="宋体" w:eastAsia="黑体"/>
          <w:sz w:val="24"/>
          <w:szCs w:val="32"/>
        </w:rPr>
        <w:t>三、</w:t>
      </w:r>
      <w:bookmarkEnd w:id="40"/>
      <w:bookmarkStart w:id="41" w:name="_Hlk72092634"/>
      <w:r>
        <w:rPr>
          <w:rFonts w:hint="eastAsia" w:ascii="黑体" w:hAnsi="宋体" w:eastAsia="黑体"/>
          <w:b w:val="0"/>
          <w:bCs/>
          <w:sz w:val="24"/>
          <w:szCs w:val="24"/>
        </w:rPr>
        <w:t>实质性条款响应情况表</w:t>
      </w:r>
      <w:bookmarkEnd w:id="41"/>
    </w:p>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939"/>
        <w:gridCol w:w="1843"/>
        <w:gridCol w:w="1270"/>
        <w:gridCol w:w="998"/>
      </w:tblGrid>
      <w:tr w14:paraId="1B28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1C8DEAB">
            <w:pPr>
              <w:adjustRightInd w:val="0"/>
              <w:snapToGrid w:val="0"/>
              <w:jc w:val="center"/>
              <w:rPr>
                <w:rFonts w:ascii="宋体" w:hAnsi="宋体"/>
                <w:b/>
                <w:kern w:val="0"/>
                <w:szCs w:val="21"/>
                <w:highlight w:val="yellow"/>
              </w:rPr>
            </w:pPr>
            <w:bookmarkStart w:id="42" w:name="_Hlk72092651"/>
            <w:r>
              <w:rPr>
                <w:rFonts w:hint="eastAsia" w:ascii="宋体" w:hAnsi="宋体"/>
                <w:b/>
                <w:kern w:val="0"/>
                <w:szCs w:val="21"/>
                <w:highlight w:val="yellow"/>
              </w:rPr>
              <w:t>序号</w:t>
            </w:r>
          </w:p>
        </w:tc>
        <w:tc>
          <w:tcPr>
            <w:tcW w:w="3939" w:type="dxa"/>
            <w:tcBorders>
              <w:top w:val="single" w:color="auto" w:sz="4" w:space="0"/>
              <w:left w:val="single" w:color="auto" w:sz="4" w:space="0"/>
              <w:bottom w:val="single" w:color="auto" w:sz="4" w:space="0"/>
              <w:right w:val="single" w:color="auto" w:sz="4" w:space="0"/>
            </w:tcBorders>
            <w:vAlign w:val="center"/>
          </w:tcPr>
          <w:p w14:paraId="4213395C">
            <w:pPr>
              <w:adjustRightInd w:val="0"/>
              <w:snapToGrid w:val="0"/>
              <w:jc w:val="center"/>
              <w:rPr>
                <w:rFonts w:ascii="宋体" w:hAnsi="宋体"/>
                <w:b/>
                <w:kern w:val="0"/>
                <w:szCs w:val="21"/>
                <w:highlight w:val="yellow"/>
              </w:rPr>
            </w:pPr>
            <w:r>
              <w:rPr>
                <w:rFonts w:hint="eastAsia"/>
                <w:b/>
                <w:color w:val="FF0000"/>
                <w:kern w:val="0"/>
                <w:szCs w:val="21"/>
                <w:highlight w:val="yellow"/>
              </w:rPr>
              <w:t>★</w:t>
            </w:r>
            <w:r>
              <w:rPr>
                <w:rFonts w:hint="eastAsia" w:ascii="宋体" w:hAnsi="宋体"/>
                <w:b/>
                <w:kern w:val="0"/>
                <w:szCs w:val="21"/>
                <w:highlight w:val="yellow"/>
              </w:rPr>
              <w:t>实质性条款具体内容</w:t>
            </w:r>
          </w:p>
        </w:tc>
        <w:tc>
          <w:tcPr>
            <w:tcW w:w="1843" w:type="dxa"/>
            <w:tcBorders>
              <w:top w:val="single" w:color="auto" w:sz="4" w:space="0"/>
              <w:left w:val="single" w:color="auto" w:sz="4" w:space="0"/>
              <w:bottom w:val="single" w:color="auto" w:sz="4" w:space="0"/>
              <w:right w:val="single" w:color="auto" w:sz="4" w:space="0"/>
            </w:tcBorders>
            <w:vAlign w:val="center"/>
          </w:tcPr>
          <w:p w14:paraId="768C6658">
            <w:pPr>
              <w:adjustRightInd w:val="0"/>
              <w:snapToGrid w:val="0"/>
              <w:jc w:val="center"/>
              <w:rPr>
                <w:rFonts w:ascii="宋体" w:hAnsi="宋体"/>
                <w:b/>
                <w:kern w:val="0"/>
                <w:szCs w:val="21"/>
                <w:highlight w:val="yellow"/>
              </w:rPr>
            </w:pPr>
            <w:r>
              <w:rPr>
                <w:rFonts w:hint="eastAsia"/>
                <w:b/>
                <w:highlight w:val="yellow"/>
              </w:rPr>
              <w:t>应答响应</w:t>
            </w:r>
          </w:p>
        </w:tc>
        <w:tc>
          <w:tcPr>
            <w:tcW w:w="1270" w:type="dxa"/>
            <w:tcBorders>
              <w:top w:val="single" w:color="auto" w:sz="4" w:space="0"/>
              <w:left w:val="single" w:color="auto" w:sz="4" w:space="0"/>
              <w:bottom w:val="single" w:color="auto" w:sz="4" w:space="0"/>
              <w:right w:val="single" w:color="auto" w:sz="4" w:space="0"/>
            </w:tcBorders>
            <w:vAlign w:val="center"/>
          </w:tcPr>
          <w:p w14:paraId="033F3BB4">
            <w:pPr>
              <w:adjustRightInd w:val="0"/>
              <w:snapToGrid w:val="0"/>
              <w:jc w:val="center"/>
              <w:rPr>
                <w:rFonts w:ascii="宋体" w:hAnsi="宋体"/>
                <w:b/>
                <w:kern w:val="0"/>
                <w:szCs w:val="21"/>
                <w:highlight w:val="yellow"/>
              </w:rPr>
            </w:pPr>
            <w:r>
              <w:rPr>
                <w:rFonts w:hint="eastAsia"/>
                <w:b/>
                <w:highlight w:val="yellow"/>
              </w:rPr>
              <w:t>偏离情况</w:t>
            </w:r>
          </w:p>
        </w:tc>
        <w:tc>
          <w:tcPr>
            <w:tcW w:w="998" w:type="dxa"/>
            <w:tcBorders>
              <w:top w:val="single" w:color="auto" w:sz="4" w:space="0"/>
              <w:left w:val="single" w:color="auto" w:sz="4" w:space="0"/>
              <w:bottom w:val="single" w:color="auto" w:sz="4" w:space="0"/>
              <w:right w:val="single" w:color="auto" w:sz="4" w:space="0"/>
            </w:tcBorders>
            <w:vAlign w:val="center"/>
          </w:tcPr>
          <w:p w14:paraId="2BE21413">
            <w:pPr>
              <w:adjustRightInd w:val="0"/>
              <w:snapToGrid w:val="0"/>
              <w:jc w:val="center"/>
              <w:rPr>
                <w:rFonts w:ascii="宋体" w:hAnsi="宋体"/>
                <w:b/>
                <w:kern w:val="0"/>
                <w:szCs w:val="21"/>
                <w:highlight w:val="yellow"/>
              </w:rPr>
            </w:pPr>
            <w:r>
              <w:rPr>
                <w:rFonts w:hint="eastAsia"/>
                <w:b/>
                <w:highlight w:val="yellow"/>
              </w:rPr>
              <w:t>说明</w:t>
            </w:r>
          </w:p>
          <w:bookmarkEnd w:id="42"/>
        </w:tc>
      </w:tr>
      <w:tr w14:paraId="0B59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5" w:type="dxa"/>
            <w:tcBorders>
              <w:top w:val="single" w:color="auto" w:sz="4" w:space="0"/>
              <w:left w:val="single" w:color="auto" w:sz="4" w:space="0"/>
              <w:bottom w:val="single" w:color="auto" w:sz="4" w:space="0"/>
              <w:right w:val="single" w:color="auto" w:sz="4" w:space="0"/>
            </w:tcBorders>
          </w:tcPr>
          <w:p w14:paraId="0CF6668E">
            <w:pPr>
              <w:adjustRightInd w:val="0"/>
              <w:snapToGrid w:val="0"/>
              <w:jc w:val="center"/>
              <w:rPr>
                <w:rFonts w:ascii="宋体" w:hAnsi="宋体"/>
                <w:kern w:val="0"/>
                <w:szCs w:val="21"/>
              </w:rPr>
            </w:pPr>
            <w:r>
              <w:rPr>
                <w:rFonts w:hint="eastAsia" w:ascii="宋体" w:hAnsi="宋体"/>
                <w:kern w:val="0"/>
                <w:szCs w:val="21"/>
              </w:rPr>
              <w:t>1</w:t>
            </w:r>
          </w:p>
        </w:tc>
        <w:tc>
          <w:tcPr>
            <w:tcW w:w="3939" w:type="dxa"/>
            <w:tcBorders>
              <w:top w:val="single" w:color="auto" w:sz="4" w:space="0"/>
              <w:left w:val="single" w:color="auto" w:sz="4" w:space="0"/>
              <w:bottom w:val="single" w:color="auto" w:sz="4" w:space="0"/>
              <w:right w:val="single" w:color="auto" w:sz="4" w:space="0"/>
            </w:tcBorders>
          </w:tcPr>
          <w:p w14:paraId="63C91A25">
            <w:pPr>
              <w:adjustRightInd w:val="0"/>
              <w:snapToGrid w:val="0"/>
              <w:jc w:val="center"/>
              <w:rPr>
                <w:rFonts w:hAnsi="宋体"/>
                <w:kern w:val="0"/>
                <w:szCs w:val="21"/>
              </w:rPr>
            </w:pPr>
            <w:r>
              <w:rPr>
                <w:rFonts w:hint="eastAsia"/>
                <w:b/>
                <w:color w:val="FF0000"/>
                <w:kern w:val="0"/>
                <w:szCs w:val="21"/>
              </w:rPr>
              <w:t>满足本项目标★的条款要求</w:t>
            </w:r>
          </w:p>
        </w:tc>
        <w:tc>
          <w:tcPr>
            <w:tcW w:w="1843" w:type="dxa"/>
            <w:tcBorders>
              <w:top w:val="single" w:color="auto" w:sz="4" w:space="0"/>
              <w:left w:val="single" w:color="auto" w:sz="4" w:space="0"/>
              <w:bottom w:val="single" w:color="auto" w:sz="4" w:space="0"/>
              <w:right w:val="single" w:color="auto" w:sz="4" w:space="0"/>
            </w:tcBorders>
          </w:tcPr>
          <w:p w14:paraId="34FCDF00">
            <w:pPr>
              <w:adjustRightInd w:val="0"/>
              <w:snapToGrid w:val="0"/>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tcPr>
          <w:p w14:paraId="6403C981">
            <w:pPr>
              <w:adjustRightInd w:val="0"/>
              <w:snapToGrid w:val="0"/>
              <w:rPr>
                <w:rFonts w:ascii="宋体" w:hAnsi="宋体"/>
                <w:kern w:val="0"/>
                <w:szCs w:val="21"/>
              </w:rPr>
            </w:pPr>
          </w:p>
        </w:tc>
        <w:tc>
          <w:tcPr>
            <w:tcW w:w="998" w:type="dxa"/>
            <w:tcBorders>
              <w:top w:val="single" w:color="auto" w:sz="4" w:space="0"/>
              <w:left w:val="single" w:color="auto" w:sz="4" w:space="0"/>
              <w:bottom w:val="single" w:color="auto" w:sz="4" w:space="0"/>
              <w:right w:val="single" w:color="auto" w:sz="4" w:space="0"/>
            </w:tcBorders>
          </w:tcPr>
          <w:p w14:paraId="00565726">
            <w:pPr>
              <w:adjustRightInd w:val="0"/>
              <w:snapToGrid w:val="0"/>
              <w:rPr>
                <w:rFonts w:ascii="宋体" w:hAnsi="宋体"/>
                <w:kern w:val="0"/>
                <w:szCs w:val="21"/>
              </w:rPr>
            </w:pPr>
          </w:p>
        </w:tc>
      </w:tr>
    </w:tbl>
    <w:p w14:paraId="11BA9C2F">
      <w:pPr>
        <w:ind w:firstLine="482" w:firstLineChars="200"/>
        <w:rPr>
          <w:b/>
          <w:sz w:val="24"/>
          <w:szCs w:val="22"/>
        </w:rPr>
      </w:pPr>
    </w:p>
    <w:p w14:paraId="26A7D3A4">
      <w:pPr>
        <w:spacing w:line="360" w:lineRule="auto"/>
        <w:ind w:firstLine="420" w:firstLineChars="200"/>
        <w:rPr>
          <w:szCs w:val="21"/>
        </w:rPr>
      </w:pPr>
      <w:r>
        <w:rPr>
          <w:rFonts w:hint="eastAsia"/>
          <w:szCs w:val="21"/>
        </w:rPr>
        <w:t>注：1. 上表所列各项均为不可负偏离条款。</w:t>
      </w:r>
    </w:p>
    <w:p w14:paraId="5B88F342">
      <w:pPr>
        <w:spacing w:line="360" w:lineRule="auto"/>
        <w:ind w:firstLine="420" w:firstLineChars="200"/>
        <w:rPr>
          <w:szCs w:val="21"/>
        </w:rPr>
      </w:pPr>
      <w:r>
        <w:rPr>
          <w:rFonts w:hint="eastAsia"/>
          <w:szCs w:val="21"/>
        </w:rPr>
        <w:t>2.“应答响应”一栏应当详细填写供应商自身响应情况，而不能不合理照搬照抄谈判文件实质性条款具体内容。如完全满足实质性条款具体内容可填写“完全响应”。</w:t>
      </w:r>
    </w:p>
    <w:p w14:paraId="6FA52126">
      <w:pPr>
        <w:spacing w:line="360" w:lineRule="auto"/>
        <w:ind w:firstLine="420" w:firstLineChars="200"/>
        <w:rPr>
          <w:szCs w:val="21"/>
        </w:rPr>
      </w:pPr>
      <w:r>
        <w:rPr>
          <w:rFonts w:hint="eastAsia"/>
          <w:szCs w:val="21"/>
        </w:rPr>
        <w:t>3</w:t>
      </w:r>
      <w:r>
        <w:rPr>
          <w:szCs w:val="21"/>
        </w:rPr>
        <w:t>.</w:t>
      </w:r>
      <w:r>
        <w:rPr>
          <w:rFonts w:hint="eastAsia"/>
          <w:szCs w:val="21"/>
        </w:rPr>
        <w:t>“偏离情况”一栏应填写“正偏离”、“负偏离”或“无偏离”，“正偏离”表示“应答响应优于实质性条款具体内容要求”，“负偏离”表示“应答响应不满足实质性条款具体内容要求”，“无偏离”表示“应答响应与实质性条款具体内容要求一致”。</w:t>
      </w:r>
    </w:p>
    <w:p w14:paraId="5659E0CA">
      <w:pPr>
        <w:spacing w:line="360" w:lineRule="auto"/>
        <w:ind w:firstLine="420" w:firstLineChars="200"/>
        <w:rPr>
          <w:szCs w:val="21"/>
        </w:rPr>
      </w:pPr>
      <w:r>
        <w:rPr>
          <w:szCs w:val="21"/>
        </w:rPr>
        <w:t>4.</w:t>
      </w:r>
      <w:r>
        <w:rPr>
          <w:rFonts w:hint="eastAsia"/>
          <w:szCs w:val="21"/>
        </w:rPr>
        <w:t>评审委员会有权对应答响应情况作出判断（作出评审结论）。</w:t>
      </w:r>
    </w:p>
    <w:p w14:paraId="2B62B243">
      <w:pPr>
        <w:spacing w:line="360" w:lineRule="auto"/>
        <w:ind w:firstLine="420" w:firstLineChars="200"/>
        <w:rPr>
          <w:szCs w:val="21"/>
        </w:rPr>
      </w:pPr>
      <w:r>
        <w:rPr>
          <w:szCs w:val="21"/>
        </w:rPr>
        <w:t>5</w:t>
      </w:r>
      <w:r>
        <w:rPr>
          <w:rFonts w:hint="eastAsia"/>
          <w:szCs w:val="21"/>
        </w:rPr>
        <w:t>.实质性响应条款“应答响应情况”与应答文件其它内容冲突的，以实质性响应条款“应答响应情况”为准。</w:t>
      </w:r>
    </w:p>
    <w:p w14:paraId="57B2B5CB">
      <w:pPr>
        <w:spacing w:line="360" w:lineRule="auto"/>
        <w:ind w:firstLine="420" w:firstLineChars="200"/>
        <w:rPr>
          <w:szCs w:val="21"/>
        </w:rPr>
      </w:pPr>
      <w:r>
        <w:rPr>
          <w:rFonts w:hint="eastAsia"/>
          <w:szCs w:val="21"/>
        </w:rPr>
        <w:t>6</w:t>
      </w:r>
      <w:r>
        <w:rPr>
          <w:szCs w:val="21"/>
        </w:rPr>
        <w:t>.</w:t>
      </w:r>
      <w:r>
        <w:rPr>
          <w:rFonts w:hint="eastAsia"/>
          <w:szCs w:val="21"/>
        </w:rPr>
        <w:t xml:space="preserve"> 要求提供证明资料，在“说明”一栏中列明证明资料的位置,以便谈判；未要求提供证明材料的，供应商可以不提供。</w:t>
      </w:r>
    </w:p>
    <w:p w14:paraId="1B191D91">
      <w:pPr>
        <w:pStyle w:val="2"/>
        <w:ind w:firstLine="482" w:firstLineChars="200"/>
        <w:rPr>
          <w:b/>
          <w:sz w:val="24"/>
          <w:szCs w:val="22"/>
        </w:rPr>
      </w:pPr>
    </w:p>
    <w:p w14:paraId="633B5629">
      <w:pPr>
        <w:pStyle w:val="5"/>
        <w:snapToGrid w:val="0"/>
        <w:spacing w:line="276" w:lineRule="auto"/>
        <w:jc w:val="center"/>
        <w:rPr>
          <w:rFonts w:ascii="黑体" w:eastAsia="黑体"/>
          <w:b w:val="0"/>
          <w:sz w:val="24"/>
          <w:szCs w:val="24"/>
        </w:rPr>
      </w:pPr>
      <w:r>
        <w:rPr>
          <w:rFonts w:hint="eastAsia" w:ascii="黑体" w:eastAsia="黑体"/>
          <w:b w:val="0"/>
          <w:sz w:val="24"/>
          <w:szCs w:val="24"/>
        </w:rPr>
        <w:t>四、实施方案</w:t>
      </w:r>
    </w:p>
    <w:p w14:paraId="7665615F">
      <w:pPr>
        <w:spacing w:line="360" w:lineRule="auto"/>
        <w:ind w:firstLine="420" w:firstLineChars="200"/>
        <w:rPr>
          <w:szCs w:val="21"/>
        </w:rPr>
      </w:pPr>
      <w:r>
        <w:rPr>
          <w:rFonts w:hint="eastAsia"/>
          <w:szCs w:val="21"/>
        </w:rPr>
        <w:t>（特别提示：投标人须按本谈判文件评标信息中“实施方案”这一评分因素要求，提供证明资料）</w:t>
      </w:r>
    </w:p>
    <w:p w14:paraId="2A556ABB">
      <w:pPr>
        <w:pStyle w:val="5"/>
        <w:snapToGrid w:val="0"/>
        <w:spacing w:line="276" w:lineRule="auto"/>
        <w:jc w:val="center"/>
        <w:rPr>
          <w:rFonts w:ascii="黑体" w:eastAsia="黑体"/>
          <w:b w:val="0"/>
          <w:bCs/>
          <w:sz w:val="24"/>
          <w:szCs w:val="24"/>
        </w:rPr>
      </w:pPr>
      <w:r>
        <w:rPr>
          <w:rFonts w:hint="eastAsia" w:ascii="黑体" w:eastAsia="黑体"/>
          <w:b w:val="0"/>
          <w:sz w:val="24"/>
          <w:szCs w:val="24"/>
        </w:rPr>
        <w:t>五、项目重点难点分析、应对措施及相关的合理化建议</w:t>
      </w:r>
    </w:p>
    <w:p w14:paraId="29EC4D18">
      <w:pPr>
        <w:spacing w:line="360" w:lineRule="auto"/>
        <w:ind w:firstLine="420" w:firstLineChars="200"/>
        <w:rPr>
          <w:szCs w:val="21"/>
        </w:rPr>
      </w:pPr>
      <w:r>
        <w:rPr>
          <w:rFonts w:hint="eastAsia"/>
          <w:szCs w:val="21"/>
        </w:rPr>
        <w:t>（特别提示：投标人须按本谈判文件评标信息中“项目重点难点分析、应对措施及相关的合理化建议”这一评分因素要求，提供证明资料）</w:t>
      </w:r>
    </w:p>
    <w:p w14:paraId="69565E4B">
      <w:pPr>
        <w:pStyle w:val="5"/>
        <w:snapToGrid w:val="0"/>
        <w:spacing w:line="276" w:lineRule="auto"/>
        <w:jc w:val="center"/>
        <w:rPr>
          <w:rFonts w:ascii="黑体" w:eastAsia="黑体"/>
          <w:b w:val="0"/>
          <w:bCs/>
          <w:sz w:val="24"/>
          <w:szCs w:val="24"/>
        </w:rPr>
      </w:pPr>
      <w:r>
        <w:rPr>
          <w:rFonts w:hint="eastAsia" w:ascii="黑体" w:eastAsia="黑体"/>
          <w:b w:val="0"/>
          <w:sz w:val="24"/>
          <w:szCs w:val="24"/>
        </w:rPr>
        <w:t>六、质量（完成时间、安全、环保）保障措施及方案</w:t>
      </w:r>
    </w:p>
    <w:p w14:paraId="316C5583">
      <w:pPr>
        <w:spacing w:line="360" w:lineRule="auto"/>
        <w:ind w:firstLine="420" w:firstLineChars="200"/>
        <w:rPr>
          <w:szCs w:val="21"/>
        </w:rPr>
      </w:pPr>
      <w:r>
        <w:rPr>
          <w:rFonts w:hint="eastAsia"/>
          <w:szCs w:val="21"/>
        </w:rPr>
        <w:t>（特别提示：投标人须按本谈判文件评标信息中“质量（完成时间、安全、环保）保障措施及方案”这一评分因素要求，提供证明资料）</w:t>
      </w:r>
    </w:p>
    <w:p w14:paraId="7A06066B">
      <w:pPr>
        <w:pStyle w:val="5"/>
        <w:snapToGrid w:val="0"/>
        <w:spacing w:line="276" w:lineRule="auto"/>
        <w:jc w:val="center"/>
        <w:rPr>
          <w:rFonts w:ascii="黑体" w:eastAsia="黑体"/>
          <w:b w:val="0"/>
          <w:bCs/>
          <w:sz w:val="24"/>
          <w:szCs w:val="24"/>
        </w:rPr>
      </w:pPr>
      <w:r>
        <w:rPr>
          <w:rFonts w:hint="eastAsia" w:ascii="宋体" w:hAnsi="宋体"/>
          <w:szCs w:val="21"/>
        </w:rPr>
        <w:br w:type="page"/>
      </w:r>
      <w:r>
        <w:rPr>
          <w:rFonts w:ascii="宋体" w:hAnsi="宋体"/>
          <w:szCs w:val="21"/>
        </w:rPr>
        <w:t xml:space="preserve"> </w:t>
      </w:r>
      <w:r>
        <w:rPr>
          <w:rFonts w:hint="eastAsia" w:ascii="黑体" w:eastAsia="黑体"/>
          <w:b w:val="0"/>
          <w:sz w:val="24"/>
          <w:szCs w:val="24"/>
        </w:rPr>
        <w:t>七、项目完成（服务期满）后的服务承诺</w:t>
      </w:r>
    </w:p>
    <w:p w14:paraId="54312876">
      <w:pPr>
        <w:spacing w:line="360" w:lineRule="auto"/>
        <w:ind w:firstLine="420" w:firstLineChars="200"/>
        <w:rPr>
          <w:szCs w:val="21"/>
        </w:rPr>
      </w:pPr>
      <w:r>
        <w:rPr>
          <w:rFonts w:hint="eastAsia"/>
          <w:szCs w:val="21"/>
        </w:rPr>
        <w:t>（特别提示：投标人须按本谈判文件评标信息中“项目完成(服务期满)后的服务承诺”这一评分因素要求，提供证明资料）</w:t>
      </w:r>
    </w:p>
    <w:p w14:paraId="52F58FB9">
      <w:pPr>
        <w:pStyle w:val="5"/>
        <w:numPr>
          <w:ilvl w:val="0"/>
          <w:numId w:val="0"/>
        </w:numPr>
        <w:snapToGrid w:val="0"/>
        <w:spacing w:line="276" w:lineRule="auto"/>
        <w:jc w:val="center"/>
        <w:rPr>
          <w:rFonts w:ascii="黑体" w:eastAsia="黑体"/>
          <w:b w:val="0"/>
          <w:sz w:val="24"/>
          <w:szCs w:val="24"/>
        </w:rPr>
      </w:pPr>
      <w:r>
        <w:rPr>
          <w:rFonts w:hint="eastAsia" w:ascii="黑体" w:eastAsia="黑体"/>
          <w:b w:val="0"/>
          <w:sz w:val="24"/>
          <w:szCs w:val="24"/>
        </w:rPr>
        <w:t>八、拟安排的项目负责人情况（仅限一人）</w:t>
      </w:r>
    </w:p>
    <w:tbl>
      <w:tblPr>
        <w:tblStyle w:val="30"/>
        <w:tblW w:w="84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933"/>
        <w:gridCol w:w="933"/>
        <w:gridCol w:w="932"/>
        <w:gridCol w:w="1224"/>
        <w:gridCol w:w="992"/>
        <w:gridCol w:w="1171"/>
        <w:gridCol w:w="1149"/>
      </w:tblGrid>
      <w:tr w14:paraId="7D75C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tcBorders>
              <w:top w:val="double" w:color="auto" w:sz="4" w:space="0"/>
              <w:left w:val="double" w:color="auto" w:sz="4" w:space="0"/>
              <w:bottom w:val="single" w:color="auto" w:sz="4" w:space="0"/>
              <w:right w:val="single" w:color="auto" w:sz="4" w:space="0"/>
            </w:tcBorders>
            <w:vAlign w:val="center"/>
          </w:tcPr>
          <w:p w14:paraId="31979E19">
            <w:pPr>
              <w:spacing w:line="276" w:lineRule="auto"/>
              <w:jc w:val="center"/>
              <w:rPr>
                <w:rFonts w:ascii="宋体" w:hAnsi="宋体"/>
                <w:szCs w:val="21"/>
              </w:rPr>
            </w:pPr>
            <w:r>
              <w:rPr>
                <w:rFonts w:hint="eastAsia" w:ascii="宋体" w:hAnsi="宋体"/>
                <w:szCs w:val="21"/>
              </w:rPr>
              <w:t>类别</w:t>
            </w:r>
          </w:p>
        </w:tc>
        <w:tc>
          <w:tcPr>
            <w:tcW w:w="932" w:type="dxa"/>
            <w:vMerge w:val="restart"/>
            <w:tcBorders>
              <w:top w:val="double" w:color="auto" w:sz="4" w:space="0"/>
              <w:left w:val="single" w:color="auto" w:sz="4" w:space="0"/>
              <w:bottom w:val="single" w:color="auto" w:sz="4" w:space="0"/>
              <w:right w:val="single" w:color="auto" w:sz="4" w:space="0"/>
            </w:tcBorders>
            <w:vAlign w:val="center"/>
          </w:tcPr>
          <w:p w14:paraId="20990285">
            <w:pPr>
              <w:spacing w:line="276" w:lineRule="auto"/>
              <w:jc w:val="center"/>
              <w:rPr>
                <w:rFonts w:ascii="宋体" w:hAnsi="宋体"/>
                <w:szCs w:val="21"/>
              </w:rPr>
            </w:pPr>
            <w:r>
              <w:rPr>
                <w:rFonts w:hint="eastAsia" w:ascii="宋体" w:hAnsi="宋体"/>
                <w:szCs w:val="21"/>
              </w:rPr>
              <w:t>姓名</w:t>
            </w:r>
          </w:p>
        </w:tc>
        <w:tc>
          <w:tcPr>
            <w:tcW w:w="932" w:type="dxa"/>
            <w:vMerge w:val="restart"/>
            <w:tcBorders>
              <w:top w:val="double" w:color="auto" w:sz="4" w:space="0"/>
              <w:left w:val="single" w:color="auto" w:sz="4" w:space="0"/>
              <w:bottom w:val="single" w:color="auto" w:sz="4" w:space="0"/>
              <w:right w:val="single" w:color="auto" w:sz="4" w:space="0"/>
            </w:tcBorders>
            <w:vAlign w:val="center"/>
          </w:tcPr>
          <w:p w14:paraId="29026F33">
            <w:pPr>
              <w:spacing w:line="276" w:lineRule="auto"/>
              <w:jc w:val="center"/>
              <w:rPr>
                <w:rFonts w:ascii="宋体" w:hAnsi="宋体"/>
                <w:szCs w:val="21"/>
              </w:rPr>
            </w:pPr>
            <w:r>
              <w:rPr>
                <w:rFonts w:hint="eastAsia" w:ascii="宋体" w:hAnsi="宋体"/>
                <w:szCs w:val="21"/>
              </w:rPr>
              <w:t>职称</w:t>
            </w:r>
          </w:p>
        </w:tc>
        <w:tc>
          <w:tcPr>
            <w:tcW w:w="932" w:type="dxa"/>
            <w:vMerge w:val="restart"/>
            <w:tcBorders>
              <w:top w:val="double" w:color="auto" w:sz="4" w:space="0"/>
              <w:left w:val="single" w:color="auto" w:sz="4" w:space="0"/>
              <w:bottom w:val="single" w:color="auto" w:sz="4" w:space="0"/>
              <w:right w:val="single" w:color="auto" w:sz="4" w:space="0"/>
            </w:tcBorders>
            <w:vAlign w:val="center"/>
          </w:tcPr>
          <w:p w14:paraId="5D70CAEC">
            <w:pPr>
              <w:spacing w:line="276" w:lineRule="auto"/>
              <w:jc w:val="center"/>
              <w:rPr>
                <w:rFonts w:ascii="宋体" w:hAnsi="宋体"/>
                <w:szCs w:val="21"/>
              </w:rPr>
            </w:pPr>
            <w:r>
              <w:rPr>
                <w:rFonts w:hint="eastAsia" w:ascii="宋体" w:hAnsi="宋体"/>
                <w:szCs w:val="21"/>
              </w:rPr>
              <w:t>学历</w:t>
            </w:r>
          </w:p>
        </w:tc>
        <w:tc>
          <w:tcPr>
            <w:tcW w:w="4536" w:type="dxa"/>
            <w:gridSpan w:val="4"/>
            <w:tcBorders>
              <w:top w:val="double" w:color="auto" w:sz="4" w:space="0"/>
              <w:left w:val="single" w:color="auto" w:sz="4" w:space="0"/>
              <w:bottom w:val="single" w:color="auto" w:sz="4" w:space="0"/>
              <w:right w:val="double" w:color="auto" w:sz="4" w:space="0"/>
            </w:tcBorders>
            <w:vAlign w:val="center"/>
          </w:tcPr>
          <w:p w14:paraId="4B259FF1">
            <w:pPr>
              <w:spacing w:line="276" w:lineRule="auto"/>
              <w:jc w:val="center"/>
              <w:rPr>
                <w:rFonts w:ascii="宋体" w:hAnsi="宋体"/>
                <w:szCs w:val="21"/>
              </w:rPr>
            </w:pPr>
            <w:r>
              <w:rPr>
                <w:rFonts w:hint="eastAsia" w:ascii="宋体" w:hAnsi="宋体"/>
                <w:szCs w:val="21"/>
              </w:rPr>
              <w:t>上岗资格证明</w:t>
            </w:r>
          </w:p>
        </w:tc>
      </w:tr>
      <w:tr w14:paraId="3E4F7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tcBorders>
              <w:top w:val="double" w:color="auto" w:sz="4" w:space="0"/>
              <w:left w:val="double" w:color="auto" w:sz="4" w:space="0"/>
              <w:bottom w:val="single" w:color="auto" w:sz="4" w:space="0"/>
              <w:right w:val="single" w:color="auto" w:sz="4" w:space="0"/>
            </w:tcBorders>
            <w:vAlign w:val="center"/>
          </w:tcPr>
          <w:p w14:paraId="29C9D100">
            <w:pPr>
              <w:widowControl/>
              <w:jc w:val="left"/>
              <w:rPr>
                <w:rFonts w:ascii="宋体" w:hAnsi="宋体"/>
                <w:szCs w:val="21"/>
              </w:rPr>
            </w:pPr>
          </w:p>
        </w:tc>
        <w:tc>
          <w:tcPr>
            <w:tcW w:w="932" w:type="dxa"/>
            <w:vMerge w:val="continue"/>
            <w:tcBorders>
              <w:top w:val="double" w:color="auto" w:sz="4" w:space="0"/>
              <w:left w:val="single" w:color="auto" w:sz="4" w:space="0"/>
              <w:bottom w:val="single" w:color="auto" w:sz="4" w:space="0"/>
              <w:right w:val="single" w:color="auto" w:sz="4" w:space="0"/>
            </w:tcBorders>
            <w:vAlign w:val="center"/>
          </w:tcPr>
          <w:p w14:paraId="3E63B4DB">
            <w:pPr>
              <w:widowControl/>
              <w:jc w:val="left"/>
              <w:rPr>
                <w:rFonts w:ascii="宋体" w:hAnsi="宋体"/>
                <w:szCs w:val="21"/>
              </w:rPr>
            </w:pPr>
          </w:p>
        </w:tc>
        <w:tc>
          <w:tcPr>
            <w:tcW w:w="932" w:type="dxa"/>
            <w:vMerge w:val="continue"/>
            <w:tcBorders>
              <w:top w:val="double" w:color="auto" w:sz="4" w:space="0"/>
              <w:left w:val="single" w:color="auto" w:sz="4" w:space="0"/>
              <w:bottom w:val="single" w:color="auto" w:sz="4" w:space="0"/>
              <w:right w:val="single" w:color="auto" w:sz="4" w:space="0"/>
            </w:tcBorders>
            <w:vAlign w:val="center"/>
          </w:tcPr>
          <w:p w14:paraId="121E16D2">
            <w:pPr>
              <w:widowControl/>
              <w:jc w:val="left"/>
              <w:rPr>
                <w:rFonts w:ascii="宋体" w:hAnsi="宋体"/>
                <w:szCs w:val="21"/>
              </w:rPr>
            </w:pPr>
          </w:p>
        </w:tc>
        <w:tc>
          <w:tcPr>
            <w:tcW w:w="932" w:type="dxa"/>
            <w:vMerge w:val="continue"/>
            <w:tcBorders>
              <w:top w:val="double" w:color="auto" w:sz="4" w:space="0"/>
              <w:left w:val="single" w:color="auto" w:sz="4" w:space="0"/>
              <w:bottom w:val="single" w:color="auto" w:sz="4" w:space="0"/>
              <w:right w:val="single" w:color="auto" w:sz="4" w:space="0"/>
            </w:tcBorders>
            <w:vAlign w:val="center"/>
          </w:tcPr>
          <w:p w14:paraId="275E20ED">
            <w:pPr>
              <w:widowControl/>
              <w:jc w:val="left"/>
              <w:rPr>
                <w:rFonts w:ascii="宋体" w:hAnsi="宋体"/>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6121E522">
            <w:pPr>
              <w:spacing w:line="276" w:lineRule="auto"/>
              <w:jc w:val="center"/>
              <w:rPr>
                <w:rFonts w:ascii="宋体" w:hAnsi="宋体"/>
                <w:szCs w:val="21"/>
              </w:rPr>
            </w:pPr>
            <w:r>
              <w:rPr>
                <w:rFonts w:hint="eastAsia" w:ascii="宋体" w:hAnsi="宋体"/>
                <w:szCs w:val="21"/>
              </w:rPr>
              <w:t>证书名称</w:t>
            </w:r>
          </w:p>
        </w:tc>
        <w:tc>
          <w:tcPr>
            <w:tcW w:w="992" w:type="dxa"/>
            <w:tcBorders>
              <w:top w:val="single" w:color="auto" w:sz="4" w:space="0"/>
              <w:left w:val="single" w:color="auto" w:sz="4" w:space="0"/>
              <w:bottom w:val="single" w:color="auto" w:sz="4" w:space="0"/>
              <w:right w:val="single" w:color="auto" w:sz="4" w:space="0"/>
            </w:tcBorders>
            <w:vAlign w:val="center"/>
          </w:tcPr>
          <w:p w14:paraId="6C603CAA">
            <w:pPr>
              <w:spacing w:line="276" w:lineRule="auto"/>
              <w:jc w:val="center"/>
              <w:rPr>
                <w:rFonts w:ascii="宋体" w:hAnsi="宋体"/>
                <w:szCs w:val="21"/>
              </w:rPr>
            </w:pPr>
            <w:r>
              <w:rPr>
                <w:rFonts w:hint="eastAsia" w:ascii="宋体" w:hAnsi="宋体"/>
                <w:szCs w:val="21"/>
              </w:rPr>
              <w:t>级别</w:t>
            </w:r>
          </w:p>
        </w:tc>
        <w:tc>
          <w:tcPr>
            <w:tcW w:w="1171" w:type="dxa"/>
            <w:tcBorders>
              <w:top w:val="single" w:color="auto" w:sz="4" w:space="0"/>
              <w:left w:val="single" w:color="auto" w:sz="4" w:space="0"/>
              <w:bottom w:val="single" w:color="auto" w:sz="4" w:space="0"/>
              <w:right w:val="single" w:color="auto" w:sz="4" w:space="0"/>
            </w:tcBorders>
            <w:vAlign w:val="center"/>
          </w:tcPr>
          <w:p w14:paraId="43043481">
            <w:pPr>
              <w:spacing w:line="276" w:lineRule="auto"/>
              <w:jc w:val="center"/>
              <w:rPr>
                <w:rFonts w:ascii="宋体" w:hAnsi="宋体"/>
                <w:szCs w:val="21"/>
              </w:rPr>
            </w:pPr>
            <w:r>
              <w:rPr>
                <w:rFonts w:hint="eastAsia" w:ascii="宋体" w:hAnsi="宋体"/>
                <w:szCs w:val="21"/>
              </w:rPr>
              <w:t>证号</w:t>
            </w:r>
          </w:p>
        </w:tc>
        <w:tc>
          <w:tcPr>
            <w:tcW w:w="1149" w:type="dxa"/>
            <w:tcBorders>
              <w:top w:val="single" w:color="auto" w:sz="4" w:space="0"/>
              <w:left w:val="single" w:color="auto" w:sz="4" w:space="0"/>
              <w:bottom w:val="single" w:color="auto" w:sz="4" w:space="0"/>
              <w:right w:val="double" w:color="auto" w:sz="4" w:space="0"/>
            </w:tcBorders>
            <w:vAlign w:val="center"/>
          </w:tcPr>
          <w:p w14:paraId="135EFE53">
            <w:pPr>
              <w:spacing w:line="276" w:lineRule="auto"/>
              <w:jc w:val="center"/>
              <w:rPr>
                <w:rFonts w:ascii="宋体" w:hAnsi="宋体"/>
                <w:szCs w:val="21"/>
              </w:rPr>
            </w:pPr>
            <w:r>
              <w:rPr>
                <w:rFonts w:hint="eastAsia" w:ascii="宋体" w:hAnsi="宋体"/>
                <w:szCs w:val="21"/>
              </w:rPr>
              <w:t>专业</w:t>
            </w:r>
          </w:p>
        </w:tc>
      </w:tr>
      <w:tr w14:paraId="2DB44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tcBorders>
              <w:top w:val="single" w:color="auto" w:sz="4" w:space="0"/>
              <w:left w:val="double" w:color="auto" w:sz="4" w:space="0"/>
              <w:bottom w:val="double" w:color="auto" w:sz="4" w:space="0"/>
              <w:right w:val="single" w:color="auto" w:sz="4" w:space="0"/>
            </w:tcBorders>
            <w:vAlign w:val="center"/>
          </w:tcPr>
          <w:p w14:paraId="09C49DF2">
            <w:pPr>
              <w:spacing w:line="276" w:lineRule="auto"/>
              <w:jc w:val="center"/>
              <w:rPr>
                <w:rFonts w:ascii="宋体" w:hAnsi="宋体"/>
                <w:szCs w:val="21"/>
              </w:rPr>
            </w:pPr>
            <w:r>
              <w:rPr>
                <w:rFonts w:hint="eastAsia" w:ascii="宋体" w:hAnsi="宋体"/>
                <w:szCs w:val="21"/>
              </w:rPr>
              <w:t>拟派项目负责人</w:t>
            </w:r>
          </w:p>
        </w:tc>
        <w:tc>
          <w:tcPr>
            <w:tcW w:w="932" w:type="dxa"/>
            <w:tcBorders>
              <w:top w:val="single" w:color="auto" w:sz="4" w:space="0"/>
              <w:left w:val="single" w:color="auto" w:sz="4" w:space="0"/>
              <w:bottom w:val="double" w:color="auto" w:sz="4" w:space="0"/>
              <w:right w:val="single" w:color="auto" w:sz="4" w:space="0"/>
            </w:tcBorders>
            <w:vAlign w:val="center"/>
          </w:tcPr>
          <w:p w14:paraId="56EC01F6">
            <w:pPr>
              <w:spacing w:line="276" w:lineRule="auto"/>
              <w:jc w:val="center"/>
              <w:rPr>
                <w:rFonts w:ascii="宋体" w:hAnsi="宋体"/>
                <w:szCs w:val="21"/>
              </w:rPr>
            </w:pPr>
          </w:p>
        </w:tc>
        <w:tc>
          <w:tcPr>
            <w:tcW w:w="932" w:type="dxa"/>
            <w:tcBorders>
              <w:top w:val="single" w:color="auto" w:sz="4" w:space="0"/>
              <w:left w:val="single" w:color="auto" w:sz="4" w:space="0"/>
              <w:bottom w:val="double" w:color="auto" w:sz="4" w:space="0"/>
              <w:right w:val="single" w:color="auto" w:sz="4" w:space="0"/>
            </w:tcBorders>
          </w:tcPr>
          <w:p w14:paraId="37142B49">
            <w:pPr>
              <w:spacing w:line="276" w:lineRule="auto"/>
              <w:jc w:val="center"/>
              <w:rPr>
                <w:rFonts w:ascii="宋体" w:hAnsi="宋体"/>
                <w:szCs w:val="21"/>
              </w:rPr>
            </w:pPr>
          </w:p>
        </w:tc>
        <w:tc>
          <w:tcPr>
            <w:tcW w:w="932" w:type="dxa"/>
            <w:tcBorders>
              <w:top w:val="single" w:color="auto" w:sz="4" w:space="0"/>
              <w:left w:val="single" w:color="auto" w:sz="4" w:space="0"/>
              <w:bottom w:val="double" w:color="auto" w:sz="4" w:space="0"/>
              <w:right w:val="single" w:color="auto" w:sz="4" w:space="0"/>
            </w:tcBorders>
            <w:vAlign w:val="center"/>
          </w:tcPr>
          <w:p w14:paraId="1BCD5F19">
            <w:pPr>
              <w:spacing w:line="276" w:lineRule="auto"/>
              <w:jc w:val="center"/>
              <w:rPr>
                <w:rFonts w:ascii="宋体" w:hAnsi="宋体"/>
                <w:szCs w:val="21"/>
              </w:rPr>
            </w:pPr>
          </w:p>
        </w:tc>
        <w:tc>
          <w:tcPr>
            <w:tcW w:w="1224" w:type="dxa"/>
            <w:tcBorders>
              <w:top w:val="single" w:color="auto" w:sz="4" w:space="0"/>
              <w:left w:val="single" w:color="auto" w:sz="4" w:space="0"/>
              <w:bottom w:val="double" w:color="auto" w:sz="4" w:space="0"/>
              <w:right w:val="single" w:color="auto" w:sz="4" w:space="0"/>
            </w:tcBorders>
            <w:vAlign w:val="center"/>
          </w:tcPr>
          <w:p w14:paraId="30C5F1D0">
            <w:pPr>
              <w:spacing w:line="276" w:lineRule="auto"/>
              <w:jc w:val="center"/>
              <w:rPr>
                <w:rFonts w:ascii="宋体" w:hAnsi="宋体"/>
                <w:szCs w:val="21"/>
              </w:rPr>
            </w:pPr>
          </w:p>
        </w:tc>
        <w:tc>
          <w:tcPr>
            <w:tcW w:w="992" w:type="dxa"/>
            <w:tcBorders>
              <w:top w:val="single" w:color="auto" w:sz="4" w:space="0"/>
              <w:left w:val="single" w:color="auto" w:sz="4" w:space="0"/>
              <w:bottom w:val="double" w:color="auto" w:sz="4" w:space="0"/>
              <w:right w:val="single" w:color="auto" w:sz="4" w:space="0"/>
            </w:tcBorders>
            <w:vAlign w:val="center"/>
          </w:tcPr>
          <w:p w14:paraId="34DA8717">
            <w:pPr>
              <w:spacing w:line="276" w:lineRule="auto"/>
              <w:jc w:val="center"/>
              <w:rPr>
                <w:rFonts w:ascii="宋体" w:hAnsi="宋体"/>
                <w:szCs w:val="21"/>
              </w:rPr>
            </w:pPr>
          </w:p>
        </w:tc>
        <w:tc>
          <w:tcPr>
            <w:tcW w:w="1171" w:type="dxa"/>
            <w:tcBorders>
              <w:top w:val="single" w:color="auto" w:sz="4" w:space="0"/>
              <w:left w:val="single" w:color="auto" w:sz="4" w:space="0"/>
              <w:bottom w:val="double" w:color="auto" w:sz="4" w:space="0"/>
              <w:right w:val="single" w:color="auto" w:sz="4" w:space="0"/>
            </w:tcBorders>
            <w:vAlign w:val="center"/>
          </w:tcPr>
          <w:p w14:paraId="3E7D3E9E">
            <w:pPr>
              <w:spacing w:line="276" w:lineRule="auto"/>
              <w:jc w:val="center"/>
              <w:rPr>
                <w:rFonts w:ascii="宋体" w:hAnsi="宋体"/>
                <w:szCs w:val="21"/>
              </w:rPr>
            </w:pPr>
          </w:p>
        </w:tc>
        <w:tc>
          <w:tcPr>
            <w:tcW w:w="1149" w:type="dxa"/>
            <w:tcBorders>
              <w:top w:val="single" w:color="auto" w:sz="4" w:space="0"/>
              <w:left w:val="single" w:color="auto" w:sz="4" w:space="0"/>
              <w:bottom w:val="double" w:color="auto" w:sz="4" w:space="0"/>
              <w:right w:val="double" w:color="auto" w:sz="4" w:space="0"/>
            </w:tcBorders>
            <w:vAlign w:val="center"/>
          </w:tcPr>
          <w:p w14:paraId="65D81541">
            <w:pPr>
              <w:spacing w:line="276" w:lineRule="auto"/>
              <w:jc w:val="center"/>
              <w:rPr>
                <w:rFonts w:ascii="宋体" w:hAnsi="宋体"/>
                <w:szCs w:val="21"/>
              </w:rPr>
            </w:pPr>
          </w:p>
        </w:tc>
      </w:tr>
    </w:tbl>
    <w:p w14:paraId="772E3D11">
      <w:pPr>
        <w:pStyle w:val="2"/>
        <w:spacing w:line="276" w:lineRule="auto"/>
        <w:rPr>
          <w:rFonts w:ascii="Times New Roman" w:hAnsi="Times New Roman" w:eastAsia="宋体"/>
          <w:sz w:val="21"/>
          <w:szCs w:val="21"/>
        </w:rPr>
      </w:pPr>
      <w:r>
        <w:rPr>
          <w:rFonts w:hint="eastAsia" w:ascii="Times New Roman" w:hAnsi="Times New Roman" w:eastAsia="宋体"/>
          <w:sz w:val="21"/>
          <w:szCs w:val="21"/>
        </w:rPr>
        <w:t>（特别提示：以上表格仅供参考。投标人须按本谈判文件评标信息中“拟安排的项目负责人情况（仅限一人）”这一评分因素要求，提供证明资料）</w:t>
      </w:r>
    </w:p>
    <w:p w14:paraId="43E9AB7D">
      <w:pPr>
        <w:adjustRightInd w:val="0"/>
        <w:snapToGrid w:val="0"/>
      </w:pPr>
    </w:p>
    <w:p w14:paraId="7664AD0E">
      <w:pPr>
        <w:pStyle w:val="5"/>
        <w:jc w:val="center"/>
        <w:rPr>
          <w:rFonts w:ascii="黑体" w:eastAsia="黑体"/>
          <w:b w:val="0"/>
          <w:sz w:val="24"/>
          <w:szCs w:val="24"/>
        </w:rPr>
      </w:pPr>
      <w:bookmarkStart w:id="43" w:name="_Toc59916727"/>
      <w:r>
        <w:rPr>
          <w:rFonts w:hint="eastAsia" w:ascii="黑体" w:eastAsia="黑体"/>
          <w:b w:val="0"/>
          <w:sz w:val="24"/>
          <w:szCs w:val="24"/>
        </w:rPr>
        <w:t>九、</w:t>
      </w:r>
      <w:bookmarkEnd w:id="43"/>
      <w:r>
        <w:rPr>
          <w:rFonts w:hint="eastAsia" w:ascii="黑体" w:eastAsia="黑体"/>
          <w:b w:val="0"/>
          <w:sz w:val="24"/>
          <w:szCs w:val="24"/>
        </w:rPr>
        <w:t>拟安排的项目主要团队成员（主要技术人员）情况（项目负责人除外）情况</w:t>
      </w:r>
    </w:p>
    <w:tbl>
      <w:tblPr>
        <w:tblStyle w:val="30"/>
        <w:tblW w:w="88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76"/>
        <w:gridCol w:w="877"/>
        <w:gridCol w:w="877"/>
        <w:gridCol w:w="877"/>
        <w:gridCol w:w="1152"/>
        <w:gridCol w:w="934"/>
        <w:gridCol w:w="1102"/>
        <w:gridCol w:w="1081"/>
      </w:tblGrid>
      <w:tr w14:paraId="6EBE6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tcBorders>
              <w:top w:val="double" w:color="auto" w:sz="4" w:space="0"/>
              <w:left w:val="double" w:color="auto" w:sz="4" w:space="0"/>
              <w:bottom w:val="single" w:color="auto" w:sz="4" w:space="0"/>
              <w:right w:val="single" w:color="auto" w:sz="4" w:space="0"/>
            </w:tcBorders>
            <w:vAlign w:val="center"/>
          </w:tcPr>
          <w:p w14:paraId="0F4FD957">
            <w:pPr>
              <w:spacing w:line="276" w:lineRule="auto"/>
              <w:jc w:val="center"/>
              <w:rPr>
                <w:rFonts w:ascii="宋体" w:hAnsi="宋体" w:cs="宋体"/>
                <w:szCs w:val="21"/>
              </w:rPr>
            </w:pPr>
            <w:r>
              <w:rPr>
                <w:rFonts w:hint="eastAsia" w:ascii="宋体" w:hAnsi="宋体" w:cs="宋体"/>
                <w:szCs w:val="21"/>
              </w:rPr>
              <w:t>类别</w:t>
            </w:r>
          </w:p>
        </w:tc>
        <w:tc>
          <w:tcPr>
            <w:tcW w:w="876" w:type="dxa"/>
            <w:vMerge w:val="restart"/>
            <w:tcBorders>
              <w:top w:val="double" w:color="auto" w:sz="4" w:space="0"/>
              <w:left w:val="single" w:color="auto" w:sz="4" w:space="0"/>
              <w:bottom w:val="single" w:color="auto" w:sz="4" w:space="0"/>
              <w:right w:val="single" w:color="auto" w:sz="4" w:space="0"/>
            </w:tcBorders>
            <w:vAlign w:val="center"/>
          </w:tcPr>
          <w:p w14:paraId="05519DC6">
            <w:pPr>
              <w:spacing w:line="276" w:lineRule="auto"/>
              <w:jc w:val="center"/>
              <w:rPr>
                <w:rFonts w:ascii="宋体" w:hAnsi="宋体" w:cs="宋体"/>
                <w:szCs w:val="21"/>
              </w:rPr>
            </w:pPr>
            <w:r>
              <w:rPr>
                <w:rFonts w:hint="eastAsia" w:ascii="宋体" w:hAnsi="宋体" w:cs="宋体"/>
                <w:szCs w:val="21"/>
              </w:rPr>
              <w:t>职务</w:t>
            </w:r>
          </w:p>
        </w:tc>
        <w:tc>
          <w:tcPr>
            <w:tcW w:w="877" w:type="dxa"/>
            <w:vMerge w:val="restart"/>
            <w:tcBorders>
              <w:top w:val="double" w:color="auto" w:sz="4" w:space="0"/>
              <w:left w:val="single" w:color="auto" w:sz="4" w:space="0"/>
              <w:bottom w:val="single" w:color="auto" w:sz="4" w:space="0"/>
              <w:right w:val="single" w:color="auto" w:sz="4" w:space="0"/>
            </w:tcBorders>
            <w:vAlign w:val="center"/>
          </w:tcPr>
          <w:p w14:paraId="271E6D21">
            <w:pPr>
              <w:spacing w:line="276" w:lineRule="auto"/>
              <w:jc w:val="center"/>
              <w:rPr>
                <w:rFonts w:ascii="宋体" w:hAnsi="宋体" w:cs="宋体"/>
                <w:szCs w:val="21"/>
              </w:rPr>
            </w:pPr>
            <w:r>
              <w:rPr>
                <w:rFonts w:hint="eastAsia" w:ascii="宋体" w:hAnsi="宋体" w:cs="宋体"/>
                <w:szCs w:val="21"/>
              </w:rPr>
              <w:t>姓名</w:t>
            </w:r>
          </w:p>
        </w:tc>
        <w:tc>
          <w:tcPr>
            <w:tcW w:w="877" w:type="dxa"/>
            <w:vMerge w:val="restart"/>
            <w:tcBorders>
              <w:top w:val="double" w:color="auto" w:sz="4" w:space="0"/>
              <w:left w:val="single" w:color="auto" w:sz="4" w:space="0"/>
              <w:bottom w:val="single" w:color="auto" w:sz="4" w:space="0"/>
              <w:right w:val="single" w:color="auto" w:sz="4" w:space="0"/>
            </w:tcBorders>
            <w:vAlign w:val="center"/>
          </w:tcPr>
          <w:p w14:paraId="554D474E">
            <w:pPr>
              <w:spacing w:line="276" w:lineRule="auto"/>
              <w:jc w:val="center"/>
              <w:rPr>
                <w:rFonts w:ascii="宋体" w:hAnsi="宋体" w:cs="宋体"/>
                <w:szCs w:val="21"/>
              </w:rPr>
            </w:pPr>
            <w:r>
              <w:rPr>
                <w:rFonts w:hint="eastAsia" w:ascii="宋体" w:hAnsi="宋体" w:cs="宋体"/>
                <w:szCs w:val="21"/>
              </w:rPr>
              <w:t>职称</w:t>
            </w:r>
          </w:p>
        </w:tc>
        <w:tc>
          <w:tcPr>
            <w:tcW w:w="877" w:type="dxa"/>
            <w:vMerge w:val="restart"/>
            <w:tcBorders>
              <w:top w:val="double" w:color="auto" w:sz="4" w:space="0"/>
              <w:left w:val="single" w:color="auto" w:sz="4" w:space="0"/>
              <w:bottom w:val="single" w:color="auto" w:sz="4" w:space="0"/>
              <w:right w:val="single" w:color="auto" w:sz="4" w:space="0"/>
            </w:tcBorders>
            <w:vAlign w:val="center"/>
          </w:tcPr>
          <w:p w14:paraId="10B55DA5">
            <w:pPr>
              <w:spacing w:line="276" w:lineRule="auto"/>
              <w:jc w:val="center"/>
              <w:rPr>
                <w:rFonts w:ascii="宋体" w:hAnsi="宋体" w:cs="宋体"/>
                <w:szCs w:val="21"/>
              </w:rPr>
            </w:pPr>
            <w:r>
              <w:rPr>
                <w:rFonts w:hint="eastAsia" w:ascii="宋体" w:hAnsi="宋体" w:cs="宋体"/>
                <w:szCs w:val="21"/>
              </w:rPr>
              <w:t>学历</w:t>
            </w:r>
          </w:p>
        </w:tc>
        <w:tc>
          <w:tcPr>
            <w:tcW w:w="4265" w:type="dxa"/>
            <w:gridSpan w:val="4"/>
            <w:tcBorders>
              <w:top w:val="double" w:color="auto" w:sz="4" w:space="0"/>
              <w:left w:val="single" w:color="auto" w:sz="4" w:space="0"/>
              <w:bottom w:val="single" w:color="auto" w:sz="4" w:space="0"/>
              <w:right w:val="double" w:color="auto" w:sz="4" w:space="0"/>
            </w:tcBorders>
            <w:vAlign w:val="center"/>
          </w:tcPr>
          <w:p w14:paraId="18D64269">
            <w:pPr>
              <w:spacing w:line="276" w:lineRule="auto"/>
              <w:jc w:val="center"/>
              <w:rPr>
                <w:rFonts w:ascii="宋体" w:hAnsi="宋体" w:cs="宋体"/>
                <w:szCs w:val="21"/>
              </w:rPr>
            </w:pPr>
            <w:r>
              <w:rPr>
                <w:rFonts w:hint="eastAsia" w:ascii="宋体" w:hAnsi="宋体" w:cs="宋体"/>
                <w:szCs w:val="21"/>
              </w:rPr>
              <w:t>上岗资格证明</w:t>
            </w:r>
          </w:p>
        </w:tc>
      </w:tr>
      <w:tr w14:paraId="37708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tcBorders>
              <w:top w:val="double" w:color="auto" w:sz="4" w:space="0"/>
              <w:left w:val="double" w:color="auto" w:sz="4" w:space="0"/>
              <w:bottom w:val="single" w:color="auto" w:sz="4" w:space="0"/>
              <w:right w:val="single" w:color="auto" w:sz="4" w:space="0"/>
            </w:tcBorders>
            <w:vAlign w:val="center"/>
          </w:tcPr>
          <w:p w14:paraId="19097465">
            <w:pPr>
              <w:widowControl/>
              <w:jc w:val="left"/>
              <w:rPr>
                <w:rFonts w:ascii="宋体" w:hAnsi="宋体" w:cs="宋体"/>
                <w:szCs w:val="21"/>
              </w:rPr>
            </w:pPr>
          </w:p>
        </w:tc>
        <w:tc>
          <w:tcPr>
            <w:tcW w:w="876" w:type="dxa"/>
            <w:vMerge w:val="continue"/>
            <w:tcBorders>
              <w:top w:val="double" w:color="auto" w:sz="4" w:space="0"/>
              <w:left w:val="single" w:color="auto" w:sz="4" w:space="0"/>
              <w:bottom w:val="single" w:color="auto" w:sz="4" w:space="0"/>
              <w:right w:val="single" w:color="auto" w:sz="4" w:space="0"/>
            </w:tcBorders>
            <w:vAlign w:val="center"/>
          </w:tcPr>
          <w:p w14:paraId="1AC30436">
            <w:pPr>
              <w:widowControl/>
              <w:jc w:val="left"/>
              <w:rPr>
                <w:rFonts w:ascii="宋体" w:hAnsi="宋体" w:cs="宋体"/>
                <w:szCs w:val="21"/>
              </w:rPr>
            </w:pPr>
          </w:p>
        </w:tc>
        <w:tc>
          <w:tcPr>
            <w:tcW w:w="877" w:type="dxa"/>
            <w:vMerge w:val="continue"/>
            <w:tcBorders>
              <w:top w:val="double" w:color="auto" w:sz="4" w:space="0"/>
              <w:left w:val="single" w:color="auto" w:sz="4" w:space="0"/>
              <w:bottom w:val="single" w:color="auto" w:sz="4" w:space="0"/>
              <w:right w:val="single" w:color="auto" w:sz="4" w:space="0"/>
            </w:tcBorders>
            <w:vAlign w:val="center"/>
          </w:tcPr>
          <w:p w14:paraId="468543F7">
            <w:pPr>
              <w:widowControl/>
              <w:jc w:val="left"/>
              <w:rPr>
                <w:rFonts w:ascii="宋体" w:hAnsi="宋体" w:cs="宋体"/>
                <w:szCs w:val="21"/>
              </w:rPr>
            </w:pPr>
          </w:p>
        </w:tc>
        <w:tc>
          <w:tcPr>
            <w:tcW w:w="877" w:type="dxa"/>
            <w:vMerge w:val="continue"/>
            <w:tcBorders>
              <w:top w:val="double" w:color="auto" w:sz="4" w:space="0"/>
              <w:left w:val="single" w:color="auto" w:sz="4" w:space="0"/>
              <w:bottom w:val="single" w:color="auto" w:sz="4" w:space="0"/>
              <w:right w:val="single" w:color="auto" w:sz="4" w:space="0"/>
            </w:tcBorders>
            <w:vAlign w:val="center"/>
          </w:tcPr>
          <w:p w14:paraId="018D24FD">
            <w:pPr>
              <w:widowControl/>
              <w:jc w:val="left"/>
              <w:rPr>
                <w:rFonts w:ascii="宋体" w:hAnsi="宋体" w:cs="宋体"/>
                <w:szCs w:val="21"/>
              </w:rPr>
            </w:pPr>
          </w:p>
        </w:tc>
        <w:tc>
          <w:tcPr>
            <w:tcW w:w="877" w:type="dxa"/>
            <w:vMerge w:val="continue"/>
            <w:tcBorders>
              <w:top w:val="double" w:color="auto" w:sz="4" w:space="0"/>
              <w:left w:val="single" w:color="auto" w:sz="4" w:space="0"/>
              <w:bottom w:val="single" w:color="auto" w:sz="4" w:space="0"/>
              <w:right w:val="single" w:color="auto" w:sz="4" w:space="0"/>
            </w:tcBorders>
            <w:vAlign w:val="center"/>
          </w:tcPr>
          <w:p w14:paraId="1ED0B19D">
            <w:pPr>
              <w:widowControl/>
              <w:jc w:val="left"/>
              <w:rPr>
                <w:rFonts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14:paraId="473A9440">
            <w:pPr>
              <w:spacing w:line="276" w:lineRule="auto"/>
              <w:jc w:val="center"/>
              <w:rPr>
                <w:rFonts w:ascii="宋体" w:hAnsi="宋体" w:cs="宋体"/>
                <w:szCs w:val="21"/>
              </w:rPr>
            </w:pPr>
            <w:r>
              <w:rPr>
                <w:rFonts w:hint="eastAsia" w:ascii="宋体" w:hAnsi="宋体" w:cs="宋体"/>
                <w:szCs w:val="21"/>
              </w:rPr>
              <w:t>证书名称</w:t>
            </w:r>
          </w:p>
        </w:tc>
        <w:tc>
          <w:tcPr>
            <w:tcW w:w="933" w:type="dxa"/>
            <w:tcBorders>
              <w:top w:val="single" w:color="auto" w:sz="4" w:space="0"/>
              <w:left w:val="single" w:color="auto" w:sz="4" w:space="0"/>
              <w:bottom w:val="single" w:color="auto" w:sz="4" w:space="0"/>
              <w:right w:val="single" w:color="auto" w:sz="4" w:space="0"/>
            </w:tcBorders>
            <w:vAlign w:val="center"/>
          </w:tcPr>
          <w:p w14:paraId="2D5633C7">
            <w:pPr>
              <w:spacing w:line="276" w:lineRule="auto"/>
              <w:jc w:val="center"/>
              <w:rPr>
                <w:rFonts w:ascii="宋体" w:hAnsi="宋体" w:cs="宋体"/>
                <w:szCs w:val="21"/>
              </w:rPr>
            </w:pPr>
            <w:r>
              <w:rPr>
                <w:rFonts w:hint="eastAsia" w:ascii="宋体" w:hAnsi="宋体" w:cs="宋体"/>
                <w:szCs w:val="21"/>
              </w:rPr>
              <w:t>级别</w:t>
            </w:r>
          </w:p>
        </w:tc>
        <w:tc>
          <w:tcPr>
            <w:tcW w:w="1101" w:type="dxa"/>
            <w:tcBorders>
              <w:top w:val="single" w:color="auto" w:sz="4" w:space="0"/>
              <w:left w:val="single" w:color="auto" w:sz="4" w:space="0"/>
              <w:bottom w:val="single" w:color="auto" w:sz="4" w:space="0"/>
              <w:right w:val="single" w:color="auto" w:sz="4" w:space="0"/>
            </w:tcBorders>
            <w:vAlign w:val="center"/>
          </w:tcPr>
          <w:p w14:paraId="5F0D3740">
            <w:pPr>
              <w:spacing w:line="276" w:lineRule="auto"/>
              <w:jc w:val="center"/>
              <w:rPr>
                <w:rFonts w:ascii="宋体" w:hAnsi="宋体" w:cs="宋体"/>
                <w:szCs w:val="21"/>
              </w:rPr>
            </w:pPr>
            <w:r>
              <w:rPr>
                <w:rFonts w:hint="eastAsia" w:ascii="宋体" w:hAnsi="宋体" w:cs="宋体"/>
                <w:szCs w:val="21"/>
              </w:rPr>
              <w:t>证号</w:t>
            </w:r>
          </w:p>
        </w:tc>
        <w:tc>
          <w:tcPr>
            <w:tcW w:w="1080" w:type="dxa"/>
            <w:tcBorders>
              <w:top w:val="single" w:color="auto" w:sz="4" w:space="0"/>
              <w:left w:val="single" w:color="auto" w:sz="4" w:space="0"/>
              <w:bottom w:val="single" w:color="auto" w:sz="4" w:space="0"/>
              <w:right w:val="double" w:color="auto" w:sz="4" w:space="0"/>
            </w:tcBorders>
            <w:vAlign w:val="center"/>
          </w:tcPr>
          <w:p w14:paraId="190D89EA">
            <w:pPr>
              <w:spacing w:line="276" w:lineRule="auto"/>
              <w:jc w:val="center"/>
              <w:rPr>
                <w:rFonts w:ascii="宋体" w:hAnsi="宋体" w:cs="宋体"/>
                <w:szCs w:val="21"/>
              </w:rPr>
            </w:pPr>
            <w:r>
              <w:rPr>
                <w:rFonts w:hint="eastAsia" w:ascii="宋体" w:hAnsi="宋体" w:cs="宋体"/>
                <w:szCs w:val="21"/>
              </w:rPr>
              <w:t>专业</w:t>
            </w:r>
          </w:p>
        </w:tc>
      </w:tr>
      <w:tr w14:paraId="0E57E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tcBorders>
              <w:top w:val="single" w:color="auto" w:sz="4" w:space="0"/>
              <w:left w:val="double" w:color="auto" w:sz="4" w:space="0"/>
              <w:bottom w:val="single" w:color="auto" w:sz="4" w:space="0"/>
              <w:right w:val="single" w:color="auto" w:sz="4" w:space="0"/>
            </w:tcBorders>
            <w:vAlign w:val="center"/>
          </w:tcPr>
          <w:p w14:paraId="73CD066A">
            <w:pPr>
              <w:spacing w:line="276" w:lineRule="auto"/>
              <w:jc w:val="center"/>
              <w:rPr>
                <w:rFonts w:ascii="宋体" w:hAnsi="宋体" w:cs="宋体"/>
                <w:szCs w:val="21"/>
              </w:rPr>
            </w:pPr>
            <w:r>
              <w:rPr>
                <w:rFonts w:hint="eastAsia" w:ascii="宋体" w:hAnsi="宋体" w:cs="宋体"/>
                <w:szCs w:val="21"/>
              </w:rPr>
              <w:t>拟安排的项目团队成员</w:t>
            </w:r>
          </w:p>
        </w:tc>
        <w:tc>
          <w:tcPr>
            <w:tcW w:w="876" w:type="dxa"/>
            <w:tcBorders>
              <w:top w:val="single" w:color="auto" w:sz="4" w:space="0"/>
              <w:left w:val="single" w:color="auto" w:sz="4" w:space="0"/>
              <w:bottom w:val="single" w:color="auto" w:sz="4" w:space="0"/>
              <w:right w:val="single" w:color="auto" w:sz="4" w:space="0"/>
            </w:tcBorders>
            <w:vAlign w:val="center"/>
          </w:tcPr>
          <w:p w14:paraId="1B7C00C1">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7F35A37B">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47CDAECD">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38B7D7E6">
            <w:pPr>
              <w:spacing w:line="276" w:lineRule="auto"/>
              <w:jc w:val="center"/>
              <w:rPr>
                <w:rFonts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14:paraId="7FE25BD5">
            <w:pPr>
              <w:spacing w:line="276" w:lineRule="auto"/>
              <w:jc w:val="center"/>
              <w:rPr>
                <w:rFonts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29E9ECF2">
            <w:pPr>
              <w:spacing w:line="276" w:lineRule="auto"/>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14:paraId="0E33CF6B">
            <w:pPr>
              <w:spacing w:line="276" w:lineRule="auto"/>
              <w:jc w:val="center"/>
              <w:rPr>
                <w:rFonts w:ascii="宋体" w:hAnsi="宋体" w:cs="宋体"/>
                <w:szCs w:val="21"/>
              </w:rPr>
            </w:pPr>
          </w:p>
        </w:tc>
        <w:tc>
          <w:tcPr>
            <w:tcW w:w="1080" w:type="dxa"/>
            <w:tcBorders>
              <w:top w:val="single" w:color="auto" w:sz="4" w:space="0"/>
              <w:left w:val="single" w:color="auto" w:sz="4" w:space="0"/>
              <w:bottom w:val="single" w:color="auto" w:sz="4" w:space="0"/>
              <w:right w:val="double" w:color="auto" w:sz="4" w:space="0"/>
            </w:tcBorders>
            <w:vAlign w:val="center"/>
          </w:tcPr>
          <w:p w14:paraId="74A8E4A1">
            <w:pPr>
              <w:spacing w:line="276" w:lineRule="auto"/>
              <w:jc w:val="center"/>
              <w:rPr>
                <w:rFonts w:ascii="宋体" w:hAnsi="宋体" w:cs="宋体"/>
                <w:szCs w:val="21"/>
              </w:rPr>
            </w:pPr>
          </w:p>
        </w:tc>
      </w:tr>
      <w:tr w14:paraId="72CDC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tcBorders>
              <w:top w:val="single" w:color="auto" w:sz="4" w:space="0"/>
              <w:left w:val="double" w:color="auto" w:sz="4" w:space="0"/>
              <w:bottom w:val="single" w:color="auto" w:sz="4" w:space="0"/>
              <w:right w:val="single" w:color="auto" w:sz="4" w:space="0"/>
            </w:tcBorders>
            <w:vAlign w:val="center"/>
          </w:tcPr>
          <w:p w14:paraId="5E3F0876">
            <w:pPr>
              <w:widowControl/>
              <w:jc w:val="left"/>
              <w:rPr>
                <w:rFonts w:ascii="宋体" w:hAns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33348337">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009AA17D">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4731D6FB">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5E113938">
            <w:pPr>
              <w:spacing w:line="276" w:lineRule="auto"/>
              <w:jc w:val="center"/>
              <w:rPr>
                <w:rFonts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14:paraId="55CCFD13">
            <w:pPr>
              <w:spacing w:line="276" w:lineRule="auto"/>
              <w:jc w:val="center"/>
              <w:rPr>
                <w:rFonts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341592AD">
            <w:pPr>
              <w:spacing w:line="276" w:lineRule="auto"/>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14:paraId="3AA8C958">
            <w:pPr>
              <w:spacing w:line="276" w:lineRule="auto"/>
              <w:jc w:val="center"/>
              <w:rPr>
                <w:rFonts w:ascii="宋体" w:hAnsi="宋体" w:cs="宋体"/>
                <w:szCs w:val="21"/>
              </w:rPr>
            </w:pPr>
          </w:p>
        </w:tc>
        <w:tc>
          <w:tcPr>
            <w:tcW w:w="1080" w:type="dxa"/>
            <w:tcBorders>
              <w:top w:val="single" w:color="auto" w:sz="4" w:space="0"/>
              <w:left w:val="single" w:color="auto" w:sz="4" w:space="0"/>
              <w:bottom w:val="single" w:color="auto" w:sz="4" w:space="0"/>
              <w:right w:val="double" w:color="auto" w:sz="4" w:space="0"/>
            </w:tcBorders>
            <w:vAlign w:val="center"/>
          </w:tcPr>
          <w:p w14:paraId="78410E48">
            <w:pPr>
              <w:spacing w:line="276" w:lineRule="auto"/>
              <w:jc w:val="center"/>
              <w:rPr>
                <w:rFonts w:ascii="宋体" w:hAnsi="宋体" w:cs="宋体"/>
                <w:szCs w:val="21"/>
              </w:rPr>
            </w:pPr>
          </w:p>
        </w:tc>
      </w:tr>
      <w:tr w14:paraId="1C261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tcBorders>
              <w:top w:val="single" w:color="auto" w:sz="4" w:space="0"/>
              <w:left w:val="double" w:color="auto" w:sz="4" w:space="0"/>
              <w:bottom w:val="single" w:color="auto" w:sz="4" w:space="0"/>
              <w:right w:val="single" w:color="auto" w:sz="4" w:space="0"/>
            </w:tcBorders>
            <w:vAlign w:val="center"/>
          </w:tcPr>
          <w:p w14:paraId="5C5C1B3D">
            <w:pPr>
              <w:widowControl/>
              <w:jc w:val="left"/>
              <w:rPr>
                <w:rFonts w:ascii="宋体" w:hAns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548DEC2B">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63AA14DF">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0EEF9465">
            <w:pPr>
              <w:spacing w:line="276" w:lineRule="auto"/>
              <w:jc w:val="center"/>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vAlign w:val="center"/>
          </w:tcPr>
          <w:p w14:paraId="181C90F4">
            <w:pPr>
              <w:spacing w:line="276" w:lineRule="auto"/>
              <w:jc w:val="center"/>
              <w:rPr>
                <w:rFonts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14:paraId="1AF1A534">
            <w:pPr>
              <w:spacing w:line="276" w:lineRule="auto"/>
              <w:jc w:val="center"/>
              <w:rPr>
                <w:rFonts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435B7716">
            <w:pPr>
              <w:spacing w:line="276" w:lineRule="auto"/>
              <w:jc w:val="center"/>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14:paraId="26F44D80">
            <w:pPr>
              <w:spacing w:line="276" w:lineRule="auto"/>
              <w:jc w:val="center"/>
              <w:rPr>
                <w:rFonts w:ascii="宋体" w:hAnsi="宋体" w:cs="宋体"/>
                <w:szCs w:val="21"/>
              </w:rPr>
            </w:pPr>
          </w:p>
        </w:tc>
        <w:tc>
          <w:tcPr>
            <w:tcW w:w="1080" w:type="dxa"/>
            <w:tcBorders>
              <w:top w:val="single" w:color="auto" w:sz="4" w:space="0"/>
              <w:left w:val="single" w:color="auto" w:sz="4" w:space="0"/>
              <w:bottom w:val="single" w:color="auto" w:sz="4" w:space="0"/>
              <w:right w:val="double" w:color="auto" w:sz="4" w:space="0"/>
            </w:tcBorders>
            <w:vAlign w:val="center"/>
          </w:tcPr>
          <w:p w14:paraId="054DFE6C">
            <w:pPr>
              <w:spacing w:line="276" w:lineRule="auto"/>
              <w:jc w:val="center"/>
              <w:rPr>
                <w:rFonts w:ascii="宋体" w:hAnsi="宋体" w:cs="宋体"/>
                <w:szCs w:val="21"/>
              </w:rPr>
            </w:pPr>
          </w:p>
        </w:tc>
      </w:tr>
      <w:tr w14:paraId="6B919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tcBorders>
              <w:top w:val="single" w:color="auto" w:sz="4" w:space="0"/>
              <w:left w:val="double" w:color="auto" w:sz="4" w:space="0"/>
              <w:bottom w:val="double" w:color="auto" w:sz="4" w:space="0"/>
              <w:right w:val="single" w:color="auto" w:sz="4" w:space="0"/>
            </w:tcBorders>
            <w:vAlign w:val="center"/>
          </w:tcPr>
          <w:p w14:paraId="7D3FB371">
            <w:pPr>
              <w:spacing w:line="276" w:lineRule="auto"/>
              <w:jc w:val="center"/>
              <w:rPr>
                <w:rFonts w:ascii="宋体" w:hAnsi="宋体" w:cs="宋体"/>
                <w:szCs w:val="21"/>
              </w:rPr>
            </w:pPr>
            <w:r>
              <w:rPr>
                <w:rFonts w:hint="eastAsia" w:ascii="宋体" w:hAnsi="宋体" w:cs="宋体"/>
                <w:szCs w:val="21"/>
              </w:rPr>
              <w:t>其他</w:t>
            </w:r>
          </w:p>
        </w:tc>
        <w:tc>
          <w:tcPr>
            <w:tcW w:w="876" w:type="dxa"/>
            <w:tcBorders>
              <w:top w:val="single" w:color="auto" w:sz="4" w:space="0"/>
              <w:left w:val="single" w:color="auto" w:sz="4" w:space="0"/>
              <w:bottom w:val="single" w:color="auto" w:sz="4" w:space="0"/>
              <w:right w:val="single" w:color="auto" w:sz="4" w:space="0"/>
            </w:tcBorders>
          </w:tcPr>
          <w:p w14:paraId="0FD40265">
            <w:pPr>
              <w:spacing w:line="276" w:lineRule="auto"/>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536C9869">
            <w:pPr>
              <w:spacing w:line="276" w:lineRule="auto"/>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081FC512">
            <w:pPr>
              <w:spacing w:line="276" w:lineRule="auto"/>
              <w:rPr>
                <w:rFonts w:ascii="宋体" w:hAnsi="宋体" w:cs="宋体"/>
                <w:szCs w:val="21"/>
              </w:rPr>
            </w:pPr>
          </w:p>
        </w:tc>
        <w:tc>
          <w:tcPr>
            <w:tcW w:w="877" w:type="dxa"/>
            <w:tcBorders>
              <w:top w:val="single" w:color="auto" w:sz="4" w:space="0"/>
              <w:left w:val="single" w:color="auto" w:sz="4" w:space="0"/>
              <w:bottom w:val="single" w:color="auto" w:sz="4" w:space="0"/>
              <w:right w:val="single" w:color="auto" w:sz="4" w:space="0"/>
            </w:tcBorders>
          </w:tcPr>
          <w:p w14:paraId="45D7FD9C">
            <w:pPr>
              <w:spacing w:line="276" w:lineRule="auto"/>
              <w:rPr>
                <w:rFonts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tcPr>
          <w:p w14:paraId="0A291ABF">
            <w:pPr>
              <w:spacing w:line="276" w:lineRule="auto"/>
              <w:rPr>
                <w:rFonts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tcPr>
          <w:p w14:paraId="65F3D964">
            <w:pPr>
              <w:spacing w:line="276" w:lineRule="auto"/>
              <w:rPr>
                <w:rFonts w:ascii="宋体" w:hAnsi="宋体" w:cs="宋体"/>
                <w:szCs w:val="21"/>
              </w:rPr>
            </w:pPr>
          </w:p>
        </w:tc>
        <w:tc>
          <w:tcPr>
            <w:tcW w:w="1101" w:type="dxa"/>
            <w:tcBorders>
              <w:top w:val="single" w:color="auto" w:sz="4" w:space="0"/>
              <w:left w:val="single" w:color="auto" w:sz="4" w:space="0"/>
              <w:bottom w:val="single" w:color="auto" w:sz="4" w:space="0"/>
              <w:right w:val="single" w:color="auto" w:sz="4" w:space="0"/>
            </w:tcBorders>
          </w:tcPr>
          <w:p w14:paraId="56E7C085">
            <w:pPr>
              <w:spacing w:line="276" w:lineRule="auto"/>
              <w:rPr>
                <w:rFonts w:ascii="宋体" w:hAnsi="宋体" w:cs="宋体"/>
                <w:szCs w:val="21"/>
              </w:rPr>
            </w:pPr>
          </w:p>
        </w:tc>
        <w:tc>
          <w:tcPr>
            <w:tcW w:w="1080" w:type="dxa"/>
            <w:tcBorders>
              <w:top w:val="single" w:color="auto" w:sz="4" w:space="0"/>
              <w:left w:val="single" w:color="auto" w:sz="4" w:space="0"/>
              <w:bottom w:val="single" w:color="auto" w:sz="4" w:space="0"/>
              <w:right w:val="double" w:color="auto" w:sz="4" w:space="0"/>
            </w:tcBorders>
          </w:tcPr>
          <w:p w14:paraId="13D19D70">
            <w:pPr>
              <w:spacing w:line="276" w:lineRule="auto"/>
              <w:rPr>
                <w:rFonts w:ascii="宋体" w:hAnsi="宋体" w:cs="宋体"/>
                <w:szCs w:val="21"/>
              </w:rPr>
            </w:pPr>
          </w:p>
        </w:tc>
      </w:tr>
      <w:tr w14:paraId="0B561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Borders>
              <w:top w:val="single" w:color="auto" w:sz="4" w:space="0"/>
              <w:left w:val="double" w:color="auto" w:sz="4" w:space="0"/>
              <w:bottom w:val="double" w:color="auto" w:sz="4" w:space="0"/>
              <w:right w:val="single" w:color="auto" w:sz="4" w:space="0"/>
            </w:tcBorders>
            <w:vAlign w:val="center"/>
          </w:tcPr>
          <w:p w14:paraId="4AD3753A">
            <w:pPr>
              <w:widowControl/>
              <w:jc w:val="left"/>
              <w:rPr>
                <w:rFonts w:ascii="宋体" w:hAnsi="宋体" w:cs="宋体"/>
                <w:szCs w:val="21"/>
              </w:rPr>
            </w:pPr>
          </w:p>
        </w:tc>
        <w:tc>
          <w:tcPr>
            <w:tcW w:w="876" w:type="dxa"/>
            <w:tcBorders>
              <w:top w:val="single" w:color="auto" w:sz="4" w:space="0"/>
              <w:left w:val="single" w:color="auto" w:sz="4" w:space="0"/>
              <w:bottom w:val="double" w:color="auto" w:sz="4" w:space="0"/>
              <w:right w:val="single" w:color="auto" w:sz="4" w:space="0"/>
            </w:tcBorders>
          </w:tcPr>
          <w:p w14:paraId="2D451E0B">
            <w:pPr>
              <w:spacing w:line="276" w:lineRule="auto"/>
              <w:rPr>
                <w:rFonts w:ascii="宋体" w:hAnsi="宋体" w:cs="宋体"/>
                <w:szCs w:val="21"/>
              </w:rPr>
            </w:pPr>
          </w:p>
        </w:tc>
        <w:tc>
          <w:tcPr>
            <w:tcW w:w="877" w:type="dxa"/>
            <w:tcBorders>
              <w:top w:val="single" w:color="auto" w:sz="4" w:space="0"/>
              <w:left w:val="single" w:color="auto" w:sz="4" w:space="0"/>
              <w:bottom w:val="double" w:color="auto" w:sz="4" w:space="0"/>
              <w:right w:val="single" w:color="auto" w:sz="4" w:space="0"/>
            </w:tcBorders>
          </w:tcPr>
          <w:p w14:paraId="4F9E5C05">
            <w:pPr>
              <w:spacing w:line="276" w:lineRule="auto"/>
              <w:rPr>
                <w:rFonts w:ascii="宋体" w:hAnsi="宋体" w:cs="宋体"/>
                <w:szCs w:val="21"/>
              </w:rPr>
            </w:pPr>
          </w:p>
        </w:tc>
        <w:tc>
          <w:tcPr>
            <w:tcW w:w="877" w:type="dxa"/>
            <w:tcBorders>
              <w:top w:val="single" w:color="auto" w:sz="4" w:space="0"/>
              <w:left w:val="single" w:color="auto" w:sz="4" w:space="0"/>
              <w:bottom w:val="double" w:color="auto" w:sz="4" w:space="0"/>
              <w:right w:val="single" w:color="auto" w:sz="4" w:space="0"/>
            </w:tcBorders>
          </w:tcPr>
          <w:p w14:paraId="093D055C">
            <w:pPr>
              <w:spacing w:line="276" w:lineRule="auto"/>
              <w:rPr>
                <w:rFonts w:ascii="宋体" w:hAnsi="宋体" w:cs="宋体"/>
                <w:szCs w:val="21"/>
              </w:rPr>
            </w:pPr>
          </w:p>
        </w:tc>
        <w:tc>
          <w:tcPr>
            <w:tcW w:w="877" w:type="dxa"/>
            <w:tcBorders>
              <w:top w:val="single" w:color="auto" w:sz="4" w:space="0"/>
              <w:left w:val="single" w:color="auto" w:sz="4" w:space="0"/>
              <w:bottom w:val="double" w:color="auto" w:sz="4" w:space="0"/>
              <w:right w:val="single" w:color="auto" w:sz="4" w:space="0"/>
            </w:tcBorders>
          </w:tcPr>
          <w:p w14:paraId="05035039">
            <w:pPr>
              <w:spacing w:line="276" w:lineRule="auto"/>
              <w:rPr>
                <w:rFonts w:ascii="宋体" w:hAnsi="宋体" w:cs="宋体"/>
                <w:szCs w:val="21"/>
              </w:rPr>
            </w:pPr>
          </w:p>
        </w:tc>
        <w:tc>
          <w:tcPr>
            <w:tcW w:w="1151" w:type="dxa"/>
            <w:tcBorders>
              <w:top w:val="single" w:color="auto" w:sz="4" w:space="0"/>
              <w:left w:val="single" w:color="auto" w:sz="4" w:space="0"/>
              <w:bottom w:val="double" w:color="auto" w:sz="4" w:space="0"/>
              <w:right w:val="single" w:color="auto" w:sz="4" w:space="0"/>
            </w:tcBorders>
          </w:tcPr>
          <w:p w14:paraId="6B295E37">
            <w:pPr>
              <w:spacing w:line="276" w:lineRule="auto"/>
              <w:rPr>
                <w:rFonts w:ascii="宋体" w:hAnsi="宋体" w:cs="宋体"/>
                <w:szCs w:val="21"/>
              </w:rPr>
            </w:pPr>
          </w:p>
        </w:tc>
        <w:tc>
          <w:tcPr>
            <w:tcW w:w="933" w:type="dxa"/>
            <w:tcBorders>
              <w:top w:val="single" w:color="auto" w:sz="4" w:space="0"/>
              <w:left w:val="single" w:color="auto" w:sz="4" w:space="0"/>
              <w:bottom w:val="double" w:color="auto" w:sz="4" w:space="0"/>
              <w:right w:val="single" w:color="auto" w:sz="4" w:space="0"/>
            </w:tcBorders>
          </w:tcPr>
          <w:p w14:paraId="2D105712">
            <w:pPr>
              <w:spacing w:line="276" w:lineRule="auto"/>
              <w:rPr>
                <w:rFonts w:ascii="宋体" w:hAnsi="宋体" w:cs="宋体"/>
                <w:szCs w:val="21"/>
              </w:rPr>
            </w:pPr>
          </w:p>
        </w:tc>
        <w:tc>
          <w:tcPr>
            <w:tcW w:w="1101" w:type="dxa"/>
            <w:tcBorders>
              <w:top w:val="single" w:color="auto" w:sz="4" w:space="0"/>
              <w:left w:val="single" w:color="auto" w:sz="4" w:space="0"/>
              <w:bottom w:val="double" w:color="auto" w:sz="4" w:space="0"/>
              <w:right w:val="single" w:color="auto" w:sz="4" w:space="0"/>
            </w:tcBorders>
          </w:tcPr>
          <w:p w14:paraId="66E92760">
            <w:pPr>
              <w:spacing w:line="276" w:lineRule="auto"/>
              <w:rPr>
                <w:rFonts w:ascii="宋体" w:hAnsi="宋体" w:cs="宋体"/>
                <w:szCs w:val="21"/>
              </w:rPr>
            </w:pPr>
          </w:p>
        </w:tc>
        <w:tc>
          <w:tcPr>
            <w:tcW w:w="1080" w:type="dxa"/>
            <w:tcBorders>
              <w:top w:val="single" w:color="auto" w:sz="4" w:space="0"/>
              <w:left w:val="single" w:color="auto" w:sz="4" w:space="0"/>
              <w:bottom w:val="double" w:color="auto" w:sz="4" w:space="0"/>
              <w:right w:val="double" w:color="auto" w:sz="4" w:space="0"/>
            </w:tcBorders>
          </w:tcPr>
          <w:p w14:paraId="199885EA">
            <w:pPr>
              <w:spacing w:line="276" w:lineRule="auto"/>
              <w:rPr>
                <w:rFonts w:ascii="宋体" w:hAnsi="宋体" w:cs="宋体"/>
                <w:szCs w:val="21"/>
              </w:rPr>
            </w:pPr>
          </w:p>
        </w:tc>
      </w:tr>
    </w:tbl>
    <w:p w14:paraId="0071C880">
      <w:pPr>
        <w:pStyle w:val="2"/>
        <w:spacing w:line="276" w:lineRule="auto"/>
        <w:rPr>
          <w:rFonts w:ascii="Times New Roman" w:hAnsi="Times New Roman" w:eastAsia="宋体"/>
          <w:sz w:val="21"/>
          <w:szCs w:val="21"/>
        </w:rPr>
      </w:pPr>
      <w:r>
        <w:rPr>
          <w:rFonts w:hint="eastAsia" w:ascii="Times New Roman" w:hAnsi="Times New Roman" w:eastAsia="宋体"/>
          <w:sz w:val="21"/>
          <w:szCs w:val="21"/>
        </w:rPr>
        <w:t>（特别提示：以上表格仅供参考。投标人须按本谈判文件评标信息中“拟安排的项目主要团队成员（主要技术人员）情况（项目负责人除外）情况”这一评分因素要求，提供证明资料）</w:t>
      </w:r>
    </w:p>
    <w:p w14:paraId="3523061C">
      <w:pPr>
        <w:spacing w:before="120" w:after="120"/>
        <w:outlineLvl w:val="2"/>
        <w:rPr>
          <w:rFonts w:ascii="宋体" w:hAnsi="宋体"/>
          <w:kern w:val="0"/>
          <w:szCs w:val="21"/>
        </w:rPr>
      </w:pPr>
    </w:p>
    <w:p w14:paraId="4EA36702">
      <w:pPr>
        <w:pStyle w:val="5"/>
        <w:jc w:val="center"/>
        <w:rPr>
          <w:rFonts w:ascii="黑体" w:eastAsia="黑体"/>
          <w:b w:val="0"/>
          <w:kern w:val="2"/>
          <w:sz w:val="24"/>
          <w:szCs w:val="32"/>
        </w:rPr>
      </w:pPr>
      <w:r>
        <w:rPr>
          <w:rFonts w:hint="eastAsia" w:ascii="黑体" w:eastAsia="黑体"/>
          <w:b w:val="0"/>
          <w:bCs/>
          <w:sz w:val="24"/>
        </w:rPr>
        <w:t>十、拟投入的服务资源（车辆、场地、工具、机器等）情况</w:t>
      </w:r>
    </w:p>
    <w:p w14:paraId="6DB39D2D">
      <w:pPr>
        <w:pStyle w:val="2"/>
        <w:spacing w:line="276" w:lineRule="auto"/>
        <w:rPr>
          <w:rFonts w:ascii="Times New Roman" w:hAnsi="Times New Roman" w:eastAsia="宋体"/>
          <w:sz w:val="21"/>
          <w:szCs w:val="21"/>
        </w:rPr>
      </w:pPr>
      <w:r>
        <w:rPr>
          <w:rFonts w:hint="eastAsia" w:ascii="Times New Roman" w:hAnsi="Times New Roman" w:eastAsia="宋体"/>
          <w:sz w:val="21"/>
          <w:szCs w:val="21"/>
        </w:rPr>
        <w:t>（特别提示：投标人须按本谈判文件评标信息中“拟投入的服务资源（车辆、场地、工具、机器等）情况”这一评分因素要求，提供证明资料）</w:t>
      </w:r>
    </w:p>
    <w:p w14:paraId="0ACDBE16">
      <w:pPr>
        <w:widowControl/>
        <w:jc w:val="left"/>
        <w:rPr>
          <w:rFonts w:ascii="黑体" w:eastAsia="黑体"/>
          <w:bCs/>
          <w:kern w:val="0"/>
          <w:sz w:val="24"/>
          <w:szCs w:val="20"/>
        </w:rPr>
      </w:pPr>
    </w:p>
    <w:p w14:paraId="45DC6CDC">
      <w:pPr>
        <w:tabs>
          <w:tab w:val="left" w:pos="360"/>
        </w:tabs>
        <w:spacing w:before="120" w:after="120"/>
        <w:ind w:left="480"/>
        <w:jc w:val="center"/>
        <w:outlineLvl w:val="2"/>
        <w:rPr>
          <w:rFonts w:ascii="黑体" w:eastAsia="黑体"/>
          <w:bCs/>
          <w:kern w:val="0"/>
          <w:sz w:val="24"/>
          <w:szCs w:val="20"/>
        </w:rPr>
      </w:pPr>
      <w:r>
        <w:rPr>
          <w:rFonts w:hint="eastAsia" w:ascii="黑体" w:eastAsia="黑体"/>
          <w:bCs/>
          <w:kern w:val="0"/>
          <w:sz w:val="24"/>
          <w:szCs w:val="20"/>
        </w:rPr>
        <w:t>十一、《业务用车维修响应承诺函》（格式自定）</w:t>
      </w:r>
    </w:p>
    <w:p w14:paraId="2B554E0C">
      <w:pPr>
        <w:pStyle w:val="2"/>
        <w:widowControl/>
        <w:jc w:val="left"/>
      </w:pPr>
    </w:p>
    <w:p w14:paraId="62B34817">
      <w:pPr>
        <w:tabs>
          <w:tab w:val="left" w:pos="360"/>
        </w:tabs>
        <w:spacing w:before="120" w:after="120"/>
        <w:ind w:left="480"/>
        <w:jc w:val="center"/>
        <w:outlineLvl w:val="2"/>
        <w:rPr>
          <w:rFonts w:ascii="黑体" w:eastAsia="黑体"/>
          <w:bCs/>
          <w:kern w:val="0"/>
          <w:sz w:val="24"/>
          <w:szCs w:val="20"/>
        </w:rPr>
      </w:pPr>
      <w:r>
        <w:rPr>
          <w:rFonts w:hint="eastAsia" w:ascii="黑体" w:eastAsia="黑体"/>
          <w:bCs/>
          <w:kern w:val="0"/>
          <w:sz w:val="24"/>
          <w:szCs w:val="20"/>
        </w:rPr>
        <w:t>十二、投标人认为需要加以说明的其他内容（格式自定）</w:t>
      </w:r>
    </w:p>
    <w:p w14:paraId="4C7C6D80">
      <w:pPr>
        <w:pStyle w:val="27"/>
        <w:autoSpaceDE w:val="0"/>
        <w:autoSpaceDN w:val="0"/>
        <w:spacing w:line="400" w:lineRule="exact"/>
        <w:ind w:firstLine="406" w:firstLineChars="200"/>
        <w:jc w:val="center"/>
        <w:rPr>
          <w:rFonts w:ascii="宋体" w:hAnsi="宋体"/>
          <w:b/>
          <w:bCs/>
          <w:spacing w:val="-4"/>
          <w:kern w:val="0"/>
          <w:sz w:val="21"/>
          <w:szCs w:val="21"/>
          <w:highlight w:val="yellow"/>
        </w:rPr>
      </w:pPr>
      <w:r>
        <w:rPr>
          <w:rFonts w:hint="eastAsia" w:ascii="宋体" w:hAnsi="宋体"/>
          <w:b/>
          <w:spacing w:val="-4"/>
          <w:kern w:val="0"/>
          <w:sz w:val="21"/>
          <w:szCs w:val="21"/>
        </w:rPr>
        <w:t>（一）政府采购违法行为风险知悉确认书</w:t>
      </w:r>
    </w:p>
    <w:p w14:paraId="509A6701">
      <w:pPr>
        <w:ind w:firstLine="420" w:firstLineChars="200"/>
        <w:rPr>
          <w:szCs w:val="21"/>
        </w:rPr>
      </w:pPr>
      <w:r>
        <w:rPr>
          <w:rFonts w:hint="eastAsia" w:ascii="宋体" w:hAnsi="宋体"/>
        </w:rPr>
        <w:t>本公司在应答前已充分知悉以下情形为参与政府采购活动时的重大风险事项，并承诺已对下述风险提示事项重点排查，做到严谨、诚信、依法依规参与政府采购活动。</w:t>
      </w:r>
    </w:p>
    <w:p w14:paraId="42F8D2C1">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14:paraId="1EE1FCFA">
      <w:pPr>
        <w:ind w:firstLine="420" w:firstLineChars="200"/>
      </w:pPr>
      <w:r>
        <w:rPr>
          <w:rFonts w:hint="eastAsia" w:ascii="宋体" w:hAnsi="宋体"/>
        </w:rPr>
        <w:t>（一）通过转让或者租借等方式从其他单位获取资格或者资质证书投标（应答）的。</w:t>
      </w:r>
    </w:p>
    <w:p w14:paraId="642CB189">
      <w:pPr>
        <w:ind w:firstLine="420" w:firstLineChars="200"/>
      </w:pPr>
      <w:r>
        <w:rPr>
          <w:rFonts w:hint="eastAsia" w:ascii="宋体" w:hAnsi="宋体"/>
        </w:rPr>
        <w:t>（二）由其他单位或者其他单位负责人在投标（响应）供应商编制的投标（应答）文件上加盖印章或者签字的。</w:t>
      </w:r>
    </w:p>
    <w:p w14:paraId="215FF938">
      <w:pPr>
        <w:ind w:firstLine="420" w:firstLineChars="200"/>
      </w:pPr>
      <w:r>
        <w:rPr>
          <w:rFonts w:hint="eastAsia" w:ascii="宋体" w:hAnsi="宋体"/>
        </w:rPr>
        <w:t>（三）项目负责人或者主要技术人员不是本单位人员的。</w:t>
      </w:r>
    </w:p>
    <w:p w14:paraId="37973DD7">
      <w:pPr>
        <w:ind w:firstLine="420" w:firstLineChars="200"/>
      </w:pPr>
      <w:r>
        <w:rPr>
          <w:rFonts w:hint="eastAsia" w:ascii="宋体" w:hAnsi="宋体"/>
        </w:rPr>
        <w:t>（四）投标（应答）保证金不是从投标供应商基本账户转出的。</w:t>
      </w:r>
    </w:p>
    <w:p w14:paraId="6D6BB586">
      <w:pPr>
        <w:ind w:firstLine="420" w:firstLineChars="200"/>
      </w:pPr>
      <w:r>
        <w:rPr>
          <w:rFonts w:hint="eastAsia" w:ascii="宋体" w:hAnsi="宋体"/>
        </w:rPr>
        <w:t>（五）其他隐瞒真实情况、提供虚假资料的行为。</w:t>
      </w:r>
    </w:p>
    <w:p w14:paraId="3C61B426">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14:paraId="47A1F403">
      <w:pPr>
        <w:ind w:firstLine="420" w:firstLineChars="200"/>
      </w:pPr>
      <w:r>
        <w:rPr>
          <w:rFonts w:hint="eastAsia" w:ascii="宋体" w:hAnsi="宋体"/>
        </w:rPr>
        <w:t>（一）投标（应答）供应商之间相互约定给予未中标的供应商利益补偿。</w:t>
      </w:r>
    </w:p>
    <w:p w14:paraId="2F33244B">
      <w:pPr>
        <w:ind w:firstLine="420" w:firstLineChars="200"/>
      </w:pPr>
      <w:r>
        <w:rPr>
          <w:rFonts w:hint="eastAsia" w:ascii="宋体" w:hAnsi="宋体"/>
        </w:rPr>
        <w:t>（二）不同投标（应答）供应商的法定代表人、主要经营负责人、项目投标授权代表人、项目负责人、主要技术人员为同一人、属同一单位或者在同一单位缴纳社会保险。</w:t>
      </w:r>
    </w:p>
    <w:p w14:paraId="4B402ED2">
      <w:pPr>
        <w:ind w:firstLine="420" w:firstLineChars="200"/>
      </w:pPr>
      <w:r>
        <w:rPr>
          <w:rFonts w:hint="eastAsia" w:ascii="宋体" w:hAnsi="宋体"/>
        </w:rPr>
        <w:t>（三）不同投标（应答）供应商的投标文件由同一单位或者同一人编制，或者由同一人分阶段参与编制的。</w:t>
      </w:r>
    </w:p>
    <w:p w14:paraId="31617D44">
      <w:pPr>
        <w:ind w:firstLine="420" w:firstLineChars="200"/>
      </w:pPr>
      <w:r>
        <w:rPr>
          <w:rFonts w:hint="eastAsia" w:ascii="宋体" w:hAnsi="宋体"/>
        </w:rPr>
        <w:t>（四）不同投标（应答）供应商的投标文件或部分投标文件相互混装。</w:t>
      </w:r>
    </w:p>
    <w:p w14:paraId="5118EC8A">
      <w:pPr>
        <w:ind w:firstLine="420" w:firstLineChars="200"/>
      </w:pPr>
      <w:r>
        <w:rPr>
          <w:rFonts w:hint="eastAsia" w:ascii="宋体" w:hAnsi="宋体"/>
        </w:rPr>
        <w:t>（五）不同投标（应答）供应商的投标文件内容存在非正常一致。</w:t>
      </w:r>
    </w:p>
    <w:p w14:paraId="09F1D8E7">
      <w:pPr>
        <w:ind w:firstLine="420" w:firstLineChars="200"/>
      </w:pPr>
      <w:r>
        <w:rPr>
          <w:rFonts w:hint="eastAsia" w:ascii="宋体" w:hAnsi="宋体"/>
        </w:rPr>
        <w:t>（六）由同一单位工作人员为两家以上（含两家）供应商进行同一项投标活动的。</w:t>
      </w:r>
    </w:p>
    <w:p w14:paraId="428ABA68">
      <w:pPr>
        <w:ind w:firstLine="420" w:firstLineChars="200"/>
      </w:pPr>
      <w:r>
        <w:rPr>
          <w:rFonts w:hint="eastAsia" w:ascii="宋体" w:hAnsi="宋体"/>
        </w:rPr>
        <w:t>（七）不同供应商的投标（应答）报价呈规律性差异。</w:t>
      </w:r>
    </w:p>
    <w:p w14:paraId="3DE74CF2">
      <w:pPr>
        <w:ind w:firstLine="420" w:firstLineChars="200"/>
      </w:pPr>
      <w:r>
        <w:rPr>
          <w:rFonts w:hint="eastAsia" w:ascii="宋体" w:hAnsi="宋体"/>
        </w:rPr>
        <w:t>（八）不同供应商的投标（应答）保证金从同一单位或者个人的账户转出。</w:t>
      </w:r>
    </w:p>
    <w:p w14:paraId="051C9FDF">
      <w:pPr>
        <w:ind w:firstLine="420" w:firstLineChars="200"/>
      </w:pPr>
      <w:r>
        <w:rPr>
          <w:rFonts w:hint="eastAsia" w:ascii="宋体" w:hAnsi="宋体"/>
        </w:rPr>
        <w:t>（九）主管部门依照法律、法规认定的其他情形。</w:t>
      </w:r>
    </w:p>
    <w:p w14:paraId="4742360E">
      <w:pPr>
        <w:ind w:firstLine="422" w:firstLineChars="200"/>
        <w:rPr>
          <w:b/>
          <w:bCs/>
        </w:rPr>
      </w:pPr>
      <w:r>
        <w:rPr>
          <w:rFonts w:hint="eastAsia" w:ascii="宋体" w:hAnsi="宋体"/>
          <w:b/>
          <w:bCs/>
        </w:rPr>
        <w:t>三、本公司已充分知悉下列情形所对应的法律风险，并在应答前已对相关风险事项进行排查。</w:t>
      </w:r>
    </w:p>
    <w:p w14:paraId="153F1DB3">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14:paraId="3B82A8E1">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14:paraId="1E6FAA1F">
      <w:pPr>
        <w:ind w:firstLine="420" w:firstLineChars="200"/>
      </w:pPr>
      <w:r>
        <w:rPr>
          <w:rFonts w:hint="eastAsia" w:ascii="宋体" w:hAnsi="宋体"/>
        </w:rPr>
        <w:t>（三）对于涉及安全生产、特种作业、抢险救灾、防疫等政府采购项目，供应商实施提供虚假资料、串通投标等违法行为的，主管部门将依法从严处理。</w:t>
      </w:r>
    </w:p>
    <w:p w14:paraId="16AE3EE0">
      <w:pPr>
        <w:ind w:firstLine="420" w:firstLineChars="200"/>
      </w:pPr>
      <w:r>
        <w:rPr>
          <w:rFonts w:hint="eastAsia" w:ascii="宋体" w:hAnsi="宋体"/>
        </w:rPr>
        <w:t>（四）供应商应严格规范项目授权代表、员工参与招标投标的行为，加强对投标（应答）文件的审核。项目授权代表、员工编制、上传投标（应答）文件等行为违反政府采购法律法规或谈判文件要求的，供应商应当依法承担相应法律责任。</w:t>
      </w:r>
    </w:p>
    <w:p w14:paraId="61B296A2">
      <w:pPr>
        <w:ind w:firstLine="420" w:firstLineChars="200"/>
      </w:pPr>
      <w:r>
        <w:rPr>
          <w:rFonts w:hint="eastAsia" w:ascii="宋体" w:hAnsi="宋体"/>
        </w:rPr>
        <w:t>（五）单位负责人为同一人或者存在直接控股、管理关系的不同供应商，不得参加同一合同项下的政府采购活动。相关情形如查实，依法作投标（应答）无效处理；涉嫌串通投标等违法行为的，主管部门将依法调查处理。</w:t>
      </w:r>
    </w:p>
    <w:p w14:paraId="64055929">
      <w:pPr>
        <w:ind w:firstLine="422" w:firstLineChars="200"/>
        <w:rPr>
          <w:b/>
          <w:bCs/>
        </w:rPr>
      </w:pPr>
      <w:r>
        <w:rPr>
          <w:rFonts w:hint="eastAsia" w:ascii="宋体" w:hAnsi="宋体"/>
          <w:b/>
          <w:bCs/>
        </w:rPr>
        <w:t>四、本公司已充分知悉政府采购违法、违规行为的法律后果。</w:t>
      </w:r>
    </w:p>
    <w:p w14:paraId="3EB2FEDA">
      <w:pPr>
        <w:ind w:firstLine="420" w:firstLineChars="200"/>
        <w:rPr>
          <w:rFonts w:ascii="宋体" w:hAnsi="宋体"/>
        </w:rPr>
      </w:pPr>
      <w:r>
        <w:rPr>
          <w:rFonts w:hint="eastAsia" w:ascii="宋体" w:hAnsi="宋体"/>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619BCB">
      <w:pPr>
        <w:ind w:firstLine="420" w:firstLineChars="200"/>
      </w:pPr>
      <w:r>
        <w:rPr>
          <w:rFonts w:hint="eastAsia" w:ascii="宋体" w:hAnsi="宋体"/>
          <w:highlight w:val="yellow"/>
        </w:rPr>
        <w:t>以下文字请供应商抄写并确认：</w:t>
      </w:r>
      <w:r>
        <w:rPr>
          <w:rFonts w:hint="eastAsia"/>
          <w:highlight w:val="yellow"/>
        </w:rPr>
        <w:t>“本公司已仔细阅读《政府采购违法行为风险知悉确认书》，充分知悉违法行为的法律后果，并承诺将严谨、诚信、依法依规参与政府采购活动”。</w:t>
      </w:r>
    </w:p>
    <w:tbl>
      <w:tblPr>
        <w:tblStyle w:val="88"/>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0768072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39D58D6E">
            <w:pPr>
              <w:autoSpaceDE w:val="0"/>
              <w:autoSpaceDN w:val="0"/>
              <w:spacing w:line="400" w:lineRule="exact"/>
              <w:ind w:firstLine="1866"/>
              <w:rPr>
                <w:rFonts w:ascii="宋体" w:hAnsi="宋体"/>
                <w:spacing w:val="-4"/>
                <w:kern w:val="0"/>
                <w:szCs w:val="21"/>
              </w:rPr>
            </w:pPr>
          </w:p>
        </w:tc>
      </w:tr>
      <w:tr w14:paraId="47AB07A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75330E3">
            <w:pPr>
              <w:autoSpaceDE w:val="0"/>
              <w:autoSpaceDN w:val="0"/>
              <w:spacing w:line="400" w:lineRule="exact"/>
              <w:ind w:firstLine="1866"/>
              <w:rPr>
                <w:rFonts w:ascii="宋体" w:hAnsi="宋体"/>
                <w:spacing w:val="-4"/>
                <w:kern w:val="0"/>
                <w:szCs w:val="21"/>
              </w:rPr>
            </w:pPr>
          </w:p>
        </w:tc>
      </w:tr>
      <w:tr w14:paraId="4905A5B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0211569">
            <w:pPr>
              <w:autoSpaceDE w:val="0"/>
              <w:autoSpaceDN w:val="0"/>
              <w:spacing w:line="400" w:lineRule="exact"/>
              <w:ind w:firstLine="1866"/>
              <w:rPr>
                <w:rFonts w:ascii="宋体" w:hAnsi="宋体"/>
                <w:spacing w:val="-4"/>
                <w:kern w:val="0"/>
                <w:szCs w:val="21"/>
              </w:rPr>
            </w:pPr>
          </w:p>
        </w:tc>
      </w:tr>
      <w:tr w14:paraId="00ED515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9B10863">
            <w:pPr>
              <w:autoSpaceDE w:val="0"/>
              <w:autoSpaceDN w:val="0"/>
              <w:spacing w:line="400" w:lineRule="exact"/>
              <w:ind w:firstLine="1866"/>
              <w:rPr>
                <w:rFonts w:ascii="宋体" w:hAnsi="宋体"/>
                <w:spacing w:val="-4"/>
                <w:kern w:val="0"/>
                <w:szCs w:val="21"/>
              </w:rPr>
            </w:pPr>
          </w:p>
        </w:tc>
      </w:tr>
    </w:tbl>
    <w:p w14:paraId="30DB124E">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14:paraId="01279343">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14:paraId="5E3BB677">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42CEF57B">
      <w:pPr>
        <w:widowControl/>
        <w:autoSpaceDE w:val="0"/>
        <w:autoSpaceDN w:val="0"/>
        <w:spacing w:line="400" w:lineRule="exact"/>
        <w:ind w:firstLine="406" w:firstLineChars="200"/>
        <w:jc w:val="left"/>
        <w:rPr>
          <w:rFonts w:ascii="宋体" w:hAnsi="宋体"/>
          <w:b/>
          <w:bCs/>
          <w:color w:val="FF0000"/>
          <w:spacing w:val="-4"/>
          <w:kern w:val="0"/>
        </w:rPr>
      </w:pPr>
    </w:p>
    <w:p w14:paraId="1FFFCE97">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b/>
          <w:bCs/>
          <w:color w:val="FF0000"/>
          <w:spacing w:val="-4"/>
          <w:kern w:val="0"/>
          <w:szCs w:val="21"/>
        </w:rPr>
        <w:t xml:space="preserve"> 根据《深圳市财政局关于采购文件增加风险告知有关事项的通知》（深财购〔2022〕22 号），该风险知悉确认书用于对供应商违法行为的警示，</w:t>
      </w:r>
      <w:r>
        <w:rPr>
          <w:rFonts w:hint="eastAsia" w:ascii="宋体" w:hAnsi="宋体"/>
          <w:b/>
          <w:bCs/>
          <w:color w:val="FF0000"/>
          <w:spacing w:val="-4"/>
          <w:kern w:val="0"/>
        </w:rPr>
        <w:t>不作为供应商资格性审查及符合性审查条件。</w:t>
      </w:r>
    </w:p>
    <w:p w14:paraId="74ABFC8F">
      <w:pPr>
        <w:widowControl/>
        <w:autoSpaceDE w:val="0"/>
        <w:autoSpaceDN w:val="0"/>
        <w:spacing w:line="400" w:lineRule="exact"/>
        <w:ind w:firstLine="406" w:firstLineChars="200"/>
        <w:jc w:val="left"/>
        <w:rPr>
          <w:rFonts w:ascii="宋体" w:hAnsi="宋体"/>
          <w:b/>
          <w:bCs/>
          <w:color w:val="FF0000"/>
          <w:spacing w:val="-4"/>
          <w:kern w:val="0"/>
        </w:rPr>
      </w:pPr>
      <w:r>
        <w:rPr>
          <w:rFonts w:hint="eastAsia" w:ascii="宋体" w:hAnsi="宋体"/>
          <w:b/>
          <w:bCs/>
          <w:color w:val="FF0000"/>
          <w:spacing w:val="-4"/>
          <w:kern w:val="0"/>
        </w:rPr>
        <w:t>2.供应商负责人或谈判授权代表签字</w:t>
      </w:r>
      <w:r>
        <w:rPr>
          <w:rFonts w:hint="eastAsia" w:ascii="宋体" w:hAnsi="宋体"/>
          <w:b/>
          <w:bCs/>
          <w:color w:val="FF0000"/>
          <w:spacing w:val="-4"/>
          <w:kern w:val="0"/>
          <w:highlight w:val="yellow"/>
        </w:rPr>
        <w:t>并加盖单位公章</w:t>
      </w:r>
      <w:r>
        <w:rPr>
          <w:rFonts w:hint="eastAsia" w:ascii="宋体" w:hAnsi="宋体"/>
          <w:b/>
          <w:bCs/>
          <w:color w:val="FF0000"/>
          <w:spacing w:val="-4"/>
          <w:kern w:val="0"/>
        </w:rPr>
        <w:t>后，扫描上传至应答文件一并提交。</w:t>
      </w:r>
    </w:p>
    <w:p w14:paraId="4A943882">
      <w:pPr>
        <w:spacing w:line="360" w:lineRule="auto"/>
        <w:rPr>
          <w:b/>
          <w:bCs/>
          <w:sz w:val="24"/>
        </w:rPr>
      </w:pPr>
    </w:p>
    <w:p w14:paraId="5CE8997D">
      <w:pPr>
        <w:spacing w:line="360" w:lineRule="auto"/>
        <w:rPr>
          <w:b/>
          <w:bCs/>
          <w:sz w:val="24"/>
        </w:rPr>
      </w:pPr>
    </w:p>
    <w:p w14:paraId="1EAB0A83">
      <w:pPr>
        <w:spacing w:line="360" w:lineRule="auto"/>
        <w:rPr>
          <w:b/>
          <w:bCs/>
          <w:sz w:val="24"/>
        </w:rPr>
      </w:pPr>
    </w:p>
    <w:p w14:paraId="265FDFCB">
      <w:pPr>
        <w:spacing w:line="360" w:lineRule="auto"/>
        <w:rPr>
          <w:b/>
          <w:bCs/>
          <w:sz w:val="24"/>
        </w:rPr>
      </w:pPr>
    </w:p>
    <w:p w14:paraId="5C841991">
      <w:pPr>
        <w:spacing w:line="360" w:lineRule="auto"/>
        <w:rPr>
          <w:b/>
          <w:bCs/>
          <w:sz w:val="24"/>
        </w:rPr>
      </w:pPr>
    </w:p>
    <w:p w14:paraId="28820584">
      <w:pPr>
        <w:spacing w:line="360" w:lineRule="auto"/>
        <w:rPr>
          <w:b/>
          <w:bCs/>
          <w:sz w:val="24"/>
        </w:rPr>
      </w:pPr>
    </w:p>
    <w:p w14:paraId="1E22D106">
      <w:pPr>
        <w:spacing w:line="360" w:lineRule="auto"/>
        <w:rPr>
          <w:b/>
          <w:bCs/>
          <w:sz w:val="24"/>
        </w:rPr>
      </w:pPr>
    </w:p>
    <w:p w14:paraId="77F8B63D">
      <w:pPr>
        <w:spacing w:line="360" w:lineRule="auto"/>
        <w:rPr>
          <w:b/>
          <w:bCs/>
          <w:sz w:val="24"/>
        </w:rPr>
      </w:pPr>
    </w:p>
    <w:p w14:paraId="17AEEBFE">
      <w:pPr>
        <w:widowControl/>
        <w:jc w:val="center"/>
        <w:rPr>
          <w:rFonts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14:paraId="6C9AF1DD">
      <w:pPr>
        <w:widowControl/>
        <w:jc w:val="left"/>
      </w:pPr>
    </w:p>
    <w:p w14:paraId="7E47BCD1">
      <w:pPr>
        <w:keepNext/>
        <w:keepLines/>
        <w:pageBreakBefore/>
        <w:adjustRightInd w:val="0"/>
        <w:jc w:val="center"/>
        <w:textAlignment w:val="baseline"/>
        <w:outlineLvl w:val="1"/>
        <w:rPr>
          <w:kern w:val="0"/>
          <w:sz w:val="24"/>
          <w:szCs w:val="20"/>
        </w:rPr>
      </w:pPr>
      <w:r>
        <w:rPr>
          <w:rFonts w:hint="eastAsia"/>
          <w:kern w:val="0"/>
          <w:sz w:val="24"/>
          <w:szCs w:val="20"/>
        </w:rPr>
        <w:t>第五章  合同条款及格式</w:t>
      </w:r>
    </w:p>
    <w:p w14:paraId="42A7FD9C">
      <w:pPr>
        <w:jc w:val="center"/>
        <w:rPr>
          <w:rFonts w:ascii="宋体" w:hAnsi="宋体"/>
          <w:b/>
          <w:bCs/>
          <w:szCs w:val="21"/>
        </w:rPr>
      </w:pPr>
      <w:r>
        <w:rPr>
          <w:rFonts w:hint="eastAsia" w:ascii="宋体" w:hAnsi="宋体"/>
          <w:b/>
          <w:bCs/>
          <w:szCs w:val="21"/>
        </w:rPr>
        <w:t>（仅供参考，具体以项目需求及采购结果为准）</w:t>
      </w:r>
    </w:p>
    <w:p w14:paraId="31FF6B24">
      <w:pPr>
        <w:rPr>
          <w:rFonts w:ascii="宋体" w:hAnsi="宋体"/>
          <w:b/>
          <w:bCs/>
          <w:szCs w:val="21"/>
        </w:rPr>
      </w:pPr>
      <w:r>
        <w:rPr>
          <w:rFonts w:hint="eastAsia" w:ascii="宋体" w:hAnsi="宋体"/>
          <w:b/>
          <w:bCs/>
          <w:szCs w:val="21"/>
        </w:rPr>
        <w:t>甲方：</w:t>
      </w:r>
      <w:r>
        <w:rPr>
          <w:rFonts w:ascii="宋体" w:hAnsi="宋体"/>
          <w:b/>
          <w:bCs/>
          <w:szCs w:val="21"/>
        </w:rPr>
        <w:t xml:space="preserve"> </w:t>
      </w:r>
    </w:p>
    <w:p w14:paraId="12507283">
      <w:pPr>
        <w:rPr>
          <w:rFonts w:ascii="宋体" w:hAnsi="宋体"/>
          <w:szCs w:val="21"/>
        </w:rPr>
      </w:pPr>
      <w:r>
        <w:rPr>
          <w:rFonts w:hint="eastAsia" w:ascii="宋体" w:hAnsi="宋体"/>
          <w:szCs w:val="21"/>
        </w:rPr>
        <w:t>地址：</w:t>
      </w:r>
    </w:p>
    <w:p w14:paraId="1E93EAE8">
      <w:pPr>
        <w:rPr>
          <w:rFonts w:ascii="宋体" w:hAnsi="宋体"/>
          <w:szCs w:val="21"/>
        </w:rPr>
      </w:pPr>
      <w:r>
        <w:rPr>
          <w:rFonts w:hint="eastAsia" w:ascii="宋体" w:hAnsi="宋体"/>
          <w:szCs w:val="21"/>
        </w:rPr>
        <w:t>联系人：</w:t>
      </w:r>
      <w:r>
        <w:rPr>
          <w:rFonts w:ascii="宋体" w:hAnsi="宋体"/>
          <w:szCs w:val="21"/>
        </w:rPr>
        <w:t xml:space="preserve">                          </w:t>
      </w:r>
    </w:p>
    <w:p w14:paraId="03D090F1">
      <w:pPr>
        <w:rPr>
          <w:rFonts w:ascii="宋体" w:hAnsi="宋体"/>
          <w:b/>
          <w:bCs/>
          <w:szCs w:val="21"/>
        </w:rPr>
      </w:pPr>
      <w:r>
        <w:rPr>
          <w:rFonts w:hint="eastAsia" w:ascii="宋体" w:hAnsi="宋体"/>
          <w:szCs w:val="21"/>
        </w:rPr>
        <w:t>联系电话：</w:t>
      </w:r>
    </w:p>
    <w:p w14:paraId="4ACCC85F">
      <w:pPr>
        <w:rPr>
          <w:rFonts w:ascii="宋体" w:hAnsi="宋体"/>
          <w:b/>
          <w:bCs/>
          <w:szCs w:val="21"/>
        </w:rPr>
      </w:pPr>
      <w:r>
        <w:rPr>
          <w:rFonts w:hint="eastAsia" w:ascii="宋体" w:hAnsi="宋体"/>
          <w:b/>
          <w:bCs/>
          <w:szCs w:val="21"/>
        </w:rPr>
        <w:t xml:space="preserve"> </w:t>
      </w:r>
      <w:r>
        <w:rPr>
          <w:rFonts w:ascii="宋体" w:hAnsi="宋体"/>
          <w:b/>
          <w:bCs/>
          <w:szCs w:val="21"/>
        </w:rPr>
        <w:t xml:space="preserve"> </w:t>
      </w:r>
    </w:p>
    <w:p w14:paraId="73F200FE">
      <w:pPr>
        <w:rPr>
          <w:rFonts w:ascii="宋体" w:hAnsi="宋体"/>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p>
    <w:p w14:paraId="434C4895">
      <w:pPr>
        <w:rPr>
          <w:rFonts w:ascii="宋体" w:hAnsi="宋体"/>
          <w:szCs w:val="21"/>
        </w:rPr>
      </w:pPr>
      <w:r>
        <w:rPr>
          <w:rFonts w:hint="eastAsia" w:ascii="宋体" w:hAnsi="宋体"/>
          <w:szCs w:val="21"/>
        </w:rPr>
        <w:t>地址：</w:t>
      </w:r>
    </w:p>
    <w:p w14:paraId="0CB4EDF7">
      <w:pPr>
        <w:rPr>
          <w:rFonts w:ascii="宋体" w:hAnsi="宋体"/>
          <w:szCs w:val="21"/>
        </w:rPr>
      </w:pPr>
      <w:r>
        <w:rPr>
          <w:rFonts w:hint="eastAsia" w:ascii="宋体" w:hAnsi="宋体"/>
          <w:szCs w:val="21"/>
        </w:rPr>
        <w:t>联系人：</w:t>
      </w:r>
      <w:r>
        <w:rPr>
          <w:rFonts w:ascii="宋体" w:hAnsi="宋体"/>
          <w:szCs w:val="21"/>
        </w:rPr>
        <w:t xml:space="preserve">                          </w:t>
      </w:r>
    </w:p>
    <w:p w14:paraId="040E8102">
      <w:pPr>
        <w:rPr>
          <w:rFonts w:ascii="宋体" w:hAnsi="宋体"/>
          <w:b/>
          <w:bCs/>
          <w:szCs w:val="21"/>
        </w:rPr>
      </w:pPr>
      <w:r>
        <w:rPr>
          <w:rFonts w:hint="eastAsia" w:ascii="宋体" w:hAnsi="宋体"/>
          <w:szCs w:val="21"/>
        </w:rPr>
        <w:t>联系电话：</w:t>
      </w:r>
    </w:p>
    <w:p w14:paraId="278A1EAB">
      <w:pPr>
        <w:rPr>
          <w:rFonts w:ascii="宋体" w:hAnsi="宋体"/>
          <w:szCs w:val="21"/>
        </w:rPr>
      </w:pPr>
    </w:p>
    <w:p w14:paraId="01A66B44">
      <w:pPr>
        <w:ind w:firstLine="420" w:firstLineChars="200"/>
        <w:rPr>
          <w:rFonts w:ascii="宋体" w:hAnsi="宋体"/>
          <w:szCs w:val="21"/>
        </w:rPr>
      </w:pPr>
      <w:r>
        <w:rPr>
          <w:rFonts w:hint="eastAsia" w:ascii="宋体" w:hAnsi="宋体"/>
          <w:szCs w:val="21"/>
        </w:rPr>
        <w:t>根据深圳公共资源交易中心（深圳交易集团有限公司福田分公司）*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单位为成交供应商。按照《中华人民共和国民法典》（第三编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项目</w:t>
      </w:r>
      <w:r>
        <w:rPr>
          <w:rFonts w:hint="eastAsia" w:ascii="宋体" w:hAnsi="宋体"/>
          <w:szCs w:val="21"/>
        </w:rPr>
        <w:t>，达成以下合同条款：</w:t>
      </w:r>
    </w:p>
    <w:p w14:paraId="6581F1EE">
      <w:pPr>
        <w:ind w:firstLine="422" w:firstLineChars="200"/>
        <w:rPr>
          <w:rFonts w:ascii="宋体" w:hAnsi="宋体"/>
          <w:b/>
          <w:bCs/>
          <w:szCs w:val="21"/>
        </w:rPr>
      </w:pPr>
      <w:r>
        <w:rPr>
          <w:rFonts w:hint="eastAsia" w:ascii="宋体" w:hAnsi="宋体"/>
          <w:b/>
          <w:bCs/>
          <w:szCs w:val="21"/>
        </w:rPr>
        <w:t>第一条　项目概况</w:t>
      </w:r>
    </w:p>
    <w:p w14:paraId="6AD682FF">
      <w:pPr>
        <w:ind w:firstLine="420" w:firstLineChars="200"/>
        <w:rPr>
          <w:rFonts w:ascii="宋体" w:hAnsi="宋体"/>
          <w:szCs w:val="21"/>
        </w:rPr>
      </w:pPr>
      <w:r>
        <w:rPr>
          <w:rFonts w:hint="eastAsia" w:ascii="宋体" w:hAnsi="宋体"/>
          <w:szCs w:val="21"/>
        </w:rPr>
        <w:t xml:space="preserve">项目名称： </w:t>
      </w:r>
    </w:p>
    <w:p w14:paraId="2FA4558D">
      <w:pPr>
        <w:ind w:firstLine="420" w:firstLineChars="200"/>
        <w:rPr>
          <w:rFonts w:ascii="宋体" w:hAnsi="宋体"/>
          <w:szCs w:val="21"/>
        </w:rPr>
      </w:pPr>
      <w:r>
        <w:rPr>
          <w:rFonts w:hint="eastAsia" w:ascii="宋体" w:hAnsi="宋体"/>
          <w:szCs w:val="21"/>
        </w:rPr>
        <w:t xml:space="preserve">项目内容： </w:t>
      </w:r>
    </w:p>
    <w:p w14:paraId="430DF34B">
      <w:pPr>
        <w:ind w:firstLine="420" w:firstLineChars="200"/>
        <w:rPr>
          <w:rFonts w:ascii="宋体" w:hAnsi="宋体"/>
          <w:szCs w:val="21"/>
        </w:rPr>
      </w:pPr>
      <w:r>
        <w:rPr>
          <w:rFonts w:hint="eastAsia" w:ascii="宋体" w:hAnsi="宋体"/>
          <w:szCs w:val="21"/>
        </w:rPr>
        <w:t xml:space="preserve">服务时间： </w:t>
      </w:r>
    </w:p>
    <w:p w14:paraId="21D02DC3">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44EF420">
      <w:pPr>
        <w:ind w:firstLine="420"/>
        <w:rPr>
          <w:rFonts w:ascii="宋体" w:hAnsi="宋体"/>
          <w:szCs w:val="21"/>
        </w:rPr>
      </w:pPr>
      <w:r>
        <w:rPr>
          <w:rFonts w:hint="eastAsia" w:ascii="宋体" w:hAnsi="宋体"/>
          <w:szCs w:val="21"/>
        </w:rPr>
        <w:t>支付方式：分期支付。</w:t>
      </w:r>
    </w:p>
    <w:p w14:paraId="12B1F3A3">
      <w:pPr>
        <w:ind w:firstLine="422" w:firstLineChars="200"/>
        <w:rPr>
          <w:rFonts w:ascii="宋体" w:hAnsi="宋体"/>
          <w:b/>
          <w:bCs/>
          <w:szCs w:val="21"/>
        </w:rPr>
      </w:pPr>
      <w:r>
        <w:rPr>
          <w:rFonts w:hint="eastAsia" w:ascii="宋体" w:hAnsi="宋体"/>
          <w:b/>
          <w:bCs/>
          <w:szCs w:val="21"/>
        </w:rPr>
        <w:t>第二条  服务范围</w:t>
      </w:r>
    </w:p>
    <w:p w14:paraId="54C30AE3">
      <w:pPr>
        <w:ind w:firstLine="420" w:firstLineChars="200"/>
        <w:rPr>
          <w:rFonts w:ascii="宋体" w:hAnsi="宋体"/>
          <w:szCs w:val="21"/>
        </w:rPr>
      </w:pPr>
      <w:r>
        <w:rPr>
          <w:rFonts w:hint="eastAsia" w:ascii="宋体" w:hAnsi="宋体"/>
          <w:szCs w:val="21"/>
        </w:rPr>
        <w:t xml:space="preserve">1、  </w:t>
      </w:r>
    </w:p>
    <w:p w14:paraId="66E3C3D2">
      <w:pPr>
        <w:ind w:firstLine="420" w:firstLineChars="200"/>
        <w:rPr>
          <w:rFonts w:ascii="宋体" w:hAnsi="宋体"/>
          <w:szCs w:val="21"/>
        </w:rPr>
      </w:pPr>
      <w:r>
        <w:rPr>
          <w:rFonts w:hint="eastAsia" w:ascii="宋体" w:hAnsi="宋体"/>
          <w:szCs w:val="21"/>
        </w:rPr>
        <w:t xml:space="preserve">2、  </w:t>
      </w:r>
    </w:p>
    <w:p w14:paraId="07EACEE2">
      <w:pPr>
        <w:ind w:firstLine="420" w:firstLineChars="200"/>
        <w:rPr>
          <w:rFonts w:ascii="宋体" w:hAnsi="宋体"/>
          <w:szCs w:val="21"/>
        </w:rPr>
      </w:pPr>
      <w:r>
        <w:rPr>
          <w:rFonts w:hint="eastAsia" w:ascii="宋体" w:hAnsi="宋体"/>
          <w:szCs w:val="21"/>
        </w:rPr>
        <w:t xml:space="preserve">3、  </w:t>
      </w:r>
    </w:p>
    <w:p w14:paraId="1E65961A">
      <w:pPr>
        <w:ind w:firstLine="420" w:firstLineChars="200"/>
        <w:rPr>
          <w:rFonts w:ascii="宋体" w:hAnsi="宋体"/>
          <w:szCs w:val="21"/>
        </w:rPr>
      </w:pPr>
      <w:r>
        <w:rPr>
          <w:rFonts w:hint="eastAsia" w:ascii="宋体" w:hAnsi="宋体"/>
          <w:szCs w:val="21"/>
        </w:rPr>
        <w:t>4、 其他合同未明示的相关工作。</w:t>
      </w:r>
    </w:p>
    <w:p w14:paraId="48B3FC17">
      <w:pPr>
        <w:ind w:firstLine="422" w:firstLineChars="200"/>
        <w:rPr>
          <w:rFonts w:ascii="宋体" w:hAnsi="宋体"/>
          <w:b/>
          <w:bCs/>
          <w:szCs w:val="21"/>
        </w:rPr>
      </w:pPr>
      <w:r>
        <w:rPr>
          <w:rFonts w:hint="eastAsia" w:ascii="宋体" w:hAnsi="宋体"/>
          <w:b/>
          <w:bCs/>
          <w:szCs w:val="21"/>
        </w:rPr>
        <w:t>第三条  时间要求及阶段成果</w:t>
      </w:r>
    </w:p>
    <w:p w14:paraId="1605F5B1">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6907BDAA">
      <w:pPr>
        <w:ind w:firstLine="420" w:firstLineChars="200"/>
        <w:rPr>
          <w:rFonts w:ascii="宋体" w:hAnsi="宋体"/>
          <w:szCs w:val="21"/>
        </w:rPr>
      </w:pPr>
      <w:r>
        <w:rPr>
          <w:rFonts w:hint="eastAsia" w:ascii="宋体" w:hAnsi="宋体"/>
          <w:szCs w:val="21"/>
        </w:rPr>
        <w:t xml:space="preserve">2、 </w:t>
      </w:r>
    </w:p>
    <w:p w14:paraId="5ECF64F2">
      <w:pPr>
        <w:ind w:firstLine="420" w:firstLineChars="200"/>
        <w:rPr>
          <w:rFonts w:ascii="宋体" w:hAnsi="宋体"/>
          <w:szCs w:val="21"/>
        </w:rPr>
      </w:pPr>
      <w:r>
        <w:rPr>
          <w:rFonts w:hint="eastAsia" w:ascii="宋体" w:hAnsi="宋体"/>
          <w:szCs w:val="21"/>
        </w:rPr>
        <w:t>3、</w:t>
      </w:r>
    </w:p>
    <w:p w14:paraId="5F6F24D7">
      <w:pPr>
        <w:ind w:firstLine="420" w:firstLineChars="200"/>
        <w:rPr>
          <w:rFonts w:ascii="宋体" w:hAnsi="宋体"/>
          <w:szCs w:val="21"/>
        </w:rPr>
      </w:pPr>
      <w:r>
        <w:rPr>
          <w:rFonts w:hint="eastAsia" w:ascii="宋体" w:hAnsi="宋体"/>
          <w:szCs w:val="21"/>
        </w:rPr>
        <w:t>4、</w:t>
      </w:r>
    </w:p>
    <w:p w14:paraId="2DE0737E">
      <w:pPr>
        <w:ind w:firstLine="422" w:firstLineChars="200"/>
        <w:rPr>
          <w:rFonts w:ascii="宋体" w:hAnsi="宋体"/>
          <w:b/>
          <w:bCs/>
          <w:szCs w:val="21"/>
        </w:rPr>
      </w:pPr>
      <w:r>
        <w:rPr>
          <w:rFonts w:hint="eastAsia" w:ascii="宋体" w:hAnsi="宋体"/>
          <w:b/>
          <w:bCs/>
          <w:szCs w:val="21"/>
        </w:rPr>
        <w:t>第四条  咨询服务资料归属</w:t>
      </w:r>
    </w:p>
    <w:p w14:paraId="664CE562">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88200B1">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14:paraId="249F546C">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1545E3B">
      <w:pPr>
        <w:ind w:firstLine="422" w:firstLineChars="200"/>
        <w:rPr>
          <w:rFonts w:ascii="宋体" w:hAnsi="宋体"/>
          <w:b/>
          <w:bCs/>
          <w:szCs w:val="21"/>
        </w:rPr>
      </w:pPr>
      <w:r>
        <w:rPr>
          <w:rFonts w:hint="eastAsia" w:ascii="宋体" w:hAnsi="宋体"/>
          <w:b/>
          <w:bCs/>
          <w:szCs w:val="21"/>
        </w:rPr>
        <w:t>第五条  甲方的义务</w:t>
      </w:r>
    </w:p>
    <w:p w14:paraId="0D4BD5F8">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14:paraId="20130DCD">
      <w:pPr>
        <w:ind w:firstLine="420" w:firstLineChars="200"/>
        <w:rPr>
          <w:rFonts w:ascii="宋体" w:hAnsi="宋体"/>
          <w:szCs w:val="21"/>
        </w:rPr>
      </w:pPr>
      <w:r>
        <w:rPr>
          <w:rFonts w:hint="eastAsia" w:ascii="宋体" w:hAnsi="宋体"/>
          <w:szCs w:val="21"/>
        </w:rPr>
        <w:t>2、向乙方提供与本项目咨询服务工作有关的资料。</w:t>
      </w:r>
    </w:p>
    <w:p w14:paraId="3714EF6E">
      <w:pPr>
        <w:ind w:firstLine="420" w:firstLineChars="200"/>
        <w:rPr>
          <w:rFonts w:ascii="宋体" w:hAnsi="宋体"/>
          <w:szCs w:val="21"/>
        </w:rPr>
      </w:pPr>
      <w:r>
        <w:rPr>
          <w:rFonts w:hint="eastAsia" w:ascii="宋体" w:hAnsi="宋体"/>
          <w:szCs w:val="21"/>
        </w:rPr>
        <w:t>3、负责组织有关专家对项目试验成果评估报告的评审。</w:t>
      </w:r>
    </w:p>
    <w:p w14:paraId="487F51D8">
      <w:pPr>
        <w:ind w:firstLine="422" w:firstLineChars="200"/>
        <w:rPr>
          <w:rFonts w:ascii="宋体" w:hAnsi="宋体"/>
          <w:b/>
          <w:bCs/>
          <w:szCs w:val="21"/>
        </w:rPr>
      </w:pPr>
      <w:r>
        <w:rPr>
          <w:rFonts w:hint="eastAsia" w:ascii="宋体" w:hAnsi="宋体"/>
          <w:b/>
          <w:bCs/>
          <w:szCs w:val="21"/>
        </w:rPr>
        <w:t>第六条　乙方的义务</w:t>
      </w:r>
    </w:p>
    <w:p w14:paraId="1BA557B7">
      <w:pPr>
        <w:ind w:firstLine="420" w:firstLineChars="200"/>
        <w:rPr>
          <w:rFonts w:ascii="宋体" w:hAnsi="宋体"/>
          <w:szCs w:val="21"/>
        </w:rPr>
      </w:pPr>
      <w:r>
        <w:rPr>
          <w:rFonts w:hint="eastAsia" w:ascii="宋体" w:hAnsi="宋体"/>
          <w:szCs w:val="21"/>
        </w:rPr>
        <w:t>１、应按照谈判文件及应答文件要求按期完成本项目咨询服务工作。</w:t>
      </w:r>
    </w:p>
    <w:p w14:paraId="3273CC3A">
      <w:pPr>
        <w:ind w:firstLine="420" w:firstLineChars="200"/>
        <w:rPr>
          <w:rFonts w:ascii="宋体" w:hAnsi="宋体"/>
          <w:szCs w:val="21"/>
        </w:rPr>
      </w:pPr>
      <w:r>
        <w:rPr>
          <w:rFonts w:hint="eastAsia" w:ascii="宋体" w:hAnsi="宋体"/>
          <w:szCs w:val="21"/>
        </w:rPr>
        <w:t>2、负责组织项目的实施，保证工程进度和成桥荷载试验工作质量，并满足交通运输部/中华人民共和国交通运输部</w:t>
      </w:r>
      <w:bookmarkStart w:id="52" w:name="_GoBack"/>
      <w:bookmarkEnd w:id="52"/>
      <w:r>
        <w:rPr>
          <w:rFonts w:hint="eastAsia" w:ascii="宋体" w:hAnsi="宋体"/>
          <w:szCs w:val="21"/>
        </w:rPr>
        <w:t>交工验收相关标准。</w:t>
      </w:r>
    </w:p>
    <w:p w14:paraId="7281DBFD">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135A7A14">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540A7B0A">
      <w:pPr>
        <w:ind w:firstLine="422" w:firstLineChars="200"/>
        <w:rPr>
          <w:rFonts w:ascii="宋体" w:hAnsi="宋体"/>
          <w:b/>
          <w:bCs/>
          <w:szCs w:val="21"/>
        </w:rPr>
      </w:pPr>
      <w:r>
        <w:rPr>
          <w:rFonts w:hint="eastAsia" w:ascii="宋体" w:hAnsi="宋体"/>
          <w:b/>
          <w:bCs/>
          <w:szCs w:val="21"/>
        </w:rPr>
        <w:t>第七条  甲方的权利</w:t>
      </w:r>
    </w:p>
    <w:p w14:paraId="5B621FE7">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462BDF1">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3DF20EBB">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ED01B11">
      <w:pPr>
        <w:ind w:firstLine="422" w:firstLineChars="200"/>
        <w:rPr>
          <w:rFonts w:ascii="宋体" w:hAnsi="宋体"/>
          <w:b/>
          <w:bCs/>
          <w:szCs w:val="21"/>
        </w:rPr>
      </w:pPr>
      <w:r>
        <w:rPr>
          <w:rFonts w:hint="eastAsia" w:ascii="宋体" w:hAnsi="宋体"/>
          <w:b/>
          <w:bCs/>
          <w:szCs w:val="21"/>
        </w:rPr>
        <w:t>第八条  乙方的权利</w:t>
      </w:r>
    </w:p>
    <w:p w14:paraId="22230E31">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04432655">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20FF4CF6">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0CA1835A">
      <w:pPr>
        <w:ind w:firstLine="422" w:firstLineChars="200"/>
        <w:rPr>
          <w:rFonts w:ascii="宋体" w:hAnsi="宋体"/>
          <w:b/>
          <w:bCs/>
          <w:szCs w:val="21"/>
        </w:rPr>
      </w:pPr>
      <w:r>
        <w:rPr>
          <w:rFonts w:hint="eastAsia" w:ascii="宋体" w:hAnsi="宋体"/>
          <w:b/>
          <w:bCs/>
          <w:szCs w:val="21"/>
        </w:rPr>
        <w:t>第九条  甲方的责任</w:t>
      </w:r>
    </w:p>
    <w:p w14:paraId="2507BD78">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1DDF93C">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0D46F206">
      <w:pPr>
        <w:ind w:firstLine="422" w:firstLineChars="200"/>
        <w:rPr>
          <w:rFonts w:ascii="宋体" w:hAnsi="宋体"/>
          <w:b/>
          <w:bCs/>
          <w:szCs w:val="21"/>
        </w:rPr>
      </w:pPr>
      <w:r>
        <w:rPr>
          <w:rFonts w:hint="eastAsia" w:ascii="宋体" w:hAnsi="宋体"/>
          <w:b/>
          <w:bCs/>
          <w:szCs w:val="21"/>
        </w:rPr>
        <w:t>第十条  乙方的责任</w:t>
      </w:r>
    </w:p>
    <w:p w14:paraId="6C91B605">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77E7DCC1">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6CFE106C">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B3F0F7E">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08E9C17C">
      <w:pPr>
        <w:ind w:firstLine="422" w:firstLineChars="200"/>
        <w:rPr>
          <w:rFonts w:ascii="宋体" w:hAnsi="宋体"/>
          <w:b/>
          <w:bCs/>
          <w:szCs w:val="21"/>
        </w:rPr>
      </w:pPr>
      <w:r>
        <w:rPr>
          <w:rFonts w:hint="eastAsia" w:ascii="宋体" w:hAnsi="宋体"/>
          <w:b/>
          <w:bCs/>
          <w:szCs w:val="21"/>
        </w:rPr>
        <w:t>第十一条  人员要求</w:t>
      </w:r>
    </w:p>
    <w:p w14:paraId="3DE8C358">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4B1C1372">
      <w:pPr>
        <w:ind w:firstLine="420" w:firstLineChars="200"/>
        <w:rPr>
          <w:rFonts w:ascii="宋体" w:hAnsi="宋体"/>
          <w:szCs w:val="21"/>
        </w:rPr>
      </w:pPr>
      <w:r>
        <w:rPr>
          <w:rFonts w:hint="eastAsia" w:ascii="宋体" w:hAnsi="宋体"/>
          <w:szCs w:val="21"/>
        </w:rPr>
        <w:t>2、 参加本项目的试验人员的配置必须与应答文件中的服务承诺书和试验服务组织实施方案一致。</w:t>
      </w:r>
    </w:p>
    <w:p w14:paraId="38D9D976">
      <w:pPr>
        <w:ind w:firstLine="420" w:firstLineChars="200"/>
        <w:rPr>
          <w:rFonts w:ascii="宋体" w:hAnsi="宋体"/>
          <w:szCs w:val="21"/>
        </w:rPr>
      </w:pPr>
      <w:r>
        <w:rPr>
          <w:rFonts w:hint="eastAsia" w:ascii="宋体" w:hAnsi="宋体"/>
          <w:szCs w:val="21"/>
        </w:rPr>
        <w:t>3、必须以直属试验人员参与本项目服务，不得使用挂靠队伍。</w:t>
      </w:r>
    </w:p>
    <w:p w14:paraId="1E106BC7">
      <w:pPr>
        <w:ind w:firstLine="422" w:firstLineChars="200"/>
        <w:rPr>
          <w:rFonts w:ascii="宋体" w:hAnsi="宋体"/>
          <w:b/>
          <w:bCs/>
          <w:szCs w:val="21"/>
        </w:rPr>
      </w:pPr>
      <w:r>
        <w:rPr>
          <w:rFonts w:hint="eastAsia" w:ascii="宋体" w:hAnsi="宋体"/>
          <w:b/>
          <w:bCs/>
          <w:szCs w:val="21"/>
        </w:rPr>
        <w:t>第十二条  乙方咨询服务工具要求</w:t>
      </w:r>
    </w:p>
    <w:p w14:paraId="7878F792">
      <w:pPr>
        <w:ind w:firstLine="420" w:firstLineChars="200"/>
        <w:rPr>
          <w:rFonts w:ascii="宋体" w:hAnsi="宋体"/>
          <w:szCs w:val="21"/>
        </w:rPr>
      </w:pPr>
      <w:r>
        <w:rPr>
          <w:rFonts w:hint="eastAsia" w:ascii="宋体" w:hAnsi="宋体"/>
          <w:szCs w:val="21"/>
        </w:rPr>
        <w:t>1、乙方应配备成交项目所需的足够数量的仪器、仪表以及工具等设备。用户不需向乙方提供施工工具和仪器、仪表。</w:t>
      </w:r>
    </w:p>
    <w:p w14:paraId="7CAF6643">
      <w:pPr>
        <w:ind w:firstLine="420" w:firstLineChars="200"/>
        <w:rPr>
          <w:rFonts w:ascii="宋体" w:hAnsi="宋体"/>
          <w:szCs w:val="21"/>
        </w:rPr>
      </w:pPr>
      <w:r>
        <w:rPr>
          <w:rFonts w:hint="eastAsia" w:ascii="宋体" w:hAnsi="宋体"/>
          <w:szCs w:val="21"/>
        </w:rPr>
        <w:t>2、乙方在提供服务过程中应自备车辆。</w:t>
      </w:r>
    </w:p>
    <w:p w14:paraId="435B59CA">
      <w:pPr>
        <w:ind w:firstLine="422" w:firstLineChars="200"/>
        <w:rPr>
          <w:rFonts w:ascii="宋体" w:hAnsi="宋体"/>
          <w:b/>
          <w:bCs/>
          <w:szCs w:val="21"/>
        </w:rPr>
      </w:pPr>
      <w:r>
        <w:rPr>
          <w:rFonts w:hint="eastAsia" w:ascii="宋体" w:hAnsi="宋体"/>
          <w:b/>
          <w:bCs/>
          <w:szCs w:val="21"/>
        </w:rPr>
        <w:t>第十三条  保密要求</w:t>
      </w:r>
    </w:p>
    <w:p w14:paraId="0B97FE14">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613D02E">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E9C50F8">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1D62AE6C">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C5795E2">
      <w:pPr>
        <w:ind w:firstLine="422" w:firstLineChars="200"/>
        <w:rPr>
          <w:rFonts w:ascii="宋体" w:hAnsi="宋体"/>
          <w:b/>
          <w:bCs/>
          <w:szCs w:val="21"/>
        </w:rPr>
      </w:pPr>
      <w:r>
        <w:rPr>
          <w:rFonts w:hint="eastAsia" w:ascii="宋体" w:hAnsi="宋体"/>
          <w:b/>
          <w:bCs/>
          <w:szCs w:val="21"/>
        </w:rPr>
        <w:t xml:space="preserve">第十四条  验收     </w:t>
      </w:r>
    </w:p>
    <w:p w14:paraId="4B399DD7">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04E028F7">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ACB5CBE">
      <w:pPr>
        <w:ind w:firstLine="420" w:firstLineChars="200"/>
        <w:rPr>
          <w:rFonts w:ascii="宋体" w:hAnsi="宋体"/>
          <w:szCs w:val="21"/>
        </w:rPr>
      </w:pPr>
      <w:r>
        <w:rPr>
          <w:rFonts w:hint="eastAsia" w:ascii="宋体" w:hAnsi="宋体"/>
          <w:szCs w:val="21"/>
        </w:rPr>
        <w:t>3、验收依据为谈判文件、应答文件，国家和行业有关规范、规程和标准。</w:t>
      </w:r>
    </w:p>
    <w:p w14:paraId="03C7FACA">
      <w:pPr>
        <w:ind w:firstLine="422" w:firstLineChars="200"/>
        <w:rPr>
          <w:rFonts w:ascii="宋体" w:hAnsi="宋体"/>
          <w:b/>
          <w:bCs/>
          <w:szCs w:val="21"/>
        </w:rPr>
      </w:pPr>
      <w:r>
        <w:rPr>
          <w:rFonts w:hint="eastAsia" w:ascii="宋体" w:hAnsi="宋体"/>
          <w:b/>
          <w:bCs/>
          <w:szCs w:val="21"/>
        </w:rPr>
        <w:t>第十五条  付款方式</w:t>
      </w:r>
    </w:p>
    <w:p w14:paraId="07139A5C">
      <w:pPr>
        <w:ind w:firstLine="420" w:firstLineChars="200"/>
        <w:rPr>
          <w:rFonts w:ascii="宋体" w:hAnsi="宋体"/>
          <w:szCs w:val="21"/>
        </w:rPr>
      </w:pPr>
      <w:r>
        <w:rPr>
          <w:rFonts w:hint="eastAsia" w:ascii="宋体" w:hAnsi="宋体"/>
          <w:szCs w:val="21"/>
        </w:rPr>
        <w:t>1、合同签订后天内乙方向甲方开具合法有效的发票后，甲方向乙方支付合同总价%的款项。</w:t>
      </w:r>
    </w:p>
    <w:p w14:paraId="775A9EAD">
      <w:pPr>
        <w:ind w:firstLine="420" w:firstLineChars="200"/>
        <w:rPr>
          <w:rFonts w:ascii="宋体" w:hAnsi="宋体"/>
          <w:szCs w:val="21"/>
        </w:rPr>
      </w:pPr>
      <w:r>
        <w:rPr>
          <w:rFonts w:hint="eastAsia" w:ascii="宋体" w:hAnsi="宋体"/>
          <w:szCs w:val="21"/>
        </w:rPr>
        <w:t>2、检测完成并提交评估报告后   天内，乙方向甲方开具合法有效发票后  天内甲方向乙方支付合同总价%的款项。</w:t>
      </w:r>
    </w:p>
    <w:p w14:paraId="098F30DE">
      <w:pPr>
        <w:ind w:firstLine="420" w:firstLineChars="200"/>
        <w:rPr>
          <w:rFonts w:ascii="宋体" w:hAnsi="宋体"/>
          <w:szCs w:val="21"/>
        </w:rPr>
      </w:pPr>
      <w:r>
        <w:rPr>
          <w:rFonts w:hint="eastAsia" w:ascii="宋体" w:hAnsi="宋体"/>
          <w:szCs w:val="21"/>
        </w:rPr>
        <w:t>3、报告通过专家评审后  天内，乙方向甲方开具合法有效发票后 天内，甲方向乙方支付合同总价%的款项。</w:t>
      </w:r>
    </w:p>
    <w:p w14:paraId="66AAAE75">
      <w:pPr>
        <w:ind w:firstLine="422" w:firstLineChars="200"/>
        <w:rPr>
          <w:rFonts w:ascii="宋体" w:hAnsi="宋体"/>
          <w:b/>
          <w:bCs/>
          <w:szCs w:val="21"/>
        </w:rPr>
      </w:pPr>
      <w:r>
        <w:rPr>
          <w:rFonts w:hint="eastAsia" w:ascii="宋体" w:hAnsi="宋体"/>
          <w:b/>
          <w:bCs/>
          <w:szCs w:val="21"/>
        </w:rPr>
        <w:t>第十六条  争议解决办法</w:t>
      </w:r>
    </w:p>
    <w:p w14:paraId="704FC908">
      <w:r>
        <w:rPr>
          <w:rFonts w:hint="eastAsia" w:ascii="宋体" w:hAnsi="宋体"/>
          <w:szCs w:val="21"/>
        </w:rPr>
        <w:t>执行本合同发生的争议，由甲乙双方协商解决。如协商不成的，应提交甲方所在地人民法院诉讼解决。</w:t>
      </w:r>
    </w:p>
    <w:p w14:paraId="20C7786A">
      <w:pPr>
        <w:ind w:firstLine="420" w:firstLineChars="200"/>
        <w:rPr>
          <w:rFonts w:ascii="宋体" w:hAnsi="宋体"/>
          <w:szCs w:val="21"/>
        </w:rPr>
      </w:pPr>
    </w:p>
    <w:p w14:paraId="1674CABD">
      <w:pPr>
        <w:ind w:firstLine="422" w:firstLineChars="200"/>
        <w:rPr>
          <w:rFonts w:ascii="宋体" w:hAnsi="宋体"/>
          <w:b/>
          <w:bCs/>
          <w:szCs w:val="21"/>
        </w:rPr>
      </w:pPr>
      <w:r>
        <w:rPr>
          <w:rFonts w:hint="eastAsia" w:ascii="宋体" w:hAnsi="宋体"/>
          <w:b/>
          <w:bCs/>
          <w:szCs w:val="21"/>
        </w:rPr>
        <w:t>第十七条  风险责任</w:t>
      </w:r>
    </w:p>
    <w:p w14:paraId="557DB185">
      <w:pPr>
        <w:ind w:firstLine="420" w:firstLineChars="200"/>
        <w:rPr>
          <w:rFonts w:ascii="宋体" w:hAnsi="宋体"/>
          <w:szCs w:val="21"/>
        </w:rPr>
      </w:pPr>
      <w:r>
        <w:rPr>
          <w:rFonts w:hint="eastAsia" w:ascii="宋体" w:hAnsi="宋体"/>
          <w:szCs w:val="21"/>
        </w:rPr>
        <w:t>１、乙方应完全地按照号谈判文件的要求和乙方应答文件的承诺完成本项目，出于自身财务、技术、人力等原因导致项目失败的，应承担全部责任。</w:t>
      </w:r>
    </w:p>
    <w:p w14:paraId="5DD953A8">
      <w:pPr>
        <w:ind w:firstLine="420" w:firstLineChars="200"/>
        <w:rPr>
          <w:rFonts w:ascii="宋体" w:hAnsi="宋体"/>
          <w:szCs w:val="21"/>
        </w:rPr>
      </w:pPr>
      <w:r>
        <w:rPr>
          <w:rFonts w:hint="eastAsia" w:ascii="宋体" w:hAnsi="宋体"/>
          <w:szCs w:val="21"/>
        </w:rPr>
        <w:t>2、乙方在实施荷载试验过程中应对自身的安全生产负责，若非甲方原因发生的各种事故甲方不承担任何责任。</w:t>
      </w:r>
    </w:p>
    <w:p w14:paraId="3C04E552">
      <w:pPr>
        <w:ind w:firstLine="422" w:firstLineChars="200"/>
        <w:rPr>
          <w:rFonts w:ascii="宋体" w:hAnsi="宋体"/>
          <w:b/>
          <w:bCs/>
          <w:szCs w:val="21"/>
        </w:rPr>
      </w:pPr>
      <w:r>
        <w:rPr>
          <w:rFonts w:hint="eastAsia" w:ascii="宋体" w:hAnsi="宋体"/>
          <w:b/>
          <w:bCs/>
          <w:szCs w:val="21"/>
        </w:rPr>
        <w:t>第十八条  违约责任</w:t>
      </w:r>
    </w:p>
    <w:p w14:paraId="6266FB59">
      <w:pPr>
        <w:ind w:firstLine="420" w:firstLineChars="200"/>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FEB129F">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9B3866A">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50A8CF65">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应答文件承诺的仪器设备，否则甲方有权终止合同，并保留追究乙方责任及要求赔偿损失的权利。</w:t>
      </w:r>
    </w:p>
    <w:p w14:paraId="4B9B7D78">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06F8A59B">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318EB0EA">
      <w:pPr>
        <w:ind w:firstLine="422" w:firstLineChars="200"/>
        <w:rPr>
          <w:rFonts w:ascii="宋体" w:hAnsi="宋体"/>
          <w:b/>
          <w:bCs/>
          <w:szCs w:val="21"/>
        </w:rPr>
      </w:pPr>
      <w:r>
        <w:rPr>
          <w:rFonts w:hint="eastAsia" w:ascii="宋体" w:hAnsi="宋体"/>
          <w:b/>
          <w:bCs/>
          <w:szCs w:val="21"/>
        </w:rPr>
        <w:t>第十九条  其他</w:t>
      </w:r>
    </w:p>
    <w:p w14:paraId="40DD9939">
      <w:pPr>
        <w:ind w:firstLine="420" w:firstLineChars="200"/>
        <w:rPr>
          <w:rFonts w:ascii="宋体" w:hAnsi="宋体"/>
          <w:szCs w:val="21"/>
        </w:rPr>
      </w:pPr>
      <w:r>
        <w:rPr>
          <w:rFonts w:hint="eastAsia" w:ascii="宋体" w:hAnsi="宋体"/>
          <w:szCs w:val="21"/>
        </w:rPr>
        <w:t>1、本合同与谈判文件、应答文件如有抵触之处，以本合同条款为准。</w:t>
      </w:r>
    </w:p>
    <w:p w14:paraId="53946E3F">
      <w:pPr>
        <w:ind w:firstLine="420" w:firstLineChars="200"/>
        <w:rPr>
          <w:rFonts w:ascii="宋体" w:hAnsi="宋体"/>
          <w:szCs w:val="21"/>
        </w:rPr>
      </w:pPr>
      <w:r>
        <w:rPr>
          <w:rFonts w:hint="eastAsia" w:ascii="宋体" w:hAnsi="宋体"/>
          <w:szCs w:val="21"/>
        </w:rPr>
        <w:t>2、下列文件均为本合同的组成部分：</w:t>
      </w:r>
    </w:p>
    <w:p w14:paraId="150F6133">
      <w:pPr>
        <w:ind w:firstLine="420" w:firstLineChars="200"/>
        <w:rPr>
          <w:rFonts w:ascii="宋体" w:hAnsi="宋体"/>
          <w:szCs w:val="21"/>
        </w:rPr>
      </w:pPr>
      <w:r>
        <w:rPr>
          <w:rFonts w:hint="eastAsia" w:ascii="宋体" w:hAnsi="宋体"/>
          <w:szCs w:val="21"/>
        </w:rPr>
        <w:t>（1）谈判文件、答疑及补充通知；</w:t>
      </w:r>
    </w:p>
    <w:p w14:paraId="3A856D81">
      <w:pPr>
        <w:ind w:firstLine="420" w:firstLineChars="200"/>
        <w:rPr>
          <w:rFonts w:ascii="宋体" w:hAnsi="宋体"/>
          <w:szCs w:val="21"/>
        </w:rPr>
      </w:pPr>
      <w:r>
        <w:rPr>
          <w:rFonts w:hint="eastAsia" w:ascii="宋体" w:hAnsi="宋体"/>
          <w:szCs w:val="21"/>
        </w:rPr>
        <w:t>（2）应答文件；</w:t>
      </w:r>
    </w:p>
    <w:p w14:paraId="6119E521">
      <w:pPr>
        <w:ind w:firstLine="420" w:firstLineChars="200"/>
        <w:rPr>
          <w:rFonts w:ascii="宋体" w:hAnsi="宋体"/>
          <w:szCs w:val="21"/>
        </w:rPr>
      </w:pPr>
      <w:r>
        <w:rPr>
          <w:rFonts w:hint="eastAsia" w:ascii="宋体" w:hAnsi="宋体"/>
          <w:szCs w:val="21"/>
        </w:rPr>
        <w:t>（3）本合同执行中共同签署的补充与修正文件。</w:t>
      </w:r>
    </w:p>
    <w:p w14:paraId="36B69DC9">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1B684DE5">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591D8745">
      <w:pPr>
        <w:ind w:firstLine="420" w:firstLineChars="200"/>
        <w:rPr>
          <w:rFonts w:ascii="宋体" w:hAnsi="宋体"/>
          <w:szCs w:val="21"/>
        </w:rPr>
      </w:pPr>
    </w:p>
    <w:p w14:paraId="5DA0FC10">
      <w:pPr>
        <w:ind w:firstLine="420" w:firstLineChars="200"/>
        <w:rPr>
          <w:rFonts w:ascii="宋体" w:hAnsi="宋体"/>
          <w:szCs w:val="21"/>
        </w:rPr>
      </w:pPr>
    </w:p>
    <w:p w14:paraId="5FBAB8EA">
      <w:pPr>
        <w:spacing w:line="360" w:lineRule="auto"/>
        <w:ind w:firstLine="560"/>
        <w:jc w:val="left"/>
        <w:rPr>
          <w:rFonts w:ascii="宋体" w:hAnsi="宋体"/>
          <w:szCs w:val="21"/>
        </w:rPr>
      </w:pPr>
      <w:r>
        <w:rPr>
          <w:rFonts w:hint="eastAsia" w:ascii="宋体" w:hAnsi="宋体"/>
          <w:szCs w:val="21"/>
        </w:rPr>
        <w:t>甲方（采购人）：   （盖章）       乙方（供应商）：    （盖章）</w:t>
      </w:r>
    </w:p>
    <w:p w14:paraId="34A9877B">
      <w:pPr>
        <w:spacing w:line="360" w:lineRule="auto"/>
        <w:ind w:firstLine="560"/>
        <w:jc w:val="left"/>
        <w:rPr>
          <w:rFonts w:ascii="宋体" w:hAnsi="宋体"/>
          <w:szCs w:val="21"/>
        </w:rPr>
      </w:pPr>
      <w:r>
        <w:rPr>
          <w:rFonts w:hint="eastAsia" w:ascii="宋体" w:hAnsi="宋体"/>
          <w:szCs w:val="21"/>
        </w:rPr>
        <w:t xml:space="preserve">法定代表人：                     法定代表人： </w:t>
      </w:r>
    </w:p>
    <w:p w14:paraId="00D868D7">
      <w:pPr>
        <w:spacing w:line="360" w:lineRule="auto"/>
        <w:ind w:firstLine="560"/>
        <w:jc w:val="left"/>
        <w:rPr>
          <w:rFonts w:ascii="宋体" w:hAnsi="宋体"/>
          <w:szCs w:val="21"/>
        </w:rPr>
      </w:pPr>
      <w:r>
        <w:rPr>
          <w:rFonts w:hint="eastAsia" w:ascii="宋体" w:hAnsi="宋体"/>
          <w:szCs w:val="21"/>
        </w:rPr>
        <w:t>委托代理人：                     委托代理人：</w:t>
      </w:r>
    </w:p>
    <w:p w14:paraId="476F73F6">
      <w:pPr>
        <w:ind w:firstLine="420" w:firstLineChars="200"/>
      </w:pPr>
      <w:r>
        <w:rPr>
          <w:rFonts w:hint="eastAsia" w:ascii="宋体" w:hAnsi="宋体"/>
          <w:szCs w:val="21"/>
        </w:rPr>
        <w:t>日期：   年     月    日         日期：   年     月    日</w:t>
      </w:r>
    </w:p>
    <w:p w14:paraId="102C4BD4"/>
    <w:p w14:paraId="774D72C9">
      <w:pPr>
        <w:keepNext/>
        <w:keepLines/>
        <w:pageBreakBefore/>
        <w:adjustRightInd w:val="0"/>
        <w:jc w:val="center"/>
        <w:textAlignment w:val="baseline"/>
        <w:outlineLvl w:val="1"/>
        <w:rPr>
          <w:sz w:val="24"/>
          <w:szCs w:val="20"/>
        </w:rPr>
      </w:pPr>
      <w:r>
        <w:rPr>
          <w:rFonts w:hint="eastAsia"/>
          <w:sz w:val="24"/>
          <w:szCs w:val="20"/>
        </w:rPr>
        <w:t xml:space="preserve">第六章 </w:t>
      </w:r>
      <w:r>
        <w:rPr>
          <w:sz w:val="24"/>
          <w:szCs w:val="20"/>
        </w:rPr>
        <w:t xml:space="preserve"> </w:t>
      </w:r>
      <w:r>
        <w:rPr>
          <w:rFonts w:hint="eastAsia"/>
          <w:sz w:val="24"/>
          <w:szCs w:val="20"/>
        </w:rPr>
        <w:t>谈判须知</w:t>
      </w:r>
    </w:p>
    <w:p w14:paraId="7CC52062">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一、总则</w:t>
      </w:r>
    </w:p>
    <w:p w14:paraId="36D7B565">
      <w:pPr>
        <w:rPr>
          <w:rFonts w:ascii="黑体" w:hAnsi="宋体" w:eastAsia="黑体"/>
          <w:sz w:val="24"/>
        </w:rPr>
      </w:pPr>
      <w:r>
        <w:rPr>
          <w:rFonts w:hint="eastAsia" w:ascii="黑体" w:hAnsi="宋体" w:eastAsia="黑体"/>
          <w:sz w:val="24"/>
        </w:rPr>
        <w:t>1. 谈判须知说明</w:t>
      </w:r>
    </w:p>
    <w:p w14:paraId="26D08786">
      <w:pPr>
        <w:ind w:firstLine="411" w:firstLineChars="196"/>
        <w:rPr>
          <w:rFonts w:ascii="宋体" w:hAnsi="宋体"/>
          <w:szCs w:val="21"/>
        </w:rPr>
      </w:pPr>
      <w:r>
        <w:rPr>
          <w:rFonts w:hint="eastAsia" w:ascii="宋体" w:hAnsi="宋体"/>
          <w:szCs w:val="21"/>
        </w:rPr>
        <w:t>1.1采购人发出谈判文件谈判须知，列出本项目进行比价谈判采购所适用的一般性须知内容。如有需要，采购人可以对谈判须知的内容进行补充。</w:t>
      </w:r>
    </w:p>
    <w:p w14:paraId="323568F7">
      <w:pPr>
        <w:rPr>
          <w:rFonts w:ascii="黑体" w:hAnsi="宋体" w:eastAsia="黑体"/>
          <w:sz w:val="24"/>
        </w:rPr>
      </w:pPr>
      <w:r>
        <w:rPr>
          <w:rFonts w:ascii="黑体" w:hAnsi="宋体" w:eastAsia="黑体"/>
          <w:sz w:val="24"/>
        </w:rPr>
        <w:t>2．</w:t>
      </w:r>
      <w:r>
        <w:rPr>
          <w:rFonts w:hint="eastAsia" w:ascii="黑体" w:hAnsi="宋体" w:eastAsia="黑体"/>
          <w:sz w:val="24"/>
        </w:rPr>
        <w:t>谈判说明</w:t>
      </w:r>
    </w:p>
    <w:p w14:paraId="5A2C09C6">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w:t>
      </w:r>
      <w:r>
        <w:rPr>
          <w:rFonts w:hint="eastAsia" w:ascii="宋体" w:hAnsi="宋体"/>
          <w:szCs w:val="21"/>
          <w:highlight w:val="yellow"/>
        </w:rPr>
        <w:t>比价谈判</w:t>
      </w:r>
      <w:r>
        <w:rPr>
          <w:rFonts w:hint="eastAsia" w:ascii="宋体" w:hAnsi="宋体"/>
          <w:szCs w:val="21"/>
        </w:rPr>
        <w:t>方式确定成交供应商。</w:t>
      </w:r>
    </w:p>
    <w:p w14:paraId="3BAC5D0C">
      <w:pPr>
        <w:rPr>
          <w:rFonts w:ascii="黑体" w:hAnsi="宋体" w:eastAsia="黑体"/>
          <w:sz w:val="24"/>
        </w:rPr>
      </w:pPr>
      <w:r>
        <w:rPr>
          <w:rFonts w:ascii="黑体" w:hAnsi="宋体" w:eastAsia="黑体"/>
          <w:sz w:val="24"/>
        </w:rPr>
        <w:t>3</w:t>
      </w:r>
      <w:r>
        <w:rPr>
          <w:rFonts w:hint="eastAsia" w:ascii="黑体" w:hAnsi="宋体" w:eastAsia="黑体"/>
          <w:sz w:val="24"/>
        </w:rPr>
        <w:t>．定义</w:t>
      </w:r>
    </w:p>
    <w:p w14:paraId="1BC37926">
      <w:pPr>
        <w:ind w:firstLine="420" w:firstLineChars="200"/>
        <w:rPr>
          <w:rFonts w:ascii="宋体" w:hAnsi="宋体"/>
          <w:szCs w:val="21"/>
        </w:rPr>
      </w:pPr>
      <w:r>
        <w:rPr>
          <w:rFonts w:hint="eastAsia" w:ascii="宋体" w:hAnsi="宋体"/>
          <w:szCs w:val="21"/>
        </w:rPr>
        <w:t>谈判</w:t>
      </w:r>
      <w:r>
        <w:rPr>
          <w:rFonts w:ascii="宋体" w:hAnsi="宋体"/>
          <w:szCs w:val="21"/>
        </w:rPr>
        <w:t>文件中下列术语应解释为：</w:t>
      </w:r>
    </w:p>
    <w:p w14:paraId="3969A35B">
      <w:pPr>
        <w:ind w:firstLine="411" w:firstLineChars="196"/>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6463E326">
      <w:pPr>
        <w:ind w:firstLine="411" w:firstLineChars="196"/>
        <w:rPr>
          <w:rFonts w:ascii="宋体" w:hAnsi="宋体"/>
          <w:szCs w:val="21"/>
        </w:rPr>
      </w:pPr>
      <w:r>
        <w:rPr>
          <w:rFonts w:ascii="宋体" w:hAnsi="宋体"/>
          <w:szCs w:val="21"/>
        </w:rPr>
        <w:t>3</w:t>
      </w:r>
      <w:r>
        <w:rPr>
          <w:rFonts w:hint="eastAsia" w:ascii="宋体" w:hAnsi="宋体"/>
          <w:szCs w:val="21"/>
        </w:rPr>
        <w:t>.2“供应商”，即谈判供应商，指参加谈判竞争并愿意按照谈判文件要求向采购人提供货物、工程或者服务的依法成立的法人、其他组织或者自然人；</w:t>
      </w:r>
    </w:p>
    <w:p w14:paraId="1CEF6558">
      <w:pPr>
        <w:ind w:firstLine="411" w:firstLineChars="196"/>
        <w:rPr>
          <w:rFonts w:ascii="宋体" w:hAnsi="宋体"/>
          <w:szCs w:val="21"/>
        </w:rPr>
      </w:pPr>
      <w:r>
        <w:rPr>
          <w:rFonts w:ascii="宋体" w:hAnsi="宋体"/>
          <w:szCs w:val="21"/>
        </w:rPr>
        <w:t>3</w:t>
      </w:r>
      <w:r>
        <w:rPr>
          <w:rFonts w:hint="eastAsia" w:ascii="宋体" w:hAnsi="宋体"/>
          <w:szCs w:val="21"/>
        </w:rPr>
        <w:t>.3“谈判小组”是依据《深圳经济特区政府采购条例》、《深圳经济特区政府采购条例实施细则》等有关规定组建的专门负责本次谈判工作的临时性机构；</w:t>
      </w:r>
    </w:p>
    <w:p w14:paraId="2588BA05">
      <w:pPr>
        <w:ind w:firstLine="411" w:firstLineChars="196"/>
        <w:rPr>
          <w:rFonts w:ascii="宋体" w:hAnsi="宋体"/>
          <w:szCs w:val="21"/>
        </w:rPr>
      </w:pPr>
      <w:r>
        <w:rPr>
          <w:rFonts w:ascii="宋体" w:hAnsi="宋体"/>
          <w:szCs w:val="21"/>
        </w:rPr>
        <w:t>3</w:t>
      </w:r>
      <w:r>
        <w:rPr>
          <w:rFonts w:hint="eastAsia" w:ascii="宋体" w:hAnsi="宋体"/>
          <w:szCs w:val="21"/>
        </w:rPr>
        <w:t>.4“日期”</w:t>
      </w:r>
      <w:r>
        <w:rPr>
          <w:rFonts w:ascii="宋体" w:hAnsi="宋体"/>
          <w:szCs w:val="21"/>
        </w:rPr>
        <w:t>指</w:t>
      </w:r>
      <w:r>
        <w:rPr>
          <w:rFonts w:hint="eastAsia" w:ascii="宋体" w:hAnsi="宋体"/>
          <w:szCs w:val="21"/>
        </w:rPr>
        <w:t>公历日；</w:t>
      </w:r>
    </w:p>
    <w:p w14:paraId="5850C0A2">
      <w:pPr>
        <w:ind w:firstLine="411" w:firstLineChars="196"/>
        <w:rPr>
          <w:rFonts w:ascii="宋体" w:hAnsi="宋体"/>
          <w:szCs w:val="21"/>
        </w:rPr>
      </w:pPr>
      <w:r>
        <w:rPr>
          <w:rFonts w:ascii="宋体" w:hAnsi="宋体"/>
          <w:szCs w:val="21"/>
        </w:rPr>
        <w:t>3</w:t>
      </w:r>
      <w:r>
        <w:rPr>
          <w:rFonts w:hint="eastAsia" w:ascii="宋体" w:hAnsi="宋体"/>
          <w:szCs w:val="21"/>
        </w:rPr>
        <w:t>.5“合同”指由本次所采购产生的合同或合约文件；</w:t>
      </w:r>
    </w:p>
    <w:p w14:paraId="45861202">
      <w:pPr>
        <w:ind w:firstLine="411" w:firstLineChars="196"/>
        <w:rPr>
          <w:rFonts w:ascii="宋体" w:hAnsi="宋体"/>
          <w:szCs w:val="21"/>
        </w:rPr>
      </w:pPr>
      <w:r>
        <w:rPr>
          <w:rFonts w:ascii="宋体" w:hAnsi="宋体"/>
          <w:szCs w:val="21"/>
        </w:rPr>
        <w:t>3</w:t>
      </w:r>
      <w:r>
        <w:rPr>
          <w:rFonts w:hint="eastAsia" w:ascii="宋体" w:hAnsi="宋体"/>
          <w:szCs w:val="21"/>
        </w:rPr>
        <w:t>.6“网上应答”指</w:t>
      </w:r>
      <w:r>
        <w:rPr>
          <w:rFonts w:hint="eastAsia"/>
          <w:szCs w:val="21"/>
        </w:rPr>
        <w:t>通过</w:t>
      </w:r>
      <w:r>
        <w:rPr>
          <w:rFonts w:hint="eastAsia"/>
          <w:b/>
          <w:bCs/>
          <w:szCs w:val="21"/>
        </w:rPr>
        <w:t>邮件</w:t>
      </w:r>
      <w:r>
        <w:rPr>
          <w:rFonts w:hint="eastAsia"/>
          <w:szCs w:val="21"/>
        </w:rPr>
        <w:t>上传电子响应文件发送至谈判公告指定邮箱</w:t>
      </w:r>
      <w:r>
        <w:rPr>
          <w:rFonts w:hint="eastAsia" w:ascii="宋体" w:hAnsi="宋体"/>
          <w:szCs w:val="21"/>
        </w:rPr>
        <w:t>；</w:t>
      </w:r>
    </w:p>
    <w:p w14:paraId="448A6353">
      <w:pPr>
        <w:ind w:firstLine="411" w:firstLineChars="196"/>
        <w:rPr>
          <w:rFonts w:ascii="宋体" w:hAnsi="宋体"/>
          <w:szCs w:val="21"/>
        </w:rPr>
      </w:pPr>
      <w:r>
        <w:rPr>
          <w:rFonts w:hint="eastAsia" w:ascii="宋体" w:hAnsi="宋体"/>
          <w:szCs w:val="21"/>
        </w:rPr>
        <w:t>3.7谈判文件中的标题或题名仅起引导作用，而不应视为对谈判文件内容的理解和解释。</w:t>
      </w:r>
    </w:p>
    <w:p w14:paraId="1EF1C8D8">
      <w:pPr>
        <w:rPr>
          <w:rFonts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rPr>
        <w:t>政府采购供应商责任</w:t>
      </w:r>
    </w:p>
    <w:p w14:paraId="27EE2775">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13DF27BE">
      <w:pPr>
        <w:ind w:firstLine="411" w:firstLineChars="196"/>
        <w:rPr>
          <w:rFonts w:ascii="宋体" w:hAnsi="宋体"/>
          <w:szCs w:val="21"/>
        </w:rPr>
      </w:pPr>
      <w:r>
        <w:rPr>
          <w:rFonts w:hint="eastAsia" w:ascii="宋体" w:hAnsi="宋体"/>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60AE55C2">
      <w:pPr>
        <w:rPr>
          <w:rFonts w:ascii="黑体" w:hAnsi="宋体" w:eastAsia="黑体"/>
          <w:sz w:val="24"/>
        </w:rPr>
      </w:pPr>
      <w:r>
        <w:rPr>
          <w:rFonts w:hint="eastAsia" w:ascii="黑体" w:hAnsi="宋体" w:eastAsia="黑体"/>
          <w:sz w:val="24"/>
        </w:rPr>
        <w:t>5．供应商参加政府采购的条件</w:t>
      </w:r>
    </w:p>
    <w:p w14:paraId="4B73BB75">
      <w:pPr>
        <w:ind w:firstLine="411" w:firstLineChars="196"/>
        <w:rPr>
          <w:rFonts w:ascii="宋体" w:hAnsi="宋体"/>
          <w:szCs w:val="21"/>
        </w:rPr>
      </w:pPr>
      <w:bookmarkStart w:id="44" w:name="_Hlk72662959"/>
      <w:r>
        <w:rPr>
          <w:rFonts w:hint="eastAsia" w:ascii="宋体" w:hAnsi="宋体"/>
          <w:szCs w:val="21"/>
        </w:rPr>
        <w:t>5.1</w:t>
      </w:r>
      <w:r>
        <w:rPr>
          <w:rFonts w:ascii="宋体" w:hAnsi="宋体"/>
          <w:szCs w:val="21"/>
        </w:rPr>
        <w:t xml:space="preserve"> </w:t>
      </w:r>
      <w:r>
        <w:rPr>
          <w:rFonts w:hint="eastAsia" w:ascii="宋体" w:hAnsi="宋体"/>
          <w:szCs w:val="21"/>
        </w:rPr>
        <w:t>供应商资格要求</w:t>
      </w:r>
    </w:p>
    <w:p w14:paraId="31EB59A9">
      <w:pPr>
        <w:rPr>
          <w:rFonts w:ascii="宋体" w:hAnsi="宋体"/>
          <w:szCs w:val="21"/>
        </w:rPr>
      </w:pPr>
      <w:r>
        <w:rPr>
          <w:rFonts w:hint="eastAsia" w:ascii="宋体" w:hAnsi="宋体"/>
          <w:szCs w:val="21"/>
        </w:rPr>
        <w:t>参加本项目的供应商应具备的资格条件详见本项目谈判公告中“申请人的资格要求”（即供应商资格要求）的内容。</w:t>
      </w:r>
    </w:p>
    <w:bookmarkEnd w:id="44"/>
    <w:p w14:paraId="0F912E0C">
      <w:pPr>
        <w:rPr>
          <w:rFonts w:ascii="黑体" w:hAnsi="宋体" w:eastAsia="黑体"/>
          <w:sz w:val="24"/>
        </w:rPr>
      </w:pPr>
      <w:r>
        <w:rPr>
          <w:rFonts w:hint="eastAsia" w:ascii="黑体" w:hAnsi="宋体" w:eastAsia="黑体"/>
          <w:sz w:val="24"/>
        </w:rPr>
        <w:t>6．政策导向</w:t>
      </w:r>
    </w:p>
    <w:p w14:paraId="13608F40">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14:paraId="18580C45">
      <w:pPr>
        <w:ind w:firstLine="405"/>
        <w:rPr>
          <w:shd w:val="clear" w:color="auto" w:fill="FFFFFF"/>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3654522D">
      <w:pPr>
        <w:rPr>
          <w:rFonts w:ascii="黑体" w:hAnsi="宋体" w:eastAsia="黑体"/>
          <w:sz w:val="24"/>
        </w:rPr>
      </w:pPr>
      <w:r>
        <w:rPr>
          <w:rFonts w:hint="eastAsia" w:ascii="黑体" w:hAnsi="宋体" w:eastAsia="黑体"/>
          <w:sz w:val="24"/>
        </w:rPr>
        <w:t>7. 本项目若涉及采购货物，则合格的货物及相应服务应满足以下要求：</w:t>
      </w:r>
    </w:p>
    <w:p w14:paraId="1A7F2534">
      <w:pPr>
        <w:ind w:firstLine="411" w:firstLineChars="196"/>
        <w:rPr>
          <w:rFonts w:ascii="宋体" w:hAnsi="宋体"/>
        </w:rPr>
      </w:pPr>
      <w:bookmarkStart w:id="45" w:name="_Hlk72665160"/>
      <w:bookmarkStart w:id="46" w:name="_Hlk72665201"/>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8993A75">
      <w:pPr>
        <w:ind w:firstLine="411" w:firstLineChars="196"/>
        <w:rPr>
          <w:rFonts w:ascii="宋体" w:hAnsi="宋体"/>
        </w:rPr>
      </w:pPr>
      <w:r>
        <w:rPr>
          <w:rFonts w:hint="eastAsia" w:ascii="宋体" w:hAnsi="宋体"/>
        </w:rPr>
        <w:t>7.2 国产的货物及其有关服务必须符合中华人民共和国的设计、制造生产标准及行业标准。谈判公告有其他要求的，亦应符合其要求。</w:t>
      </w:r>
    </w:p>
    <w:p w14:paraId="0BA6B250">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14:paraId="5E29B8C0">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47"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7"/>
    </w:p>
    <w:p w14:paraId="3CB3EEFC">
      <w:pPr>
        <w:ind w:firstLine="411" w:firstLineChars="196"/>
        <w:rPr>
          <w:rFonts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3C41AC13">
      <w:pPr>
        <w:ind w:firstLine="411" w:firstLineChars="196"/>
        <w:rPr>
          <w:rFonts w:ascii="宋体" w:hAnsi="宋体"/>
        </w:rPr>
      </w:pPr>
      <w:r>
        <w:rPr>
          <w:rFonts w:hint="eastAsia" w:ascii="宋体" w:hAnsi="宋体"/>
        </w:rPr>
        <w:t xml:space="preserve">7.6 </w:t>
      </w:r>
      <w:bookmarkStart w:id="48" w:name="_Hlk72399342"/>
      <w:r>
        <w:rPr>
          <w:rFonts w:hint="eastAsia" w:ascii="宋体" w:hAnsi="宋体"/>
        </w:rPr>
        <w:t>工期要求：供应商在谈判时对其所投项目应提交交货进度、交货计划等，在合同规定的时间内完成项目实施工作。</w:t>
      </w:r>
      <w:bookmarkEnd w:id="48"/>
    </w:p>
    <w:p w14:paraId="4333192A">
      <w:pPr>
        <w:ind w:firstLine="411" w:firstLineChars="196"/>
        <w:rPr>
          <w:rFonts w:ascii="宋体" w:hAnsi="宋体"/>
        </w:rPr>
      </w:pPr>
      <w:r>
        <w:rPr>
          <w:rFonts w:hint="eastAsia" w:ascii="宋体" w:hAnsi="宋体"/>
        </w:rPr>
        <w:t xml:space="preserve">7.7 </w:t>
      </w:r>
      <w:bookmarkEnd w:id="45"/>
      <w:r>
        <w:rPr>
          <w:rFonts w:hint="eastAsia" w:ascii="宋体" w:hAnsi="宋体"/>
        </w:rPr>
        <w:t>成交供应商必须承担货物运输、安装调试、验收检测和提供设备操作说明书、图纸等其他相关及类似的义务。</w:t>
      </w:r>
      <w:bookmarkEnd w:id="46"/>
    </w:p>
    <w:p w14:paraId="3B40416A">
      <w:pPr>
        <w:rPr>
          <w:rFonts w:ascii="黑体" w:hAnsi="宋体" w:eastAsia="黑体"/>
          <w:sz w:val="24"/>
        </w:rPr>
      </w:pPr>
      <w:r>
        <w:rPr>
          <w:rFonts w:hint="eastAsia" w:ascii="黑体" w:hAnsi="宋体" w:eastAsia="黑体"/>
          <w:sz w:val="24"/>
        </w:rPr>
        <w:t>8．谈判费用</w:t>
      </w:r>
    </w:p>
    <w:p w14:paraId="2ABD1ECE">
      <w:pPr>
        <w:ind w:firstLine="411" w:firstLineChars="196"/>
        <w:rPr>
          <w:rFonts w:ascii="宋体" w:hAnsi="宋体"/>
          <w:szCs w:val="21"/>
        </w:rPr>
      </w:pPr>
      <w:r>
        <w:rPr>
          <w:rFonts w:hint="eastAsia" w:ascii="宋体" w:hAnsi="宋体"/>
          <w:szCs w:val="21"/>
        </w:rPr>
        <w:t>不论谈判结果如何，供应商应承担其编制应答文件与递交应答文件所涉及的一切费用。</w:t>
      </w:r>
    </w:p>
    <w:p w14:paraId="770A2E31">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二、谈判文件</w:t>
      </w:r>
    </w:p>
    <w:p w14:paraId="55EA51B0">
      <w:pPr>
        <w:rPr>
          <w:rFonts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rPr>
        <w:t>谈判文件的编制与组成</w:t>
      </w:r>
    </w:p>
    <w:p w14:paraId="1A745A6E">
      <w:pPr>
        <w:snapToGrid w:val="0"/>
        <w:ind w:firstLine="420" w:firstLineChars="200"/>
        <w:rPr>
          <w:rFonts w:ascii="宋体" w:hAnsi="宋体"/>
          <w:szCs w:val="21"/>
        </w:rPr>
      </w:pPr>
      <w:r>
        <w:rPr>
          <w:rFonts w:ascii="宋体" w:hAnsi="宋体"/>
          <w:szCs w:val="21"/>
        </w:rPr>
        <w:t>9</w:t>
      </w:r>
      <w:r>
        <w:rPr>
          <w:rFonts w:hint="eastAsia" w:ascii="宋体" w:hAnsi="宋体"/>
          <w:szCs w:val="21"/>
        </w:rPr>
        <w:t>.1谈判文件除以下内容外，采购人在谈判期间发出的澄清或修改等相关公告或通知内容，均是谈判文件的组成部分，对供应商起约束作用；</w:t>
      </w:r>
    </w:p>
    <w:p w14:paraId="67542F51">
      <w:pPr>
        <w:ind w:firstLine="411" w:firstLineChars="196"/>
        <w:rPr>
          <w:rFonts w:ascii="宋体" w:hAnsi="宋体"/>
          <w:szCs w:val="21"/>
        </w:rPr>
      </w:pPr>
      <w:r>
        <w:rPr>
          <w:rFonts w:hint="eastAsia" w:ascii="宋体" w:hAnsi="宋体"/>
          <w:szCs w:val="21"/>
        </w:rPr>
        <w:t>谈判文件包括下列内容：</w:t>
      </w:r>
    </w:p>
    <w:p w14:paraId="5E086ACF">
      <w:pPr>
        <w:ind w:left="1079" w:leftChars="514"/>
        <w:rPr>
          <w:rFonts w:ascii="宋体" w:hAnsi="宋体"/>
          <w:b/>
          <w:szCs w:val="21"/>
        </w:rPr>
      </w:pPr>
      <w:r>
        <w:rPr>
          <w:rFonts w:hint="eastAsia" w:ascii="宋体" w:hAnsi="宋体"/>
          <w:b/>
          <w:szCs w:val="21"/>
        </w:rPr>
        <w:t>关键信息</w:t>
      </w:r>
    </w:p>
    <w:p w14:paraId="5C06D086">
      <w:pPr>
        <w:widowControl/>
        <w:wordWrap w:val="0"/>
        <w:ind w:firstLine="1260" w:firstLineChars="600"/>
        <w:jc w:val="left"/>
        <w:textAlignment w:val="top"/>
        <w:rPr>
          <w:szCs w:val="21"/>
        </w:rPr>
      </w:pPr>
      <w:r>
        <w:rPr>
          <w:rFonts w:hint="eastAsia"/>
          <w:szCs w:val="21"/>
        </w:rPr>
        <w:t>第一章  谈判公告</w:t>
      </w:r>
    </w:p>
    <w:p w14:paraId="7EA9773A">
      <w:pPr>
        <w:widowControl/>
        <w:wordWrap w:val="0"/>
        <w:ind w:firstLine="1260" w:firstLineChars="600"/>
        <w:jc w:val="left"/>
        <w:textAlignment w:val="top"/>
        <w:rPr>
          <w:szCs w:val="21"/>
        </w:rPr>
      </w:pPr>
      <w:r>
        <w:rPr>
          <w:rFonts w:hint="eastAsia"/>
          <w:szCs w:val="21"/>
        </w:rPr>
        <w:t>第二章  对谈判须知条款的补充内容及其他关键信息</w:t>
      </w:r>
    </w:p>
    <w:p w14:paraId="60498620">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5D20F466">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1638E47C">
      <w:pPr>
        <w:widowControl/>
        <w:wordWrap w:val="0"/>
        <w:ind w:firstLine="1260" w:firstLineChars="600"/>
        <w:jc w:val="left"/>
        <w:textAlignment w:val="top"/>
        <w:rPr>
          <w:szCs w:val="21"/>
        </w:rPr>
      </w:pPr>
      <w:r>
        <w:rPr>
          <w:rFonts w:hint="eastAsia"/>
          <w:szCs w:val="21"/>
        </w:rPr>
        <w:t>第五章  合同条款及格式</w:t>
      </w:r>
    </w:p>
    <w:p w14:paraId="7563146A">
      <w:pPr>
        <w:ind w:left="630" w:leftChars="300" w:firstLine="621" w:firstLineChars="296"/>
        <w:rPr>
          <w:rFonts w:ascii="宋体" w:hAnsi="宋体"/>
          <w:szCs w:val="21"/>
        </w:rPr>
      </w:pPr>
      <w:r>
        <w:rPr>
          <w:rFonts w:hint="eastAsia"/>
          <w:szCs w:val="21"/>
        </w:rPr>
        <w:t xml:space="preserve">第六章 </w:t>
      </w:r>
      <w:r>
        <w:rPr>
          <w:szCs w:val="21"/>
        </w:rPr>
        <w:t xml:space="preserve"> </w:t>
      </w:r>
      <w:r>
        <w:rPr>
          <w:rFonts w:hint="eastAsia"/>
          <w:szCs w:val="21"/>
        </w:rPr>
        <w:t>谈判须知</w:t>
      </w:r>
    </w:p>
    <w:p w14:paraId="0A2E74B2">
      <w:pPr>
        <w:ind w:firstLine="411" w:firstLineChars="196"/>
        <w:rPr>
          <w:rFonts w:ascii="宋体" w:hAnsi="宋体"/>
          <w:szCs w:val="21"/>
        </w:rPr>
      </w:pPr>
      <w:bookmarkStart w:id="49" w:name="_Hlk72665307"/>
      <w:r>
        <w:rPr>
          <w:rFonts w:ascii="宋体" w:hAnsi="宋体"/>
          <w:szCs w:val="21"/>
        </w:rPr>
        <w:t>9</w:t>
      </w:r>
      <w:r>
        <w:rPr>
          <w:rFonts w:hint="eastAsia" w:ascii="宋体" w:hAnsi="宋体"/>
          <w:szCs w:val="21"/>
        </w:rPr>
        <w:t>.2 供应商下载谈判文件后，应仔细检查谈判文件的所有内容，如有疑问应在答疑截止时间之前向采购人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14:paraId="167A813B">
      <w:pPr>
        <w:ind w:firstLine="411" w:firstLineChars="196"/>
        <w:rPr>
          <w:rFonts w:ascii="宋体" w:hAnsi="宋体"/>
          <w:szCs w:val="21"/>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任何人或任何组织向供应商提交的任何书面或口头资料，未经采购人在网上发布或书面通知，均作无效处理，不得作为谈判文件的组成部分。采购人对供应商由此而做出的推论、理解和结论概不负责。</w:t>
      </w:r>
      <w:bookmarkEnd w:id="49"/>
    </w:p>
    <w:p w14:paraId="1198CD03">
      <w:pPr>
        <w:rPr>
          <w:rFonts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．谈判文件的澄清</w:t>
      </w:r>
    </w:p>
    <w:p w14:paraId="0145617B">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.1谈判文件澄清的目的是澄清、解答供应商在查阅谈判文件后可能提出的与谈判有关的疑问或询问。</w:t>
      </w:r>
    </w:p>
    <w:p w14:paraId="7A1BE81E">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.2供应商如对谈判文件内容有疑问，应当在谈判公告规定的澄清（提问）截止时间前以邮件提问的形式通过</w:t>
      </w:r>
      <w:r>
        <w:rPr>
          <w:rFonts w:hint="eastAsia"/>
          <w:szCs w:val="21"/>
        </w:rPr>
        <w:t>采购人在谈判公告预留的邮箱地址</w:t>
      </w:r>
      <w:r>
        <w:rPr>
          <w:rFonts w:hint="eastAsia" w:ascii="宋体" w:hAnsi="宋体"/>
          <w:szCs w:val="21"/>
        </w:rPr>
        <w:t>提交采购人。</w:t>
      </w:r>
    </w:p>
    <w:p w14:paraId="50D2F8F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不论是采购人根据需要主动对谈判文件进行必要的澄清或是根据供应商的要求对谈判文件做出澄清，采购人都将在谈判截止日期前以书面形式（包括采购人网站发布方式）答复或发送给所有供应商。答复内容是谈判文件的组成部分，对供应商起约束作用，其有效性按照本谈判须知第1</w:t>
      </w:r>
      <w:r>
        <w:rPr>
          <w:rFonts w:ascii="宋体" w:hAnsi="宋体"/>
          <w:szCs w:val="21"/>
        </w:rPr>
        <w:t>1.3</w:t>
      </w:r>
      <w:r>
        <w:rPr>
          <w:rFonts w:hint="eastAsia" w:ascii="宋体" w:hAnsi="宋体"/>
          <w:szCs w:val="21"/>
        </w:rPr>
        <w:t>、1</w:t>
      </w:r>
      <w:r>
        <w:rPr>
          <w:rFonts w:ascii="宋体" w:hAnsi="宋体"/>
          <w:szCs w:val="21"/>
        </w:rPr>
        <w:t>1.4</w:t>
      </w:r>
      <w:r>
        <w:rPr>
          <w:rFonts w:hint="eastAsia" w:ascii="宋体" w:hAnsi="宋体"/>
          <w:szCs w:val="21"/>
        </w:rPr>
        <w:t>款规定执行。</w:t>
      </w:r>
    </w:p>
    <w:p w14:paraId="523C3DDC">
      <w:pPr>
        <w:rPr>
          <w:rFonts w:ascii="黑体" w:hAnsi="宋体" w:eastAsia="黑体"/>
          <w:sz w:val="24"/>
        </w:rPr>
      </w:pPr>
      <w:r>
        <w:rPr>
          <w:rFonts w:ascii="黑体" w:hAnsi="宋体" w:eastAsia="黑体"/>
          <w:sz w:val="24"/>
        </w:rPr>
        <w:t>11</w:t>
      </w:r>
      <w:r>
        <w:rPr>
          <w:rFonts w:hint="eastAsia" w:ascii="黑体" w:hAnsi="宋体" w:eastAsia="黑体"/>
          <w:sz w:val="24"/>
        </w:rPr>
        <w:t>．谈判文件的修改</w:t>
      </w:r>
    </w:p>
    <w:p w14:paraId="0C4DC151">
      <w:pPr>
        <w:ind w:firstLine="411" w:firstLineChars="196"/>
        <w:rPr>
          <w:rFonts w:ascii="宋体" w:hAnsi="宋体"/>
          <w:szCs w:val="21"/>
        </w:rPr>
      </w:pPr>
      <w:r>
        <w:rPr>
          <w:rFonts w:ascii="宋体" w:hAnsi="宋体"/>
          <w:szCs w:val="21"/>
        </w:rPr>
        <w:t>11</w:t>
      </w:r>
      <w:r>
        <w:rPr>
          <w:rFonts w:hint="eastAsia" w:ascii="宋体" w:hAnsi="宋体"/>
          <w:szCs w:val="21"/>
        </w:rPr>
        <w:t>.1谈判文件发出后，在谈判截止日期前任何时候，确需要变更谈判文件内容的，采购人可主动或在解答供应商提出的澄清问题时对谈判文件进行修改。</w:t>
      </w:r>
    </w:p>
    <w:p w14:paraId="1DC08BA5">
      <w:pPr>
        <w:ind w:firstLine="411" w:firstLineChars="196"/>
        <w:rPr>
          <w:rFonts w:ascii="宋体" w:hAnsi="宋体"/>
          <w:szCs w:val="21"/>
        </w:rPr>
      </w:pPr>
      <w:r>
        <w:rPr>
          <w:rFonts w:ascii="宋体" w:hAnsi="宋体"/>
          <w:szCs w:val="21"/>
        </w:rPr>
        <w:t>11</w:t>
      </w:r>
      <w:r>
        <w:rPr>
          <w:rFonts w:hint="eastAsia" w:ascii="宋体" w:hAnsi="宋体"/>
          <w:szCs w:val="21"/>
        </w:rPr>
        <w:t>.2谈判文件的修改以书面形式（包括采购人网站发布方式，如更正公告等）发送给所有供应商，谈判文件的修改内容作为谈判文件的组成部分，并具有约束力。</w:t>
      </w:r>
    </w:p>
    <w:p w14:paraId="01205B6E">
      <w:pPr>
        <w:ind w:firstLine="411" w:firstLineChars="196"/>
        <w:rPr>
          <w:rFonts w:ascii="宋体" w:hAnsi="宋体"/>
          <w:szCs w:val="21"/>
        </w:rPr>
      </w:pPr>
      <w:r>
        <w:rPr>
          <w:rFonts w:ascii="宋体" w:hAnsi="宋体"/>
          <w:szCs w:val="21"/>
        </w:rPr>
        <w:t>11</w:t>
      </w:r>
      <w:r>
        <w:rPr>
          <w:rFonts w:hint="eastAsia" w:ascii="宋体" w:hAnsi="宋体"/>
          <w:szCs w:val="21"/>
        </w:rPr>
        <w:t>.3谈判文件、谈判文件澄清答复内容、谈判文件修改补充内容均以书面形式（包括采购人网站公开发布方式，如更正公告等）明确的内容为准。当谈判文件、修改补充通知、谈判文件澄清答复内容相互矛盾时，以最后发出的内容为准。</w:t>
      </w:r>
    </w:p>
    <w:p w14:paraId="1CE09EB5">
      <w:pPr>
        <w:ind w:firstLine="411" w:firstLineChars="196"/>
        <w:rPr>
          <w:rFonts w:ascii="宋体" w:hAnsi="宋体"/>
          <w:szCs w:val="21"/>
        </w:rPr>
      </w:pPr>
      <w:r>
        <w:rPr>
          <w:rFonts w:ascii="宋体" w:hAnsi="宋体"/>
          <w:szCs w:val="21"/>
        </w:rPr>
        <w:t>11</w:t>
      </w:r>
      <w:r>
        <w:rPr>
          <w:rFonts w:hint="eastAsia" w:ascii="宋体" w:hAnsi="宋体"/>
          <w:szCs w:val="21"/>
        </w:rPr>
        <w:t>.4采购人保证谈判文件澄清答复内容和谈判文件修改补充内容在谈判截止时间前以书面形式（包括采购人网站发布方式，如更正公告等）发送给所有供应商。为使供应商在编制谈判文件时有充分时间对谈判文件的修改部分进行研究，采购人可以酌情延长递交应答文件的截止日期。</w:t>
      </w:r>
    </w:p>
    <w:p w14:paraId="7E052F12">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三、应答文件</w:t>
      </w:r>
    </w:p>
    <w:p w14:paraId="54ABFD9C">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14:paraId="4FC7F11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采购人之间与谈判有关的所有往来通知、函件和应答文件均用中文表述。供应商随应答文件提供的证明文件和资料可以为其它语言，但必须附中文译文。翻译的中文资料与外文资料如果出现差异时，以中文为准，但翻译错误的除外。</w:t>
      </w:r>
    </w:p>
    <w:p w14:paraId="47D99CAC">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14:paraId="2A8E1D3E">
      <w:pPr>
        <w:rPr>
          <w:rFonts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14:paraId="7B203D76">
      <w:pPr>
        <w:ind w:firstLine="411" w:firstLineChars="196"/>
        <w:rPr>
          <w:rFonts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14:paraId="223F403B">
      <w:pPr>
        <w:rPr>
          <w:rFonts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14:paraId="681E02A1">
      <w:pPr>
        <w:ind w:firstLine="411" w:firstLineChars="196"/>
        <w:rPr>
          <w:rFonts w:ascii="宋体" w:hAnsi="宋体"/>
          <w:szCs w:val="21"/>
        </w:rPr>
      </w:pPr>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供应商提交的应答文件应毫无例外地使用谈判文件所提供的相应格式</w:t>
      </w:r>
      <w:r>
        <w:rPr>
          <w:rFonts w:hint="eastAsia" w:ascii="宋体" w:hAnsi="宋体"/>
          <w:szCs w:val="21"/>
        </w:rPr>
        <w:t>（表格均可按同样格式扩展）。</w:t>
      </w:r>
    </w:p>
    <w:p w14:paraId="32A65BCF">
      <w:pPr>
        <w:rPr>
          <w:rFonts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rPr>
        <w:t>谈判报价货币</w:t>
      </w:r>
    </w:p>
    <w:p w14:paraId="77B814A7">
      <w:pPr>
        <w:ind w:firstLine="411" w:firstLineChars="196"/>
        <w:rPr>
          <w:rFonts w:ascii="宋体" w:hAnsi="宋体"/>
          <w:szCs w:val="21"/>
        </w:rPr>
      </w:pPr>
      <w:r>
        <w:rPr>
          <w:rFonts w:hint="eastAsia" w:ascii="宋体" w:hAnsi="宋体"/>
          <w:szCs w:val="21"/>
        </w:rPr>
        <w:t>本项目的谈判应答报价应以人民币计。</w:t>
      </w:r>
    </w:p>
    <w:p w14:paraId="7A57B8C0">
      <w:pPr>
        <w:rPr>
          <w:rFonts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证明应答文件技术方案的合格性和符合谈判文件规定的文件要求</w:t>
      </w:r>
    </w:p>
    <w:p w14:paraId="67E211C0">
      <w:pPr>
        <w:ind w:firstLine="411" w:firstLineChars="196"/>
        <w:rPr>
          <w:rFonts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14:paraId="6453B58B">
      <w:pPr>
        <w:ind w:firstLine="411" w:firstLineChars="196"/>
        <w:rPr>
          <w:rFonts w:ascii="宋体" w:hAnsi="宋体"/>
          <w:szCs w:val="21"/>
        </w:rPr>
      </w:pPr>
      <w:r>
        <w:rPr>
          <w:rFonts w:ascii="宋体" w:hAnsi="宋体"/>
          <w:szCs w:val="21"/>
        </w:rPr>
        <w:t xml:space="preserve">16.2 </w:t>
      </w:r>
      <w:r>
        <w:rPr>
          <w:rFonts w:hint="eastAsia" w:ascii="宋体" w:hAnsi="宋体"/>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14:paraId="44AAD9B6">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14:paraId="46AEE7D3">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相关产品从采购人开始使用至谈判文件中规定的周期内正常、连续地使用所必须的备件和专用工具清单，包括备件和专用工具的货源及现行价格。</w:t>
      </w:r>
    </w:p>
    <w:p w14:paraId="468DC161">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14:paraId="7B3263BC">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5907F5A">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14:paraId="7EA62B23">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.2款要求的，谈判小组有权认定为应答技术方案不合格响应，其相关分数予以扣减或作应答无效处理。</w:t>
      </w:r>
    </w:p>
    <w:p w14:paraId="182BC088">
      <w:pPr>
        <w:ind w:firstLine="411" w:firstLineChars="196"/>
        <w:rPr>
          <w:rFonts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hint="eastAsia" w:ascii="宋体" w:hAnsi="宋体"/>
          <w:szCs w:val="21"/>
        </w:rPr>
        <w:t>，由谈判小组来评判。</w:t>
      </w:r>
    </w:p>
    <w:p w14:paraId="4FBE540B">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p>
    <w:p w14:paraId="188DB658">
      <w:pPr>
        <w:rPr>
          <w:rFonts w:ascii="宋体" w:hAnsi="宋体"/>
          <w:szCs w:val="21"/>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14:paraId="53E2B865">
      <w:pPr>
        <w:ind w:firstLine="420" w:firstLineChars="200"/>
        <w:rPr>
          <w:rFonts w:ascii="宋体" w:hAnsi="宋体"/>
          <w:color w:val="FF0000"/>
          <w:szCs w:val="21"/>
        </w:rPr>
      </w:pPr>
      <w:r>
        <w:rPr>
          <w:rFonts w:hint="eastAsia" w:ascii="宋体" w:hAnsi="宋体"/>
          <w:szCs w:val="21"/>
        </w:rPr>
        <w:t>1</w:t>
      </w:r>
      <w:r>
        <w:rPr>
          <w:rFonts w:ascii="宋体" w:hAnsi="宋体"/>
          <w:szCs w:val="21"/>
        </w:rPr>
        <w:t>7</w:t>
      </w:r>
      <w:r>
        <w:rPr>
          <w:rFonts w:hint="eastAsia" w:ascii="宋体" w:hAnsi="宋体"/>
          <w:szCs w:val="21"/>
        </w:rPr>
        <w:t>.1采用综合评分法的项目，对项目谈判文件《评审信息》评分项中涉及的相关业绩、社保情况等内容以及《资格性审查表》和《符合性审查表》中涉及的证明材料，供应商应提供相关部门出具的证明材料扫描件或照片，原件备查。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p>
    <w:p w14:paraId="1A93249E">
      <w:pPr>
        <w:ind w:firstLine="411" w:firstLineChars="196"/>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投标（应答）；若供应商正在申报上一级别资质（资格），在未获批准之前，仍按原级别资质（资格）投标（应答）。</w:t>
      </w:r>
    </w:p>
    <w:p w14:paraId="0964EC4E">
      <w:pPr>
        <w:rPr>
          <w:rFonts w:ascii="黑体" w:hAnsi="宋体" w:eastAsia="黑体"/>
          <w:sz w:val="24"/>
        </w:rPr>
      </w:pPr>
      <w:r>
        <w:rPr>
          <w:rFonts w:ascii="黑体" w:hAnsi="宋体" w:eastAsia="黑体"/>
          <w:sz w:val="24"/>
        </w:rPr>
        <w:t>18</w:t>
      </w:r>
      <w:r>
        <w:rPr>
          <w:rFonts w:hint="eastAsia" w:ascii="黑体" w:hAnsi="宋体" w:eastAsia="黑体"/>
          <w:sz w:val="24"/>
        </w:rPr>
        <w:t>．谈判应答有效期</w:t>
      </w:r>
    </w:p>
    <w:p w14:paraId="56CA7515">
      <w:pPr>
        <w:ind w:firstLine="411" w:firstLineChars="196"/>
        <w:rPr>
          <w:rFonts w:ascii="宋体" w:hAnsi="宋体"/>
          <w:szCs w:val="21"/>
        </w:rPr>
      </w:pPr>
      <w:r>
        <w:rPr>
          <w:rFonts w:ascii="宋体" w:hAnsi="宋体"/>
          <w:szCs w:val="21"/>
        </w:rPr>
        <w:t>18</w:t>
      </w:r>
      <w:r>
        <w:rPr>
          <w:rFonts w:hint="eastAsia" w:ascii="宋体" w:hAnsi="宋体"/>
          <w:szCs w:val="21"/>
        </w:rPr>
        <w:t>.1 谈判应答有效期为</w:t>
      </w:r>
      <w:r>
        <w:rPr>
          <w:rFonts w:hint="eastAsia" w:ascii="Arial" w:hAnsi="Arial" w:cs="Arial"/>
          <w:szCs w:val="21"/>
        </w:rPr>
        <w:t>从谈判截止之日算起的日历天数。</w:t>
      </w:r>
      <w:r>
        <w:rPr>
          <w:rFonts w:hint="eastAsia" w:ascii="宋体" w:hAnsi="宋体"/>
          <w:szCs w:val="21"/>
        </w:rPr>
        <w:t>在此期限内，所有应答文件均保持有效。</w:t>
      </w:r>
    </w:p>
    <w:p w14:paraId="55FD8E06">
      <w:pPr>
        <w:ind w:firstLine="411" w:firstLineChars="196"/>
        <w:rPr>
          <w:rFonts w:ascii="宋体" w:hAnsi="宋体"/>
          <w:szCs w:val="21"/>
        </w:rPr>
      </w:pPr>
      <w:r>
        <w:rPr>
          <w:rFonts w:ascii="宋体" w:hAnsi="宋体"/>
          <w:szCs w:val="21"/>
        </w:rPr>
        <w:t>18</w:t>
      </w:r>
      <w:r>
        <w:rPr>
          <w:rFonts w:hint="eastAsia" w:ascii="宋体" w:hAnsi="宋体"/>
          <w:szCs w:val="21"/>
        </w:rPr>
        <w:t>.2 在特殊情况下，采购人在原定的谈判应答有效期满之前，采购人可以根据需要以书面形式（包括采购人网站公开发布方式）向供应商提出延长谈判应答有效期的要求，对此要求供应商须以书面形式予以答复，供应商可以拒绝采购人此项要求，其应答在原谈判应答有效期满后不再有效。同意延长谈判应答有效期的供应商不能要求也不允许修改其应答文件。</w:t>
      </w:r>
    </w:p>
    <w:p w14:paraId="0FC0ABE8">
      <w:pPr>
        <w:ind w:firstLine="411" w:firstLineChars="196"/>
        <w:rPr>
          <w:rFonts w:ascii="宋体" w:hAnsi="宋体"/>
          <w:szCs w:val="21"/>
        </w:rPr>
      </w:pPr>
      <w:r>
        <w:rPr>
          <w:rFonts w:ascii="宋体" w:hAnsi="宋体"/>
          <w:szCs w:val="21"/>
        </w:rPr>
        <w:t>18.3</w:t>
      </w:r>
      <w:r>
        <w:rPr>
          <w:rFonts w:hint="eastAsia" w:ascii="宋体" w:hAnsi="宋体"/>
          <w:szCs w:val="21"/>
        </w:rPr>
        <w:t xml:space="preserve"> 成交供应商的应答文件有效期，截止于完成本谈判文件规定的全部项目内容，并通过竣工验收及保修期结束。</w:t>
      </w:r>
    </w:p>
    <w:p w14:paraId="3C464503">
      <w:pPr>
        <w:rPr>
          <w:rFonts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 xml:space="preserve">关于谈判保证金 </w:t>
      </w:r>
    </w:p>
    <w:p w14:paraId="2EE6A946">
      <w:pPr>
        <w:rPr>
          <w:rFonts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 》（深财购〔2021〕51 号 ）文的规定，本项目不收取谈判保证金。</w:t>
      </w:r>
    </w:p>
    <w:p w14:paraId="18D30063">
      <w:pPr>
        <w:rPr>
          <w:rFonts w:ascii="黑体" w:hAnsi="宋体" w:eastAsia="黑体"/>
          <w:sz w:val="24"/>
        </w:rPr>
      </w:pPr>
      <w:r>
        <w:rPr>
          <w:rFonts w:ascii="黑体" w:hAnsi="宋体" w:eastAsia="黑体"/>
          <w:sz w:val="24"/>
        </w:rPr>
        <w:t>20.</w:t>
      </w:r>
      <w:r>
        <w:rPr>
          <w:rFonts w:hint="eastAsia" w:ascii="黑体" w:hAnsi="宋体" w:eastAsia="黑体"/>
          <w:sz w:val="24"/>
        </w:rPr>
        <w:t>供应商的替代方案</w:t>
      </w:r>
    </w:p>
    <w:p w14:paraId="6ECC4A76">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.1供应商所提交的应答文件应完全满足采购文件（包括图纸和技术规范所示的基本技术设计）的要求。除非项目明确允许供应商提交替代方案，否则供应商有关替代方案的条款将初审不通过，作应答无效处理。</w:t>
      </w:r>
    </w:p>
    <w:p w14:paraId="1163ECE4">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14:paraId="3482021E">
      <w:pPr>
        <w:rPr>
          <w:rFonts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14:paraId="3488808B">
      <w:pPr>
        <w:ind w:firstLine="411" w:firstLineChars="196"/>
      </w:pPr>
      <w:r>
        <w:rPr>
          <w:rFonts w:hint="eastAsia" w:ascii="宋体" w:hAnsi="宋体"/>
          <w:color w:val="FF0000"/>
        </w:rPr>
        <w:t>2</w:t>
      </w:r>
      <w:r>
        <w:rPr>
          <w:rFonts w:ascii="宋体" w:hAnsi="宋体"/>
          <w:color w:val="FF0000"/>
        </w:rPr>
        <w:t>1</w:t>
      </w:r>
      <w:r>
        <w:rPr>
          <w:rFonts w:hint="eastAsia" w:ascii="宋体" w:hAnsi="宋体"/>
          <w:color w:val="FF0000"/>
        </w:rPr>
        <w:t>.1</w:t>
      </w:r>
      <w:r>
        <w:rPr>
          <w:rFonts w:hint="eastAsia"/>
          <w:color w:val="FF0000"/>
        </w:rPr>
        <w:t>供应商应准备所投项目的电子响应文件一份（光盘或</w:t>
      </w:r>
      <w:r>
        <w:rPr>
          <w:color w:val="FF0000"/>
        </w:rPr>
        <w:t>U</w:t>
      </w:r>
      <w:r>
        <w:rPr>
          <w:rFonts w:hint="eastAsia"/>
          <w:color w:val="FF0000"/>
        </w:rPr>
        <w:t>盘，所载内容需与纸质正本一致）。纸质响应文件三份（一正本、二副本），正本与副本内容不相符时，以正本为准。</w:t>
      </w:r>
    </w:p>
    <w:p w14:paraId="410B3DDE">
      <w:pPr>
        <w:ind w:firstLine="411" w:firstLineChars="196"/>
        <w:rPr>
          <w:rFonts w:ascii="宋体" w:hAnsi="宋体"/>
        </w:rPr>
      </w:pPr>
      <w:r>
        <w:rPr>
          <w:rFonts w:hint="eastAsia" w:ascii="宋体" w:hAnsi="宋体"/>
        </w:rPr>
        <w:t>21.2采购人不接受谈判截止时间后递交的纸质、电子、传真等所有形式的应答文件。由于对网上操作不熟悉或自身电脑、网络等原因导致不能在谈判截止时间之前上传应答文件，采购人概不负责。</w:t>
      </w:r>
    </w:p>
    <w:p w14:paraId="16F284C3">
      <w:pPr>
        <w:ind w:firstLine="411" w:firstLineChars="196"/>
        <w:rPr>
          <w:rFonts w:ascii="宋体" w:hAnsi="宋体"/>
        </w:rPr>
      </w:pPr>
      <w:r>
        <w:rPr>
          <w:rFonts w:hint="eastAsia" w:ascii="宋体" w:hAnsi="宋体"/>
        </w:rPr>
        <w:t>21.</w:t>
      </w:r>
      <w:r>
        <w:rPr>
          <w:rFonts w:ascii="宋体" w:hAnsi="宋体"/>
        </w:rPr>
        <w:t>3</w:t>
      </w:r>
      <w:r>
        <w:rPr>
          <w:rFonts w:hint="eastAsia" w:ascii="宋体" w:hAnsi="宋体"/>
        </w:rPr>
        <w:t>如果谈判时出现技术故障等影响了谈判活动，采购人有权采取措施如延期等，以保障政府采购活动的公开、公平和公正。</w:t>
      </w:r>
    </w:p>
    <w:p w14:paraId="17AE7FB3">
      <w:pPr>
        <w:ind w:firstLine="411" w:firstLineChars="196"/>
        <w:rPr>
          <w:rFonts w:ascii="宋体" w:hAnsi="宋体"/>
        </w:rPr>
      </w:pPr>
      <w:r>
        <w:rPr>
          <w:rFonts w:hint="eastAsia" w:ascii="宋体" w:hAnsi="宋体"/>
        </w:rPr>
        <w:t>21.</w:t>
      </w:r>
      <w:r>
        <w:rPr>
          <w:rFonts w:ascii="宋体" w:hAnsi="宋体"/>
        </w:rPr>
        <w:t>4</w:t>
      </w:r>
      <w:r>
        <w:rPr>
          <w:rFonts w:hint="eastAsia" w:ascii="宋体" w:hAnsi="宋体"/>
        </w:rPr>
        <w:t>电报、电话、传真形式的应答概不接受。</w:t>
      </w:r>
    </w:p>
    <w:p w14:paraId="34E490E0">
      <w:pPr>
        <w:ind w:firstLine="411" w:firstLineChars="196"/>
        <w:rPr>
          <w:rFonts w:ascii="宋体" w:hAnsi="宋体"/>
        </w:rPr>
      </w:pPr>
      <w:r>
        <w:rPr>
          <w:rFonts w:hint="eastAsia" w:ascii="宋体" w:hAnsi="宋体"/>
          <w:bCs/>
        </w:rPr>
        <w:t xml:space="preserve">21.5 </w:t>
      </w:r>
      <w:r>
        <w:rPr>
          <w:rFonts w:hint="eastAsia" w:ascii="宋体" w:hAnsi="宋体"/>
        </w:rPr>
        <w:t>各类资格（资质）文件提供扫描件，另有专门要求的除外。</w:t>
      </w:r>
    </w:p>
    <w:p w14:paraId="03B0CF02">
      <w:pPr>
        <w:ind w:firstLine="411" w:firstLineChars="196"/>
        <w:rPr>
          <w:rFonts w:ascii="宋体" w:hAnsi="宋体"/>
        </w:rPr>
      </w:pPr>
    </w:p>
    <w:p w14:paraId="1B28C70A">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四、应答文件的递交</w:t>
      </w:r>
    </w:p>
    <w:p w14:paraId="0A8B1282">
      <w:pPr>
        <w:rPr>
          <w:rFonts w:ascii="黑体" w:hAnsi="宋体" w:eastAsia="黑体"/>
          <w:sz w:val="24"/>
        </w:rPr>
      </w:pPr>
      <w:r>
        <w:rPr>
          <w:rFonts w:hint="eastAsia" w:ascii="黑体" w:hAnsi="宋体" w:eastAsia="黑体"/>
          <w:sz w:val="24"/>
        </w:rPr>
        <w:t>22．应答文件的保密</w:t>
      </w:r>
    </w:p>
    <w:p w14:paraId="2C88E842">
      <w:pPr>
        <w:ind w:firstLine="411" w:firstLineChars="196"/>
      </w:pPr>
      <w:r>
        <w:rPr>
          <w:rFonts w:hint="eastAsia" w:ascii="宋体" w:hAnsi="宋体"/>
        </w:rPr>
        <w:t>22.1</w:t>
      </w:r>
      <w:r>
        <w:rPr>
          <w:rFonts w:ascii="宋体" w:hAnsi="宋体"/>
        </w:rPr>
        <w:t xml:space="preserve"> </w:t>
      </w:r>
      <w:r>
        <w:rPr>
          <w:rFonts w:hint="eastAsia"/>
        </w:rPr>
        <w:t>在投标文件制作完成后请密封盖章，确保在开标之前无拆除痕迹。</w:t>
      </w:r>
    </w:p>
    <w:p w14:paraId="07347A96">
      <w:pPr>
        <w:rPr>
          <w:rFonts w:ascii="黑体" w:hAnsi="宋体" w:eastAsia="黑体"/>
          <w:sz w:val="24"/>
        </w:rPr>
      </w:pPr>
      <w:r>
        <w:rPr>
          <w:rFonts w:hint="eastAsia" w:ascii="黑体" w:hAnsi="宋体" w:eastAsia="黑体"/>
          <w:sz w:val="24"/>
        </w:rPr>
        <w:t>23．上传应答文件及谈判截止日期</w:t>
      </w:r>
    </w:p>
    <w:p w14:paraId="0F7DA223">
      <w:pPr>
        <w:ind w:firstLine="411" w:firstLineChars="196"/>
        <w:rPr>
          <w:rFonts w:ascii="宋体" w:hAnsi="宋体"/>
        </w:rPr>
      </w:pPr>
      <w:r>
        <w:rPr>
          <w:rFonts w:hint="eastAsia" w:ascii="宋体" w:hAnsi="宋体"/>
        </w:rPr>
        <w:t>23</w:t>
      </w:r>
      <w:r>
        <w:rPr>
          <w:rFonts w:ascii="宋体" w:hAnsi="宋体"/>
        </w:rPr>
        <w:t>.</w:t>
      </w:r>
      <w:r>
        <w:rPr>
          <w:rFonts w:hint="eastAsia" w:ascii="宋体" w:hAnsi="宋体"/>
        </w:rPr>
        <w:t>1</w:t>
      </w:r>
      <w:r>
        <w:rPr>
          <w:rFonts w:hint="eastAsia"/>
        </w:rPr>
        <w:t>实行网上应答报名，供应商必须在谈判文件规定的响应截止时间前用邮件上传应答报名文件发送至采购人指定邮箱。</w:t>
      </w:r>
    </w:p>
    <w:p w14:paraId="180ECB3F">
      <w:pPr>
        <w:ind w:firstLine="411" w:firstLineChars="196"/>
        <w:rPr>
          <w:rFonts w:ascii="宋体" w:hAnsi="宋体"/>
        </w:rPr>
      </w:pPr>
      <w:r>
        <w:rPr>
          <w:rFonts w:hint="eastAsia" w:ascii="宋体" w:hAnsi="宋体"/>
        </w:rPr>
        <w:t>23.2采购人可以按本通用条款第</w:t>
      </w:r>
      <w:r>
        <w:rPr>
          <w:rFonts w:ascii="宋体" w:hAnsi="宋体"/>
        </w:rPr>
        <w:t>11</w:t>
      </w:r>
      <w:r>
        <w:rPr>
          <w:rFonts w:hint="eastAsia" w:ascii="宋体" w:hAnsi="宋体"/>
        </w:rPr>
        <w:t>条规定，通过修改谈判文件自行决定酌情延长谈判截止期。在此情况下，采购人和供应商受谈判截止期制约的所有权利和义务均应延长至新的截止期。</w:t>
      </w:r>
    </w:p>
    <w:p w14:paraId="6F53B635">
      <w:pPr>
        <w:ind w:firstLine="411" w:firstLineChars="196"/>
        <w:rPr>
          <w:rFonts w:ascii="宋体" w:hAnsi="宋体"/>
        </w:rPr>
      </w:pPr>
      <w:r>
        <w:rPr>
          <w:rFonts w:hint="eastAsia" w:ascii="宋体" w:hAnsi="宋体"/>
        </w:rPr>
        <w:t>23</w:t>
      </w:r>
      <w:r>
        <w:rPr>
          <w:rFonts w:ascii="宋体" w:hAnsi="宋体"/>
        </w:rPr>
        <w:t>.</w:t>
      </w:r>
      <w:r>
        <w:rPr>
          <w:rFonts w:hint="eastAsia" w:ascii="宋体" w:hAnsi="宋体"/>
        </w:rPr>
        <w:t>3谈判截止时间以后不得上传应答报名文件。</w:t>
      </w:r>
    </w:p>
    <w:p w14:paraId="5A7728AE">
      <w:pPr>
        <w:ind w:firstLine="411" w:firstLineChars="196"/>
        <w:rPr>
          <w:rFonts w:ascii="宋体" w:hAnsi="宋体"/>
        </w:rPr>
      </w:pPr>
    </w:p>
    <w:p w14:paraId="1DE55E6C">
      <w:pPr>
        <w:rPr>
          <w:rFonts w:ascii="黑体" w:hAnsi="宋体" w:eastAsia="黑体"/>
          <w:sz w:val="24"/>
        </w:rPr>
      </w:pPr>
      <w:r>
        <w:rPr>
          <w:rFonts w:ascii="黑体" w:hAnsi="宋体" w:eastAsia="黑体"/>
          <w:sz w:val="24"/>
        </w:rPr>
        <w:t>2</w:t>
      </w:r>
      <w:r>
        <w:rPr>
          <w:rFonts w:hint="eastAsia" w:ascii="黑体" w:hAnsi="宋体" w:eastAsia="黑体"/>
          <w:sz w:val="24"/>
        </w:rPr>
        <w:t>4．应答</w:t>
      </w:r>
      <w:r>
        <w:rPr>
          <w:rFonts w:ascii="黑体" w:hAnsi="宋体" w:eastAsia="黑体"/>
          <w:sz w:val="24"/>
        </w:rPr>
        <w:t>文件的修改和撤销</w:t>
      </w:r>
    </w:p>
    <w:p w14:paraId="69955C4D">
      <w:pPr>
        <w:ind w:firstLine="411" w:firstLineChars="196"/>
        <w:rPr>
          <w:rFonts w:ascii="宋体" w:hAnsi="宋体"/>
        </w:rPr>
      </w:pPr>
      <w:r>
        <w:rPr>
          <w:rFonts w:ascii="宋体" w:hAnsi="宋体"/>
        </w:rPr>
        <w:t>2</w:t>
      </w:r>
      <w:r>
        <w:rPr>
          <w:rFonts w:hint="eastAsia" w:ascii="宋体" w:hAnsi="宋体"/>
        </w:rPr>
        <w:t>4</w:t>
      </w:r>
      <w:r>
        <w:rPr>
          <w:rFonts w:ascii="宋体" w:hAnsi="宋体"/>
        </w:rPr>
        <w:t>.</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w:t>
      </w:r>
    </w:p>
    <w:p w14:paraId="78A0E901">
      <w:pPr>
        <w:ind w:firstLine="411" w:firstLineChars="196"/>
        <w:rPr>
          <w:rFonts w:ascii="宋体" w:hAnsi="宋体"/>
        </w:rPr>
      </w:pPr>
      <w:r>
        <w:rPr>
          <w:rFonts w:ascii="宋体" w:hAnsi="宋体"/>
        </w:rPr>
        <w:t>2</w:t>
      </w:r>
      <w:r>
        <w:rPr>
          <w:rFonts w:hint="eastAsia" w:ascii="宋体" w:hAnsi="宋体"/>
        </w:rPr>
        <w:t>4</w:t>
      </w:r>
      <w:r>
        <w:rPr>
          <w:rFonts w:ascii="宋体" w:hAnsi="宋体"/>
        </w:rPr>
        <w:t>.</w:t>
      </w:r>
      <w:r>
        <w:rPr>
          <w:rFonts w:hint="eastAsia" w:ascii="宋体" w:hAnsi="宋体"/>
        </w:rPr>
        <w:t>2</w:t>
      </w:r>
      <w:bookmarkStart w:id="50" w:name="_Hlk72663776"/>
      <w:r>
        <w:rPr>
          <w:rFonts w:hint="eastAsia" w:ascii="宋体" w:hAnsi="宋体"/>
        </w:rPr>
        <w:t>谈判</w:t>
      </w:r>
      <w:r>
        <w:rPr>
          <w:rFonts w:ascii="宋体" w:hAnsi="宋体"/>
        </w:rPr>
        <w:t>截止时间以后</w:t>
      </w:r>
      <w:r>
        <w:rPr>
          <w:rFonts w:hint="eastAsia" w:ascii="宋体" w:hAnsi="宋体"/>
        </w:rPr>
        <w:t>不得</w:t>
      </w:r>
      <w:r>
        <w:rPr>
          <w:rFonts w:ascii="宋体" w:hAnsi="宋体"/>
        </w:rPr>
        <w:t>修改</w:t>
      </w:r>
      <w:r>
        <w:rPr>
          <w:rFonts w:hint="eastAsia" w:ascii="宋体" w:hAnsi="宋体"/>
        </w:rPr>
        <w:t>应答</w:t>
      </w:r>
      <w:r>
        <w:rPr>
          <w:rFonts w:ascii="宋体" w:hAnsi="宋体"/>
        </w:rPr>
        <w:t>文件。</w:t>
      </w:r>
      <w:bookmarkEnd w:id="50"/>
    </w:p>
    <w:p w14:paraId="3C43B77D">
      <w:pPr>
        <w:ind w:firstLine="411" w:firstLineChars="196"/>
        <w:rPr>
          <w:rFonts w:ascii="宋体" w:hAnsi="宋体"/>
        </w:rPr>
      </w:pPr>
      <w:r>
        <w:rPr>
          <w:rFonts w:ascii="宋体" w:hAnsi="宋体"/>
        </w:rPr>
        <w:t>2</w:t>
      </w:r>
      <w:r>
        <w:rPr>
          <w:rFonts w:hint="eastAsia" w:ascii="宋体" w:hAnsi="宋体"/>
        </w:rPr>
        <w:t>4</w:t>
      </w:r>
      <w:r>
        <w:rPr>
          <w:rFonts w:ascii="宋体" w:hAnsi="宋体"/>
        </w:rPr>
        <w:t>.</w:t>
      </w:r>
      <w:r>
        <w:rPr>
          <w:rFonts w:hint="eastAsia" w:ascii="宋体" w:hAnsi="宋体"/>
        </w:rPr>
        <w:t>3从应答截止期至供应商在应答文件中确定的谈判应答有效期之间的这段时间内，供应商不得撤回其谈判应答。</w:t>
      </w:r>
    </w:p>
    <w:p w14:paraId="5376339A">
      <w:pPr>
        <w:ind w:firstLine="420" w:firstLineChars="200"/>
        <w:rPr>
          <w:rFonts w:ascii="宋体" w:hAnsi="宋体"/>
          <w:szCs w:val="21"/>
        </w:rPr>
      </w:pPr>
      <w:r>
        <w:rPr>
          <w:rFonts w:hint="eastAsia" w:ascii="宋体" w:hAnsi="宋体"/>
          <w:szCs w:val="21"/>
        </w:rPr>
        <w:t>24.4采购人不退还应答文件。</w:t>
      </w:r>
    </w:p>
    <w:p w14:paraId="2C03674F">
      <w:pPr>
        <w:ind w:firstLine="420" w:firstLineChars="200"/>
        <w:rPr>
          <w:rFonts w:ascii="宋体" w:hAnsi="宋体"/>
          <w:szCs w:val="21"/>
        </w:rPr>
      </w:pPr>
    </w:p>
    <w:p w14:paraId="3818CC6D">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五、谈判</w:t>
      </w:r>
    </w:p>
    <w:p w14:paraId="066E8E34">
      <w:pPr>
        <w:rPr>
          <w:rFonts w:ascii="黑体" w:hAnsi="宋体" w:eastAsia="黑体"/>
          <w:sz w:val="24"/>
        </w:rPr>
      </w:pPr>
      <w:bookmarkStart w:id="51" w:name="_Toc78703964"/>
      <w:r>
        <w:rPr>
          <w:rFonts w:ascii="黑体" w:hAnsi="宋体" w:eastAsia="黑体"/>
          <w:sz w:val="24"/>
        </w:rPr>
        <w:t>25.</w:t>
      </w:r>
      <w:r>
        <w:rPr>
          <w:rFonts w:hint="eastAsia" w:ascii="黑体" w:hAnsi="宋体" w:eastAsia="黑体"/>
          <w:sz w:val="24"/>
        </w:rPr>
        <w:t>谈判要求</w:t>
      </w:r>
    </w:p>
    <w:p w14:paraId="417E18DF">
      <w:pPr>
        <w:ind w:firstLine="411" w:firstLineChars="196"/>
        <w:rPr>
          <w:rFonts w:ascii="宋体" w:hAnsi="宋体"/>
        </w:rPr>
      </w:pPr>
      <w:r>
        <w:rPr>
          <w:rFonts w:ascii="宋体" w:hAnsi="宋体"/>
        </w:rPr>
        <w:t>25</w:t>
      </w:r>
      <w:r>
        <w:rPr>
          <w:rFonts w:hint="eastAsia" w:ascii="宋体" w:hAnsi="宋体"/>
        </w:rPr>
        <w:t>.1</w:t>
      </w:r>
      <w:r>
        <w:rPr>
          <w:rFonts w:ascii="宋体" w:hAnsi="宋体"/>
        </w:rPr>
        <w:t xml:space="preserve"> </w:t>
      </w:r>
      <w:r>
        <w:rPr>
          <w:rFonts w:hint="eastAsia" w:ascii="宋体" w:hAnsi="宋体"/>
        </w:rPr>
        <w:t>评审委员会（谈判小组成员）由采购人评审专家组成，成员人数应当为</w:t>
      </w:r>
      <w:r>
        <w:rPr>
          <w:rFonts w:ascii="宋体" w:hAnsi="宋体"/>
        </w:rPr>
        <w:t>3</w:t>
      </w:r>
      <w:r>
        <w:rPr>
          <w:rFonts w:hint="eastAsia" w:ascii="宋体" w:hAnsi="宋体"/>
        </w:rPr>
        <w:t>人以上单数。</w:t>
      </w:r>
    </w:p>
    <w:p w14:paraId="15632838">
      <w:pPr>
        <w:rPr>
          <w:rFonts w:ascii="黑体" w:hAnsi="宋体" w:eastAsia="黑体"/>
          <w:sz w:val="24"/>
        </w:rPr>
      </w:pPr>
      <w:r>
        <w:rPr>
          <w:rFonts w:ascii="黑体" w:hAnsi="宋体" w:eastAsia="黑体"/>
          <w:sz w:val="24"/>
        </w:rPr>
        <w:t>26.</w:t>
      </w:r>
      <w:r>
        <w:rPr>
          <w:rFonts w:hint="eastAsia" w:ascii="黑体" w:hAnsi="宋体" w:eastAsia="黑体"/>
          <w:sz w:val="24"/>
        </w:rPr>
        <w:t>谈判应答文件的审查</w:t>
      </w:r>
    </w:p>
    <w:p w14:paraId="13E1423A">
      <w:pPr>
        <w:tabs>
          <w:tab w:val="left" w:pos="-1080"/>
        </w:tabs>
        <w:ind w:firstLine="420" w:firstLineChars="200"/>
        <w:rPr>
          <w:rFonts w:ascii="宋体" w:hAnsi="宋体"/>
          <w:b/>
          <w:bCs/>
        </w:rPr>
      </w:pPr>
      <w:r>
        <w:rPr>
          <w:rFonts w:ascii="宋体" w:hAnsi="宋体"/>
        </w:rPr>
        <w:t>26</w:t>
      </w:r>
      <w:r>
        <w:rPr>
          <w:rFonts w:hint="eastAsia" w:ascii="宋体" w:hAnsi="宋体"/>
        </w:rPr>
        <w:t>.1 谈判前，谈判小组将对谈判应答文件进行审查，</w:t>
      </w:r>
      <w:r>
        <w:rPr>
          <w:rFonts w:hint="eastAsia" w:ascii="宋体" w:hAnsi="宋体"/>
          <w:b/>
          <w:bCs/>
        </w:rPr>
        <w:t>当谈判应答文件出现下列情况之一的将视为无效，按应答无效处理，不得进入谈判：</w:t>
      </w:r>
    </w:p>
    <w:p w14:paraId="7970018A">
      <w:pPr>
        <w:tabs>
          <w:tab w:val="left" w:pos="-1080"/>
        </w:tabs>
        <w:ind w:firstLine="422" w:firstLineChars="200"/>
        <w:rPr>
          <w:rFonts w:ascii="宋体" w:hAnsi="宋体"/>
          <w:b/>
        </w:rPr>
      </w:pPr>
      <w:r>
        <w:rPr>
          <w:rFonts w:hint="eastAsia" w:ascii="宋体" w:hAnsi="宋体"/>
          <w:b/>
        </w:rPr>
        <w:t>具体内容见《资格性审查表》和《符合性审查表》部分。</w:t>
      </w:r>
    </w:p>
    <w:p w14:paraId="281120BB">
      <w:pPr>
        <w:rPr>
          <w:rFonts w:ascii="黑体" w:hAnsi="宋体" w:eastAsia="黑体"/>
          <w:sz w:val="24"/>
        </w:rPr>
      </w:pPr>
      <w:r>
        <w:rPr>
          <w:rFonts w:ascii="黑体" w:hAnsi="宋体" w:eastAsia="黑体"/>
          <w:sz w:val="24"/>
        </w:rPr>
        <w:t>27.</w:t>
      </w:r>
      <w:r>
        <w:rPr>
          <w:rFonts w:hint="eastAsia" w:ascii="黑体" w:hAnsi="宋体" w:eastAsia="黑体"/>
          <w:sz w:val="24"/>
        </w:rPr>
        <w:t>谈判应答文件的澄清或修改</w:t>
      </w:r>
    </w:p>
    <w:p w14:paraId="5B045E0B">
      <w:pPr>
        <w:tabs>
          <w:tab w:val="left" w:pos="-1080"/>
        </w:tabs>
        <w:ind w:firstLine="420" w:firstLineChars="200"/>
        <w:rPr>
          <w:rFonts w:ascii="宋体" w:hAnsi="宋体"/>
        </w:rPr>
      </w:pPr>
      <w:r>
        <w:rPr>
          <w:rFonts w:ascii="宋体" w:hAnsi="宋体"/>
        </w:rPr>
        <w:t>27</w:t>
      </w:r>
      <w:r>
        <w:rPr>
          <w:rFonts w:hint="eastAsia" w:ascii="宋体" w:hAnsi="宋体"/>
        </w:rPr>
        <w:t>.1谈判小组可以要求供应商对谈判应答文件含义不明确的内容作必要的澄清或者说明，供应商应进行澄清、说明。</w:t>
      </w:r>
    </w:p>
    <w:p w14:paraId="5BBF3129">
      <w:pPr>
        <w:tabs>
          <w:tab w:val="left" w:pos="-1080"/>
        </w:tabs>
        <w:ind w:firstLine="420" w:firstLineChars="200"/>
        <w:rPr>
          <w:rFonts w:ascii="宋体" w:hAnsi="宋体"/>
        </w:rPr>
      </w:pPr>
      <w:r>
        <w:rPr>
          <w:rFonts w:ascii="宋体" w:hAnsi="宋体"/>
        </w:rPr>
        <w:t>27.2</w:t>
      </w:r>
      <w:r>
        <w:rPr>
          <w:rFonts w:hint="eastAsia" w:ascii="宋体" w:hAnsi="宋体"/>
        </w:rPr>
        <w:t xml:space="preserve"> 允许供应商在谈判结束之前根据谈判小组提出的内容进行澄清、修改或完善，或对方案进行相应的调整。</w:t>
      </w:r>
    </w:p>
    <w:p w14:paraId="3832A889">
      <w:pPr>
        <w:rPr>
          <w:rFonts w:ascii="黑体" w:hAnsi="宋体" w:eastAsia="黑体"/>
          <w:sz w:val="24"/>
        </w:rPr>
      </w:pPr>
      <w:r>
        <w:rPr>
          <w:rFonts w:hint="eastAsia" w:ascii="黑体" w:hAnsi="宋体" w:eastAsia="黑体"/>
          <w:sz w:val="24"/>
        </w:rPr>
        <w:t>2</w:t>
      </w:r>
      <w:r>
        <w:rPr>
          <w:rFonts w:ascii="黑体" w:hAnsi="宋体" w:eastAsia="黑体"/>
          <w:sz w:val="24"/>
        </w:rPr>
        <w:t>8.</w:t>
      </w:r>
      <w:r>
        <w:rPr>
          <w:rFonts w:hint="eastAsia" w:ascii="黑体" w:hAnsi="宋体" w:eastAsia="黑体"/>
          <w:sz w:val="24"/>
        </w:rPr>
        <w:t>谈判方式及程序</w:t>
      </w:r>
    </w:p>
    <w:p w14:paraId="40A4543B">
      <w:pPr>
        <w:tabs>
          <w:tab w:val="left" w:pos="-1080"/>
        </w:tabs>
        <w:ind w:firstLine="420" w:firstLineChars="200"/>
        <w:rPr>
          <w:rFonts w:ascii="宋体" w:hAnsi="宋体"/>
        </w:rPr>
      </w:pPr>
      <w:r>
        <w:rPr>
          <w:rFonts w:hint="eastAsia" w:ascii="宋体" w:hAnsi="宋体"/>
          <w:szCs w:val="21"/>
        </w:rPr>
        <w:t>2</w:t>
      </w:r>
      <w:r>
        <w:rPr>
          <w:rFonts w:ascii="宋体" w:hAnsi="宋体"/>
          <w:szCs w:val="21"/>
        </w:rPr>
        <w:t>8</w:t>
      </w:r>
      <w:r>
        <w:rPr>
          <w:rFonts w:hint="eastAsia" w:ascii="宋体" w:hAnsi="宋体"/>
          <w:szCs w:val="21"/>
        </w:rPr>
        <w:t>.1谈判方式为</w:t>
      </w:r>
      <w:r>
        <w:rPr>
          <w:rFonts w:hint="eastAsia" w:ascii="宋体" w:hAnsi="宋体"/>
          <w:b/>
          <w:color w:val="FF0000"/>
          <w:szCs w:val="21"/>
        </w:rPr>
        <w:t>网下谈判</w:t>
      </w:r>
      <w:r>
        <w:rPr>
          <w:rFonts w:hint="eastAsia" w:ascii="宋体" w:hAnsi="宋体"/>
          <w:szCs w:val="21"/>
        </w:rPr>
        <w:t>，谈判程序如下：</w:t>
      </w:r>
    </w:p>
    <w:p w14:paraId="6AB5FED3">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.2参加谈判的供应商谈判代表和谈判小组成员到谈判现场填写谈判供应商签到表，并交验身份证明文件。</w:t>
      </w:r>
      <w:r>
        <w:rPr>
          <w:rFonts w:hint="eastAsia" w:ascii="宋体" w:hAnsi="宋体"/>
          <w:color w:val="FF0000"/>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14:paraId="63CE39C2">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3谈判主持人将在谈判现场宣布谈判规则和谈判纪律。</w:t>
      </w:r>
    </w:p>
    <w:p w14:paraId="1ABA3086">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4在谈判中，谈判小组将就服务方案、报价及其它相关事项跟供应商进行谈判。采购文件有实质性变更的，谈判小组应当通过书面告知所有参加谈判的供应商。</w:t>
      </w:r>
    </w:p>
    <w:p w14:paraId="7D01BE49">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14:paraId="3B9581B4">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6谈判结束后，谈判小组根据供应商提供的谈判应答文件、谈判过程中产生的相关资料，对供应商谈判应答文件进行评估与比较，提出书面评审意见。</w:t>
      </w:r>
    </w:p>
    <w:p w14:paraId="3ABDDD9F">
      <w:pPr>
        <w:tabs>
          <w:tab w:val="left" w:pos="-1080"/>
        </w:tabs>
        <w:ind w:firstLine="420" w:firstLineChars="200"/>
        <w:rPr>
          <w:rFonts w:ascii="宋体" w:hAnsi="宋体"/>
        </w:rPr>
      </w:pPr>
      <w:r>
        <w:rPr>
          <w:rFonts w:hint="eastAsia" w:ascii="宋体" w:hAnsi="宋体"/>
        </w:rPr>
        <w:t>2</w:t>
      </w:r>
      <w:r>
        <w:rPr>
          <w:rFonts w:ascii="宋体" w:hAnsi="宋体"/>
        </w:rPr>
        <w:t>8</w:t>
      </w:r>
      <w:r>
        <w:rPr>
          <w:rFonts w:hint="eastAsia" w:ascii="宋体" w:hAnsi="宋体"/>
        </w:rPr>
        <w:t>.7谈判小组将对谈判过程进行记录，以存档备查。</w:t>
      </w:r>
    </w:p>
    <w:p w14:paraId="05F42264">
      <w:pPr>
        <w:pStyle w:val="2"/>
        <w:ind w:firstLine="640" w:firstLineChars="200"/>
      </w:pPr>
    </w:p>
    <w:p w14:paraId="6A449167">
      <w:pPr>
        <w:tabs>
          <w:tab w:val="left" w:pos="360"/>
        </w:tabs>
        <w:spacing w:before="120" w:after="120"/>
        <w:jc w:val="center"/>
        <w:outlineLvl w:val="2"/>
        <w:rPr>
          <w:rFonts w:ascii="黑体" w:hAnsi="宋体" w:eastAsia="黑体"/>
          <w:bCs/>
          <w:sz w:val="24"/>
          <w:szCs w:val="32"/>
        </w:rPr>
      </w:pPr>
      <w:r>
        <w:rPr>
          <w:rFonts w:hint="eastAsia" w:ascii="黑体" w:hAnsi="宋体" w:eastAsia="黑体"/>
          <w:sz w:val="24"/>
          <w:szCs w:val="32"/>
        </w:rPr>
        <w:t>六、成交</w:t>
      </w:r>
    </w:p>
    <w:p w14:paraId="41E909FB">
      <w:pPr>
        <w:rPr>
          <w:rFonts w:ascii="黑体" w:hAnsi="宋体" w:eastAsia="黑体"/>
          <w:sz w:val="24"/>
        </w:rPr>
      </w:pPr>
      <w:r>
        <w:rPr>
          <w:rFonts w:ascii="黑体" w:hAnsi="宋体" w:eastAsia="黑体"/>
          <w:sz w:val="24"/>
        </w:rPr>
        <w:t>29.</w:t>
      </w:r>
      <w:r>
        <w:rPr>
          <w:rFonts w:hint="eastAsia" w:ascii="黑体" w:hAnsi="宋体" w:eastAsia="黑体"/>
          <w:sz w:val="24"/>
        </w:rPr>
        <w:t>应答无效</w:t>
      </w:r>
    </w:p>
    <w:p w14:paraId="5A87F293">
      <w:pPr>
        <w:tabs>
          <w:tab w:val="left" w:pos="-1080"/>
        </w:tabs>
        <w:ind w:firstLine="422" w:firstLineChars="200"/>
        <w:rPr>
          <w:rFonts w:ascii="宋体" w:hAnsi="宋体"/>
          <w:b/>
          <w:bCs/>
        </w:rPr>
      </w:pPr>
      <w:r>
        <w:rPr>
          <w:rFonts w:ascii="宋体" w:hAnsi="宋体"/>
          <w:b/>
          <w:bCs/>
        </w:rPr>
        <w:t>29</w:t>
      </w:r>
      <w:r>
        <w:rPr>
          <w:rFonts w:hint="eastAsia" w:ascii="宋体" w:hAnsi="宋体"/>
          <w:b/>
          <w:bCs/>
        </w:rPr>
        <w:t>.1有下列情形之一的，该供应商的谈判作应答无效处理：</w:t>
      </w:r>
    </w:p>
    <w:p w14:paraId="2EAEA310">
      <w:pPr>
        <w:tabs>
          <w:tab w:val="left" w:pos="-1080"/>
        </w:tabs>
        <w:ind w:firstLine="422" w:firstLineChars="200"/>
        <w:rPr>
          <w:rFonts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14:paraId="2B729A99">
      <w:pPr>
        <w:tabs>
          <w:tab w:val="left" w:pos="-1080"/>
        </w:tabs>
        <w:ind w:firstLine="422" w:firstLineChars="200"/>
        <w:rPr>
          <w:rFonts w:ascii="宋体" w:hAnsi="宋体"/>
          <w:b/>
        </w:rPr>
      </w:pPr>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p>
    <w:p w14:paraId="491B12F2">
      <w:pPr>
        <w:rPr>
          <w:rFonts w:ascii="黑体" w:hAnsi="宋体" w:eastAsia="黑体"/>
          <w:sz w:val="24"/>
        </w:rPr>
      </w:pPr>
      <w:r>
        <w:rPr>
          <w:rFonts w:ascii="黑体" w:hAnsi="宋体" w:eastAsia="黑体"/>
          <w:sz w:val="24"/>
        </w:rPr>
        <w:t>30.</w:t>
      </w:r>
      <w:r>
        <w:rPr>
          <w:rFonts w:hint="eastAsia" w:ascii="黑体" w:hAnsi="宋体" w:eastAsia="黑体"/>
          <w:sz w:val="24"/>
        </w:rPr>
        <w:t>成交</w:t>
      </w:r>
    </w:p>
    <w:p w14:paraId="534E8A9F">
      <w:pPr>
        <w:tabs>
          <w:tab w:val="left" w:pos="-1080"/>
        </w:tabs>
        <w:ind w:firstLine="420" w:firstLineChars="200"/>
        <w:rPr>
          <w:rFonts w:ascii="宋体" w:hAnsi="宋体"/>
        </w:rPr>
      </w:pPr>
      <w:r>
        <w:rPr>
          <w:rFonts w:ascii="宋体" w:hAnsi="宋体"/>
        </w:rPr>
        <w:t>30</w:t>
      </w:r>
      <w:r>
        <w:rPr>
          <w:rFonts w:hint="eastAsia" w:ascii="宋体" w:hAnsi="宋体"/>
        </w:rPr>
        <w:t>.1谈判小组依据本须知对谈判应答文件进行评审和比较，综合各家供应商最终的方案、服务和投资等谈判结果并按最低价法/综合评分法[以评审信息为准]进行评审。</w:t>
      </w:r>
    </w:p>
    <w:p w14:paraId="64CF2433">
      <w:pPr>
        <w:tabs>
          <w:tab w:val="left" w:pos="-1080"/>
        </w:tabs>
        <w:ind w:firstLine="420" w:firstLineChars="200"/>
        <w:rPr>
          <w:rFonts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rPr>
        <w:t>谈判</w:t>
      </w:r>
      <w:r>
        <w:rPr>
          <w:rFonts w:ascii="宋体" w:hAnsi="宋体"/>
        </w:rPr>
        <w:t>文件实质性要求，</w:t>
      </w:r>
      <w:r>
        <w:rPr>
          <w:rFonts w:hint="eastAsia" w:ascii="宋体" w:hAnsi="宋体"/>
        </w:rPr>
        <w:t>按照报价由低到高的顺序，以报价最低的供应商作为成交供应商的评审方法。</w:t>
      </w:r>
    </w:p>
    <w:p w14:paraId="169CE300">
      <w:pPr>
        <w:tabs>
          <w:tab w:val="left" w:pos="-1080"/>
        </w:tabs>
        <w:ind w:firstLine="420" w:firstLineChars="200"/>
        <w:rPr>
          <w:rFonts w:ascii="宋体" w:hAnsi="宋体"/>
          <w:bCs/>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成交候选供应商</w:t>
      </w:r>
      <w:r>
        <w:rPr>
          <w:szCs w:val="21"/>
        </w:rPr>
        <w:t>的评</w:t>
      </w:r>
      <w:r>
        <w:rPr>
          <w:rFonts w:hint="eastAsia"/>
          <w:szCs w:val="21"/>
        </w:rPr>
        <w:t>审</w:t>
      </w:r>
      <w:r>
        <w:rPr>
          <w:szCs w:val="21"/>
        </w:rPr>
        <w:t>方法。</w:t>
      </w:r>
    </w:p>
    <w:p w14:paraId="7F985F92">
      <w:pPr>
        <w:tabs>
          <w:tab w:val="left" w:pos="-1080"/>
        </w:tabs>
        <w:ind w:firstLine="420" w:firstLineChars="200"/>
        <w:rPr>
          <w:rFonts w:ascii="宋体" w:hAnsi="宋体"/>
        </w:rPr>
      </w:pPr>
      <w:r>
        <w:rPr>
          <w:rFonts w:ascii="宋体" w:hAnsi="宋体"/>
        </w:rPr>
        <w:t>30</w:t>
      </w:r>
      <w:r>
        <w:rPr>
          <w:rFonts w:hint="eastAsia" w:ascii="宋体" w:hAnsi="宋体"/>
        </w:rPr>
        <w:t>.2谈判小组向采购人提交书面评审报告，并受采购人委托推荐成交供应商。</w:t>
      </w:r>
    </w:p>
    <w:p w14:paraId="2FCD1BF6">
      <w:pPr>
        <w:rPr>
          <w:rFonts w:ascii="黑体" w:hAnsi="宋体" w:eastAsia="黑体"/>
          <w:sz w:val="24"/>
        </w:rPr>
      </w:pPr>
      <w:r>
        <w:rPr>
          <w:rFonts w:ascii="黑体" w:hAnsi="宋体" w:eastAsia="黑体"/>
          <w:sz w:val="24"/>
        </w:rPr>
        <w:t>31</w:t>
      </w:r>
      <w:r>
        <w:rPr>
          <w:rFonts w:hint="eastAsia" w:ascii="黑体" w:hAnsi="宋体" w:eastAsia="黑体"/>
          <w:sz w:val="24"/>
        </w:rPr>
        <w:t>.谈判结果公示</w:t>
      </w:r>
    </w:p>
    <w:p w14:paraId="456A89C7">
      <w:pPr>
        <w:ind w:firstLine="411" w:firstLineChars="196"/>
        <w:rPr>
          <w:rFonts w:ascii="宋体" w:hAnsi="宋体"/>
          <w:szCs w:val="21"/>
        </w:rPr>
      </w:pPr>
      <w:r>
        <w:rPr>
          <w:rFonts w:ascii="宋体" w:hAnsi="宋体"/>
        </w:rPr>
        <w:t>31</w:t>
      </w:r>
      <w:r>
        <w:rPr>
          <w:rFonts w:hint="eastAsia" w:ascii="宋体" w:hAnsi="宋体"/>
        </w:rPr>
        <w:t>.1</w:t>
      </w:r>
      <w:r>
        <w:rPr>
          <w:rFonts w:hint="eastAsia" w:ascii="宋体" w:hAnsi="宋体"/>
          <w:szCs w:val="21"/>
        </w:rPr>
        <w:t>为体现“公开、公平、公正”的原则，谈判结束后经采购人确认评审结果，采购人将在</w:t>
      </w:r>
      <w:r>
        <w:rPr>
          <w:rFonts w:hint="eastAsia" w:ascii="宋体" w:hAnsi="宋体"/>
          <w:b/>
          <w:bCs/>
          <w:szCs w:val="21"/>
        </w:rPr>
        <w:t>“</w:t>
      </w:r>
      <w:r>
        <w:rPr>
          <w:rFonts w:hint="eastAsia" w:ascii="宋体" w:hAnsi="宋体" w:cs="宋体"/>
          <w:b/>
          <w:bCs/>
          <w:color w:val="0000FF"/>
          <w:szCs w:val="21"/>
        </w:rPr>
        <w:t>深圳市福田区第二人民医院（</w:t>
      </w:r>
      <w:r>
        <w:rPr>
          <w:rFonts w:hint="eastAsia" w:ascii="宋体" w:hAnsi="宋体" w:cs="宋体"/>
          <w:b/>
          <w:bCs/>
          <w:color w:val="0000FF"/>
          <w:szCs w:val="21"/>
          <w:u w:val="single"/>
        </w:rPr>
        <w:t>https://www.ft2yy.cn/</w:t>
      </w:r>
      <w:r>
        <w:rPr>
          <w:rFonts w:hint="eastAsia" w:ascii="宋体" w:hAnsi="宋体" w:cs="宋体"/>
          <w:b/>
          <w:bCs/>
          <w:color w:val="0000FF"/>
          <w:szCs w:val="21"/>
        </w:rPr>
        <w:t>）</w:t>
      </w:r>
      <w:r>
        <w:rPr>
          <w:rFonts w:hint="eastAsia" w:ascii="宋体" w:hAnsi="宋体"/>
          <w:b/>
          <w:bCs/>
          <w:szCs w:val="21"/>
        </w:rPr>
        <w:t>”</w:t>
      </w:r>
      <w:r>
        <w:rPr>
          <w:rFonts w:hint="eastAsia" w:ascii="宋体" w:hAnsi="宋体"/>
          <w:szCs w:val="21"/>
        </w:rPr>
        <w:t>上发布成交结果公告。供应商如对评审结果有异议，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采购人</w:t>
      </w:r>
      <w:r>
        <w:rPr>
          <w:rFonts w:ascii="宋体" w:hAnsi="宋体"/>
          <w:szCs w:val="21"/>
        </w:rPr>
        <w:t>提出。 监督电话：</w:t>
      </w:r>
      <w:r>
        <w:rPr>
          <w:szCs w:val="21"/>
        </w:rPr>
        <w:t>0755-83110237</w:t>
      </w:r>
      <w:r>
        <w:rPr>
          <w:rFonts w:ascii="宋体" w:hAnsi="宋体"/>
          <w:szCs w:val="21"/>
        </w:rPr>
        <w:t>。</w:t>
      </w:r>
      <w:r>
        <w:rPr>
          <w:rFonts w:hint="eastAsia" w:ascii="宋体" w:hAnsi="宋体"/>
          <w:szCs w:val="21"/>
        </w:rPr>
        <w:t xml:space="preserve">若在公示期内未提出质疑，则视为认同该评审结果。 </w:t>
      </w:r>
      <w:r>
        <w:rPr>
          <w:rFonts w:ascii="宋体" w:hAnsi="宋体"/>
          <w:szCs w:val="21"/>
        </w:rPr>
        <w:t xml:space="preserve"> </w:t>
      </w:r>
    </w:p>
    <w:p w14:paraId="4AD2E95B">
      <w:pPr>
        <w:tabs>
          <w:tab w:val="left" w:pos="-1080"/>
        </w:tabs>
        <w:ind w:firstLine="420" w:firstLineChars="200"/>
        <w:rPr>
          <w:rFonts w:ascii="宋体" w:hAnsi="宋体"/>
        </w:rPr>
      </w:pPr>
      <w:r>
        <w:rPr>
          <w:rFonts w:ascii="宋体" w:hAnsi="宋体"/>
        </w:rPr>
        <w:t>31</w:t>
      </w:r>
      <w:r>
        <w:rPr>
          <w:rFonts w:hint="eastAsia" w:ascii="宋体" w:hAnsi="宋体"/>
        </w:rPr>
        <w:t>.2质疑、投诉供应商应保证质疑、投诉内容的真实性和可靠性，并承担相应的法律责任。</w:t>
      </w:r>
    </w:p>
    <w:p w14:paraId="3F0E1F85">
      <w:pPr>
        <w:rPr>
          <w:rFonts w:ascii="黑体" w:hAnsi="宋体" w:eastAsia="黑体"/>
          <w:sz w:val="24"/>
        </w:rPr>
      </w:pPr>
      <w:r>
        <w:rPr>
          <w:rFonts w:ascii="黑体" w:hAnsi="宋体" w:eastAsia="黑体"/>
          <w:sz w:val="24"/>
        </w:rPr>
        <w:t>32.</w:t>
      </w:r>
      <w:r>
        <w:rPr>
          <w:rFonts w:hint="eastAsia" w:ascii="黑体" w:hAnsi="宋体" w:eastAsia="黑体"/>
          <w:sz w:val="24"/>
        </w:rPr>
        <w:t>成交通知书</w:t>
      </w:r>
    </w:p>
    <w:p w14:paraId="35D16832">
      <w:pPr>
        <w:spacing w:line="276" w:lineRule="auto"/>
        <w:ind w:firstLine="411" w:firstLineChars="196"/>
        <w:rPr>
          <w:szCs w:val="21"/>
        </w:rPr>
      </w:pPr>
      <w:r>
        <w:rPr>
          <w:rFonts w:hint="eastAsia" w:ascii="宋体" w:hAnsi="宋体"/>
          <w:szCs w:val="21"/>
        </w:rPr>
        <w:t>3</w:t>
      </w:r>
      <w:r>
        <w:rPr>
          <w:rFonts w:ascii="宋体" w:hAnsi="宋体"/>
          <w:szCs w:val="21"/>
        </w:rPr>
        <w:t>2.</w:t>
      </w:r>
      <w:r>
        <w:rPr>
          <w:rFonts w:hint="eastAsia" w:ascii="宋体" w:hAnsi="宋体"/>
          <w:szCs w:val="21"/>
        </w:rPr>
        <w:t>1采购结果公告公布以后,公示期内无有效质疑投诉，成交供应商可在采购人</w:t>
      </w:r>
      <w:r>
        <w:rPr>
          <w:rFonts w:hint="eastAsia"/>
          <w:szCs w:val="21"/>
        </w:rPr>
        <w:t>领取中标通知书</w:t>
      </w:r>
      <w:r>
        <w:rPr>
          <w:rFonts w:hint="eastAsia"/>
          <w:b/>
          <w:szCs w:val="21"/>
        </w:rPr>
        <w:t>（</w:t>
      </w:r>
      <w:r>
        <w:rPr>
          <w:rFonts w:hint="eastAsia"/>
          <w:szCs w:val="21"/>
        </w:rPr>
        <w:t>咨询电话：</w:t>
      </w:r>
      <w:r>
        <w:rPr>
          <w:b/>
          <w:bCs/>
          <w:szCs w:val="21"/>
        </w:rPr>
        <w:t>0755-83140233</w:t>
      </w:r>
      <w:r>
        <w:rPr>
          <w:rFonts w:hint="eastAsia"/>
          <w:szCs w:val="21"/>
        </w:rPr>
        <w:t>）。</w:t>
      </w:r>
    </w:p>
    <w:p w14:paraId="73DAEFA0">
      <w:pPr>
        <w:ind w:firstLine="411" w:firstLineChars="196"/>
        <w:rPr>
          <w:rFonts w:ascii="宋体" w:hAnsi="宋体"/>
          <w:szCs w:val="21"/>
        </w:rPr>
      </w:pPr>
      <w:r>
        <w:rPr>
          <w:rFonts w:ascii="宋体" w:hAnsi="宋体"/>
          <w:szCs w:val="21"/>
        </w:rPr>
        <w:t>32.2</w:t>
      </w:r>
      <w:r>
        <w:rPr>
          <w:rFonts w:hint="eastAsia" w:ascii="宋体" w:hAnsi="宋体"/>
          <w:szCs w:val="21"/>
        </w:rPr>
        <w:t>成交通知书是合同的重要组成部分。</w:t>
      </w:r>
    </w:p>
    <w:p w14:paraId="7206D7D1">
      <w:pPr>
        <w:ind w:firstLine="411" w:firstLineChars="196"/>
        <w:rPr>
          <w:rFonts w:ascii="宋体" w:hAnsi="宋体"/>
          <w:szCs w:val="21"/>
        </w:rPr>
      </w:pPr>
      <w:r>
        <w:rPr>
          <w:rFonts w:ascii="宋体" w:hAnsi="宋体"/>
          <w:szCs w:val="21"/>
        </w:rPr>
        <w:t>32</w:t>
      </w:r>
      <w:r>
        <w:rPr>
          <w:rFonts w:hint="eastAsia" w:ascii="宋体" w:hAnsi="宋体"/>
          <w:szCs w:val="21"/>
        </w:rPr>
        <w:t>.3因质疑投诉或其它原因导致项目结果变更或采购终止的，采购人有权吊销成交通知书。</w:t>
      </w:r>
    </w:p>
    <w:p w14:paraId="7BE33C49">
      <w:pPr>
        <w:pStyle w:val="2"/>
        <w:ind w:firstLine="627" w:firstLineChars="196"/>
      </w:pPr>
    </w:p>
    <w:p w14:paraId="4D5999FB">
      <w:pPr>
        <w:tabs>
          <w:tab w:val="left" w:pos="360"/>
        </w:tabs>
        <w:spacing w:before="120" w:after="120"/>
        <w:jc w:val="center"/>
        <w:outlineLvl w:val="2"/>
        <w:rPr>
          <w:rFonts w:ascii="黑体" w:hAnsi="宋体" w:eastAsia="黑体"/>
          <w:bCs/>
          <w:sz w:val="24"/>
          <w:szCs w:val="32"/>
        </w:rPr>
      </w:pPr>
      <w:r>
        <w:rPr>
          <w:rFonts w:hint="eastAsia" w:ascii="黑体" w:hAnsi="宋体" w:eastAsia="黑体"/>
          <w:sz w:val="24"/>
          <w:szCs w:val="32"/>
        </w:rPr>
        <w:t>七、合同的授予与备案</w:t>
      </w:r>
    </w:p>
    <w:p w14:paraId="4A749632">
      <w:pPr>
        <w:rPr>
          <w:rFonts w:ascii="黑体" w:hAnsi="宋体" w:eastAsia="黑体"/>
          <w:sz w:val="24"/>
        </w:rPr>
      </w:pPr>
      <w:r>
        <w:rPr>
          <w:rFonts w:ascii="黑体" w:hAnsi="宋体" w:eastAsia="黑体"/>
          <w:sz w:val="24"/>
        </w:rPr>
        <w:t>33</w:t>
      </w:r>
      <w:r>
        <w:rPr>
          <w:rFonts w:hint="eastAsia" w:ascii="黑体" w:hAnsi="宋体" w:eastAsia="黑体"/>
          <w:sz w:val="24"/>
        </w:rPr>
        <w:t>．合同授予标准</w:t>
      </w:r>
    </w:p>
    <w:p w14:paraId="051A3A72">
      <w:pPr>
        <w:ind w:firstLine="411" w:firstLineChars="196"/>
        <w:rPr>
          <w:rFonts w:ascii="宋体" w:hAnsi="宋体"/>
          <w:szCs w:val="21"/>
        </w:rPr>
      </w:pPr>
      <w:r>
        <w:rPr>
          <w:rFonts w:hint="eastAsia" w:ascii="宋体" w:hAnsi="宋体"/>
          <w:szCs w:val="21"/>
        </w:rPr>
        <w:t>本项目的合同将授予经本谈判文件规定评审确定的成交供应商。</w:t>
      </w:r>
    </w:p>
    <w:p w14:paraId="072764FD">
      <w:pPr>
        <w:rPr>
          <w:rFonts w:ascii="黑体" w:hAnsi="宋体" w:eastAsia="黑体"/>
          <w:sz w:val="24"/>
        </w:rPr>
      </w:pPr>
      <w:r>
        <w:rPr>
          <w:rFonts w:ascii="黑体" w:hAnsi="宋体" w:eastAsia="黑体"/>
          <w:sz w:val="24"/>
        </w:rPr>
        <w:t>34</w:t>
      </w:r>
      <w:r>
        <w:rPr>
          <w:rFonts w:hint="eastAsia" w:ascii="黑体" w:hAnsi="宋体" w:eastAsia="黑体"/>
          <w:sz w:val="24"/>
        </w:rPr>
        <w:t>．接受和拒绝任何或所有应答的权力</w:t>
      </w:r>
    </w:p>
    <w:p w14:paraId="406604EB">
      <w:pPr>
        <w:ind w:firstLine="411" w:firstLineChars="196"/>
        <w:rPr>
          <w:rFonts w:ascii="宋体" w:hAnsi="宋体"/>
          <w:szCs w:val="21"/>
        </w:rPr>
      </w:pPr>
      <w:r>
        <w:rPr>
          <w:rFonts w:hint="eastAsia" w:ascii="宋体" w:hAnsi="宋体"/>
          <w:szCs w:val="21"/>
        </w:rPr>
        <w:t>采购人保留在谈判截止时间之前任何时候接受或拒绝任何应答或所有应答，以及宣布谈判无效的权力，对受影响的供应商不承担任何责任，也无义务向受影响的供应商解释采取这一行动的理由。</w:t>
      </w:r>
    </w:p>
    <w:p w14:paraId="7D19B7E3">
      <w:pPr>
        <w:rPr>
          <w:rFonts w:ascii="黑体" w:hAnsi="宋体" w:eastAsia="黑体"/>
          <w:sz w:val="24"/>
        </w:rPr>
      </w:pPr>
      <w:r>
        <w:rPr>
          <w:rFonts w:ascii="黑体" w:hAnsi="宋体" w:eastAsia="黑体"/>
          <w:sz w:val="24"/>
        </w:rPr>
        <w:t>35</w:t>
      </w:r>
      <w:r>
        <w:rPr>
          <w:rFonts w:hint="eastAsia" w:ascii="黑体" w:hAnsi="宋体" w:eastAsia="黑体"/>
          <w:sz w:val="24"/>
        </w:rPr>
        <w:t>．合同的签订</w:t>
      </w:r>
    </w:p>
    <w:p w14:paraId="3268568E">
      <w:pPr>
        <w:ind w:firstLine="411" w:firstLineChars="196"/>
        <w:rPr>
          <w:rFonts w:ascii="宋体" w:hAnsi="宋体"/>
          <w:szCs w:val="21"/>
        </w:rPr>
      </w:pPr>
      <w:r>
        <w:rPr>
          <w:rFonts w:ascii="宋体" w:hAnsi="宋体"/>
          <w:szCs w:val="21"/>
        </w:rPr>
        <w:t>35</w:t>
      </w:r>
      <w:r>
        <w:rPr>
          <w:rFonts w:hint="eastAsia" w:ascii="宋体" w:hAnsi="宋体"/>
          <w:szCs w:val="21"/>
        </w:rPr>
        <w:t>.1成交供应商将于成交通知书发出之日起十个工作日内，按照采购文件和谈判应答内容与采购人签订政府采购合同；合同的实质性内容应当符合谈判文件的规定；</w:t>
      </w:r>
    </w:p>
    <w:p w14:paraId="36F99C2E">
      <w:pPr>
        <w:ind w:firstLine="411" w:firstLineChars="196"/>
        <w:rPr>
          <w:rFonts w:ascii="宋体" w:hAnsi="宋体"/>
          <w:szCs w:val="21"/>
        </w:rPr>
      </w:pPr>
      <w:r>
        <w:rPr>
          <w:rFonts w:ascii="宋体" w:hAnsi="宋体"/>
          <w:szCs w:val="21"/>
        </w:rPr>
        <w:t>35</w:t>
      </w:r>
      <w:r>
        <w:rPr>
          <w:rFonts w:hint="eastAsia" w:ascii="宋体" w:hAnsi="宋体"/>
          <w:szCs w:val="21"/>
        </w:rPr>
        <w:t>.2成交供应商如不按本通用条款第</w:t>
      </w:r>
      <w:r>
        <w:rPr>
          <w:rFonts w:ascii="宋体" w:hAnsi="宋体"/>
          <w:szCs w:val="21"/>
        </w:rPr>
        <w:t>37.1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12EFAF78">
      <w:pPr>
        <w:ind w:firstLine="411" w:firstLineChars="196"/>
        <w:rPr>
          <w:rFonts w:ascii="宋体" w:hAnsi="宋体"/>
          <w:szCs w:val="21"/>
        </w:rPr>
      </w:pPr>
      <w:r>
        <w:rPr>
          <w:rFonts w:ascii="宋体" w:hAnsi="宋体"/>
          <w:szCs w:val="21"/>
        </w:rPr>
        <w:t>35</w:t>
      </w:r>
      <w:r>
        <w:rPr>
          <w:rFonts w:hint="eastAsia" w:ascii="宋体" w:hAnsi="宋体"/>
          <w:szCs w:val="21"/>
        </w:rPr>
        <w:t>.3成交供应商应当按照合同约定履行义务，完成成交项目，不得将成交项目转让（转包）给他人。</w:t>
      </w:r>
    </w:p>
    <w:p w14:paraId="364CC839">
      <w:pPr>
        <w:rPr>
          <w:rFonts w:ascii="黑体" w:hAnsi="宋体" w:eastAsia="黑体"/>
          <w:sz w:val="24"/>
        </w:rPr>
      </w:pPr>
      <w:r>
        <w:rPr>
          <w:rFonts w:ascii="黑体" w:hAnsi="宋体" w:eastAsia="黑体"/>
          <w:sz w:val="24"/>
        </w:rPr>
        <w:t>36</w:t>
      </w:r>
      <w:r>
        <w:rPr>
          <w:rFonts w:hint="eastAsia" w:ascii="黑体" w:hAnsi="宋体" w:eastAsia="黑体"/>
          <w:sz w:val="24"/>
        </w:rPr>
        <w:t>．履约担保</w:t>
      </w:r>
    </w:p>
    <w:p w14:paraId="398E2EDB">
      <w:pPr>
        <w:ind w:firstLine="411" w:firstLineChars="196"/>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.1在签订项目合同的同时，成交供应商应按“对谈判须知条款的补充内容”中规定的金额向采购人提交履约担保；</w:t>
      </w:r>
    </w:p>
    <w:p w14:paraId="2BF155DB">
      <w:pPr>
        <w:ind w:firstLine="411" w:firstLineChars="196"/>
      </w:pPr>
      <w:r>
        <w:rPr>
          <w:rFonts w:ascii="宋体" w:hAnsi="宋体"/>
          <w:szCs w:val="21"/>
        </w:rPr>
        <w:t>36</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14:paraId="69A1B0BA">
      <w:pPr>
        <w:rPr>
          <w:rFonts w:ascii="黑体" w:hAnsi="宋体" w:eastAsia="黑体"/>
          <w:sz w:val="24"/>
        </w:rPr>
      </w:pPr>
      <w:r>
        <w:rPr>
          <w:rFonts w:ascii="黑体" w:hAnsi="宋体" w:eastAsia="黑体"/>
          <w:sz w:val="24"/>
        </w:rPr>
        <w:t>37</w:t>
      </w:r>
      <w:r>
        <w:rPr>
          <w:rFonts w:hint="eastAsia" w:ascii="黑体" w:hAnsi="宋体" w:eastAsia="黑体"/>
          <w:sz w:val="24"/>
        </w:rPr>
        <w:t>. 合同备案</w:t>
      </w:r>
    </w:p>
    <w:p w14:paraId="400482C9">
      <w:pPr>
        <w:ind w:firstLine="411" w:firstLineChars="196"/>
        <w:rPr>
          <w:rFonts w:ascii="宋体" w:hAnsi="宋体"/>
          <w:szCs w:val="21"/>
        </w:rPr>
      </w:pPr>
      <w:r>
        <w:rPr>
          <w:rFonts w:hint="eastAsia" w:ascii="宋体" w:hAnsi="宋体"/>
          <w:szCs w:val="21"/>
        </w:rPr>
        <w:t>采购人与成交供应商应自成交通知书发出之日起10个工作日内签订政府采购合同，并按财政部门规定提交备案。</w:t>
      </w:r>
    </w:p>
    <w:p w14:paraId="5228A656">
      <w:pPr>
        <w:rPr>
          <w:rFonts w:ascii="黑体" w:hAnsi="宋体" w:eastAsia="黑体"/>
          <w:sz w:val="24"/>
        </w:rPr>
      </w:pPr>
      <w:r>
        <w:rPr>
          <w:rFonts w:hint="eastAsia" w:ascii="黑体" w:hAnsi="宋体" w:eastAsia="黑体"/>
          <w:sz w:val="24"/>
        </w:rPr>
        <w:t>3</w:t>
      </w:r>
      <w:r>
        <w:rPr>
          <w:rFonts w:ascii="黑体" w:hAnsi="宋体" w:eastAsia="黑体"/>
          <w:sz w:val="24"/>
        </w:rPr>
        <w:t>8</w:t>
      </w:r>
      <w:r>
        <w:rPr>
          <w:rFonts w:hint="eastAsia" w:ascii="黑体" w:hAnsi="宋体" w:eastAsia="黑体"/>
          <w:sz w:val="24"/>
        </w:rPr>
        <w:t>. 合同变更</w:t>
      </w:r>
    </w:p>
    <w:p w14:paraId="2350B728">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21622FBF">
      <w:pPr>
        <w:rPr>
          <w:rFonts w:ascii="黑体" w:hAnsi="宋体" w:eastAsia="黑体"/>
          <w:sz w:val="24"/>
        </w:rPr>
      </w:pPr>
      <w:r>
        <w:rPr>
          <w:rFonts w:hint="eastAsia" w:ascii="宋体" w:hAnsi="宋体"/>
          <w:szCs w:val="21"/>
        </w:rPr>
        <w:t>3</w:t>
      </w:r>
      <w:r>
        <w:rPr>
          <w:rFonts w:ascii="宋体" w:hAnsi="宋体"/>
          <w:szCs w:val="21"/>
        </w:rPr>
        <w:t>9</w:t>
      </w:r>
      <w:r>
        <w:rPr>
          <w:rFonts w:hint="eastAsia" w:ascii="黑体" w:hAnsi="宋体" w:eastAsia="黑体"/>
          <w:sz w:val="24"/>
        </w:rPr>
        <w:t>. 项目验收</w:t>
      </w:r>
    </w:p>
    <w:p w14:paraId="1B88F5C6">
      <w:pPr>
        <w:widowControl/>
        <w:ind w:right="176" w:firstLine="420"/>
        <w:jc w:val="left"/>
        <w:rPr>
          <w:rFonts w:ascii="宋体" w:hAnsi="宋体"/>
        </w:rPr>
      </w:pPr>
      <w:r>
        <w:rPr>
          <w:rFonts w:ascii="宋体" w:hAnsi="宋体"/>
        </w:rPr>
        <w:t>39</w:t>
      </w:r>
      <w:r>
        <w:rPr>
          <w:rFonts w:hint="eastAsia" w:ascii="宋体" w:hAnsi="宋体"/>
        </w:rPr>
        <w:t>.1采购人应当按照谈判文件和合同规定的标准和方法，及时组织验收。</w:t>
      </w:r>
      <w:r>
        <w:rPr>
          <w:rFonts w:ascii="宋体" w:hAnsi="宋体"/>
        </w:rPr>
        <w:t xml:space="preserve"> </w:t>
      </w:r>
    </w:p>
    <w:p w14:paraId="017B5CEF">
      <w:pPr>
        <w:rPr>
          <w:rFonts w:ascii="黑体" w:hAnsi="宋体" w:eastAsia="黑体"/>
          <w:sz w:val="24"/>
        </w:rPr>
      </w:pPr>
      <w:r>
        <w:rPr>
          <w:rFonts w:ascii="黑体" w:hAnsi="宋体" w:eastAsia="黑体"/>
          <w:sz w:val="24"/>
        </w:rPr>
        <w:t>40</w:t>
      </w:r>
      <w:r>
        <w:rPr>
          <w:rFonts w:hint="eastAsia" w:ascii="黑体" w:hAnsi="宋体" w:eastAsia="黑体"/>
          <w:sz w:val="24"/>
        </w:rPr>
        <w:t>.</w:t>
      </w:r>
      <w:r>
        <w:rPr>
          <w:rFonts w:ascii="宋体" w:hAnsi="宋体"/>
        </w:rPr>
        <w:t xml:space="preserve"> </w:t>
      </w:r>
      <w:r>
        <w:rPr>
          <w:rFonts w:hint="eastAsia" w:ascii="黑体" w:hAnsi="宋体" w:eastAsia="黑体"/>
          <w:sz w:val="24"/>
        </w:rPr>
        <w:t>供应商违法责任</w:t>
      </w:r>
    </w:p>
    <w:p w14:paraId="74A8E5F5">
      <w:pPr>
        <w:ind w:firstLine="411" w:firstLineChars="196"/>
        <w:rPr>
          <w:rFonts w:ascii="宋体" w:hAnsi="宋体"/>
          <w:szCs w:val="21"/>
        </w:rPr>
      </w:pPr>
      <w:r>
        <w:rPr>
          <w:rFonts w:ascii="宋体" w:hAnsi="宋体"/>
          <w:szCs w:val="21"/>
        </w:rPr>
        <w:t>40.1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8ADD7F">
      <w:pPr>
        <w:ind w:firstLine="411" w:firstLineChars="196"/>
        <w:rPr>
          <w:rFonts w:ascii="宋体" w:hAnsi="宋体"/>
          <w:szCs w:val="21"/>
        </w:rPr>
      </w:pPr>
      <w:r>
        <w:rPr>
          <w:rFonts w:hint="eastAsia" w:ascii="宋体" w:hAnsi="宋体"/>
          <w:szCs w:val="21"/>
        </w:rPr>
        <w:t>（1）在采购活动中应当回避而未回避的；</w:t>
      </w:r>
    </w:p>
    <w:p w14:paraId="006008F6">
      <w:pPr>
        <w:ind w:firstLine="411" w:firstLineChars="196"/>
        <w:rPr>
          <w:rFonts w:ascii="宋体" w:hAnsi="宋体"/>
          <w:szCs w:val="21"/>
        </w:rPr>
      </w:pPr>
      <w:r>
        <w:rPr>
          <w:rFonts w:hint="eastAsia" w:ascii="宋体" w:hAnsi="宋体"/>
          <w:szCs w:val="21"/>
        </w:rPr>
        <w:t>（2）未按本条例规定签订、履行采购合同，造成严重后果的；</w:t>
      </w:r>
    </w:p>
    <w:p w14:paraId="7F448534">
      <w:pPr>
        <w:ind w:firstLine="411" w:firstLineChars="196"/>
        <w:rPr>
          <w:rFonts w:ascii="宋体" w:hAnsi="宋体"/>
          <w:szCs w:val="21"/>
        </w:rPr>
      </w:pPr>
      <w:r>
        <w:rPr>
          <w:rFonts w:hint="eastAsia" w:ascii="宋体" w:hAnsi="宋体"/>
          <w:szCs w:val="21"/>
        </w:rPr>
        <w:t>（3）隐瞒真实情况，提供虚假资料的；</w:t>
      </w:r>
    </w:p>
    <w:p w14:paraId="02B712CF">
      <w:pPr>
        <w:ind w:firstLine="411" w:firstLineChars="196"/>
        <w:rPr>
          <w:rFonts w:ascii="宋体" w:hAnsi="宋体"/>
          <w:szCs w:val="21"/>
        </w:rPr>
      </w:pPr>
      <w:r>
        <w:rPr>
          <w:rFonts w:hint="eastAsia" w:ascii="宋体" w:hAnsi="宋体"/>
          <w:szCs w:val="21"/>
        </w:rPr>
        <w:t>（4）以非法手段排斥其他供应商参与竞争的；</w:t>
      </w:r>
    </w:p>
    <w:p w14:paraId="445934E3">
      <w:pPr>
        <w:ind w:firstLine="411" w:firstLineChars="196"/>
        <w:rPr>
          <w:rFonts w:ascii="宋体" w:hAnsi="宋体"/>
          <w:szCs w:val="21"/>
        </w:rPr>
      </w:pPr>
      <w:r>
        <w:rPr>
          <w:rFonts w:hint="eastAsia" w:ascii="宋体" w:hAnsi="宋体"/>
          <w:szCs w:val="21"/>
        </w:rPr>
        <w:t>（5）与其他采购参加人串通投标（谈判）的；</w:t>
      </w:r>
    </w:p>
    <w:p w14:paraId="2D4ED052">
      <w:pPr>
        <w:ind w:firstLine="411" w:firstLineChars="196"/>
        <w:rPr>
          <w:rFonts w:ascii="宋体" w:hAnsi="宋体"/>
          <w:szCs w:val="21"/>
        </w:rPr>
      </w:pPr>
      <w:r>
        <w:rPr>
          <w:rFonts w:hint="eastAsia" w:ascii="宋体" w:hAnsi="宋体"/>
          <w:szCs w:val="21"/>
        </w:rPr>
        <w:t>（6）恶意投诉的；</w:t>
      </w:r>
    </w:p>
    <w:p w14:paraId="439A9AD4">
      <w:pPr>
        <w:ind w:firstLine="411" w:firstLineChars="196"/>
        <w:rPr>
          <w:rFonts w:ascii="宋体" w:hAnsi="宋体"/>
          <w:szCs w:val="21"/>
        </w:rPr>
      </w:pPr>
      <w:r>
        <w:rPr>
          <w:rFonts w:hint="eastAsia" w:ascii="宋体" w:hAnsi="宋体"/>
          <w:szCs w:val="21"/>
        </w:rPr>
        <w:t>（7）向采购项目相关人行贿或者提供其他不当利益的；</w:t>
      </w:r>
    </w:p>
    <w:p w14:paraId="1D3283F8">
      <w:pPr>
        <w:ind w:firstLine="411" w:firstLineChars="196"/>
        <w:rPr>
          <w:rFonts w:ascii="宋体" w:hAnsi="宋体"/>
          <w:szCs w:val="21"/>
        </w:rPr>
      </w:pPr>
      <w:r>
        <w:rPr>
          <w:rFonts w:hint="eastAsia" w:ascii="宋体" w:hAnsi="宋体"/>
          <w:szCs w:val="21"/>
        </w:rPr>
        <w:t>（8）阻碍、抗拒主管部门监督检查的；</w:t>
      </w:r>
    </w:p>
    <w:p w14:paraId="35FD897A">
      <w:pPr>
        <w:ind w:firstLine="411" w:firstLineChars="196"/>
        <w:rPr>
          <w:rFonts w:ascii="宋体" w:hAnsi="宋体"/>
          <w:szCs w:val="21"/>
        </w:rPr>
      </w:pPr>
      <w:r>
        <w:rPr>
          <w:rFonts w:hint="eastAsia" w:ascii="宋体" w:hAnsi="宋体"/>
          <w:szCs w:val="21"/>
        </w:rPr>
        <w:t>（9）其他违反本条例规定的行为。</w:t>
      </w:r>
    </w:p>
    <w:p w14:paraId="5A8FD2A1">
      <w:pPr>
        <w:ind w:firstLine="411" w:firstLineChars="196"/>
        <w:rPr>
          <w:rFonts w:ascii="宋体" w:hAnsi="宋体"/>
          <w:szCs w:val="21"/>
        </w:rPr>
      </w:pPr>
      <w:r>
        <w:rPr>
          <w:rFonts w:ascii="宋体" w:hAnsi="宋体"/>
          <w:szCs w:val="21"/>
        </w:rPr>
        <w:t xml:space="preserve">40.2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采购人或采购人不予退还其交纳的谈判保证金，情节严重的，并由主管部门记入供应商诚信档案，予以通报：</w:t>
      </w:r>
    </w:p>
    <w:p w14:paraId="5A904500">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14:paraId="6BB3FB05">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14:paraId="72B1EFD7">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文件中未说明且未经采购人、采购人同意，将</w:t>
      </w:r>
      <w:r>
        <w:rPr>
          <w:rFonts w:hint="eastAsia" w:ascii="宋体" w:hAnsi="宋体"/>
          <w:szCs w:val="21"/>
        </w:rPr>
        <w:t>成交</w:t>
      </w:r>
      <w:r>
        <w:rPr>
          <w:rFonts w:ascii="宋体" w:hAnsi="宋体"/>
          <w:szCs w:val="21"/>
        </w:rPr>
        <w:t>项目分包给他人的；</w:t>
      </w:r>
    </w:p>
    <w:p w14:paraId="2F4B0338">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6BC73569">
      <w:pPr>
        <w:pStyle w:val="2"/>
        <w:ind w:firstLine="627" w:firstLineChars="196"/>
      </w:pPr>
    </w:p>
    <w:p w14:paraId="7705337D"/>
    <w:p w14:paraId="19A5A64C">
      <w:pPr>
        <w:tabs>
          <w:tab w:val="left" w:pos="360"/>
        </w:tabs>
        <w:spacing w:before="120" w:after="120"/>
        <w:ind w:left="480"/>
        <w:jc w:val="center"/>
        <w:outlineLvl w:val="2"/>
        <w:rPr>
          <w:rFonts w:ascii="黑体" w:hAnsi="宋体" w:eastAsia="黑体"/>
          <w:bCs/>
          <w:sz w:val="24"/>
          <w:szCs w:val="32"/>
        </w:rPr>
      </w:pPr>
      <w:r>
        <w:rPr>
          <w:rFonts w:hint="eastAsia" w:ascii="黑体" w:hAnsi="宋体" w:eastAsia="黑体"/>
          <w:sz w:val="24"/>
          <w:szCs w:val="32"/>
        </w:rPr>
        <w:t>八、质疑处理</w:t>
      </w:r>
    </w:p>
    <w:p w14:paraId="00F476A5">
      <w:pPr>
        <w:rPr>
          <w:rFonts w:ascii="黑体" w:hAnsi="宋体" w:eastAsia="黑体"/>
          <w:sz w:val="24"/>
        </w:rPr>
      </w:pPr>
      <w:r>
        <w:rPr>
          <w:rFonts w:ascii="黑体" w:hAnsi="宋体" w:eastAsia="黑体"/>
          <w:sz w:val="24"/>
        </w:rPr>
        <w:t>41</w:t>
      </w:r>
      <w:r>
        <w:rPr>
          <w:rFonts w:hint="eastAsia" w:ascii="黑体" w:hAnsi="宋体" w:eastAsia="黑体"/>
          <w:sz w:val="24"/>
        </w:rPr>
        <w:t>.质疑提出与答复</w:t>
      </w:r>
    </w:p>
    <w:p w14:paraId="26B3319E">
      <w:pPr>
        <w:rPr>
          <w:rFonts w:ascii="宋体" w:hAnsi="宋体"/>
          <w:szCs w:val="21"/>
        </w:rPr>
      </w:pPr>
      <w:r>
        <w:rPr>
          <w:rFonts w:hint="eastAsia" w:ascii="宋体" w:hAnsi="宋体"/>
          <w:szCs w:val="21"/>
        </w:rPr>
        <w:t xml:space="preserve">    </w:t>
      </w:r>
      <w:r>
        <w:rPr>
          <w:rFonts w:ascii="宋体" w:hAnsi="宋体"/>
          <w:szCs w:val="21"/>
        </w:rPr>
        <w:t>41</w:t>
      </w:r>
      <w:r>
        <w:rPr>
          <w:rFonts w:hint="eastAsia" w:ascii="宋体" w:hAnsi="宋体"/>
          <w:szCs w:val="21"/>
        </w:rPr>
        <w:t>.1提出质疑</w:t>
      </w:r>
    </w:p>
    <w:p w14:paraId="7B2EBBCA">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参与政府采购活动的供应商认为自己的权益在采购活动中受到损害的，应当自知道或者应当知道其权益受到损害之日起七个工作日内向采购人以书面形式提出质疑。</w:t>
      </w:r>
    </w:p>
    <w:p w14:paraId="3804C7B4">
      <w:pPr>
        <w:rPr>
          <w:rFonts w:ascii="宋体" w:hAnsi="宋体"/>
          <w:szCs w:val="21"/>
        </w:rPr>
      </w:pPr>
      <w:r>
        <w:rPr>
          <w:rFonts w:hint="eastAsia" w:ascii="宋体" w:hAnsi="宋体"/>
          <w:szCs w:val="21"/>
        </w:rPr>
        <w:t xml:space="preserve">    </w:t>
      </w:r>
      <w:r>
        <w:rPr>
          <w:rFonts w:ascii="宋体" w:hAnsi="宋体"/>
          <w:szCs w:val="21"/>
        </w:rPr>
        <w:t>41</w:t>
      </w:r>
      <w:r>
        <w:rPr>
          <w:rFonts w:hint="eastAsia" w:ascii="宋体" w:hAnsi="宋体"/>
          <w:szCs w:val="21"/>
        </w:rPr>
        <w:t>.2</w:t>
      </w:r>
      <w:r>
        <w:rPr>
          <w:rFonts w:ascii="宋体" w:hAnsi="宋体"/>
          <w:szCs w:val="21"/>
        </w:rPr>
        <w:t>法律依据</w:t>
      </w:r>
    </w:p>
    <w:p w14:paraId="206A9CE6">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0FB4DB">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41</w:t>
      </w:r>
      <w:r>
        <w:rPr>
          <w:rFonts w:hint="eastAsia" w:ascii="宋体" w:hAnsi="宋体"/>
          <w:szCs w:val="21"/>
        </w:rPr>
        <w:t>.3质疑条件</w:t>
      </w:r>
    </w:p>
    <w:p w14:paraId="64ED808A">
      <w:pPr>
        <w:rPr>
          <w:rFonts w:ascii="宋体" w:hAnsi="宋体"/>
          <w:szCs w:val="21"/>
        </w:rPr>
      </w:pPr>
      <w:r>
        <w:rPr>
          <w:rFonts w:hint="eastAsia" w:ascii="宋体" w:hAnsi="宋体"/>
          <w:szCs w:val="21"/>
        </w:rPr>
        <w:t xml:space="preserve">    </w:t>
      </w:r>
      <w:r>
        <w:rPr>
          <w:rFonts w:ascii="宋体" w:hAnsi="宋体"/>
          <w:szCs w:val="21"/>
        </w:rPr>
        <w:t>41</w:t>
      </w:r>
      <w:r>
        <w:rPr>
          <w:rFonts w:hint="eastAsia" w:ascii="宋体" w:hAnsi="宋体"/>
          <w:szCs w:val="21"/>
        </w:rPr>
        <w:t>.3.1提出质疑的供应商应当是参与所质疑项目采购活动的供应商；以联合体形式参与的，质疑应当由组成联合体的所有成员共同提出；</w:t>
      </w:r>
    </w:p>
    <w:p w14:paraId="1F60174A">
      <w:pPr>
        <w:rPr>
          <w:rFonts w:ascii="宋体" w:hAnsi="宋体"/>
          <w:szCs w:val="21"/>
        </w:rPr>
      </w:pPr>
      <w:r>
        <w:rPr>
          <w:rFonts w:hint="eastAsia" w:ascii="宋体" w:hAnsi="宋体"/>
          <w:szCs w:val="21"/>
        </w:rPr>
        <w:t xml:space="preserve">    </w:t>
      </w:r>
      <w:r>
        <w:rPr>
          <w:rFonts w:ascii="宋体" w:hAnsi="宋体"/>
          <w:szCs w:val="21"/>
        </w:rPr>
        <w:t>41</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p>
    <w:p w14:paraId="672B9420">
      <w:pPr>
        <w:ind w:firstLine="420"/>
        <w:rPr>
          <w:rFonts w:ascii="宋体" w:hAnsi="宋体"/>
          <w:szCs w:val="21"/>
        </w:rPr>
      </w:pPr>
      <w:r>
        <w:rPr>
          <w:rFonts w:ascii="宋体" w:hAnsi="宋体"/>
          <w:szCs w:val="21"/>
        </w:rPr>
        <w:t>41</w:t>
      </w:r>
      <w:r>
        <w:rPr>
          <w:rFonts w:hint="eastAsia" w:ascii="宋体" w:hAnsi="宋体"/>
          <w:szCs w:val="21"/>
        </w:rPr>
        <w:t>.3.3应提交书面质疑函，质疑函应当包括以下内容：</w:t>
      </w:r>
      <w:r>
        <w:rPr>
          <w:rFonts w:ascii="宋体" w:hAnsi="宋体"/>
          <w:szCs w:val="21"/>
        </w:rPr>
        <w:t xml:space="preserve"> </w:t>
      </w:r>
    </w:p>
    <w:p w14:paraId="3ABB8E97">
      <w:pPr>
        <w:ind w:firstLine="420"/>
        <w:rPr>
          <w:rFonts w:ascii="宋体" w:hAnsi="宋体"/>
          <w:szCs w:val="21"/>
        </w:rPr>
      </w:pPr>
      <w:r>
        <w:rPr>
          <w:rFonts w:hint="eastAsia" w:ascii="宋体" w:hAnsi="宋体"/>
          <w:szCs w:val="21"/>
        </w:rPr>
        <w:t>（1）供应商的名称（或者姓名）、地址、邮编、邮箱、联系人及联系电话；</w:t>
      </w:r>
    </w:p>
    <w:p w14:paraId="50CA7D0F">
      <w:pPr>
        <w:ind w:firstLine="420" w:firstLineChars="200"/>
        <w:rPr>
          <w:rFonts w:ascii="宋体" w:hAnsi="宋体"/>
          <w:szCs w:val="21"/>
        </w:rPr>
      </w:pPr>
      <w:r>
        <w:rPr>
          <w:rFonts w:hint="eastAsia" w:ascii="宋体" w:hAnsi="宋体"/>
          <w:szCs w:val="21"/>
        </w:rPr>
        <w:t>（2）质疑项目的名称、编号；</w:t>
      </w:r>
    </w:p>
    <w:p w14:paraId="63496405">
      <w:pPr>
        <w:ind w:firstLine="420" w:firstLineChars="200"/>
        <w:rPr>
          <w:rFonts w:ascii="宋体" w:hAnsi="宋体"/>
          <w:szCs w:val="21"/>
        </w:rPr>
      </w:pPr>
      <w:r>
        <w:rPr>
          <w:rFonts w:hint="eastAsia" w:ascii="宋体" w:hAnsi="宋体"/>
          <w:szCs w:val="21"/>
        </w:rPr>
        <w:t>（3）具体、明确的质疑对象、质疑事项和质疑请求；</w:t>
      </w:r>
    </w:p>
    <w:p w14:paraId="5016E2E6">
      <w:pPr>
        <w:ind w:firstLine="420" w:firstLineChars="200"/>
        <w:rPr>
          <w:rFonts w:ascii="宋体" w:hAnsi="宋体"/>
          <w:szCs w:val="21"/>
        </w:rPr>
      </w:pPr>
      <w:r>
        <w:rPr>
          <w:rFonts w:hint="eastAsia" w:ascii="宋体" w:hAnsi="宋体"/>
          <w:szCs w:val="21"/>
        </w:rPr>
        <w:t>（4）因质疑事项而受损害的权益；</w:t>
      </w:r>
    </w:p>
    <w:p w14:paraId="0ED509BD">
      <w:pPr>
        <w:ind w:firstLine="420" w:firstLineChars="200"/>
        <w:rPr>
          <w:rFonts w:ascii="宋体" w:hAnsi="宋体"/>
          <w:szCs w:val="21"/>
        </w:rPr>
      </w:pPr>
      <w:r>
        <w:rPr>
          <w:rFonts w:hint="eastAsia" w:ascii="宋体" w:hAnsi="宋体"/>
          <w:szCs w:val="21"/>
        </w:rPr>
        <w:t>（5）事实依据；</w:t>
      </w:r>
    </w:p>
    <w:p w14:paraId="0E8DF6BC">
      <w:pPr>
        <w:ind w:firstLine="420" w:firstLineChars="200"/>
        <w:rPr>
          <w:rFonts w:ascii="宋体" w:hAnsi="宋体"/>
          <w:szCs w:val="21"/>
        </w:rPr>
      </w:pPr>
      <w:r>
        <w:rPr>
          <w:rFonts w:hint="eastAsia" w:ascii="宋体" w:hAnsi="宋体"/>
          <w:szCs w:val="21"/>
        </w:rPr>
        <w:t>（6）必要的法律依据；</w:t>
      </w:r>
    </w:p>
    <w:p w14:paraId="2D7AFBC1">
      <w:pPr>
        <w:ind w:firstLine="420" w:firstLineChars="200"/>
        <w:rPr>
          <w:rFonts w:ascii="宋体" w:hAnsi="宋体"/>
          <w:szCs w:val="21"/>
        </w:rPr>
      </w:pPr>
      <w:r>
        <w:rPr>
          <w:rFonts w:hint="eastAsia" w:ascii="宋体" w:hAnsi="宋体"/>
          <w:szCs w:val="21"/>
        </w:rPr>
        <w:t>（7）提出质疑的日期。</w:t>
      </w:r>
    </w:p>
    <w:p w14:paraId="536EE425">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7511840">
      <w:pPr>
        <w:ind w:firstLine="420" w:firstLineChars="200"/>
        <w:rPr>
          <w:rFonts w:ascii="宋体" w:hAnsi="宋体"/>
          <w:szCs w:val="21"/>
        </w:rPr>
      </w:pPr>
      <w:r>
        <w:rPr>
          <w:rFonts w:ascii="宋体" w:hAnsi="宋体"/>
          <w:szCs w:val="21"/>
        </w:rPr>
        <w:t>41</w:t>
      </w:r>
      <w:r>
        <w:rPr>
          <w:rFonts w:hint="eastAsia" w:ascii="宋体" w:hAnsi="宋体"/>
          <w:szCs w:val="21"/>
        </w:rPr>
        <w:t>.4提交</w:t>
      </w:r>
      <w:r>
        <w:rPr>
          <w:rFonts w:ascii="宋体" w:hAnsi="宋体"/>
          <w:szCs w:val="21"/>
        </w:rPr>
        <w:t>材料</w:t>
      </w:r>
    </w:p>
    <w:p w14:paraId="2A24651B">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7AF6530">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122F91">
      <w:pPr>
        <w:ind w:firstLine="420" w:firstLineChars="200"/>
        <w:rPr>
          <w:rFonts w:ascii="宋体" w:hAnsi="宋体"/>
          <w:szCs w:val="21"/>
        </w:rPr>
      </w:pPr>
      <w:r>
        <w:rPr>
          <w:rFonts w:ascii="宋体" w:hAnsi="宋体"/>
          <w:szCs w:val="21"/>
        </w:rPr>
        <w:t>41</w:t>
      </w:r>
      <w:r>
        <w:rPr>
          <w:rFonts w:hint="eastAsia" w:ascii="宋体" w:hAnsi="宋体"/>
          <w:szCs w:val="21"/>
        </w:rPr>
        <w:t>.5收文地点</w:t>
      </w:r>
    </w:p>
    <w:p w14:paraId="5979A898">
      <w:pPr>
        <w:spacing w:line="276" w:lineRule="auto"/>
        <w:ind w:firstLine="420" w:firstLineChars="200"/>
        <w:rPr>
          <w:b/>
          <w:bCs/>
          <w:szCs w:val="21"/>
        </w:rPr>
      </w:pPr>
      <w:r>
        <w:rPr>
          <w:rFonts w:hint="eastAsia"/>
          <w:szCs w:val="21"/>
        </w:rPr>
        <w:t>请质疑供应商提交质疑材料至</w:t>
      </w:r>
      <w:r>
        <w:rPr>
          <w:rFonts w:hint="eastAsia"/>
          <w:b/>
          <w:bCs/>
          <w:szCs w:val="21"/>
        </w:rPr>
        <w:t>地址：深圳市福田区中康路</w:t>
      </w:r>
      <w:r>
        <w:rPr>
          <w:b/>
          <w:bCs/>
          <w:szCs w:val="21"/>
        </w:rPr>
        <w:t>27</w:t>
      </w:r>
      <w:r>
        <w:rPr>
          <w:rFonts w:hint="eastAsia"/>
          <w:b/>
          <w:bCs/>
          <w:szCs w:val="21"/>
        </w:rPr>
        <w:t>号附楼</w:t>
      </w:r>
      <w:r>
        <w:rPr>
          <w:b/>
          <w:bCs/>
          <w:szCs w:val="21"/>
        </w:rPr>
        <w:t>B</w:t>
      </w:r>
      <w:r>
        <w:rPr>
          <w:rFonts w:hint="eastAsia"/>
          <w:b/>
          <w:bCs/>
          <w:szCs w:val="21"/>
        </w:rPr>
        <w:t>栋</w:t>
      </w:r>
      <w:r>
        <w:rPr>
          <w:b/>
          <w:bCs/>
          <w:szCs w:val="21"/>
        </w:rPr>
        <w:t>403</w:t>
      </w:r>
      <w:r>
        <w:rPr>
          <w:rFonts w:hint="eastAsia"/>
          <w:b/>
          <w:bCs/>
          <w:szCs w:val="21"/>
        </w:rPr>
        <w:t>室，质疑咨询电话：</w:t>
      </w:r>
      <w:r>
        <w:rPr>
          <w:b/>
          <w:bCs/>
          <w:szCs w:val="21"/>
        </w:rPr>
        <w:t>0755-83140233</w:t>
      </w:r>
      <w:r>
        <w:rPr>
          <w:rFonts w:hint="eastAsia"/>
          <w:b/>
          <w:bCs/>
          <w:szCs w:val="21"/>
        </w:rPr>
        <w:t>；</w:t>
      </w:r>
      <w:r>
        <w:rPr>
          <w:b/>
          <w:bCs/>
          <w:szCs w:val="21"/>
        </w:rPr>
        <w:t>83110237</w:t>
      </w:r>
      <w:r>
        <w:rPr>
          <w:rFonts w:hint="eastAsia"/>
          <w:b/>
          <w:bCs/>
          <w:szCs w:val="21"/>
        </w:rPr>
        <w:t>。</w:t>
      </w:r>
    </w:p>
    <w:p w14:paraId="3F887ABD">
      <w:pPr>
        <w:ind w:firstLine="420" w:firstLineChars="200"/>
        <w:rPr>
          <w:rFonts w:ascii="宋体" w:hAnsi="宋体"/>
          <w:szCs w:val="21"/>
        </w:rPr>
      </w:pPr>
      <w:r>
        <w:rPr>
          <w:rFonts w:ascii="宋体" w:hAnsi="宋体"/>
          <w:szCs w:val="21"/>
        </w:rPr>
        <w:t>41</w:t>
      </w:r>
      <w:r>
        <w:rPr>
          <w:rFonts w:hint="eastAsia" w:ascii="宋体" w:hAnsi="宋体"/>
          <w:szCs w:val="21"/>
        </w:rPr>
        <w:t>.6收文办理</w:t>
      </w:r>
      <w:r>
        <w:rPr>
          <w:rFonts w:ascii="宋体" w:hAnsi="宋体"/>
          <w:szCs w:val="21"/>
        </w:rPr>
        <w:t>程序</w:t>
      </w:r>
    </w:p>
    <w:p w14:paraId="11D5F81D">
      <w:pPr>
        <w:ind w:firstLine="420" w:firstLineChars="200"/>
        <w:rPr>
          <w:rFonts w:ascii="宋体" w:hAnsi="宋体"/>
          <w:szCs w:val="21"/>
        </w:rPr>
      </w:pPr>
      <w:r>
        <w:rPr>
          <w:rFonts w:ascii="宋体" w:hAnsi="宋体"/>
          <w:szCs w:val="21"/>
        </w:rPr>
        <w:t>41</w:t>
      </w:r>
      <w:r>
        <w:rPr>
          <w:rFonts w:hint="eastAsia" w:ascii="宋体" w:hAnsi="宋体"/>
          <w:szCs w:val="21"/>
        </w:rPr>
        <w:t>.6.1供应商提交的质疑符合受理条件的，采购人自收到质疑材料之日起即为受理，应当向供应商出具质疑函收文回执并可以要求其递交质疑的法定代表人（负责人）或者授权代理人签署质疑文书送达地址确认书。</w:t>
      </w:r>
    </w:p>
    <w:p w14:paraId="337425F2">
      <w:pPr>
        <w:ind w:firstLine="420" w:firstLineChars="200"/>
        <w:rPr>
          <w:rFonts w:ascii="仿宋" w:hAnsi="仿宋" w:eastAsia="仿宋"/>
          <w:sz w:val="28"/>
          <w:szCs w:val="28"/>
        </w:rPr>
      </w:pPr>
      <w:r>
        <w:rPr>
          <w:rFonts w:ascii="宋体" w:hAnsi="宋体"/>
          <w:szCs w:val="21"/>
        </w:rPr>
        <w:t>41</w:t>
      </w:r>
      <w:r>
        <w:rPr>
          <w:rFonts w:hint="eastAsia" w:ascii="宋体" w:hAnsi="宋体"/>
          <w:szCs w:val="21"/>
        </w:rPr>
        <w:t>.6.2供应商提交的质疑材料不符合质疑条件的，视情况处理：</w:t>
      </w:r>
    </w:p>
    <w:p w14:paraId="283ED72B">
      <w:pPr>
        <w:ind w:firstLine="420" w:firstLineChars="200"/>
        <w:rPr>
          <w:rFonts w:ascii="宋体" w:hAnsi="宋体"/>
          <w:szCs w:val="21"/>
        </w:rPr>
      </w:pPr>
      <w:r>
        <w:rPr>
          <w:rFonts w:hint="eastAsia" w:ascii="宋体" w:hAnsi="宋体"/>
          <w:szCs w:val="21"/>
        </w:rPr>
        <w:t>供应商提交的质疑材料不全或者未按要求签字或者盖章的，采购人应当一次性告知供应商需补正的内容和补正期限。</w:t>
      </w:r>
    </w:p>
    <w:p w14:paraId="4D05E8F1">
      <w:pPr>
        <w:ind w:firstLine="420" w:firstLineChars="200"/>
        <w:rPr>
          <w:rFonts w:ascii="宋体" w:hAnsi="宋体"/>
          <w:szCs w:val="21"/>
        </w:rPr>
      </w:pPr>
      <w:r>
        <w:rPr>
          <w:rFonts w:hint="eastAsia" w:ascii="宋体" w:hAnsi="宋体"/>
          <w:szCs w:val="21"/>
        </w:rPr>
        <w:t>供应商提交的质疑存在下列情形之一的，不予受理：</w:t>
      </w:r>
    </w:p>
    <w:p w14:paraId="7369D6A0">
      <w:pPr>
        <w:ind w:firstLine="420" w:firstLineChars="200"/>
        <w:rPr>
          <w:rFonts w:ascii="宋体" w:hAnsi="宋体"/>
          <w:szCs w:val="21"/>
        </w:rPr>
      </w:pPr>
      <w:r>
        <w:rPr>
          <w:rFonts w:hint="eastAsia" w:ascii="宋体" w:hAnsi="宋体"/>
          <w:szCs w:val="21"/>
        </w:rPr>
        <w:t>（1）质疑主体不满足要求的；</w:t>
      </w:r>
    </w:p>
    <w:p w14:paraId="63EAC7BD">
      <w:pPr>
        <w:ind w:firstLine="420" w:firstLineChars="200"/>
        <w:rPr>
          <w:rFonts w:ascii="宋体" w:hAnsi="宋体"/>
          <w:szCs w:val="21"/>
        </w:rPr>
      </w:pPr>
      <w:r>
        <w:rPr>
          <w:rFonts w:hint="eastAsia" w:ascii="宋体" w:hAnsi="宋体"/>
          <w:szCs w:val="21"/>
        </w:rPr>
        <w:t>（2）供应商自身权益未受到损害的；</w:t>
      </w:r>
    </w:p>
    <w:p w14:paraId="09ADC9DD">
      <w:pPr>
        <w:ind w:firstLine="420" w:firstLineChars="200"/>
        <w:rPr>
          <w:rFonts w:ascii="宋体" w:hAnsi="宋体"/>
          <w:szCs w:val="21"/>
        </w:rPr>
      </w:pPr>
      <w:r>
        <w:rPr>
          <w:rFonts w:hint="eastAsia" w:ascii="宋体" w:hAnsi="宋体"/>
          <w:szCs w:val="21"/>
        </w:rPr>
        <w:t>（3）供应商未在法定质疑期限内提出质疑的；</w:t>
      </w:r>
    </w:p>
    <w:p w14:paraId="58BFA678">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E513086">
      <w:pPr>
        <w:ind w:firstLine="420" w:firstLineChars="200"/>
        <w:rPr>
          <w:rFonts w:ascii="宋体" w:hAnsi="宋体"/>
          <w:szCs w:val="21"/>
        </w:rPr>
      </w:pPr>
      <w:r>
        <w:rPr>
          <w:rFonts w:hint="eastAsia" w:ascii="宋体" w:hAnsi="宋体"/>
          <w:szCs w:val="21"/>
        </w:rPr>
        <w:t>（5）其他不符合受理条件情形的。</w:t>
      </w:r>
    </w:p>
    <w:p w14:paraId="6385ABAE">
      <w:pPr>
        <w:ind w:firstLine="420" w:firstLineChars="200"/>
        <w:rPr>
          <w:rFonts w:ascii="宋体" w:hAnsi="宋体"/>
          <w:szCs w:val="21"/>
        </w:rPr>
      </w:pPr>
      <w:r>
        <w:rPr>
          <w:rFonts w:hint="eastAsia" w:ascii="宋体" w:hAnsi="宋体"/>
          <w:szCs w:val="21"/>
        </w:rPr>
        <w:t>质疑事项不予受理的，采购人应当向供应商出具不符合质疑条件告知书。</w:t>
      </w:r>
    </w:p>
    <w:p w14:paraId="1BDE0EB3">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41</w:t>
      </w:r>
      <w:r>
        <w:rPr>
          <w:rFonts w:hint="eastAsia" w:ascii="宋体" w:hAnsi="宋体"/>
          <w:szCs w:val="21"/>
        </w:rPr>
        <w:t>.7质疑答复时限</w:t>
      </w:r>
    </w:p>
    <w:p w14:paraId="434C9EC1">
      <w:pPr>
        <w:rPr>
          <w:rFonts w:ascii="宋体" w:hAnsi="宋体"/>
          <w:szCs w:val="21"/>
        </w:rPr>
      </w:pPr>
      <w:r>
        <w:rPr>
          <w:rFonts w:hint="eastAsia" w:ascii="宋体" w:hAnsi="宋体"/>
          <w:szCs w:val="21"/>
        </w:rPr>
        <w:t xml:space="preserve">    自收文之日起七个工作日内。</w:t>
      </w:r>
    </w:p>
    <w:p w14:paraId="35955664">
      <w:pPr>
        <w:rPr>
          <w:rFonts w:ascii="宋体" w:hAnsi="宋体"/>
          <w:szCs w:val="21"/>
        </w:rPr>
      </w:pPr>
      <w:r>
        <w:rPr>
          <w:rFonts w:hint="eastAsia" w:ascii="宋体" w:hAnsi="宋体"/>
          <w:szCs w:val="21"/>
        </w:rPr>
        <w:t xml:space="preserve">    </w:t>
      </w:r>
      <w:r>
        <w:rPr>
          <w:rFonts w:ascii="宋体" w:hAnsi="宋体"/>
          <w:szCs w:val="21"/>
        </w:rPr>
        <w:t>41</w:t>
      </w:r>
      <w:r>
        <w:rPr>
          <w:rFonts w:hint="eastAsia" w:ascii="宋体" w:hAnsi="宋体"/>
          <w:szCs w:val="21"/>
        </w:rPr>
        <w:t>.8投诉</w:t>
      </w:r>
    </w:p>
    <w:p w14:paraId="2498FA8B">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5B571025">
      <w:pPr>
        <w:rPr>
          <w:rFonts w:ascii="黑体" w:hAnsi="宋体" w:eastAsia="黑体"/>
          <w:sz w:val="24"/>
        </w:rPr>
      </w:pPr>
      <w:r>
        <w:rPr>
          <w:rFonts w:ascii="黑体" w:hAnsi="宋体" w:eastAsia="黑体"/>
          <w:sz w:val="24"/>
        </w:rPr>
        <w:t>42</w:t>
      </w:r>
      <w:r>
        <w:rPr>
          <w:rFonts w:hint="eastAsia" w:ascii="黑体" w:hAnsi="宋体" w:eastAsia="黑体"/>
          <w:sz w:val="24"/>
        </w:rPr>
        <w:t>. 质疑后续处理</w:t>
      </w:r>
    </w:p>
    <w:p w14:paraId="626B3855">
      <w:pPr>
        <w:rPr>
          <w:rFonts w:ascii="宋体" w:hAnsi="宋体"/>
          <w:szCs w:val="21"/>
        </w:rPr>
      </w:pPr>
      <w:r>
        <w:rPr>
          <w:rFonts w:hint="eastAsia" w:ascii="宋体" w:hAnsi="宋体"/>
          <w:szCs w:val="21"/>
        </w:rPr>
        <w:t xml:space="preserve">    </w:t>
      </w:r>
      <w:r>
        <w:rPr>
          <w:rFonts w:ascii="宋体" w:hAnsi="宋体"/>
          <w:szCs w:val="21"/>
        </w:rPr>
        <w:t>42</w:t>
      </w:r>
      <w:r>
        <w:rPr>
          <w:rFonts w:hint="eastAsia" w:ascii="宋体" w:hAnsi="宋体"/>
          <w:szCs w:val="21"/>
        </w:rPr>
        <w:t>.1供应商质疑不成立，或者成立但未对中标、成交结果构成影响的，继续开展采购活动。</w:t>
      </w:r>
    </w:p>
    <w:p w14:paraId="683B2E97">
      <w:pPr>
        <w:rPr>
          <w:rFonts w:ascii="宋体" w:hAnsi="宋体"/>
          <w:szCs w:val="21"/>
        </w:rPr>
      </w:pPr>
      <w:r>
        <w:rPr>
          <w:rFonts w:hint="eastAsia" w:ascii="宋体" w:hAnsi="宋体"/>
          <w:szCs w:val="21"/>
        </w:rPr>
        <w:t xml:space="preserve">    </w:t>
      </w:r>
      <w:r>
        <w:rPr>
          <w:rFonts w:ascii="宋体" w:hAnsi="宋体"/>
          <w:szCs w:val="21"/>
        </w:rPr>
        <w:t>42</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9B9DBEA">
      <w:pPr>
        <w:rPr>
          <w:sz w:val="28"/>
        </w:rPr>
      </w:pPr>
    </w:p>
    <w:p w14:paraId="2A511846">
      <w:pPr>
        <w:jc w:val="center"/>
      </w:pPr>
      <w:r>
        <w:t>---- END ----</w:t>
      </w:r>
    </w:p>
    <w:bookmarkEnd w:id="51"/>
    <w:p w14:paraId="7CF6BE14"/>
    <w:sectPr>
      <w:headerReference r:id="rId3" w:type="first"/>
      <w:footerReference r:id="rId5" w:type="first"/>
      <w:footerReference r:id="rId4" w:type="default"/>
      <w:pgSz w:w="11907" w:h="16840"/>
      <w:pgMar w:top="1440" w:right="1080" w:bottom="1440" w:left="1080" w:header="851" w:footer="992" w:gutter="0"/>
      <w:cols w:space="425"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瀹嬩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8C4B">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p w14:paraId="1BE6A22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917A">
    <w:pPr>
      <w:pStyle w:val="21"/>
      <w:jc w:val="cente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F81C">
    <w:pPr>
      <w:pStyle w:val="22"/>
      <w:jc w:val="left"/>
      <w:rPr>
        <w:b/>
      </w:rPr>
    </w:pPr>
    <w:r>
      <w:rPr>
        <w:rFonts w:hint="eastAsia"/>
        <w:b/>
      </w:rPr>
      <w:t>深圳公共资源交易中心（深圳交易集团有限公司福田分公司）                                                             代理服务招标文件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3EA4B"/>
    <w:multiLevelType w:val="singleLevel"/>
    <w:tmpl w:val="8953EA4B"/>
    <w:lvl w:ilvl="0" w:tentative="0">
      <w:start w:val="1"/>
      <w:numFmt w:val="chineseCounting"/>
      <w:suff w:val="nothing"/>
      <w:lvlText w:val="（%1）"/>
      <w:lvlJc w:val="left"/>
      <w:rPr>
        <w:rFonts w:hint="eastAsia"/>
      </w:rPr>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A9F11B60"/>
    <w:multiLevelType w:val="singleLevel"/>
    <w:tmpl w:val="A9F11B60"/>
    <w:lvl w:ilvl="0" w:tentative="0">
      <w:start w:val="2"/>
      <w:numFmt w:val="chineseCounting"/>
      <w:suff w:val="nothing"/>
      <w:lvlText w:val="（%1）"/>
      <w:lvlJc w:val="left"/>
      <w:rPr>
        <w:rFonts w:hint="eastAsia"/>
      </w:rPr>
    </w:lvl>
  </w:abstractNum>
  <w:abstractNum w:abstractNumId="3">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4">
    <w:nsid w:val="17361E08"/>
    <w:multiLevelType w:val="multilevel"/>
    <w:tmpl w:val="17361E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EB0159"/>
    <w:multiLevelType w:val="multilevel"/>
    <w:tmpl w:val="24EB01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2379FC"/>
    <w:multiLevelType w:val="singleLevel"/>
    <w:tmpl w:val="282379FC"/>
    <w:lvl w:ilvl="0" w:tentative="0">
      <w:start w:val="2"/>
      <w:numFmt w:val="chineseCounting"/>
      <w:suff w:val="nothing"/>
      <w:lvlText w:val="（%1）"/>
      <w:lvlJc w:val="left"/>
      <w:rPr>
        <w:rFonts w:hint="eastAsia"/>
      </w:rPr>
    </w:lvl>
  </w:abstractNum>
  <w:abstractNum w:abstractNumId="7">
    <w:nsid w:val="37BC64FD"/>
    <w:multiLevelType w:val="multilevel"/>
    <w:tmpl w:val="37BC64FD"/>
    <w:lvl w:ilvl="0" w:tentative="0">
      <w:start w:val="1"/>
      <w:numFmt w:val="decimal"/>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6D3AA2"/>
    <w:multiLevelType w:val="multilevel"/>
    <w:tmpl w:val="396D3A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210E9E"/>
    <w:multiLevelType w:val="multilevel"/>
    <w:tmpl w:val="4E210E9E"/>
    <w:lvl w:ilvl="0" w:tentative="0">
      <w:start w:val="1"/>
      <w:numFmt w:val="chineseCountingThousand"/>
      <w:lvlText w:val="%1、"/>
      <w:lvlJc w:val="left"/>
      <w:pPr>
        <w:ind w:left="420" w:hanging="420"/>
      </w:pPr>
      <w:rPr>
        <w:rFonts w:ascii="宋体" w:hAnsi="宋体" w:eastAsia="宋体"/>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1">
    <w:nsid w:val="742A4329"/>
    <w:multiLevelType w:val="multilevel"/>
    <w:tmpl w:val="742A4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3"/>
  </w:num>
  <w:num w:numId="3">
    <w:abstractNumId w:val="2"/>
  </w:num>
  <w:num w:numId="4">
    <w:abstractNumId w:val="4"/>
  </w:num>
  <w:num w:numId="5">
    <w:abstractNumId w:val="6"/>
  </w:num>
  <w:num w:numId="6">
    <w:abstractNumId w:val="5"/>
  </w:num>
  <w:num w:numId="7">
    <w:abstractNumId w:val="0"/>
  </w:num>
  <w:num w:numId="8">
    <w:abstractNumId w:val="7"/>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NjUyYjA4OWNjODdmYzU3OGJkNzllMzZiZjU3YzgifQ=="/>
  </w:docVars>
  <w:rsids>
    <w:rsidRoot w:val="00EE1829"/>
    <w:rsid w:val="00000AF4"/>
    <w:rsid w:val="00000D48"/>
    <w:rsid w:val="000028F3"/>
    <w:rsid w:val="000056E1"/>
    <w:rsid w:val="000067F9"/>
    <w:rsid w:val="000117C3"/>
    <w:rsid w:val="0002012B"/>
    <w:rsid w:val="00024C64"/>
    <w:rsid w:val="0002699F"/>
    <w:rsid w:val="00042174"/>
    <w:rsid w:val="000507D9"/>
    <w:rsid w:val="000538C0"/>
    <w:rsid w:val="000545FE"/>
    <w:rsid w:val="00057DCD"/>
    <w:rsid w:val="000716E0"/>
    <w:rsid w:val="00076675"/>
    <w:rsid w:val="0007728A"/>
    <w:rsid w:val="00080970"/>
    <w:rsid w:val="00090503"/>
    <w:rsid w:val="00095BC8"/>
    <w:rsid w:val="000A7865"/>
    <w:rsid w:val="000A7B67"/>
    <w:rsid w:val="000B6126"/>
    <w:rsid w:val="000C330B"/>
    <w:rsid w:val="000C34BE"/>
    <w:rsid w:val="000D2846"/>
    <w:rsid w:val="000D5C57"/>
    <w:rsid w:val="000E36D7"/>
    <w:rsid w:val="000E6B1C"/>
    <w:rsid w:val="000E7D42"/>
    <w:rsid w:val="00112E0B"/>
    <w:rsid w:val="0011716C"/>
    <w:rsid w:val="00117CBA"/>
    <w:rsid w:val="00125777"/>
    <w:rsid w:val="00132230"/>
    <w:rsid w:val="0013508F"/>
    <w:rsid w:val="00145703"/>
    <w:rsid w:val="00147C8D"/>
    <w:rsid w:val="00150818"/>
    <w:rsid w:val="001526F1"/>
    <w:rsid w:val="001566F8"/>
    <w:rsid w:val="00157DFF"/>
    <w:rsid w:val="001601BD"/>
    <w:rsid w:val="00172845"/>
    <w:rsid w:val="00173804"/>
    <w:rsid w:val="001825B0"/>
    <w:rsid w:val="00183388"/>
    <w:rsid w:val="001836DD"/>
    <w:rsid w:val="00191FA4"/>
    <w:rsid w:val="00192CB8"/>
    <w:rsid w:val="00196A30"/>
    <w:rsid w:val="001A48DB"/>
    <w:rsid w:val="001A6196"/>
    <w:rsid w:val="001A6831"/>
    <w:rsid w:val="001B3AFA"/>
    <w:rsid w:val="001C0DDF"/>
    <w:rsid w:val="001C6464"/>
    <w:rsid w:val="001C72F7"/>
    <w:rsid w:val="001D46C2"/>
    <w:rsid w:val="001E06EA"/>
    <w:rsid w:val="001F3CE3"/>
    <w:rsid w:val="001F4DE8"/>
    <w:rsid w:val="00203A92"/>
    <w:rsid w:val="00207054"/>
    <w:rsid w:val="002114DE"/>
    <w:rsid w:val="00211F61"/>
    <w:rsid w:val="00213DA7"/>
    <w:rsid w:val="00220B79"/>
    <w:rsid w:val="00221A65"/>
    <w:rsid w:val="00221C20"/>
    <w:rsid w:val="00224754"/>
    <w:rsid w:val="002422AF"/>
    <w:rsid w:val="00243973"/>
    <w:rsid w:val="00262DA0"/>
    <w:rsid w:val="0026510B"/>
    <w:rsid w:val="00270A2E"/>
    <w:rsid w:val="00276E2E"/>
    <w:rsid w:val="00291460"/>
    <w:rsid w:val="002B1C40"/>
    <w:rsid w:val="002C4109"/>
    <w:rsid w:val="002C7B08"/>
    <w:rsid w:val="002E10ED"/>
    <w:rsid w:val="002E79CF"/>
    <w:rsid w:val="002E79EA"/>
    <w:rsid w:val="00300D0E"/>
    <w:rsid w:val="00313ABD"/>
    <w:rsid w:val="00314203"/>
    <w:rsid w:val="003175F2"/>
    <w:rsid w:val="00322F9C"/>
    <w:rsid w:val="00330AC8"/>
    <w:rsid w:val="00334301"/>
    <w:rsid w:val="0034154A"/>
    <w:rsid w:val="00342CD9"/>
    <w:rsid w:val="003440BB"/>
    <w:rsid w:val="00344160"/>
    <w:rsid w:val="00360EE2"/>
    <w:rsid w:val="00373B77"/>
    <w:rsid w:val="00374220"/>
    <w:rsid w:val="0037548C"/>
    <w:rsid w:val="003772A4"/>
    <w:rsid w:val="00381009"/>
    <w:rsid w:val="00384950"/>
    <w:rsid w:val="00391A0E"/>
    <w:rsid w:val="00396B19"/>
    <w:rsid w:val="003A0D03"/>
    <w:rsid w:val="003A52AB"/>
    <w:rsid w:val="003A5F8F"/>
    <w:rsid w:val="003B2B28"/>
    <w:rsid w:val="003B6577"/>
    <w:rsid w:val="003B6B64"/>
    <w:rsid w:val="003C48B3"/>
    <w:rsid w:val="003C4E49"/>
    <w:rsid w:val="003D08E9"/>
    <w:rsid w:val="003D417B"/>
    <w:rsid w:val="003D4F21"/>
    <w:rsid w:val="003D6DA2"/>
    <w:rsid w:val="003E2649"/>
    <w:rsid w:val="003F0F69"/>
    <w:rsid w:val="00407100"/>
    <w:rsid w:val="00410B22"/>
    <w:rsid w:val="00412EF4"/>
    <w:rsid w:val="004157BF"/>
    <w:rsid w:val="00421571"/>
    <w:rsid w:val="00423A04"/>
    <w:rsid w:val="00423B85"/>
    <w:rsid w:val="00431C70"/>
    <w:rsid w:val="00432C35"/>
    <w:rsid w:val="00435A20"/>
    <w:rsid w:val="0044009F"/>
    <w:rsid w:val="00460452"/>
    <w:rsid w:val="00466AF2"/>
    <w:rsid w:val="004711CF"/>
    <w:rsid w:val="00476D45"/>
    <w:rsid w:val="0048062C"/>
    <w:rsid w:val="004819D9"/>
    <w:rsid w:val="004829CA"/>
    <w:rsid w:val="0048784A"/>
    <w:rsid w:val="00492143"/>
    <w:rsid w:val="004947E6"/>
    <w:rsid w:val="00495B74"/>
    <w:rsid w:val="004A0FB6"/>
    <w:rsid w:val="004A1DA2"/>
    <w:rsid w:val="004A43FB"/>
    <w:rsid w:val="004A5187"/>
    <w:rsid w:val="004B060E"/>
    <w:rsid w:val="004B3C66"/>
    <w:rsid w:val="004B4E9B"/>
    <w:rsid w:val="004B6F84"/>
    <w:rsid w:val="004C5B63"/>
    <w:rsid w:val="004C6A79"/>
    <w:rsid w:val="004D0169"/>
    <w:rsid w:val="004D1D4E"/>
    <w:rsid w:val="004D359A"/>
    <w:rsid w:val="004E0D7A"/>
    <w:rsid w:val="004E66B1"/>
    <w:rsid w:val="004E6937"/>
    <w:rsid w:val="004F3B6A"/>
    <w:rsid w:val="004F4B50"/>
    <w:rsid w:val="00501544"/>
    <w:rsid w:val="00513110"/>
    <w:rsid w:val="00515BBC"/>
    <w:rsid w:val="00517A70"/>
    <w:rsid w:val="00524405"/>
    <w:rsid w:val="005311F4"/>
    <w:rsid w:val="00531A93"/>
    <w:rsid w:val="00533BFE"/>
    <w:rsid w:val="005352BC"/>
    <w:rsid w:val="00535F72"/>
    <w:rsid w:val="0053710C"/>
    <w:rsid w:val="005433AC"/>
    <w:rsid w:val="005441E3"/>
    <w:rsid w:val="005463EB"/>
    <w:rsid w:val="00546D6D"/>
    <w:rsid w:val="00550DB4"/>
    <w:rsid w:val="005524D2"/>
    <w:rsid w:val="005647F1"/>
    <w:rsid w:val="00574163"/>
    <w:rsid w:val="00580A08"/>
    <w:rsid w:val="00580A39"/>
    <w:rsid w:val="005828D0"/>
    <w:rsid w:val="005A02FE"/>
    <w:rsid w:val="005A0A43"/>
    <w:rsid w:val="005A5721"/>
    <w:rsid w:val="005B76E2"/>
    <w:rsid w:val="005C0459"/>
    <w:rsid w:val="005C1863"/>
    <w:rsid w:val="005D4617"/>
    <w:rsid w:val="005D6B73"/>
    <w:rsid w:val="005F7679"/>
    <w:rsid w:val="0060142D"/>
    <w:rsid w:val="0060192B"/>
    <w:rsid w:val="006032A3"/>
    <w:rsid w:val="00604249"/>
    <w:rsid w:val="006142B5"/>
    <w:rsid w:val="006169F6"/>
    <w:rsid w:val="00620ABF"/>
    <w:rsid w:val="00623BCE"/>
    <w:rsid w:val="00643DE6"/>
    <w:rsid w:val="00644634"/>
    <w:rsid w:val="006529A4"/>
    <w:rsid w:val="00652DE6"/>
    <w:rsid w:val="0066086D"/>
    <w:rsid w:val="00662B8C"/>
    <w:rsid w:val="00663D9B"/>
    <w:rsid w:val="00673820"/>
    <w:rsid w:val="00680E6A"/>
    <w:rsid w:val="00685E9E"/>
    <w:rsid w:val="00685F79"/>
    <w:rsid w:val="006903AC"/>
    <w:rsid w:val="00695109"/>
    <w:rsid w:val="006B2C4E"/>
    <w:rsid w:val="006C321C"/>
    <w:rsid w:val="006D3A2A"/>
    <w:rsid w:val="006D5DCA"/>
    <w:rsid w:val="006D6415"/>
    <w:rsid w:val="006F0C9C"/>
    <w:rsid w:val="006F583E"/>
    <w:rsid w:val="00700D4F"/>
    <w:rsid w:val="00704F3E"/>
    <w:rsid w:val="007055F1"/>
    <w:rsid w:val="00711CB2"/>
    <w:rsid w:val="00730E13"/>
    <w:rsid w:val="00736C08"/>
    <w:rsid w:val="00740F4F"/>
    <w:rsid w:val="007415A9"/>
    <w:rsid w:val="00742F77"/>
    <w:rsid w:val="0074465C"/>
    <w:rsid w:val="00750537"/>
    <w:rsid w:val="00763A8F"/>
    <w:rsid w:val="00765334"/>
    <w:rsid w:val="00765406"/>
    <w:rsid w:val="00765CD3"/>
    <w:rsid w:val="007663C8"/>
    <w:rsid w:val="00767274"/>
    <w:rsid w:val="00771A50"/>
    <w:rsid w:val="00772CA1"/>
    <w:rsid w:val="0077542A"/>
    <w:rsid w:val="0078143D"/>
    <w:rsid w:val="00781C20"/>
    <w:rsid w:val="00786BE0"/>
    <w:rsid w:val="007870D0"/>
    <w:rsid w:val="00792C97"/>
    <w:rsid w:val="007954A5"/>
    <w:rsid w:val="00796DA9"/>
    <w:rsid w:val="007B21B8"/>
    <w:rsid w:val="007B618A"/>
    <w:rsid w:val="007C612D"/>
    <w:rsid w:val="007D0E2D"/>
    <w:rsid w:val="007D179F"/>
    <w:rsid w:val="007D2C60"/>
    <w:rsid w:val="007D55DB"/>
    <w:rsid w:val="007F51C7"/>
    <w:rsid w:val="008011CC"/>
    <w:rsid w:val="00801CFE"/>
    <w:rsid w:val="00817709"/>
    <w:rsid w:val="00826901"/>
    <w:rsid w:val="00844FD4"/>
    <w:rsid w:val="00855FF5"/>
    <w:rsid w:val="00860B69"/>
    <w:rsid w:val="00864EE2"/>
    <w:rsid w:val="00866522"/>
    <w:rsid w:val="00871BED"/>
    <w:rsid w:val="008822B1"/>
    <w:rsid w:val="00896CE0"/>
    <w:rsid w:val="008A0812"/>
    <w:rsid w:val="008A42AF"/>
    <w:rsid w:val="008A5D3A"/>
    <w:rsid w:val="008B2982"/>
    <w:rsid w:val="008C3D5A"/>
    <w:rsid w:val="008D0332"/>
    <w:rsid w:val="008D17B8"/>
    <w:rsid w:val="008D1C36"/>
    <w:rsid w:val="008E7F3D"/>
    <w:rsid w:val="008F147C"/>
    <w:rsid w:val="008F49CC"/>
    <w:rsid w:val="00902FBD"/>
    <w:rsid w:val="0090383D"/>
    <w:rsid w:val="00916E10"/>
    <w:rsid w:val="0092094F"/>
    <w:rsid w:val="00921C90"/>
    <w:rsid w:val="00926964"/>
    <w:rsid w:val="00926D85"/>
    <w:rsid w:val="00937BEB"/>
    <w:rsid w:val="00943143"/>
    <w:rsid w:val="0094739A"/>
    <w:rsid w:val="009548BF"/>
    <w:rsid w:val="00957BDE"/>
    <w:rsid w:val="00974570"/>
    <w:rsid w:val="009817BA"/>
    <w:rsid w:val="009841C4"/>
    <w:rsid w:val="00993C38"/>
    <w:rsid w:val="009969D8"/>
    <w:rsid w:val="009A586F"/>
    <w:rsid w:val="009B11B8"/>
    <w:rsid w:val="009B5268"/>
    <w:rsid w:val="009B5E48"/>
    <w:rsid w:val="009B6FF1"/>
    <w:rsid w:val="009C154B"/>
    <w:rsid w:val="009C1DBE"/>
    <w:rsid w:val="009C59F3"/>
    <w:rsid w:val="009D2914"/>
    <w:rsid w:val="009F0725"/>
    <w:rsid w:val="009F3EE3"/>
    <w:rsid w:val="009F4C38"/>
    <w:rsid w:val="009F7769"/>
    <w:rsid w:val="00A17122"/>
    <w:rsid w:val="00A17E2D"/>
    <w:rsid w:val="00A21231"/>
    <w:rsid w:val="00A21633"/>
    <w:rsid w:val="00A22199"/>
    <w:rsid w:val="00A22AB0"/>
    <w:rsid w:val="00A234D6"/>
    <w:rsid w:val="00A3405B"/>
    <w:rsid w:val="00A34CF9"/>
    <w:rsid w:val="00A430F8"/>
    <w:rsid w:val="00A50D83"/>
    <w:rsid w:val="00A52C6F"/>
    <w:rsid w:val="00A54533"/>
    <w:rsid w:val="00A54E2B"/>
    <w:rsid w:val="00A636B7"/>
    <w:rsid w:val="00A64122"/>
    <w:rsid w:val="00A70D45"/>
    <w:rsid w:val="00A82CE2"/>
    <w:rsid w:val="00A83405"/>
    <w:rsid w:val="00A87836"/>
    <w:rsid w:val="00A90685"/>
    <w:rsid w:val="00A94AE5"/>
    <w:rsid w:val="00AA151C"/>
    <w:rsid w:val="00AA35F7"/>
    <w:rsid w:val="00AA66A4"/>
    <w:rsid w:val="00AB029F"/>
    <w:rsid w:val="00AC3239"/>
    <w:rsid w:val="00AC62CB"/>
    <w:rsid w:val="00AD1942"/>
    <w:rsid w:val="00AD64D3"/>
    <w:rsid w:val="00AD7FD3"/>
    <w:rsid w:val="00AE698C"/>
    <w:rsid w:val="00AF54D1"/>
    <w:rsid w:val="00AF6260"/>
    <w:rsid w:val="00B002CF"/>
    <w:rsid w:val="00B00637"/>
    <w:rsid w:val="00B02CB4"/>
    <w:rsid w:val="00B05BF0"/>
    <w:rsid w:val="00B063A5"/>
    <w:rsid w:val="00B07301"/>
    <w:rsid w:val="00B10C2B"/>
    <w:rsid w:val="00B15772"/>
    <w:rsid w:val="00B245B8"/>
    <w:rsid w:val="00B30E98"/>
    <w:rsid w:val="00B34275"/>
    <w:rsid w:val="00B409C5"/>
    <w:rsid w:val="00B46473"/>
    <w:rsid w:val="00B47589"/>
    <w:rsid w:val="00B52A5D"/>
    <w:rsid w:val="00B63B49"/>
    <w:rsid w:val="00B730A6"/>
    <w:rsid w:val="00B80833"/>
    <w:rsid w:val="00B81526"/>
    <w:rsid w:val="00B85FD9"/>
    <w:rsid w:val="00B91409"/>
    <w:rsid w:val="00BA0820"/>
    <w:rsid w:val="00BA22D2"/>
    <w:rsid w:val="00BB0266"/>
    <w:rsid w:val="00BB0D6B"/>
    <w:rsid w:val="00BB2098"/>
    <w:rsid w:val="00BB2A66"/>
    <w:rsid w:val="00BB4826"/>
    <w:rsid w:val="00BC3EE3"/>
    <w:rsid w:val="00BC4831"/>
    <w:rsid w:val="00BD7283"/>
    <w:rsid w:val="00BE26FF"/>
    <w:rsid w:val="00BE2739"/>
    <w:rsid w:val="00BE5E3C"/>
    <w:rsid w:val="00BE5FC8"/>
    <w:rsid w:val="00BF050D"/>
    <w:rsid w:val="00BF6E7A"/>
    <w:rsid w:val="00C00574"/>
    <w:rsid w:val="00C05DDF"/>
    <w:rsid w:val="00C060D7"/>
    <w:rsid w:val="00C15085"/>
    <w:rsid w:val="00C2046C"/>
    <w:rsid w:val="00C21A01"/>
    <w:rsid w:val="00C25274"/>
    <w:rsid w:val="00C30094"/>
    <w:rsid w:val="00C31A7A"/>
    <w:rsid w:val="00C4283D"/>
    <w:rsid w:val="00C43297"/>
    <w:rsid w:val="00C46911"/>
    <w:rsid w:val="00C46B3A"/>
    <w:rsid w:val="00C50AFC"/>
    <w:rsid w:val="00C52673"/>
    <w:rsid w:val="00C55B59"/>
    <w:rsid w:val="00C60C0A"/>
    <w:rsid w:val="00C64B10"/>
    <w:rsid w:val="00C72B09"/>
    <w:rsid w:val="00C902D6"/>
    <w:rsid w:val="00C91ADB"/>
    <w:rsid w:val="00C94F68"/>
    <w:rsid w:val="00CA372F"/>
    <w:rsid w:val="00CA3A61"/>
    <w:rsid w:val="00CA68DC"/>
    <w:rsid w:val="00CB4665"/>
    <w:rsid w:val="00CC005A"/>
    <w:rsid w:val="00CD0720"/>
    <w:rsid w:val="00CD50D3"/>
    <w:rsid w:val="00CD78D0"/>
    <w:rsid w:val="00CE2530"/>
    <w:rsid w:val="00CE4B85"/>
    <w:rsid w:val="00CF343B"/>
    <w:rsid w:val="00CF755C"/>
    <w:rsid w:val="00D05BED"/>
    <w:rsid w:val="00D07A18"/>
    <w:rsid w:val="00D10142"/>
    <w:rsid w:val="00D11320"/>
    <w:rsid w:val="00D1142D"/>
    <w:rsid w:val="00D120A9"/>
    <w:rsid w:val="00D13830"/>
    <w:rsid w:val="00D23D24"/>
    <w:rsid w:val="00D354D2"/>
    <w:rsid w:val="00D46683"/>
    <w:rsid w:val="00D50E0F"/>
    <w:rsid w:val="00D56D77"/>
    <w:rsid w:val="00D62DCB"/>
    <w:rsid w:val="00D80561"/>
    <w:rsid w:val="00D832C0"/>
    <w:rsid w:val="00D85831"/>
    <w:rsid w:val="00D86CA9"/>
    <w:rsid w:val="00D94DAF"/>
    <w:rsid w:val="00DA00BB"/>
    <w:rsid w:val="00DA1924"/>
    <w:rsid w:val="00DA1954"/>
    <w:rsid w:val="00DA30EB"/>
    <w:rsid w:val="00DA5116"/>
    <w:rsid w:val="00DB1B2B"/>
    <w:rsid w:val="00DC655C"/>
    <w:rsid w:val="00DD1113"/>
    <w:rsid w:val="00DD149E"/>
    <w:rsid w:val="00DD2005"/>
    <w:rsid w:val="00DD511E"/>
    <w:rsid w:val="00DD582B"/>
    <w:rsid w:val="00DE3207"/>
    <w:rsid w:val="00DF0006"/>
    <w:rsid w:val="00DF2574"/>
    <w:rsid w:val="00DF2ACF"/>
    <w:rsid w:val="00DF45A1"/>
    <w:rsid w:val="00E038A0"/>
    <w:rsid w:val="00E17AB2"/>
    <w:rsid w:val="00E26A0B"/>
    <w:rsid w:val="00E62FAF"/>
    <w:rsid w:val="00E70269"/>
    <w:rsid w:val="00E9120C"/>
    <w:rsid w:val="00E96340"/>
    <w:rsid w:val="00EC7278"/>
    <w:rsid w:val="00ED091A"/>
    <w:rsid w:val="00ED1C23"/>
    <w:rsid w:val="00ED540D"/>
    <w:rsid w:val="00ED55D7"/>
    <w:rsid w:val="00EE1829"/>
    <w:rsid w:val="00F010B5"/>
    <w:rsid w:val="00F277B9"/>
    <w:rsid w:val="00F27B35"/>
    <w:rsid w:val="00F32153"/>
    <w:rsid w:val="00F34F9E"/>
    <w:rsid w:val="00F37940"/>
    <w:rsid w:val="00F537E3"/>
    <w:rsid w:val="00F62524"/>
    <w:rsid w:val="00F70657"/>
    <w:rsid w:val="00F70F84"/>
    <w:rsid w:val="00F80B14"/>
    <w:rsid w:val="00F839AE"/>
    <w:rsid w:val="00F843F2"/>
    <w:rsid w:val="00F858A1"/>
    <w:rsid w:val="00FB1912"/>
    <w:rsid w:val="00FB4306"/>
    <w:rsid w:val="00FB53D5"/>
    <w:rsid w:val="00FC2D35"/>
    <w:rsid w:val="00FC31F4"/>
    <w:rsid w:val="00FC4B6F"/>
    <w:rsid w:val="00FC6E2E"/>
    <w:rsid w:val="00FE571F"/>
    <w:rsid w:val="00FE5C55"/>
    <w:rsid w:val="00FF7803"/>
    <w:rsid w:val="0B0566C0"/>
    <w:rsid w:val="0BB53410"/>
    <w:rsid w:val="1504685C"/>
    <w:rsid w:val="16C715E2"/>
    <w:rsid w:val="199131C9"/>
    <w:rsid w:val="1F1700EF"/>
    <w:rsid w:val="218D1613"/>
    <w:rsid w:val="22D17CD4"/>
    <w:rsid w:val="2372642E"/>
    <w:rsid w:val="2AA052F1"/>
    <w:rsid w:val="2FC05051"/>
    <w:rsid w:val="316801FE"/>
    <w:rsid w:val="31DE4CF4"/>
    <w:rsid w:val="359F7A84"/>
    <w:rsid w:val="39E57C85"/>
    <w:rsid w:val="3BF4207A"/>
    <w:rsid w:val="3C465A87"/>
    <w:rsid w:val="3CC202FE"/>
    <w:rsid w:val="4CF30786"/>
    <w:rsid w:val="50655046"/>
    <w:rsid w:val="5C065E3A"/>
    <w:rsid w:val="5D10640D"/>
    <w:rsid w:val="5DEA1DCA"/>
    <w:rsid w:val="5F796C91"/>
    <w:rsid w:val="65421384"/>
    <w:rsid w:val="6C103B6F"/>
    <w:rsid w:val="6CCE4AAC"/>
    <w:rsid w:val="724D02D8"/>
    <w:rsid w:val="7287314A"/>
    <w:rsid w:val="7A58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1"/>
    <w:link w:val="39"/>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40"/>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6">
    <w:name w:val="heading 4"/>
    <w:basedOn w:val="1"/>
    <w:next w:val="7"/>
    <w:link w:val="4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7"/>
    <w:link w:val="42"/>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7"/>
    <w:link w:val="43"/>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7"/>
    <w:link w:val="44"/>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7"/>
    <w:link w:val="45"/>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46"/>
    <w:qFormat/>
    <w:uiPriority w:val="0"/>
    <w:pPr>
      <w:keepNext/>
      <w:keepLines/>
      <w:numPr>
        <w:ilvl w:val="8"/>
        <w:numId w:val="1"/>
      </w:numPr>
      <w:spacing w:before="240" w:after="64" w:line="320" w:lineRule="auto"/>
      <w:outlineLvl w:val="8"/>
    </w:pPr>
    <w:rPr>
      <w:rFonts w:ascii="Arial" w:hAnsi="Arial" w:eastAsia="黑体"/>
      <w:sz w:val="24"/>
      <w:szCs w:val="20"/>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rPr>
      <w:rFonts w:ascii="宋体" w:hAnsi="宋体" w:eastAsia="仿宋_GB2312"/>
      <w:sz w:val="32"/>
    </w:rPr>
  </w:style>
  <w:style w:type="paragraph" w:styleId="7">
    <w:name w:val="Normal Indent"/>
    <w:basedOn w:val="1"/>
    <w:link w:val="63"/>
    <w:qFormat/>
    <w:uiPriority w:val="0"/>
    <w:pPr>
      <w:spacing w:line="360" w:lineRule="auto"/>
      <w:ind w:firstLine="420"/>
    </w:pPr>
    <w:rPr>
      <w:sz w:val="24"/>
      <w:szCs w:val="20"/>
    </w:rPr>
  </w:style>
  <w:style w:type="paragraph" w:styleId="13">
    <w:name w:val="List Bullet"/>
    <w:basedOn w:val="1"/>
    <w:qFormat/>
    <w:uiPriority w:val="0"/>
    <w:pPr>
      <w:numPr>
        <w:ilvl w:val="0"/>
        <w:numId w:val="2"/>
      </w:numPr>
    </w:pPr>
    <w:rPr>
      <w:szCs w:val="20"/>
    </w:rPr>
  </w:style>
  <w:style w:type="paragraph" w:styleId="14">
    <w:name w:val="Document Map"/>
    <w:basedOn w:val="1"/>
    <w:link w:val="57"/>
    <w:semiHidden/>
    <w:qFormat/>
    <w:uiPriority w:val="0"/>
    <w:pPr>
      <w:shd w:val="clear" w:color="auto" w:fill="000080"/>
    </w:pPr>
  </w:style>
  <w:style w:type="paragraph" w:styleId="15">
    <w:name w:val="annotation text"/>
    <w:basedOn w:val="1"/>
    <w:link w:val="64"/>
    <w:qFormat/>
    <w:uiPriority w:val="0"/>
    <w:pPr>
      <w:jc w:val="left"/>
    </w:pPr>
  </w:style>
  <w:style w:type="paragraph" w:styleId="16">
    <w:name w:val="Body Text Indent"/>
    <w:basedOn w:val="1"/>
    <w:link w:val="50"/>
    <w:qFormat/>
    <w:uiPriority w:val="0"/>
    <w:pPr>
      <w:spacing w:line="360" w:lineRule="auto"/>
      <w:jc w:val="center"/>
    </w:pPr>
    <w:rPr>
      <w:sz w:val="28"/>
      <w:szCs w:val="20"/>
    </w:rPr>
  </w:style>
  <w:style w:type="paragraph" w:styleId="17">
    <w:name w:val="toc 3"/>
    <w:basedOn w:val="1"/>
    <w:next w:val="1"/>
    <w:semiHidden/>
    <w:qFormat/>
    <w:uiPriority w:val="0"/>
    <w:pPr>
      <w:ind w:left="840" w:leftChars="400"/>
    </w:pPr>
  </w:style>
  <w:style w:type="paragraph" w:styleId="18">
    <w:name w:val="Plain Text"/>
    <w:basedOn w:val="1"/>
    <w:link w:val="68"/>
    <w:unhideWhenUsed/>
    <w:qFormat/>
    <w:uiPriority w:val="0"/>
    <w:rPr>
      <w:rFonts w:ascii="宋体" w:hAnsi="Courier New" w:cs="黑体"/>
      <w:szCs w:val="22"/>
    </w:rPr>
  </w:style>
  <w:style w:type="paragraph" w:styleId="19">
    <w:name w:val="Date"/>
    <w:basedOn w:val="1"/>
    <w:next w:val="1"/>
    <w:link w:val="49"/>
    <w:qFormat/>
    <w:uiPriority w:val="0"/>
    <w:pPr>
      <w:adjustRightInd w:val="0"/>
      <w:spacing w:line="312" w:lineRule="atLeast"/>
      <w:jc w:val="right"/>
      <w:textAlignment w:val="baseline"/>
    </w:pPr>
    <w:rPr>
      <w:kern w:val="0"/>
      <w:sz w:val="32"/>
      <w:szCs w:val="20"/>
    </w:rPr>
  </w:style>
  <w:style w:type="paragraph" w:styleId="20">
    <w:name w:val="Balloon Text"/>
    <w:basedOn w:val="1"/>
    <w:link w:val="55"/>
    <w:qFormat/>
    <w:uiPriority w:val="0"/>
    <w:rPr>
      <w:sz w:val="18"/>
      <w:szCs w:val="18"/>
    </w:rPr>
  </w:style>
  <w:style w:type="paragraph" w:styleId="21">
    <w:name w:val="footer"/>
    <w:basedOn w:val="1"/>
    <w:link w:val="37"/>
    <w:unhideWhenUsed/>
    <w:qFormat/>
    <w:uiPriority w:val="99"/>
    <w:pPr>
      <w:tabs>
        <w:tab w:val="center" w:pos="4153"/>
        <w:tab w:val="right" w:pos="8306"/>
      </w:tabs>
      <w:snapToGrid w:val="0"/>
      <w:jc w:val="left"/>
    </w:pPr>
    <w:rPr>
      <w:sz w:val="18"/>
      <w:szCs w:val="18"/>
    </w:rPr>
  </w:style>
  <w:style w:type="paragraph" w:styleId="22">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017"/>
      </w:tabs>
      <w:spacing w:line="360" w:lineRule="auto"/>
    </w:pPr>
    <w:rPr>
      <w:rFonts w:ascii="宋体" w:hAnsi="宋体"/>
      <w:sz w:val="24"/>
      <w:szCs w:val="44"/>
    </w:rPr>
  </w:style>
  <w:style w:type="paragraph" w:styleId="24">
    <w:name w:val="Body Text Indent 3"/>
    <w:basedOn w:val="1"/>
    <w:link w:val="53"/>
    <w:qFormat/>
    <w:uiPriority w:val="0"/>
    <w:pPr>
      <w:spacing w:line="360" w:lineRule="auto"/>
      <w:ind w:firstLine="482" w:firstLineChars="200"/>
    </w:pPr>
    <w:rPr>
      <w:rFonts w:ascii="宋体"/>
      <w:b/>
      <w:bCs/>
      <w:sz w:val="24"/>
    </w:rPr>
  </w:style>
  <w:style w:type="paragraph" w:styleId="25">
    <w:name w:val="toc 2"/>
    <w:basedOn w:val="1"/>
    <w:next w:val="1"/>
    <w:semiHidden/>
    <w:qFormat/>
    <w:uiPriority w:val="0"/>
    <w:pPr>
      <w:spacing w:line="360" w:lineRule="auto"/>
      <w:ind w:left="420" w:leftChars="200"/>
    </w:pPr>
    <w:rPr>
      <w:sz w:val="24"/>
      <w:szCs w:val="20"/>
    </w:rPr>
  </w:style>
  <w:style w:type="paragraph" w:styleId="26">
    <w:name w:val="Body Text 2"/>
    <w:basedOn w:val="1"/>
    <w:link w:val="90"/>
    <w:semiHidden/>
    <w:unhideWhenUsed/>
    <w:qFormat/>
    <w:uiPriority w:val="99"/>
    <w:pPr>
      <w:spacing w:after="120" w:line="480" w:lineRule="auto"/>
    </w:pPr>
  </w:style>
  <w:style w:type="paragraph" w:styleId="27">
    <w:name w:val="Normal (Web)"/>
    <w:basedOn w:val="1"/>
    <w:link w:val="85"/>
    <w:qFormat/>
    <w:uiPriority w:val="99"/>
    <w:rPr>
      <w:sz w:val="24"/>
    </w:rPr>
  </w:style>
  <w:style w:type="paragraph" w:styleId="28">
    <w:name w:val="index 1"/>
    <w:basedOn w:val="1"/>
    <w:next w:val="1"/>
    <w:semiHidden/>
    <w:qFormat/>
    <w:uiPriority w:val="0"/>
  </w:style>
  <w:style w:type="paragraph" w:styleId="29">
    <w:name w:val="annotation subject"/>
    <w:basedOn w:val="15"/>
    <w:next w:val="15"/>
    <w:link w:val="65"/>
    <w:qFormat/>
    <w:uiPriority w:val="0"/>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0"/>
    <w:rPr>
      <w:color w:val="0000FF"/>
      <w:u w:val="single"/>
    </w:rPr>
  </w:style>
  <w:style w:type="character" w:styleId="35">
    <w:name w:val="annotation reference"/>
    <w:qFormat/>
    <w:uiPriority w:val="99"/>
    <w:rPr>
      <w:sz w:val="21"/>
      <w:szCs w:val="21"/>
    </w:rPr>
  </w:style>
  <w:style w:type="character" w:customStyle="1" w:styleId="36">
    <w:name w:val="页眉 字符"/>
    <w:basedOn w:val="32"/>
    <w:link w:val="22"/>
    <w:qFormat/>
    <w:uiPriority w:val="0"/>
    <w:rPr>
      <w:sz w:val="18"/>
      <w:szCs w:val="18"/>
    </w:rPr>
  </w:style>
  <w:style w:type="character" w:customStyle="1" w:styleId="37">
    <w:name w:val="页脚 字符"/>
    <w:basedOn w:val="32"/>
    <w:link w:val="21"/>
    <w:qFormat/>
    <w:uiPriority w:val="99"/>
    <w:rPr>
      <w:sz w:val="18"/>
      <w:szCs w:val="18"/>
    </w:rPr>
  </w:style>
  <w:style w:type="character" w:customStyle="1" w:styleId="38">
    <w:name w:val="标题 1 字符"/>
    <w:basedOn w:val="32"/>
    <w:link w:val="3"/>
    <w:qFormat/>
    <w:uiPriority w:val="0"/>
    <w:rPr>
      <w:rFonts w:ascii="Times New Roman" w:hAnsi="Times New Roman" w:eastAsia="宋体" w:cs="Times New Roman"/>
      <w:b/>
      <w:kern w:val="44"/>
      <w:sz w:val="44"/>
      <w:szCs w:val="20"/>
    </w:rPr>
  </w:style>
  <w:style w:type="character" w:customStyle="1" w:styleId="39">
    <w:name w:val="标题 2 字符"/>
    <w:basedOn w:val="32"/>
    <w:link w:val="4"/>
    <w:qFormat/>
    <w:uiPriority w:val="0"/>
    <w:rPr>
      <w:rFonts w:ascii="Arial" w:hAnsi="Arial" w:eastAsia="黑体" w:cs="Times New Roman"/>
      <w:b/>
      <w:kern w:val="0"/>
      <w:sz w:val="32"/>
      <w:szCs w:val="20"/>
    </w:rPr>
  </w:style>
  <w:style w:type="character" w:customStyle="1" w:styleId="40">
    <w:name w:val="标题 3 字符"/>
    <w:basedOn w:val="32"/>
    <w:link w:val="5"/>
    <w:qFormat/>
    <w:uiPriority w:val="9"/>
    <w:rPr>
      <w:rFonts w:ascii="Times New Roman" w:hAnsi="Times New Roman" w:eastAsia="宋体" w:cs="Times New Roman"/>
      <w:b/>
      <w:kern w:val="0"/>
      <w:sz w:val="32"/>
      <w:szCs w:val="20"/>
    </w:rPr>
  </w:style>
  <w:style w:type="character" w:customStyle="1" w:styleId="41">
    <w:name w:val="标题 4 字符"/>
    <w:basedOn w:val="32"/>
    <w:link w:val="6"/>
    <w:qFormat/>
    <w:uiPriority w:val="0"/>
    <w:rPr>
      <w:rFonts w:ascii="Arial" w:hAnsi="Arial" w:eastAsia="黑体" w:cs="Times New Roman"/>
      <w:b/>
      <w:sz w:val="28"/>
      <w:szCs w:val="20"/>
    </w:rPr>
  </w:style>
  <w:style w:type="character" w:customStyle="1" w:styleId="42">
    <w:name w:val="标题 5 字符"/>
    <w:basedOn w:val="32"/>
    <w:link w:val="8"/>
    <w:qFormat/>
    <w:uiPriority w:val="0"/>
    <w:rPr>
      <w:rFonts w:ascii="Times New Roman" w:hAnsi="Times New Roman" w:eastAsia="宋体" w:cs="Times New Roman"/>
      <w:b/>
      <w:sz w:val="28"/>
      <w:szCs w:val="20"/>
    </w:rPr>
  </w:style>
  <w:style w:type="character" w:customStyle="1" w:styleId="43">
    <w:name w:val="标题 6 字符"/>
    <w:basedOn w:val="32"/>
    <w:link w:val="9"/>
    <w:qFormat/>
    <w:uiPriority w:val="0"/>
    <w:rPr>
      <w:rFonts w:ascii="Arial" w:hAnsi="Arial" w:eastAsia="黑体" w:cs="Times New Roman"/>
      <w:b/>
      <w:sz w:val="24"/>
      <w:szCs w:val="20"/>
    </w:rPr>
  </w:style>
  <w:style w:type="character" w:customStyle="1" w:styleId="44">
    <w:name w:val="标题 7 字符"/>
    <w:basedOn w:val="32"/>
    <w:link w:val="10"/>
    <w:qFormat/>
    <w:uiPriority w:val="0"/>
    <w:rPr>
      <w:rFonts w:ascii="Times New Roman" w:hAnsi="Times New Roman" w:eastAsia="宋体" w:cs="Times New Roman"/>
      <w:b/>
      <w:sz w:val="24"/>
      <w:szCs w:val="20"/>
    </w:rPr>
  </w:style>
  <w:style w:type="character" w:customStyle="1" w:styleId="45">
    <w:name w:val="标题 8 字符"/>
    <w:basedOn w:val="32"/>
    <w:link w:val="11"/>
    <w:qFormat/>
    <w:uiPriority w:val="0"/>
    <w:rPr>
      <w:rFonts w:ascii="Arial" w:hAnsi="Arial" w:eastAsia="黑体" w:cs="Times New Roman"/>
      <w:sz w:val="24"/>
      <w:szCs w:val="20"/>
    </w:rPr>
  </w:style>
  <w:style w:type="character" w:customStyle="1" w:styleId="46">
    <w:name w:val="标题 9 字符"/>
    <w:basedOn w:val="32"/>
    <w:link w:val="12"/>
    <w:qFormat/>
    <w:uiPriority w:val="0"/>
    <w:rPr>
      <w:rFonts w:ascii="Arial" w:hAnsi="Arial" w:eastAsia="黑体" w:cs="Times New Roman"/>
      <w:sz w:val="24"/>
      <w:szCs w:val="20"/>
    </w:rPr>
  </w:style>
  <w:style w:type="paragraph" w:customStyle="1" w:styleId="47">
    <w:name w:val="Char5 Char Char Char Char Char Char"/>
    <w:basedOn w:val="1"/>
    <w:qFormat/>
    <w:uiPriority w:val="0"/>
    <w:pPr>
      <w:widowControl/>
      <w:spacing w:after="160" w:line="320" w:lineRule="exact"/>
      <w:ind w:firstLine="480"/>
      <w:jc w:val="center"/>
    </w:pPr>
    <w:rPr>
      <w:rFonts w:ascii="宋体" w:hAnsi="宋体"/>
      <w:kern w:val="0"/>
      <w:sz w:val="24"/>
      <w:lang w:eastAsia="en-US"/>
    </w:rPr>
  </w:style>
  <w:style w:type="paragraph" w:customStyle="1" w:styleId="48">
    <w:name w:val="表格文字"/>
    <w:basedOn w:val="1"/>
    <w:qFormat/>
    <w:uiPriority w:val="0"/>
    <w:pPr>
      <w:spacing w:before="25" w:after="25"/>
      <w:jc w:val="left"/>
    </w:pPr>
    <w:rPr>
      <w:bCs/>
      <w:spacing w:val="10"/>
      <w:kern w:val="0"/>
      <w:sz w:val="24"/>
      <w:szCs w:val="20"/>
    </w:rPr>
  </w:style>
  <w:style w:type="character" w:customStyle="1" w:styleId="49">
    <w:name w:val="日期 字符"/>
    <w:basedOn w:val="32"/>
    <w:link w:val="19"/>
    <w:qFormat/>
    <w:uiPriority w:val="0"/>
    <w:rPr>
      <w:rFonts w:ascii="Times New Roman" w:hAnsi="Times New Roman" w:eastAsia="宋体" w:cs="Times New Roman"/>
      <w:kern w:val="0"/>
      <w:sz w:val="32"/>
      <w:szCs w:val="20"/>
    </w:rPr>
  </w:style>
  <w:style w:type="character" w:customStyle="1" w:styleId="50">
    <w:name w:val="正文文本缩进 字符"/>
    <w:basedOn w:val="32"/>
    <w:link w:val="16"/>
    <w:qFormat/>
    <w:uiPriority w:val="0"/>
    <w:rPr>
      <w:rFonts w:ascii="Times New Roman" w:hAnsi="Times New Roman" w:eastAsia="宋体" w:cs="Times New Roman"/>
      <w:sz w:val="28"/>
      <w:szCs w:val="20"/>
    </w:rPr>
  </w:style>
  <w:style w:type="character" w:customStyle="1" w:styleId="51">
    <w:name w:val="正文文本 字符"/>
    <w:basedOn w:val="32"/>
    <w:link w:val="2"/>
    <w:qFormat/>
    <w:uiPriority w:val="0"/>
    <w:rPr>
      <w:rFonts w:ascii="宋体" w:hAnsi="宋体" w:eastAsia="仿宋_GB2312" w:cs="Times New Roman"/>
      <w:sz w:val="32"/>
      <w:szCs w:val="24"/>
    </w:rPr>
  </w:style>
  <w:style w:type="paragraph" w:customStyle="1" w:styleId="52">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53">
    <w:name w:val="正文文本缩进 3 字符"/>
    <w:basedOn w:val="32"/>
    <w:link w:val="24"/>
    <w:qFormat/>
    <w:uiPriority w:val="0"/>
    <w:rPr>
      <w:rFonts w:ascii="宋体" w:hAnsi="Times New Roman" w:eastAsia="宋体" w:cs="Times New Roman"/>
      <w:b/>
      <w:bCs/>
      <w:sz w:val="24"/>
      <w:szCs w:val="24"/>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批注框文本 字符"/>
    <w:basedOn w:val="32"/>
    <w:link w:val="20"/>
    <w:qFormat/>
    <w:uiPriority w:val="0"/>
    <w:rPr>
      <w:rFonts w:ascii="Times New Roman" w:hAnsi="Times New Roman" w:eastAsia="宋体" w:cs="Times New Roman"/>
      <w:sz w:val="18"/>
      <w:szCs w:val="18"/>
    </w:rPr>
  </w:style>
  <w:style w:type="paragraph" w:customStyle="1" w:styleId="56">
    <w:name w:val="Char5 Char Char Char Char Char Char1"/>
    <w:basedOn w:val="1"/>
    <w:qFormat/>
    <w:uiPriority w:val="0"/>
    <w:pPr>
      <w:widowControl/>
      <w:spacing w:after="160" w:line="320" w:lineRule="exact"/>
      <w:ind w:firstLine="480"/>
      <w:jc w:val="center"/>
    </w:pPr>
    <w:rPr>
      <w:rFonts w:ascii="宋体" w:hAnsi="宋体"/>
      <w:kern w:val="0"/>
      <w:sz w:val="24"/>
      <w:lang w:eastAsia="en-US"/>
    </w:rPr>
  </w:style>
  <w:style w:type="character" w:customStyle="1" w:styleId="57">
    <w:name w:val="文档结构图 字符"/>
    <w:basedOn w:val="32"/>
    <w:link w:val="14"/>
    <w:semiHidden/>
    <w:qFormat/>
    <w:uiPriority w:val="0"/>
    <w:rPr>
      <w:rFonts w:ascii="Times New Roman" w:hAnsi="Times New Roman" w:eastAsia="宋体" w:cs="Times New Roman"/>
      <w:szCs w:val="24"/>
      <w:shd w:val="clear" w:color="auto" w:fill="000080"/>
    </w:rPr>
  </w:style>
  <w:style w:type="paragraph" w:customStyle="1" w:styleId="58">
    <w:name w:val="Char Char Char Char"/>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9">
    <w:name w:val="样式41"/>
    <w:basedOn w:val="1"/>
    <w:qFormat/>
    <w:uiPriority w:val="0"/>
    <w:pPr>
      <w:tabs>
        <w:tab w:val="left" w:pos="945"/>
      </w:tabs>
      <w:spacing w:line="360" w:lineRule="auto"/>
    </w:pPr>
    <w:rPr>
      <w:b/>
      <w:color w:val="000000"/>
      <w:sz w:val="24"/>
      <w:szCs w:val="20"/>
    </w:rPr>
  </w:style>
  <w:style w:type="paragraph" w:customStyle="1" w:styleId="60">
    <w:name w:val="Char Char Char Char1"/>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
    <w:name w:val="Char Char Char2 Char"/>
    <w:basedOn w:val="1"/>
    <w:qFormat/>
    <w:uiPriority w:val="0"/>
    <w:pPr>
      <w:widowControl/>
      <w:spacing w:after="160" w:line="240" w:lineRule="exact"/>
      <w:jc w:val="left"/>
    </w:pPr>
    <w:rPr>
      <w:rFonts w:ascii="Verdana" w:hAnsi="Verdana"/>
      <w:kern w:val="0"/>
      <w:szCs w:val="20"/>
      <w:lang w:eastAsia="en-US"/>
    </w:rPr>
  </w:style>
  <w:style w:type="paragraph" w:customStyle="1" w:styleId="62">
    <w:name w:val="_Style 33"/>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63">
    <w:name w:val="正文缩进 字符"/>
    <w:link w:val="7"/>
    <w:qFormat/>
    <w:uiPriority w:val="0"/>
    <w:rPr>
      <w:rFonts w:ascii="Times New Roman" w:hAnsi="Times New Roman" w:eastAsia="宋体" w:cs="Times New Roman"/>
      <w:sz w:val="24"/>
      <w:szCs w:val="20"/>
    </w:rPr>
  </w:style>
  <w:style w:type="character" w:customStyle="1" w:styleId="64">
    <w:name w:val="批注文字 字符"/>
    <w:basedOn w:val="32"/>
    <w:link w:val="15"/>
    <w:qFormat/>
    <w:uiPriority w:val="0"/>
    <w:rPr>
      <w:rFonts w:ascii="Times New Roman" w:hAnsi="Times New Roman" w:eastAsia="宋体" w:cs="Times New Roman"/>
      <w:szCs w:val="24"/>
    </w:rPr>
  </w:style>
  <w:style w:type="character" w:customStyle="1" w:styleId="65">
    <w:name w:val="批注主题 字符"/>
    <w:basedOn w:val="64"/>
    <w:link w:val="29"/>
    <w:qFormat/>
    <w:uiPriority w:val="0"/>
    <w:rPr>
      <w:rFonts w:ascii="Times New Roman" w:hAnsi="Times New Roman" w:eastAsia="宋体" w:cs="Times New Roman"/>
      <w:b/>
      <w:bCs/>
      <w:szCs w:val="24"/>
    </w:rPr>
  </w:style>
  <w:style w:type="character" w:customStyle="1" w:styleId="66">
    <w:name w:val="批注文字 Char1"/>
    <w:basedOn w:val="32"/>
    <w:qFormat/>
    <w:uiPriority w:val="99"/>
    <w:rPr>
      <w:rFonts w:ascii="Times New Roman" w:hAnsi="Times New Roman" w:eastAsia="宋体" w:cs="Times New Roman"/>
      <w:szCs w:val="24"/>
    </w:rPr>
  </w:style>
  <w:style w:type="paragraph" w:customStyle="1" w:styleId="67">
    <w:name w:val="Char2 Char Char Char Char Char Char"/>
    <w:basedOn w:val="1"/>
    <w:qFormat/>
    <w:uiPriority w:val="0"/>
    <w:pPr>
      <w:adjustRightInd w:val="0"/>
      <w:spacing w:line="360" w:lineRule="auto"/>
    </w:pPr>
    <w:rPr>
      <w:kern w:val="0"/>
      <w:sz w:val="24"/>
      <w:szCs w:val="20"/>
    </w:rPr>
  </w:style>
  <w:style w:type="character" w:customStyle="1" w:styleId="68">
    <w:name w:val="纯文本 字符"/>
    <w:basedOn w:val="32"/>
    <w:link w:val="18"/>
    <w:semiHidden/>
    <w:qFormat/>
    <w:uiPriority w:val="99"/>
    <w:rPr>
      <w:rFonts w:ascii="宋体" w:hAnsi="Courier New" w:eastAsia="宋体" w:cs="黑体"/>
    </w:rPr>
  </w:style>
  <w:style w:type="paragraph" w:customStyle="1" w:styleId="69">
    <w:name w:val="列出段落2"/>
    <w:basedOn w:val="1"/>
    <w:qFormat/>
    <w:uiPriority w:val="34"/>
    <w:pPr>
      <w:ind w:firstLine="420" w:firstLineChars="200"/>
    </w:pPr>
    <w:rPr>
      <w:szCs w:val="20"/>
    </w:rPr>
  </w:style>
  <w:style w:type="paragraph" w:customStyle="1" w:styleId="70">
    <w:name w:val="样式3"/>
    <w:basedOn w:val="2"/>
    <w:qFormat/>
    <w:uiPriority w:val="0"/>
    <w:pPr>
      <w:spacing w:after="120"/>
    </w:pPr>
    <w:rPr>
      <w:rFonts w:ascii="Times New Roman" w:hAnsi="Times New Roman" w:eastAsia="宋体"/>
      <w:sz w:val="24"/>
    </w:rPr>
  </w:style>
  <w:style w:type="paragraph" w:customStyle="1" w:styleId="71">
    <w:name w:val="正文缩进1"/>
    <w:basedOn w:val="1"/>
    <w:qFormat/>
    <w:uiPriority w:val="0"/>
    <w:pPr>
      <w:ind w:firstLine="420" w:firstLineChars="200"/>
    </w:pPr>
    <w:rPr>
      <w:rFonts w:asciiTheme="minorHAnsi" w:hAnsiTheme="minorHAnsi" w:eastAsiaTheme="minorEastAsia" w:cstheme="minorBidi"/>
    </w:rPr>
  </w:style>
  <w:style w:type="paragraph" w:customStyle="1" w:styleId="72">
    <w:name w:val="正文文本缩进1"/>
    <w:basedOn w:val="1"/>
    <w:qFormat/>
    <w:uiPriority w:val="0"/>
    <w:pPr>
      <w:spacing w:line="360" w:lineRule="auto"/>
      <w:ind w:firstLine="420" w:firstLineChars="200"/>
    </w:pPr>
    <w:rPr>
      <w:rFonts w:asciiTheme="minorHAnsi" w:hAnsiTheme="minorHAnsi" w:eastAsiaTheme="minorEastAsia" w:cstheme="minorBidi"/>
    </w:rPr>
  </w:style>
  <w:style w:type="character" w:customStyle="1" w:styleId="73">
    <w:name w:val="样式1 Char Char Char"/>
    <w:basedOn w:val="32"/>
    <w:link w:val="74"/>
    <w:qFormat/>
    <w:locked/>
    <w:uiPriority w:val="0"/>
    <w:rPr>
      <w:sz w:val="24"/>
    </w:rPr>
  </w:style>
  <w:style w:type="paragraph" w:customStyle="1" w:styleId="74">
    <w:name w:val="样式1 Char Char"/>
    <w:basedOn w:val="1"/>
    <w:next w:val="1"/>
    <w:link w:val="73"/>
    <w:qFormat/>
    <w:uiPriority w:val="0"/>
    <w:pPr>
      <w:spacing w:line="360" w:lineRule="auto"/>
      <w:ind w:firstLine="516" w:firstLineChars="215"/>
    </w:pPr>
    <w:rPr>
      <w:rFonts w:asciiTheme="minorHAnsi" w:hAnsiTheme="minorHAnsi" w:eastAsiaTheme="minorEastAsia" w:cstheme="minorBidi"/>
      <w:sz w:val="24"/>
      <w:szCs w:val="22"/>
    </w:rPr>
  </w:style>
  <w:style w:type="paragraph" w:styleId="75">
    <w:name w:val="List Paragraph"/>
    <w:basedOn w:val="1"/>
    <w:qFormat/>
    <w:uiPriority w:val="34"/>
    <w:pPr>
      <w:ind w:firstLine="420" w:firstLineChars="200"/>
    </w:pPr>
  </w:style>
  <w:style w:type="character" w:customStyle="1" w:styleId="76">
    <w:name w:val="批注引用1"/>
    <w:qFormat/>
    <w:uiPriority w:val="0"/>
    <w:rPr>
      <w:sz w:val="21"/>
      <w:szCs w:val="21"/>
    </w:rPr>
  </w:style>
  <w:style w:type="paragraph" w:customStyle="1" w:styleId="77">
    <w:name w:val="USE 1"/>
    <w:basedOn w:val="1"/>
    <w:qFormat/>
    <w:uiPriority w:val="0"/>
    <w:pPr>
      <w:spacing w:line="200" w:lineRule="atLeast"/>
      <w:jc w:val="left"/>
    </w:pPr>
    <w:rPr>
      <w:rFonts w:ascii="宋体" w:hAnsi="宋体"/>
      <w:b/>
      <w:sz w:val="24"/>
      <w:szCs w:val="28"/>
    </w:rPr>
  </w:style>
  <w:style w:type="character" w:customStyle="1" w:styleId="78">
    <w:name w:val="批注引用2"/>
    <w:qFormat/>
    <w:uiPriority w:val="0"/>
    <w:rPr>
      <w:sz w:val="21"/>
      <w:szCs w:val="21"/>
    </w:rPr>
  </w:style>
  <w:style w:type="paragraph" w:customStyle="1" w:styleId="79">
    <w:name w:val="正文缩进2"/>
    <w:basedOn w:val="1"/>
    <w:qFormat/>
    <w:uiPriority w:val="0"/>
    <w:pPr>
      <w:ind w:firstLine="420" w:firstLineChars="200"/>
    </w:pPr>
  </w:style>
  <w:style w:type="character" w:customStyle="1" w:styleId="80">
    <w:name w:val="批注引用3"/>
    <w:qFormat/>
    <w:uiPriority w:val="0"/>
    <w:rPr>
      <w:sz w:val="21"/>
      <w:szCs w:val="21"/>
    </w:rPr>
  </w:style>
  <w:style w:type="character" w:customStyle="1" w:styleId="81">
    <w:name w:val="批注引用4"/>
    <w:qFormat/>
    <w:uiPriority w:val="0"/>
    <w:rPr>
      <w:sz w:val="21"/>
      <w:szCs w:val="21"/>
    </w:rPr>
  </w:style>
  <w:style w:type="character" w:customStyle="1" w:styleId="82">
    <w:name w:val="页眉 Char"/>
    <w:qFormat/>
    <w:uiPriority w:val="0"/>
    <w:rPr>
      <w:kern w:val="2"/>
      <w:sz w:val="18"/>
      <w:szCs w:val="18"/>
    </w:rPr>
  </w:style>
  <w:style w:type="character" w:customStyle="1" w:styleId="83">
    <w:name w:val="纯文本 Char1"/>
    <w:qFormat/>
    <w:uiPriority w:val="0"/>
    <w:rPr>
      <w:rFonts w:ascii="宋体" w:hAnsi="Courier New"/>
      <w:kern w:val="2"/>
      <w:sz w:val="21"/>
    </w:rPr>
  </w:style>
  <w:style w:type="character" w:customStyle="1" w:styleId="84">
    <w:name w:val="未处理的提及1"/>
    <w:basedOn w:val="32"/>
    <w:semiHidden/>
    <w:unhideWhenUsed/>
    <w:qFormat/>
    <w:uiPriority w:val="99"/>
    <w:rPr>
      <w:color w:val="605E5C"/>
      <w:shd w:val="clear" w:color="auto" w:fill="E1DFDD"/>
    </w:rPr>
  </w:style>
  <w:style w:type="character" w:customStyle="1" w:styleId="85">
    <w:name w:val="普通(网站) 字符"/>
    <w:link w:val="27"/>
    <w:qFormat/>
    <w:uiPriority w:val="99"/>
    <w:rPr>
      <w:rFonts w:ascii="Times New Roman" w:hAnsi="Times New Roman" w:eastAsia="宋体" w:cs="Times New Roman"/>
      <w:kern w:val="2"/>
      <w:sz w:val="24"/>
      <w:szCs w:val="24"/>
    </w:rPr>
  </w:style>
  <w:style w:type="paragraph" w:customStyle="1" w:styleId="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7">
    <w:name w:val="标题 3 Char"/>
    <w:qFormat/>
    <w:uiPriority w:val="0"/>
    <w:rPr>
      <w:rFonts w:ascii="黑体" w:eastAsia="黑体"/>
      <w:bCs/>
      <w:sz w:val="30"/>
    </w:rPr>
  </w:style>
  <w:style w:type="table" w:customStyle="1" w:styleId="88">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90">
    <w:name w:val="正文文本 2 字符"/>
    <w:basedOn w:val="32"/>
    <w:link w:val="26"/>
    <w:semiHidden/>
    <w:uiPriority w:val="99"/>
    <w:rPr>
      <w:kern w:val="2"/>
      <w:sz w:val="21"/>
      <w:szCs w:val="24"/>
    </w:rPr>
  </w:style>
  <w:style w:type="paragraph" w:customStyle="1" w:styleId="91">
    <w:name w:val="列表段落1"/>
    <w:basedOn w:val="1"/>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3440</Words>
  <Characters>3623</Characters>
  <Lines>271</Lines>
  <Paragraphs>76</Paragraphs>
  <TotalTime>2428</TotalTime>
  <ScaleCrop>false</ScaleCrop>
  <LinksUpToDate>false</LinksUpToDate>
  <CharactersWithSpaces>3658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2021-11-03T09:13:00Z</dcterms:created>
  <dc:creator>陈思成</dc:creator>
  <cp:lastModifiedBy>尐安逸丶</cp:lastModifiedBy>
  <dcterms:modified xsi:type="dcterms:W3CDTF">2025-02-18T01:06:46Z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A645B4D461DA4A3DBF908FFC04FDC319</vt:lpwstr>
  </property>
  <property fmtid="{D5CDD505-2E9C-101B-9397-08002B2CF9AE}" pid="4" name="KSOTemplateDocerSaveRecord">
    <vt:lpwstr>eyJoZGlkIjoiYTJjOGY5YmVkMjBhOTE5YzE5MDI0ZmRmYWY2NTVjNzIiLCJ1c2VySWQiOiI1NjY5NTg3NTMifQ==</vt:lpwstr>
  </property>
</Properties>
</file>