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21ECD">
      <w:pPr>
        <w:keepNext w:val="0"/>
        <w:keepLines w:val="0"/>
        <w:widowControl/>
        <w:numPr>
          <w:ilvl w:val="0"/>
          <w:numId w:val="1"/>
        </w:numPr>
        <w:suppressLineNumbers w:val="0"/>
        <w:spacing w:before="0" w:beforeAutospacing="0" w:after="0" w:afterAutospacing="0" w:line="450" w:lineRule="atLeast"/>
        <w:ind w:left="0" w:right="0"/>
        <w:jc w:val="left"/>
        <w:rPr>
          <w:rFonts w:hint="eastAsia" w:asciiTheme="majorEastAsia" w:hAnsiTheme="majorEastAsia" w:eastAsiaTheme="majorEastAsia" w:cstheme="majorEastAsia"/>
          <w:b/>
          <w:bCs/>
          <w:kern w:val="0"/>
          <w:sz w:val="28"/>
          <w:szCs w:val="28"/>
          <w:lang w:val="en-US" w:eastAsia="zh-CN"/>
        </w:rPr>
      </w:pPr>
      <w:r>
        <w:rPr>
          <w:rFonts w:hint="eastAsia" w:asciiTheme="majorEastAsia" w:hAnsiTheme="majorEastAsia" w:eastAsiaTheme="majorEastAsia" w:cstheme="majorEastAsia"/>
          <w:b/>
          <w:bCs/>
          <w:kern w:val="0"/>
          <w:sz w:val="28"/>
          <w:szCs w:val="28"/>
          <w:lang w:val="en-US" w:eastAsia="zh-CN"/>
        </w:rPr>
        <w:t>配置、技术要求及商</w:t>
      </w:r>
      <w:bookmarkStart w:id="0" w:name="_GoBack"/>
      <w:bookmarkEnd w:id="0"/>
      <w:r>
        <w:rPr>
          <w:rFonts w:hint="eastAsia" w:asciiTheme="majorEastAsia" w:hAnsiTheme="majorEastAsia" w:eastAsiaTheme="majorEastAsia" w:cstheme="majorEastAsia"/>
          <w:b/>
          <w:bCs/>
          <w:kern w:val="0"/>
          <w:sz w:val="28"/>
          <w:szCs w:val="28"/>
          <w:lang w:val="en-US" w:eastAsia="zh-CN"/>
        </w:rPr>
        <w:t>务条款（FTEY-202503-QX004）</w:t>
      </w:r>
    </w:p>
    <w:p w14:paraId="0F0919A6">
      <w:pPr>
        <w:pStyle w:val="6"/>
        <w:jc w:val="center"/>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★6.1配置清单</w:t>
      </w:r>
      <w:r>
        <w:rPr>
          <w:rFonts w:hint="eastAsia" w:ascii="宋体" w:hAnsi="宋体" w:cs="宋体"/>
          <w:b/>
          <w:sz w:val="24"/>
        </w:rPr>
        <w:t>（不低于下表配置）</w:t>
      </w:r>
    </w:p>
    <w:tbl>
      <w:tblPr>
        <w:tblStyle w:val="3"/>
        <w:tblW w:w="6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2654"/>
        <w:gridCol w:w="729"/>
        <w:gridCol w:w="691"/>
        <w:gridCol w:w="1130"/>
      </w:tblGrid>
      <w:tr w14:paraId="592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9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D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货物名称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9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B26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全自动生化分析仪</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2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w:t>
            </w:r>
          </w:p>
        </w:tc>
      </w:tr>
      <w:tr w14:paraId="63B9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9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全自动化学发光免疫分析仪</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4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1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3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9D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0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样本处理系统</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4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5E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E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UPS</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7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4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B1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6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5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3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AA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4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E4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工作站</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7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7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BDD48C5">
      <w:pPr>
        <w:pStyle w:val="6"/>
        <w:jc w:val="center"/>
        <w:rPr>
          <w:rFonts w:hint="eastAsia" w:ascii="宋体" w:hAnsi="宋体" w:cs="宋体"/>
          <w:b/>
          <w:sz w:val="24"/>
          <w:lang w:val="en-US" w:eastAsia="zh-CN"/>
        </w:rPr>
      </w:pPr>
    </w:p>
    <w:p w14:paraId="43E8AF66">
      <w:pPr>
        <w:pStyle w:val="6"/>
        <w:jc w:val="center"/>
        <w:rPr>
          <w:rFonts w:hint="eastAsia" w:asciiTheme="majorEastAsia" w:hAnsiTheme="majorEastAsia" w:eastAsiaTheme="majorEastAsia" w:cstheme="majorEastAsia"/>
          <w:b/>
          <w:bCs/>
          <w:kern w:val="0"/>
          <w:sz w:val="28"/>
          <w:szCs w:val="28"/>
          <w:lang w:val="en-US" w:eastAsia="zh-CN"/>
        </w:rPr>
      </w:pPr>
      <w:r>
        <w:rPr>
          <w:rFonts w:hint="eastAsia" w:ascii="宋体" w:hAnsi="宋体" w:cs="宋体"/>
          <w:b/>
          <w:sz w:val="24"/>
          <w:lang w:val="en-US" w:eastAsia="zh-CN"/>
        </w:rPr>
        <w:t>6.2</w:t>
      </w:r>
      <w:r>
        <w:rPr>
          <w:rFonts w:hint="default" w:ascii="宋体" w:hAnsi="宋体" w:cs="宋体"/>
          <w:b/>
          <w:sz w:val="24"/>
          <w:lang w:val="en-US" w:eastAsia="zh-CN"/>
        </w:rPr>
        <w:t>技术要求</w:t>
      </w:r>
    </w:p>
    <w:tbl>
      <w:tblPr>
        <w:tblStyle w:val="3"/>
        <w:tblW w:w="10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717"/>
        <w:gridCol w:w="8225"/>
        <w:gridCol w:w="953"/>
      </w:tblGrid>
      <w:tr w14:paraId="61E2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3B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全自动生化分析仪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B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技术要求</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5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标注</w:t>
            </w:r>
          </w:p>
        </w:tc>
      </w:tr>
      <w:tr w14:paraId="57A3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15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0E6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758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仪器类型：全自动随机任选分立式；急诊优先检测</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BE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34D0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FE5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0E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00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测试速度：生化单机检测模块光学速度≥2000测试/小时；生化单机检测模块离子选择性电极（ISE）检测速度≥600测试/小时（需提供产品彩页或产品说明书或技术白皮书作为证明材料）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4D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w:t>
            </w:r>
          </w:p>
        </w:tc>
      </w:tr>
      <w:tr w14:paraId="5303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448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95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CA1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测试原理：比色法、比浊法、离子选择电极法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20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A05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0C5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A7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71F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分析方法：终点法、固定时间法、动力学法，支持单/双波长，线性和非线性校准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8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16E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DA7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E84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2F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试剂系统：≥140个试剂位；具备 24小时不间断冷藏功能（需提供产品彩页或产品说明书或技术白皮书作为证明材料）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A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607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D1A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C61">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D20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样本加样：最小加样量≥1.5μl， 0.1μl步进</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CE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BF8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B5E1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F2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22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样本针：钢针加样，具液面探测、随量跟踪、立体防撞、堵针检测、空吸检测</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4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89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31B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BEF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D8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试剂针：具有液面探测、随量跟踪、立体防撞、气泡检测等功能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B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3F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ECE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10D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5D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吸光度线性范围：0-3.5Abs（所投产品涵盖此范围即认定为满足该项技术要求）</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C6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7C0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548">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7AD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试管理：具有紧急停止、实时杯空白自检功能、按样本排序的优化测试流程功能、测试过程中自动按避免交叉污染安排测试流程功能、双项同测、智能关联检测、前带检测功能、酶线性拓展功能、底物耗尽检测功能、高浓度废液桶具有液面检测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4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74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D3AC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F9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43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支持稀释重测时预设多档稀释倍数，针对不同样本智能选择不同稀释倍数（需提供产品彩页或产品说明书或技术白皮书作为证明材料）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3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469C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A2D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F5F">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C1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光学系统：光栅后分光，≥16个波长，340～850nm</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0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A4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A76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6C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02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拓展功能：与同品牌全自动化学发光免疫分析仪或同型号生化分析仪联机，支持与同品牌全实验室自动化流水线连接（需提供产品彩页或产品说明书或技术白皮书作为证明材料）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28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4D0E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9812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全自动化学发光免疫分析仪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C1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7ED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仪器类型：全自动随机管式，急诊优先检测</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B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9B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8BB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351">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38C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测试速度：单模块最大测试速度≥480T/H</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E0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E6B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A2A7">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B66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单机或单模块试剂位≥35个，且试剂仓须有冷藏功能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25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E2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DB9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73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346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视觉识别：能够自动识别不同的样本容器，对异常液面智能识别和报警，确保加样的准确性</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5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BE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A6B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7D1A">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C9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样本针携带污染率≤0.1ppm（提供第三方检测机构出具的具有“CMA”或“CNAS”标识的检测（检验）报告扫描件，原件备查）；</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6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2E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3D5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D2D9">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3D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样本管规格：能支持微量样本杯、原始采血管、塑料试管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D4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038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F3E">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F2B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试剂针：具有液面探测、随量跟踪、立体防撞、气泡检测等功能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A3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2C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CA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BFD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反应杯：反应单元为一次性反应杯，一次性加载≥1200个,料斗式散装反应杯进样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6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CD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140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50C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3F2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反应温度：控制在37℃±0.1℃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D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ED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D57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425A">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70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混匀方式：同时具备非接触式偏心涡旋混匀和超声混匀两种技术</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3C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269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9BF">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9CA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生物安全：可进行反应后物质固体和液体分离技术</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4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2A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F65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F19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C4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磁分离机构布局：单独磁分离盘，底物注入</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B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8C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3BB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5C13">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7C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校准方式：内置主曲线，二维码识别，配套校准品校正</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A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BA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6E8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69E">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D9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可通过大屏显示系统上的分析仪清洗液余量的统计分析和报警提醒功能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F8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B27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3D0">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EA2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拓展功能：具有模块化拓展功能，可以免疫双模块级联；也可以与同品牌全自动生化仪联机；也可以接入同品牌自动化流水线TLA</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2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E2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8B3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B02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6D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检测项目：具有甲状腺、性腺激素、肿瘤标记物、传染病、肝纤维、心标记、降钙素原、骨代谢等检测，全部检测项目要≥65项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8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F3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6F0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792E">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857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乙肝五项全定量，便于临床治疗监测；乙肝表面抗原分析灵敏度≤0.05IU/mL，有助于OI（隐匿性）感染检出（需提供产品彩页或产品说明书或技术白皮书作为证明材料）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5B95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C06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7C9">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45C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生物风险设置：杯液分离，提高生物安全水平；试验完成后，仪器自动吸取反应废液，废杯无残液，用户处理耗材无风险</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C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342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4E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EB8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校准质控要求:采用原厂质控品和校准品，满足溯源性要求，并提供溯源性文件（提供原厂校准品和质控品的注册证）</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B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AA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252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3957">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0C2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能够支持带条码的校准品和质控品自动上机检测，提升实验室效率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2A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E583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样本处理系统</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900">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1A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全自动生化免疫流水线系统包括的全自动生化分析仪、化学发光免疫分析仪均采用同一品牌，且仪器注册、生产均在国内（须提供仪器注册证证明）</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0E10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598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A92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6D8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样本架进样方式：≥3种，顺序、样本架号和条码模式，支持门诊优先、重测优先</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52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855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DA83">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A8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样本架类型：≥5种，可通过样本架条码和磁感应自动识别</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01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1A98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53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C68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处理速度：最大上载与下载速度≥100架/小时或1000样本/小时</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1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9A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258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78F">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5DE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样本容量：同时装载≥30个样本架，同时检测≥300个样本</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7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A5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662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FBF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3ED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急诊样本处理能力：按键控制插入急诊样本，快捷优先轨道，可同时插入多个样本架。除了常规急诊样本，还具备样本急中急功能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E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B5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E96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6B3E">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A2D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去盖模块：去盖速度≥500管/小时，支持废盖紫外消毒；支持高低试管，不同类型容器混合上样，自动识别有盖试管并去盖；无需条码对齐缺口，自动旋转扫描；自动插到位，安全可靠吸样（需提供产品彩页或产品说明书或技术白皮书作为证明材料）</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70A3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496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EA8">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C07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样本图片：能够实现样本状态图片拍照自动存档功能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0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DC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2C4F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C7F">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19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操作系统：≥23寸液晶触摸显示屏，支持英文或中文语言</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06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AEF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972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D40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操作软件：1套操作软件，同时操作生化和免疫模块的测试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8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4D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1A08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2D96">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8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74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功能：具备定时开机、项目遮蔽、模块遮蔽、智能调度和交叉污染控制技术、敏感项目优先、酶线性扩展（生化项目）、血清指数、前带检查和远程诊断等功能，可汇总、存储、查询病人信息等。生化和免疫两个模块可独立运行，支持单独维护、单独开关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5B8A7B2">
      <w:pPr>
        <w:pStyle w:val="2"/>
        <w:adjustRightInd w:val="0"/>
        <w:snapToGrid w:val="0"/>
        <w:spacing w:after="0" w:line="360" w:lineRule="auto"/>
        <w:contextualSpacing/>
        <w:rPr>
          <w:rFonts w:hint="default" w:ascii="仿宋" w:hAnsi="仿宋" w:eastAsia="仿宋"/>
          <w:b/>
          <w:sz w:val="28"/>
          <w:szCs w:val="32"/>
          <w:lang w:val="en-US" w:eastAsia="zh-CN"/>
        </w:rPr>
      </w:pPr>
    </w:p>
    <w:p w14:paraId="672DD71C">
      <w:pPr>
        <w:numPr>
          <w:ilvl w:val="0"/>
          <w:numId w:val="0"/>
        </w:num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kern w:val="2"/>
          <w:sz w:val="24"/>
          <w:szCs w:val="24"/>
          <w:lang w:val="en-US" w:eastAsia="zh-CN" w:bidi="ar-SA"/>
        </w:rPr>
        <w:t>★6</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lang w:eastAsia="zh-CN"/>
        </w:rPr>
        <w:t>商务条款</w:t>
      </w:r>
    </w:p>
    <w:tbl>
      <w:tblPr>
        <w:tblStyle w:val="3"/>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7DFE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D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商务条款</w:t>
            </w:r>
          </w:p>
        </w:tc>
      </w:tr>
      <w:tr w14:paraId="7B5A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交货时间：合同签订并接院方通知后</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 xml:space="preserve"> 15</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日内。</w:t>
            </w:r>
          </w:p>
        </w:tc>
      </w:tr>
      <w:tr w14:paraId="319F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A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7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3</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年内</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w:t>
            </w:r>
          </w:p>
        </w:tc>
      </w:tr>
      <w:tr w14:paraId="4FDA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D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C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中标方应保证设备是全新、未使用过的原装合格正品（包括零部件），设备到达院方安装现场时外包装应完好无损。出厂日期在采购人收到日期前</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12</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个月内，最新生产批次且经检验合格的产品。</w:t>
            </w:r>
          </w:p>
        </w:tc>
      </w:tr>
      <w:tr w14:paraId="30D1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1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p>
          <w:p w14:paraId="6A3F8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84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5795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9C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6D89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9C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货到安装、调试验收合格后，中标方应按本合同全额价款出具正规税务发票，院方财务科收到中标方发票等相关资料后</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15</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日内向中标方支付合同全款。</w:t>
            </w:r>
          </w:p>
        </w:tc>
      </w:tr>
      <w:tr w14:paraId="2B11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67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设备出现故障时中标方应在接到院方通知时</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4</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小时响应，</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24</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小时内到位，若中标方未能在</w:t>
            </w:r>
            <w: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24</w:t>
            </w: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小时内消除障碍，院方有权聘请第三方消除障碍，所发生的费用由中标方全部承担。</w:t>
            </w:r>
          </w:p>
        </w:tc>
      </w:tr>
      <w:tr w14:paraId="0D7D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A968E13">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0"/>
                <w:szCs w:val="20"/>
                <w:u w:val="none"/>
                <w:lang w:val="en-US" w:eastAsia="zh-CN" w:bidi="ar"/>
                <w14:textFill>
                  <w14:solidFill>
                    <w14:schemeClr w14:val="tx1"/>
                  </w14:solidFill>
                </w14:textFill>
              </w:rPr>
            </w:pPr>
          </w:p>
          <w:p w14:paraId="24F8E9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0"/>
                <w:szCs w:val="20"/>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91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如中标设备需要医院信息端口，则由中标方负责医院信息系统端口连接的安装工作及费用（包含信息系统方的接口开发费），医院协助中标方完成信息系统安装，确保设备稳定运行。</w:t>
            </w:r>
          </w:p>
        </w:tc>
      </w:tr>
      <w:tr w14:paraId="2AC1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80C7A">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339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需提供耗材清单及阳光平台最低价证明（需提供相关耗材阳光平台截图）；如该耗材是非阳采品种，则需要提供该耗材的最低参考价格。</w:t>
            </w:r>
          </w:p>
        </w:tc>
      </w:tr>
    </w:tbl>
    <w:p w14:paraId="4066AD26">
      <w:pPr>
        <w:pStyle w:val="2"/>
        <w:adjustRightInd w:val="0"/>
        <w:snapToGrid w:val="0"/>
        <w:spacing w:after="0" w:line="360" w:lineRule="auto"/>
        <w:contextualSpacing/>
        <w:rPr>
          <w:rFonts w:hint="default" w:ascii="仿宋" w:hAnsi="仿宋" w:eastAsia="仿宋"/>
          <w:b/>
          <w:sz w:val="28"/>
          <w:szCs w:val="32"/>
          <w:lang w:val="en-US" w:eastAsia="zh-CN"/>
        </w:rPr>
      </w:pPr>
      <w:r>
        <w:rPr>
          <w:rFonts w:hint="eastAsia" w:ascii="宋体" w:hAnsi="宋体" w:cs="宋体"/>
          <w:b/>
          <w:bCs/>
          <w:sz w:val="24"/>
        </w:rPr>
        <w:t>标注“★”的条款均为不可偏离的实质性条款，投标文件对其中任意一条不满足的将作投标无效处理</w:t>
      </w:r>
      <w:r>
        <w:rPr>
          <w:rFonts w:hint="eastAsia" w:ascii="宋体" w:hAnsi="宋体" w:cs="宋体"/>
          <w:b/>
          <w:bCs/>
          <w:sz w:val="24"/>
          <w:lang w:eastAsia="zh-CN"/>
        </w:rPr>
        <w:t>，</w:t>
      </w:r>
      <w:r>
        <w:rPr>
          <w:rFonts w:hint="eastAsia" w:ascii="宋体" w:hAnsi="宋体" w:cs="宋体"/>
          <w:b/>
          <w:bCs/>
          <w:sz w:val="24"/>
        </w:rPr>
        <w:t>招标文件中标注“▲”的条款均为重要条款，仅作为综合评分时的重要依据。响应文件所附的参数或彩页为判断偏离情况的证明资料，如响应文件所列参数或功能不明确，</w:t>
      </w:r>
      <w:r>
        <w:rPr>
          <w:rFonts w:hint="eastAsia" w:ascii="宋体" w:hAnsi="宋体" w:cs="宋体"/>
          <w:b/>
          <w:bCs/>
          <w:sz w:val="24"/>
          <w:lang w:val="en-US" w:eastAsia="zh-CN"/>
        </w:rPr>
        <w:t>专家评审组</w:t>
      </w:r>
      <w:r>
        <w:rPr>
          <w:rFonts w:hint="eastAsia" w:ascii="宋体" w:hAnsi="宋体" w:cs="宋体"/>
          <w:b/>
          <w:bCs/>
          <w:sz w:val="24"/>
        </w:rPr>
        <w:t>可与供应商逐一确定是否满足。如发现虚假响应，将承担虚假应标的不利后果</w:t>
      </w:r>
      <w:r>
        <w:rPr>
          <w:rFonts w:hint="eastAsia" w:ascii="宋体" w:hAnsi="宋体" w:cs="宋体"/>
          <w:b/>
          <w:bCs/>
          <w:sz w:val="24"/>
          <w:lang w:eastAsia="zh-CN"/>
        </w:rPr>
        <w:t>。</w:t>
      </w:r>
    </w:p>
    <w:p w14:paraId="0F192D76">
      <w:pPr>
        <w:keepNext w:val="0"/>
        <w:keepLines w:val="0"/>
        <w:widowControl/>
        <w:suppressLineNumbers w:val="0"/>
        <w:spacing w:before="0" w:beforeAutospacing="0" w:after="0" w:afterAutospacing="0" w:line="450" w:lineRule="atLeast"/>
        <w:ind w:right="0" w:firstLine="5280" w:firstLineChars="2200"/>
        <w:jc w:val="left"/>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53048"/>
    <w:multiLevelType w:val="singleLevel"/>
    <w:tmpl w:val="3A25304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3BF1610D"/>
    <w:rsid w:val="2B0E236E"/>
    <w:rsid w:val="2E5F5866"/>
    <w:rsid w:val="3BF1610D"/>
    <w:rsid w:val="41220E6C"/>
    <w:rsid w:val="4EC174CE"/>
    <w:rsid w:val="68A7045D"/>
    <w:rsid w:val="700D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4068</Words>
  <Characters>4341</Characters>
  <Lines>0</Lines>
  <Paragraphs>0</Paragraphs>
  <TotalTime>0</TotalTime>
  <ScaleCrop>false</ScaleCrop>
  <LinksUpToDate>false</LinksUpToDate>
  <CharactersWithSpaces>4355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2024-10-24T03:20:00Z</dcterms:created>
  <dc:creator>路菲君</dc:creator>
  <cp:lastModifiedBy>路菲君</cp:lastModifiedBy>
  <dcterms:modified xsi:type="dcterms:W3CDTF">2025-03-28T08:31:46Z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799DA6C5F72A4333934B02CC70761D64_13</vt:lpwstr>
  </property>
  <property fmtid="{D5CDD505-2E9C-101B-9397-08002B2CF9AE}" pid="4" name="KSOTemplateDocerSaveRecord">
    <vt:lpwstr>eyJoZGlkIjoiM2EyNDYyYmQ1ZDA0NDE2ZWMxMTVjMTBjNjZlNGMxZWMiLCJ1c2VySWQiOiIxOTQ5NzkyNTQifQ==</vt:lpwstr>
  </property>
</Properties>
</file>