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FTEYZCB</w:t>
      </w:r>
      <w:r>
        <w:rPr>
          <w:rFonts w:hint="eastAsia" w:ascii="宋体" w:hAnsi="宋体" w:eastAsia="宋体" w:cs="宋体"/>
          <w:b/>
          <w:bCs/>
          <w:sz w:val="30"/>
          <w:szCs w:val="30"/>
          <w:highlight w:val="none"/>
          <w:lang w:val="zh-CN"/>
        </w:rPr>
        <w:t>-</w:t>
      </w:r>
      <w:r>
        <w:rPr>
          <w:rFonts w:hint="eastAsia" w:ascii="宋体" w:hAnsi="宋体" w:eastAsia="宋体" w:cs="宋体"/>
          <w:b/>
          <w:bCs/>
          <w:sz w:val="30"/>
          <w:szCs w:val="30"/>
          <w:highlight w:val="none"/>
          <w:lang w:val="en-US" w:eastAsia="zh-CN"/>
        </w:rPr>
        <w:t>20250</w:t>
      </w:r>
      <w:r>
        <w:rPr>
          <w:rFonts w:hint="eastAsia" w:ascii="宋体" w:hAnsi="宋体" w:cs="宋体"/>
          <w:b/>
          <w:bCs/>
          <w:sz w:val="30"/>
          <w:szCs w:val="30"/>
          <w:highlight w:val="none"/>
          <w:lang w:val="en-US" w:eastAsia="zh-CN"/>
        </w:rPr>
        <w:t>4</w:t>
      </w:r>
      <w:r>
        <w:rPr>
          <w:rFonts w:hint="eastAsia" w:ascii="宋体" w:hAnsi="宋体" w:eastAsia="宋体" w:cs="宋体"/>
          <w:b/>
          <w:bCs/>
          <w:sz w:val="30"/>
          <w:szCs w:val="30"/>
          <w:highlight w:val="none"/>
          <w:lang w:val="en-US" w:eastAsia="zh-CN"/>
        </w:rPr>
        <w:t>-00</w:t>
      </w:r>
      <w:r>
        <w:rPr>
          <w:rFonts w:hint="eastAsia" w:ascii="宋体" w:hAnsi="宋体" w:cs="宋体"/>
          <w:b/>
          <w:bCs/>
          <w:sz w:val="30"/>
          <w:szCs w:val="30"/>
          <w:highlight w:val="none"/>
          <w:lang w:val="en-US" w:eastAsia="zh-CN"/>
        </w:rPr>
        <w:t>3</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firstLine="301" w:firstLineChars="100"/>
        <w:jc w:val="left"/>
        <w:outlineLvl w:val="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项目名称：</w:t>
      </w:r>
      <w:r>
        <w:rPr>
          <w:rFonts w:hint="eastAsia" w:ascii="宋体" w:hAnsi="宋体" w:eastAsia="宋体" w:cs="宋体"/>
          <w:b/>
          <w:bCs/>
          <w:sz w:val="30"/>
          <w:szCs w:val="30"/>
          <w:highlight w:val="none"/>
          <w:lang w:val="en-US" w:eastAsia="en-US"/>
        </w:rPr>
        <w:t>安全生产技术服务</w:t>
      </w:r>
      <w:r>
        <w:rPr>
          <w:rFonts w:hint="eastAsia" w:ascii="宋体" w:hAnsi="宋体" w:eastAsia="宋体" w:cs="宋体"/>
          <w:b/>
          <w:bCs/>
          <w:sz w:val="30"/>
          <w:szCs w:val="30"/>
          <w:highlight w:val="none"/>
          <w:lang w:val="en-US" w:eastAsia="zh-CN"/>
        </w:rPr>
        <w:t>项目</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采购方式：</w:t>
      </w:r>
      <w:r>
        <w:rPr>
          <w:rFonts w:hint="eastAsia" w:ascii="宋体" w:hAnsi="宋体" w:cs="宋体"/>
          <w:b/>
          <w:bCs/>
          <w:sz w:val="30"/>
          <w:szCs w:val="30"/>
          <w:highlight w:val="none"/>
          <w:lang w:val="en-US" w:eastAsia="zh-CN"/>
        </w:rPr>
        <w:t>比价谈判</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3"/>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2071"/>
      <w:bookmarkStart w:id="1" w:name="_Toc3108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4"/>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w:t>
      </w:r>
      <w:r>
        <w:rPr>
          <w:rFonts w:hint="eastAsia" w:ascii="仿宋" w:hAnsi="仿宋" w:eastAsia="仿宋" w:cs="仿宋"/>
          <w:color w:val="FF0000"/>
          <w:sz w:val="24"/>
          <w:lang w:val="en-US" w:eastAsia="zh-CN"/>
        </w:rPr>
        <w:t>符合</w:t>
      </w:r>
      <w:r>
        <w:rPr>
          <w:rFonts w:hint="eastAsia" w:ascii="仿宋" w:hAnsi="仿宋" w:eastAsia="仿宋" w:cs="仿宋"/>
          <w:color w:val="FF0000"/>
          <w:sz w:val="24"/>
        </w:rPr>
        <w:t>性审查条件。</w:t>
      </w:r>
    </w:p>
    <w:p w14:paraId="5FE753FE">
      <w:pPr>
        <w:pStyle w:val="14"/>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4"/>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4"/>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5F2B184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DE56C1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3"/>
        <w:pageBreakBefore/>
        <w:spacing w:line="415" w:lineRule="auto"/>
        <w:jc w:val="center"/>
        <w:rPr>
          <w:rFonts w:hint="eastAsia" w:ascii="仿宋" w:hAnsi="仿宋" w:eastAsia="仿宋" w:cs="仿宋"/>
          <w:b/>
          <w:bCs/>
          <w:highlight w:val="none"/>
        </w:rPr>
      </w:pPr>
      <w:bookmarkStart w:id="3" w:name="_Toc26199"/>
      <w:bookmarkStart w:id="4" w:name="_Toc34238554"/>
      <w:bookmarkStart w:id="5" w:name="_Toc6319"/>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default"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w:t>
      </w:r>
      <w:r>
        <w:rPr>
          <w:rFonts w:hint="eastAsia" w:ascii="宋体" w:hAnsi="宋体" w:eastAsia="宋体" w:cs="宋体"/>
          <w:b/>
          <w:bCs/>
          <w:kern w:val="0"/>
          <w:szCs w:val="21"/>
          <w:highlight w:val="none"/>
          <w:u w:val="single"/>
          <w:lang w:val="zh-CN" w:eastAsia="zh-CN" w:bidi="ar"/>
        </w:rPr>
        <w:t>-</w:t>
      </w:r>
      <w:r>
        <w:rPr>
          <w:rFonts w:hint="eastAsia" w:ascii="宋体" w:hAnsi="宋体" w:eastAsia="宋体" w:cs="宋体"/>
          <w:b/>
          <w:bCs/>
          <w:kern w:val="0"/>
          <w:szCs w:val="21"/>
          <w:highlight w:val="none"/>
          <w:u w:val="single"/>
          <w:lang w:val="en-US" w:eastAsia="zh-CN" w:bidi="ar"/>
        </w:rPr>
        <w:t>20250</w:t>
      </w:r>
      <w:r>
        <w:rPr>
          <w:rFonts w:hint="eastAsia" w:ascii="宋体" w:hAnsi="宋体" w:cs="宋体"/>
          <w:b/>
          <w:bCs/>
          <w:kern w:val="0"/>
          <w:szCs w:val="21"/>
          <w:highlight w:val="none"/>
          <w:u w:val="single"/>
          <w:lang w:val="en-US" w:eastAsia="zh-CN" w:bidi="ar"/>
        </w:rPr>
        <w:t>4</w:t>
      </w:r>
      <w:r>
        <w:rPr>
          <w:rFonts w:hint="eastAsia" w:ascii="宋体" w:hAnsi="宋体" w:eastAsia="宋体" w:cs="宋体"/>
          <w:b/>
          <w:bCs/>
          <w:kern w:val="0"/>
          <w:szCs w:val="21"/>
          <w:highlight w:val="none"/>
          <w:u w:val="single"/>
          <w:lang w:val="en-US" w:eastAsia="zh-CN" w:bidi="ar"/>
        </w:rPr>
        <w:t>-00</w:t>
      </w:r>
      <w:r>
        <w:rPr>
          <w:rFonts w:hint="eastAsia" w:ascii="宋体" w:hAnsi="宋体" w:cs="宋体"/>
          <w:b/>
          <w:bCs/>
          <w:kern w:val="0"/>
          <w:szCs w:val="21"/>
          <w:highlight w:val="none"/>
          <w:u w:val="single"/>
          <w:lang w:val="en-US" w:eastAsia="zh-CN" w:bidi="ar"/>
        </w:rPr>
        <w:t>3</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w:t>
      </w:r>
      <w:r>
        <w:rPr>
          <w:rFonts w:hint="eastAsia" w:ascii="宋体" w:hAnsi="宋体" w:eastAsia="宋体" w:cs="宋体"/>
          <w:b/>
          <w:bCs/>
          <w:kern w:val="0"/>
          <w:szCs w:val="21"/>
          <w:highlight w:val="none"/>
          <w:u w:val="single"/>
          <w:lang w:val="en-US" w:eastAsia="en-US" w:bidi="ar"/>
        </w:rPr>
        <w:t>安全生产技术服务</w:t>
      </w:r>
      <w:r>
        <w:rPr>
          <w:rFonts w:hint="eastAsia" w:ascii="宋体" w:hAnsi="宋体" w:eastAsia="宋体" w:cs="宋体"/>
          <w:b/>
          <w:bCs/>
          <w:kern w:val="0"/>
          <w:szCs w:val="21"/>
          <w:highlight w:val="none"/>
          <w:u w:val="single"/>
          <w:lang w:val="en-US" w:eastAsia="zh-CN" w:bidi="ar"/>
        </w:rPr>
        <w:t>项目</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仿宋" w:hAnsi="仿宋" w:eastAsia="仿宋" w:cs="仿宋"/>
          <w:color w:val="000000" w:themeColor="text1"/>
          <w:sz w:val="24"/>
          <w:highlight w:val="none"/>
          <w:lang w:val="en-US" w:eastAsia="zh-CN"/>
          <w14:textFill>
            <w14:solidFill>
              <w14:schemeClr w14:val="tx1"/>
            </w14:solidFill>
          </w14:textFill>
        </w:rPr>
        <w:t>比价谈判</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86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64"/>
        <w:gridCol w:w="2100"/>
        <w:gridCol w:w="586"/>
        <w:gridCol w:w="1554"/>
        <w:gridCol w:w="1473"/>
        <w:gridCol w:w="1623"/>
        <w:gridCol w:w="709"/>
      </w:tblGrid>
      <w:tr w14:paraId="576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64"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100"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86"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55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73"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623"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709"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214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64"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2100"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en-US"/>
              </w:rPr>
              <w:t>安全生产技术服务</w:t>
            </w:r>
            <w:r>
              <w:rPr>
                <w:rFonts w:hint="eastAsia" w:ascii="仿宋" w:hAnsi="仿宋" w:eastAsia="仿宋" w:cs="仿宋"/>
                <w:bCs/>
                <w:color w:val="auto"/>
                <w:kern w:val="0"/>
                <w:sz w:val="24"/>
                <w:szCs w:val="24"/>
                <w:highlight w:val="none"/>
                <w:lang w:val="en-US" w:eastAsia="zh-CN"/>
              </w:rPr>
              <w:t>项目</w:t>
            </w:r>
          </w:p>
        </w:tc>
        <w:tc>
          <w:tcPr>
            <w:tcW w:w="586"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1项</w:t>
            </w:r>
          </w:p>
        </w:tc>
        <w:tc>
          <w:tcPr>
            <w:tcW w:w="155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473"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623"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仿宋" w:hAnsi="仿宋" w:eastAsia="仿宋" w:cs="仿宋"/>
                <w:bCs/>
                <w:color w:val="auto"/>
                <w:kern w:val="0"/>
                <w:sz w:val="24"/>
                <w:szCs w:val="24"/>
                <w:highlight w:val="none"/>
                <w:lang w:val="en-US" w:eastAsia="zh-CN"/>
              </w:rPr>
              <w:t>详见采购项目用户需求书</w:t>
            </w:r>
          </w:p>
        </w:tc>
        <w:tc>
          <w:tcPr>
            <w:tcW w:w="709"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214806F9">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1.投标人须是在中华人民共和国境内注册，具有独立法人资格或是具有独立承担民事责任的能力的其它组织（提供营业执照或事业单位法人证</w:t>
      </w:r>
      <w:r>
        <w:rPr>
          <w:rFonts w:hint="eastAsia" w:ascii="仿宋" w:hAnsi="仿宋" w:eastAsia="仿宋" w:cs="仿宋"/>
          <w:sz w:val="24"/>
          <w:highlight w:val="none"/>
          <w:lang w:val="en-US" w:eastAsia="zh-CN"/>
        </w:rPr>
        <w:t>或其他证明材料复印件加盖公章</w:t>
      </w:r>
      <w:r>
        <w:rPr>
          <w:rFonts w:hint="eastAsia" w:ascii="仿宋" w:hAnsi="仿宋" w:eastAsia="仿宋" w:cs="仿宋"/>
          <w:sz w:val="24"/>
          <w:highlight w:val="none"/>
        </w:rPr>
        <w:t>，原件备查）；</w:t>
      </w:r>
    </w:p>
    <w:p w14:paraId="6549F70C">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2.投标人满足《中华人民共和国政府采购法》第二十二条规定的条件（由供应商在《政府采购投标及履约承诺函》中作出声明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7F4A348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3.参与本项目政府采购活动时不存在被有关部门禁止参与政府采购活动且在有效期内的情况（由供应商在《政府采购投标及履约承诺函》中作出声明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01D6A886">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未被列入失信被执行人、重大税收违法失信主体、政府采购严重违法失信行为记录名单</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018D99AE">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.本项目不接受联合体投标，不允许转包分包（由供应商在《政府采购投标及履约承诺函》中作出声明）。</w:t>
      </w:r>
    </w:p>
    <w:p w14:paraId="575E47A0">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636A5CEB">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A84F55F">
      <w:pPr>
        <w:pStyle w:val="291"/>
        <w:adjustRightInd w:val="0"/>
        <w:snapToGrid w:val="0"/>
        <w:spacing w:line="400" w:lineRule="exact"/>
        <w:ind w:left="480" w:firstLine="0" w:firstLineChars="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必须是采购人推荐的供应商；</w:t>
      </w:r>
    </w:p>
    <w:p w14:paraId="76B071E5">
      <w:pPr>
        <w:pStyle w:val="291"/>
        <w:adjustRightInd w:val="0"/>
        <w:snapToGrid w:val="0"/>
        <w:spacing w:line="400" w:lineRule="exact"/>
        <w:ind w:left="0" w:leftChars="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77A5BF22">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2025年4月23日—4月27日下午16:00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32054FB1">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w:t>
      </w:r>
      <w:bookmarkStart w:id="80" w:name="_GoBack"/>
      <w:bookmarkEnd w:id="80"/>
      <w:r>
        <w:rPr>
          <w:rFonts w:hint="eastAsia" w:ascii="仿宋" w:hAnsi="仿宋" w:eastAsia="仿宋" w:cs="仿宋"/>
          <w:sz w:val="24"/>
          <w:highlight w:val="none"/>
        </w:rPr>
        <w:t>送至邮箱：</w:t>
      </w:r>
      <w:r>
        <w:rPr>
          <w:rFonts w:hint="eastAsia" w:ascii="仿宋" w:hAnsi="仿宋" w:eastAsia="仿宋" w:cs="仿宋"/>
          <w:sz w:val="24"/>
          <w:highlight w:val="none"/>
          <w:lang w:eastAsia="zh-CN"/>
        </w:rPr>
        <w:t>zbcgb@ft2yy.cn</w:t>
      </w:r>
    </w:p>
    <w:p w14:paraId="52213DFF">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5114A02">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412A0D1">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29</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5141A99E">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29</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D01BD31">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45947860">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B3F5617">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071C4289">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4E07C54">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6BC7AB6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4</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28</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7682321B">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6C3ABD2C">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627CD63">
      <w:pPr>
        <w:adjustRightInd w:val="0"/>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18F9B1D0">
      <w:pPr>
        <w:adjustRightInd w:val="0"/>
        <w:snapToGrid w:val="0"/>
        <w:spacing w:line="40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3414EC8E">
      <w:pPr>
        <w:pStyle w:val="14"/>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4"/>
        <w:rPr>
          <w:rFonts w:hint="eastAsia"/>
        </w:rPr>
      </w:pPr>
    </w:p>
    <w:p w14:paraId="760AB80B">
      <w:pPr>
        <w:pStyle w:val="3"/>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4"/>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比价谈判</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eastAsia="zh-CN"/>
              </w:rPr>
            </w:pPr>
            <w:r>
              <w:rPr>
                <w:rFonts w:hint="eastAsia" w:ascii="仿宋" w:hAnsi="仿宋" w:eastAsia="仿宋" w:cs="仿宋"/>
                <w:snapToGrid w:val="0"/>
                <w:kern w:val="0"/>
                <w:sz w:val="24"/>
                <w:lang w:val="en-US" w:eastAsia="zh-CN"/>
              </w:rPr>
              <w:t>是</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4"/>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件袋密封密封，并在密封处加盖公章。（提交加盖公章的PDF电子投标文件正本，文件命名为：“项目名称+投标单位名称”拷贝至无病毒无密码的U盘）</w:t>
            </w:r>
          </w:p>
        </w:tc>
      </w:tr>
    </w:tbl>
    <w:p w14:paraId="4D3A452D">
      <w:pPr>
        <w:pStyle w:val="4"/>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符合</w:t>
            </w:r>
            <w:r>
              <w:rPr>
                <w:rFonts w:hint="eastAsia" w:ascii="仿宋" w:hAnsi="仿宋" w:eastAsia="仿宋" w:cs="仿宋"/>
                <w:b/>
                <w:color w:val="000000" w:themeColor="text1"/>
                <w:sz w:val="24"/>
                <w14:textFill>
                  <w14:solidFill>
                    <w14:schemeClr w14:val="tx1"/>
                  </w14:solidFill>
                </w14:textFill>
              </w:rPr>
              <w:t>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sz w:val="24"/>
                <w:szCs w:val="32"/>
              </w:rPr>
              <w:t>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4"/>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w:t>
      </w:r>
      <w:r>
        <w:rPr>
          <w:rFonts w:hint="eastAsia" w:ascii="仿宋" w:hAnsi="仿宋" w:eastAsia="仿宋" w:cs="仿宋"/>
          <w:color w:val="000000" w:themeColor="text1"/>
          <w:sz w:val="24"/>
          <w:lang w:val="en-US" w:eastAsia="zh-CN"/>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99549957"/>
      <w:bookmarkStart w:id="13" w:name="_Toc54943417"/>
      <w:bookmarkStart w:id="14" w:name="_Toc15940"/>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4"/>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79062234"/>
      <w:bookmarkStart w:id="16" w:name="_Toc54717590"/>
      <w:bookmarkStart w:id="17" w:name="_Toc97624961"/>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en-US"/>
              </w:rPr>
              <w:t>安全生产技术服务</w:t>
            </w:r>
            <w:r>
              <w:rPr>
                <w:rFonts w:hint="eastAsia" w:ascii="仿宋" w:hAnsi="仿宋" w:eastAsia="仿宋" w:cs="仿宋"/>
                <w:bCs/>
                <w:color w:val="FF0000"/>
                <w:sz w:val="24"/>
                <w:highlight w:val="none"/>
                <w:lang w:val="en-US" w:eastAsia="zh-CN"/>
              </w:rPr>
              <w:t>项目</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rPr>
              <w:t>1</w:t>
            </w:r>
            <w:r>
              <w:rPr>
                <w:rFonts w:hint="eastAsia" w:ascii="仿宋" w:hAnsi="仿宋" w:eastAsia="仿宋" w:cs="仿宋"/>
                <w:bCs/>
                <w:color w:val="FF0000"/>
                <w:sz w:val="24"/>
                <w:highlight w:val="none"/>
                <w:lang w:val="en-US" w:eastAsia="zh-CN"/>
              </w:rPr>
              <w:t>52</w:t>
            </w:r>
            <w:r>
              <w:rPr>
                <w:rFonts w:hint="eastAsia" w:ascii="仿宋" w:hAnsi="仿宋" w:eastAsia="仿宋" w:cs="仿宋"/>
                <w:bCs/>
                <w:color w:val="FF0000"/>
                <w:sz w:val="24"/>
                <w:highlight w:val="none"/>
              </w:rPr>
              <w:t>,000.00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0DE4BC3D">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深圳市福田区第二人民医院位于深圳市福田区包括两院区（中康院区、龙尾院区）下辖21家社康，建筑面积约4.6万平方，本项目旨在为深圳市福田区第二人民医院范围内提供全方位的安全生产技术服务，以确保医院运营的安全性和稳定性。服务范围包括安全生产管理咨询、隐患排查与风险分析、电气防火安全检查及检测等多个环节，目的是提升医院的安全生产管理水平，有效预防和减少安全事故的发生。</w:t>
      </w:r>
    </w:p>
    <w:p w14:paraId="66046B3B">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投标人资格要求</w:t>
      </w:r>
    </w:p>
    <w:p w14:paraId="00E436A1">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1.必须是采购人推荐的供应商；</w:t>
      </w:r>
    </w:p>
    <w:p w14:paraId="273E1EF0">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2.投标人须是在中华人民共和国境内注册，具有独立法人资格或是具有独立承担民事责任的能力的其它组织（提供营业执照或事业单位法人证或其他证明材料复印件加盖公章，原件备查）；</w:t>
      </w:r>
    </w:p>
    <w:p w14:paraId="2FC4C86E">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3.投标人满足《中华人民共和国政府采购法》第二十二条规定的条件（由供应商在《政府采购投标及履约承诺函》中作出声明，加盖公章）；</w:t>
      </w:r>
    </w:p>
    <w:p w14:paraId="3A4C40B6">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4.参与本项目政府采购活动时不存在被有关部门禁止参与政府采购活动且在有效期内的情况（由供应商在《政府采购投标及履约承诺函》中作出声明，加盖公章）；</w:t>
      </w:r>
    </w:p>
    <w:p w14:paraId="22F00664">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5.未被列入失信被执行人、重大税收违法失信主体、政府采购严重违法失信行为记录名单；不存在《深圳市财政局政府采购供应商信用信息管理办法》（深财规〔2023〕3 号）列明的严重违法失信行为（由供应商在《政府采购投标及履约承诺函》中作出声明）；</w:t>
      </w:r>
    </w:p>
    <w:p w14:paraId="1289D471">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6.本项目不接受联合体投标，不允许转包分包（由供应商在《政府采购投标及履约承诺函》中作出声明）。</w:t>
      </w:r>
    </w:p>
    <w:p w14:paraId="2153278F">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14:paraId="280B9A26">
      <w:pPr>
        <w:pStyle w:val="106"/>
        <w:numPr>
          <w:ilvl w:val="0"/>
          <w:numId w:val="0"/>
        </w:numPr>
        <w:spacing w:line="240" w:lineRule="auto"/>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bookmarkStart w:id="18" w:name="_Toc21855"/>
            <w:bookmarkStart w:id="19" w:name="_Toc99549959"/>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3EE472BD">
            <w:pPr>
              <w:keepNext w:val="0"/>
              <w:keepLines w:val="0"/>
              <w:suppressLineNumbers w:val="0"/>
              <w:spacing w:before="0" w:beforeAutospacing="0" w:after="0" w:afterAutospacing="0"/>
              <w:ind w:left="0" w:right="0"/>
              <w:jc w:val="center"/>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招标服务要求</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rPr>
              <w:t>服务</w:t>
            </w:r>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2A0D8345">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（1）服务合同签订起两个月内进行一次建筑电气消防检测并出具《建筑电气消防检测报告》；</w:t>
            </w:r>
          </w:p>
          <w:p w14:paraId="19432F67">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（2）对医院内部进行隐患排查和安全风险分级管控机制；全面排查医院范围内安全隐患，编制《安全隐患及整改意见书》。</w:t>
            </w:r>
          </w:p>
          <w:p w14:paraId="7CDF2E5F">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根据技术服务项目组风险辨识情况、《企业安全生产标准化基本规范》（GB/T33000-2016）《医疗卫生机构安全生产标准化规范》对医院进行安全生产管理体系建设。形成完善的安全管理制度体系并辅导院方落实各项管理规范。完成医院安全标准化体系建设。</w:t>
            </w:r>
          </w:p>
          <w:p w14:paraId="5EF8DA56">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（4）</w:t>
            </w:r>
            <w:r>
              <w:rPr>
                <w:rFonts w:hint="default" w:ascii="仿宋" w:hAnsi="仿宋" w:eastAsia="仿宋" w:cs="仿宋"/>
                <w:color w:val="FF0000"/>
                <w:kern w:val="0"/>
                <w:sz w:val="24"/>
                <w:szCs w:val="24"/>
                <w:highlight w:val="none"/>
                <w:lang w:val="en-US" w:eastAsia="zh-CN"/>
              </w:rPr>
              <w:t>日常</w:t>
            </w:r>
            <w:r>
              <w:rPr>
                <w:rFonts w:hint="eastAsia" w:ascii="仿宋" w:hAnsi="仿宋" w:eastAsia="仿宋" w:cs="仿宋"/>
                <w:color w:val="FF0000"/>
                <w:kern w:val="0"/>
                <w:sz w:val="24"/>
                <w:szCs w:val="24"/>
                <w:highlight w:val="none"/>
                <w:lang w:val="en-US" w:eastAsia="zh-CN"/>
              </w:rPr>
              <w:t>安全生产</w:t>
            </w:r>
            <w:r>
              <w:rPr>
                <w:rFonts w:hint="default" w:ascii="仿宋" w:hAnsi="仿宋" w:eastAsia="仿宋" w:cs="仿宋"/>
                <w:color w:val="FF0000"/>
                <w:kern w:val="0"/>
                <w:sz w:val="24"/>
                <w:szCs w:val="24"/>
                <w:highlight w:val="none"/>
                <w:lang w:val="en-US" w:eastAsia="zh-CN"/>
              </w:rPr>
              <w:t>顾问服务及应急事件协助</w:t>
            </w:r>
            <w:r>
              <w:rPr>
                <w:rFonts w:hint="eastAsia" w:ascii="仿宋" w:hAnsi="仿宋" w:eastAsia="仿宋" w:cs="仿宋"/>
                <w:color w:val="FF0000"/>
                <w:kern w:val="0"/>
                <w:sz w:val="24"/>
                <w:szCs w:val="24"/>
                <w:highlight w:val="none"/>
                <w:lang w:val="en-US" w:eastAsia="zh-CN"/>
              </w:rPr>
              <w:t>。</w:t>
            </w:r>
          </w:p>
          <w:p w14:paraId="460D8830">
            <w:pPr>
              <w:keepNext w:val="0"/>
              <w:keepLines w:val="0"/>
              <w:numPr>
                <w:ilvl w:val="0"/>
                <w:numId w:val="0"/>
              </w:numPr>
              <w:suppressLineNumbers w:val="0"/>
              <w:spacing w:before="0" w:beforeAutospacing="0" w:after="0" w:afterAutospacing="0"/>
              <w:ind w:left="0" w:leftChars="0" w:right="0" w:rightChars="0"/>
              <w:jc w:val="left"/>
              <w:rPr>
                <w:rFonts w:hint="eastAsia"/>
                <w:lang w:val="en-US" w:eastAsia="zh-CN"/>
              </w:rPr>
            </w:pPr>
            <w:r>
              <w:rPr>
                <w:rFonts w:hint="eastAsia" w:ascii="仿宋" w:hAnsi="仿宋" w:eastAsia="仿宋" w:cs="仿宋"/>
                <w:color w:val="FF0000"/>
                <w:kern w:val="0"/>
                <w:sz w:val="24"/>
                <w:szCs w:val="24"/>
                <w:highlight w:val="none"/>
                <w:lang w:val="en-US" w:eastAsia="zh-CN"/>
              </w:rPr>
              <w:t>（5）中标供应商不得将本项目非法分包或转包给任何单位和个人，否则采购单位有权即刻终止合同，并要求中标供应商赔偿相应损失。</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2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7629B594">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（1）人数：项目负责人1名，项目成员不少于3名。</w:t>
            </w:r>
          </w:p>
          <w:p w14:paraId="7801B044">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（2）人员素质：项目组长1名，须持有注册安全工程师或一级安全评价师、一级消防安全工程师等相关执业资格证书；</w:t>
            </w:r>
          </w:p>
          <w:p w14:paraId="5FEA9624">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项目组其他成员不少于3名，建筑电气消防检测人员须取得中级以上（含中级）消防设施操作员和特种作业操作证（低电压电工）等两种职业资格证书，其他成员必须具有安全隐患排查工作经验。</w:t>
            </w:r>
          </w:p>
          <w:p w14:paraId="49EAC0A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证明文件：附相关证书扫描件。</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7748"/>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345"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7748"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7748" w:type="dxa"/>
            <w:noWrap w:val="0"/>
            <w:vAlign w:val="top"/>
          </w:tcPr>
          <w:p w14:paraId="2EA012B0">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1）中标单位签订合同之日起提供为期一年的服务，涵盖技术咨询、问题解决等服务内容。</w:t>
            </w:r>
          </w:p>
          <w:p w14:paraId="2565853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2）在合同服务期内，中标单位应在接到采购方通知后的24小时内做出响应，并按双方协商的时间到达现场解决问题。</w:t>
            </w:r>
          </w:p>
          <w:p w14:paraId="1639426E">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3）中标单位应定期对服务项目进行巡查，确保项目的稳定运行和安全性能。</w:t>
            </w:r>
          </w:p>
          <w:p w14:paraId="27F04EB1">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Hans"/>
              </w:rPr>
            </w:pPr>
            <w:r>
              <w:rPr>
                <w:rFonts w:hint="eastAsia" w:ascii="仿宋" w:hAnsi="仿宋" w:eastAsia="仿宋" w:cs="仿宋"/>
                <w:color w:val="FF0000"/>
                <w:kern w:val="0"/>
                <w:sz w:val="24"/>
                <w:szCs w:val="24"/>
                <w:highlight w:val="none"/>
                <w:lang w:val="en-US" w:eastAsia="zh-CN"/>
              </w:rPr>
              <w:t>4）中标单位承诺在合同服务期满后，继续为采购方提供有偿的后续服务支持。</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9F4FE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验收方式</w:t>
            </w:r>
          </w:p>
        </w:tc>
        <w:tc>
          <w:tcPr>
            <w:tcW w:w="7748" w:type="dxa"/>
            <w:noWrap w:val="0"/>
            <w:vAlign w:val="center"/>
          </w:tcPr>
          <w:p w14:paraId="680CF679">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1）各项服务完成形成服务记录，检测鉴定、维保报告等经过双方检验认可后，签署验收报告。</w:t>
            </w:r>
          </w:p>
          <w:p w14:paraId="1A7AF39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2）当满足以下条件时，采购人才向中标人签发验收报告：</w:t>
            </w:r>
          </w:p>
          <w:p w14:paraId="5E95154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a、中标人已按照合同规定提供了全部技术资料。</w:t>
            </w:r>
          </w:p>
          <w:p w14:paraId="60139A9A">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b、服务项目符合招标文件的服务要求。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52F5F7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tc>
        <w:tc>
          <w:tcPr>
            <w:tcW w:w="7748" w:type="dxa"/>
            <w:noWrap w:val="0"/>
            <w:vAlign w:val="center"/>
          </w:tcPr>
          <w:p w14:paraId="09B764C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1.本项目投标按总价报价，服务费用采用包干制，包括但不限于项目服务成本、法定税费和企业利润等一切费用。</w:t>
            </w:r>
          </w:p>
          <w:p w14:paraId="0107E552">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2.本项目不接受分项报价或选择性报价。供应商需对项目所有服务内容提供整体报价，且报价在合同执行期间保持不变。</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446810B">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付款方式</w:t>
            </w:r>
          </w:p>
        </w:tc>
        <w:tc>
          <w:tcPr>
            <w:tcW w:w="7748" w:type="dxa"/>
            <w:noWrap w:val="0"/>
            <w:vAlign w:val="center"/>
          </w:tcPr>
          <w:p w14:paraId="0F9CA8E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按季度支付，每3个月支付一次，每次支付合同总额25%。采购人收到中标人的服务验收报告和相对应费用发票后15个工作日内以转账的形式向中标人支付费用。</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44FC8E0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服务期限</w:t>
            </w:r>
          </w:p>
        </w:tc>
        <w:tc>
          <w:tcPr>
            <w:tcW w:w="7748" w:type="dxa"/>
            <w:noWrap w:val="0"/>
            <w:vAlign w:val="center"/>
          </w:tcPr>
          <w:p w14:paraId="3805900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自合同签订之日起一年。</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7748" w:type="dxa"/>
            <w:noWrap w:val="0"/>
            <w:vAlign w:val="center"/>
          </w:tcPr>
          <w:p w14:paraId="58CE436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为履行本项目所规定的内容及义务，中标人产出的服务成果知识产权归采购人所有。</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7748"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7748"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7748"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2.中标人须提供纸质投标文件和纸质投标文件的电子版等投标资料。</w:t>
            </w:r>
          </w:p>
        </w:tc>
      </w:tr>
    </w:tbl>
    <w:p w14:paraId="3C9ED7BD">
      <w:pPr>
        <w:pStyle w:val="3"/>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r>
        <w:rPr>
          <w:rFonts w:hint="eastAsia" w:ascii="仿宋" w:hAnsi="仿宋" w:eastAsia="仿宋" w:cs="仿宋"/>
          <w:b/>
          <w:bCs/>
          <w:lang w:eastAsia="zh-CN"/>
        </w:rPr>
        <w:t>投标</w:t>
      </w:r>
      <w:r>
        <w:rPr>
          <w:rFonts w:hint="eastAsia" w:ascii="仿宋" w:hAnsi="仿宋" w:eastAsia="仿宋" w:cs="仿宋"/>
          <w:b/>
          <w:bCs/>
        </w:rPr>
        <w:t>文件格式</w:t>
      </w:r>
      <w:bookmarkEnd w:id="20"/>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4"/>
        <w:spacing w:line="360" w:lineRule="auto"/>
        <w:jc w:val="center"/>
        <w:rPr>
          <w:rFonts w:hint="eastAsia" w:ascii="黑体" w:eastAsia="黑体" w:hAnsiTheme="minorHAnsi" w:cstheme="minorBidi"/>
          <w:b/>
          <w:sz w:val="72"/>
          <w:szCs w:val="72"/>
        </w:rPr>
      </w:pPr>
      <w:bookmarkStart w:id="22" w:name="_Toc100247590"/>
      <w:bookmarkStart w:id="23" w:name="_Toc15064"/>
      <w:bookmarkStart w:id="24" w:name="_Toc90287690"/>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5"/>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8CA2E05">
      <w:pPr>
        <w:pStyle w:val="4"/>
        <w:spacing w:before="120" w:after="120"/>
        <w:jc w:val="center"/>
        <w:rPr>
          <w:rFonts w:hint="eastAsia" w:ascii="仿宋" w:hAnsi="仿宋" w:eastAsia="仿宋" w:cs="仿宋"/>
          <w:b/>
          <w:bCs w:val="0"/>
          <w:sz w:val="36"/>
          <w:lang w:val="en-US" w:eastAsia="zh-CN"/>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094E9FA0">
      <w:pPr>
        <w:pStyle w:val="4"/>
        <w:spacing w:before="120" w:after="120"/>
        <w:jc w:val="center"/>
        <w:rPr>
          <w:rFonts w:hint="eastAsia" w:ascii="仿宋" w:hAnsi="仿宋" w:eastAsia="仿宋" w:cs="仿宋"/>
          <w:b/>
          <w:bCs w:val="0"/>
          <w:sz w:val="36"/>
          <w:lang w:val="en-US" w:eastAsia="zh-CN"/>
        </w:rPr>
      </w:pPr>
    </w:p>
    <w:p w14:paraId="236B37CE">
      <w:pPr>
        <w:pStyle w:val="4"/>
        <w:spacing w:before="120" w:after="120"/>
        <w:jc w:val="center"/>
        <w:rPr>
          <w:rFonts w:hint="eastAsia" w:ascii="仿宋" w:hAnsi="仿宋" w:eastAsia="仿宋" w:cs="仿宋"/>
          <w:b/>
          <w:bCs w:val="0"/>
          <w:sz w:val="36"/>
          <w:lang w:val="en-US" w:eastAsia="zh-CN"/>
        </w:rPr>
      </w:pPr>
    </w:p>
    <w:p w14:paraId="077D47D9">
      <w:pPr>
        <w:pStyle w:val="4"/>
        <w:spacing w:before="120" w:after="120"/>
        <w:jc w:val="center"/>
        <w:rPr>
          <w:rFonts w:hint="eastAsia" w:ascii="仿宋" w:hAnsi="仿宋" w:eastAsia="仿宋" w:cs="仿宋"/>
          <w:b/>
          <w:bCs w:val="0"/>
          <w:sz w:val="36"/>
          <w:lang w:val="en-US" w:eastAsia="zh-CN"/>
        </w:rPr>
      </w:pPr>
    </w:p>
    <w:p w14:paraId="1A78A084">
      <w:pPr>
        <w:pStyle w:val="5"/>
        <w:pageBreakBefore/>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、评标指引表</w:t>
      </w:r>
    </w:p>
    <w:p w14:paraId="4CC82A29">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37DB253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547AF07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DC3DC1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5B5D55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DA1E0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C69318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4C46C4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84890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1799CBC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6EB80C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5A58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3F1A81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3B65B3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AAEAE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7264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9C02C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1773E0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FED87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AA96D1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0C2D83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BD9940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B271A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E18B14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337A4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08BD6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1678BE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4A3FAE48">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开标</w:t>
      </w:r>
      <w:r>
        <w:rPr>
          <w:rFonts w:hint="eastAsia" w:ascii="仿宋" w:hAnsi="仿宋" w:eastAsia="仿宋" w:cs="仿宋"/>
          <w:b/>
          <w:bCs w:val="0"/>
          <w:sz w:val="32"/>
          <w:szCs w:val="32"/>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2FD3AA8C">
      <w:pPr>
        <w:jc w:val="right"/>
        <w:rPr>
          <w:rFonts w:hint="eastAsia" w:ascii="仿宋" w:hAnsi="仿宋" w:eastAsia="仿宋" w:cs="仿宋"/>
          <w:b/>
          <w:bCs w:val="0"/>
          <w:sz w:val="36"/>
          <w:lang w:val="en-US" w:eastAsia="zh-CN"/>
        </w:rPr>
      </w:pPr>
      <w:r>
        <w:rPr>
          <w:rFonts w:hint="eastAsia" w:ascii="仿宋" w:hAnsi="仿宋" w:eastAsia="仿宋" w:cs="仿宋"/>
          <w:color w:val="000000" w:themeColor="text1"/>
          <w:sz w:val="24"/>
          <w14:textFill>
            <w14:solidFill>
              <w14:schemeClr w14:val="tx1"/>
            </w14:solidFill>
          </w14:textFill>
        </w:rPr>
        <w:t>日期：    年  月  日</w:t>
      </w:r>
    </w:p>
    <w:p w14:paraId="5D8CA571">
      <w:pPr>
        <w:numPr>
          <w:ilvl w:val="0"/>
          <w:numId w:val="0"/>
        </w:numPr>
        <w:bidi w:val="0"/>
        <w:rPr>
          <w:rFonts w:hint="eastAsia"/>
          <w:lang w:val="en-US" w:eastAsia="zh-CN"/>
        </w:rPr>
      </w:pPr>
    </w:p>
    <w:p w14:paraId="36744F19">
      <w:pPr>
        <w:numPr>
          <w:ilvl w:val="0"/>
          <w:numId w:val="0"/>
        </w:numPr>
        <w:bidi w:val="0"/>
        <w:rPr>
          <w:rFonts w:hint="eastAsia"/>
          <w:lang w:val="en-US" w:eastAsia="zh-CN"/>
        </w:rPr>
      </w:pPr>
    </w:p>
    <w:p w14:paraId="61C6B114">
      <w:pPr>
        <w:numPr>
          <w:ilvl w:val="0"/>
          <w:numId w:val="0"/>
        </w:numPr>
        <w:bidi w:val="0"/>
        <w:rPr>
          <w:rFonts w:hint="eastAsia"/>
          <w:lang w:val="en-US" w:eastAsia="zh-CN"/>
        </w:rPr>
      </w:pPr>
    </w:p>
    <w:p w14:paraId="04A947A7">
      <w:pPr>
        <w:numPr>
          <w:ilvl w:val="0"/>
          <w:numId w:val="0"/>
        </w:numPr>
        <w:bidi w:val="0"/>
        <w:rPr>
          <w:rFonts w:hint="eastAsia"/>
          <w:lang w:val="en-US" w:eastAsia="zh-CN"/>
        </w:rPr>
      </w:pPr>
    </w:p>
    <w:p w14:paraId="6D5BC4A5">
      <w:pPr>
        <w:numPr>
          <w:ilvl w:val="0"/>
          <w:numId w:val="0"/>
        </w:numPr>
        <w:bidi w:val="0"/>
        <w:rPr>
          <w:rFonts w:hint="eastAsia"/>
          <w:lang w:val="en-US" w:eastAsia="zh-CN"/>
        </w:rPr>
      </w:pPr>
    </w:p>
    <w:p w14:paraId="78A4A222">
      <w:pPr>
        <w:numPr>
          <w:ilvl w:val="0"/>
          <w:numId w:val="0"/>
        </w:numPr>
        <w:bidi w:val="0"/>
        <w:rPr>
          <w:rFonts w:hint="eastAsia"/>
          <w:lang w:val="en-US" w:eastAsia="zh-CN"/>
        </w:rPr>
      </w:pPr>
    </w:p>
    <w:p w14:paraId="4CCF5265">
      <w:pPr>
        <w:numPr>
          <w:ilvl w:val="0"/>
          <w:numId w:val="0"/>
        </w:numPr>
        <w:bidi w:val="0"/>
        <w:rPr>
          <w:rFonts w:hint="eastAsia"/>
          <w:lang w:val="en-US" w:eastAsia="zh-CN"/>
        </w:rPr>
      </w:pPr>
    </w:p>
    <w:p w14:paraId="32D7AD23">
      <w:pPr>
        <w:numPr>
          <w:ilvl w:val="0"/>
          <w:numId w:val="0"/>
        </w:numPr>
        <w:bidi w:val="0"/>
        <w:rPr>
          <w:rFonts w:hint="eastAsia"/>
          <w:lang w:val="en-US" w:eastAsia="zh-CN"/>
        </w:rPr>
      </w:pPr>
    </w:p>
    <w:p w14:paraId="4935F84A">
      <w:pPr>
        <w:numPr>
          <w:ilvl w:val="0"/>
          <w:numId w:val="0"/>
        </w:numPr>
        <w:bidi w:val="0"/>
        <w:rPr>
          <w:rFonts w:hint="eastAsia"/>
          <w:lang w:val="en-US" w:eastAsia="zh-CN"/>
        </w:rPr>
      </w:pPr>
    </w:p>
    <w:p w14:paraId="3E5DB39E">
      <w:pPr>
        <w:numPr>
          <w:ilvl w:val="0"/>
          <w:numId w:val="0"/>
        </w:numPr>
        <w:bidi w:val="0"/>
        <w:rPr>
          <w:rFonts w:hint="eastAsia"/>
          <w:lang w:val="en-US" w:eastAsia="zh-CN"/>
        </w:rPr>
      </w:pPr>
    </w:p>
    <w:p w14:paraId="298CDDC7">
      <w:pPr>
        <w:numPr>
          <w:ilvl w:val="0"/>
          <w:numId w:val="0"/>
        </w:numPr>
        <w:bidi w:val="0"/>
        <w:rPr>
          <w:rFonts w:hint="eastAsia"/>
          <w:lang w:val="en-US" w:eastAsia="zh-CN"/>
        </w:rPr>
      </w:pPr>
    </w:p>
    <w:p w14:paraId="60F0E540">
      <w:pPr>
        <w:numPr>
          <w:ilvl w:val="0"/>
          <w:numId w:val="0"/>
        </w:numPr>
        <w:bidi w:val="0"/>
        <w:rPr>
          <w:rFonts w:hint="eastAsia"/>
          <w:lang w:val="en-US" w:eastAsia="zh-CN"/>
        </w:rPr>
      </w:pPr>
    </w:p>
    <w:p w14:paraId="53880DA0">
      <w:pPr>
        <w:numPr>
          <w:ilvl w:val="0"/>
          <w:numId w:val="0"/>
        </w:numPr>
        <w:bidi w:val="0"/>
        <w:rPr>
          <w:rFonts w:hint="eastAsia"/>
          <w:lang w:val="en-US" w:eastAsia="zh-CN"/>
        </w:rPr>
      </w:pPr>
    </w:p>
    <w:p w14:paraId="29081038">
      <w:pPr>
        <w:numPr>
          <w:ilvl w:val="0"/>
          <w:numId w:val="0"/>
        </w:numPr>
        <w:bidi w:val="0"/>
        <w:rPr>
          <w:rFonts w:hint="eastAsia"/>
          <w:lang w:val="en-US" w:eastAsia="zh-CN"/>
        </w:rPr>
      </w:pPr>
    </w:p>
    <w:p w14:paraId="06370397">
      <w:pPr>
        <w:numPr>
          <w:ilvl w:val="0"/>
          <w:numId w:val="0"/>
        </w:numPr>
        <w:bidi w:val="0"/>
        <w:rPr>
          <w:rFonts w:hint="eastAsia"/>
          <w:lang w:val="en-US" w:eastAsia="zh-CN"/>
        </w:rPr>
      </w:pPr>
    </w:p>
    <w:p w14:paraId="7549C725">
      <w:pPr>
        <w:numPr>
          <w:ilvl w:val="0"/>
          <w:numId w:val="0"/>
        </w:numPr>
        <w:bidi w:val="0"/>
        <w:rPr>
          <w:rFonts w:hint="eastAsia"/>
          <w:lang w:val="en-US" w:eastAsia="zh-CN"/>
        </w:rPr>
      </w:pPr>
    </w:p>
    <w:p w14:paraId="4A3F2BA6">
      <w:pPr>
        <w:numPr>
          <w:ilvl w:val="0"/>
          <w:numId w:val="0"/>
        </w:numPr>
        <w:bidi w:val="0"/>
        <w:rPr>
          <w:rFonts w:hint="eastAsia"/>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四、投标人资格及投标承诺函</w:t>
      </w:r>
      <w:bookmarkEnd w:id="26"/>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6"/>
        <w:jc w:val="center"/>
        <w:rPr>
          <w:rFonts w:hint="eastAsia" w:ascii="仿宋" w:hAnsi="仿宋" w:eastAsia="仿宋" w:cs="仿宋"/>
          <w:bCs w:val="0"/>
        </w:rPr>
      </w:pPr>
    </w:p>
    <w:p w14:paraId="1EE5BFF8">
      <w:pPr>
        <w:pStyle w:val="6"/>
        <w:jc w:val="center"/>
        <w:rPr>
          <w:rFonts w:hint="eastAsia" w:ascii="仿宋" w:hAnsi="仿宋" w:eastAsia="仿宋" w:cs="仿宋"/>
          <w:bCs w:val="0"/>
        </w:rPr>
      </w:pPr>
    </w:p>
    <w:p w14:paraId="68A24E05">
      <w:pPr>
        <w:pStyle w:val="6"/>
        <w:jc w:val="center"/>
        <w:rPr>
          <w:rFonts w:hint="eastAsia" w:ascii="仿宋" w:hAnsi="仿宋" w:eastAsia="仿宋" w:cs="仿宋"/>
          <w:bCs w:val="0"/>
        </w:rPr>
      </w:pPr>
    </w:p>
    <w:p w14:paraId="3FC5C76C">
      <w:pPr>
        <w:bidi w:val="0"/>
        <w:rPr>
          <w:rFonts w:hint="eastAsia"/>
        </w:rPr>
      </w:pPr>
    </w:p>
    <w:p w14:paraId="6BD2053A">
      <w:pPr>
        <w:bidi w:val="0"/>
        <w:rPr>
          <w:rFonts w:hint="eastAsia"/>
        </w:rPr>
      </w:pPr>
    </w:p>
    <w:p w14:paraId="3F0D6287">
      <w:pPr>
        <w:bidi w:val="0"/>
        <w:rPr>
          <w:rFonts w:hint="eastAsia"/>
        </w:rPr>
      </w:pPr>
    </w:p>
    <w:p w14:paraId="5ED7D496">
      <w:pPr>
        <w:bidi w:val="0"/>
        <w:rPr>
          <w:rFonts w:hint="eastAsia"/>
        </w:rPr>
      </w:pPr>
    </w:p>
    <w:p w14:paraId="51B28A2F">
      <w:pPr>
        <w:bidi w:val="0"/>
        <w:jc w:val="center"/>
        <w:rPr>
          <w:rFonts w:hint="eastAsia" w:ascii="仿宋" w:hAnsi="仿宋" w:eastAsia="仿宋" w:cs="仿宋"/>
          <w:b/>
          <w:bCs/>
          <w:kern w:val="2"/>
          <w:sz w:val="28"/>
          <w:szCs w:val="28"/>
          <w:lang w:val="en-US" w:eastAsia="zh-CN" w:bidi="ar-S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6"/>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77DFAB1B">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90C2FE6">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6"/>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00576E29">
      <w:pPr>
        <w:spacing w:line="400" w:lineRule="exact"/>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7F53742">
      <w:pPr>
        <w:spacing w:line="400" w:lineRule="exact"/>
        <w:jc w:val="left"/>
        <w:rPr>
          <w:rFonts w:ascii="仿宋" w:hAnsi="仿宋" w:eastAsia="仿宋" w:cs="仿宋"/>
          <w:color w:val="000000"/>
          <w:sz w:val="24"/>
        </w:rPr>
      </w:pPr>
    </w:p>
    <w:p w14:paraId="2483B3F4">
      <w:pPr>
        <w:spacing w:line="400" w:lineRule="exact"/>
        <w:jc w:val="left"/>
        <w:rPr>
          <w:rFonts w:ascii="仿宋" w:hAnsi="仿宋" w:eastAsia="仿宋" w:cs="仿宋"/>
          <w:color w:val="000000"/>
          <w:sz w:val="24"/>
        </w:rPr>
      </w:pPr>
      <w:r>
        <w:rPr>
          <w:rFonts w:hint="eastAsia" w:ascii="仿宋" w:hAnsi="仿宋" w:eastAsia="仿宋" w:cs="仿宋"/>
          <w:color w:val="000000"/>
          <w:sz w:val="24"/>
          <w:lang w:val="en-US" w:eastAsia="zh-CN"/>
        </w:rPr>
        <w:t>投标</w:t>
      </w:r>
      <w:r>
        <w:rPr>
          <w:rFonts w:hint="eastAsia" w:ascii="仿宋" w:hAnsi="仿宋" w:eastAsia="仿宋" w:cs="仿宋"/>
          <w:color w:val="000000"/>
          <w:sz w:val="24"/>
        </w:rPr>
        <w:t>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6C8D650">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w:t>
      </w:r>
      <w:r>
        <w:rPr>
          <w:rFonts w:hint="eastAsia" w:ascii="仿宋" w:hAnsi="仿宋" w:eastAsia="仿宋" w:cs="仿宋"/>
          <w:b/>
          <w:bCs/>
          <w:color w:val="FF0000"/>
          <w:lang w:val="en-US" w:eastAsia="zh-CN"/>
        </w:rPr>
        <w:t>符合</w:t>
      </w:r>
      <w:r>
        <w:rPr>
          <w:rFonts w:hint="eastAsia" w:ascii="仿宋" w:hAnsi="仿宋" w:eastAsia="仿宋" w:cs="仿宋"/>
          <w:b/>
          <w:bCs/>
          <w:color w:val="FF0000"/>
        </w:rPr>
        <w:t>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本单位郑重声明，根据《财政部司法部关于政府采购支持监狱企业发展有关问题的通知》（财库〔2014〕68号）的规定，本单位为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 xml:space="preserve">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32E222F3">
      <w:pPr>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1A389526">
      <w:pPr>
        <w:jc w:val="left"/>
        <w:rPr>
          <w:rFonts w:hint="eastAsia" w:ascii="仿宋" w:hAnsi="仿宋" w:eastAsia="仿宋" w:cs="仿宋"/>
          <w:color w:val="000000"/>
          <w:sz w:val="24"/>
        </w:rPr>
      </w:pPr>
    </w:p>
    <w:p w14:paraId="2E96E40D">
      <w:pPr>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69CA1DD">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2"/>
          <w:szCs w:val="32"/>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4359BF9E">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176966A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25AFDCFE">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3A6FD67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0526E261">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5BDBB948">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5"/>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numPr>
          <w:ilvl w:val="0"/>
          <w:numId w:val="0"/>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（一）供应商基本情况表</w:t>
      </w:r>
    </w:p>
    <w:p w14:paraId="14F03F11">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2F28B415">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0D9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pct"/>
            <w:gridSpan w:val="2"/>
            <w:noWrap w:val="0"/>
            <w:vAlign w:val="center"/>
          </w:tcPr>
          <w:p w14:paraId="4ABB46E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51BB54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B09F5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B5DCB1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97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C989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51DC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38B34F5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1DECE3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497513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3C41C79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048054F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EF681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100E3EF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351F975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06E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8BF1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C53A3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1A725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6046E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189CE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43724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5F6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C0F99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301E9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F8A0A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3DDE52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AA0F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3FC4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4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A1A87A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3FFD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38D7F0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D3FC1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A7AB54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829B0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97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20F232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0F0E34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CD1BA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4D6461A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7118B6A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52AC20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77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E3295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680972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75BF71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5EB7E85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DF6ADF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34D4790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5A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1DA81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03193B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121F42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AFC783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1AA5825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DBAB9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0C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84F5E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5AE12E7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7E88F5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14AE9B4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依据《民法典》第504条规定，上述单位负责人，是指非法人组织（如个体工商户、分支机构）的负责人，即对外代表该组织的自然人。</w:t>
            </w:r>
          </w:p>
        </w:tc>
      </w:tr>
      <w:tr w14:paraId="36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8CC2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B3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77965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B69AAC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EE747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BE3B5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053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32E6EE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295152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03668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715F0E4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074F7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021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15250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C3FB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1117A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FE364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02A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F9027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7479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62C59400">
            <w:pPr>
              <w:pStyle w:val="13"/>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1A80ED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6BA337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C29B7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5F52F2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075E9A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640476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465CD0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681B1FE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0506F3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47DCA9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A26C2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263D8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3B377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2729D4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A57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563326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64CA80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09FF4A3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6385A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DDE99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6F6F4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1F07B5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D4CE094">
      <w:pPr>
        <w:pStyle w:val="13"/>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1D80DE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0A2C0F6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0F93028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51B67CE2">
      <w:pPr>
        <w:jc w:val="left"/>
        <w:rPr>
          <w:rFonts w:hint="eastAsia" w:ascii="仿宋" w:hAnsi="仿宋" w:eastAsia="仿宋" w:cs="仿宋"/>
          <w:color w:val="auto"/>
          <w:sz w:val="21"/>
          <w:szCs w:val="21"/>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228CE39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6D10B5BF">
      <w:pPr>
        <w:ind w:firstLine="480" w:firstLineChars="200"/>
        <w:rPr>
          <w:rFonts w:hint="eastAsia" w:ascii="仿宋" w:hAnsi="仿宋" w:eastAsia="仿宋" w:cs="仿宋"/>
          <w:bCs/>
          <w:sz w:val="24"/>
          <w:szCs w:val="24"/>
        </w:rPr>
      </w:pP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2B06865F">
      <w:pPr>
        <w:tabs>
          <w:tab w:val="left" w:pos="540"/>
        </w:tabs>
        <w:jc w:val="both"/>
        <w:rPr>
          <w:rFonts w:hint="eastAsia" w:ascii="仿宋" w:hAnsi="仿宋" w:eastAsia="仿宋" w:cs="仿宋"/>
          <w:b/>
          <w:bCs/>
          <w:kern w:val="2"/>
          <w:sz w:val="28"/>
          <w:szCs w:val="28"/>
          <w:lang w:val="en-US" w:eastAsia="zh-CN" w:bidi="ar-SA"/>
        </w:rPr>
      </w:pPr>
    </w:p>
    <w:p w14:paraId="0E54DBF7">
      <w:pPr>
        <w:tabs>
          <w:tab w:val="left" w:pos="540"/>
        </w:tabs>
        <w:jc w:val="both"/>
        <w:rPr>
          <w:rFonts w:hint="eastAsia" w:ascii="仿宋" w:hAnsi="仿宋" w:eastAsia="仿宋" w:cs="仿宋"/>
          <w:b/>
          <w:bCs/>
          <w:kern w:val="2"/>
          <w:sz w:val="28"/>
          <w:szCs w:val="28"/>
          <w:lang w:val="en-US" w:eastAsia="zh-CN" w:bidi="ar-SA"/>
        </w:rPr>
      </w:pPr>
    </w:p>
    <w:p w14:paraId="31CCA697">
      <w:pPr>
        <w:tabs>
          <w:tab w:val="left" w:pos="540"/>
        </w:tabs>
        <w:jc w:val="both"/>
        <w:rPr>
          <w:rFonts w:hint="eastAsia" w:ascii="仿宋" w:hAnsi="仿宋" w:eastAsia="仿宋" w:cs="仿宋"/>
          <w:b/>
          <w:bCs/>
          <w:kern w:val="2"/>
          <w:sz w:val="28"/>
          <w:szCs w:val="28"/>
          <w:lang w:val="en-US" w:eastAsia="zh-CN" w:bidi="ar-SA"/>
        </w:rPr>
      </w:pPr>
    </w:p>
    <w:p w14:paraId="2975AAFD">
      <w:pPr>
        <w:tabs>
          <w:tab w:val="left" w:pos="540"/>
        </w:tabs>
        <w:jc w:val="both"/>
        <w:rPr>
          <w:rFonts w:hint="eastAsia" w:ascii="仿宋" w:hAnsi="仿宋" w:eastAsia="仿宋" w:cs="仿宋"/>
          <w:b/>
          <w:bCs/>
          <w:kern w:val="2"/>
          <w:sz w:val="28"/>
          <w:szCs w:val="28"/>
          <w:lang w:val="en-US" w:eastAsia="zh-CN" w:bidi="ar-SA"/>
        </w:rPr>
      </w:pPr>
    </w:p>
    <w:p w14:paraId="5AE4F2BC">
      <w:pPr>
        <w:tabs>
          <w:tab w:val="left" w:pos="540"/>
        </w:tabs>
        <w:jc w:val="both"/>
        <w:rPr>
          <w:rFonts w:hint="eastAsia" w:ascii="仿宋" w:hAnsi="仿宋" w:eastAsia="仿宋" w:cs="仿宋"/>
          <w:b/>
          <w:bCs/>
          <w:kern w:val="2"/>
          <w:sz w:val="28"/>
          <w:szCs w:val="28"/>
          <w:lang w:val="en-US" w:eastAsia="zh-CN" w:bidi="ar-SA"/>
        </w:rPr>
      </w:pPr>
    </w:p>
    <w:p w14:paraId="70DD9FA2">
      <w:pPr>
        <w:tabs>
          <w:tab w:val="left" w:pos="540"/>
        </w:tabs>
        <w:jc w:val="both"/>
        <w:rPr>
          <w:rFonts w:hint="eastAsia" w:ascii="仿宋" w:hAnsi="仿宋" w:eastAsia="仿宋" w:cs="仿宋"/>
          <w:b/>
          <w:bCs/>
          <w:kern w:val="2"/>
          <w:sz w:val="28"/>
          <w:szCs w:val="28"/>
          <w:lang w:val="en-US" w:eastAsia="zh-CN" w:bidi="ar-SA"/>
        </w:rPr>
      </w:pPr>
    </w:p>
    <w:p w14:paraId="7A12B457">
      <w:pPr>
        <w:tabs>
          <w:tab w:val="left" w:pos="540"/>
        </w:tabs>
        <w:jc w:val="both"/>
        <w:rPr>
          <w:rFonts w:hint="eastAsia" w:ascii="仿宋" w:hAnsi="仿宋" w:eastAsia="仿宋" w:cs="仿宋"/>
          <w:b/>
          <w:bCs/>
          <w:kern w:val="2"/>
          <w:sz w:val="28"/>
          <w:szCs w:val="28"/>
          <w:lang w:val="en-US" w:eastAsia="zh-CN" w:bidi="ar-SA"/>
        </w:rPr>
      </w:pPr>
    </w:p>
    <w:p w14:paraId="3F8AECCA">
      <w:pPr>
        <w:tabs>
          <w:tab w:val="left" w:pos="540"/>
        </w:tabs>
        <w:jc w:val="both"/>
        <w:rPr>
          <w:rFonts w:hint="eastAsia" w:ascii="仿宋" w:hAnsi="仿宋" w:eastAsia="仿宋" w:cs="仿宋"/>
          <w:b/>
          <w:bCs/>
          <w:kern w:val="2"/>
          <w:sz w:val="28"/>
          <w:szCs w:val="28"/>
          <w:lang w:val="en-US" w:eastAsia="zh-CN" w:bidi="ar-SA"/>
        </w:rPr>
      </w:pPr>
    </w:p>
    <w:p w14:paraId="21595D9B">
      <w:pPr>
        <w:tabs>
          <w:tab w:val="left" w:pos="540"/>
        </w:tabs>
        <w:jc w:val="both"/>
        <w:rPr>
          <w:rFonts w:hint="eastAsia" w:ascii="仿宋" w:hAnsi="仿宋" w:eastAsia="仿宋" w:cs="仿宋"/>
          <w:b/>
          <w:bCs/>
          <w:kern w:val="2"/>
          <w:sz w:val="28"/>
          <w:szCs w:val="28"/>
          <w:lang w:val="en-US" w:eastAsia="zh-CN" w:bidi="ar-SA"/>
        </w:rPr>
      </w:pPr>
    </w:p>
    <w:p w14:paraId="149654F4">
      <w:pPr>
        <w:tabs>
          <w:tab w:val="left" w:pos="540"/>
        </w:tabs>
        <w:jc w:val="both"/>
        <w:rPr>
          <w:rFonts w:hint="eastAsia" w:ascii="仿宋" w:hAnsi="仿宋" w:eastAsia="仿宋" w:cs="仿宋"/>
          <w:b/>
          <w:bCs/>
          <w:kern w:val="2"/>
          <w:sz w:val="28"/>
          <w:szCs w:val="28"/>
          <w:lang w:val="en-US" w:eastAsia="zh-CN" w:bidi="ar-SA"/>
        </w:rPr>
      </w:pPr>
    </w:p>
    <w:p w14:paraId="2E6AF3A7">
      <w:pPr>
        <w:tabs>
          <w:tab w:val="left" w:pos="540"/>
        </w:tabs>
        <w:jc w:val="both"/>
        <w:rPr>
          <w:rFonts w:hint="eastAsia" w:ascii="仿宋" w:hAnsi="仿宋" w:eastAsia="仿宋" w:cs="仿宋"/>
          <w:b/>
          <w:bCs/>
          <w:kern w:val="2"/>
          <w:sz w:val="28"/>
          <w:szCs w:val="28"/>
          <w:lang w:val="en-US" w:eastAsia="zh-CN" w:bidi="ar-SA"/>
        </w:rPr>
      </w:pPr>
    </w:p>
    <w:p w14:paraId="7E6F49E2">
      <w:pPr>
        <w:tabs>
          <w:tab w:val="left" w:pos="540"/>
        </w:tabs>
        <w:jc w:val="both"/>
        <w:rPr>
          <w:rFonts w:hint="eastAsia" w:ascii="仿宋" w:hAnsi="仿宋" w:eastAsia="仿宋" w:cs="仿宋"/>
          <w:b/>
          <w:bCs/>
          <w:kern w:val="2"/>
          <w:sz w:val="28"/>
          <w:szCs w:val="28"/>
          <w:lang w:val="en-US" w:eastAsia="zh-CN" w:bidi="ar-SA"/>
        </w:rPr>
      </w:pPr>
    </w:p>
    <w:p w14:paraId="440AA258">
      <w:pPr>
        <w:tabs>
          <w:tab w:val="left" w:pos="540"/>
        </w:tabs>
        <w:jc w:val="both"/>
        <w:rPr>
          <w:rFonts w:hint="eastAsia" w:ascii="仿宋" w:hAnsi="仿宋" w:eastAsia="仿宋" w:cs="仿宋"/>
          <w:b/>
          <w:bCs/>
          <w:kern w:val="2"/>
          <w:sz w:val="28"/>
          <w:szCs w:val="28"/>
          <w:lang w:val="en-US" w:eastAsia="zh-CN" w:bidi="ar-SA"/>
        </w:rPr>
      </w:pPr>
    </w:p>
    <w:p w14:paraId="219E1ADA">
      <w:pPr>
        <w:tabs>
          <w:tab w:val="left" w:pos="540"/>
        </w:tabs>
        <w:jc w:val="both"/>
        <w:rPr>
          <w:rFonts w:hint="eastAsia" w:ascii="仿宋" w:hAnsi="仿宋" w:eastAsia="仿宋" w:cs="仿宋"/>
          <w:b/>
          <w:bCs/>
          <w:kern w:val="2"/>
          <w:sz w:val="28"/>
          <w:szCs w:val="28"/>
          <w:lang w:val="en-US" w:eastAsia="zh-CN" w:bidi="ar-SA"/>
        </w:rPr>
      </w:pPr>
    </w:p>
    <w:p w14:paraId="3366CB45">
      <w:pPr>
        <w:tabs>
          <w:tab w:val="left" w:pos="540"/>
        </w:tabs>
        <w:jc w:val="both"/>
        <w:rPr>
          <w:rFonts w:hint="eastAsia" w:ascii="仿宋" w:hAnsi="仿宋" w:eastAsia="仿宋" w:cs="仿宋"/>
          <w:b/>
          <w:bCs/>
          <w:kern w:val="2"/>
          <w:sz w:val="28"/>
          <w:szCs w:val="28"/>
          <w:lang w:val="en-US" w:eastAsia="zh-CN" w:bidi="ar-SA"/>
        </w:rPr>
      </w:pPr>
    </w:p>
    <w:p w14:paraId="262A552A">
      <w:pPr>
        <w:tabs>
          <w:tab w:val="left" w:pos="540"/>
        </w:tabs>
        <w:jc w:val="both"/>
        <w:rPr>
          <w:rFonts w:hint="eastAsia" w:ascii="仿宋" w:hAnsi="仿宋" w:eastAsia="仿宋" w:cs="仿宋"/>
          <w:b/>
          <w:bCs/>
          <w:kern w:val="2"/>
          <w:sz w:val="28"/>
          <w:szCs w:val="28"/>
          <w:lang w:val="en-US" w:eastAsia="zh-CN" w:bidi="ar-SA"/>
        </w:rPr>
      </w:pPr>
    </w:p>
    <w:p w14:paraId="75A85849">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3"/>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17839"/>
      <w:bookmarkStart w:id="29" w:name="_Toc32740"/>
      <w:bookmarkStart w:id="30" w:name="_Toc14386"/>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13984"/>
      <w:bookmarkStart w:id="33" w:name="_Toc21997"/>
      <w:bookmarkStart w:id="34" w:name="_Toc13763"/>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7314"/>
      <w:bookmarkStart w:id="37" w:name="_Toc18505"/>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52B75318">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05E51E89">
      <w:pPr>
        <w:pStyle w:val="23"/>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3"/>
        <w:jc w:val="center"/>
        <w:rPr>
          <w:rFonts w:hint="eastAsia" w:ascii="仿宋" w:hAnsi="仿宋" w:eastAsia="仿宋" w:cs="仿宋"/>
          <w:b/>
          <w:bCs/>
          <w:kern w:val="2"/>
          <w:sz w:val="28"/>
          <w:szCs w:val="28"/>
          <w:lang w:val="en-US" w:eastAsia="zh-CN" w:bidi="ar-SA"/>
        </w:rPr>
      </w:pPr>
    </w:p>
    <w:p w14:paraId="5F6982B5">
      <w:pPr>
        <w:pStyle w:val="23"/>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603EFE68">
      <w:pPr>
        <w:pStyle w:val="5"/>
        <w:pageBreakBefore/>
        <w:numPr>
          <w:ilvl w:val="0"/>
          <w:numId w:val="0"/>
        </w:numPr>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八、用户需求书条款响应一览表</w:t>
      </w:r>
    </w:p>
    <w:p w14:paraId="1AA439D4">
      <w:pPr>
        <w:numPr>
          <w:ilvl w:val="0"/>
          <w:numId w:val="0"/>
        </w:numPr>
        <w:bidi w:val="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1.服务要求</w:t>
      </w:r>
      <w:r>
        <w:rPr>
          <w:rFonts w:hint="eastAsia" w:ascii="仿宋" w:hAnsi="仿宋" w:eastAsia="仿宋" w:cs="仿宋"/>
          <w:b/>
          <w:bCs/>
          <w:sz w:val="30"/>
          <w:szCs w:val="30"/>
        </w:rPr>
        <w:t>偏离表</w:t>
      </w:r>
    </w:p>
    <w:p w14:paraId="77A32426">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382"/>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0A1A2626">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382"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2132715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150AE22F">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2、商务要求偏离表</w:t>
      </w:r>
    </w:p>
    <w:p w14:paraId="1FEC6199">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8D728A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2C1ACB0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7173FB04">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6CA59CFE">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159F5771">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03FA6530">
      <w:pPr>
        <w:bidi w:val="0"/>
        <w:jc w:val="center"/>
        <w:rPr>
          <w:rFonts w:hint="eastAsia" w:ascii="仿宋" w:hAnsi="仿宋" w:eastAsia="仿宋" w:cs="仿宋"/>
          <w:b/>
          <w:bCs w:val="0"/>
          <w:kern w:val="2"/>
          <w:sz w:val="36"/>
          <w:szCs w:val="28"/>
          <w:lang w:val="en-US" w:eastAsia="zh-CN" w:bidi="ar-SA"/>
        </w:rPr>
      </w:pPr>
    </w:p>
    <w:p w14:paraId="1DC09CCC">
      <w:pPr>
        <w:bidi w:val="0"/>
        <w:jc w:val="center"/>
        <w:rPr>
          <w:rFonts w:hint="eastAsia" w:ascii="仿宋" w:hAnsi="仿宋" w:eastAsia="仿宋" w:cs="仿宋"/>
          <w:b/>
          <w:bCs w:val="0"/>
          <w:kern w:val="2"/>
          <w:sz w:val="36"/>
          <w:szCs w:val="28"/>
          <w:lang w:val="en-US" w:eastAsia="zh-CN" w:bidi="ar-SA"/>
        </w:rPr>
      </w:pPr>
    </w:p>
    <w:p w14:paraId="5FF368DB">
      <w:pPr>
        <w:bidi w:val="0"/>
        <w:jc w:val="center"/>
        <w:rPr>
          <w:rFonts w:hint="eastAsia" w:ascii="仿宋" w:hAnsi="仿宋" w:eastAsia="仿宋" w:cs="仿宋"/>
          <w:b/>
          <w:bCs w:val="0"/>
          <w:kern w:val="2"/>
          <w:sz w:val="36"/>
          <w:szCs w:val="28"/>
          <w:lang w:val="en-US" w:eastAsia="zh-CN" w:bidi="ar-SA"/>
        </w:rPr>
      </w:pPr>
    </w:p>
    <w:p w14:paraId="2B3FBDCB">
      <w:p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十、</w:t>
      </w:r>
      <w:bookmarkEnd w:id="21"/>
      <w:r>
        <w:rPr>
          <w:rFonts w:hint="eastAsia" w:ascii="仿宋" w:hAnsi="仿宋" w:eastAsia="仿宋" w:cs="仿宋"/>
          <w:b/>
          <w:bCs w:val="0"/>
          <w:kern w:val="2"/>
          <w:sz w:val="32"/>
          <w:szCs w:val="32"/>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w:t>
      </w:r>
      <w:r>
        <w:rPr>
          <w:rFonts w:hint="eastAsia" w:ascii="仿宋" w:hAnsi="仿宋" w:eastAsia="仿宋" w:cs="仿宋"/>
          <w:b/>
          <w:bCs/>
          <w:color w:val="FF0000"/>
          <w:spacing w:val="-4"/>
          <w:kern w:val="0"/>
          <w:sz w:val="24"/>
          <w:lang w:val="en-US" w:eastAsia="zh-CN"/>
        </w:rPr>
        <w:t>符合</w:t>
      </w:r>
      <w:r>
        <w:rPr>
          <w:rFonts w:hint="eastAsia" w:ascii="仿宋" w:hAnsi="仿宋" w:eastAsia="仿宋" w:cs="仿宋"/>
          <w:b/>
          <w:bCs/>
          <w:color w:val="FF0000"/>
          <w:spacing w:val="-4"/>
          <w:kern w:val="0"/>
          <w:sz w:val="24"/>
        </w:rPr>
        <w:t>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40F7FB44">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49D222B">
      <w:pPr>
        <w:wordWrap/>
        <w:autoSpaceDE w:val="0"/>
        <w:autoSpaceDN w:val="0"/>
        <w:spacing w:line="276" w:lineRule="auto"/>
        <w:ind w:firstLine="464" w:firstLineChars="200"/>
        <w:jc w:val="right"/>
        <w:rPr>
          <w:rFonts w:hint="eastAsia" w:ascii="仿宋" w:hAnsi="仿宋" w:eastAsia="仿宋" w:cs="仿宋"/>
          <w:spacing w:val="-4"/>
          <w:kern w:val="0"/>
          <w:sz w:val="24"/>
        </w:rPr>
      </w:pPr>
    </w:p>
    <w:p w14:paraId="3C98204D">
      <w:pPr>
        <w:wordWrap/>
        <w:autoSpaceDE w:val="0"/>
        <w:autoSpaceDN w:val="0"/>
        <w:spacing w:line="276" w:lineRule="auto"/>
        <w:ind w:firstLine="464" w:firstLineChars="200"/>
        <w:jc w:val="right"/>
        <w:rPr>
          <w:rFonts w:hint="eastAsia" w:ascii="仿宋" w:hAnsi="仿宋" w:eastAsia="仿宋" w:cs="仿宋"/>
          <w:spacing w:val="-4"/>
          <w:kern w:val="0"/>
          <w:sz w:val="24"/>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3"/>
        <w:rPr>
          <w:rFonts w:hint="eastAsia"/>
          <w:lang w:val="en-US" w:eastAsia="zh-CN"/>
        </w:rPr>
      </w:pPr>
    </w:p>
    <w:p w14:paraId="31855FD2">
      <w:pPr>
        <w:pStyle w:val="23"/>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jc w:val="left"/>
        <w:rPr>
          <w:rFonts w:hint="eastAsia" w:ascii="仿宋" w:hAnsi="仿宋" w:eastAsia="仿宋" w:cs="仿宋"/>
          <w:color w:val="000000" w:themeColor="text1"/>
          <w:sz w:val="24"/>
          <w14:textFill>
            <w14:solidFill>
              <w14:schemeClr w14:val="tx1"/>
            </w14:solidFill>
          </w14:textFill>
        </w:rPr>
      </w:pPr>
    </w:p>
    <w:p w14:paraId="0134854C">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B4C159F">
      <w:pPr>
        <w:pStyle w:val="23"/>
        <w:rPr>
          <w:rFonts w:hint="eastAsia"/>
          <w:lang w:val="en-US" w:eastAsia="zh-CN"/>
        </w:rPr>
        <w:sectPr>
          <w:pgSz w:w="16838" w:h="11906" w:orient="landscape"/>
          <w:pgMar w:top="1800" w:right="1440" w:bottom="1800" w:left="1440" w:header="851" w:footer="992" w:gutter="0"/>
          <w:cols w:space="425" w:num="1"/>
          <w:titlePg/>
          <w:docGrid w:type="lines" w:linePitch="312" w:charSpace="0"/>
        </w:sectPr>
      </w:pPr>
    </w:p>
    <w:p w14:paraId="6C579EC9">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、谈判文件要求的其他内容及</w:t>
      </w:r>
      <w:r>
        <w:rPr>
          <w:rFonts w:hint="eastAsia" w:ascii="仿宋" w:hAnsi="仿宋" w:eastAsia="仿宋" w:cs="仿宋"/>
          <w:b/>
          <w:bCs w:val="0"/>
          <w:sz w:val="32"/>
          <w:szCs w:val="32"/>
          <w:lang w:eastAsia="zh-CN"/>
        </w:rPr>
        <w:t>投标人</w:t>
      </w:r>
      <w:r>
        <w:rPr>
          <w:rFonts w:hint="eastAsia" w:ascii="仿宋" w:hAnsi="仿宋" w:eastAsia="仿宋" w:cs="仿宋"/>
          <w:b/>
          <w:bCs w:val="0"/>
          <w:sz w:val="32"/>
          <w:szCs w:val="32"/>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4"/>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3322F5C">
      <w:pPr>
        <w:spacing w:line="240" w:lineRule="atLeast"/>
        <w:rPr>
          <w:rFonts w:hint="eastAsia" w:ascii="仿宋" w:hAnsi="仿宋" w:eastAsia="仿宋" w:cs="仿宋"/>
          <w:szCs w:val="21"/>
        </w:rPr>
      </w:pPr>
    </w:p>
    <w:p w14:paraId="613E7F90">
      <w:pPr>
        <w:spacing w:line="240" w:lineRule="atLeast"/>
        <w:rPr>
          <w:rFonts w:hint="eastAsia" w:ascii="仿宋" w:hAnsi="仿宋" w:eastAsia="仿宋" w:cs="仿宋"/>
          <w:szCs w:val="21"/>
        </w:rPr>
      </w:pPr>
    </w:p>
    <w:p w14:paraId="3184E7B6">
      <w:pPr>
        <w:spacing w:line="240" w:lineRule="atLeast"/>
        <w:rPr>
          <w:rFonts w:hint="eastAsia" w:ascii="仿宋" w:hAnsi="仿宋" w:eastAsia="仿宋" w:cs="仿宋"/>
          <w:szCs w:val="21"/>
        </w:rPr>
      </w:pPr>
    </w:p>
    <w:p w14:paraId="2833AFFD">
      <w:pPr>
        <w:spacing w:line="240" w:lineRule="atLeast"/>
        <w:rPr>
          <w:rFonts w:hint="eastAsia" w:ascii="仿宋" w:hAnsi="仿宋" w:eastAsia="仿宋" w:cs="仿宋"/>
          <w:szCs w:val="21"/>
        </w:rPr>
      </w:pPr>
    </w:p>
    <w:p w14:paraId="3343BF1C">
      <w:pPr>
        <w:spacing w:line="240" w:lineRule="atLeast"/>
        <w:rPr>
          <w:rFonts w:hint="eastAsia" w:ascii="仿宋" w:hAnsi="仿宋" w:eastAsia="仿宋" w:cs="仿宋"/>
          <w:szCs w:val="21"/>
        </w:rPr>
      </w:pPr>
    </w:p>
    <w:p w14:paraId="49BAA571">
      <w:pPr>
        <w:spacing w:line="240" w:lineRule="atLeast"/>
        <w:rPr>
          <w:rFonts w:hint="eastAsia" w:ascii="仿宋" w:hAnsi="仿宋" w:eastAsia="仿宋" w:cs="仿宋"/>
          <w:szCs w:val="21"/>
        </w:rPr>
      </w:pPr>
    </w:p>
    <w:p w14:paraId="7FD4AD98">
      <w:pPr>
        <w:spacing w:line="240" w:lineRule="atLeast"/>
        <w:rPr>
          <w:rFonts w:hint="eastAsia" w:ascii="仿宋" w:hAnsi="仿宋" w:eastAsia="仿宋" w:cs="仿宋"/>
          <w:szCs w:val="21"/>
        </w:rPr>
      </w:pPr>
    </w:p>
    <w:p w14:paraId="5F8F1224">
      <w:pPr>
        <w:spacing w:line="240" w:lineRule="atLeast"/>
        <w:rPr>
          <w:rFonts w:hint="eastAsia" w:ascii="仿宋" w:hAnsi="仿宋" w:eastAsia="仿宋" w:cs="仿宋"/>
          <w:szCs w:val="21"/>
        </w:rPr>
      </w:pPr>
    </w:p>
    <w:p w14:paraId="163CA398">
      <w:pPr>
        <w:spacing w:line="240" w:lineRule="atLeast"/>
        <w:rPr>
          <w:rFonts w:hint="eastAsia" w:ascii="仿宋" w:hAnsi="仿宋" w:eastAsia="仿宋" w:cs="仿宋"/>
          <w:szCs w:val="21"/>
        </w:rPr>
      </w:pPr>
    </w:p>
    <w:p w14:paraId="389B6C17">
      <w:pPr>
        <w:spacing w:line="240" w:lineRule="atLeast"/>
        <w:rPr>
          <w:rFonts w:hint="eastAsia" w:ascii="仿宋" w:hAnsi="仿宋" w:eastAsia="仿宋" w:cs="仿宋"/>
          <w:szCs w:val="21"/>
        </w:rPr>
      </w:pPr>
    </w:p>
    <w:p w14:paraId="56DAFE0A">
      <w:pPr>
        <w:spacing w:line="240" w:lineRule="atLeast"/>
        <w:rPr>
          <w:rFonts w:hint="eastAsia" w:ascii="仿宋" w:hAnsi="仿宋" w:eastAsia="仿宋" w:cs="仿宋"/>
          <w:szCs w:val="21"/>
        </w:rPr>
      </w:pPr>
    </w:p>
    <w:p w14:paraId="798CD924">
      <w:pPr>
        <w:spacing w:line="240" w:lineRule="atLeast"/>
        <w:rPr>
          <w:rFonts w:hint="eastAsia" w:ascii="仿宋" w:hAnsi="仿宋" w:eastAsia="仿宋" w:cs="仿宋"/>
          <w:szCs w:val="21"/>
        </w:rPr>
      </w:pPr>
    </w:p>
    <w:p w14:paraId="0A4A63D3">
      <w:pPr>
        <w:spacing w:line="240" w:lineRule="atLeast"/>
        <w:rPr>
          <w:rFonts w:hint="eastAsia" w:ascii="仿宋" w:hAnsi="仿宋" w:eastAsia="仿宋" w:cs="仿宋"/>
          <w:szCs w:val="21"/>
        </w:rPr>
      </w:pPr>
    </w:p>
    <w:p w14:paraId="17550997">
      <w:pPr>
        <w:spacing w:line="240" w:lineRule="atLeast"/>
        <w:rPr>
          <w:rFonts w:hint="eastAsia" w:ascii="仿宋" w:hAnsi="仿宋" w:eastAsia="仿宋" w:cs="仿宋"/>
          <w:szCs w:val="21"/>
        </w:rPr>
      </w:pPr>
    </w:p>
    <w:p w14:paraId="62292CD1">
      <w:pPr>
        <w:spacing w:line="240" w:lineRule="atLeast"/>
        <w:rPr>
          <w:rFonts w:hint="eastAsia" w:ascii="仿宋" w:hAnsi="仿宋" w:eastAsia="仿宋" w:cs="仿宋"/>
          <w:szCs w:val="21"/>
        </w:rPr>
      </w:pPr>
    </w:p>
    <w:p w14:paraId="6F3399ED">
      <w:pPr>
        <w:spacing w:line="240" w:lineRule="atLeast"/>
        <w:rPr>
          <w:rFonts w:hint="eastAsia" w:ascii="仿宋" w:hAnsi="仿宋" w:eastAsia="仿宋" w:cs="仿宋"/>
          <w:szCs w:val="21"/>
        </w:rPr>
      </w:pPr>
    </w:p>
    <w:p w14:paraId="6E7CEB33">
      <w:pPr>
        <w:spacing w:line="240" w:lineRule="atLeast"/>
        <w:rPr>
          <w:rFonts w:hint="eastAsia" w:ascii="仿宋" w:hAnsi="仿宋" w:eastAsia="仿宋" w:cs="仿宋"/>
          <w:szCs w:val="21"/>
        </w:rPr>
      </w:pPr>
    </w:p>
    <w:p w14:paraId="632FEEE1">
      <w:pPr>
        <w:spacing w:line="240" w:lineRule="atLeast"/>
        <w:rPr>
          <w:rFonts w:hint="eastAsia" w:ascii="仿宋" w:hAnsi="仿宋" w:eastAsia="仿宋" w:cs="仿宋"/>
          <w:szCs w:val="21"/>
        </w:rPr>
      </w:pPr>
    </w:p>
    <w:p w14:paraId="79713F18">
      <w:pPr>
        <w:spacing w:line="240" w:lineRule="atLeast"/>
        <w:rPr>
          <w:rFonts w:hint="eastAsia" w:ascii="仿宋" w:hAnsi="仿宋" w:eastAsia="仿宋" w:cs="仿宋"/>
          <w:szCs w:val="21"/>
        </w:rPr>
      </w:pPr>
    </w:p>
    <w:p w14:paraId="6779C3CC">
      <w:pPr>
        <w:spacing w:line="240" w:lineRule="atLeast"/>
        <w:rPr>
          <w:rFonts w:hint="eastAsia" w:ascii="仿宋" w:hAnsi="仿宋" w:eastAsia="仿宋" w:cs="仿宋"/>
          <w:szCs w:val="21"/>
        </w:rPr>
      </w:pPr>
    </w:p>
    <w:p w14:paraId="67B36772">
      <w:pPr>
        <w:bidi w:val="0"/>
        <w:jc w:val="center"/>
        <w:rPr>
          <w:rFonts w:hint="eastAsia"/>
          <w:b/>
          <w:bCs/>
          <w:sz w:val="32"/>
          <w:szCs w:val="32"/>
        </w:rPr>
      </w:pPr>
      <w:bookmarkStart w:id="38" w:name="_Toc13969"/>
    </w:p>
    <w:p w14:paraId="61828BE7">
      <w:pPr>
        <w:bidi w:val="0"/>
        <w:jc w:val="center"/>
        <w:rPr>
          <w:rFonts w:hint="eastAsia"/>
          <w:b/>
          <w:bCs/>
          <w:sz w:val="32"/>
          <w:szCs w:val="32"/>
        </w:rPr>
      </w:pPr>
    </w:p>
    <w:p w14:paraId="7478F55F">
      <w:pPr>
        <w:bidi w:val="0"/>
        <w:jc w:val="center"/>
        <w:rPr>
          <w:rFonts w:hint="eastAsia"/>
          <w:b/>
          <w:bCs/>
          <w:sz w:val="32"/>
          <w:szCs w:val="32"/>
        </w:rPr>
      </w:pPr>
    </w:p>
    <w:p w14:paraId="0D5BD891">
      <w:pPr>
        <w:bidi w:val="0"/>
        <w:jc w:val="center"/>
        <w:rPr>
          <w:rFonts w:hint="eastAsia"/>
          <w:b/>
          <w:bCs/>
          <w:sz w:val="32"/>
          <w:szCs w:val="32"/>
        </w:rPr>
      </w:pPr>
    </w:p>
    <w:p w14:paraId="4BC277B1">
      <w:pPr>
        <w:bidi w:val="0"/>
        <w:jc w:val="center"/>
        <w:rPr>
          <w:rFonts w:hint="eastAsia"/>
          <w:b/>
          <w:bCs/>
          <w:sz w:val="32"/>
          <w:szCs w:val="32"/>
        </w:rPr>
      </w:pPr>
    </w:p>
    <w:p w14:paraId="664F4BA4">
      <w:pPr>
        <w:bidi w:val="0"/>
        <w:jc w:val="center"/>
        <w:rPr>
          <w:rFonts w:hint="eastAsia"/>
          <w:b/>
          <w:bCs/>
          <w:sz w:val="32"/>
          <w:szCs w:val="32"/>
        </w:rPr>
      </w:pPr>
    </w:p>
    <w:p w14:paraId="606C1019">
      <w:pPr>
        <w:bidi w:val="0"/>
        <w:jc w:val="center"/>
        <w:rPr>
          <w:rFonts w:hint="eastAsia"/>
          <w:b/>
          <w:bCs/>
          <w:sz w:val="32"/>
          <w:szCs w:val="32"/>
        </w:rPr>
      </w:pPr>
    </w:p>
    <w:p w14:paraId="30FC2589">
      <w:pPr>
        <w:bidi w:val="0"/>
        <w:jc w:val="both"/>
        <w:rPr>
          <w:rFonts w:hint="eastAsia"/>
          <w:b/>
          <w:bCs/>
          <w:sz w:val="32"/>
          <w:szCs w:val="32"/>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bookmarkEnd w:id="38"/>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甲方无正当理由拒收接受服务，到期拒付服务款项的，甲方向乙方偿付本合同总的5%的违约金。甲方人逾期付款，则每日按本合同总价的3‰向乙方偿付违约金。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4"/>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签定日期：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签定日期：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7A0C170">
      <w:pPr>
        <w:autoSpaceDE w:val="0"/>
        <w:autoSpaceDN w:val="0"/>
        <w:adjustRightInd w:val="0"/>
        <w:snapToGrid w:val="0"/>
        <w:spacing w:line="360" w:lineRule="auto"/>
        <w:ind w:right="32"/>
        <w:rPr>
          <w:rFonts w:hint="eastAsia" w:ascii="仿宋" w:hAnsi="仿宋" w:eastAsia="仿宋" w:cs="仿宋"/>
          <w:sz w:val="24"/>
          <w:szCs w:val="24"/>
          <w:highlight w:val="none"/>
        </w:rPr>
      </w:pPr>
    </w:p>
    <w:p w14:paraId="2B7FFD04">
      <w:pPr>
        <w:autoSpaceDE w:val="0"/>
        <w:autoSpaceDN w:val="0"/>
        <w:adjustRightInd w:val="0"/>
        <w:snapToGrid w:val="0"/>
        <w:spacing w:line="360" w:lineRule="auto"/>
        <w:ind w:right="32"/>
        <w:rPr>
          <w:rFonts w:hint="eastAsia" w:ascii="仿宋" w:hAnsi="仿宋" w:eastAsia="仿宋" w:cs="仿宋"/>
          <w:sz w:val="24"/>
          <w:szCs w:val="24"/>
          <w:highlight w:val="none"/>
        </w:rPr>
      </w:pPr>
    </w:p>
    <w:p w14:paraId="75E0B25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FF3100E">
      <w:pPr>
        <w:autoSpaceDE w:val="0"/>
        <w:autoSpaceDN w:val="0"/>
        <w:adjustRightInd w:val="0"/>
        <w:snapToGrid w:val="0"/>
        <w:spacing w:line="360" w:lineRule="auto"/>
        <w:ind w:right="32"/>
        <w:rPr>
          <w:rFonts w:hint="eastAsia" w:ascii="仿宋" w:hAnsi="仿宋" w:eastAsia="仿宋" w:cs="仿宋"/>
          <w:sz w:val="24"/>
          <w:szCs w:val="24"/>
          <w:highlight w:val="none"/>
        </w:rPr>
      </w:pPr>
    </w:p>
    <w:p w14:paraId="656FED8A">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AA33D4">
      <w:pPr>
        <w:autoSpaceDE w:val="0"/>
        <w:autoSpaceDN w:val="0"/>
        <w:adjustRightInd w:val="0"/>
        <w:snapToGrid w:val="0"/>
        <w:spacing w:line="360" w:lineRule="auto"/>
        <w:ind w:right="32"/>
        <w:rPr>
          <w:rFonts w:hint="eastAsia" w:ascii="仿宋" w:hAnsi="仿宋" w:eastAsia="仿宋" w:cs="仿宋"/>
          <w:sz w:val="24"/>
          <w:szCs w:val="24"/>
          <w:highlight w:val="none"/>
        </w:rPr>
      </w:pPr>
    </w:p>
    <w:p w14:paraId="06507844">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8130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6C3FE6E4">
      <w:pPr>
        <w:autoSpaceDE w:val="0"/>
        <w:autoSpaceDN w:val="0"/>
        <w:adjustRightInd w:val="0"/>
        <w:snapToGrid w:val="0"/>
        <w:spacing w:line="360" w:lineRule="auto"/>
        <w:ind w:right="32"/>
        <w:rPr>
          <w:rFonts w:hint="eastAsia" w:ascii="仿宋" w:hAnsi="仿宋" w:eastAsia="仿宋" w:cs="仿宋"/>
          <w:sz w:val="24"/>
          <w:szCs w:val="24"/>
          <w:highlight w:val="none"/>
        </w:rPr>
      </w:pPr>
    </w:p>
    <w:p w14:paraId="53277D8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DFBAE83">
      <w:pPr>
        <w:autoSpaceDE w:val="0"/>
        <w:autoSpaceDN w:val="0"/>
        <w:adjustRightInd w:val="0"/>
        <w:snapToGrid w:val="0"/>
        <w:spacing w:line="360" w:lineRule="auto"/>
        <w:ind w:right="32"/>
        <w:rPr>
          <w:rFonts w:hint="eastAsia" w:ascii="仿宋" w:hAnsi="仿宋" w:eastAsia="仿宋" w:cs="仿宋"/>
          <w:sz w:val="24"/>
          <w:szCs w:val="24"/>
          <w:highlight w:val="none"/>
        </w:rPr>
      </w:pPr>
    </w:p>
    <w:p w14:paraId="4F54F842">
      <w:pPr>
        <w:autoSpaceDE w:val="0"/>
        <w:autoSpaceDN w:val="0"/>
        <w:adjustRightInd w:val="0"/>
        <w:snapToGrid w:val="0"/>
        <w:spacing w:line="360" w:lineRule="auto"/>
        <w:ind w:right="32"/>
        <w:rPr>
          <w:rFonts w:hint="eastAsia" w:ascii="仿宋" w:hAnsi="仿宋" w:eastAsia="仿宋" w:cs="仿宋"/>
          <w:sz w:val="24"/>
          <w:szCs w:val="24"/>
          <w:highlight w:val="none"/>
        </w:rPr>
      </w:pPr>
    </w:p>
    <w:p w14:paraId="54B62A7D">
      <w:pPr>
        <w:autoSpaceDE w:val="0"/>
        <w:autoSpaceDN w:val="0"/>
        <w:adjustRightInd w:val="0"/>
        <w:snapToGrid w:val="0"/>
        <w:spacing w:line="360" w:lineRule="auto"/>
        <w:ind w:right="32"/>
        <w:rPr>
          <w:rFonts w:hint="eastAsia" w:ascii="仿宋" w:hAnsi="仿宋" w:eastAsia="仿宋" w:cs="仿宋"/>
          <w:sz w:val="24"/>
          <w:szCs w:val="24"/>
          <w:highlight w:val="none"/>
        </w:rPr>
      </w:pPr>
    </w:p>
    <w:p w14:paraId="34FE39D7">
      <w:pPr>
        <w:autoSpaceDE w:val="0"/>
        <w:autoSpaceDN w:val="0"/>
        <w:adjustRightInd w:val="0"/>
        <w:snapToGrid w:val="0"/>
        <w:spacing w:line="360" w:lineRule="auto"/>
        <w:ind w:right="32"/>
        <w:rPr>
          <w:rFonts w:hint="eastAsia" w:ascii="仿宋" w:hAnsi="仿宋" w:eastAsia="仿宋" w:cs="仿宋"/>
          <w:sz w:val="24"/>
          <w:szCs w:val="24"/>
          <w:highlight w:val="none"/>
        </w:rPr>
      </w:pPr>
    </w:p>
    <w:p w14:paraId="2F88D05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CC39E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58A1988">
      <w:pPr>
        <w:autoSpaceDE w:val="0"/>
        <w:autoSpaceDN w:val="0"/>
        <w:adjustRightInd w:val="0"/>
        <w:snapToGrid w:val="0"/>
        <w:spacing w:line="360" w:lineRule="auto"/>
        <w:ind w:right="32"/>
        <w:rPr>
          <w:rFonts w:hint="eastAsia" w:ascii="仿宋" w:hAnsi="仿宋" w:eastAsia="仿宋" w:cs="仿宋"/>
          <w:sz w:val="24"/>
          <w:szCs w:val="24"/>
          <w:highlight w:val="none"/>
        </w:rPr>
      </w:pPr>
    </w:p>
    <w:p w14:paraId="18969CE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E3D2638">
      <w:pPr>
        <w:bidi w:val="0"/>
        <w:jc w:val="center"/>
        <w:rPr>
          <w:rFonts w:hint="eastAsia" w:ascii="Times New Roman" w:hAnsi="Times New Roman" w:eastAsia="宋体" w:cs="Times New Roman"/>
          <w:b/>
          <w:bCs/>
          <w:sz w:val="32"/>
          <w:szCs w:val="32"/>
        </w:rPr>
      </w:pPr>
      <w:bookmarkStart w:id="39" w:name="_Toc23054"/>
      <w:r>
        <w:rPr>
          <w:rFonts w:hint="eastAsia" w:ascii="Times New Roman" w:hAnsi="Times New Roman" w:eastAsia="宋体" w:cs="Times New Roman"/>
          <w:b/>
          <w:bCs/>
          <w:sz w:val="32"/>
          <w:szCs w:val="32"/>
          <w:lang w:val="en-US" w:eastAsia="zh-CN"/>
        </w:rPr>
        <w:t>六、投标人须知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9"/>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40" w:name="_Toc28379"/>
      <w:r>
        <w:rPr>
          <w:rFonts w:hint="eastAsia" w:ascii="宋体" w:hAnsi="宋体"/>
          <w:b/>
          <w:szCs w:val="21"/>
        </w:rPr>
        <w:t>定义</w:t>
      </w:r>
      <w:bookmarkEnd w:id="4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4681"/>
      <w:r>
        <w:rPr>
          <w:rFonts w:hint="eastAsia" w:ascii="宋体" w:hAnsi="宋体"/>
          <w:b/>
          <w:bCs/>
          <w:szCs w:val="21"/>
        </w:rPr>
        <w:t>合格的货物和服务</w:t>
      </w:r>
      <w:bookmarkEnd w:id="4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2" w:name="_Toc27847"/>
      <w:r>
        <w:rPr>
          <w:rFonts w:hint="eastAsia" w:ascii="宋体" w:hAnsi="宋体"/>
          <w:b/>
          <w:bCs/>
          <w:szCs w:val="21"/>
        </w:rPr>
        <w:t>其他</w:t>
      </w:r>
      <w:bookmarkEnd w:id="4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4" w:name="_Hlk21591509"/>
      <w:r>
        <w:rPr>
          <w:rFonts w:hint="eastAsia" w:asciiTheme="minorEastAsia" w:hAnsiTheme="minorEastAsia" w:eastAsiaTheme="minorEastAsia"/>
          <w:color w:val="auto"/>
          <w:szCs w:val="21"/>
          <w:highlight w:val="none"/>
        </w:rPr>
        <w:t>供应商限制参与政府采购</w:t>
      </w:r>
      <w:bookmarkEnd w:id="4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5" w:name="_Toc15267"/>
      <w:bookmarkStart w:id="46" w:name="_Toc438223138"/>
      <w:bookmarkStart w:id="47" w:name="_Toc15510"/>
      <w:bookmarkStart w:id="48" w:name="_Toc435174935"/>
      <w:bookmarkStart w:id="49" w:name="_Toc22222"/>
      <w:bookmarkStart w:id="50" w:name="_Toc435516652"/>
      <w:r>
        <w:rPr>
          <w:rFonts w:hint="eastAsia" w:asciiTheme="majorEastAsia" w:hAnsiTheme="majorEastAsia" w:eastAsiaTheme="majorEastAsia"/>
          <w:sz w:val="30"/>
          <w:szCs w:val="30"/>
          <w:lang w:eastAsia="zh-TW"/>
        </w:rPr>
        <w:t>投标文件的编制</w:t>
      </w:r>
      <w:bookmarkEnd w:id="45"/>
      <w:bookmarkEnd w:id="46"/>
      <w:bookmarkEnd w:id="47"/>
      <w:bookmarkEnd w:id="48"/>
      <w:bookmarkEnd w:id="49"/>
      <w:bookmarkEnd w:id="50"/>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7317"/>
      <w:r>
        <w:rPr>
          <w:rFonts w:hint="eastAsia" w:ascii="宋体" w:hAnsi="宋体"/>
          <w:b/>
          <w:bCs/>
          <w:szCs w:val="21"/>
        </w:rPr>
        <w:t>投标的语言</w:t>
      </w:r>
      <w:bookmarkEnd w:id="51"/>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2446"/>
      <w:r>
        <w:rPr>
          <w:rFonts w:hint="eastAsia" w:ascii="宋体" w:hAnsi="宋体"/>
          <w:b/>
          <w:bCs/>
          <w:szCs w:val="21"/>
        </w:rPr>
        <w:t>投标文件的构成</w:t>
      </w:r>
      <w:bookmarkEnd w:id="52"/>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11091"/>
      <w:r>
        <w:rPr>
          <w:rFonts w:hint="eastAsia" w:ascii="宋体" w:hAnsi="宋体"/>
          <w:b/>
          <w:bCs/>
          <w:szCs w:val="21"/>
        </w:rPr>
        <w:t>投标文件的编写</w:t>
      </w:r>
      <w:bookmarkEnd w:id="53"/>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7497"/>
      <w:r>
        <w:rPr>
          <w:rFonts w:hint="eastAsia" w:ascii="宋体" w:hAnsi="宋体"/>
          <w:b/>
          <w:bCs/>
          <w:szCs w:val="21"/>
        </w:rPr>
        <w:t>投标报价</w:t>
      </w:r>
      <w:bookmarkEnd w:id="54"/>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827"/>
      <w:r>
        <w:rPr>
          <w:rFonts w:hint="eastAsia" w:ascii="宋体" w:hAnsi="宋体"/>
          <w:b/>
          <w:bCs/>
          <w:szCs w:val="21"/>
        </w:rPr>
        <w:t>投标货币</w:t>
      </w:r>
      <w:bookmarkEnd w:id="55"/>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23174"/>
      <w:r>
        <w:rPr>
          <w:rFonts w:hint="eastAsia" w:ascii="宋体" w:hAnsi="宋体"/>
          <w:b/>
          <w:bCs/>
          <w:szCs w:val="21"/>
        </w:rPr>
        <w:t>联合体投标</w:t>
      </w:r>
      <w:bookmarkEnd w:id="56"/>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4020"/>
      <w:r>
        <w:rPr>
          <w:rFonts w:hint="eastAsia" w:ascii="宋体" w:hAnsi="宋体"/>
          <w:b/>
          <w:bCs/>
          <w:szCs w:val="21"/>
        </w:rPr>
        <w:t>证明投标人合格和资格的文件</w:t>
      </w:r>
      <w:bookmarkEnd w:id="57"/>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17198"/>
      <w:r>
        <w:rPr>
          <w:rFonts w:ascii="宋体" w:hAnsi="宋体"/>
          <w:b/>
          <w:bCs/>
          <w:szCs w:val="21"/>
        </w:rPr>
        <w:t>证明投标标的的合格性和符合招标文件规定的文件</w:t>
      </w:r>
      <w:bookmarkEnd w:id="58"/>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9" w:name="_Toc20270"/>
      <w:r>
        <w:rPr>
          <w:rFonts w:hint="eastAsia" w:ascii="宋体" w:hAnsi="宋体"/>
          <w:b/>
          <w:bCs/>
          <w:szCs w:val="21"/>
        </w:rPr>
        <w:t>投标文件的式样和签署、密封</w:t>
      </w:r>
      <w:bookmarkEnd w:id="59"/>
    </w:p>
    <w:p w14:paraId="669ADE1D">
      <w:pPr>
        <w:numPr>
          <w:ilvl w:val="1"/>
          <w:numId w:val="17"/>
        </w:numPr>
        <w:autoSpaceDE w:val="0"/>
        <w:autoSpaceDN w:val="0"/>
        <w:adjustRightInd w:val="0"/>
        <w:snapToGrid w:val="0"/>
        <w:spacing w:line="360" w:lineRule="auto"/>
        <w:rPr>
          <w:rFonts w:ascii="宋体" w:hAnsi="宋体" w:cs="黑体"/>
          <w:b/>
          <w:bCs/>
          <w:szCs w:val="21"/>
        </w:rPr>
      </w:pPr>
      <w:bookmarkStart w:id="60" w:name="_Toc435516653"/>
      <w:bookmarkStart w:id="61" w:name="_Toc435174936"/>
      <w:bookmarkStart w:id="62"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3" w:name="_Toc5252"/>
      <w:bookmarkStart w:id="64" w:name="_Toc21758"/>
      <w:bookmarkStart w:id="65" w:name="_Toc28883"/>
      <w:r>
        <w:rPr>
          <w:rFonts w:hint="eastAsia" w:asciiTheme="majorEastAsia" w:hAnsiTheme="majorEastAsia" w:eastAsiaTheme="majorEastAsia"/>
          <w:sz w:val="30"/>
          <w:szCs w:val="30"/>
          <w:lang w:eastAsia="zh-TW"/>
        </w:rPr>
        <w:t>投标文件的递交</w:t>
      </w:r>
      <w:bookmarkEnd w:id="60"/>
      <w:bookmarkEnd w:id="61"/>
      <w:bookmarkEnd w:id="62"/>
      <w:bookmarkEnd w:id="63"/>
      <w:bookmarkEnd w:id="64"/>
      <w:bookmarkEnd w:id="65"/>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13202"/>
      <w:r>
        <w:rPr>
          <w:rFonts w:hint="eastAsia" w:ascii="宋体" w:hAnsi="宋体"/>
          <w:b/>
          <w:bCs/>
          <w:szCs w:val="21"/>
        </w:rPr>
        <w:t>投标文件递交</w:t>
      </w:r>
      <w:bookmarkEnd w:id="66"/>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22017"/>
      <w:r>
        <w:rPr>
          <w:rFonts w:hint="eastAsia" w:ascii="宋体" w:hAnsi="宋体"/>
          <w:b/>
          <w:bCs/>
          <w:szCs w:val="21"/>
        </w:rPr>
        <w:t>投标文件的修改和撤回、撤销</w:t>
      </w:r>
      <w:bookmarkEnd w:id="67"/>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8853"/>
      <w:r>
        <w:rPr>
          <w:rFonts w:hint="eastAsia" w:ascii="宋体" w:hAnsi="宋体"/>
          <w:b/>
          <w:bCs/>
          <w:szCs w:val="21"/>
        </w:rPr>
        <w:t>质疑</w:t>
      </w:r>
      <w:bookmarkEnd w:id="68"/>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9" w:name="_Toc19729"/>
      <w:r>
        <w:rPr>
          <w:rFonts w:hint="eastAsia" w:ascii="宋体" w:hAnsi="宋体"/>
          <w:b/>
          <w:bCs/>
          <w:szCs w:val="21"/>
        </w:rPr>
        <w:t>中标通知书</w:t>
      </w:r>
      <w:bookmarkEnd w:id="69"/>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0" w:name="_Toc438223141"/>
      <w:bookmarkStart w:id="71" w:name="_Toc20050"/>
      <w:bookmarkStart w:id="72" w:name="_Toc7529"/>
      <w:bookmarkStart w:id="73" w:name="_Toc435174938"/>
      <w:bookmarkStart w:id="74" w:name="_Toc435516655"/>
      <w:bookmarkStart w:id="75" w:name="_Toc6704"/>
      <w:r>
        <w:rPr>
          <w:rFonts w:hint="eastAsia" w:asciiTheme="majorEastAsia" w:hAnsiTheme="majorEastAsia" w:eastAsiaTheme="majorEastAsia"/>
          <w:sz w:val="30"/>
          <w:szCs w:val="30"/>
          <w:lang w:eastAsia="zh-TW"/>
        </w:rPr>
        <w:t>授予合同</w:t>
      </w:r>
      <w:bookmarkEnd w:id="70"/>
      <w:bookmarkEnd w:id="71"/>
      <w:bookmarkEnd w:id="72"/>
      <w:bookmarkEnd w:id="73"/>
      <w:bookmarkEnd w:id="74"/>
      <w:bookmarkEnd w:id="75"/>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6" w:name="_Toc5467"/>
      <w:bookmarkStart w:id="77" w:name="_Toc23713"/>
      <w:r>
        <w:rPr>
          <w:rFonts w:hint="eastAsia" w:ascii="宋体" w:hAnsi="宋体"/>
          <w:b/>
          <w:bCs/>
          <w:szCs w:val="21"/>
        </w:rPr>
        <w:t>合同的订立</w:t>
      </w:r>
      <w:bookmarkEnd w:id="76"/>
      <w:bookmarkEnd w:id="77"/>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8" w:name="_Toc5053"/>
      <w:bookmarkStart w:id="79" w:name="_Toc560"/>
      <w:r>
        <w:rPr>
          <w:rFonts w:hint="eastAsia" w:ascii="宋体" w:hAnsi="宋体"/>
          <w:b/>
          <w:bCs/>
          <w:szCs w:val="21"/>
        </w:rPr>
        <w:t>合同的履行</w:t>
      </w:r>
      <w:bookmarkEnd w:id="78"/>
      <w:bookmarkEnd w:id="79"/>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3FE01E46">
      <w:pPr>
        <w:spacing w:line="240" w:lineRule="atLeast"/>
        <w:rPr>
          <w:rFonts w:hint="eastAsia" w:ascii="仿宋" w:hAnsi="仿宋" w:eastAsia="仿宋" w:cs="仿宋"/>
          <w:szCs w:val="21"/>
        </w:rPr>
      </w:pPr>
    </w:p>
    <w:p w14:paraId="1FAB4B0E">
      <w:pPr>
        <w:spacing w:line="240" w:lineRule="atLeast"/>
        <w:rPr>
          <w:rFonts w:hint="eastAsia" w:ascii="仿宋" w:hAnsi="仿宋" w:eastAsia="仿宋" w:cs="仿宋"/>
          <w:szCs w:val="21"/>
        </w:rPr>
      </w:pPr>
    </w:p>
    <w:p w14:paraId="3D24B859">
      <w:pPr>
        <w:spacing w:line="240" w:lineRule="atLeast"/>
        <w:rPr>
          <w:rFonts w:hint="eastAsia" w:ascii="仿宋" w:hAnsi="仿宋" w:eastAsia="仿宋" w:cs="仿宋"/>
          <w:szCs w:val="21"/>
        </w:rPr>
      </w:pPr>
    </w:p>
    <w:p w14:paraId="32D5FAC9">
      <w:pPr>
        <w:spacing w:line="240" w:lineRule="atLeast"/>
        <w:rPr>
          <w:rFonts w:hint="eastAsia" w:ascii="仿宋" w:hAnsi="仿宋" w:eastAsia="仿宋" w:cs="仿宋"/>
          <w:szCs w:val="21"/>
        </w:rPr>
      </w:pPr>
    </w:p>
    <w:p w14:paraId="47F3E78B">
      <w:pPr>
        <w:spacing w:line="240" w:lineRule="atLeast"/>
        <w:rPr>
          <w:rFonts w:hint="eastAsia" w:ascii="仿宋" w:hAnsi="仿宋" w:eastAsia="仿宋" w:cs="仿宋"/>
          <w:szCs w:val="21"/>
        </w:rPr>
      </w:pPr>
    </w:p>
    <w:p w14:paraId="74B670E7">
      <w:pPr>
        <w:spacing w:line="240" w:lineRule="atLeast"/>
        <w:rPr>
          <w:rFonts w:hint="eastAsia" w:ascii="仿宋" w:hAnsi="仿宋" w:eastAsia="仿宋" w:cs="仿宋"/>
          <w:szCs w:val="21"/>
        </w:rPr>
      </w:pPr>
    </w:p>
    <w:p w14:paraId="78F7A3B5">
      <w:pPr>
        <w:spacing w:line="240" w:lineRule="atLeast"/>
        <w:rPr>
          <w:rFonts w:hint="eastAsia" w:ascii="仿宋" w:hAnsi="仿宋" w:eastAsia="仿宋" w:cs="仿宋"/>
          <w:szCs w:val="21"/>
        </w:rPr>
      </w:pPr>
    </w:p>
    <w:p w14:paraId="4FE31DE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E1D9E2-9BD7-498D-A435-8807EDC21EDF}"/>
  </w:font>
  <w:font w:name="黑体">
    <w:panose1 w:val="02010609060101010101"/>
    <w:charset w:val="86"/>
    <w:family w:val="auto"/>
    <w:pitch w:val="default"/>
    <w:sig w:usb0="800002BF" w:usb1="38CF7CFA" w:usb2="00000016" w:usb3="00000000" w:csb0="00040001" w:csb1="00000000"/>
    <w:embedRegular r:id="rId2" w:fontKey="{5FAEFE29-488D-4994-BD4F-A4722F604C12}"/>
  </w:font>
  <w:font w:name="Courier New">
    <w:panose1 w:val="02070309020205020404"/>
    <w:charset w:val="01"/>
    <w:family w:val="modern"/>
    <w:pitch w:val="default"/>
    <w:sig w:usb0="E0002EFF" w:usb1="C0007843" w:usb2="00000009" w:usb3="00000000" w:csb0="400001FF" w:csb1="FFFF0000"/>
    <w:embedRegular r:id="rId3" w:fontKey="{531DB471-77AA-4708-BA1E-46A56E65B5B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92BB05AC-591A-44E0-BD34-B0E22833C10D}"/>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46A27282-A514-4C1C-A3AE-3CD236EF9FBE}"/>
  </w:font>
  <w:font w:name="方正小标宋简体">
    <w:panose1 w:val="02000000000000000000"/>
    <w:charset w:val="86"/>
    <w:family w:val="script"/>
    <w:pitch w:val="default"/>
    <w:sig w:usb0="00000001" w:usb1="08000000" w:usb2="00000000" w:usb3="00000000" w:csb0="00040000" w:csb1="00000000"/>
    <w:embedRegular r:id="rId6" w:fontKey="{822803A0-FAE3-4608-8D3F-0064A5E4AD0A}"/>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3E6E1F"/>
    <w:rsid w:val="01675739"/>
    <w:rsid w:val="016C0FA1"/>
    <w:rsid w:val="01762EB7"/>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025BED"/>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B9599A"/>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132C2E"/>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8D69FB"/>
    <w:rsid w:val="0EC31D58"/>
    <w:rsid w:val="0EC57F43"/>
    <w:rsid w:val="0EE04D7C"/>
    <w:rsid w:val="0EF645A0"/>
    <w:rsid w:val="0F317386"/>
    <w:rsid w:val="0F3E0E84"/>
    <w:rsid w:val="0F634CA4"/>
    <w:rsid w:val="0F783207"/>
    <w:rsid w:val="0F87344A"/>
    <w:rsid w:val="0FB87AA7"/>
    <w:rsid w:val="0FC1559D"/>
    <w:rsid w:val="0FEA718C"/>
    <w:rsid w:val="0FF30ADF"/>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3351FD"/>
    <w:rsid w:val="14694BBB"/>
    <w:rsid w:val="149F165C"/>
    <w:rsid w:val="14A44728"/>
    <w:rsid w:val="14D013EF"/>
    <w:rsid w:val="155713D3"/>
    <w:rsid w:val="15657D89"/>
    <w:rsid w:val="158E6E55"/>
    <w:rsid w:val="15CA3F93"/>
    <w:rsid w:val="15D942D4"/>
    <w:rsid w:val="162419F3"/>
    <w:rsid w:val="16302145"/>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6B3909"/>
    <w:rsid w:val="18B74DA0"/>
    <w:rsid w:val="18BC1320"/>
    <w:rsid w:val="18D12D79"/>
    <w:rsid w:val="18E65685"/>
    <w:rsid w:val="18FD1248"/>
    <w:rsid w:val="190F0738"/>
    <w:rsid w:val="19137AFC"/>
    <w:rsid w:val="191A70DD"/>
    <w:rsid w:val="196B16E7"/>
    <w:rsid w:val="19896649"/>
    <w:rsid w:val="199C7AF2"/>
    <w:rsid w:val="19D41982"/>
    <w:rsid w:val="19DD25E4"/>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42203C"/>
    <w:rsid w:val="1F664B33"/>
    <w:rsid w:val="1F784C8E"/>
    <w:rsid w:val="1F8D1E7C"/>
    <w:rsid w:val="1F91422D"/>
    <w:rsid w:val="200F54C2"/>
    <w:rsid w:val="20124FB2"/>
    <w:rsid w:val="201A79C2"/>
    <w:rsid w:val="208A67A9"/>
    <w:rsid w:val="20906EE2"/>
    <w:rsid w:val="20943C19"/>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7F6C45"/>
    <w:rsid w:val="25A20B86"/>
    <w:rsid w:val="25AF518B"/>
    <w:rsid w:val="25B20DC9"/>
    <w:rsid w:val="25BA5ED0"/>
    <w:rsid w:val="25DE2B2D"/>
    <w:rsid w:val="25E22D30"/>
    <w:rsid w:val="2640497E"/>
    <w:rsid w:val="26435EC5"/>
    <w:rsid w:val="26477185"/>
    <w:rsid w:val="266320C3"/>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983880"/>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5C4BC4"/>
    <w:rsid w:val="388B407E"/>
    <w:rsid w:val="388D4D7E"/>
    <w:rsid w:val="38995E18"/>
    <w:rsid w:val="38A00F55"/>
    <w:rsid w:val="38A42515"/>
    <w:rsid w:val="38A722E3"/>
    <w:rsid w:val="38C41821"/>
    <w:rsid w:val="38D1110E"/>
    <w:rsid w:val="38D44934"/>
    <w:rsid w:val="38E250CA"/>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5B141F"/>
    <w:rsid w:val="3AAA1C17"/>
    <w:rsid w:val="3ACD7C69"/>
    <w:rsid w:val="3AF630AE"/>
    <w:rsid w:val="3AF64E5C"/>
    <w:rsid w:val="3B130672"/>
    <w:rsid w:val="3B194FEF"/>
    <w:rsid w:val="3BC82C9D"/>
    <w:rsid w:val="3BDD601C"/>
    <w:rsid w:val="3BE6005B"/>
    <w:rsid w:val="3C08753D"/>
    <w:rsid w:val="3C243C4B"/>
    <w:rsid w:val="3C355E58"/>
    <w:rsid w:val="3C7544A7"/>
    <w:rsid w:val="3C9568F7"/>
    <w:rsid w:val="3C996A84"/>
    <w:rsid w:val="3CB1259C"/>
    <w:rsid w:val="3CDD0FC9"/>
    <w:rsid w:val="3D274A9D"/>
    <w:rsid w:val="3D522DF4"/>
    <w:rsid w:val="3D7824A0"/>
    <w:rsid w:val="3D905948"/>
    <w:rsid w:val="3D94624D"/>
    <w:rsid w:val="3DA94408"/>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0A78B3"/>
    <w:rsid w:val="41314E40"/>
    <w:rsid w:val="413E3084"/>
    <w:rsid w:val="4182744A"/>
    <w:rsid w:val="41AA4BF2"/>
    <w:rsid w:val="41C15A00"/>
    <w:rsid w:val="41F83BB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CF5928"/>
    <w:rsid w:val="44D37FBC"/>
    <w:rsid w:val="44DC651A"/>
    <w:rsid w:val="44ED2FD3"/>
    <w:rsid w:val="44FD45BD"/>
    <w:rsid w:val="45093048"/>
    <w:rsid w:val="4517269E"/>
    <w:rsid w:val="452B1BA6"/>
    <w:rsid w:val="45396A19"/>
    <w:rsid w:val="45497568"/>
    <w:rsid w:val="456652D4"/>
    <w:rsid w:val="45795008"/>
    <w:rsid w:val="45801D20"/>
    <w:rsid w:val="45B222C8"/>
    <w:rsid w:val="45C218AE"/>
    <w:rsid w:val="45E36925"/>
    <w:rsid w:val="45F66658"/>
    <w:rsid w:val="461E33FF"/>
    <w:rsid w:val="46BD0F24"/>
    <w:rsid w:val="46CF66C7"/>
    <w:rsid w:val="47013FF5"/>
    <w:rsid w:val="471F1BDF"/>
    <w:rsid w:val="472E740D"/>
    <w:rsid w:val="47631ACB"/>
    <w:rsid w:val="476D4C47"/>
    <w:rsid w:val="47794E4B"/>
    <w:rsid w:val="477E6905"/>
    <w:rsid w:val="47A520E4"/>
    <w:rsid w:val="47A73CBB"/>
    <w:rsid w:val="47BA4746"/>
    <w:rsid w:val="47E0136E"/>
    <w:rsid w:val="47F95BF5"/>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17C59"/>
    <w:rsid w:val="4B674E8A"/>
    <w:rsid w:val="4B6E4EE3"/>
    <w:rsid w:val="4B7D096D"/>
    <w:rsid w:val="4B867A5E"/>
    <w:rsid w:val="4B871B00"/>
    <w:rsid w:val="4BA34B8C"/>
    <w:rsid w:val="4BB00F6A"/>
    <w:rsid w:val="4BD94AC8"/>
    <w:rsid w:val="4BF462E9"/>
    <w:rsid w:val="4BF54CBC"/>
    <w:rsid w:val="4BFE6267"/>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704F42"/>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38161B"/>
    <w:rsid w:val="504F39B4"/>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D55168"/>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5335DA"/>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EE66E12"/>
    <w:rsid w:val="5F6655AA"/>
    <w:rsid w:val="5F8B1768"/>
    <w:rsid w:val="5F8F74AA"/>
    <w:rsid w:val="5FAF18FA"/>
    <w:rsid w:val="5FEF619A"/>
    <w:rsid w:val="601371F1"/>
    <w:rsid w:val="60671922"/>
    <w:rsid w:val="607C109C"/>
    <w:rsid w:val="60AC5E39"/>
    <w:rsid w:val="60DB5136"/>
    <w:rsid w:val="618E68BA"/>
    <w:rsid w:val="61B27B2C"/>
    <w:rsid w:val="61B9080E"/>
    <w:rsid w:val="61BC41C8"/>
    <w:rsid w:val="61DF087C"/>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5045E5"/>
    <w:rsid w:val="68633281"/>
    <w:rsid w:val="68664B20"/>
    <w:rsid w:val="68A838B0"/>
    <w:rsid w:val="68C760A4"/>
    <w:rsid w:val="68CF07BD"/>
    <w:rsid w:val="68E65C61"/>
    <w:rsid w:val="692E211D"/>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627CF4"/>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4EC2CAE"/>
    <w:rsid w:val="750D14EF"/>
    <w:rsid w:val="75153B55"/>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14CEB"/>
    <w:rsid w:val="780E4529"/>
    <w:rsid w:val="781E0018"/>
    <w:rsid w:val="782346D8"/>
    <w:rsid w:val="785C1A9B"/>
    <w:rsid w:val="78632E2A"/>
    <w:rsid w:val="7879089F"/>
    <w:rsid w:val="78A21BA4"/>
    <w:rsid w:val="78B1191D"/>
    <w:rsid w:val="78E23201"/>
    <w:rsid w:val="79037878"/>
    <w:rsid w:val="790F4D60"/>
    <w:rsid w:val="792425B9"/>
    <w:rsid w:val="79330B20"/>
    <w:rsid w:val="79554E68"/>
    <w:rsid w:val="79650C6A"/>
    <w:rsid w:val="79DA711C"/>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77DB7"/>
    <w:rsid w:val="7BDA78A7"/>
    <w:rsid w:val="7BF070CA"/>
    <w:rsid w:val="7C097C82"/>
    <w:rsid w:val="7C245553"/>
    <w:rsid w:val="7C4F7E84"/>
    <w:rsid w:val="7C5143D4"/>
    <w:rsid w:val="7C6B4D98"/>
    <w:rsid w:val="7C943EFA"/>
    <w:rsid w:val="7CA86399"/>
    <w:rsid w:val="7D405703"/>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0"/>
    <w:pPr>
      <w:spacing w:before="120" w:after="120" w:line="240" w:lineRule="auto"/>
      <w:jc w:val="center"/>
      <w:outlineLvl w:val="0"/>
    </w:pPr>
    <w:rPr>
      <w:kern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54"/>
    <w:qFormat/>
    <w:uiPriority w:val="0"/>
    <w:pPr>
      <w:spacing w:before="260" w:after="260" w:line="416" w:lineRule="auto"/>
      <w:outlineLvl w:val="2"/>
    </w:pPr>
    <w:rPr>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9"/>
    <w:qFormat/>
    <w:uiPriority w:val="9"/>
    <w:pPr>
      <w:keepNext/>
      <w:keepLines/>
      <w:spacing w:before="280" w:after="290" w:line="376" w:lineRule="auto"/>
      <w:outlineLvl w:val="4"/>
    </w:pPr>
    <w:rPr>
      <w:b/>
      <w:bCs/>
      <w:sz w:val="28"/>
      <w:szCs w:val="28"/>
    </w:rPr>
  </w:style>
  <w:style w:type="paragraph" w:styleId="7">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Calibri" w:hAnsi="Calibri"/>
      <w:sz w:val="18"/>
      <w:szCs w:val="18"/>
    </w:rPr>
  </w:style>
  <w:style w:type="paragraph" w:styleId="12">
    <w:name w:val="index 8"/>
    <w:basedOn w:val="1"/>
    <w:next w:val="1"/>
    <w:qFormat/>
    <w:uiPriority w:val="99"/>
    <w:pPr>
      <w:ind w:left="1400" w:leftChars="1400"/>
    </w:pPr>
  </w:style>
  <w:style w:type="paragraph" w:styleId="13">
    <w:name w:val="Normal Indent"/>
    <w:basedOn w:val="1"/>
    <w:next w:val="14"/>
    <w:link w:val="70"/>
    <w:autoRedefine/>
    <w:qFormat/>
    <w:uiPriority w:val="0"/>
    <w:pPr>
      <w:ind w:firstLine="420" w:firstLineChars="200"/>
    </w:pPr>
    <w:rPr>
      <w:kern w:val="0"/>
      <w:sz w:val="20"/>
    </w:rPr>
  </w:style>
  <w:style w:type="paragraph" w:styleId="14">
    <w:name w:val="Body Text"/>
    <w:basedOn w:val="1"/>
    <w:next w:val="1"/>
    <w:link w:val="72"/>
    <w:autoRedefine/>
    <w:qFormat/>
    <w:uiPriority w:val="0"/>
    <w:pPr>
      <w:spacing w:after="120"/>
    </w:pPr>
  </w:style>
  <w:style w:type="paragraph" w:styleId="15">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1"/>
    <w:qFormat/>
    <w:uiPriority w:val="0"/>
    <w:pPr>
      <w:shd w:val="clear" w:color="auto" w:fill="000080"/>
    </w:pPr>
  </w:style>
  <w:style w:type="paragraph" w:styleId="18">
    <w:name w:val="annotation text"/>
    <w:basedOn w:val="1"/>
    <w:link w:val="73"/>
    <w:autoRedefine/>
    <w:qFormat/>
    <w:uiPriority w:val="99"/>
    <w:pPr>
      <w:jc w:val="left"/>
    </w:pPr>
  </w:style>
  <w:style w:type="paragraph" w:styleId="19">
    <w:name w:val="Body Text 3"/>
    <w:basedOn w:val="1"/>
    <w:link w:val="200"/>
    <w:qFormat/>
    <w:uiPriority w:val="0"/>
    <w:pPr>
      <w:spacing w:after="120"/>
    </w:pPr>
    <w:rPr>
      <w:sz w:val="16"/>
      <w:szCs w:val="16"/>
    </w:rPr>
  </w:style>
  <w:style w:type="paragraph" w:styleId="20">
    <w:name w:val="Body Text Indent"/>
    <w:basedOn w:val="1"/>
    <w:link w:val="95"/>
    <w:qFormat/>
    <w:uiPriority w:val="0"/>
    <w:pPr>
      <w:spacing w:after="120"/>
      <w:ind w:left="420" w:leftChars="200"/>
    </w:pPr>
  </w:style>
  <w:style w:type="paragraph" w:styleId="21">
    <w:name w:val="toc 5"/>
    <w:basedOn w:val="1"/>
    <w:next w:val="1"/>
    <w:autoRedefine/>
    <w:unhideWhenUsed/>
    <w:qFormat/>
    <w:uiPriority w:val="0"/>
    <w:pPr>
      <w:ind w:left="840"/>
      <w:jc w:val="left"/>
    </w:pPr>
    <w:rPr>
      <w:rFonts w:ascii="Calibri" w:hAnsi="Calibri"/>
      <w:sz w:val="18"/>
      <w:szCs w:val="18"/>
    </w:rPr>
  </w:style>
  <w:style w:type="paragraph" w:styleId="22">
    <w:name w:val="toc 3"/>
    <w:basedOn w:val="1"/>
    <w:next w:val="1"/>
    <w:autoRedefine/>
    <w:unhideWhenUsed/>
    <w:qFormat/>
    <w:uiPriority w:val="39"/>
    <w:pPr>
      <w:ind w:left="420"/>
      <w:jc w:val="left"/>
    </w:pPr>
    <w:rPr>
      <w:rFonts w:ascii="Calibri" w:hAnsi="Calibri"/>
      <w:i/>
      <w:iCs/>
      <w:sz w:val="20"/>
      <w:szCs w:val="20"/>
    </w:rPr>
  </w:style>
  <w:style w:type="paragraph" w:styleId="23">
    <w:name w:val="Plain Text"/>
    <w:basedOn w:val="1"/>
    <w:link w:val="67"/>
    <w:autoRedefine/>
    <w:qFormat/>
    <w:uiPriority w:val="0"/>
    <w:rPr>
      <w:rFonts w:ascii="宋体" w:hAnsi="Courier New"/>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74"/>
    <w:semiHidden/>
    <w:qFormat/>
    <w:uiPriority w:val="0"/>
    <w:rPr>
      <w:b/>
      <w:bCs/>
    </w:rPr>
  </w:style>
  <w:style w:type="paragraph" w:styleId="42">
    <w:name w:val="Body Text First Indent"/>
    <w:basedOn w:val="14"/>
    <w:link w:val="240"/>
    <w:autoRedefine/>
    <w:qFormat/>
    <w:uiPriority w:val="0"/>
    <w:pPr>
      <w:ind w:firstLine="420" w:firstLineChars="100"/>
    </w:pPr>
    <w:rPr>
      <w:b/>
      <w:bCs/>
    </w:rPr>
  </w:style>
  <w:style w:type="paragraph" w:styleId="43">
    <w:name w:val="Body Text First Indent 2"/>
    <w:basedOn w:val="20"/>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2"/>
    <w:qFormat/>
    <w:uiPriority w:val="0"/>
    <w:rPr>
      <w:rFonts w:ascii="Arial" w:hAnsi="Arial" w:eastAsia="黑体" w:cs="Times New Roman"/>
      <w:kern w:val="44"/>
      <w:sz w:val="32"/>
      <w:szCs w:val="32"/>
    </w:rPr>
  </w:style>
  <w:style w:type="character" w:customStyle="1" w:styleId="53">
    <w:name w:val="标题 2 字符"/>
    <w:link w:val="3"/>
    <w:qFormat/>
    <w:uiPriority w:val="0"/>
    <w:rPr>
      <w:rFonts w:ascii="Arial" w:hAnsi="Arial" w:eastAsia="黑体" w:cs="Times New Roman"/>
      <w:b/>
      <w:bCs/>
      <w:sz w:val="32"/>
      <w:szCs w:val="32"/>
    </w:rPr>
  </w:style>
  <w:style w:type="character" w:customStyle="1" w:styleId="54">
    <w:name w:val="标题 3 字符"/>
    <w:link w:val="4"/>
    <w:autoRedefine/>
    <w:qFormat/>
    <w:uiPriority w:val="0"/>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3"/>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3"/>
    <w:autoRedefine/>
    <w:qFormat/>
    <w:uiPriority w:val="0"/>
    <w:rPr>
      <w:rFonts w:ascii="Times New Roman" w:hAnsi="Times New Roman" w:eastAsia="宋体" w:cs="Times New Roman"/>
      <w:szCs w:val="24"/>
    </w:rPr>
  </w:style>
  <w:style w:type="character" w:customStyle="1" w:styleId="71">
    <w:name w:val="文档结构图 字符"/>
    <w:link w:val="17"/>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4"/>
    <w:autoRedefine/>
    <w:qFormat/>
    <w:uiPriority w:val="0"/>
    <w:rPr>
      <w:rFonts w:ascii="Times New Roman" w:hAnsi="Times New Roman" w:eastAsia="宋体" w:cs="Times New Roman"/>
      <w:szCs w:val="24"/>
    </w:rPr>
  </w:style>
  <w:style w:type="character" w:customStyle="1" w:styleId="73">
    <w:name w:val="批注文字 字符"/>
    <w:link w:val="18"/>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8"/>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2"/>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3"/>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6"/>
    <w:autoRedefine/>
    <w:qFormat/>
    <w:uiPriority w:val="9"/>
    <w:rPr>
      <w:rFonts w:ascii="Times New Roman" w:hAnsi="Times New Roman" w:eastAsia="宋体" w:cs="Times New Roman"/>
      <w:b/>
      <w:bCs/>
      <w:sz w:val="28"/>
      <w:szCs w:val="28"/>
    </w:rPr>
  </w:style>
  <w:style w:type="character" w:customStyle="1" w:styleId="90">
    <w:name w:val="标题 6 字符"/>
    <w:link w:val="7"/>
    <w:autoRedefine/>
    <w:qFormat/>
    <w:uiPriority w:val="0"/>
    <w:rPr>
      <w:rFonts w:ascii="Cambria" w:hAnsi="Cambria" w:eastAsia="宋体" w:cs="Times New Roman"/>
      <w:b/>
      <w:bCs/>
      <w:sz w:val="24"/>
      <w:szCs w:val="24"/>
    </w:rPr>
  </w:style>
  <w:style w:type="character" w:customStyle="1" w:styleId="91">
    <w:name w:val="标题 7 字符"/>
    <w:link w:val="8"/>
    <w:autoRedefine/>
    <w:qFormat/>
    <w:uiPriority w:val="0"/>
    <w:rPr>
      <w:rFonts w:ascii="Times New Roman" w:hAnsi="Times New Roman" w:eastAsia="宋体" w:cs="Times New Roman"/>
      <w:b/>
      <w:bCs/>
      <w:sz w:val="24"/>
      <w:szCs w:val="24"/>
    </w:rPr>
  </w:style>
  <w:style w:type="character" w:customStyle="1" w:styleId="92">
    <w:name w:val="标题 8 字符"/>
    <w:link w:val="9"/>
    <w:autoRedefine/>
    <w:qFormat/>
    <w:uiPriority w:val="0"/>
    <w:rPr>
      <w:rFonts w:ascii="Arial" w:hAnsi="Arial" w:eastAsia="黑体" w:cs="Times New Roman"/>
      <w:sz w:val="24"/>
      <w:szCs w:val="24"/>
    </w:rPr>
  </w:style>
  <w:style w:type="character" w:customStyle="1" w:styleId="93">
    <w:name w:val="标题 9 字符"/>
    <w:link w:val="10"/>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0"/>
    <w:autoRedefine/>
    <w:qFormat/>
    <w:uiPriority w:val="0"/>
    <w:rPr>
      <w:rFonts w:ascii="Times New Roman" w:hAnsi="Times New Roman" w:eastAsia="宋体" w:cs="Times New Roman"/>
      <w:szCs w:val="24"/>
    </w:rPr>
  </w:style>
  <w:style w:type="paragraph" w:customStyle="1" w:styleId="96">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7"/>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3"/>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5"/>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3"/>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0"/>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5"/>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5"/>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19"/>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4"/>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0"/>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3"/>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5"/>
    <w:qFormat/>
    <w:uiPriority w:val="0"/>
    <w:pPr>
      <w:ind w:left="-132" w:leftChars="-64" w:right="-105" w:rightChars="-50" w:hanging="2"/>
      <w:jc w:val="center"/>
    </w:pPr>
    <w:rPr>
      <w:b/>
      <w:color w:val="FF0000"/>
      <w:szCs w:val="21"/>
      <w:lang w:val="en-GB"/>
    </w:rPr>
  </w:style>
  <w:style w:type="paragraph" w:customStyle="1" w:styleId="306">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13580</Words>
  <Characters>14267</Characters>
  <Lines>1</Lines>
  <Paragraphs>1</Paragraphs>
  <TotalTime>0</TotalTime>
  <ScaleCrop>false</ScaleCrop>
  <LinksUpToDate>false</LinksUpToDate>
  <CharactersWithSpaces>14571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油菜花-郑工</cp:lastModifiedBy>
  <cp:lastPrinted>2017-06-24T02:36:00Z</cp:lastPrinted>
  <dcterms:modified xsi:type="dcterms:W3CDTF">2025-04-23T03:07:29Z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D335A9221C5B4A93AE78C20B97D7BB46_13</vt:lpwstr>
  </property>
  <property fmtid="{D5CDD505-2E9C-101B-9397-08002B2CF9AE}" pid="4" name="KSOTemplateDocerSaveRecord">
    <vt:lpwstr>eyJoZGlkIjoiMjZkNWQ0ZjZjNTBiMWQ3YjViNDBiZGNkNjI3Y2M1ZWEiLCJ1c2VySWQiOiIxNTE4NzAwMTc2In0=</vt:lpwstr>
  </property>
</Properties>
</file>