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EA102">
      <w:pPr>
        <w:spacing w:line="480" w:lineRule="auto"/>
        <w:rPr>
          <w:rFonts w:ascii="华文中宋" w:hAnsi="华文中宋" w:eastAsia="华文中宋"/>
          <w:b/>
          <w:sz w:val="72"/>
        </w:rPr>
      </w:pPr>
    </w:p>
    <w:p w14:paraId="1A996527">
      <w:pPr>
        <w:spacing w:line="480" w:lineRule="auto"/>
        <w:rPr>
          <w:rFonts w:ascii="华文中宋" w:hAnsi="华文中宋" w:eastAsia="华文中宋"/>
          <w:b/>
          <w:color w:val="auto"/>
          <w:sz w:val="72"/>
        </w:rPr>
      </w:pPr>
    </w:p>
    <w:p w14:paraId="46754989">
      <w:pPr>
        <w:snapToGrid w:val="0"/>
        <w:spacing w:before="156" w:beforeLines="50"/>
        <w:jc w:val="center"/>
        <w:rPr>
          <w:rFonts w:ascii="黑体" w:hAnsi="华文中宋" w:eastAsia="黑体" w:cs="华文中宋"/>
          <w:b/>
          <w:bCs/>
          <w:color w:val="auto"/>
          <w:sz w:val="72"/>
          <w:szCs w:val="72"/>
        </w:rPr>
      </w:pPr>
      <w:r>
        <w:rPr>
          <w:rFonts w:hint="eastAsia" w:ascii="黑体" w:hAnsi="华文中宋" w:eastAsia="黑体" w:cs="华文中宋"/>
          <w:b/>
          <w:bCs/>
          <w:color w:val="auto"/>
          <w:sz w:val="72"/>
          <w:szCs w:val="72"/>
        </w:rPr>
        <w:t>服务</w:t>
      </w:r>
    </w:p>
    <w:p w14:paraId="5B4707D2">
      <w:pPr>
        <w:snapToGrid w:val="0"/>
        <w:spacing w:before="156" w:beforeLines="50"/>
        <w:jc w:val="center"/>
        <w:rPr>
          <w:rFonts w:ascii="仿宋_GB2312" w:eastAsia="仿宋_GB2312"/>
          <w:b/>
          <w:bCs/>
          <w:color w:val="auto"/>
          <w:sz w:val="72"/>
          <w:szCs w:val="72"/>
        </w:rPr>
      </w:pPr>
      <w:r>
        <w:rPr>
          <w:rFonts w:hint="eastAsia" w:ascii="黑体" w:hAnsi="华文中宋" w:eastAsia="黑体" w:cs="华文中宋"/>
          <w:b/>
          <w:bCs/>
          <w:color w:val="auto"/>
          <w:sz w:val="72"/>
          <w:szCs w:val="72"/>
        </w:rPr>
        <w:t>公开</w:t>
      </w:r>
      <w:r>
        <w:rPr>
          <w:rFonts w:hint="eastAsia" w:ascii="黑体" w:hAnsi="华文中宋" w:eastAsia="黑体" w:cs="华文中宋"/>
          <w:b/>
          <w:bCs/>
          <w:color w:val="auto"/>
          <w:sz w:val="72"/>
          <w:szCs w:val="72"/>
          <w:lang w:val="en-US" w:eastAsia="zh-CN"/>
        </w:rPr>
        <w:t>遴选</w:t>
      </w:r>
      <w:r>
        <w:rPr>
          <w:rFonts w:hint="eastAsia" w:ascii="黑体" w:hAnsi="华文中宋" w:eastAsia="黑体" w:cs="华文中宋"/>
          <w:b/>
          <w:bCs/>
          <w:color w:val="auto"/>
          <w:sz w:val="72"/>
          <w:szCs w:val="72"/>
        </w:rPr>
        <w:t>文件</w:t>
      </w:r>
    </w:p>
    <w:p w14:paraId="6FE23DF0">
      <w:pPr>
        <w:spacing w:line="360" w:lineRule="auto"/>
        <w:rPr>
          <w:rFonts w:ascii="宋体" w:hAnsi="宋体"/>
          <w:color w:val="auto"/>
          <w:sz w:val="24"/>
        </w:rPr>
      </w:pPr>
    </w:p>
    <w:p w14:paraId="2E1F73A2">
      <w:pPr>
        <w:pStyle w:val="17"/>
        <w:rPr>
          <w:rFonts w:ascii="宋体" w:hAnsi="宋体"/>
          <w:color w:val="auto"/>
          <w:sz w:val="24"/>
        </w:rPr>
      </w:pPr>
    </w:p>
    <w:p w14:paraId="7A516051">
      <w:pPr>
        <w:pStyle w:val="17"/>
        <w:rPr>
          <w:rFonts w:ascii="宋体" w:hAnsi="宋体"/>
          <w:color w:val="auto"/>
          <w:sz w:val="24"/>
        </w:rPr>
      </w:pPr>
    </w:p>
    <w:p w14:paraId="4BEC24E0">
      <w:pPr>
        <w:pStyle w:val="17"/>
        <w:rPr>
          <w:rFonts w:ascii="宋体" w:hAnsi="宋体"/>
          <w:color w:val="auto"/>
          <w:sz w:val="24"/>
        </w:rPr>
      </w:pPr>
    </w:p>
    <w:p w14:paraId="0AE1DDE0">
      <w:pPr>
        <w:pStyle w:val="17"/>
        <w:rPr>
          <w:rFonts w:ascii="宋体" w:hAnsi="宋体"/>
          <w:color w:val="auto"/>
          <w:sz w:val="24"/>
        </w:rPr>
      </w:pPr>
    </w:p>
    <w:p w14:paraId="76019B37">
      <w:pPr>
        <w:spacing w:line="360" w:lineRule="auto"/>
        <w:rPr>
          <w:rFonts w:ascii="宋体" w:hAnsi="宋体"/>
          <w:color w:val="auto"/>
          <w:sz w:val="24"/>
        </w:rPr>
      </w:pPr>
    </w:p>
    <w:p w14:paraId="1ED68A99">
      <w:pPr>
        <w:pStyle w:val="16"/>
        <w:spacing w:line="360" w:lineRule="auto"/>
        <w:ind w:firstLine="424" w:firstLineChars="132"/>
        <w:rPr>
          <w:rFonts w:hint="eastAsia" w:ascii="仿宋_GB2312" w:hAnsi="Times New Roman" w:eastAsia="仿宋_GB2312" w:cs="Times New Roman"/>
          <w:b/>
          <w:color w:val="auto"/>
          <w:sz w:val="32"/>
          <w:lang w:eastAsia="zh-CN"/>
        </w:rPr>
      </w:pPr>
      <w:r>
        <w:rPr>
          <w:rFonts w:hint="eastAsia" w:ascii="仿宋_GB2312" w:hAnsi="Times New Roman" w:eastAsia="仿宋_GB2312" w:cs="Times New Roman"/>
          <w:b/>
          <w:color w:val="auto"/>
          <w:sz w:val="32"/>
        </w:rPr>
        <w:t>项目编号：</w:t>
      </w:r>
      <w:r>
        <w:rPr>
          <w:rFonts w:hint="eastAsia" w:ascii="仿宋_GB2312" w:hAnsi="Times New Roman" w:eastAsia="仿宋_GB2312" w:cs="Times New Roman"/>
          <w:b/>
          <w:color w:val="auto"/>
          <w:sz w:val="32"/>
          <w:lang w:val="en-US" w:eastAsia="zh-CN"/>
        </w:rPr>
        <w:t>FTEY-202501-FW001</w:t>
      </w:r>
      <w:r>
        <w:rPr>
          <w:rFonts w:hint="eastAsia" w:ascii="仿宋_GB2312" w:hAnsi="Times New Roman" w:eastAsia="仿宋_GB2312" w:cs="Times New Roman"/>
          <w:b/>
          <w:color w:val="auto"/>
          <w:sz w:val="32"/>
        </w:rPr>
        <w:t xml:space="preserve"> </w:t>
      </w:r>
    </w:p>
    <w:p w14:paraId="0B57C097">
      <w:pPr>
        <w:pStyle w:val="16"/>
        <w:spacing w:line="360" w:lineRule="auto"/>
        <w:ind w:firstLine="424" w:firstLineChars="132"/>
        <w:rPr>
          <w:rFonts w:hint="default" w:ascii="仿宋_GB2312" w:eastAsia="仿宋_GB2312"/>
          <w:b/>
          <w:color w:val="auto"/>
          <w:sz w:val="32"/>
          <w:lang w:val="en-US" w:eastAsia="zh-CN"/>
        </w:rPr>
      </w:pPr>
      <w:r>
        <w:rPr>
          <w:rFonts w:hint="eastAsia" w:ascii="仿宋_GB2312" w:eastAsia="仿宋_GB2312"/>
          <w:b/>
          <w:color w:val="auto"/>
          <w:sz w:val="32"/>
        </w:rPr>
        <w:t>项目名称：</w:t>
      </w:r>
      <w:r>
        <w:rPr>
          <w:rFonts w:hint="eastAsia" w:ascii="仿宋_GB2312" w:eastAsia="仿宋_GB2312"/>
          <w:b/>
          <w:color w:val="auto"/>
          <w:sz w:val="32"/>
          <w:lang w:eastAsia="zh-CN"/>
        </w:rPr>
        <w:t>深圳市福田区第二人民医院医用耗材供应链精细化管理（SPD）服务</w:t>
      </w:r>
      <w:r>
        <w:rPr>
          <w:rFonts w:hint="eastAsia" w:ascii="仿宋_GB2312" w:eastAsia="仿宋_GB2312"/>
          <w:b/>
          <w:color w:val="auto"/>
          <w:sz w:val="32"/>
          <w:lang w:val="en-US" w:eastAsia="zh-CN"/>
        </w:rPr>
        <w:t>项目</w:t>
      </w:r>
    </w:p>
    <w:p w14:paraId="53565155">
      <w:pPr>
        <w:pStyle w:val="16"/>
        <w:spacing w:line="360" w:lineRule="auto"/>
        <w:rPr>
          <w:rFonts w:ascii="仿宋_GB2312" w:eastAsia="仿宋_GB2312"/>
          <w:b/>
          <w:color w:val="auto"/>
          <w:sz w:val="32"/>
        </w:rPr>
      </w:pPr>
    </w:p>
    <w:p w14:paraId="4A240ED3">
      <w:pPr>
        <w:snapToGrid w:val="0"/>
        <w:spacing w:line="360" w:lineRule="auto"/>
        <w:rPr>
          <w:rFonts w:ascii="仿宋_GB2312" w:eastAsia="仿宋_GB2312"/>
          <w:color w:val="auto"/>
          <w:sz w:val="32"/>
        </w:rPr>
      </w:pPr>
    </w:p>
    <w:p w14:paraId="75B6ACB3">
      <w:pPr>
        <w:spacing w:line="360" w:lineRule="auto"/>
        <w:rPr>
          <w:rFonts w:eastAsia="华文中宋"/>
          <w:sz w:val="30"/>
        </w:rPr>
      </w:pPr>
    </w:p>
    <w:p w14:paraId="72866686">
      <w:pPr>
        <w:spacing w:line="360" w:lineRule="auto"/>
        <w:jc w:val="both"/>
        <w:rPr>
          <w:rFonts w:ascii="宋体" w:hAnsi="宋体"/>
          <w:b/>
          <w:sz w:val="44"/>
          <w:szCs w:val="44"/>
        </w:rPr>
      </w:pPr>
      <w:r>
        <w:rPr>
          <w:rFonts w:ascii="宋体" w:hAnsi="宋体"/>
          <w:b/>
          <w:sz w:val="44"/>
          <w:szCs w:val="44"/>
        </w:rPr>
        <w:br w:type="page"/>
      </w:r>
    </w:p>
    <w:p w14:paraId="4E47FF13">
      <w:pPr>
        <w:jc w:val="center"/>
        <w:outlineLvl w:val="0"/>
        <w:rPr>
          <w:rFonts w:hint="eastAsia" w:ascii="宋体" w:hAnsi="宋体" w:eastAsia="宋体" w:cs="宋体"/>
          <w:b/>
          <w:bCs/>
          <w:color w:val="FF0000"/>
          <w:sz w:val="28"/>
          <w:szCs w:val="28"/>
          <w:highlight w:val="none"/>
          <w:lang w:val="en-US" w:eastAsia="zh-CN"/>
        </w:rPr>
      </w:pPr>
      <w:bookmarkStart w:id="0" w:name="_Toc17838"/>
      <w:bookmarkStart w:id="1" w:name="_Toc3689"/>
      <w:bookmarkStart w:id="2" w:name="_Toc20003"/>
      <w:r>
        <w:rPr>
          <w:rFonts w:hint="eastAsia" w:ascii="宋体" w:hAnsi="宋体" w:eastAsia="宋体" w:cs="宋体"/>
          <w:b/>
          <w:bCs/>
          <w:color w:val="FF0000"/>
          <w:kern w:val="44"/>
          <w:sz w:val="44"/>
          <w:szCs w:val="44"/>
          <w:highlight w:val="none"/>
          <w:lang w:eastAsia="zh-CN"/>
        </w:rPr>
        <w:t>特别</w:t>
      </w:r>
      <w:r>
        <w:rPr>
          <w:rFonts w:hint="eastAsia" w:ascii="宋体" w:hAnsi="宋体" w:eastAsia="宋体" w:cs="宋体"/>
          <w:b/>
          <w:bCs/>
          <w:color w:val="FF0000"/>
          <w:kern w:val="44"/>
          <w:sz w:val="44"/>
          <w:szCs w:val="44"/>
          <w:highlight w:val="none"/>
        </w:rPr>
        <w:t>警示条款</w:t>
      </w:r>
      <w:bookmarkEnd w:id="0"/>
      <w:bookmarkEnd w:id="1"/>
      <w:bookmarkEnd w:id="2"/>
    </w:p>
    <w:p w14:paraId="6BD7F2C5">
      <w:pPr>
        <w:keepNext w:val="0"/>
        <w:keepLines w:val="0"/>
        <w:pageBreakBefore w:val="0"/>
        <w:widowControl w:val="0"/>
        <w:kinsoku/>
        <w:wordWrap/>
        <w:overflowPunct/>
        <w:topLinePunct w:val="0"/>
        <w:autoSpaceDE/>
        <w:autoSpaceDN/>
        <w:bidi w:val="0"/>
        <w:adjustRightInd/>
        <w:snapToGrid/>
        <w:spacing w:after="313" w:afterLines="100" w:line="400" w:lineRule="exact"/>
        <w:ind w:firstLine="562" w:firstLineChars="200"/>
        <w:jc w:val="both"/>
        <w:textAlignment w:val="auto"/>
        <w:rPr>
          <w:rFonts w:hint="eastAsia" w:ascii="宋体" w:hAnsi="宋体" w:eastAsia="宋体" w:cs="宋体"/>
          <w:b/>
          <w:bCs/>
          <w:color w:val="FF0000"/>
          <w:sz w:val="28"/>
          <w:szCs w:val="28"/>
          <w:highlight w:val="none"/>
          <w:lang w:val="en-US" w:eastAsia="zh-CN"/>
        </w:rPr>
      </w:pPr>
      <w:r>
        <w:rPr>
          <w:rFonts w:hint="eastAsia" w:ascii="宋体" w:hAnsi="宋体" w:eastAsia="宋体" w:cs="宋体"/>
          <w:b/>
          <w:bCs/>
          <w:color w:val="FF0000"/>
          <w:sz w:val="28"/>
          <w:szCs w:val="28"/>
          <w:highlight w:val="none"/>
          <w:lang w:val="en-US" w:eastAsia="zh-CN"/>
        </w:rPr>
        <w:t>参与本项目</w:t>
      </w:r>
      <w:r>
        <w:rPr>
          <w:rFonts w:hint="eastAsia" w:ascii="宋体" w:hAnsi="宋体" w:cs="宋体"/>
          <w:b/>
          <w:bCs/>
          <w:color w:val="FF0000"/>
          <w:sz w:val="28"/>
          <w:szCs w:val="28"/>
          <w:highlight w:val="none"/>
          <w:lang w:val="en-US" w:eastAsia="zh-CN"/>
        </w:rPr>
        <w:t>遴选</w:t>
      </w:r>
      <w:r>
        <w:rPr>
          <w:rFonts w:hint="eastAsia" w:ascii="宋体" w:hAnsi="宋体" w:eastAsia="宋体" w:cs="宋体"/>
          <w:b/>
          <w:bCs/>
          <w:color w:val="FF0000"/>
          <w:sz w:val="28"/>
          <w:szCs w:val="28"/>
          <w:highlight w:val="none"/>
          <w:lang w:val="en-US" w:eastAsia="zh-CN"/>
        </w:rPr>
        <w:t>活动的供应商应认真阅读以下特别警示条款，不得存在以下所列禁止情形，一旦发现，将被处以记入供应商诚信档案、取消参与项目</w:t>
      </w:r>
      <w:r>
        <w:rPr>
          <w:rFonts w:hint="eastAsia" w:ascii="宋体" w:hAnsi="宋体" w:cs="宋体"/>
          <w:b/>
          <w:bCs/>
          <w:color w:val="FF0000"/>
          <w:sz w:val="28"/>
          <w:szCs w:val="28"/>
          <w:highlight w:val="none"/>
          <w:lang w:val="en-US" w:eastAsia="zh-CN"/>
        </w:rPr>
        <w:t>遴选</w:t>
      </w:r>
      <w:r>
        <w:rPr>
          <w:rFonts w:hint="eastAsia" w:ascii="宋体" w:hAnsi="宋体" w:eastAsia="宋体" w:cs="宋体"/>
          <w:b/>
          <w:bCs/>
          <w:color w:val="FF0000"/>
          <w:sz w:val="28"/>
          <w:szCs w:val="28"/>
          <w:highlight w:val="none"/>
          <w:lang w:val="en-US" w:eastAsia="zh-CN"/>
        </w:rPr>
        <w:t>资格等处罚；构成犯罪的，依法追究刑事责任。</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8200"/>
      </w:tblGrid>
      <w:tr w14:paraId="11D06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65" w:type="dxa"/>
            <w:noWrap w:val="0"/>
            <w:vAlign w:val="center"/>
          </w:tcPr>
          <w:p w14:paraId="6D5726F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b/>
                <w:bCs/>
                <w:color w:val="FF0000"/>
                <w:sz w:val="30"/>
                <w:szCs w:val="30"/>
                <w:highlight w:val="none"/>
                <w:lang w:val="en-US" w:eastAsia="zh-CN"/>
              </w:rPr>
              <w:t>序号</w:t>
            </w:r>
          </w:p>
        </w:tc>
        <w:tc>
          <w:tcPr>
            <w:tcW w:w="8200" w:type="dxa"/>
            <w:noWrap w:val="0"/>
            <w:vAlign w:val="center"/>
          </w:tcPr>
          <w:p w14:paraId="1E90D7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b/>
                <w:bCs/>
                <w:color w:val="FF0000"/>
                <w:sz w:val="30"/>
                <w:szCs w:val="30"/>
                <w:highlight w:val="none"/>
                <w:lang w:val="en-US" w:eastAsia="zh-CN"/>
              </w:rPr>
              <w:t>供应商参与</w:t>
            </w:r>
            <w:r>
              <w:rPr>
                <w:rFonts w:hint="eastAsia" w:ascii="宋体" w:hAnsi="宋体" w:cs="宋体"/>
                <w:b/>
                <w:bCs/>
                <w:color w:val="FF0000"/>
                <w:sz w:val="30"/>
                <w:szCs w:val="30"/>
                <w:highlight w:val="none"/>
                <w:lang w:val="en-US" w:eastAsia="zh-CN"/>
              </w:rPr>
              <w:t>遴选</w:t>
            </w:r>
            <w:r>
              <w:rPr>
                <w:rFonts w:hint="eastAsia" w:ascii="宋体" w:hAnsi="宋体" w:eastAsia="宋体" w:cs="宋体"/>
                <w:b/>
                <w:bCs/>
                <w:color w:val="FF0000"/>
                <w:sz w:val="30"/>
                <w:szCs w:val="30"/>
                <w:highlight w:val="none"/>
                <w:lang w:val="en-US" w:eastAsia="zh-CN"/>
              </w:rPr>
              <w:t>禁止情形</w:t>
            </w:r>
          </w:p>
        </w:tc>
      </w:tr>
      <w:tr w14:paraId="4DAFB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14:paraId="49C245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1</w:t>
            </w:r>
          </w:p>
        </w:tc>
        <w:tc>
          <w:tcPr>
            <w:tcW w:w="8200" w:type="dxa"/>
            <w:noWrap w:val="0"/>
            <w:vAlign w:val="center"/>
          </w:tcPr>
          <w:p w14:paraId="0025E20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与其他供应商的法定代表人、主要经营负责人、授权代表人、项目负责人、主要技术人员为</w:t>
            </w:r>
            <w:r>
              <w:rPr>
                <w:rFonts w:hint="eastAsia" w:ascii="宋体" w:hAnsi="宋体" w:eastAsia="宋体" w:cs="宋体"/>
                <w:b/>
                <w:bCs/>
                <w:color w:val="FF0000"/>
                <w:sz w:val="28"/>
                <w:szCs w:val="28"/>
                <w:highlight w:val="none"/>
                <w:lang w:val="en-US" w:eastAsia="zh-CN"/>
              </w:rPr>
              <w:t>同一人、属同一单位或者在同一单位缴纳社会保险</w:t>
            </w:r>
            <w:r>
              <w:rPr>
                <w:rFonts w:hint="eastAsia" w:ascii="宋体" w:hAnsi="宋体" w:eastAsia="宋体" w:cs="宋体"/>
                <w:color w:val="FF0000"/>
                <w:sz w:val="28"/>
                <w:szCs w:val="28"/>
                <w:highlight w:val="none"/>
                <w:lang w:val="en-US" w:eastAsia="zh-CN"/>
              </w:rPr>
              <w:t>。</w:t>
            </w:r>
          </w:p>
        </w:tc>
      </w:tr>
      <w:tr w14:paraId="03DED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noWrap w:val="0"/>
            <w:vAlign w:val="center"/>
          </w:tcPr>
          <w:p w14:paraId="621A64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2</w:t>
            </w:r>
          </w:p>
        </w:tc>
        <w:tc>
          <w:tcPr>
            <w:tcW w:w="8200" w:type="dxa"/>
            <w:noWrap w:val="0"/>
            <w:vAlign w:val="center"/>
          </w:tcPr>
          <w:p w14:paraId="1B184D4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参与本项目</w:t>
            </w:r>
            <w:r>
              <w:rPr>
                <w:rFonts w:hint="eastAsia" w:ascii="宋体" w:hAnsi="宋体" w:cs="宋体"/>
                <w:color w:val="FF0000"/>
                <w:sz w:val="28"/>
                <w:szCs w:val="28"/>
                <w:highlight w:val="none"/>
                <w:lang w:val="en-US" w:eastAsia="zh-CN"/>
              </w:rPr>
              <w:t>遴选</w:t>
            </w:r>
            <w:r>
              <w:rPr>
                <w:rFonts w:hint="eastAsia" w:ascii="宋体" w:hAnsi="宋体" w:eastAsia="宋体" w:cs="宋体"/>
                <w:color w:val="FF0000"/>
                <w:sz w:val="28"/>
                <w:szCs w:val="28"/>
                <w:highlight w:val="none"/>
                <w:lang w:val="en-US" w:eastAsia="zh-CN"/>
              </w:rPr>
              <w:t>活动时，与其他供应商存在单位负责人为</w:t>
            </w:r>
            <w:r>
              <w:rPr>
                <w:rFonts w:hint="eastAsia" w:ascii="宋体" w:hAnsi="宋体" w:eastAsia="宋体" w:cs="宋体"/>
                <w:b/>
                <w:bCs/>
                <w:color w:val="FF0000"/>
                <w:sz w:val="28"/>
                <w:szCs w:val="28"/>
                <w:highlight w:val="none"/>
                <w:lang w:val="en-US" w:eastAsia="zh-CN"/>
              </w:rPr>
              <w:t>同一人或直接控股、管理关系</w:t>
            </w:r>
            <w:r>
              <w:rPr>
                <w:rFonts w:hint="eastAsia" w:ascii="宋体" w:hAnsi="宋体" w:eastAsia="宋体" w:cs="宋体"/>
                <w:color w:val="FF0000"/>
                <w:sz w:val="28"/>
                <w:szCs w:val="28"/>
                <w:highlight w:val="none"/>
                <w:lang w:val="en-US" w:eastAsia="zh-CN"/>
              </w:rPr>
              <w:t>。</w:t>
            </w:r>
          </w:p>
        </w:tc>
      </w:tr>
      <w:tr w14:paraId="16F69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14:paraId="53F4B0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3</w:t>
            </w:r>
          </w:p>
        </w:tc>
        <w:tc>
          <w:tcPr>
            <w:tcW w:w="8200" w:type="dxa"/>
            <w:noWrap w:val="0"/>
            <w:vAlign w:val="center"/>
          </w:tcPr>
          <w:p w14:paraId="75A13CF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与其他供应商的</w:t>
            </w:r>
            <w:r>
              <w:rPr>
                <w:rFonts w:hint="eastAsia" w:ascii="宋体" w:hAnsi="宋体" w:cs="宋体"/>
                <w:color w:val="FF0000"/>
                <w:sz w:val="28"/>
                <w:szCs w:val="28"/>
                <w:highlight w:val="none"/>
                <w:lang w:val="en-US" w:eastAsia="zh-CN"/>
              </w:rPr>
              <w:t>遴选响应</w:t>
            </w:r>
            <w:r>
              <w:rPr>
                <w:rFonts w:hint="eastAsia" w:ascii="宋体" w:hAnsi="宋体" w:eastAsia="宋体" w:cs="宋体"/>
                <w:color w:val="FF0000"/>
                <w:sz w:val="28"/>
                <w:szCs w:val="28"/>
                <w:highlight w:val="none"/>
                <w:lang w:val="en-US" w:eastAsia="zh-CN"/>
              </w:rPr>
              <w:t>文件或部分</w:t>
            </w:r>
            <w:r>
              <w:rPr>
                <w:rFonts w:hint="eastAsia" w:ascii="宋体" w:hAnsi="宋体" w:cs="宋体"/>
                <w:color w:val="FF0000"/>
                <w:sz w:val="28"/>
                <w:szCs w:val="28"/>
                <w:highlight w:val="none"/>
                <w:lang w:val="en-US" w:eastAsia="zh-CN"/>
              </w:rPr>
              <w:t>遴选响应</w:t>
            </w:r>
            <w:r>
              <w:rPr>
                <w:rFonts w:hint="eastAsia" w:ascii="宋体" w:hAnsi="宋体" w:eastAsia="宋体" w:cs="宋体"/>
                <w:color w:val="FF0000"/>
                <w:sz w:val="28"/>
                <w:szCs w:val="28"/>
                <w:highlight w:val="none"/>
                <w:lang w:val="en-US" w:eastAsia="zh-CN"/>
              </w:rPr>
              <w:t>文件</w:t>
            </w:r>
            <w:r>
              <w:rPr>
                <w:rFonts w:hint="eastAsia" w:ascii="宋体" w:hAnsi="宋体" w:eastAsia="宋体" w:cs="宋体"/>
                <w:b/>
                <w:bCs/>
                <w:color w:val="FF0000"/>
                <w:sz w:val="28"/>
                <w:szCs w:val="28"/>
                <w:highlight w:val="none"/>
                <w:lang w:val="en-US" w:eastAsia="zh-CN"/>
              </w:rPr>
              <w:t>相互混装或存在非正常一致</w:t>
            </w:r>
            <w:r>
              <w:rPr>
                <w:rFonts w:hint="eastAsia" w:ascii="宋体" w:hAnsi="宋体" w:eastAsia="宋体" w:cs="宋体"/>
                <w:color w:val="FF0000"/>
                <w:sz w:val="28"/>
                <w:szCs w:val="28"/>
                <w:highlight w:val="none"/>
                <w:lang w:val="en-US" w:eastAsia="zh-CN"/>
              </w:rPr>
              <w:t>。</w:t>
            </w:r>
          </w:p>
        </w:tc>
      </w:tr>
      <w:tr w14:paraId="13D81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65" w:type="dxa"/>
            <w:noWrap w:val="0"/>
            <w:vAlign w:val="center"/>
          </w:tcPr>
          <w:p w14:paraId="26C153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FF0000"/>
                <w:sz w:val="28"/>
                <w:szCs w:val="28"/>
                <w:highlight w:val="none"/>
                <w:lang w:val="en-US" w:eastAsia="zh-CN"/>
              </w:rPr>
            </w:pPr>
            <w:r>
              <w:rPr>
                <w:rFonts w:hint="eastAsia" w:ascii="宋体" w:hAnsi="宋体" w:cs="宋体"/>
                <w:color w:val="FF0000"/>
                <w:sz w:val="28"/>
                <w:szCs w:val="28"/>
                <w:highlight w:val="none"/>
                <w:lang w:val="en-US" w:eastAsia="zh-CN"/>
              </w:rPr>
              <w:t>4</w:t>
            </w:r>
          </w:p>
        </w:tc>
        <w:tc>
          <w:tcPr>
            <w:tcW w:w="8200" w:type="dxa"/>
            <w:noWrap w:val="0"/>
            <w:vAlign w:val="center"/>
          </w:tcPr>
          <w:p w14:paraId="403AF6E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提供</w:t>
            </w:r>
            <w:r>
              <w:rPr>
                <w:rFonts w:hint="eastAsia" w:ascii="宋体" w:hAnsi="宋体" w:eastAsia="宋体" w:cs="宋体"/>
                <w:b/>
                <w:bCs/>
                <w:color w:val="FF0000"/>
                <w:sz w:val="28"/>
                <w:szCs w:val="28"/>
                <w:highlight w:val="none"/>
                <w:lang w:val="en-US" w:eastAsia="zh-CN"/>
              </w:rPr>
              <w:t>未经出具机构核实</w:t>
            </w:r>
            <w:r>
              <w:rPr>
                <w:rFonts w:hint="eastAsia" w:ascii="宋体" w:hAnsi="宋体" w:eastAsia="宋体" w:cs="宋体"/>
                <w:color w:val="FF0000"/>
                <w:sz w:val="28"/>
                <w:szCs w:val="28"/>
                <w:highlight w:val="none"/>
                <w:lang w:val="en-US" w:eastAsia="zh-CN"/>
              </w:rPr>
              <w:t>的虚假的检验检测报告、业绩材料、社保缴纳证明、学历学位证书、职称认证证书等材料。</w:t>
            </w:r>
          </w:p>
        </w:tc>
      </w:tr>
    </w:tbl>
    <w:p w14:paraId="179585CB">
      <w:pPr>
        <w:rPr>
          <w:rFonts w:asciiTheme="minorEastAsia" w:hAnsiTheme="minorEastAsia" w:cstheme="minorEastAsia"/>
          <w:szCs w:val="21"/>
        </w:rPr>
      </w:pPr>
    </w:p>
    <w:p w14:paraId="10E164FD">
      <w:pPr>
        <w:rPr>
          <w:rFonts w:hint="eastAsia" w:asciiTheme="minorEastAsia" w:hAnsiTheme="minorEastAsia" w:cstheme="minorEastAsia"/>
          <w:szCs w:val="21"/>
        </w:rPr>
      </w:pPr>
      <w:r>
        <w:rPr>
          <w:rFonts w:hint="eastAsia" w:asciiTheme="minorEastAsia" w:hAnsiTheme="minorEastAsia" w:cstheme="minorEastAsia"/>
          <w:szCs w:val="21"/>
        </w:rPr>
        <w:t xml:space="preserve"> </w:t>
      </w:r>
    </w:p>
    <w:p w14:paraId="538F311D">
      <w:pPr>
        <w:rPr>
          <w:rFonts w:hint="eastAsia" w:asciiTheme="minorEastAsia" w:hAnsiTheme="minorEastAsia" w:cstheme="minorEastAsia"/>
          <w:szCs w:val="21"/>
        </w:rPr>
      </w:pPr>
    </w:p>
    <w:p w14:paraId="1D12076D">
      <w:pPr>
        <w:rPr>
          <w:rFonts w:hint="eastAsia" w:asciiTheme="minorEastAsia" w:hAnsiTheme="minorEastAsia" w:cstheme="minorEastAsia"/>
          <w:szCs w:val="21"/>
        </w:rPr>
      </w:pPr>
    </w:p>
    <w:p w14:paraId="0592315D">
      <w:pPr>
        <w:rPr>
          <w:rFonts w:hint="eastAsia" w:asciiTheme="minorEastAsia" w:hAnsiTheme="minorEastAsia" w:cstheme="minorEastAsia"/>
          <w:szCs w:val="21"/>
        </w:rPr>
      </w:pPr>
    </w:p>
    <w:p w14:paraId="2277D1FB">
      <w:pPr>
        <w:rPr>
          <w:rFonts w:hint="eastAsia" w:asciiTheme="minorEastAsia" w:hAnsiTheme="minorEastAsia" w:cstheme="minorEastAsia"/>
          <w:szCs w:val="21"/>
        </w:rPr>
      </w:pPr>
    </w:p>
    <w:p w14:paraId="5A35ED88">
      <w:pPr>
        <w:rPr>
          <w:rFonts w:hint="eastAsia" w:asciiTheme="minorEastAsia" w:hAnsiTheme="minorEastAsia" w:cstheme="minorEastAsia"/>
          <w:szCs w:val="21"/>
        </w:rPr>
      </w:pPr>
    </w:p>
    <w:p w14:paraId="2FF3BF78">
      <w:pPr>
        <w:rPr>
          <w:rFonts w:hint="eastAsia" w:asciiTheme="minorEastAsia" w:hAnsiTheme="minorEastAsia" w:cstheme="minorEastAsia"/>
          <w:szCs w:val="21"/>
        </w:rPr>
      </w:pPr>
    </w:p>
    <w:p w14:paraId="135AA796">
      <w:pPr>
        <w:rPr>
          <w:rFonts w:hint="eastAsia" w:asciiTheme="minorEastAsia" w:hAnsiTheme="minorEastAsia" w:cstheme="minorEastAsia"/>
          <w:szCs w:val="21"/>
        </w:rPr>
      </w:pPr>
    </w:p>
    <w:p w14:paraId="189AF714">
      <w:pPr>
        <w:rPr>
          <w:rFonts w:hint="eastAsia" w:asciiTheme="minorEastAsia" w:hAnsiTheme="minorEastAsia" w:cstheme="minorEastAsia"/>
          <w:szCs w:val="21"/>
        </w:rPr>
      </w:pPr>
    </w:p>
    <w:p w14:paraId="01F3185B">
      <w:pPr>
        <w:rPr>
          <w:rFonts w:hint="eastAsia" w:asciiTheme="minorEastAsia" w:hAnsiTheme="minorEastAsia" w:cstheme="minorEastAsia"/>
          <w:szCs w:val="21"/>
        </w:rPr>
      </w:pPr>
    </w:p>
    <w:p w14:paraId="3AECDAA7">
      <w:pPr>
        <w:rPr>
          <w:rFonts w:hint="eastAsia" w:asciiTheme="minorEastAsia" w:hAnsiTheme="minorEastAsia" w:cstheme="minorEastAsia"/>
          <w:szCs w:val="21"/>
        </w:rPr>
      </w:pPr>
    </w:p>
    <w:p w14:paraId="0D29888F">
      <w:pPr>
        <w:keepNext/>
        <w:keepLines/>
        <w:jc w:val="both"/>
        <w:outlineLvl w:val="9"/>
        <w:rPr>
          <w:rFonts w:hint="eastAsia" w:ascii="宋体" w:hAnsi="宋体" w:eastAsia="宋体" w:cs="宋体"/>
          <w:b/>
          <w:bCs/>
          <w:color w:val="FF0000"/>
          <w:kern w:val="44"/>
          <w:sz w:val="44"/>
          <w:szCs w:val="44"/>
          <w:highlight w:val="none"/>
        </w:rPr>
      </w:pPr>
    </w:p>
    <w:p w14:paraId="0E26ACCF">
      <w:pPr>
        <w:keepNext/>
        <w:keepLines/>
        <w:jc w:val="both"/>
        <w:outlineLvl w:val="9"/>
        <w:rPr>
          <w:rFonts w:hint="eastAsia" w:ascii="宋体" w:hAnsi="宋体" w:eastAsia="宋体" w:cs="宋体"/>
          <w:b/>
          <w:bCs/>
          <w:color w:val="FF0000"/>
          <w:kern w:val="44"/>
          <w:sz w:val="44"/>
          <w:szCs w:val="44"/>
          <w:highlight w:val="none"/>
        </w:rPr>
      </w:pPr>
    </w:p>
    <w:p w14:paraId="47EFE977">
      <w:pPr>
        <w:ind w:firstLine="480" w:firstLineChars="200"/>
        <w:outlineLvl w:val="9"/>
        <w:rPr>
          <w:rFonts w:hint="eastAsia" w:ascii="宋体" w:hAnsi="宋体" w:eastAsia="宋体" w:cs="宋体"/>
          <w:color w:val="FF0000"/>
          <w:sz w:val="24"/>
          <w:highlight w:val="none"/>
        </w:rPr>
      </w:pPr>
    </w:p>
    <w:p w14:paraId="2C569DFF">
      <w:pPr>
        <w:jc w:val="center"/>
        <w:rPr>
          <w:rFonts w:hint="eastAsia" w:ascii="宋体" w:hAnsi="宋体" w:eastAsia="宋体" w:cs="宋体"/>
          <w:b/>
          <w:sz w:val="32"/>
          <w:szCs w:val="32"/>
          <w:highlight w:val="none"/>
        </w:rPr>
        <w:sectPr>
          <w:headerReference r:id="rId3" w:type="default"/>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480CE01">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温 馨 提 示</w:t>
      </w:r>
    </w:p>
    <w:p w14:paraId="0D27806F">
      <w:pPr>
        <w:spacing w:line="360" w:lineRule="auto"/>
        <w:rPr>
          <w:rFonts w:hint="eastAsia" w:ascii="宋体" w:hAnsi="宋体" w:eastAsia="宋体" w:cs="宋体"/>
          <w:szCs w:val="21"/>
          <w:highlight w:val="none"/>
        </w:rPr>
      </w:pPr>
    </w:p>
    <w:p w14:paraId="3621BD62">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如无另行说明，</w:t>
      </w:r>
      <w:r>
        <w:rPr>
          <w:rFonts w:hint="eastAsia" w:ascii="宋体" w:hAnsi="宋体" w:cs="宋体"/>
          <w:szCs w:val="21"/>
          <w:highlight w:val="none"/>
          <w:lang w:val="en-US" w:eastAsia="zh-CN"/>
        </w:rPr>
        <w:t>遴选响应</w:t>
      </w:r>
      <w:r>
        <w:rPr>
          <w:rFonts w:hint="eastAsia" w:ascii="宋体" w:hAnsi="宋体" w:eastAsia="宋体" w:cs="宋体"/>
          <w:szCs w:val="21"/>
          <w:highlight w:val="none"/>
        </w:rPr>
        <w:t>文件递交时间为</w:t>
      </w:r>
      <w:r>
        <w:rPr>
          <w:rFonts w:hint="eastAsia" w:ascii="宋体" w:hAnsi="宋体" w:cs="宋体"/>
          <w:b/>
          <w:bCs/>
          <w:szCs w:val="21"/>
          <w:highlight w:val="none"/>
          <w:u w:val="single"/>
          <w:lang w:val="en-US" w:eastAsia="zh-CN"/>
        </w:rPr>
        <w:t>遴选</w:t>
      </w:r>
      <w:r>
        <w:rPr>
          <w:rFonts w:hint="eastAsia" w:ascii="宋体" w:hAnsi="宋体" w:eastAsia="宋体" w:cs="宋体"/>
          <w:b/>
          <w:bCs/>
          <w:szCs w:val="21"/>
          <w:highlight w:val="none"/>
          <w:u w:val="single"/>
        </w:rPr>
        <w:t>截止</w:t>
      </w:r>
      <w:r>
        <w:rPr>
          <w:rFonts w:hint="eastAsia" w:ascii="宋体" w:hAnsi="宋体" w:eastAsia="宋体" w:cs="宋体"/>
          <w:b/>
          <w:szCs w:val="21"/>
          <w:highlight w:val="none"/>
          <w:u w:val="single"/>
        </w:rPr>
        <w:t>时间之前30分</w:t>
      </w:r>
      <w:r>
        <w:rPr>
          <w:rFonts w:hint="eastAsia" w:ascii="宋体" w:hAnsi="宋体" w:eastAsia="宋体" w:cs="宋体"/>
          <w:b/>
          <w:bCs w:val="0"/>
          <w:szCs w:val="21"/>
          <w:highlight w:val="none"/>
          <w:u w:val="single"/>
        </w:rPr>
        <w:t>钟内</w:t>
      </w:r>
      <w:r>
        <w:rPr>
          <w:rFonts w:hint="eastAsia" w:ascii="宋体" w:hAnsi="宋体" w:eastAsia="宋体" w:cs="宋体"/>
          <w:szCs w:val="21"/>
          <w:highlight w:val="none"/>
        </w:rPr>
        <w:t>。</w:t>
      </w:r>
    </w:p>
    <w:p w14:paraId="3DBA86A7">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为避免因迟到而失去</w:t>
      </w:r>
      <w:r>
        <w:rPr>
          <w:rFonts w:hint="eastAsia" w:ascii="宋体" w:hAnsi="宋体" w:cs="宋体"/>
          <w:szCs w:val="21"/>
          <w:highlight w:val="none"/>
          <w:lang w:val="en-US" w:eastAsia="zh-CN"/>
        </w:rPr>
        <w:t>遴选</w:t>
      </w:r>
      <w:r>
        <w:rPr>
          <w:rFonts w:hint="eastAsia" w:ascii="宋体" w:hAnsi="宋体" w:eastAsia="宋体" w:cs="宋体"/>
          <w:szCs w:val="21"/>
          <w:highlight w:val="none"/>
        </w:rPr>
        <w:t>资格，请</w:t>
      </w:r>
      <w:r>
        <w:rPr>
          <w:rFonts w:hint="eastAsia" w:ascii="宋体" w:hAnsi="宋体" w:eastAsia="宋体" w:cs="宋体"/>
          <w:b/>
          <w:szCs w:val="21"/>
          <w:highlight w:val="none"/>
          <w:u w:val="single"/>
        </w:rPr>
        <w:t>适当提前到达</w:t>
      </w:r>
      <w:r>
        <w:rPr>
          <w:rFonts w:hint="eastAsia" w:ascii="宋体" w:hAnsi="宋体" w:eastAsia="宋体" w:cs="宋体"/>
          <w:szCs w:val="21"/>
          <w:highlight w:val="none"/>
        </w:rPr>
        <w:t>。</w:t>
      </w:r>
    </w:p>
    <w:p w14:paraId="462579F1">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cs="宋体"/>
          <w:szCs w:val="21"/>
          <w:highlight w:val="none"/>
          <w:lang w:val="en-US" w:eastAsia="zh-CN"/>
        </w:rPr>
        <w:t>遴选响应</w:t>
      </w:r>
      <w:r>
        <w:rPr>
          <w:rFonts w:hint="eastAsia" w:ascii="宋体" w:hAnsi="宋体" w:eastAsia="宋体" w:cs="宋体"/>
          <w:szCs w:val="21"/>
          <w:highlight w:val="none"/>
        </w:rPr>
        <w:t>文件</w:t>
      </w:r>
      <w:r>
        <w:rPr>
          <w:rFonts w:hint="eastAsia" w:ascii="宋体" w:hAnsi="宋体" w:eastAsia="宋体" w:cs="宋体"/>
          <w:b/>
          <w:bCs/>
          <w:szCs w:val="21"/>
          <w:highlight w:val="none"/>
          <w:u w:val="single"/>
        </w:rPr>
        <w:t>应</w:t>
      </w:r>
      <w:r>
        <w:rPr>
          <w:rFonts w:hint="eastAsia" w:ascii="宋体" w:hAnsi="宋体" w:eastAsia="宋体" w:cs="宋体"/>
          <w:b/>
          <w:bCs/>
          <w:szCs w:val="21"/>
          <w:highlight w:val="none"/>
          <w:u w:val="single"/>
          <w:lang w:val="en-US" w:eastAsia="zh-CN"/>
        </w:rPr>
        <w:t>有目录并</w:t>
      </w:r>
      <w:r>
        <w:rPr>
          <w:rFonts w:hint="eastAsia" w:ascii="宋体" w:hAnsi="宋体" w:eastAsia="宋体" w:cs="宋体"/>
          <w:b/>
          <w:bCs/>
          <w:szCs w:val="21"/>
          <w:highlight w:val="none"/>
          <w:u w:val="single"/>
        </w:rPr>
        <w:t>按顺序编</w:t>
      </w:r>
      <w:r>
        <w:rPr>
          <w:rFonts w:hint="eastAsia" w:ascii="宋体" w:hAnsi="宋体" w:eastAsia="宋体" w:cs="宋体"/>
          <w:b/>
          <w:szCs w:val="21"/>
          <w:highlight w:val="none"/>
          <w:u w:val="single"/>
        </w:rPr>
        <w:t>制页码</w:t>
      </w:r>
      <w:r>
        <w:rPr>
          <w:rFonts w:hint="eastAsia" w:ascii="宋体" w:hAnsi="宋体" w:eastAsia="宋体" w:cs="宋体"/>
          <w:szCs w:val="21"/>
          <w:highlight w:val="none"/>
        </w:rPr>
        <w:t>。</w:t>
      </w:r>
    </w:p>
    <w:p w14:paraId="14FE4251">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请仔细检查</w:t>
      </w:r>
      <w:r>
        <w:rPr>
          <w:rFonts w:hint="eastAsia" w:ascii="宋体" w:hAnsi="宋体" w:cs="宋体"/>
          <w:szCs w:val="21"/>
          <w:highlight w:val="none"/>
          <w:lang w:val="en-US" w:eastAsia="zh-CN"/>
        </w:rPr>
        <w:t>遴选响应</w:t>
      </w:r>
      <w:r>
        <w:rPr>
          <w:rFonts w:hint="eastAsia" w:ascii="宋体" w:hAnsi="宋体" w:eastAsia="宋体" w:cs="宋体"/>
          <w:szCs w:val="21"/>
          <w:highlight w:val="none"/>
        </w:rPr>
        <w:t>文件是否已按</w:t>
      </w:r>
      <w:r>
        <w:rPr>
          <w:rFonts w:hint="eastAsia" w:ascii="宋体" w:hAnsi="宋体" w:cs="宋体"/>
          <w:szCs w:val="21"/>
          <w:highlight w:val="none"/>
          <w:lang w:val="en-US" w:eastAsia="zh-CN"/>
        </w:rPr>
        <w:t>遴选</w:t>
      </w:r>
      <w:r>
        <w:rPr>
          <w:rFonts w:hint="eastAsia" w:ascii="宋体" w:hAnsi="宋体" w:eastAsia="宋体" w:cs="宋体"/>
          <w:szCs w:val="21"/>
          <w:highlight w:val="none"/>
        </w:rPr>
        <w:t>文件要求</w:t>
      </w:r>
      <w:r>
        <w:rPr>
          <w:rFonts w:hint="eastAsia" w:ascii="宋体" w:hAnsi="宋体" w:eastAsia="宋体" w:cs="宋体"/>
          <w:b/>
          <w:szCs w:val="21"/>
          <w:highlight w:val="none"/>
          <w:u w:val="single"/>
        </w:rPr>
        <w:t>盖章、签名及密封</w:t>
      </w:r>
      <w:r>
        <w:rPr>
          <w:rFonts w:hint="eastAsia" w:ascii="宋体" w:hAnsi="宋体" w:eastAsia="宋体" w:cs="宋体"/>
          <w:szCs w:val="21"/>
          <w:highlight w:val="none"/>
        </w:rPr>
        <w:t>。</w:t>
      </w:r>
    </w:p>
    <w:p w14:paraId="0F349339">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请正确填写《</w:t>
      </w:r>
      <w:r>
        <w:rPr>
          <w:rFonts w:hint="eastAsia" w:ascii="宋体" w:hAnsi="宋体" w:cs="宋体"/>
          <w:szCs w:val="21"/>
          <w:highlight w:val="none"/>
          <w:lang w:val="en-US" w:eastAsia="zh-CN"/>
        </w:rPr>
        <w:t>报价表</w:t>
      </w:r>
      <w:r>
        <w:rPr>
          <w:rFonts w:hint="eastAsia" w:ascii="宋体" w:hAnsi="宋体" w:eastAsia="宋体" w:cs="宋体"/>
          <w:szCs w:val="21"/>
          <w:highlight w:val="none"/>
        </w:rPr>
        <w:t>》，封装在单独的信封当中</w:t>
      </w:r>
      <w:r>
        <w:rPr>
          <w:rFonts w:hint="eastAsia" w:ascii="宋体" w:hAnsi="宋体" w:eastAsia="宋体" w:cs="宋体"/>
          <w:szCs w:val="21"/>
          <w:highlight w:val="none"/>
          <w:lang w:eastAsia="zh-CN"/>
        </w:rPr>
        <w:t>，</w:t>
      </w:r>
      <w:r>
        <w:rPr>
          <w:rFonts w:hint="eastAsia" w:ascii="宋体" w:hAnsi="宋体" w:eastAsia="宋体" w:cs="宋体"/>
          <w:b/>
          <w:szCs w:val="21"/>
          <w:highlight w:val="none"/>
          <w:u w:val="single"/>
        </w:rPr>
        <w:t>多包项目请每包单独封装</w:t>
      </w:r>
      <w:r>
        <w:rPr>
          <w:rFonts w:hint="eastAsia" w:ascii="宋体" w:hAnsi="宋体" w:eastAsia="宋体" w:cs="宋体"/>
          <w:szCs w:val="21"/>
          <w:highlight w:val="none"/>
        </w:rPr>
        <w:t>，并请仔细检查包号，包号与包名称必须对应。</w:t>
      </w:r>
    </w:p>
    <w:p w14:paraId="58F21969">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所投包号内有多项设备或报价内容的，</w:t>
      </w:r>
      <w:r>
        <w:rPr>
          <w:rFonts w:hint="eastAsia" w:ascii="宋体" w:hAnsi="宋体" w:eastAsia="宋体" w:cs="宋体"/>
          <w:b/>
          <w:szCs w:val="21"/>
          <w:highlight w:val="none"/>
          <w:u w:val="single"/>
        </w:rPr>
        <w:t>应加总后报总价</w:t>
      </w:r>
      <w:r>
        <w:rPr>
          <w:rFonts w:hint="eastAsia" w:ascii="宋体" w:hAnsi="宋体" w:eastAsia="宋体" w:cs="宋体"/>
          <w:szCs w:val="21"/>
          <w:highlight w:val="none"/>
        </w:rPr>
        <w:t>。</w:t>
      </w:r>
    </w:p>
    <w:p w14:paraId="63565041">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如</w:t>
      </w:r>
      <w:r>
        <w:rPr>
          <w:rFonts w:hint="eastAsia" w:ascii="宋体" w:hAnsi="宋体" w:cs="宋体"/>
          <w:szCs w:val="21"/>
          <w:highlight w:val="none"/>
          <w:lang w:val="en-US" w:eastAsia="zh-CN"/>
        </w:rPr>
        <w:t>遴选响应方</w:t>
      </w:r>
      <w:r>
        <w:rPr>
          <w:rFonts w:hint="eastAsia" w:ascii="宋体" w:hAnsi="宋体" w:eastAsia="宋体" w:cs="宋体"/>
          <w:szCs w:val="21"/>
          <w:highlight w:val="none"/>
        </w:rPr>
        <w:t>以非独立法人注册的分公司名义代表总公司盖章和签署文件的，须提供总公司的营业执照副本复印件及总公司针对本项目</w:t>
      </w:r>
      <w:r>
        <w:rPr>
          <w:rFonts w:hint="eastAsia" w:ascii="宋体" w:hAnsi="宋体" w:cs="宋体"/>
          <w:szCs w:val="21"/>
          <w:highlight w:val="none"/>
          <w:lang w:val="en-US" w:eastAsia="zh-CN"/>
        </w:rPr>
        <w:t>遴选</w:t>
      </w:r>
      <w:r>
        <w:rPr>
          <w:rFonts w:hint="eastAsia" w:ascii="宋体" w:hAnsi="宋体" w:eastAsia="宋体" w:cs="宋体"/>
          <w:szCs w:val="21"/>
          <w:highlight w:val="none"/>
        </w:rPr>
        <w:t>的授权书原件。</w:t>
      </w:r>
    </w:p>
    <w:p w14:paraId="2FC136FF">
      <w:pPr>
        <w:tabs>
          <w:tab w:val="left" w:pos="851"/>
        </w:tabs>
        <w:spacing w:line="360" w:lineRule="auto"/>
        <w:ind w:left="850" w:hanging="850" w:hangingChars="405"/>
        <w:rPr>
          <w:rFonts w:hint="eastAsia" w:ascii="宋体" w:hAnsi="宋体" w:eastAsia="宋体" w:cs="宋体"/>
          <w:szCs w:val="21"/>
          <w:highlight w:val="none"/>
        </w:rPr>
      </w:pPr>
      <w:r>
        <w:rPr>
          <w:rFonts w:hint="eastAsia" w:ascii="宋体" w:hAnsi="宋体" w:eastAsia="宋体" w:cs="宋体"/>
          <w:szCs w:val="21"/>
          <w:highlight w:val="none"/>
        </w:rPr>
        <w:tab/>
      </w:r>
      <w:r>
        <w:rPr>
          <w:rFonts w:hint="eastAsia" w:ascii="宋体" w:hAnsi="宋体" w:eastAsia="宋体" w:cs="宋体"/>
          <w:szCs w:val="21"/>
          <w:highlight w:val="none"/>
        </w:rPr>
        <w:t>（以上提示内容仅一般项提醒，如与实际</w:t>
      </w:r>
      <w:r>
        <w:rPr>
          <w:rFonts w:hint="eastAsia" w:ascii="宋体" w:hAnsi="宋体" w:cs="宋体"/>
          <w:szCs w:val="21"/>
          <w:highlight w:val="none"/>
          <w:lang w:val="en-US" w:eastAsia="zh-CN"/>
        </w:rPr>
        <w:t>遴选</w:t>
      </w:r>
      <w:r>
        <w:rPr>
          <w:rFonts w:hint="eastAsia" w:ascii="宋体" w:hAnsi="宋体" w:eastAsia="宋体" w:cs="宋体"/>
          <w:szCs w:val="21"/>
          <w:highlight w:val="none"/>
        </w:rPr>
        <w:t>项目要求有不一致，以</w:t>
      </w:r>
      <w:r>
        <w:rPr>
          <w:rFonts w:hint="eastAsia" w:ascii="宋体" w:hAnsi="宋体" w:cs="宋体"/>
          <w:szCs w:val="21"/>
          <w:highlight w:val="none"/>
          <w:lang w:val="en-US" w:eastAsia="zh-CN"/>
        </w:rPr>
        <w:t>遴选</w:t>
      </w:r>
      <w:r>
        <w:rPr>
          <w:rFonts w:hint="eastAsia" w:ascii="宋体" w:hAnsi="宋体" w:eastAsia="宋体" w:cs="宋体"/>
          <w:szCs w:val="21"/>
          <w:highlight w:val="none"/>
        </w:rPr>
        <w:t>文件为准）</w:t>
      </w:r>
    </w:p>
    <w:p w14:paraId="62E1E79B">
      <w:pPr>
        <w:pStyle w:val="16"/>
      </w:pPr>
    </w:p>
    <w:p w14:paraId="5B1022A4">
      <w:pPr>
        <w:pStyle w:val="17"/>
      </w:pPr>
    </w:p>
    <w:p w14:paraId="383F3FBF">
      <w:pPr>
        <w:pStyle w:val="17"/>
      </w:pPr>
    </w:p>
    <w:p w14:paraId="3FF3C62A">
      <w:pPr>
        <w:pStyle w:val="17"/>
      </w:pPr>
    </w:p>
    <w:p w14:paraId="0E004EA9">
      <w:pPr>
        <w:pStyle w:val="17"/>
      </w:pPr>
    </w:p>
    <w:p w14:paraId="60855F14">
      <w:pPr>
        <w:pStyle w:val="17"/>
      </w:pPr>
    </w:p>
    <w:p w14:paraId="38975103">
      <w:pPr>
        <w:pStyle w:val="17"/>
      </w:pPr>
    </w:p>
    <w:p w14:paraId="49936E00">
      <w:pPr>
        <w:pStyle w:val="17"/>
      </w:pPr>
    </w:p>
    <w:p w14:paraId="2B598F7A">
      <w:pPr>
        <w:pStyle w:val="17"/>
      </w:pPr>
    </w:p>
    <w:p w14:paraId="76803B52">
      <w:pPr>
        <w:pStyle w:val="17"/>
      </w:pPr>
    </w:p>
    <w:p w14:paraId="7D8148F9">
      <w:pPr>
        <w:pStyle w:val="17"/>
      </w:pPr>
    </w:p>
    <w:p w14:paraId="760DC58F">
      <w:pPr>
        <w:pStyle w:val="17"/>
      </w:pPr>
    </w:p>
    <w:p w14:paraId="42BCB3CB">
      <w:pPr>
        <w:pStyle w:val="17"/>
      </w:pPr>
    </w:p>
    <w:p w14:paraId="33224B50">
      <w:pPr>
        <w:pStyle w:val="17"/>
      </w:pPr>
    </w:p>
    <w:p w14:paraId="092A8A45">
      <w:pPr>
        <w:pStyle w:val="17"/>
      </w:pPr>
    </w:p>
    <w:p w14:paraId="3AB162D0">
      <w:pPr>
        <w:pStyle w:val="17"/>
      </w:pPr>
    </w:p>
    <w:p w14:paraId="4713C2F5">
      <w:pPr>
        <w:pStyle w:val="17"/>
      </w:pPr>
    </w:p>
    <w:p w14:paraId="22275436">
      <w:pPr>
        <w:spacing w:line="360" w:lineRule="auto"/>
        <w:jc w:val="center"/>
        <w:rPr>
          <w:rFonts w:ascii="宋体" w:hAnsi="宋体"/>
          <w:b/>
          <w:sz w:val="44"/>
          <w:szCs w:val="44"/>
        </w:rPr>
      </w:pPr>
      <w:r>
        <w:rPr>
          <w:rFonts w:hint="eastAsia" w:ascii="宋体" w:hAnsi="宋体"/>
          <w:b/>
          <w:sz w:val="44"/>
          <w:szCs w:val="44"/>
        </w:rPr>
        <w:t>目   录</w:t>
      </w:r>
    </w:p>
    <w:sdt>
      <w:sdtPr>
        <w:rPr>
          <w:rFonts w:ascii="宋体" w:hAnsi="宋体" w:eastAsia="宋体" w:cs="Times New Roman"/>
          <w:kern w:val="2"/>
          <w:sz w:val="21"/>
          <w:szCs w:val="24"/>
          <w:lang w:val="en-US" w:eastAsia="zh-CN" w:bidi="ar-SA"/>
        </w:rPr>
        <w:id w:val="147475146"/>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14:paraId="69EBDAA4">
          <w:pPr>
            <w:spacing w:before="0" w:beforeLines="0" w:after="0" w:afterLines="0" w:line="240" w:lineRule="auto"/>
            <w:ind w:left="0" w:leftChars="0" w:right="0" w:rightChars="0" w:firstLine="0" w:firstLineChars="0"/>
            <w:jc w:val="center"/>
          </w:pPr>
        </w:p>
        <w:p w14:paraId="7CB09E6D">
          <w:pPr>
            <w:pStyle w:val="28"/>
            <w:tabs>
              <w:tab w:val="right" w:leader="dot" w:pos="9180"/>
            </w:tabs>
          </w:pPr>
          <w:r>
            <w:fldChar w:fldCharType="begin"/>
          </w:r>
          <w:r>
            <w:instrText xml:space="preserve">TOC \o "1-2" \h \u </w:instrText>
          </w:r>
          <w:r>
            <w:fldChar w:fldCharType="separate"/>
          </w:r>
          <w:r>
            <w:fldChar w:fldCharType="begin"/>
          </w:r>
          <w:r>
            <w:instrText xml:space="preserve"> HYPERLINK \l _Toc17838 </w:instrText>
          </w:r>
          <w:r>
            <w:fldChar w:fldCharType="separate"/>
          </w:r>
          <w:r>
            <w:rPr>
              <w:rFonts w:hint="eastAsia" w:ascii="宋体" w:hAnsi="宋体" w:eastAsia="宋体" w:cs="宋体"/>
              <w:bCs/>
              <w:kern w:val="44"/>
              <w:szCs w:val="44"/>
              <w:highlight w:val="none"/>
              <w:lang w:eastAsia="zh-CN"/>
            </w:rPr>
            <w:t>特别</w:t>
          </w:r>
          <w:r>
            <w:rPr>
              <w:rFonts w:hint="eastAsia" w:ascii="宋体" w:hAnsi="宋体" w:eastAsia="宋体" w:cs="宋体"/>
              <w:bCs/>
              <w:kern w:val="44"/>
              <w:szCs w:val="44"/>
              <w:highlight w:val="none"/>
            </w:rPr>
            <w:t>警示条款</w:t>
          </w:r>
          <w:r>
            <w:tab/>
          </w:r>
          <w:r>
            <w:fldChar w:fldCharType="begin"/>
          </w:r>
          <w:r>
            <w:instrText xml:space="preserve"> PAGEREF _Toc17838 \h </w:instrText>
          </w:r>
          <w:r>
            <w:fldChar w:fldCharType="separate"/>
          </w:r>
          <w:r>
            <w:t>2</w:t>
          </w:r>
          <w:r>
            <w:fldChar w:fldCharType="end"/>
          </w:r>
          <w:r>
            <w:fldChar w:fldCharType="end"/>
          </w:r>
        </w:p>
        <w:p w14:paraId="3243AD3C">
          <w:pPr>
            <w:pStyle w:val="28"/>
            <w:tabs>
              <w:tab w:val="right" w:leader="dot" w:pos="9180"/>
            </w:tabs>
          </w:pPr>
          <w:r>
            <w:fldChar w:fldCharType="begin"/>
          </w:r>
          <w:r>
            <w:instrText xml:space="preserve"> HYPERLINK \l _Toc11020 </w:instrText>
          </w:r>
          <w:r>
            <w:fldChar w:fldCharType="separate"/>
          </w:r>
          <w:r>
            <w:rPr>
              <w:rFonts w:hint="eastAsia" w:asciiTheme="majorEastAsia" w:hAnsiTheme="majorEastAsia" w:eastAsiaTheme="majorEastAsia" w:cstheme="majorEastAsia"/>
              <w:szCs w:val="32"/>
              <w:highlight w:val="none"/>
            </w:rPr>
            <w:t xml:space="preserve">第一章 </w:t>
          </w:r>
          <w:r>
            <w:rPr>
              <w:rFonts w:hint="eastAsia" w:asciiTheme="majorEastAsia" w:hAnsiTheme="majorEastAsia" w:eastAsiaTheme="majorEastAsia" w:cstheme="majorEastAsia"/>
              <w:szCs w:val="32"/>
              <w:highlight w:val="none"/>
              <w:lang w:val="en-US" w:eastAsia="zh-CN"/>
            </w:rPr>
            <w:t>遴选</w:t>
          </w:r>
          <w:r>
            <w:rPr>
              <w:rFonts w:hint="eastAsia" w:asciiTheme="majorEastAsia" w:hAnsiTheme="majorEastAsia" w:eastAsiaTheme="majorEastAsia" w:cstheme="majorEastAsia"/>
              <w:szCs w:val="32"/>
              <w:highlight w:val="none"/>
            </w:rPr>
            <w:t>邀请</w:t>
          </w:r>
          <w:r>
            <w:tab/>
          </w:r>
          <w:r>
            <w:fldChar w:fldCharType="begin"/>
          </w:r>
          <w:r>
            <w:instrText xml:space="preserve"> PAGEREF _Toc11020 \h </w:instrText>
          </w:r>
          <w:r>
            <w:fldChar w:fldCharType="separate"/>
          </w:r>
          <w:r>
            <w:t>6</w:t>
          </w:r>
          <w:r>
            <w:fldChar w:fldCharType="end"/>
          </w:r>
          <w:r>
            <w:fldChar w:fldCharType="end"/>
          </w:r>
        </w:p>
        <w:p w14:paraId="111885ED">
          <w:pPr>
            <w:pStyle w:val="28"/>
            <w:tabs>
              <w:tab w:val="right" w:leader="dot" w:pos="9180"/>
            </w:tabs>
          </w:pPr>
          <w:r>
            <w:fldChar w:fldCharType="begin"/>
          </w:r>
          <w:r>
            <w:instrText xml:space="preserve"> HYPERLINK \l _Toc348 </w:instrText>
          </w:r>
          <w:r>
            <w:fldChar w:fldCharType="separate"/>
          </w:r>
          <w:r>
            <w:rPr>
              <w:rFonts w:hint="eastAsia" w:asciiTheme="majorEastAsia" w:hAnsiTheme="majorEastAsia" w:eastAsiaTheme="majorEastAsia" w:cstheme="majorEastAsia"/>
              <w:szCs w:val="32"/>
            </w:rPr>
            <w:t>第</w:t>
          </w:r>
          <w:r>
            <w:rPr>
              <w:rFonts w:hint="eastAsia" w:asciiTheme="majorEastAsia" w:hAnsiTheme="majorEastAsia" w:eastAsiaTheme="majorEastAsia" w:cstheme="majorEastAsia"/>
              <w:szCs w:val="32"/>
              <w:lang w:val="en-US" w:eastAsia="zh-CN"/>
            </w:rPr>
            <w:t>三</w:t>
          </w:r>
          <w:r>
            <w:rPr>
              <w:rFonts w:hint="eastAsia" w:asciiTheme="majorEastAsia" w:hAnsiTheme="majorEastAsia" w:eastAsiaTheme="majorEastAsia" w:cstheme="majorEastAsia"/>
              <w:szCs w:val="32"/>
            </w:rPr>
            <w:t>章 用户需求书</w:t>
          </w:r>
          <w:r>
            <w:tab/>
          </w:r>
          <w:r>
            <w:fldChar w:fldCharType="begin"/>
          </w:r>
          <w:r>
            <w:instrText xml:space="preserve"> PAGEREF _Toc348 \h </w:instrText>
          </w:r>
          <w:r>
            <w:fldChar w:fldCharType="separate"/>
          </w:r>
          <w:r>
            <w:t>9</w:t>
          </w:r>
          <w:r>
            <w:fldChar w:fldCharType="end"/>
          </w:r>
          <w:r>
            <w:fldChar w:fldCharType="end"/>
          </w:r>
        </w:p>
        <w:p w14:paraId="01C007EF">
          <w:pPr>
            <w:pStyle w:val="28"/>
            <w:tabs>
              <w:tab w:val="right" w:leader="dot" w:pos="9180"/>
            </w:tabs>
          </w:pPr>
          <w:r>
            <w:fldChar w:fldCharType="begin"/>
          </w:r>
          <w:r>
            <w:instrText xml:space="preserve"> HYPERLINK \l _Toc30304 </w:instrText>
          </w:r>
          <w:r>
            <w:fldChar w:fldCharType="separate"/>
          </w:r>
          <w:r>
            <w:rPr>
              <w:rFonts w:hint="eastAsia" w:cs="Times New Roman" w:asciiTheme="majorEastAsia" w:hAnsiTheme="majorEastAsia" w:eastAsiaTheme="majorEastAsia"/>
              <w:bCs/>
              <w:kern w:val="2"/>
              <w:szCs w:val="32"/>
              <w:lang w:val="en-US" w:eastAsia="zh-CN" w:bidi="ar-SA"/>
            </w:rPr>
            <w:t>第四章 遴选事宜</w:t>
          </w:r>
          <w:r>
            <w:tab/>
          </w:r>
          <w:r>
            <w:fldChar w:fldCharType="begin"/>
          </w:r>
          <w:r>
            <w:instrText xml:space="preserve"> PAGEREF _Toc30304 \h </w:instrText>
          </w:r>
          <w:r>
            <w:fldChar w:fldCharType="separate"/>
          </w:r>
          <w:r>
            <w:t>18</w:t>
          </w:r>
          <w:r>
            <w:fldChar w:fldCharType="end"/>
          </w:r>
          <w:r>
            <w:fldChar w:fldCharType="end"/>
          </w:r>
        </w:p>
        <w:p w14:paraId="5A7AFAFC">
          <w:pPr>
            <w:pStyle w:val="32"/>
            <w:tabs>
              <w:tab w:val="right" w:leader="dot" w:pos="9180"/>
            </w:tabs>
          </w:pPr>
          <w:r>
            <w:fldChar w:fldCharType="begin"/>
          </w:r>
          <w:r>
            <w:instrText xml:space="preserve"> HYPERLINK \l _Toc19942 </w:instrText>
          </w:r>
          <w:r>
            <w:fldChar w:fldCharType="separate"/>
          </w:r>
          <w:r>
            <w:rPr>
              <w:rFonts w:hint="eastAsia" w:asciiTheme="majorEastAsia" w:hAnsiTheme="majorEastAsia" w:eastAsiaTheme="majorEastAsia"/>
              <w:szCs w:val="30"/>
            </w:rPr>
            <w:t>（一） 资格性审查表</w:t>
          </w:r>
          <w:r>
            <w:tab/>
          </w:r>
          <w:r>
            <w:fldChar w:fldCharType="begin"/>
          </w:r>
          <w:r>
            <w:instrText xml:space="preserve"> PAGEREF _Toc19942 \h </w:instrText>
          </w:r>
          <w:r>
            <w:fldChar w:fldCharType="separate"/>
          </w:r>
          <w:r>
            <w:t>18</w:t>
          </w:r>
          <w:r>
            <w:fldChar w:fldCharType="end"/>
          </w:r>
          <w:r>
            <w:fldChar w:fldCharType="end"/>
          </w:r>
        </w:p>
        <w:p w14:paraId="5895A565">
          <w:pPr>
            <w:pStyle w:val="32"/>
            <w:tabs>
              <w:tab w:val="right" w:leader="dot" w:pos="9180"/>
            </w:tabs>
          </w:pPr>
          <w:r>
            <w:fldChar w:fldCharType="begin"/>
          </w:r>
          <w:r>
            <w:instrText xml:space="preserve"> HYPERLINK \l _Toc2128 </w:instrText>
          </w:r>
          <w:r>
            <w:fldChar w:fldCharType="separate"/>
          </w:r>
          <w:r>
            <w:rPr>
              <w:rFonts w:hint="eastAsia" w:asciiTheme="majorEastAsia" w:hAnsiTheme="majorEastAsia" w:eastAsiaTheme="majorEastAsia"/>
              <w:szCs w:val="30"/>
            </w:rPr>
            <w:t>（二） 符合性审查表</w:t>
          </w:r>
          <w:r>
            <w:tab/>
          </w:r>
          <w:r>
            <w:fldChar w:fldCharType="begin"/>
          </w:r>
          <w:r>
            <w:instrText xml:space="preserve"> PAGEREF _Toc2128 \h </w:instrText>
          </w:r>
          <w:r>
            <w:fldChar w:fldCharType="separate"/>
          </w:r>
          <w:r>
            <w:t>18</w:t>
          </w:r>
          <w:r>
            <w:fldChar w:fldCharType="end"/>
          </w:r>
          <w:r>
            <w:fldChar w:fldCharType="end"/>
          </w:r>
        </w:p>
        <w:p w14:paraId="4692802F">
          <w:pPr>
            <w:pStyle w:val="32"/>
            <w:tabs>
              <w:tab w:val="right" w:leader="dot" w:pos="9180"/>
            </w:tabs>
          </w:pPr>
          <w:r>
            <w:fldChar w:fldCharType="begin"/>
          </w:r>
          <w:r>
            <w:instrText xml:space="preserve"> HYPERLINK \l _Toc10257 </w:instrText>
          </w:r>
          <w:r>
            <w:fldChar w:fldCharType="separate"/>
          </w:r>
          <w:r>
            <w:rPr>
              <w:rFonts w:hint="eastAsia" w:ascii="黑体" w:hAnsi="宋体" w:cs="宋体"/>
              <w:szCs w:val="28"/>
            </w:rPr>
            <w:t xml:space="preserve">（三） </w:t>
          </w:r>
          <w:r>
            <w:rPr>
              <w:rFonts w:hint="eastAsia" w:asciiTheme="majorEastAsia" w:hAnsiTheme="majorEastAsia" w:eastAsiaTheme="majorEastAsia"/>
              <w:szCs w:val="30"/>
            </w:rPr>
            <w:t>综合评分表</w:t>
          </w:r>
          <w:r>
            <w:tab/>
          </w:r>
          <w:r>
            <w:fldChar w:fldCharType="begin"/>
          </w:r>
          <w:r>
            <w:instrText xml:space="preserve"> PAGEREF _Toc10257 \h </w:instrText>
          </w:r>
          <w:r>
            <w:fldChar w:fldCharType="separate"/>
          </w:r>
          <w:r>
            <w:t>19</w:t>
          </w:r>
          <w:r>
            <w:fldChar w:fldCharType="end"/>
          </w:r>
          <w:r>
            <w:fldChar w:fldCharType="end"/>
          </w:r>
        </w:p>
        <w:p w14:paraId="2F3F848F">
          <w:pPr>
            <w:pStyle w:val="32"/>
            <w:tabs>
              <w:tab w:val="right" w:leader="dot" w:pos="9180"/>
            </w:tabs>
          </w:pPr>
          <w:r>
            <w:fldChar w:fldCharType="begin"/>
          </w:r>
          <w:r>
            <w:instrText xml:space="preserve"> HYPERLINK \l _Toc26118 </w:instrText>
          </w:r>
          <w:r>
            <w:fldChar w:fldCharType="separate"/>
          </w:r>
          <w:r>
            <w:rPr>
              <w:rFonts w:hint="eastAsia" w:asciiTheme="majorEastAsia" w:hAnsiTheme="majorEastAsia" w:eastAsiaTheme="majorEastAsia"/>
              <w:szCs w:val="30"/>
            </w:rPr>
            <w:t xml:space="preserve">（四） </w:t>
          </w:r>
          <w:r>
            <w:rPr>
              <w:rFonts w:hint="eastAsia" w:asciiTheme="majorEastAsia" w:hAnsiTheme="majorEastAsia" w:eastAsiaTheme="majorEastAsia"/>
              <w:szCs w:val="30"/>
              <w:lang w:val="en-US" w:eastAsia="zh-CN"/>
            </w:rPr>
            <w:t>遴选与评审</w:t>
          </w:r>
          <w:r>
            <w:tab/>
          </w:r>
          <w:r>
            <w:fldChar w:fldCharType="begin"/>
          </w:r>
          <w:r>
            <w:instrText xml:space="preserve"> PAGEREF _Toc26118 \h </w:instrText>
          </w:r>
          <w:r>
            <w:fldChar w:fldCharType="separate"/>
          </w:r>
          <w:r>
            <w:t>22</w:t>
          </w:r>
          <w:r>
            <w:fldChar w:fldCharType="end"/>
          </w:r>
          <w:r>
            <w:fldChar w:fldCharType="end"/>
          </w:r>
        </w:p>
        <w:p w14:paraId="62D5275B">
          <w:pPr>
            <w:pStyle w:val="28"/>
            <w:tabs>
              <w:tab w:val="right" w:leader="dot" w:pos="9180"/>
            </w:tabs>
          </w:pPr>
          <w:r>
            <w:fldChar w:fldCharType="begin"/>
          </w:r>
          <w:r>
            <w:instrText xml:space="preserve"> HYPERLINK \l _Toc30185 </w:instrText>
          </w:r>
          <w:r>
            <w:fldChar w:fldCharType="separate"/>
          </w:r>
          <w:r>
            <w:rPr>
              <w:rFonts w:hint="eastAsia" w:asciiTheme="majorEastAsia" w:hAnsiTheme="majorEastAsia" w:eastAsiaTheme="majorEastAsia" w:cstheme="majorEastAsia"/>
              <w:szCs w:val="32"/>
            </w:rPr>
            <w:t>第</w:t>
          </w:r>
          <w:r>
            <w:rPr>
              <w:rFonts w:hint="eastAsia" w:asciiTheme="majorEastAsia" w:hAnsiTheme="majorEastAsia" w:eastAsiaTheme="majorEastAsia" w:cstheme="majorEastAsia"/>
              <w:szCs w:val="32"/>
              <w:lang w:val="en-US" w:eastAsia="zh-CN"/>
            </w:rPr>
            <w:t>五</w:t>
          </w:r>
          <w:r>
            <w:rPr>
              <w:rFonts w:hint="eastAsia" w:asciiTheme="majorEastAsia" w:hAnsiTheme="majorEastAsia" w:eastAsiaTheme="majorEastAsia" w:cstheme="majorEastAsia"/>
              <w:szCs w:val="32"/>
            </w:rPr>
            <w:t xml:space="preserve">章 </w:t>
          </w:r>
          <w:r>
            <w:rPr>
              <w:rFonts w:hint="eastAsia" w:asciiTheme="majorEastAsia" w:hAnsiTheme="majorEastAsia" w:eastAsiaTheme="majorEastAsia" w:cstheme="majorEastAsia"/>
              <w:szCs w:val="32"/>
              <w:lang w:val="en-US" w:eastAsia="zh-CN"/>
            </w:rPr>
            <w:t>遴选响应文件</w:t>
          </w:r>
          <w:r>
            <w:rPr>
              <w:rFonts w:hint="eastAsia" w:asciiTheme="majorEastAsia" w:hAnsiTheme="majorEastAsia" w:eastAsiaTheme="majorEastAsia" w:cstheme="majorEastAsia"/>
              <w:szCs w:val="32"/>
            </w:rPr>
            <w:t>格式</w:t>
          </w:r>
          <w:r>
            <w:tab/>
          </w:r>
          <w:r>
            <w:fldChar w:fldCharType="begin"/>
          </w:r>
          <w:r>
            <w:instrText xml:space="preserve"> PAGEREF _Toc30185 \h </w:instrText>
          </w:r>
          <w:r>
            <w:fldChar w:fldCharType="separate"/>
          </w:r>
          <w:r>
            <w:t>26</w:t>
          </w:r>
          <w:r>
            <w:fldChar w:fldCharType="end"/>
          </w:r>
          <w:r>
            <w:fldChar w:fldCharType="end"/>
          </w:r>
        </w:p>
        <w:p w14:paraId="1E962865">
          <w:pPr>
            <w:pStyle w:val="32"/>
            <w:tabs>
              <w:tab w:val="right" w:leader="dot" w:pos="9180"/>
            </w:tabs>
          </w:pPr>
          <w:r>
            <w:fldChar w:fldCharType="begin"/>
          </w:r>
          <w:r>
            <w:instrText xml:space="preserve"> HYPERLINK \l _Toc17575 </w:instrText>
          </w:r>
          <w:r>
            <w:fldChar w:fldCharType="separate"/>
          </w:r>
          <w:r>
            <w:rPr>
              <w:rFonts w:hint="eastAsia" w:cs="Times New Roman" w:asciiTheme="majorEastAsia" w:hAnsiTheme="majorEastAsia" w:eastAsiaTheme="majorEastAsia"/>
              <w:bCs/>
              <w:kern w:val="2"/>
              <w:szCs w:val="30"/>
              <w:lang w:val="en-US" w:eastAsia="zh-CN" w:bidi="ar-SA"/>
            </w:rPr>
            <w:t>遴选响应文件</w:t>
          </w:r>
          <w:r>
            <w:rPr>
              <w:rFonts w:hint="eastAsia" w:asciiTheme="majorEastAsia" w:hAnsiTheme="majorEastAsia" w:eastAsiaTheme="majorEastAsia"/>
              <w:szCs w:val="30"/>
            </w:rPr>
            <w:t>包装封面参考</w:t>
          </w:r>
          <w:r>
            <w:tab/>
          </w:r>
          <w:r>
            <w:fldChar w:fldCharType="begin"/>
          </w:r>
          <w:r>
            <w:instrText xml:space="preserve"> PAGEREF _Toc17575 \h </w:instrText>
          </w:r>
          <w:r>
            <w:fldChar w:fldCharType="separate"/>
          </w:r>
          <w:r>
            <w:t>26</w:t>
          </w:r>
          <w:r>
            <w:fldChar w:fldCharType="end"/>
          </w:r>
          <w:r>
            <w:fldChar w:fldCharType="end"/>
          </w:r>
        </w:p>
        <w:p w14:paraId="13FF234E">
          <w:pPr>
            <w:pStyle w:val="32"/>
            <w:tabs>
              <w:tab w:val="right" w:leader="dot" w:pos="9180"/>
            </w:tabs>
          </w:pPr>
          <w:r>
            <w:fldChar w:fldCharType="begin"/>
          </w:r>
          <w:r>
            <w:instrText xml:space="preserve"> HYPERLINK \l _Toc2603 </w:instrText>
          </w:r>
          <w:r>
            <w:fldChar w:fldCharType="separate"/>
          </w:r>
          <w:r>
            <w:rPr>
              <w:rFonts w:hint="eastAsia" w:cs="Times New Roman" w:asciiTheme="majorEastAsia" w:hAnsiTheme="majorEastAsia" w:eastAsiaTheme="majorEastAsia"/>
              <w:bCs/>
              <w:kern w:val="2"/>
              <w:szCs w:val="30"/>
              <w:lang w:val="en-US" w:eastAsia="zh-CN" w:bidi="ar-SA"/>
            </w:rPr>
            <w:t>（一）资格性自查表</w:t>
          </w:r>
          <w:r>
            <w:tab/>
          </w:r>
          <w:r>
            <w:fldChar w:fldCharType="begin"/>
          </w:r>
          <w:r>
            <w:instrText xml:space="preserve"> PAGEREF _Toc2603 \h </w:instrText>
          </w:r>
          <w:r>
            <w:fldChar w:fldCharType="separate"/>
          </w:r>
          <w:r>
            <w:t>27</w:t>
          </w:r>
          <w:r>
            <w:fldChar w:fldCharType="end"/>
          </w:r>
          <w:r>
            <w:fldChar w:fldCharType="end"/>
          </w:r>
        </w:p>
        <w:p w14:paraId="14CBF7D4">
          <w:pPr>
            <w:pStyle w:val="32"/>
            <w:tabs>
              <w:tab w:val="right" w:leader="dot" w:pos="9180"/>
            </w:tabs>
          </w:pPr>
          <w:r>
            <w:fldChar w:fldCharType="begin"/>
          </w:r>
          <w:r>
            <w:instrText xml:space="preserve"> HYPERLINK \l _Toc23960 </w:instrText>
          </w:r>
          <w:r>
            <w:fldChar w:fldCharType="separate"/>
          </w:r>
          <w:r>
            <w:rPr>
              <w:rFonts w:hint="eastAsia" w:cs="Times New Roman" w:asciiTheme="majorEastAsia" w:hAnsiTheme="majorEastAsia" w:eastAsiaTheme="majorEastAsia"/>
              <w:bCs/>
              <w:kern w:val="2"/>
              <w:szCs w:val="30"/>
              <w:lang w:val="en-US" w:eastAsia="zh-CN" w:bidi="ar-SA"/>
            </w:rPr>
            <w:t>（二）符合性自查表</w:t>
          </w:r>
          <w:r>
            <w:tab/>
          </w:r>
          <w:r>
            <w:fldChar w:fldCharType="begin"/>
          </w:r>
          <w:r>
            <w:instrText xml:space="preserve"> PAGEREF _Toc23960 \h </w:instrText>
          </w:r>
          <w:r>
            <w:fldChar w:fldCharType="separate"/>
          </w:r>
          <w:r>
            <w:t>27</w:t>
          </w:r>
          <w:r>
            <w:fldChar w:fldCharType="end"/>
          </w:r>
          <w:r>
            <w:fldChar w:fldCharType="end"/>
          </w:r>
        </w:p>
        <w:p w14:paraId="1F84E5B5">
          <w:pPr>
            <w:pStyle w:val="32"/>
            <w:tabs>
              <w:tab w:val="right" w:leader="dot" w:pos="9180"/>
            </w:tabs>
          </w:pPr>
          <w:r>
            <w:fldChar w:fldCharType="begin"/>
          </w:r>
          <w:r>
            <w:instrText xml:space="preserve"> HYPERLINK \l _Toc3027 </w:instrText>
          </w:r>
          <w:r>
            <w:fldChar w:fldCharType="separate"/>
          </w:r>
          <w:r>
            <w:rPr>
              <w:rFonts w:hint="eastAsia" w:cs="Times New Roman" w:asciiTheme="majorEastAsia" w:hAnsiTheme="majorEastAsia" w:eastAsiaTheme="majorEastAsia"/>
              <w:bCs/>
              <w:kern w:val="2"/>
              <w:szCs w:val="30"/>
              <w:lang w:val="en-US" w:eastAsia="zh-CN" w:bidi="ar-SA"/>
            </w:rPr>
            <w:t>（三）警示情形自查确认表</w:t>
          </w:r>
          <w:r>
            <w:tab/>
          </w:r>
          <w:r>
            <w:fldChar w:fldCharType="begin"/>
          </w:r>
          <w:r>
            <w:instrText xml:space="preserve"> PAGEREF _Toc3027 \h </w:instrText>
          </w:r>
          <w:r>
            <w:fldChar w:fldCharType="separate"/>
          </w:r>
          <w:r>
            <w:t>28</w:t>
          </w:r>
          <w:r>
            <w:fldChar w:fldCharType="end"/>
          </w:r>
          <w:r>
            <w:fldChar w:fldCharType="end"/>
          </w:r>
        </w:p>
        <w:p w14:paraId="652FDBD5">
          <w:pPr>
            <w:pStyle w:val="32"/>
            <w:tabs>
              <w:tab w:val="right" w:leader="dot" w:pos="9180"/>
            </w:tabs>
          </w:pPr>
          <w:r>
            <w:fldChar w:fldCharType="begin"/>
          </w:r>
          <w:r>
            <w:instrText xml:space="preserve"> HYPERLINK \l _Toc2638 </w:instrText>
          </w:r>
          <w:r>
            <w:fldChar w:fldCharType="separate"/>
          </w:r>
          <w:r>
            <w:rPr>
              <w:rFonts w:hint="eastAsia" w:cs="Times New Roman" w:asciiTheme="majorEastAsia" w:hAnsiTheme="majorEastAsia" w:eastAsiaTheme="majorEastAsia"/>
              <w:bCs/>
              <w:kern w:val="2"/>
              <w:szCs w:val="30"/>
              <w:lang w:val="en-US" w:eastAsia="zh-CN" w:bidi="ar-SA"/>
            </w:rPr>
            <w:t>（四）</w:t>
          </w:r>
          <w:r>
            <w:rPr>
              <w:rFonts w:hint="eastAsia" w:asciiTheme="majorEastAsia" w:hAnsiTheme="majorEastAsia" w:eastAsiaTheme="majorEastAsia"/>
              <w:szCs w:val="30"/>
            </w:rPr>
            <w:t>营业</w:t>
          </w:r>
          <w:r>
            <w:rPr>
              <w:rFonts w:hint="eastAsia" w:cs="宋体" w:asciiTheme="majorEastAsia" w:hAnsiTheme="majorEastAsia" w:eastAsiaTheme="majorEastAsia"/>
              <w:szCs w:val="30"/>
            </w:rPr>
            <w:t>执照等</w:t>
          </w:r>
          <w:r>
            <w:rPr>
              <w:rFonts w:hint="eastAsia" w:asciiTheme="majorEastAsia" w:hAnsiTheme="majorEastAsia" w:eastAsiaTheme="majorEastAsia"/>
              <w:szCs w:val="30"/>
            </w:rPr>
            <w:t>资质文件</w:t>
          </w:r>
          <w:r>
            <w:tab/>
          </w:r>
          <w:r>
            <w:fldChar w:fldCharType="begin"/>
          </w:r>
          <w:r>
            <w:instrText xml:space="preserve"> PAGEREF _Toc2638 \h </w:instrText>
          </w:r>
          <w:r>
            <w:fldChar w:fldCharType="separate"/>
          </w:r>
          <w:r>
            <w:t>30</w:t>
          </w:r>
          <w:r>
            <w:fldChar w:fldCharType="end"/>
          </w:r>
          <w:r>
            <w:fldChar w:fldCharType="end"/>
          </w:r>
        </w:p>
        <w:p w14:paraId="61677500">
          <w:pPr>
            <w:pStyle w:val="32"/>
            <w:tabs>
              <w:tab w:val="right" w:leader="dot" w:pos="9180"/>
            </w:tabs>
          </w:pPr>
          <w:r>
            <w:fldChar w:fldCharType="begin"/>
          </w:r>
          <w:r>
            <w:instrText xml:space="preserve"> HYPERLINK \l _Toc11079 </w:instrText>
          </w:r>
          <w:r>
            <w:fldChar w:fldCharType="separate"/>
          </w:r>
          <w:r>
            <w:rPr>
              <w:rFonts w:hint="eastAsia" w:cs="Times New Roman" w:asciiTheme="majorEastAsia" w:hAnsiTheme="majorEastAsia" w:eastAsiaTheme="majorEastAsia"/>
              <w:bCs/>
              <w:kern w:val="2"/>
              <w:szCs w:val="30"/>
              <w:lang w:val="en-US" w:eastAsia="zh-CN" w:bidi="ar-SA"/>
            </w:rPr>
            <w:t>（五）诚信及信用信息证明</w:t>
          </w:r>
          <w:r>
            <w:tab/>
          </w:r>
          <w:r>
            <w:fldChar w:fldCharType="begin"/>
          </w:r>
          <w:r>
            <w:instrText xml:space="preserve"> PAGEREF _Toc11079 \h </w:instrText>
          </w:r>
          <w:r>
            <w:fldChar w:fldCharType="separate"/>
          </w:r>
          <w:r>
            <w:t>31</w:t>
          </w:r>
          <w:r>
            <w:fldChar w:fldCharType="end"/>
          </w:r>
          <w:r>
            <w:fldChar w:fldCharType="end"/>
          </w:r>
        </w:p>
        <w:p w14:paraId="7D924F9C">
          <w:pPr>
            <w:pStyle w:val="32"/>
            <w:tabs>
              <w:tab w:val="right" w:leader="dot" w:pos="9180"/>
            </w:tabs>
          </w:pPr>
          <w:r>
            <w:fldChar w:fldCharType="begin"/>
          </w:r>
          <w:r>
            <w:instrText xml:space="preserve"> HYPERLINK \l _Toc2899 </w:instrText>
          </w:r>
          <w:r>
            <w:fldChar w:fldCharType="separate"/>
          </w:r>
          <w:r>
            <w:rPr>
              <w:rFonts w:hint="eastAsia" w:cs="宋体" w:asciiTheme="majorEastAsia" w:hAnsiTheme="majorEastAsia" w:eastAsiaTheme="majorEastAsia"/>
              <w:kern w:val="2"/>
              <w:szCs w:val="30"/>
              <w:lang w:val="en-US" w:eastAsia="zh-CN" w:bidi="ar-SA"/>
            </w:rPr>
            <w:t>（六）遴选响应单位</w:t>
          </w:r>
          <w:r>
            <w:rPr>
              <w:rFonts w:hint="eastAsia" w:asciiTheme="majorEastAsia" w:hAnsiTheme="majorEastAsia" w:eastAsiaTheme="majorEastAsia"/>
              <w:szCs w:val="30"/>
            </w:rPr>
            <w:t>基本情况表</w:t>
          </w:r>
          <w:r>
            <w:tab/>
          </w:r>
          <w:r>
            <w:fldChar w:fldCharType="begin"/>
          </w:r>
          <w:r>
            <w:instrText xml:space="preserve"> PAGEREF _Toc2899 \h </w:instrText>
          </w:r>
          <w:r>
            <w:fldChar w:fldCharType="separate"/>
          </w:r>
          <w:r>
            <w:t>32</w:t>
          </w:r>
          <w:r>
            <w:fldChar w:fldCharType="end"/>
          </w:r>
          <w:r>
            <w:fldChar w:fldCharType="end"/>
          </w:r>
        </w:p>
        <w:p w14:paraId="54DD756C">
          <w:pPr>
            <w:pStyle w:val="32"/>
            <w:tabs>
              <w:tab w:val="right" w:leader="dot" w:pos="9180"/>
            </w:tabs>
          </w:pPr>
          <w:r>
            <w:fldChar w:fldCharType="begin"/>
          </w:r>
          <w:r>
            <w:instrText xml:space="preserve"> HYPERLINK \l _Toc6583 </w:instrText>
          </w:r>
          <w:r>
            <w:fldChar w:fldCharType="separate"/>
          </w:r>
          <w:r>
            <w:rPr>
              <w:rFonts w:hint="eastAsia" w:cs="宋体" w:asciiTheme="majorEastAsia" w:hAnsiTheme="majorEastAsia" w:eastAsiaTheme="majorEastAsia"/>
              <w:kern w:val="2"/>
              <w:szCs w:val="30"/>
              <w:lang w:val="en-US" w:eastAsia="zh-CN" w:bidi="ar-SA"/>
            </w:rPr>
            <w:t>（七）</w:t>
          </w:r>
          <w:r>
            <w:rPr>
              <w:rFonts w:hint="eastAsia" w:asciiTheme="majorEastAsia" w:hAnsiTheme="majorEastAsia" w:eastAsiaTheme="majorEastAsia"/>
              <w:szCs w:val="30"/>
            </w:rPr>
            <w:t>符合政府采购优惠政策的证明材料</w:t>
          </w:r>
          <w:r>
            <w:tab/>
          </w:r>
          <w:r>
            <w:fldChar w:fldCharType="begin"/>
          </w:r>
          <w:r>
            <w:instrText xml:space="preserve"> PAGEREF _Toc6583 \h </w:instrText>
          </w:r>
          <w:r>
            <w:fldChar w:fldCharType="separate"/>
          </w:r>
          <w:r>
            <w:t>33</w:t>
          </w:r>
          <w:r>
            <w:fldChar w:fldCharType="end"/>
          </w:r>
          <w:r>
            <w:fldChar w:fldCharType="end"/>
          </w:r>
        </w:p>
        <w:p w14:paraId="1A6402F7">
          <w:pPr>
            <w:pStyle w:val="32"/>
            <w:tabs>
              <w:tab w:val="right" w:leader="dot" w:pos="9180"/>
            </w:tabs>
          </w:pPr>
          <w:r>
            <w:fldChar w:fldCharType="begin"/>
          </w:r>
          <w:r>
            <w:instrText xml:space="preserve"> HYPERLINK \l _Toc15516 </w:instrText>
          </w:r>
          <w:r>
            <w:fldChar w:fldCharType="separate"/>
          </w:r>
          <w:r>
            <w:rPr>
              <w:rFonts w:hint="eastAsia" w:cs="宋体" w:asciiTheme="majorEastAsia" w:hAnsiTheme="majorEastAsia" w:eastAsiaTheme="majorEastAsia"/>
              <w:kern w:val="2"/>
              <w:szCs w:val="30"/>
              <w:lang w:val="en-US" w:eastAsia="zh-CN" w:bidi="ar-SA"/>
            </w:rPr>
            <w:t>（八）</w:t>
          </w:r>
          <w:r>
            <w:rPr>
              <w:rFonts w:hint="eastAsia" w:asciiTheme="majorEastAsia" w:hAnsiTheme="majorEastAsia" w:eastAsiaTheme="majorEastAsia"/>
              <w:szCs w:val="30"/>
            </w:rPr>
            <w:t>报价表</w:t>
          </w:r>
          <w:r>
            <w:tab/>
          </w:r>
          <w:r>
            <w:fldChar w:fldCharType="begin"/>
          </w:r>
          <w:r>
            <w:instrText xml:space="preserve"> PAGEREF _Toc15516 \h </w:instrText>
          </w:r>
          <w:r>
            <w:fldChar w:fldCharType="separate"/>
          </w:r>
          <w:r>
            <w:t>36</w:t>
          </w:r>
          <w:r>
            <w:fldChar w:fldCharType="end"/>
          </w:r>
          <w:r>
            <w:fldChar w:fldCharType="end"/>
          </w:r>
        </w:p>
        <w:p w14:paraId="44B6B21B">
          <w:pPr>
            <w:pStyle w:val="32"/>
            <w:tabs>
              <w:tab w:val="right" w:leader="dot" w:pos="9180"/>
            </w:tabs>
          </w:pPr>
          <w:r>
            <w:fldChar w:fldCharType="begin"/>
          </w:r>
          <w:r>
            <w:instrText xml:space="preserve"> HYPERLINK \l _Toc7343 </w:instrText>
          </w:r>
          <w:r>
            <w:fldChar w:fldCharType="separate"/>
          </w:r>
          <w:r>
            <w:rPr>
              <w:rFonts w:hint="eastAsia" w:asciiTheme="majorEastAsia" w:hAnsiTheme="majorEastAsia" w:eastAsiaTheme="majorEastAsia"/>
              <w:szCs w:val="30"/>
              <w:lang w:eastAsia="zh-CN"/>
            </w:rPr>
            <w:t>（</w:t>
          </w:r>
          <w:r>
            <w:rPr>
              <w:rFonts w:hint="eastAsia" w:asciiTheme="majorEastAsia" w:hAnsiTheme="majorEastAsia" w:eastAsiaTheme="majorEastAsia"/>
              <w:szCs w:val="30"/>
              <w:lang w:val="en-US" w:eastAsia="zh-CN"/>
            </w:rPr>
            <w:t>九</w:t>
          </w:r>
          <w:r>
            <w:rPr>
              <w:rFonts w:hint="eastAsia" w:asciiTheme="majorEastAsia" w:hAnsiTheme="majorEastAsia" w:eastAsiaTheme="majorEastAsia"/>
              <w:szCs w:val="30"/>
              <w:lang w:eastAsia="zh-CN"/>
            </w:rPr>
            <w:t>）遴选响应</w:t>
          </w:r>
          <w:r>
            <w:rPr>
              <w:rFonts w:hint="eastAsia" w:asciiTheme="majorEastAsia" w:hAnsiTheme="majorEastAsia" w:eastAsiaTheme="majorEastAsia"/>
              <w:szCs w:val="30"/>
            </w:rPr>
            <w:t>函</w:t>
          </w:r>
          <w:r>
            <w:tab/>
          </w:r>
          <w:r>
            <w:fldChar w:fldCharType="begin"/>
          </w:r>
          <w:r>
            <w:instrText xml:space="preserve"> PAGEREF _Toc7343 \h </w:instrText>
          </w:r>
          <w:r>
            <w:fldChar w:fldCharType="separate"/>
          </w:r>
          <w:r>
            <w:t>37</w:t>
          </w:r>
          <w:r>
            <w:fldChar w:fldCharType="end"/>
          </w:r>
          <w:r>
            <w:fldChar w:fldCharType="end"/>
          </w:r>
        </w:p>
        <w:p w14:paraId="2C9E9EB0">
          <w:pPr>
            <w:pStyle w:val="32"/>
            <w:tabs>
              <w:tab w:val="right" w:leader="dot" w:pos="9180"/>
            </w:tabs>
          </w:pPr>
          <w:r>
            <w:fldChar w:fldCharType="begin"/>
          </w:r>
          <w:r>
            <w:instrText xml:space="preserve"> HYPERLINK \l _Toc18789 </w:instrText>
          </w:r>
          <w:r>
            <w:fldChar w:fldCharType="separate"/>
          </w:r>
          <w:r>
            <w:rPr>
              <w:rFonts w:hint="eastAsia" w:cs="宋体" w:asciiTheme="majorEastAsia" w:hAnsiTheme="majorEastAsia" w:eastAsiaTheme="majorEastAsia"/>
              <w:kern w:val="2"/>
              <w:szCs w:val="30"/>
              <w:lang w:val="en-US" w:eastAsia="zh-CN" w:bidi="ar-SA"/>
            </w:rPr>
            <w:t>（十）</w:t>
          </w:r>
          <w:r>
            <w:rPr>
              <w:rFonts w:hint="eastAsia" w:asciiTheme="majorEastAsia" w:hAnsiTheme="majorEastAsia" w:eastAsiaTheme="majorEastAsia"/>
              <w:szCs w:val="30"/>
              <w:lang w:eastAsia="zh-CN"/>
            </w:rPr>
            <w:t>遴选响应方</w:t>
          </w:r>
          <w:r>
            <w:rPr>
              <w:rFonts w:hint="eastAsia" w:asciiTheme="majorEastAsia" w:hAnsiTheme="majorEastAsia" w:eastAsiaTheme="majorEastAsia"/>
              <w:szCs w:val="30"/>
            </w:rPr>
            <w:t>资格声明函</w:t>
          </w:r>
          <w:r>
            <w:tab/>
          </w:r>
          <w:r>
            <w:fldChar w:fldCharType="begin"/>
          </w:r>
          <w:r>
            <w:instrText xml:space="preserve"> PAGEREF _Toc18789 \h </w:instrText>
          </w:r>
          <w:r>
            <w:fldChar w:fldCharType="separate"/>
          </w:r>
          <w:r>
            <w:t>38</w:t>
          </w:r>
          <w:r>
            <w:fldChar w:fldCharType="end"/>
          </w:r>
          <w:r>
            <w:fldChar w:fldCharType="end"/>
          </w:r>
        </w:p>
        <w:p w14:paraId="625161FD">
          <w:pPr>
            <w:pStyle w:val="32"/>
            <w:tabs>
              <w:tab w:val="right" w:leader="dot" w:pos="9180"/>
            </w:tabs>
          </w:pPr>
          <w:r>
            <w:fldChar w:fldCharType="begin"/>
          </w:r>
          <w:r>
            <w:instrText xml:space="preserve"> HYPERLINK \l _Toc9956 </w:instrText>
          </w:r>
          <w:r>
            <w:fldChar w:fldCharType="separate"/>
          </w:r>
          <w:r>
            <w:rPr>
              <w:rFonts w:hint="eastAsia" w:cs="宋体" w:asciiTheme="majorEastAsia" w:hAnsiTheme="majorEastAsia" w:eastAsiaTheme="majorEastAsia"/>
              <w:kern w:val="2"/>
              <w:szCs w:val="30"/>
              <w:lang w:val="en-US" w:eastAsia="zh-CN" w:bidi="ar-SA"/>
            </w:rPr>
            <w:t>（十一）政府采购违法行为风险知悉确认书</w:t>
          </w:r>
          <w:r>
            <w:tab/>
          </w:r>
          <w:r>
            <w:fldChar w:fldCharType="begin"/>
          </w:r>
          <w:r>
            <w:instrText xml:space="preserve"> PAGEREF _Toc9956 \h </w:instrText>
          </w:r>
          <w:r>
            <w:fldChar w:fldCharType="separate"/>
          </w:r>
          <w:r>
            <w:t>40</w:t>
          </w:r>
          <w:r>
            <w:fldChar w:fldCharType="end"/>
          </w:r>
          <w:r>
            <w:fldChar w:fldCharType="end"/>
          </w:r>
        </w:p>
        <w:p w14:paraId="09F70B01">
          <w:pPr>
            <w:pStyle w:val="32"/>
            <w:tabs>
              <w:tab w:val="right" w:leader="dot" w:pos="9180"/>
            </w:tabs>
          </w:pPr>
          <w:r>
            <w:fldChar w:fldCharType="begin"/>
          </w:r>
          <w:r>
            <w:instrText xml:space="preserve"> HYPERLINK \l _Toc17461 </w:instrText>
          </w:r>
          <w:r>
            <w:fldChar w:fldCharType="separate"/>
          </w:r>
          <w:r>
            <w:rPr>
              <w:rFonts w:hint="eastAsia" w:cs="宋体" w:asciiTheme="majorEastAsia" w:hAnsiTheme="majorEastAsia" w:eastAsiaTheme="majorEastAsia"/>
              <w:kern w:val="2"/>
              <w:szCs w:val="30"/>
              <w:lang w:val="en-US" w:eastAsia="zh-CN" w:bidi="ar-SA"/>
            </w:rPr>
            <w:t>（十二）</w:t>
          </w:r>
          <w:r>
            <w:rPr>
              <w:rFonts w:hint="eastAsia" w:asciiTheme="majorEastAsia" w:hAnsiTheme="majorEastAsia" w:eastAsiaTheme="majorEastAsia"/>
              <w:szCs w:val="30"/>
            </w:rPr>
            <w:t>法定代表人授权委托书</w:t>
          </w:r>
          <w:r>
            <w:tab/>
          </w:r>
          <w:r>
            <w:fldChar w:fldCharType="begin"/>
          </w:r>
          <w:r>
            <w:instrText xml:space="preserve"> PAGEREF _Toc17461 \h </w:instrText>
          </w:r>
          <w:r>
            <w:fldChar w:fldCharType="separate"/>
          </w:r>
          <w:r>
            <w:t>42</w:t>
          </w:r>
          <w:r>
            <w:fldChar w:fldCharType="end"/>
          </w:r>
          <w:r>
            <w:fldChar w:fldCharType="end"/>
          </w:r>
        </w:p>
        <w:p w14:paraId="2AF56921">
          <w:pPr>
            <w:pStyle w:val="32"/>
            <w:tabs>
              <w:tab w:val="right" w:leader="dot" w:pos="9180"/>
            </w:tabs>
          </w:pPr>
          <w:r>
            <w:fldChar w:fldCharType="begin"/>
          </w:r>
          <w:r>
            <w:instrText xml:space="preserve"> HYPERLINK \l _Toc26822 </w:instrText>
          </w:r>
          <w:r>
            <w:fldChar w:fldCharType="separate"/>
          </w:r>
          <w:r>
            <w:rPr>
              <w:rFonts w:hint="eastAsia" w:cs="宋体" w:asciiTheme="majorEastAsia" w:hAnsiTheme="majorEastAsia" w:eastAsiaTheme="majorEastAsia"/>
              <w:bCs/>
              <w:kern w:val="2"/>
              <w:szCs w:val="30"/>
              <w:lang w:val="en-US" w:eastAsia="zh-CN" w:bidi="ar-SA"/>
            </w:rPr>
            <w:t>（十三）提供被授权人（授权代表）的近一个月社保证明</w:t>
          </w:r>
          <w:r>
            <w:tab/>
          </w:r>
          <w:r>
            <w:fldChar w:fldCharType="begin"/>
          </w:r>
          <w:r>
            <w:instrText xml:space="preserve"> PAGEREF _Toc26822 \h </w:instrText>
          </w:r>
          <w:r>
            <w:fldChar w:fldCharType="separate"/>
          </w:r>
          <w:r>
            <w:t>43</w:t>
          </w:r>
          <w:r>
            <w:fldChar w:fldCharType="end"/>
          </w:r>
          <w:r>
            <w:fldChar w:fldCharType="end"/>
          </w:r>
        </w:p>
        <w:p w14:paraId="1DC41058">
          <w:pPr>
            <w:pStyle w:val="32"/>
            <w:tabs>
              <w:tab w:val="right" w:leader="dot" w:pos="9180"/>
            </w:tabs>
          </w:pPr>
          <w:r>
            <w:fldChar w:fldCharType="begin"/>
          </w:r>
          <w:r>
            <w:instrText xml:space="preserve"> HYPERLINK \l _Toc27575 </w:instrText>
          </w:r>
          <w:r>
            <w:fldChar w:fldCharType="separate"/>
          </w:r>
          <w:r>
            <w:rPr>
              <w:rFonts w:hint="eastAsia" w:cs="宋体" w:asciiTheme="majorEastAsia" w:hAnsiTheme="majorEastAsia" w:eastAsiaTheme="majorEastAsia"/>
              <w:bCs/>
              <w:kern w:val="2"/>
              <w:szCs w:val="30"/>
              <w:lang w:val="en-US" w:eastAsia="zh-CN" w:bidi="ar-SA"/>
            </w:rPr>
            <w:t>（十四）法定代表人证明书</w:t>
          </w:r>
          <w:r>
            <w:tab/>
          </w:r>
          <w:r>
            <w:fldChar w:fldCharType="begin"/>
          </w:r>
          <w:r>
            <w:instrText xml:space="preserve"> PAGEREF _Toc27575 \h </w:instrText>
          </w:r>
          <w:r>
            <w:fldChar w:fldCharType="separate"/>
          </w:r>
          <w:r>
            <w:t>44</w:t>
          </w:r>
          <w:r>
            <w:fldChar w:fldCharType="end"/>
          </w:r>
          <w:r>
            <w:fldChar w:fldCharType="end"/>
          </w:r>
        </w:p>
        <w:p w14:paraId="7DF9F1B1">
          <w:pPr>
            <w:pStyle w:val="32"/>
            <w:tabs>
              <w:tab w:val="right" w:leader="dot" w:pos="9180"/>
            </w:tabs>
          </w:pPr>
          <w:r>
            <w:fldChar w:fldCharType="begin"/>
          </w:r>
          <w:r>
            <w:instrText xml:space="preserve"> HYPERLINK \l _Toc7783 </w:instrText>
          </w:r>
          <w:r>
            <w:fldChar w:fldCharType="separate"/>
          </w:r>
          <w:r>
            <w:rPr>
              <w:rFonts w:hint="eastAsia" w:cs="宋体" w:asciiTheme="majorEastAsia" w:hAnsiTheme="majorEastAsia" w:eastAsiaTheme="majorEastAsia"/>
              <w:bCs/>
              <w:kern w:val="2"/>
              <w:szCs w:val="30"/>
              <w:lang w:val="en-US" w:eastAsia="zh-CN" w:bidi="ar-SA"/>
            </w:rPr>
            <w:t>（十五）提供法定代表人近一个月的社会保险证明</w:t>
          </w:r>
          <w:r>
            <w:tab/>
          </w:r>
          <w:r>
            <w:fldChar w:fldCharType="begin"/>
          </w:r>
          <w:r>
            <w:instrText xml:space="preserve"> PAGEREF _Toc7783 \h </w:instrText>
          </w:r>
          <w:r>
            <w:fldChar w:fldCharType="separate"/>
          </w:r>
          <w:r>
            <w:t>45</w:t>
          </w:r>
          <w:r>
            <w:fldChar w:fldCharType="end"/>
          </w:r>
          <w:r>
            <w:fldChar w:fldCharType="end"/>
          </w:r>
        </w:p>
        <w:p w14:paraId="17E645A1">
          <w:pPr>
            <w:pStyle w:val="32"/>
            <w:tabs>
              <w:tab w:val="right" w:leader="dot" w:pos="9180"/>
            </w:tabs>
          </w:pPr>
          <w:r>
            <w:fldChar w:fldCharType="begin"/>
          </w:r>
          <w:r>
            <w:instrText xml:space="preserve"> HYPERLINK \l _Toc27521 </w:instrText>
          </w:r>
          <w:r>
            <w:fldChar w:fldCharType="separate"/>
          </w:r>
          <w:r>
            <w:rPr>
              <w:rFonts w:hint="eastAsia" w:cs="宋体" w:asciiTheme="majorEastAsia" w:hAnsiTheme="majorEastAsia" w:eastAsiaTheme="majorEastAsia"/>
              <w:bCs/>
              <w:kern w:val="2"/>
              <w:szCs w:val="30"/>
              <w:lang w:val="en-US" w:eastAsia="zh-CN" w:bidi="ar-SA"/>
            </w:rPr>
            <w:t>（十六）提供主要经营负责人、项目负责人、主要技术人员近一个月的社会保险证明</w:t>
          </w:r>
          <w:r>
            <w:tab/>
          </w:r>
          <w:r>
            <w:fldChar w:fldCharType="begin"/>
          </w:r>
          <w:r>
            <w:instrText xml:space="preserve"> PAGEREF _Toc27521 \h </w:instrText>
          </w:r>
          <w:r>
            <w:fldChar w:fldCharType="separate"/>
          </w:r>
          <w:r>
            <w:t>46</w:t>
          </w:r>
          <w:r>
            <w:fldChar w:fldCharType="end"/>
          </w:r>
          <w:r>
            <w:fldChar w:fldCharType="end"/>
          </w:r>
        </w:p>
        <w:p w14:paraId="7264A6E2">
          <w:pPr>
            <w:pStyle w:val="32"/>
            <w:tabs>
              <w:tab w:val="right" w:leader="dot" w:pos="9180"/>
            </w:tabs>
          </w:pPr>
          <w:r>
            <w:fldChar w:fldCharType="begin"/>
          </w:r>
          <w:r>
            <w:instrText xml:space="preserve"> HYPERLINK \l _Toc19879 </w:instrText>
          </w:r>
          <w:r>
            <w:fldChar w:fldCharType="separate"/>
          </w:r>
          <w:r>
            <w:rPr>
              <w:rFonts w:hint="eastAsia" w:cs="Times New Roman" w:asciiTheme="majorEastAsia" w:hAnsiTheme="majorEastAsia" w:eastAsiaTheme="majorEastAsia"/>
              <w:bCs/>
              <w:kern w:val="2"/>
              <w:szCs w:val="30"/>
              <w:lang w:val="en-US" w:eastAsia="zh-CN" w:bidi="ar-SA"/>
            </w:rPr>
            <w:t>（十七）</w:t>
          </w:r>
          <w:r>
            <w:rPr>
              <w:rFonts w:hint="eastAsia" w:asciiTheme="majorEastAsia" w:hAnsiTheme="majorEastAsia" w:eastAsiaTheme="majorEastAsia"/>
              <w:szCs w:val="30"/>
            </w:rPr>
            <w:t>用户需求书条款</w:t>
          </w:r>
          <w:r>
            <w:rPr>
              <w:rFonts w:hint="eastAsia" w:asciiTheme="majorEastAsia" w:hAnsiTheme="majorEastAsia" w:eastAsiaTheme="majorEastAsia"/>
              <w:szCs w:val="30"/>
              <w:lang w:eastAsia="zh-CN"/>
            </w:rPr>
            <w:t>遴选响应</w:t>
          </w:r>
          <w:r>
            <w:rPr>
              <w:rFonts w:hint="eastAsia" w:asciiTheme="majorEastAsia" w:hAnsiTheme="majorEastAsia" w:eastAsiaTheme="majorEastAsia"/>
              <w:szCs w:val="30"/>
            </w:rPr>
            <w:t>一览表</w:t>
          </w:r>
          <w:r>
            <w:tab/>
          </w:r>
          <w:r>
            <w:fldChar w:fldCharType="begin"/>
          </w:r>
          <w:r>
            <w:instrText xml:space="preserve"> PAGEREF _Toc19879 \h </w:instrText>
          </w:r>
          <w:r>
            <w:fldChar w:fldCharType="separate"/>
          </w:r>
          <w:r>
            <w:t>47</w:t>
          </w:r>
          <w:r>
            <w:fldChar w:fldCharType="end"/>
          </w:r>
          <w:r>
            <w:fldChar w:fldCharType="end"/>
          </w:r>
        </w:p>
        <w:p w14:paraId="32E1B7B9">
          <w:pPr>
            <w:pStyle w:val="32"/>
            <w:tabs>
              <w:tab w:val="right" w:leader="dot" w:pos="9180"/>
            </w:tabs>
          </w:pPr>
          <w:r>
            <w:fldChar w:fldCharType="begin"/>
          </w:r>
          <w:r>
            <w:instrText xml:space="preserve"> HYPERLINK \l _Toc8202 </w:instrText>
          </w:r>
          <w:r>
            <w:fldChar w:fldCharType="separate"/>
          </w:r>
          <w:r>
            <w:rPr>
              <w:rFonts w:hint="eastAsia" w:cs="Times New Roman" w:asciiTheme="majorEastAsia" w:hAnsiTheme="majorEastAsia" w:eastAsiaTheme="majorEastAsia"/>
              <w:bCs/>
              <w:kern w:val="2"/>
              <w:szCs w:val="30"/>
              <w:lang w:val="en-US" w:eastAsia="zh-CN" w:bidi="ar-SA"/>
            </w:rPr>
            <w:t>（十八）医用耗材智慧管理服务平台建设方案（格式自拟）</w:t>
          </w:r>
          <w:r>
            <w:tab/>
          </w:r>
          <w:r>
            <w:fldChar w:fldCharType="begin"/>
          </w:r>
          <w:r>
            <w:instrText xml:space="preserve"> PAGEREF _Toc8202 \h </w:instrText>
          </w:r>
          <w:r>
            <w:fldChar w:fldCharType="separate"/>
          </w:r>
          <w:r>
            <w:t>55</w:t>
          </w:r>
          <w:r>
            <w:fldChar w:fldCharType="end"/>
          </w:r>
          <w:r>
            <w:fldChar w:fldCharType="end"/>
          </w:r>
        </w:p>
        <w:p w14:paraId="45775443">
          <w:pPr>
            <w:pStyle w:val="32"/>
            <w:tabs>
              <w:tab w:val="right" w:leader="dot" w:pos="9180"/>
            </w:tabs>
          </w:pPr>
          <w:r>
            <w:fldChar w:fldCharType="begin"/>
          </w:r>
          <w:r>
            <w:instrText xml:space="preserve"> HYPERLINK \l _Toc32465 </w:instrText>
          </w:r>
          <w:r>
            <w:fldChar w:fldCharType="separate"/>
          </w:r>
          <w:r>
            <w:rPr>
              <w:rFonts w:hint="eastAsia" w:cs="Times New Roman" w:asciiTheme="majorEastAsia" w:hAnsiTheme="majorEastAsia" w:eastAsiaTheme="majorEastAsia"/>
              <w:bCs/>
              <w:kern w:val="2"/>
              <w:szCs w:val="30"/>
              <w:lang w:val="en-US" w:eastAsia="zh-CN" w:bidi="ar-SA"/>
            </w:rPr>
            <w:t>（十九）项目实施方案（格式自拟）</w:t>
          </w:r>
          <w:r>
            <w:tab/>
          </w:r>
          <w:r>
            <w:fldChar w:fldCharType="begin"/>
          </w:r>
          <w:r>
            <w:instrText xml:space="preserve"> PAGEREF _Toc32465 \h </w:instrText>
          </w:r>
          <w:r>
            <w:fldChar w:fldCharType="separate"/>
          </w:r>
          <w:r>
            <w:t>56</w:t>
          </w:r>
          <w:r>
            <w:fldChar w:fldCharType="end"/>
          </w:r>
          <w:r>
            <w:fldChar w:fldCharType="end"/>
          </w:r>
        </w:p>
        <w:p w14:paraId="0150858C">
          <w:pPr>
            <w:pStyle w:val="32"/>
            <w:tabs>
              <w:tab w:val="right" w:leader="dot" w:pos="9180"/>
            </w:tabs>
          </w:pPr>
          <w:r>
            <w:fldChar w:fldCharType="begin"/>
          </w:r>
          <w:r>
            <w:instrText xml:space="preserve"> HYPERLINK \l _Toc24412 </w:instrText>
          </w:r>
          <w:r>
            <w:fldChar w:fldCharType="separate"/>
          </w:r>
          <w:r>
            <w:rPr>
              <w:rFonts w:hint="eastAsia" w:cs="Times New Roman" w:asciiTheme="majorEastAsia" w:hAnsiTheme="majorEastAsia" w:eastAsiaTheme="majorEastAsia"/>
              <w:bCs/>
              <w:kern w:val="2"/>
              <w:szCs w:val="30"/>
              <w:lang w:val="en-US" w:eastAsia="zh-CN" w:bidi="ar-SA"/>
            </w:rPr>
            <w:t>（二十）制度与规范管理（格式自拟）</w:t>
          </w:r>
          <w:r>
            <w:tab/>
          </w:r>
          <w:r>
            <w:fldChar w:fldCharType="begin"/>
          </w:r>
          <w:r>
            <w:instrText xml:space="preserve"> PAGEREF _Toc24412 \h </w:instrText>
          </w:r>
          <w:r>
            <w:fldChar w:fldCharType="separate"/>
          </w:r>
          <w:r>
            <w:t>57</w:t>
          </w:r>
          <w:r>
            <w:fldChar w:fldCharType="end"/>
          </w:r>
          <w:r>
            <w:fldChar w:fldCharType="end"/>
          </w:r>
        </w:p>
        <w:p w14:paraId="42910337">
          <w:pPr>
            <w:pStyle w:val="32"/>
            <w:tabs>
              <w:tab w:val="right" w:leader="dot" w:pos="9180"/>
            </w:tabs>
          </w:pPr>
          <w:r>
            <w:fldChar w:fldCharType="begin"/>
          </w:r>
          <w:r>
            <w:instrText xml:space="preserve"> HYPERLINK \l _Toc2825 </w:instrText>
          </w:r>
          <w:r>
            <w:fldChar w:fldCharType="separate"/>
          </w:r>
          <w:r>
            <w:rPr>
              <w:rFonts w:hint="eastAsia" w:cs="Times New Roman" w:asciiTheme="majorEastAsia" w:hAnsiTheme="majorEastAsia" w:eastAsiaTheme="majorEastAsia"/>
              <w:bCs/>
              <w:kern w:val="2"/>
              <w:szCs w:val="30"/>
              <w:lang w:val="en-US" w:eastAsia="zh-CN" w:bidi="ar-SA"/>
            </w:rPr>
            <w:t>（二十一）软件系统主要功能模块（格式自拟）</w:t>
          </w:r>
          <w:r>
            <w:tab/>
          </w:r>
          <w:r>
            <w:fldChar w:fldCharType="begin"/>
          </w:r>
          <w:r>
            <w:instrText xml:space="preserve"> PAGEREF _Toc2825 \h </w:instrText>
          </w:r>
          <w:r>
            <w:fldChar w:fldCharType="separate"/>
          </w:r>
          <w:r>
            <w:t>58</w:t>
          </w:r>
          <w:r>
            <w:fldChar w:fldCharType="end"/>
          </w:r>
          <w:r>
            <w:fldChar w:fldCharType="end"/>
          </w:r>
        </w:p>
        <w:p w14:paraId="3914A2AC">
          <w:pPr>
            <w:pStyle w:val="32"/>
            <w:tabs>
              <w:tab w:val="right" w:leader="dot" w:pos="9180"/>
            </w:tabs>
          </w:pPr>
          <w:r>
            <w:fldChar w:fldCharType="begin"/>
          </w:r>
          <w:r>
            <w:instrText xml:space="preserve"> HYPERLINK \l _Toc5189 </w:instrText>
          </w:r>
          <w:r>
            <w:fldChar w:fldCharType="separate"/>
          </w:r>
          <w:r>
            <w:rPr>
              <w:rFonts w:hint="eastAsia" w:cs="Times New Roman" w:asciiTheme="majorEastAsia" w:hAnsiTheme="majorEastAsia" w:eastAsiaTheme="majorEastAsia"/>
              <w:bCs/>
              <w:kern w:val="2"/>
              <w:szCs w:val="30"/>
              <w:lang w:val="en-US" w:eastAsia="zh-CN" w:bidi="ar-SA"/>
            </w:rPr>
            <w:t>（二十二）软件著作权</w:t>
          </w:r>
          <w:r>
            <w:tab/>
          </w:r>
          <w:r>
            <w:fldChar w:fldCharType="begin"/>
          </w:r>
          <w:r>
            <w:instrText xml:space="preserve"> PAGEREF _Toc5189 \h </w:instrText>
          </w:r>
          <w:r>
            <w:fldChar w:fldCharType="separate"/>
          </w:r>
          <w:r>
            <w:t>59</w:t>
          </w:r>
          <w:r>
            <w:fldChar w:fldCharType="end"/>
          </w:r>
          <w:r>
            <w:fldChar w:fldCharType="end"/>
          </w:r>
        </w:p>
        <w:p w14:paraId="3550444C">
          <w:pPr>
            <w:pStyle w:val="32"/>
            <w:tabs>
              <w:tab w:val="right" w:leader="dot" w:pos="9180"/>
            </w:tabs>
          </w:pPr>
          <w:r>
            <w:fldChar w:fldCharType="begin"/>
          </w:r>
          <w:r>
            <w:instrText xml:space="preserve"> HYPERLINK \l _Toc14138 </w:instrText>
          </w:r>
          <w:r>
            <w:fldChar w:fldCharType="separate"/>
          </w:r>
          <w:r>
            <w:rPr>
              <w:rFonts w:hint="eastAsia" w:cs="Times New Roman" w:asciiTheme="majorEastAsia" w:hAnsiTheme="majorEastAsia" w:eastAsiaTheme="majorEastAsia"/>
              <w:bCs/>
              <w:kern w:val="2"/>
              <w:szCs w:val="30"/>
              <w:lang w:val="en-US" w:eastAsia="zh-CN" w:bidi="ar-SA"/>
            </w:rPr>
            <w:t>（二十三）同类业绩</w:t>
          </w:r>
          <w:r>
            <w:tab/>
          </w:r>
          <w:r>
            <w:fldChar w:fldCharType="begin"/>
          </w:r>
          <w:r>
            <w:instrText xml:space="preserve"> PAGEREF _Toc14138 \h </w:instrText>
          </w:r>
          <w:r>
            <w:fldChar w:fldCharType="separate"/>
          </w:r>
          <w:r>
            <w:t>60</w:t>
          </w:r>
          <w:r>
            <w:fldChar w:fldCharType="end"/>
          </w:r>
          <w:r>
            <w:fldChar w:fldCharType="end"/>
          </w:r>
        </w:p>
        <w:p w14:paraId="54D052DF">
          <w:pPr>
            <w:pStyle w:val="32"/>
            <w:tabs>
              <w:tab w:val="right" w:leader="dot" w:pos="9180"/>
            </w:tabs>
          </w:pPr>
          <w:r>
            <w:fldChar w:fldCharType="begin"/>
          </w:r>
          <w:r>
            <w:instrText xml:space="preserve"> HYPERLINK \l _Toc10255 </w:instrText>
          </w:r>
          <w:r>
            <w:fldChar w:fldCharType="separate"/>
          </w:r>
          <w:r>
            <w:rPr>
              <w:rFonts w:hint="eastAsia" w:cs="Times New Roman" w:asciiTheme="majorEastAsia" w:hAnsiTheme="majorEastAsia" w:eastAsiaTheme="majorEastAsia"/>
              <w:bCs/>
              <w:kern w:val="2"/>
              <w:szCs w:val="30"/>
              <w:lang w:val="en-US" w:eastAsia="zh-CN" w:bidi="ar-SA"/>
            </w:rPr>
            <w:t>（二十四）履约评价</w:t>
          </w:r>
          <w:r>
            <w:tab/>
          </w:r>
          <w:r>
            <w:fldChar w:fldCharType="begin"/>
          </w:r>
          <w:r>
            <w:instrText xml:space="preserve"> PAGEREF _Toc10255 \h </w:instrText>
          </w:r>
          <w:r>
            <w:fldChar w:fldCharType="separate"/>
          </w:r>
          <w:r>
            <w:t>61</w:t>
          </w:r>
          <w:r>
            <w:fldChar w:fldCharType="end"/>
          </w:r>
          <w:r>
            <w:fldChar w:fldCharType="end"/>
          </w:r>
        </w:p>
        <w:p w14:paraId="4CB60674">
          <w:pPr>
            <w:pStyle w:val="32"/>
            <w:tabs>
              <w:tab w:val="right" w:leader="dot" w:pos="9180"/>
            </w:tabs>
          </w:pPr>
          <w:r>
            <w:fldChar w:fldCharType="begin"/>
          </w:r>
          <w:r>
            <w:instrText xml:space="preserve"> HYPERLINK \l _Toc18278 </w:instrText>
          </w:r>
          <w:r>
            <w:fldChar w:fldCharType="separate"/>
          </w:r>
          <w:r>
            <w:rPr>
              <w:rFonts w:hint="eastAsia" w:cs="Times New Roman" w:asciiTheme="majorEastAsia" w:hAnsiTheme="majorEastAsia" w:eastAsiaTheme="majorEastAsia"/>
              <w:bCs/>
              <w:kern w:val="2"/>
              <w:szCs w:val="30"/>
              <w:lang w:val="en-US" w:eastAsia="zh-CN" w:bidi="ar-SA"/>
            </w:rPr>
            <w:t>（二十五）遴选文件要求的其他内容及遴选响应方认为需要加以说明其他内容</w:t>
          </w:r>
          <w:r>
            <w:tab/>
          </w:r>
          <w:r>
            <w:fldChar w:fldCharType="begin"/>
          </w:r>
          <w:r>
            <w:instrText xml:space="preserve"> PAGEREF _Toc18278 \h </w:instrText>
          </w:r>
          <w:r>
            <w:fldChar w:fldCharType="separate"/>
          </w:r>
          <w:r>
            <w:t>62</w:t>
          </w:r>
          <w:r>
            <w:fldChar w:fldCharType="end"/>
          </w:r>
          <w:r>
            <w:fldChar w:fldCharType="end"/>
          </w:r>
        </w:p>
        <w:p w14:paraId="26DC1140">
          <w:pPr>
            <w:pStyle w:val="28"/>
            <w:tabs>
              <w:tab w:val="right" w:leader="dot" w:pos="9180"/>
            </w:tabs>
          </w:pPr>
          <w:r>
            <w:fldChar w:fldCharType="begin"/>
          </w:r>
          <w:r>
            <w:instrText xml:space="preserve"> HYPERLINK \l _Toc22285 </w:instrText>
          </w:r>
          <w:r>
            <w:fldChar w:fldCharType="separate"/>
          </w:r>
          <w:r>
            <w:rPr>
              <w:rFonts w:hint="eastAsia" w:asciiTheme="majorEastAsia" w:hAnsiTheme="majorEastAsia" w:eastAsiaTheme="majorEastAsia" w:cstheme="majorEastAsia"/>
              <w:szCs w:val="32"/>
            </w:rPr>
            <w:t>第</w:t>
          </w:r>
          <w:r>
            <w:rPr>
              <w:rFonts w:hint="eastAsia" w:asciiTheme="majorEastAsia" w:hAnsiTheme="majorEastAsia" w:eastAsiaTheme="majorEastAsia" w:cstheme="majorEastAsia"/>
              <w:szCs w:val="32"/>
              <w:lang w:val="en-US" w:eastAsia="zh-CN"/>
            </w:rPr>
            <w:t>六</w:t>
          </w:r>
          <w:r>
            <w:rPr>
              <w:rFonts w:hint="eastAsia" w:asciiTheme="majorEastAsia" w:hAnsiTheme="majorEastAsia" w:eastAsiaTheme="majorEastAsia" w:cstheme="majorEastAsia"/>
              <w:szCs w:val="32"/>
            </w:rPr>
            <w:t xml:space="preserve">章 </w:t>
          </w:r>
          <w:r>
            <w:rPr>
              <w:rFonts w:hint="eastAsia" w:asciiTheme="majorEastAsia" w:hAnsiTheme="majorEastAsia" w:eastAsiaTheme="majorEastAsia" w:cstheme="majorEastAsia"/>
              <w:szCs w:val="32"/>
              <w:lang w:eastAsia="zh-CN"/>
            </w:rPr>
            <w:t>遴选响应方</w:t>
          </w:r>
          <w:r>
            <w:rPr>
              <w:rFonts w:hint="eastAsia" w:asciiTheme="majorEastAsia" w:hAnsiTheme="majorEastAsia" w:eastAsiaTheme="majorEastAsia" w:cstheme="majorEastAsia"/>
              <w:szCs w:val="32"/>
            </w:rPr>
            <w:t>须知</w:t>
          </w:r>
          <w:r>
            <w:tab/>
          </w:r>
          <w:r>
            <w:fldChar w:fldCharType="begin"/>
          </w:r>
          <w:r>
            <w:instrText xml:space="preserve"> PAGEREF _Toc22285 \h </w:instrText>
          </w:r>
          <w:r>
            <w:fldChar w:fldCharType="separate"/>
          </w:r>
          <w:r>
            <w:t>63</w:t>
          </w:r>
          <w:r>
            <w:fldChar w:fldCharType="end"/>
          </w:r>
          <w:r>
            <w:fldChar w:fldCharType="end"/>
          </w:r>
        </w:p>
        <w:p w14:paraId="46C23E92">
          <w:pPr>
            <w:pStyle w:val="32"/>
            <w:tabs>
              <w:tab w:val="right" w:leader="dot" w:pos="9180"/>
            </w:tabs>
          </w:pPr>
          <w:r>
            <w:fldChar w:fldCharType="begin"/>
          </w:r>
          <w:r>
            <w:instrText xml:space="preserve"> HYPERLINK \l _Toc21893 </w:instrText>
          </w:r>
          <w:r>
            <w:fldChar w:fldCharType="separate"/>
          </w:r>
          <w:r>
            <w:rPr>
              <w:rFonts w:hint="eastAsia" w:asciiTheme="majorEastAsia" w:hAnsiTheme="majorEastAsia" w:eastAsiaTheme="majorEastAsia"/>
              <w:szCs w:val="30"/>
            </w:rPr>
            <w:t xml:space="preserve">（一） </w:t>
          </w:r>
          <w:r>
            <w:rPr>
              <w:rFonts w:asciiTheme="majorEastAsia" w:hAnsiTheme="majorEastAsia" w:eastAsiaTheme="majorEastAsia"/>
              <w:szCs w:val="30"/>
              <w:lang w:eastAsia="zh-TW"/>
            </w:rPr>
            <w:t>说 明</w:t>
          </w:r>
          <w:r>
            <w:tab/>
          </w:r>
          <w:r>
            <w:fldChar w:fldCharType="begin"/>
          </w:r>
          <w:r>
            <w:instrText xml:space="preserve"> PAGEREF _Toc21893 \h </w:instrText>
          </w:r>
          <w:r>
            <w:fldChar w:fldCharType="separate"/>
          </w:r>
          <w:r>
            <w:t>63</w:t>
          </w:r>
          <w:r>
            <w:fldChar w:fldCharType="end"/>
          </w:r>
          <w:r>
            <w:fldChar w:fldCharType="end"/>
          </w:r>
        </w:p>
        <w:p w14:paraId="32B92B4A">
          <w:pPr>
            <w:pStyle w:val="32"/>
            <w:tabs>
              <w:tab w:val="right" w:leader="dot" w:pos="9180"/>
            </w:tabs>
          </w:pPr>
          <w:r>
            <w:fldChar w:fldCharType="begin"/>
          </w:r>
          <w:r>
            <w:instrText xml:space="preserve"> HYPERLINK \l _Toc11903 </w:instrText>
          </w:r>
          <w:r>
            <w:fldChar w:fldCharType="separate"/>
          </w:r>
          <w:r>
            <w:rPr>
              <w:rFonts w:hint="eastAsia" w:asciiTheme="majorEastAsia" w:hAnsiTheme="majorEastAsia" w:eastAsiaTheme="majorEastAsia"/>
              <w:szCs w:val="30"/>
              <w:lang w:eastAsia="zh-TW"/>
            </w:rPr>
            <w:t xml:space="preserve">（二） </w:t>
          </w:r>
          <w:r>
            <w:rPr>
              <w:rFonts w:hint="eastAsia" w:asciiTheme="majorEastAsia" w:hAnsiTheme="majorEastAsia" w:eastAsiaTheme="majorEastAsia"/>
              <w:szCs w:val="30"/>
              <w:lang w:val="en-US" w:eastAsia="zh-CN"/>
            </w:rPr>
            <w:t>遴选文件</w:t>
          </w:r>
          <w:r>
            <w:tab/>
          </w:r>
          <w:r>
            <w:fldChar w:fldCharType="begin"/>
          </w:r>
          <w:r>
            <w:instrText xml:space="preserve"> PAGEREF _Toc11903 \h </w:instrText>
          </w:r>
          <w:r>
            <w:fldChar w:fldCharType="separate"/>
          </w:r>
          <w:r>
            <w:t>64</w:t>
          </w:r>
          <w:r>
            <w:fldChar w:fldCharType="end"/>
          </w:r>
          <w:r>
            <w:fldChar w:fldCharType="end"/>
          </w:r>
        </w:p>
        <w:p w14:paraId="5EA68940">
          <w:pPr>
            <w:pStyle w:val="32"/>
            <w:tabs>
              <w:tab w:val="right" w:leader="dot" w:pos="9180"/>
            </w:tabs>
          </w:pPr>
          <w:r>
            <w:fldChar w:fldCharType="begin"/>
          </w:r>
          <w:r>
            <w:instrText xml:space="preserve"> HYPERLINK \l _Toc20572 </w:instrText>
          </w:r>
          <w:r>
            <w:fldChar w:fldCharType="separate"/>
          </w:r>
          <w:r>
            <w:rPr>
              <w:rFonts w:hint="eastAsia" w:asciiTheme="majorEastAsia" w:hAnsiTheme="majorEastAsia" w:eastAsiaTheme="majorEastAsia"/>
              <w:szCs w:val="30"/>
              <w:lang w:eastAsia="zh-TW"/>
            </w:rPr>
            <w:t xml:space="preserve">（三） </w:t>
          </w:r>
          <w:r>
            <w:rPr>
              <w:rFonts w:hint="eastAsia" w:asciiTheme="majorEastAsia" w:hAnsiTheme="majorEastAsia" w:eastAsiaTheme="majorEastAsia"/>
              <w:szCs w:val="30"/>
              <w:lang w:eastAsia="zh-CN"/>
            </w:rPr>
            <w:t>遴选响应文件</w:t>
          </w:r>
          <w:r>
            <w:rPr>
              <w:rFonts w:hint="eastAsia" w:asciiTheme="majorEastAsia" w:hAnsiTheme="majorEastAsia" w:eastAsiaTheme="majorEastAsia"/>
              <w:szCs w:val="30"/>
              <w:lang w:eastAsia="zh-TW"/>
            </w:rPr>
            <w:t>的编制</w:t>
          </w:r>
          <w:r>
            <w:tab/>
          </w:r>
          <w:r>
            <w:fldChar w:fldCharType="begin"/>
          </w:r>
          <w:r>
            <w:instrText xml:space="preserve"> PAGEREF _Toc20572 \h </w:instrText>
          </w:r>
          <w:r>
            <w:fldChar w:fldCharType="separate"/>
          </w:r>
          <w:r>
            <w:t>65</w:t>
          </w:r>
          <w:r>
            <w:fldChar w:fldCharType="end"/>
          </w:r>
          <w:r>
            <w:fldChar w:fldCharType="end"/>
          </w:r>
        </w:p>
        <w:p w14:paraId="74C7F9B2">
          <w:pPr>
            <w:pStyle w:val="32"/>
            <w:tabs>
              <w:tab w:val="right" w:leader="dot" w:pos="9180"/>
            </w:tabs>
          </w:pPr>
          <w:r>
            <w:fldChar w:fldCharType="begin"/>
          </w:r>
          <w:r>
            <w:instrText xml:space="preserve"> HYPERLINK \l _Toc9879 </w:instrText>
          </w:r>
          <w:r>
            <w:fldChar w:fldCharType="separate"/>
          </w:r>
          <w:r>
            <w:rPr>
              <w:rFonts w:hint="eastAsia" w:asciiTheme="majorEastAsia" w:hAnsiTheme="majorEastAsia" w:eastAsiaTheme="majorEastAsia"/>
              <w:szCs w:val="30"/>
              <w:lang w:eastAsia="zh-TW"/>
            </w:rPr>
            <w:t xml:space="preserve">（四） </w:t>
          </w:r>
          <w:r>
            <w:rPr>
              <w:rFonts w:hint="eastAsia" w:asciiTheme="majorEastAsia" w:hAnsiTheme="majorEastAsia" w:eastAsiaTheme="majorEastAsia"/>
              <w:szCs w:val="30"/>
              <w:lang w:eastAsia="zh-CN"/>
            </w:rPr>
            <w:t>遴选响应文件</w:t>
          </w:r>
          <w:r>
            <w:rPr>
              <w:rFonts w:hint="eastAsia" w:asciiTheme="majorEastAsia" w:hAnsiTheme="majorEastAsia" w:eastAsiaTheme="majorEastAsia"/>
              <w:szCs w:val="30"/>
              <w:lang w:eastAsia="zh-TW"/>
            </w:rPr>
            <w:t>的递交</w:t>
          </w:r>
          <w:r>
            <w:tab/>
          </w:r>
          <w:r>
            <w:fldChar w:fldCharType="begin"/>
          </w:r>
          <w:r>
            <w:instrText xml:space="preserve"> PAGEREF _Toc9879 \h </w:instrText>
          </w:r>
          <w:r>
            <w:fldChar w:fldCharType="separate"/>
          </w:r>
          <w:r>
            <w:t>67</w:t>
          </w:r>
          <w:r>
            <w:fldChar w:fldCharType="end"/>
          </w:r>
          <w:r>
            <w:fldChar w:fldCharType="end"/>
          </w:r>
        </w:p>
        <w:p w14:paraId="439185FE">
          <w:pPr>
            <w:pStyle w:val="32"/>
            <w:tabs>
              <w:tab w:val="right" w:leader="dot" w:pos="9180"/>
            </w:tabs>
          </w:pPr>
          <w:r>
            <w:fldChar w:fldCharType="begin"/>
          </w:r>
          <w:r>
            <w:instrText xml:space="preserve"> HYPERLINK \l _Toc27110 </w:instrText>
          </w:r>
          <w:r>
            <w:fldChar w:fldCharType="separate"/>
          </w:r>
          <w:r>
            <w:rPr>
              <w:rFonts w:hint="eastAsia" w:asciiTheme="majorEastAsia" w:hAnsiTheme="majorEastAsia" w:eastAsiaTheme="majorEastAsia"/>
              <w:szCs w:val="30"/>
              <w:lang w:eastAsia="zh-TW"/>
            </w:rPr>
            <w:t>（五） 授予合同</w:t>
          </w:r>
          <w:r>
            <w:tab/>
          </w:r>
          <w:r>
            <w:fldChar w:fldCharType="begin"/>
          </w:r>
          <w:r>
            <w:instrText xml:space="preserve"> PAGEREF _Toc27110 \h </w:instrText>
          </w:r>
          <w:r>
            <w:fldChar w:fldCharType="separate"/>
          </w:r>
          <w:r>
            <w:t>69</w:t>
          </w:r>
          <w:r>
            <w:fldChar w:fldCharType="end"/>
          </w:r>
          <w:r>
            <w:fldChar w:fldCharType="end"/>
          </w:r>
        </w:p>
        <w:p w14:paraId="7774789B">
          <w:r>
            <w:fldChar w:fldCharType="end"/>
          </w:r>
        </w:p>
      </w:sdtContent>
    </w:sdt>
    <w:p w14:paraId="4EFAF731"/>
    <w:p w14:paraId="35FB1F22">
      <w:pPr>
        <w:widowControl/>
        <w:jc w:val="left"/>
        <w:rPr>
          <w:rFonts w:ascii="宋体" w:hAnsi="宋体" w:cs="宋体"/>
          <w:b/>
          <w:bCs/>
          <w:sz w:val="28"/>
          <w:szCs w:val="28"/>
        </w:rPr>
      </w:pPr>
      <w:r>
        <w:rPr>
          <w:rFonts w:hint="eastAsia" w:ascii="宋体" w:hAnsi="宋体" w:cs="宋体"/>
          <w:b/>
          <w:bCs/>
          <w:sz w:val="28"/>
          <w:szCs w:val="28"/>
        </w:rPr>
        <w:br w:type="page"/>
      </w:r>
    </w:p>
    <w:p w14:paraId="3115C000">
      <w:pPr>
        <w:pStyle w:val="2"/>
        <w:jc w:val="center"/>
        <w:rPr>
          <w:rFonts w:asciiTheme="majorEastAsia" w:hAnsiTheme="majorEastAsia" w:eastAsiaTheme="majorEastAsia" w:cstheme="majorEastAsia"/>
          <w:color w:val="auto"/>
          <w:sz w:val="32"/>
          <w:szCs w:val="32"/>
          <w:highlight w:val="none"/>
        </w:rPr>
      </w:pPr>
      <w:bookmarkStart w:id="3" w:name="_Toc8307299"/>
      <w:bookmarkStart w:id="4" w:name="_Toc11020"/>
      <w:bookmarkStart w:id="5" w:name="_Toc4815_WPSOffice_Level1"/>
      <w:bookmarkStart w:id="6" w:name="_Toc16797"/>
      <w:bookmarkStart w:id="7" w:name="_Toc14197"/>
      <w:bookmarkStart w:id="8" w:name="_Toc21804"/>
      <w:r>
        <w:rPr>
          <w:rFonts w:hint="eastAsia" w:asciiTheme="majorEastAsia" w:hAnsiTheme="majorEastAsia" w:eastAsiaTheme="majorEastAsia" w:cstheme="majorEastAsia"/>
          <w:color w:val="auto"/>
          <w:sz w:val="32"/>
          <w:szCs w:val="32"/>
          <w:highlight w:val="none"/>
        </w:rPr>
        <w:t xml:space="preserve">第一章 </w:t>
      </w:r>
      <w:r>
        <w:rPr>
          <w:rFonts w:hint="eastAsia" w:asciiTheme="majorEastAsia" w:hAnsiTheme="majorEastAsia" w:eastAsiaTheme="majorEastAsia" w:cstheme="majorEastAsia"/>
          <w:color w:val="auto"/>
          <w:sz w:val="32"/>
          <w:szCs w:val="32"/>
          <w:highlight w:val="none"/>
          <w:lang w:val="en-US" w:eastAsia="zh-CN"/>
        </w:rPr>
        <w:t>遴选</w:t>
      </w:r>
      <w:r>
        <w:rPr>
          <w:rFonts w:hint="eastAsia" w:asciiTheme="majorEastAsia" w:hAnsiTheme="majorEastAsia" w:eastAsiaTheme="majorEastAsia" w:cstheme="majorEastAsia"/>
          <w:color w:val="auto"/>
          <w:sz w:val="32"/>
          <w:szCs w:val="32"/>
          <w:highlight w:val="none"/>
        </w:rPr>
        <w:t>邀请</w:t>
      </w:r>
      <w:bookmarkEnd w:id="3"/>
      <w:bookmarkEnd w:id="4"/>
      <w:bookmarkEnd w:id="5"/>
      <w:bookmarkEnd w:id="6"/>
      <w:bookmarkEnd w:id="7"/>
      <w:bookmarkEnd w:id="8"/>
    </w:p>
    <w:p w14:paraId="7B16DDEE">
      <w:pPr>
        <w:adjustRightInd w:val="0"/>
        <w:snapToGrid w:val="0"/>
        <w:spacing w:line="360" w:lineRule="auto"/>
        <w:ind w:firstLine="420" w:firstLineChars="200"/>
        <w:rPr>
          <w:rFonts w:ascii="宋体" w:hAnsi="宋体" w:cs="宋体"/>
          <w:bCs/>
          <w:color w:val="auto"/>
          <w:szCs w:val="20"/>
          <w:highlight w:val="none"/>
        </w:rPr>
      </w:pPr>
      <w:r>
        <w:rPr>
          <w:rFonts w:hint="eastAsia" w:ascii="宋体" w:hAnsi="宋体" w:cs="宋体"/>
          <w:color w:val="auto"/>
          <w:szCs w:val="21"/>
          <w:highlight w:val="none"/>
          <w:lang w:eastAsia="zh-CN"/>
        </w:rPr>
        <w:t>深圳市福田区第二人民医院</w:t>
      </w:r>
      <w:r>
        <w:rPr>
          <w:rFonts w:hint="eastAsia" w:ascii="宋体" w:hAnsi="宋体" w:cs="宋体"/>
          <w:bCs/>
          <w:color w:val="auto"/>
          <w:szCs w:val="21"/>
          <w:highlight w:val="none"/>
        </w:rPr>
        <w:t>对</w:t>
      </w:r>
      <w:r>
        <w:rPr>
          <w:rFonts w:hint="eastAsia" w:ascii="宋体" w:hAnsi="宋体" w:cs="宋体"/>
          <w:color w:val="auto"/>
          <w:szCs w:val="21"/>
          <w:highlight w:val="none"/>
          <w:lang w:eastAsia="zh-CN"/>
        </w:rPr>
        <w:t>医用耗材供应链精细化管理（SPD）服务</w:t>
      </w:r>
      <w:r>
        <w:rPr>
          <w:rFonts w:hint="eastAsia" w:ascii="宋体" w:hAnsi="宋体" w:cs="宋体"/>
          <w:color w:val="auto"/>
          <w:szCs w:val="21"/>
          <w:highlight w:val="none"/>
          <w:lang w:val="en-US" w:eastAsia="zh-CN"/>
        </w:rPr>
        <w:t>项目</w:t>
      </w:r>
      <w:r>
        <w:rPr>
          <w:rFonts w:hint="eastAsia" w:ascii="宋体" w:hAnsi="宋体" w:cs="宋体"/>
          <w:bCs/>
          <w:color w:val="auto"/>
          <w:szCs w:val="21"/>
          <w:highlight w:val="none"/>
        </w:rPr>
        <w:t>进行公开</w:t>
      </w:r>
      <w:r>
        <w:rPr>
          <w:rFonts w:hint="eastAsia" w:ascii="宋体" w:hAnsi="宋体" w:cs="宋体"/>
          <w:bCs/>
          <w:color w:val="auto"/>
          <w:szCs w:val="21"/>
          <w:highlight w:val="none"/>
          <w:lang w:val="en-US" w:eastAsia="zh-CN"/>
        </w:rPr>
        <w:t>遴选</w:t>
      </w:r>
      <w:r>
        <w:rPr>
          <w:rFonts w:hint="eastAsia" w:ascii="宋体" w:hAnsi="宋体" w:cs="宋体"/>
          <w:bCs/>
          <w:color w:val="auto"/>
          <w:szCs w:val="21"/>
          <w:highlight w:val="none"/>
        </w:rPr>
        <w:t>，</w:t>
      </w:r>
      <w:r>
        <w:rPr>
          <w:rFonts w:hint="eastAsia" w:ascii="宋体" w:hAnsi="宋体" w:cs="宋体"/>
          <w:color w:val="auto"/>
          <w:szCs w:val="21"/>
          <w:highlight w:val="none"/>
        </w:rPr>
        <w:t>欢迎</w:t>
      </w:r>
      <w:r>
        <w:rPr>
          <w:rFonts w:hint="eastAsia" w:ascii="宋体" w:hAnsi="宋体" w:cs="宋体"/>
          <w:color w:val="auto"/>
          <w:highlight w:val="none"/>
        </w:rPr>
        <w:t>符合</w:t>
      </w:r>
      <w:r>
        <w:rPr>
          <w:rFonts w:hint="eastAsia" w:ascii="宋体" w:hAnsi="宋体" w:cs="宋体"/>
          <w:color w:val="auto"/>
          <w:szCs w:val="21"/>
          <w:highlight w:val="none"/>
        </w:rPr>
        <w:t>资格</w:t>
      </w:r>
      <w:r>
        <w:rPr>
          <w:rFonts w:hint="eastAsia" w:ascii="宋体" w:hAnsi="宋体" w:cs="宋体"/>
          <w:color w:val="auto"/>
          <w:highlight w:val="none"/>
        </w:rPr>
        <w:t>条件的</w:t>
      </w:r>
      <w:r>
        <w:rPr>
          <w:rFonts w:hint="eastAsia" w:ascii="宋体" w:hAnsi="宋体" w:cs="宋体"/>
          <w:bCs/>
          <w:color w:val="auto"/>
          <w:szCs w:val="21"/>
          <w:highlight w:val="none"/>
        </w:rPr>
        <w:t>供应商</w:t>
      </w:r>
      <w:r>
        <w:rPr>
          <w:rFonts w:hint="eastAsia" w:ascii="宋体" w:hAnsi="宋体" w:cs="宋体"/>
          <w:color w:val="auto"/>
          <w:highlight w:val="none"/>
          <w:lang w:val="en-US" w:eastAsia="zh-CN"/>
        </w:rPr>
        <w:t>报名</w:t>
      </w:r>
      <w:r>
        <w:rPr>
          <w:rFonts w:hint="eastAsia" w:ascii="宋体" w:hAnsi="宋体" w:cs="宋体"/>
          <w:color w:val="auto"/>
          <w:highlight w:val="none"/>
        </w:rPr>
        <w:t>。</w:t>
      </w:r>
    </w:p>
    <w:p w14:paraId="79A82EFF">
      <w:pPr>
        <w:tabs>
          <w:tab w:val="left" w:pos="567"/>
        </w:tabs>
        <w:adjustRightInd w:val="0"/>
        <w:snapToGrid w:val="0"/>
        <w:spacing w:line="360" w:lineRule="auto"/>
        <w:rPr>
          <w:rFonts w:hint="eastAsia" w:ascii="宋体" w:hAnsi="宋体" w:eastAsia="宋体" w:cs="宋体"/>
          <w:bCs/>
          <w:color w:val="auto"/>
          <w:szCs w:val="20"/>
          <w:highlight w:val="none"/>
          <w:lang w:eastAsia="zh-CN"/>
        </w:rPr>
      </w:pPr>
      <w:r>
        <w:rPr>
          <w:rFonts w:hint="eastAsia" w:ascii="宋体" w:hAnsi="宋体" w:cs="宋体"/>
          <w:bCs/>
          <w:color w:val="auto"/>
          <w:szCs w:val="20"/>
          <w:highlight w:val="none"/>
        </w:rPr>
        <w:t>一、项目编号：</w:t>
      </w:r>
      <w:r>
        <w:rPr>
          <w:rFonts w:hint="eastAsia" w:ascii="宋体" w:hAnsi="宋体" w:cs="宋体"/>
          <w:bCs/>
          <w:color w:val="auto"/>
          <w:szCs w:val="20"/>
          <w:highlight w:val="none"/>
          <w:lang w:eastAsia="zh-CN"/>
        </w:rPr>
        <w:t>FTEY-202501-FW001</w:t>
      </w:r>
    </w:p>
    <w:p w14:paraId="00388D9F">
      <w:pPr>
        <w:tabs>
          <w:tab w:val="left" w:pos="567"/>
        </w:tabs>
        <w:adjustRightInd w:val="0"/>
        <w:snapToGrid w:val="0"/>
        <w:spacing w:line="360" w:lineRule="auto"/>
        <w:rPr>
          <w:rFonts w:hint="default" w:ascii="宋体" w:hAnsi="宋体" w:eastAsia="宋体" w:cs="宋体"/>
          <w:color w:val="auto"/>
          <w:highlight w:val="none"/>
          <w:lang w:val="en-US" w:eastAsia="zh-CN"/>
        </w:rPr>
      </w:pPr>
      <w:r>
        <w:rPr>
          <w:rFonts w:hint="eastAsia" w:ascii="宋体" w:hAnsi="宋体" w:cs="宋体"/>
          <w:bCs/>
          <w:color w:val="auto"/>
          <w:szCs w:val="20"/>
          <w:highlight w:val="none"/>
        </w:rPr>
        <w:t>二、</w:t>
      </w:r>
      <w:r>
        <w:rPr>
          <w:rFonts w:hint="eastAsia" w:ascii="宋体" w:hAnsi="宋体" w:cs="宋体"/>
          <w:bCs/>
          <w:color w:val="auto"/>
          <w:szCs w:val="20"/>
          <w:highlight w:val="none"/>
          <w:lang w:val="en-US" w:eastAsia="zh-CN"/>
        </w:rPr>
        <w:t>遴选</w:t>
      </w:r>
      <w:r>
        <w:rPr>
          <w:rFonts w:hint="eastAsia" w:ascii="宋体" w:hAnsi="宋体" w:cs="宋体"/>
          <w:bCs/>
          <w:color w:val="auto"/>
          <w:szCs w:val="20"/>
          <w:highlight w:val="none"/>
        </w:rPr>
        <w:t>项目名称：</w:t>
      </w:r>
      <w:r>
        <w:rPr>
          <w:rFonts w:hint="eastAsia" w:ascii="宋体" w:hAnsi="宋体" w:cs="宋体"/>
          <w:color w:val="auto"/>
          <w:highlight w:val="none"/>
          <w:lang w:eastAsia="zh-CN"/>
        </w:rPr>
        <w:t>医用耗材供应链精细化管理（SPD）服务</w:t>
      </w:r>
      <w:r>
        <w:rPr>
          <w:rFonts w:hint="eastAsia" w:ascii="宋体" w:hAnsi="宋体" w:cs="宋体"/>
          <w:color w:val="auto"/>
          <w:highlight w:val="none"/>
          <w:lang w:val="en-US" w:eastAsia="zh-CN"/>
        </w:rPr>
        <w:t>项目</w:t>
      </w:r>
    </w:p>
    <w:p w14:paraId="105E908F">
      <w:pPr>
        <w:tabs>
          <w:tab w:val="left" w:pos="567"/>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三、</w:t>
      </w:r>
      <w:r>
        <w:rPr>
          <w:rFonts w:hint="eastAsia" w:ascii="宋体" w:hAnsi="宋体" w:cs="宋体"/>
          <w:bCs/>
          <w:color w:val="auto"/>
          <w:szCs w:val="20"/>
          <w:highlight w:val="none"/>
          <w:lang w:val="en-US" w:eastAsia="zh-CN"/>
        </w:rPr>
        <w:t>遴选</w:t>
      </w:r>
      <w:r>
        <w:rPr>
          <w:rFonts w:hint="eastAsia" w:ascii="宋体" w:hAnsi="宋体" w:cs="宋体"/>
          <w:bCs/>
          <w:color w:val="auto"/>
          <w:szCs w:val="20"/>
          <w:highlight w:val="none"/>
        </w:rPr>
        <w:t>项目内容及需求：</w:t>
      </w:r>
    </w:p>
    <w:p w14:paraId="1B2CF30B">
      <w:pPr>
        <w:adjustRightInd w:val="0"/>
        <w:snapToGrid w:val="0"/>
        <w:spacing w:line="360" w:lineRule="auto"/>
        <w:ind w:firstLine="424" w:firstLineChars="202"/>
        <w:rPr>
          <w:rFonts w:ascii="宋体" w:hAnsi="宋体" w:cs="宋体"/>
          <w:bCs/>
          <w:color w:val="auto"/>
          <w:szCs w:val="20"/>
          <w:highlight w:val="none"/>
        </w:rPr>
      </w:pPr>
      <w:r>
        <w:rPr>
          <w:rFonts w:hint="eastAsia" w:ascii="宋体" w:hAnsi="宋体" w:cs="宋体"/>
          <w:bCs/>
          <w:color w:val="auto"/>
          <w:szCs w:val="20"/>
          <w:highlight w:val="none"/>
        </w:rPr>
        <w:t>1</w:t>
      </w:r>
      <w:r>
        <w:rPr>
          <w:rFonts w:ascii="宋体" w:hAnsi="宋体" w:cs="宋体"/>
          <w:bCs/>
          <w:color w:val="auto"/>
          <w:szCs w:val="20"/>
          <w:highlight w:val="none"/>
        </w:rPr>
        <w:t>.</w:t>
      </w:r>
      <w:r>
        <w:rPr>
          <w:rFonts w:hint="eastAsia" w:ascii="宋体" w:hAnsi="宋体" w:cs="宋体"/>
          <w:bCs/>
          <w:color w:val="auto"/>
          <w:szCs w:val="20"/>
          <w:highlight w:val="none"/>
          <w:lang w:val="en-US" w:eastAsia="zh-CN"/>
        </w:rPr>
        <w:t>遴选</w:t>
      </w:r>
      <w:r>
        <w:rPr>
          <w:rFonts w:hint="eastAsia" w:ascii="宋体" w:hAnsi="宋体" w:cs="宋体"/>
          <w:bCs/>
          <w:color w:val="auto"/>
          <w:szCs w:val="20"/>
          <w:highlight w:val="none"/>
        </w:rPr>
        <w:t>项目内容：</w:t>
      </w:r>
    </w:p>
    <w:tbl>
      <w:tblPr>
        <w:tblStyle w:val="40"/>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3"/>
        <w:gridCol w:w="915"/>
        <w:gridCol w:w="6540"/>
      </w:tblGrid>
      <w:tr w14:paraId="79482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223" w:type="dxa"/>
            <w:shd w:val="clear" w:color="auto" w:fill="C2D69B" w:themeFill="accent3" w:themeFillTint="99"/>
            <w:vAlign w:val="center"/>
          </w:tcPr>
          <w:p w14:paraId="3516402A">
            <w:pPr>
              <w:pStyle w:val="21"/>
              <w:numPr>
                <w:ilvl w:val="0"/>
                <w:numId w:val="0"/>
              </w:numPr>
              <w:spacing w:line="240" w:lineRule="auto"/>
              <w:jc w:val="center"/>
              <w:rPr>
                <w:rFonts w:hint="eastAsia" w:ascii="宋体" w:hAnsi="宋体" w:eastAsia="宋体" w:cs="宋体"/>
                <w:b/>
                <w:bCs w:val="0"/>
                <w:color w:val="auto"/>
                <w:kern w:val="2"/>
                <w:sz w:val="21"/>
                <w:szCs w:val="20"/>
                <w:highlight w:val="none"/>
                <w:lang w:val="en-US" w:eastAsia="zh-CN" w:bidi="ar-SA"/>
              </w:rPr>
            </w:pPr>
            <w:r>
              <w:rPr>
                <w:rFonts w:hint="eastAsia" w:ascii="宋体" w:hAnsi="宋体" w:eastAsia="宋体" w:cs="宋体"/>
                <w:b/>
                <w:bCs w:val="0"/>
                <w:color w:val="auto"/>
                <w:kern w:val="2"/>
                <w:sz w:val="21"/>
                <w:szCs w:val="20"/>
                <w:highlight w:val="none"/>
                <w:lang w:val="en-US" w:eastAsia="zh-CN" w:bidi="ar-SA"/>
              </w:rPr>
              <w:t>项目名称</w:t>
            </w:r>
          </w:p>
        </w:tc>
        <w:tc>
          <w:tcPr>
            <w:tcW w:w="915" w:type="dxa"/>
            <w:shd w:val="clear" w:color="auto" w:fill="C2D69B" w:themeFill="accent3" w:themeFillTint="99"/>
            <w:vAlign w:val="center"/>
          </w:tcPr>
          <w:p w14:paraId="6D49E5ED">
            <w:pPr>
              <w:pStyle w:val="21"/>
              <w:numPr>
                <w:ilvl w:val="0"/>
                <w:numId w:val="0"/>
              </w:numPr>
              <w:spacing w:line="240" w:lineRule="auto"/>
              <w:jc w:val="center"/>
              <w:rPr>
                <w:rFonts w:hint="eastAsia" w:ascii="宋体" w:hAnsi="宋体" w:eastAsia="宋体" w:cs="宋体"/>
                <w:b/>
                <w:bCs w:val="0"/>
                <w:color w:val="auto"/>
                <w:kern w:val="2"/>
                <w:sz w:val="21"/>
                <w:szCs w:val="20"/>
                <w:highlight w:val="none"/>
                <w:lang w:val="en-US" w:eastAsia="zh-CN" w:bidi="ar-SA"/>
              </w:rPr>
            </w:pPr>
            <w:r>
              <w:rPr>
                <w:rFonts w:hint="eastAsia" w:ascii="宋体" w:hAnsi="宋体" w:eastAsia="宋体" w:cs="宋体"/>
                <w:b/>
                <w:bCs w:val="0"/>
                <w:color w:val="auto"/>
                <w:kern w:val="2"/>
                <w:sz w:val="21"/>
                <w:szCs w:val="20"/>
                <w:highlight w:val="none"/>
                <w:lang w:val="en-US" w:eastAsia="zh-CN" w:bidi="ar-SA"/>
              </w:rPr>
              <w:t>数量</w:t>
            </w:r>
          </w:p>
        </w:tc>
        <w:tc>
          <w:tcPr>
            <w:tcW w:w="6540" w:type="dxa"/>
            <w:shd w:val="clear" w:color="auto" w:fill="C2D69B" w:themeFill="accent3" w:themeFillTint="99"/>
            <w:vAlign w:val="center"/>
          </w:tcPr>
          <w:p w14:paraId="7D4F8B53">
            <w:pPr>
              <w:pStyle w:val="21"/>
              <w:numPr>
                <w:ilvl w:val="0"/>
                <w:numId w:val="0"/>
              </w:numPr>
              <w:spacing w:line="240" w:lineRule="auto"/>
              <w:jc w:val="center"/>
              <w:rPr>
                <w:rFonts w:hint="eastAsia" w:ascii="宋体" w:hAnsi="宋体" w:eastAsia="宋体" w:cs="宋体"/>
                <w:b/>
                <w:bCs w:val="0"/>
                <w:color w:val="auto"/>
                <w:kern w:val="2"/>
                <w:sz w:val="21"/>
                <w:szCs w:val="20"/>
                <w:highlight w:val="none"/>
                <w:lang w:val="en-US" w:eastAsia="zh-CN" w:bidi="ar-SA"/>
              </w:rPr>
            </w:pPr>
            <w:r>
              <w:rPr>
                <w:rFonts w:hint="eastAsia" w:ascii="宋体" w:hAnsi="宋体" w:eastAsia="宋体" w:cs="宋体"/>
                <w:b/>
                <w:bCs w:val="0"/>
                <w:color w:val="auto"/>
                <w:kern w:val="2"/>
                <w:sz w:val="21"/>
                <w:szCs w:val="20"/>
                <w:highlight w:val="none"/>
                <w:lang w:val="en-US" w:eastAsia="zh-CN" w:bidi="ar-SA"/>
              </w:rPr>
              <w:t>服务期</w:t>
            </w:r>
          </w:p>
        </w:tc>
      </w:tr>
      <w:tr w14:paraId="6AF9C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223" w:type="dxa"/>
            <w:vAlign w:val="top"/>
          </w:tcPr>
          <w:p w14:paraId="11F09081">
            <w:pPr>
              <w:pStyle w:val="21"/>
              <w:numPr>
                <w:ilvl w:val="0"/>
                <w:numId w:val="0"/>
              </w:numPr>
              <w:spacing w:line="240" w:lineRule="auto"/>
              <w:jc w:val="center"/>
              <w:rPr>
                <w:rFonts w:hint="eastAsia" w:ascii="宋体" w:hAnsi="宋体" w:eastAsia="宋体" w:cs="宋体"/>
                <w:bCs/>
                <w:color w:val="auto"/>
                <w:kern w:val="2"/>
                <w:sz w:val="21"/>
                <w:szCs w:val="20"/>
                <w:highlight w:val="none"/>
                <w:lang w:val="en-US" w:eastAsia="zh-CN" w:bidi="ar-SA"/>
              </w:rPr>
            </w:pPr>
          </w:p>
          <w:p w14:paraId="634CD158">
            <w:pPr>
              <w:pStyle w:val="21"/>
              <w:numPr>
                <w:ilvl w:val="0"/>
                <w:numId w:val="0"/>
              </w:numPr>
              <w:spacing w:line="240" w:lineRule="auto"/>
              <w:jc w:val="center"/>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医用耗材供应链精细化管理（SPD）服务</w:t>
            </w:r>
          </w:p>
        </w:tc>
        <w:tc>
          <w:tcPr>
            <w:tcW w:w="915" w:type="dxa"/>
            <w:vAlign w:val="top"/>
          </w:tcPr>
          <w:p w14:paraId="536E2829">
            <w:pPr>
              <w:pStyle w:val="21"/>
              <w:numPr>
                <w:ilvl w:val="0"/>
                <w:numId w:val="0"/>
              </w:numPr>
              <w:spacing w:line="240" w:lineRule="auto"/>
              <w:jc w:val="center"/>
              <w:rPr>
                <w:rFonts w:hint="eastAsia" w:ascii="宋体" w:hAnsi="宋体" w:eastAsia="宋体" w:cs="宋体"/>
                <w:bCs/>
                <w:color w:val="auto"/>
                <w:kern w:val="2"/>
                <w:sz w:val="21"/>
                <w:szCs w:val="20"/>
                <w:highlight w:val="none"/>
                <w:lang w:val="en-US" w:eastAsia="zh-CN" w:bidi="ar-SA"/>
              </w:rPr>
            </w:pPr>
          </w:p>
          <w:p w14:paraId="1F4A34A7">
            <w:pPr>
              <w:pStyle w:val="21"/>
              <w:numPr>
                <w:ilvl w:val="0"/>
                <w:numId w:val="0"/>
              </w:numPr>
              <w:spacing w:line="240" w:lineRule="auto"/>
              <w:jc w:val="center"/>
              <w:rPr>
                <w:rFonts w:hint="eastAsia" w:ascii="宋体" w:hAnsi="宋体" w:eastAsia="宋体" w:cs="宋体"/>
                <w:bCs/>
                <w:color w:val="auto"/>
                <w:kern w:val="2"/>
                <w:sz w:val="21"/>
                <w:szCs w:val="20"/>
                <w:highlight w:val="none"/>
                <w:lang w:val="en-US" w:eastAsia="zh-CN" w:bidi="ar-SA"/>
              </w:rPr>
            </w:pPr>
          </w:p>
          <w:p w14:paraId="649F43F1">
            <w:pPr>
              <w:pStyle w:val="21"/>
              <w:numPr>
                <w:ilvl w:val="0"/>
                <w:numId w:val="0"/>
              </w:numPr>
              <w:spacing w:line="240" w:lineRule="auto"/>
              <w:jc w:val="center"/>
              <w:rPr>
                <w:rFonts w:hint="default"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1项</w:t>
            </w:r>
          </w:p>
        </w:tc>
        <w:tc>
          <w:tcPr>
            <w:tcW w:w="6540" w:type="dxa"/>
            <w:vAlign w:val="top"/>
          </w:tcPr>
          <w:p w14:paraId="211292F7">
            <w:pPr>
              <w:pStyle w:val="21"/>
              <w:numPr>
                <w:ilvl w:val="0"/>
                <w:numId w:val="0"/>
              </w:numPr>
              <w:spacing w:line="240" w:lineRule="auto"/>
              <w:jc w:val="center"/>
              <w:rPr>
                <w:rFonts w:hint="eastAsia" w:ascii="宋体" w:hAnsi="宋体" w:eastAsia="宋体" w:cs="宋体"/>
                <w:bCs/>
                <w:color w:val="auto"/>
                <w:kern w:val="2"/>
                <w:sz w:val="21"/>
                <w:szCs w:val="20"/>
                <w:highlight w:val="none"/>
                <w:lang w:val="en-US" w:eastAsia="zh-CN" w:bidi="ar-SA"/>
              </w:rPr>
            </w:pPr>
            <w:r>
              <w:rPr>
                <w:rFonts w:hint="eastAsia" w:cs="Times New Roman" w:asciiTheme="minorEastAsia" w:hAnsiTheme="minorEastAsia" w:eastAsiaTheme="minorEastAsia"/>
                <w:b/>
                <w:bCs/>
                <w:szCs w:val="21"/>
              </w:rPr>
              <w:t>★</w:t>
            </w:r>
            <w:r>
              <w:rPr>
                <w:rFonts w:hint="eastAsia" w:ascii="宋体" w:hAnsi="宋体" w:eastAsia="宋体" w:cs="宋体"/>
                <w:bCs/>
                <w:color w:val="auto"/>
                <w:kern w:val="2"/>
                <w:sz w:val="21"/>
                <w:szCs w:val="20"/>
                <w:highlight w:val="none"/>
                <w:lang w:val="en-US" w:eastAsia="zh-CN" w:bidi="ar-SA"/>
              </w:rPr>
              <w:t>项目为长期服务类项目，第一年为本次采购服务期限，采购人可根据项目需要和中</w:t>
            </w:r>
            <w:r>
              <w:rPr>
                <w:rFonts w:hint="eastAsia" w:hAnsi="宋体" w:eastAsia="宋体" w:cs="宋体"/>
                <w:bCs/>
                <w:color w:val="auto"/>
                <w:kern w:val="2"/>
                <w:sz w:val="21"/>
                <w:szCs w:val="20"/>
                <w:highlight w:val="none"/>
                <w:lang w:val="en-US" w:eastAsia="zh-CN" w:bidi="ar-SA"/>
              </w:rPr>
              <w:t>选</w:t>
            </w:r>
            <w:r>
              <w:rPr>
                <w:rFonts w:hint="eastAsia" w:ascii="宋体" w:hAnsi="宋体" w:eastAsia="宋体" w:cs="宋体"/>
                <w:bCs/>
                <w:color w:val="auto"/>
                <w:kern w:val="2"/>
                <w:sz w:val="21"/>
                <w:szCs w:val="20"/>
                <w:highlight w:val="none"/>
                <w:lang w:val="en-US" w:eastAsia="zh-CN" w:bidi="ar-SA"/>
              </w:rPr>
              <w:t>方的履约情况确定合同期限是否延长，但最长累计不超过三年。如合同执行期间与国家医改新政策或规定不符，则经双方协商一致后做相应的调整或合同中止，在此之前已完成的合同内容及费用等双方各自承担，所造成的损失，双方互不追究责任。</w:t>
            </w:r>
          </w:p>
        </w:tc>
      </w:tr>
    </w:tbl>
    <w:p w14:paraId="0F85AE96">
      <w:pPr>
        <w:adjustRightInd w:val="0"/>
        <w:snapToGrid w:val="0"/>
        <w:spacing w:line="360" w:lineRule="auto"/>
        <w:ind w:firstLine="420" w:firstLineChars="200"/>
        <w:rPr>
          <w:rFonts w:ascii="宋体" w:hAnsi="宋体" w:cs="宋体"/>
          <w:bCs/>
          <w:color w:val="auto"/>
          <w:szCs w:val="20"/>
          <w:highlight w:val="none"/>
        </w:rPr>
      </w:pPr>
      <w:bookmarkStart w:id="9" w:name="_Toc435514843"/>
      <w:bookmarkStart w:id="10" w:name="_Toc435115052"/>
      <w:r>
        <w:rPr>
          <w:rFonts w:hint="eastAsia" w:ascii="宋体" w:hAnsi="宋体" w:cs="宋体"/>
          <w:bCs/>
          <w:color w:val="auto"/>
          <w:szCs w:val="20"/>
          <w:highlight w:val="none"/>
        </w:rPr>
        <w:t>2</w:t>
      </w:r>
      <w:r>
        <w:rPr>
          <w:rFonts w:ascii="宋体" w:hAnsi="宋体" w:cs="宋体"/>
          <w:bCs/>
          <w:color w:val="auto"/>
          <w:szCs w:val="20"/>
          <w:highlight w:val="none"/>
        </w:rPr>
        <w:t>.</w:t>
      </w:r>
      <w:r>
        <w:rPr>
          <w:rFonts w:hint="eastAsia" w:ascii="宋体" w:hAnsi="宋体" w:cs="宋体"/>
          <w:bCs/>
          <w:color w:val="auto"/>
          <w:szCs w:val="20"/>
          <w:highlight w:val="none"/>
        </w:rPr>
        <w:t>采购人的具体</w:t>
      </w:r>
      <w:r>
        <w:rPr>
          <w:rFonts w:hint="eastAsia" w:ascii="宋体" w:hAnsi="宋体" w:cs="宋体"/>
          <w:bCs/>
          <w:color w:val="auto"/>
          <w:szCs w:val="20"/>
          <w:highlight w:val="none"/>
          <w:lang w:val="en-US" w:eastAsia="zh-CN"/>
        </w:rPr>
        <w:t>项目</w:t>
      </w:r>
      <w:r>
        <w:rPr>
          <w:rFonts w:hint="eastAsia" w:ascii="宋体" w:hAnsi="宋体" w:cs="宋体"/>
          <w:bCs/>
          <w:color w:val="auto"/>
          <w:szCs w:val="20"/>
          <w:highlight w:val="none"/>
        </w:rPr>
        <w:t>需求：详见</w:t>
      </w:r>
      <w:r>
        <w:rPr>
          <w:rFonts w:hint="eastAsia" w:ascii="宋体" w:hAnsi="宋体" w:cs="宋体"/>
          <w:bCs/>
          <w:color w:val="auto"/>
          <w:szCs w:val="20"/>
          <w:highlight w:val="none"/>
          <w:lang w:val="en-US" w:eastAsia="zh-CN"/>
        </w:rPr>
        <w:t>遴选</w:t>
      </w:r>
      <w:r>
        <w:rPr>
          <w:rFonts w:hint="eastAsia" w:ascii="宋体" w:hAnsi="宋体" w:cs="宋体"/>
          <w:bCs/>
          <w:color w:val="auto"/>
          <w:szCs w:val="20"/>
          <w:highlight w:val="none"/>
        </w:rPr>
        <w:t>文件中的“用户需求书”。</w:t>
      </w:r>
    </w:p>
    <w:p w14:paraId="0636F267">
      <w:pPr>
        <w:adjustRightInd w:val="0"/>
        <w:snapToGrid w:val="0"/>
        <w:spacing w:line="360" w:lineRule="auto"/>
        <w:ind w:firstLine="424" w:firstLineChars="202"/>
        <w:rPr>
          <w:rFonts w:ascii="宋体"/>
          <w:bCs/>
          <w:color w:val="auto"/>
          <w:szCs w:val="20"/>
          <w:highlight w:val="none"/>
        </w:rPr>
      </w:pPr>
      <w:r>
        <w:rPr>
          <w:rFonts w:hint="eastAsia" w:ascii="宋体"/>
          <w:bCs/>
          <w:color w:val="auto"/>
          <w:szCs w:val="20"/>
          <w:highlight w:val="none"/>
          <w:lang w:val="en-US" w:eastAsia="zh-CN"/>
        </w:rPr>
        <w:t>3</w:t>
      </w:r>
      <w:r>
        <w:rPr>
          <w:rFonts w:ascii="宋体"/>
          <w:bCs/>
          <w:color w:val="auto"/>
          <w:szCs w:val="20"/>
          <w:highlight w:val="none"/>
        </w:rPr>
        <w:t>.</w:t>
      </w:r>
      <w:r>
        <w:rPr>
          <w:rFonts w:hint="eastAsia" w:ascii="宋体"/>
          <w:bCs/>
          <w:color w:val="auto"/>
          <w:szCs w:val="20"/>
          <w:highlight w:val="none"/>
        </w:rPr>
        <w:t>本项目属于采购人</w:t>
      </w:r>
      <w:r>
        <w:rPr>
          <w:rFonts w:hint="eastAsia" w:ascii="宋体"/>
          <w:bCs/>
          <w:color w:val="auto"/>
          <w:szCs w:val="20"/>
          <w:highlight w:val="none"/>
          <w:lang w:val="en-US" w:eastAsia="zh-CN"/>
        </w:rPr>
        <w:t>公开遴选</w:t>
      </w:r>
      <w:r>
        <w:rPr>
          <w:rFonts w:hint="eastAsia" w:ascii="宋体"/>
          <w:bCs/>
          <w:color w:val="auto"/>
          <w:szCs w:val="20"/>
          <w:highlight w:val="none"/>
        </w:rPr>
        <w:t>项目；采购监督管理部门为采购人的上级主管部门或采购人的纪检部门。</w:t>
      </w:r>
    </w:p>
    <w:p w14:paraId="6A019464">
      <w:pPr>
        <w:adjustRightInd w:val="0"/>
        <w:snapToGrid w:val="0"/>
        <w:spacing w:line="360" w:lineRule="auto"/>
        <w:rPr>
          <w:rFonts w:hint="eastAsia" w:ascii="宋体"/>
          <w:bCs/>
          <w:color w:val="auto"/>
          <w:szCs w:val="20"/>
          <w:highlight w:val="none"/>
        </w:rPr>
      </w:pPr>
      <w:r>
        <w:rPr>
          <w:rFonts w:hint="eastAsia" w:ascii="宋体"/>
          <w:bCs/>
          <w:color w:val="auto"/>
          <w:szCs w:val="20"/>
          <w:highlight w:val="none"/>
        </w:rPr>
        <w:t>四、资格要求：</w:t>
      </w:r>
    </w:p>
    <w:p w14:paraId="3B86ABCC">
      <w:pPr>
        <w:adjustRightInd w:val="0"/>
        <w:snapToGrid w:val="0"/>
        <w:spacing w:line="360" w:lineRule="auto"/>
        <w:ind w:firstLine="424" w:firstLineChars="202"/>
        <w:rPr>
          <w:rFonts w:hint="eastAsia" w:ascii="宋体"/>
          <w:bCs/>
          <w:color w:val="auto"/>
          <w:szCs w:val="20"/>
          <w:highlight w:val="none"/>
          <w:lang w:val="en-US" w:eastAsia="zh-CN"/>
        </w:rPr>
      </w:pPr>
      <w:r>
        <w:rPr>
          <w:rFonts w:hint="eastAsia" w:ascii="宋体"/>
          <w:bCs/>
          <w:color w:val="auto"/>
          <w:szCs w:val="20"/>
          <w:highlight w:val="none"/>
        </w:rPr>
        <w:t>1.提供在中华人民共和国境内注册的法人或其他组织的营业执照或事业单位法人证书或社会团体法人登记证书复印件，如</w:t>
      </w:r>
      <w:r>
        <w:rPr>
          <w:rFonts w:hint="eastAsia" w:ascii="宋体"/>
          <w:bCs/>
          <w:color w:val="auto"/>
          <w:szCs w:val="20"/>
          <w:highlight w:val="none"/>
          <w:lang w:val="en-US" w:eastAsia="zh-CN"/>
        </w:rPr>
        <w:t>遴选响应方</w:t>
      </w:r>
      <w:r>
        <w:rPr>
          <w:rFonts w:hint="eastAsia" w:ascii="宋体"/>
          <w:bCs/>
          <w:color w:val="auto"/>
          <w:szCs w:val="20"/>
          <w:highlight w:val="none"/>
        </w:rPr>
        <w:t>为自然人的</w:t>
      </w:r>
      <w:r>
        <w:rPr>
          <w:rFonts w:hint="eastAsia" w:ascii="宋体"/>
          <w:bCs/>
          <w:color w:val="auto"/>
          <w:szCs w:val="20"/>
          <w:highlight w:val="none"/>
          <w:lang w:eastAsia="zh-CN"/>
        </w:rPr>
        <w:t>，</w:t>
      </w:r>
      <w:r>
        <w:rPr>
          <w:rFonts w:hint="eastAsia" w:ascii="宋体"/>
          <w:bCs/>
          <w:color w:val="auto"/>
          <w:szCs w:val="20"/>
          <w:highlight w:val="none"/>
        </w:rPr>
        <w:t>提供自然人身份证明复印件；如国家另有规定的，则从其规定。（分支机构</w:t>
      </w:r>
      <w:r>
        <w:rPr>
          <w:rFonts w:hint="eastAsia" w:ascii="宋体"/>
          <w:bCs/>
          <w:color w:val="auto"/>
          <w:szCs w:val="20"/>
          <w:highlight w:val="none"/>
          <w:lang w:eastAsia="zh-CN"/>
        </w:rPr>
        <w:t>参与遴选响应</w:t>
      </w:r>
      <w:r>
        <w:rPr>
          <w:rFonts w:hint="eastAsia" w:ascii="宋体"/>
          <w:bCs/>
          <w:color w:val="auto"/>
          <w:szCs w:val="20"/>
          <w:highlight w:val="none"/>
        </w:rPr>
        <w:t>，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5F452F5D">
      <w:pPr>
        <w:adjustRightInd w:val="0"/>
        <w:snapToGrid w:val="0"/>
        <w:spacing w:line="360" w:lineRule="auto"/>
        <w:ind w:firstLine="424" w:firstLineChars="202"/>
        <w:rPr>
          <w:rFonts w:hint="eastAsia" w:ascii="宋体"/>
          <w:bCs/>
          <w:color w:val="auto"/>
          <w:szCs w:val="20"/>
          <w:highlight w:val="none"/>
        </w:rPr>
      </w:pPr>
      <w:r>
        <w:rPr>
          <w:rFonts w:hint="eastAsia" w:ascii="宋体"/>
          <w:bCs/>
          <w:color w:val="auto"/>
          <w:szCs w:val="20"/>
          <w:highlight w:val="none"/>
        </w:rPr>
        <w:t>2.本项目不接受联合体</w:t>
      </w:r>
      <w:r>
        <w:rPr>
          <w:rFonts w:hint="eastAsia" w:ascii="宋体"/>
          <w:bCs/>
          <w:color w:val="auto"/>
          <w:szCs w:val="20"/>
          <w:highlight w:val="none"/>
          <w:lang w:val="en-US" w:eastAsia="zh-CN"/>
        </w:rPr>
        <w:t>参与遴选，</w:t>
      </w:r>
      <w:r>
        <w:rPr>
          <w:rFonts w:hint="eastAsia" w:ascii="宋体"/>
          <w:bCs/>
          <w:color w:val="auto"/>
          <w:szCs w:val="20"/>
          <w:highlight w:val="none"/>
        </w:rPr>
        <w:t>不允许分包、转包。</w:t>
      </w:r>
    </w:p>
    <w:p w14:paraId="0A07E44E">
      <w:pPr>
        <w:adjustRightInd w:val="0"/>
        <w:snapToGrid w:val="0"/>
        <w:spacing w:line="360" w:lineRule="auto"/>
        <w:ind w:firstLine="424" w:firstLineChars="202"/>
        <w:rPr>
          <w:rFonts w:hint="eastAsia" w:ascii="宋体"/>
          <w:bCs/>
          <w:color w:val="auto"/>
          <w:szCs w:val="20"/>
          <w:highlight w:val="none"/>
        </w:rPr>
      </w:pPr>
      <w:r>
        <w:rPr>
          <w:rFonts w:hint="eastAsia" w:ascii="宋体"/>
          <w:bCs/>
          <w:color w:val="auto"/>
          <w:szCs w:val="20"/>
          <w:highlight w:val="none"/>
          <w:lang w:val="en-US" w:eastAsia="zh-CN"/>
        </w:rPr>
        <w:t>3.</w:t>
      </w:r>
      <w:r>
        <w:rPr>
          <w:rFonts w:hint="eastAsia" w:ascii="宋体"/>
          <w:bCs/>
          <w:color w:val="auto"/>
          <w:szCs w:val="20"/>
          <w:highlight w:val="none"/>
        </w:rPr>
        <w:t>满足《中华人民共和国政府采购法》第二十二条规定（由供应商在《</w:t>
      </w:r>
      <w:r>
        <w:rPr>
          <w:rFonts w:hint="eastAsia" w:ascii="宋体"/>
          <w:bCs/>
          <w:color w:val="auto"/>
          <w:szCs w:val="20"/>
          <w:highlight w:val="none"/>
          <w:lang w:eastAsia="zh-CN"/>
        </w:rPr>
        <w:t>遴选响应方</w:t>
      </w:r>
      <w:r>
        <w:rPr>
          <w:rFonts w:hint="eastAsia" w:ascii="宋体"/>
          <w:bCs/>
          <w:color w:val="auto"/>
          <w:szCs w:val="20"/>
          <w:highlight w:val="none"/>
        </w:rPr>
        <w:t>资格声明函》中作出声明）；</w:t>
      </w:r>
    </w:p>
    <w:p w14:paraId="2D6DB785">
      <w:pPr>
        <w:adjustRightInd w:val="0"/>
        <w:snapToGrid w:val="0"/>
        <w:spacing w:line="360" w:lineRule="auto"/>
        <w:ind w:firstLine="424" w:firstLineChars="202"/>
        <w:rPr>
          <w:rFonts w:hint="eastAsia" w:ascii="宋体"/>
          <w:bCs/>
          <w:color w:val="auto"/>
          <w:szCs w:val="20"/>
          <w:highlight w:val="none"/>
        </w:rPr>
      </w:pPr>
      <w:r>
        <w:rPr>
          <w:rFonts w:hint="eastAsia" w:ascii="宋体"/>
          <w:bCs/>
          <w:color w:val="auto"/>
          <w:szCs w:val="20"/>
          <w:highlight w:val="none"/>
          <w:lang w:val="en-US" w:eastAsia="zh-CN"/>
        </w:rPr>
        <w:t>4.</w:t>
      </w:r>
      <w:r>
        <w:rPr>
          <w:rFonts w:hint="eastAsia" w:ascii="宋体"/>
          <w:bCs/>
          <w:color w:val="auto"/>
          <w:szCs w:val="20"/>
          <w:highlight w:val="none"/>
        </w:rPr>
        <w:t>参与本项目</w:t>
      </w:r>
      <w:r>
        <w:rPr>
          <w:rFonts w:hint="eastAsia" w:ascii="宋体"/>
          <w:bCs/>
          <w:color w:val="auto"/>
          <w:szCs w:val="20"/>
          <w:highlight w:val="none"/>
          <w:lang w:eastAsia="zh-CN"/>
        </w:rPr>
        <w:t>遴选响应</w:t>
      </w:r>
      <w:r>
        <w:rPr>
          <w:rFonts w:hint="eastAsia" w:ascii="宋体"/>
          <w:bCs/>
          <w:color w:val="auto"/>
          <w:szCs w:val="20"/>
          <w:highlight w:val="none"/>
        </w:rPr>
        <w:t>前三年内，在经营活动中没有重大违法记录（由供应商在《</w:t>
      </w:r>
      <w:r>
        <w:rPr>
          <w:rFonts w:hint="eastAsia" w:ascii="宋体"/>
          <w:bCs/>
          <w:color w:val="auto"/>
          <w:szCs w:val="20"/>
          <w:highlight w:val="none"/>
          <w:lang w:eastAsia="zh-CN"/>
        </w:rPr>
        <w:t>遴选响应方</w:t>
      </w:r>
      <w:r>
        <w:rPr>
          <w:rFonts w:hint="eastAsia" w:ascii="宋体"/>
          <w:bCs/>
          <w:color w:val="auto"/>
          <w:szCs w:val="20"/>
          <w:highlight w:val="none"/>
        </w:rPr>
        <w:t>资格声明函》中作出声明）。</w:t>
      </w:r>
    </w:p>
    <w:p w14:paraId="65263465">
      <w:pPr>
        <w:adjustRightInd w:val="0"/>
        <w:snapToGrid w:val="0"/>
        <w:spacing w:line="360" w:lineRule="auto"/>
        <w:ind w:firstLine="424" w:firstLineChars="202"/>
        <w:rPr>
          <w:rFonts w:hint="eastAsia" w:ascii="宋体"/>
          <w:bCs/>
          <w:color w:val="auto"/>
          <w:szCs w:val="20"/>
          <w:highlight w:val="none"/>
        </w:rPr>
      </w:pPr>
      <w:r>
        <w:rPr>
          <w:rFonts w:hint="eastAsia" w:ascii="宋体"/>
          <w:bCs/>
          <w:color w:val="auto"/>
          <w:szCs w:val="20"/>
          <w:highlight w:val="none"/>
          <w:lang w:val="en-US" w:eastAsia="zh-CN"/>
        </w:rPr>
        <w:t>5.</w:t>
      </w:r>
      <w:r>
        <w:rPr>
          <w:rFonts w:hint="eastAsia" w:ascii="宋体"/>
          <w:bCs/>
          <w:color w:val="auto"/>
          <w:szCs w:val="20"/>
          <w:highlight w:val="none"/>
        </w:rPr>
        <w:t>参与本项目政府采购活动时不存在被有关部门禁止参与政府采购活动且在有效期内的情况（由供应商在《</w:t>
      </w:r>
      <w:r>
        <w:rPr>
          <w:rFonts w:hint="eastAsia" w:ascii="宋体"/>
          <w:bCs/>
          <w:color w:val="auto"/>
          <w:szCs w:val="20"/>
          <w:highlight w:val="none"/>
          <w:lang w:eastAsia="zh-CN"/>
        </w:rPr>
        <w:t>遴选响应方</w:t>
      </w:r>
      <w:r>
        <w:rPr>
          <w:rFonts w:hint="eastAsia" w:ascii="宋体"/>
          <w:bCs/>
          <w:color w:val="auto"/>
          <w:szCs w:val="20"/>
          <w:highlight w:val="none"/>
        </w:rPr>
        <w:t>资格声明函》中作出声明）。</w:t>
      </w:r>
    </w:p>
    <w:p w14:paraId="05B4E0AF">
      <w:pPr>
        <w:adjustRightInd w:val="0"/>
        <w:snapToGrid w:val="0"/>
        <w:spacing w:line="360" w:lineRule="auto"/>
        <w:ind w:firstLine="424" w:firstLineChars="202"/>
        <w:rPr>
          <w:rFonts w:hint="eastAsia" w:ascii="宋体"/>
          <w:bCs/>
          <w:color w:val="auto"/>
          <w:szCs w:val="20"/>
          <w:highlight w:val="none"/>
        </w:rPr>
      </w:pPr>
      <w:r>
        <w:rPr>
          <w:rFonts w:hint="eastAsia" w:ascii="宋体"/>
          <w:bCs/>
          <w:color w:val="auto"/>
          <w:szCs w:val="20"/>
          <w:highlight w:val="none"/>
          <w:lang w:val="en-US" w:eastAsia="zh-CN"/>
        </w:rPr>
        <w:t>6.</w:t>
      </w:r>
      <w:r>
        <w:rPr>
          <w:rFonts w:hint="eastAsia" w:ascii="宋体"/>
          <w:bCs/>
          <w:color w:val="auto"/>
          <w:szCs w:val="20"/>
          <w:highlight w:val="none"/>
        </w:rPr>
        <w:t>供应商未被列入失信被执行人、重大税收违法案件当事人名单、政府采购严重违法失信行为记录名单，不存在《深圳市财政局政府采购供应商信用信息管理办法》（深财规〔2023〕3 号）列明的严重违法失信行为（由供应商在《</w:t>
      </w:r>
      <w:r>
        <w:rPr>
          <w:rFonts w:hint="eastAsia" w:ascii="宋体"/>
          <w:bCs/>
          <w:color w:val="auto"/>
          <w:szCs w:val="20"/>
          <w:highlight w:val="none"/>
          <w:lang w:eastAsia="zh-CN"/>
        </w:rPr>
        <w:t>遴选响应方</w:t>
      </w:r>
      <w:r>
        <w:rPr>
          <w:rFonts w:hint="eastAsia" w:ascii="宋体"/>
          <w:bCs/>
          <w:color w:val="auto"/>
          <w:szCs w:val="20"/>
          <w:highlight w:val="none"/>
        </w:rPr>
        <w:t>资格声明函》中作出声明）。</w:t>
      </w:r>
    </w:p>
    <w:p w14:paraId="64A2136F">
      <w:pPr>
        <w:adjustRightInd w:val="0"/>
        <w:snapToGrid w:val="0"/>
        <w:spacing w:line="360" w:lineRule="auto"/>
        <w:ind w:firstLine="424" w:firstLineChars="202"/>
        <w:rPr>
          <w:rFonts w:hint="eastAsia" w:ascii="宋体"/>
          <w:bCs/>
          <w:color w:val="auto"/>
          <w:szCs w:val="20"/>
          <w:highlight w:val="none"/>
        </w:rPr>
      </w:pPr>
      <w:r>
        <w:rPr>
          <w:rFonts w:hint="eastAsia" w:ascii="宋体"/>
          <w:bCs/>
          <w:color w:val="auto"/>
          <w:szCs w:val="20"/>
          <w:highlight w:val="none"/>
          <w:lang w:val="en-US" w:eastAsia="zh-CN"/>
        </w:rPr>
        <w:t>7.</w:t>
      </w:r>
      <w:r>
        <w:rPr>
          <w:rFonts w:hint="eastAsia" w:ascii="宋体"/>
          <w:bCs/>
          <w:color w:val="auto"/>
          <w:szCs w:val="20"/>
          <w:highlight w:val="none"/>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w:t>
      </w:r>
      <w:r>
        <w:rPr>
          <w:rFonts w:hint="eastAsia" w:ascii="宋体"/>
          <w:bCs/>
          <w:color w:val="auto"/>
          <w:szCs w:val="20"/>
          <w:highlight w:val="none"/>
          <w:lang w:eastAsia="zh-CN"/>
        </w:rPr>
        <w:t>遴选响应方</w:t>
      </w:r>
      <w:r>
        <w:rPr>
          <w:rFonts w:hint="eastAsia" w:ascii="宋体"/>
          <w:bCs/>
          <w:color w:val="auto"/>
          <w:szCs w:val="20"/>
          <w:highlight w:val="none"/>
        </w:rPr>
        <w:t>资格声明函》中作出声明）。</w:t>
      </w:r>
    </w:p>
    <w:p w14:paraId="38D07EAA">
      <w:pPr>
        <w:adjustRightInd w:val="0"/>
        <w:snapToGrid w:val="0"/>
        <w:spacing w:line="360" w:lineRule="auto"/>
        <w:ind w:firstLine="424" w:firstLineChars="202"/>
        <w:rPr>
          <w:rFonts w:hint="eastAsia" w:ascii="宋体"/>
          <w:bCs/>
          <w:color w:val="auto"/>
          <w:szCs w:val="20"/>
          <w:highlight w:val="none"/>
        </w:rPr>
      </w:pPr>
      <w:r>
        <w:rPr>
          <w:rFonts w:hint="eastAsia" w:ascii="宋体"/>
          <w:bCs/>
          <w:color w:val="auto"/>
          <w:szCs w:val="20"/>
          <w:highlight w:val="none"/>
          <w:lang w:val="en-US" w:eastAsia="zh-CN"/>
        </w:rPr>
        <w:t>8.</w:t>
      </w:r>
      <w:r>
        <w:rPr>
          <w:rFonts w:hint="eastAsia" w:ascii="宋体"/>
          <w:bCs/>
          <w:color w:val="auto"/>
          <w:szCs w:val="20"/>
          <w:highlight w:val="none"/>
        </w:rPr>
        <w:t>本项目是（否）专门面向中小企业采购：否。</w:t>
      </w:r>
    </w:p>
    <w:p w14:paraId="2DBCF5D6">
      <w:pPr>
        <w:adjustRightInd w:val="0"/>
        <w:snapToGrid w:val="0"/>
        <w:spacing w:line="360" w:lineRule="auto"/>
        <w:ind w:firstLine="424" w:firstLineChars="202"/>
        <w:rPr>
          <w:rFonts w:hint="eastAsia" w:ascii="宋体"/>
          <w:bCs/>
          <w:color w:val="auto"/>
          <w:szCs w:val="20"/>
          <w:highlight w:val="none"/>
        </w:rPr>
      </w:pPr>
      <w:r>
        <w:rPr>
          <w:rFonts w:hint="eastAsia" w:ascii="宋体"/>
          <w:bCs/>
          <w:color w:val="auto"/>
          <w:szCs w:val="20"/>
          <w:highlight w:val="none"/>
          <w:lang w:val="en-US" w:eastAsia="zh-CN"/>
        </w:rPr>
        <w:t>9.</w:t>
      </w:r>
      <w:r>
        <w:rPr>
          <w:rFonts w:hint="eastAsia" w:ascii="宋体"/>
          <w:bCs/>
          <w:color w:val="auto"/>
          <w:szCs w:val="20"/>
          <w:highlight w:val="none"/>
        </w:rPr>
        <w:t>不同供应商的法定代表人、主要经营负责人、被授权人（授权代表）、项目负责人、主要技术人员不得为同一人、属同一单位或者在同一单位缴纳社会保险；不同</w:t>
      </w:r>
      <w:r>
        <w:rPr>
          <w:rFonts w:hint="eastAsia" w:ascii="宋体"/>
          <w:bCs/>
          <w:color w:val="auto"/>
          <w:szCs w:val="20"/>
          <w:highlight w:val="none"/>
          <w:lang w:eastAsia="zh-CN"/>
        </w:rPr>
        <w:t>遴选响应</w:t>
      </w:r>
      <w:r>
        <w:rPr>
          <w:rFonts w:hint="eastAsia" w:ascii="宋体"/>
          <w:bCs/>
          <w:color w:val="auto"/>
          <w:szCs w:val="20"/>
          <w:highlight w:val="none"/>
        </w:rPr>
        <w:t>供应商的</w:t>
      </w:r>
      <w:r>
        <w:rPr>
          <w:rFonts w:hint="eastAsia" w:ascii="宋体"/>
          <w:bCs/>
          <w:color w:val="auto"/>
          <w:szCs w:val="20"/>
          <w:highlight w:val="none"/>
          <w:lang w:eastAsia="zh-CN"/>
        </w:rPr>
        <w:t>遴选响应</w:t>
      </w:r>
      <w:r>
        <w:rPr>
          <w:rFonts w:hint="eastAsia" w:ascii="宋体"/>
          <w:bCs/>
          <w:color w:val="auto"/>
          <w:szCs w:val="20"/>
          <w:highlight w:val="none"/>
        </w:rPr>
        <w:t>文件不得由同一单位或者同一人编制；单位负责人为同一人或者存在直接控股、管理关系的不同供应商，不得参加本项目政府采购活动（由供应商填写《</w:t>
      </w:r>
      <w:r>
        <w:rPr>
          <w:rFonts w:hint="eastAsia" w:ascii="宋体"/>
          <w:bCs/>
          <w:color w:val="auto"/>
          <w:szCs w:val="20"/>
          <w:highlight w:val="none"/>
          <w:lang w:val="en-US" w:eastAsia="zh-CN"/>
        </w:rPr>
        <w:t>遴选响应单位</w:t>
      </w:r>
      <w:r>
        <w:rPr>
          <w:rFonts w:hint="eastAsia" w:ascii="宋体"/>
          <w:bCs/>
          <w:color w:val="auto"/>
          <w:szCs w:val="20"/>
          <w:highlight w:val="none"/>
        </w:rPr>
        <w:t>基本情况表》相关信息）。</w:t>
      </w:r>
    </w:p>
    <w:p w14:paraId="452FEA69">
      <w:pPr>
        <w:adjustRightInd w:val="0"/>
        <w:snapToGrid w:val="0"/>
        <w:spacing w:line="360" w:lineRule="auto"/>
        <w:ind w:firstLine="424" w:firstLineChars="202"/>
        <w:rPr>
          <w:rFonts w:hint="eastAsia" w:ascii="宋体"/>
          <w:bCs/>
          <w:color w:val="auto"/>
          <w:szCs w:val="20"/>
          <w:highlight w:val="none"/>
        </w:rPr>
      </w:pPr>
      <w:r>
        <w:rPr>
          <w:rFonts w:hint="eastAsia" w:ascii="宋体"/>
          <w:bCs/>
          <w:color w:val="auto"/>
          <w:szCs w:val="20"/>
          <w:highlight w:val="none"/>
        </w:rPr>
        <w:t>注：（1）“信用中国”（www.creditchina.gov.cn）、“中国政府采购网”（www.ccgp.gov.cn）、“深圳市政府采购监管网”（http://zfcg.sz.gov.cn）以及市、区财政部门认定的其他渠道为供应商信用信息的查询渠道等网站的查询结果为准。</w:t>
      </w:r>
    </w:p>
    <w:p w14:paraId="27D8D03A">
      <w:pPr>
        <w:adjustRightInd w:val="0"/>
        <w:snapToGrid w:val="0"/>
        <w:spacing w:line="360" w:lineRule="auto"/>
        <w:ind w:firstLine="424" w:firstLineChars="202"/>
        <w:rPr>
          <w:rFonts w:hint="eastAsia" w:ascii="宋体"/>
          <w:bCs/>
          <w:color w:val="auto"/>
          <w:szCs w:val="20"/>
          <w:highlight w:val="none"/>
        </w:rPr>
      </w:pPr>
      <w:r>
        <w:rPr>
          <w:rFonts w:hint="eastAsia" w:ascii="宋体"/>
          <w:bCs/>
          <w:color w:val="auto"/>
          <w:szCs w:val="20"/>
          <w:highlight w:val="none"/>
        </w:rPr>
        <w:t>（2）供应商之间单位负责人是否为同一人或者是否存在直接控股、管理关系，以国家企业信用信息公示系统（https://www.gsxt.gov.cn/index.html）、机关赋码和事业单位登记管理网（http://www.gjsy.gov.cn/sydwfrxxcx/）、全国社会组织信用信息公示平台（https://xxgs.chinanpo.mca.gov.cn/gsxt/newList）等网站的查询结果为准。</w:t>
      </w:r>
    </w:p>
    <w:p w14:paraId="18B7FD99">
      <w:pPr>
        <w:adjustRightInd w:val="0"/>
        <w:snapToGrid w:val="0"/>
        <w:spacing w:line="360" w:lineRule="auto"/>
        <w:ind w:firstLine="424" w:firstLineChars="202"/>
        <w:rPr>
          <w:rFonts w:hint="eastAsia" w:ascii="宋体"/>
          <w:bCs/>
          <w:color w:val="auto"/>
          <w:szCs w:val="20"/>
          <w:highlight w:val="none"/>
          <w:lang w:val="en-US" w:eastAsia="zh-CN"/>
        </w:rPr>
      </w:pPr>
      <w:r>
        <w:rPr>
          <w:rFonts w:hint="eastAsia" w:ascii="宋体"/>
          <w:bCs/>
          <w:color w:val="auto"/>
          <w:szCs w:val="20"/>
          <w:highlight w:val="none"/>
        </w:rPr>
        <w:t>五、采用邮箱报名：供应商应填写并打印《报名登记表》后，加盖供应商公章</w:t>
      </w:r>
      <w:r>
        <w:rPr>
          <w:rFonts w:hint="eastAsia" w:ascii="宋体"/>
          <w:bCs/>
          <w:color w:val="auto"/>
          <w:szCs w:val="20"/>
          <w:highlight w:val="none"/>
          <w:lang w:eastAsia="zh-CN"/>
        </w:rPr>
        <w:t>，</w:t>
      </w:r>
      <w:r>
        <w:rPr>
          <w:rFonts w:hint="eastAsia" w:ascii="宋体"/>
          <w:bCs/>
          <w:color w:val="auto"/>
          <w:szCs w:val="20"/>
          <w:highlight w:val="none"/>
          <w:lang w:val="en-US" w:eastAsia="zh-CN"/>
        </w:rPr>
        <w:t>将</w:t>
      </w:r>
      <w:r>
        <w:rPr>
          <w:rFonts w:hint="eastAsia" w:ascii="宋体"/>
          <w:bCs/>
          <w:color w:val="auto"/>
          <w:szCs w:val="20"/>
          <w:highlight w:val="none"/>
        </w:rPr>
        <w:t>《报名登记表》</w:t>
      </w:r>
      <w:r>
        <w:rPr>
          <w:rFonts w:hint="eastAsia" w:ascii="宋体"/>
          <w:bCs/>
          <w:color w:val="auto"/>
          <w:szCs w:val="20"/>
          <w:highlight w:val="none"/>
          <w:lang w:val="en-US" w:eastAsia="zh-CN"/>
        </w:rPr>
        <w:t>以及公司三证转发至邮箱</w:t>
      </w:r>
      <w:r>
        <w:rPr>
          <w:rFonts w:hint="eastAsia" w:ascii="宋体"/>
          <w:b/>
          <w:bCs w:val="0"/>
          <w:color w:val="FF0000"/>
          <w:szCs w:val="20"/>
          <w:highlight w:val="none"/>
          <w:lang w:val="en-US" w:eastAsia="zh-CN"/>
        </w:rPr>
        <w:t>zbcgb@ft2yy.cn</w:t>
      </w:r>
    </w:p>
    <w:p w14:paraId="57CF8942">
      <w:pPr>
        <w:adjustRightInd w:val="0"/>
        <w:snapToGrid w:val="0"/>
        <w:spacing w:line="360" w:lineRule="auto"/>
        <w:ind w:firstLine="424" w:firstLineChars="202"/>
        <w:rPr>
          <w:rFonts w:hint="eastAsia" w:ascii="宋体"/>
          <w:bCs/>
          <w:color w:val="auto"/>
          <w:szCs w:val="20"/>
          <w:highlight w:val="none"/>
          <w:lang w:val="en-US" w:eastAsia="zh-CN"/>
        </w:rPr>
      </w:pPr>
      <w:r>
        <w:rPr>
          <w:rFonts w:hint="eastAsia" w:ascii="宋体"/>
          <w:bCs/>
          <w:color w:val="auto"/>
          <w:szCs w:val="20"/>
          <w:highlight w:val="none"/>
          <w:lang w:val="en-US" w:eastAsia="zh-CN"/>
        </w:rPr>
        <w:t>六</w:t>
      </w:r>
      <w:r>
        <w:rPr>
          <w:rFonts w:hint="eastAsia" w:ascii="宋体"/>
          <w:bCs/>
          <w:color w:val="auto"/>
          <w:szCs w:val="20"/>
          <w:highlight w:val="none"/>
        </w:rPr>
        <w:t>、</w:t>
      </w:r>
      <w:r>
        <w:rPr>
          <w:rFonts w:hint="eastAsia" w:ascii="宋体"/>
          <w:bCs/>
          <w:color w:val="auto"/>
          <w:szCs w:val="20"/>
          <w:highlight w:val="none"/>
          <w:lang w:val="en-US" w:eastAsia="zh-CN"/>
        </w:rPr>
        <w:t>报名时间：2025年5月26日8时00分至2025 年5月30日17时00分止。</w:t>
      </w:r>
    </w:p>
    <w:p w14:paraId="0BECC4E8">
      <w:pPr>
        <w:adjustRightInd w:val="0"/>
        <w:snapToGrid w:val="0"/>
        <w:spacing w:line="360" w:lineRule="auto"/>
        <w:ind w:firstLine="424" w:firstLineChars="202"/>
        <w:rPr>
          <w:rFonts w:hint="eastAsia" w:ascii="宋体"/>
          <w:bCs/>
          <w:color w:val="auto"/>
          <w:szCs w:val="20"/>
          <w:highlight w:val="none"/>
          <w:lang w:val="en-US" w:eastAsia="zh-CN"/>
        </w:rPr>
      </w:pPr>
      <w:r>
        <w:rPr>
          <w:rFonts w:hint="eastAsia" w:ascii="宋体"/>
          <w:bCs/>
          <w:color w:val="auto"/>
          <w:szCs w:val="20"/>
          <w:highlight w:val="none"/>
          <w:lang w:val="en-US" w:eastAsia="zh-CN"/>
        </w:rPr>
        <w:t>七、接收遴选响应文件时间：2025年6月6日8时30分-9时00分。</w:t>
      </w:r>
    </w:p>
    <w:p w14:paraId="7935C98C">
      <w:pPr>
        <w:adjustRightInd w:val="0"/>
        <w:snapToGrid w:val="0"/>
        <w:spacing w:line="360" w:lineRule="auto"/>
        <w:ind w:firstLine="424" w:firstLineChars="202"/>
        <w:rPr>
          <w:rFonts w:hint="eastAsia" w:ascii="宋体"/>
          <w:bCs/>
          <w:color w:val="auto"/>
          <w:szCs w:val="20"/>
          <w:highlight w:val="none"/>
          <w:lang w:val="en-US" w:eastAsia="zh-CN"/>
        </w:rPr>
      </w:pPr>
      <w:r>
        <w:rPr>
          <w:rFonts w:hint="eastAsia" w:ascii="宋体"/>
          <w:bCs/>
          <w:color w:val="auto"/>
          <w:szCs w:val="20"/>
          <w:highlight w:val="none"/>
          <w:lang w:val="en-US" w:eastAsia="zh-CN"/>
        </w:rPr>
        <w:t>八、提交遴选响应文件地点：深圳市福田区梅林街道中康路27号综合楼A栋7楼党员活动室</w:t>
      </w:r>
    </w:p>
    <w:p w14:paraId="24D40E7B">
      <w:pPr>
        <w:adjustRightInd w:val="0"/>
        <w:snapToGrid w:val="0"/>
        <w:spacing w:line="360" w:lineRule="auto"/>
        <w:ind w:firstLine="424" w:firstLineChars="202"/>
        <w:rPr>
          <w:rFonts w:hint="eastAsia" w:ascii="宋体"/>
          <w:bCs/>
          <w:color w:val="auto"/>
          <w:szCs w:val="20"/>
          <w:highlight w:val="none"/>
          <w:lang w:val="en-US" w:eastAsia="zh-CN"/>
        </w:rPr>
      </w:pPr>
      <w:r>
        <w:rPr>
          <w:rFonts w:hint="eastAsia" w:ascii="宋体"/>
          <w:bCs/>
          <w:color w:val="auto"/>
          <w:szCs w:val="20"/>
          <w:highlight w:val="none"/>
          <w:lang w:val="en-US" w:eastAsia="zh-CN"/>
        </w:rPr>
        <w:t>九、遴选响应截止时间及遴选时间：2025年6月6日9时00分。</w:t>
      </w:r>
    </w:p>
    <w:p w14:paraId="0DB819E3">
      <w:pPr>
        <w:adjustRightInd w:val="0"/>
        <w:snapToGrid w:val="0"/>
        <w:spacing w:line="360" w:lineRule="auto"/>
        <w:ind w:firstLine="424" w:firstLineChars="202"/>
        <w:rPr>
          <w:rFonts w:hint="default" w:ascii="宋体"/>
          <w:bCs/>
          <w:color w:val="auto"/>
          <w:szCs w:val="20"/>
          <w:highlight w:val="none"/>
          <w:lang w:val="en-US" w:eastAsia="zh-CN"/>
        </w:rPr>
      </w:pPr>
      <w:r>
        <w:rPr>
          <w:rFonts w:hint="eastAsia" w:ascii="宋体"/>
          <w:bCs/>
          <w:color w:val="auto"/>
          <w:szCs w:val="20"/>
          <w:highlight w:val="none"/>
          <w:lang w:val="en-US" w:eastAsia="zh-CN"/>
        </w:rPr>
        <w:t>十</w:t>
      </w:r>
      <w:r>
        <w:rPr>
          <w:rFonts w:hint="eastAsia" w:ascii="宋体"/>
          <w:bCs/>
          <w:color w:val="auto"/>
          <w:szCs w:val="20"/>
          <w:highlight w:val="none"/>
        </w:rPr>
        <w:t>、</w:t>
      </w:r>
      <w:r>
        <w:rPr>
          <w:rFonts w:hint="eastAsia" w:ascii="宋体"/>
          <w:bCs/>
          <w:color w:val="auto"/>
          <w:szCs w:val="20"/>
          <w:highlight w:val="none"/>
          <w:lang w:val="en-US" w:eastAsia="zh-CN"/>
        </w:rPr>
        <w:t>遴选</w:t>
      </w:r>
      <w:r>
        <w:rPr>
          <w:rFonts w:hint="eastAsia" w:ascii="宋体"/>
          <w:bCs/>
          <w:color w:val="auto"/>
          <w:szCs w:val="20"/>
          <w:highlight w:val="none"/>
        </w:rPr>
        <w:t>地点：</w:t>
      </w:r>
      <w:r>
        <w:rPr>
          <w:rFonts w:hint="eastAsia" w:ascii="宋体"/>
          <w:bCs/>
          <w:color w:val="auto"/>
          <w:szCs w:val="20"/>
          <w:highlight w:val="none"/>
          <w:lang w:val="en-US" w:eastAsia="zh-CN"/>
        </w:rPr>
        <w:t>深圳市福田区梅林街道中康路27号综合楼A栋7楼党员活动室</w:t>
      </w:r>
    </w:p>
    <w:p w14:paraId="176EA86B">
      <w:pPr>
        <w:adjustRightInd w:val="0"/>
        <w:snapToGrid w:val="0"/>
        <w:spacing w:line="360" w:lineRule="auto"/>
        <w:ind w:firstLine="424" w:firstLineChars="202"/>
        <w:rPr>
          <w:rFonts w:hint="eastAsia" w:ascii="宋体"/>
          <w:bCs/>
          <w:color w:val="auto"/>
          <w:szCs w:val="20"/>
          <w:highlight w:val="none"/>
        </w:rPr>
      </w:pPr>
      <w:r>
        <w:rPr>
          <w:rFonts w:hint="eastAsia" w:ascii="宋体"/>
          <w:bCs/>
          <w:color w:val="auto"/>
          <w:szCs w:val="20"/>
          <w:highlight w:val="none"/>
        </w:rPr>
        <w:t>十</w:t>
      </w:r>
      <w:r>
        <w:rPr>
          <w:rFonts w:hint="eastAsia" w:ascii="宋体"/>
          <w:bCs/>
          <w:color w:val="auto"/>
          <w:szCs w:val="20"/>
          <w:highlight w:val="none"/>
          <w:lang w:val="en-US" w:eastAsia="zh-CN"/>
        </w:rPr>
        <w:t>一</w:t>
      </w:r>
      <w:r>
        <w:rPr>
          <w:rFonts w:hint="eastAsia" w:ascii="宋体"/>
          <w:bCs/>
          <w:color w:val="auto"/>
          <w:szCs w:val="20"/>
          <w:highlight w:val="none"/>
        </w:rPr>
        <w:t>、本项目相关公告在以下媒体发布:</w:t>
      </w:r>
    </w:p>
    <w:p w14:paraId="019D501F">
      <w:pPr>
        <w:adjustRightInd w:val="0"/>
        <w:snapToGrid w:val="0"/>
        <w:spacing w:line="360" w:lineRule="auto"/>
        <w:ind w:firstLine="424" w:firstLineChars="202"/>
        <w:rPr>
          <w:rFonts w:hint="eastAsia" w:ascii="宋体"/>
          <w:bCs/>
          <w:color w:val="auto"/>
          <w:szCs w:val="20"/>
          <w:highlight w:val="none"/>
          <w:lang w:val="en-US" w:eastAsia="zh-CN"/>
        </w:rPr>
      </w:pPr>
      <w:r>
        <w:rPr>
          <w:rFonts w:hint="eastAsia" w:ascii="宋体"/>
          <w:bCs/>
          <w:color w:val="auto"/>
          <w:szCs w:val="20"/>
          <w:highlight w:val="none"/>
        </w:rPr>
        <w:t>相关媒体：</w:t>
      </w:r>
      <w:r>
        <w:rPr>
          <w:rFonts w:hint="eastAsia" w:ascii="宋体"/>
          <w:bCs/>
          <w:color w:val="auto"/>
          <w:szCs w:val="20"/>
          <w:highlight w:val="none"/>
          <w:lang w:val="en-US" w:eastAsia="zh-CN"/>
        </w:rPr>
        <w:t>深圳市福田区第二人民医院网站（https://www.ft2yy.cn/）。相关公告在上述媒体上公布之日即视为有效送达，不再另行通知。</w:t>
      </w:r>
    </w:p>
    <w:p w14:paraId="08747889">
      <w:pPr>
        <w:adjustRightInd w:val="0"/>
        <w:snapToGrid w:val="0"/>
        <w:spacing w:line="360" w:lineRule="auto"/>
        <w:ind w:firstLine="424" w:firstLineChars="202"/>
        <w:rPr>
          <w:rFonts w:hint="eastAsia" w:ascii="宋体"/>
          <w:bCs/>
          <w:color w:val="auto"/>
          <w:szCs w:val="20"/>
          <w:highlight w:val="none"/>
          <w:lang w:val="en-US" w:eastAsia="zh-CN"/>
        </w:rPr>
      </w:pPr>
      <w:r>
        <w:rPr>
          <w:rFonts w:hint="eastAsia" w:ascii="宋体"/>
          <w:bCs/>
          <w:color w:val="auto"/>
          <w:szCs w:val="20"/>
          <w:highlight w:val="none"/>
          <w:lang w:val="en-US" w:eastAsia="zh-CN"/>
        </w:rPr>
        <w:t>十二、本公告期限（5个工作日）自2025年5月24日至2025 年5月30日止。</w:t>
      </w:r>
    </w:p>
    <w:p w14:paraId="6315828E">
      <w:pPr>
        <w:adjustRightInd w:val="0"/>
        <w:snapToGrid w:val="0"/>
        <w:spacing w:line="360" w:lineRule="auto"/>
        <w:ind w:firstLine="424" w:firstLineChars="202"/>
        <w:rPr>
          <w:rFonts w:hint="eastAsia" w:ascii="宋体"/>
          <w:bCs/>
          <w:color w:val="auto"/>
          <w:szCs w:val="20"/>
          <w:highlight w:val="none"/>
        </w:rPr>
      </w:pPr>
      <w:r>
        <w:rPr>
          <w:rFonts w:hint="eastAsia" w:ascii="宋体"/>
          <w:bCs/>
          <w:color w:val="auto"/>
          <w:szCs w:val="20"/>
          <w:highlight w:val="none"/>
        </w:rPr>
        <w:t>十</w:t>
      </w:r>
      <w:r>
        <w:rPr>
          <w:rFonts w:hint="eastAsia" w:ascii="宋体"/>
          <w:bCs/>
          <w:color w:val="auto"/>
          <w:szCs w:val="20"/>
          <w:highlight w:val="none"/>
          <w:lang w:val="en-US" w:eastAsia="zh-CN"/>
        </w:rPr>
        <w:t>三</w:t>
      </w:r>
      <w:r>
        <w:rPr>
          <w:rFonts w:hint="eastAsia" w:ascii="宋体"/>
          <w:bCs/>
          <w:color w:val="auto"/>
          <w:szCs w:val="20"/>
          <w:highlight w:val="none"/>
        </w:rPr>
        <w:t>、联系事项：</w:t>
      </w:r>
    </w:p>
    <w:p w14:paraId="4F679AC3">
      <w:pPr>
        <w:adjustRightInd w:val="0"/>
        <w:snapToGrid w:val="0"/>
        <w:spacing w:line="360" w:lineRule="auto"/>
        <w:ind w:firstLine="424" w:firstLineChars="202"/>
        <w:rPr>
          <w:rFonts w:hint="default" w:ascii="宋体"/>
          <w:bCs/>
          <w:color w:val="auto"/>
          <w:szCs w:val="20"/>
          <w:highlight w:val="none"/>
          <w:lang w:val="en-US" w:eastAsia="zh-CN"/>
        </w:rPr>
      </w:pPr>
      <w:r>
        <w:rPr>
          <w:rFonts w:hint="eastAsia" w:ascii="宋体"/>
          <w:bCs/>
          <w:color w:val="auto"/>
          <w:szCs w:val="20"/>
          <w:highlight w:val="none"/>
          <w:lang w:val="en-US" w:eastAsia="zh-CN"/>
        </w:rPr>
        <w:t>医学装备部联系人</w:t>
      </w:r>
      <w:r>
        <w:rPr>
          <w:rFonts w:hint="eastAsia" w:ascii="宋体"/>
          <w:bCs/>
          <w:color w:val="auto"/>
          <w:szCs w:val="20"/>
          <w:highlight w:val="none"/>
        </w:rPr>
        <w:t>：</w:t>
      </w:r>
      <w:r>
        <w:rPr>
          <w:rFonts w:hint="eastAsia" w:ascii="宋体"/>
          <w:bCs/>
          <w:color w:val="auto"/>
          <w:szCs w:val="20"/>
          <w:highlight w:val="none"/>
          <w:lang w:val="en-US" w:eastAsia="zh-CN"/>
        </w:rPr>
        <w:t>石老师 0755-83116181</w:t>
      </w:r>
    </w:p>
    <w:p w14:paraId="1D33796B">
      <w:pPr>
        <w:adjustRightInd w:val="0"/>
        <w:snapToGrid w:val="0"/>
        <w:spacing w:line="360" w:lineRule="auto"/>
        <w:ind w:firstLine="424" w:firstLineChars="202"/>
        <w:rPr>
          <w:rFonts w:hint="eastAsia" w:ascii="宋体"/>
          <w:bCs/>
          <w:color w:val="auto"/>
          <w:szCs w:val="20"/>
          <w:highlight w:val="none"/>
        </w:rPr>
      </w:pPr>
      <w:r>
        <w:rPr>
          <w:rFonts w:hint="eastAsia" w:ascii="宋体"/>
          <w:bCs/>
          <w:color w:val="auto"/>
          <w:szCs w:val="20"/>
          <w:highlight w:val="none"/>
          <w:lang w:val="en-US" w:eastAsia="zh-CN"/>
        </w:rPr>
        <w:t>招标采购办联系人：吴老师 0755-83279817</w:t>
      </w:r>
    </w:p>
    <w:p w14:paraId="662C0329">
      <w:pPr>
        <w:tabs>
          <w:tab w:val="left" w:pos="425"/>
          <w:tab w:val="left" w:pos="567"/>
          <w:tab w:val="left" w:pos="728"/>
        </w:tabs>
        <w:adjustRightInd w:val="0"/>
        <w:snapToGrid w:val="0"/>
        <w:spacing w:line="360" w:lineRule="auto"/>
        <w:jc w:val="right"/>
        <w:rPr>
          <w:rFonts w:hint="eastAsia" w:ascii="宋体" w:hAnsi="宋体"/>
          <w:b/>
          <w:bCs w:val="0"/>
          <w:color w:val="auto"/>
          <w:szCs w:val="21"/>
        </w:rPr>
      </w:pPr>
      <w:r>
        <w:rPr>
          <w:rFonts w:hint="eastAsia" w:ascii="宋体" w:hAnsi="宋体"/>
          <w:b/>
          <w:bCs w:val="0"/>
          <w:color w:val="auto"/>
          <w:szCs w:val="21"/>
        </w:rPr>
        <w:t>发布时间：20</w:t>
      </w:r>
      <w:r>
        <w:rPr>
          <w:rFonts w:hint="eastAsia" w:ascii="宋体" w:hAnsi="宋体"/>
          <w:b/>
          <w:bCs w:val="0"/>
          <w:color w:val="auto"/>
          <w:szCs w:val="21"/>
          <w:lang w:val="en-US" w:eastAsia="zh-CN"/>
        </w:rPr>
        <w:t>25</w:t>
      </w:r>
      <w:r>
        <w:rPr>
          <w:rFonts w:hint="eastAsia" w:ascii="宋体" w:hAnsi="宋体"/>
          <w:b/>
          <w:bCs w:val="0"/>
          <w:color w:val="auto"/>
          <w:szCs w:val="21"/>
        </w:rPr>
        <w:t>年</w:t>
      </w:r>
      <w:r>
        <w:rPr>
          <w:rFonts w:hint="eastAsia" w:ascii="宋体" w:hAnsi="宋体"/>
          <w:b/>
          <w:bCs w:val="0"/>
          <w:color w:val="auto"/>
          <w:szCs w:val="21"/>
          <w:lang w:val="en-US" w:eastAsia="zh-CN"/>
        </w:rPr>
        <w:t>5</w:t>
      </w:r>
      <w:r>
        <w:rPr>
          <w:rFonts w:hint="eastAsia" w:ascii="宋体" w:hAnsi="宋体"/>
          <w:b/>
          <w:bCs w:val="0"/>
          <w:color w:val="auto"/>
          <w:szCs w:val="21"/>
        </w:rPr>
        <w:t>月</w:t>
      </w:r>
      <w:r>
        <w:rPr>
          <w:rFonts w:hint="eastAsia" w:ascii="宋体" w:hAnsi="宋体"/>
          <w:b/>
          <w:bCs w:val="0"/>
          <w:color w:val="auto"/>
          <w:szCs w:val="21"/>
          <w:lang w:val="en-US" w:eastAsia="zh-CN"/>
        </w:rPr>
        <w:t>23</w:t>
      </w:r>
      <w:bookmarkStart w:id="187" w:name="_GoBack"/>
      <w:bookmarkEnd w:id="187"/>
      <w:r>
        <w:rPr>
          <w:rFonts w:hint="eastAsia" w:ascii="宋体" w:hAnsi="宋体"/>
          <w:b/>
          <w:bCs w:val="0"/>
          <w:color w:val="auto"/>
          <w:szCs w:val="21"/>
        </w:rPr>
        <w:t>日</w:t>
      </w:r>
    </w:p>
    <w:bookmarkEnd w:id="9"/>
    <w:bookmarkEnd w:id="10"/>
    <w:p w14:paraId="27D0AA8D">
      <w:pPr>
        <w:widowControl/>
        <w:jc w:val="center"/>
        <w:rPr>
          <w:rFonts w:hint="eastAsia" w:asciiTheme="majorEastAsia" w:hAnsiTheme="majorEastAsia" w:eastAsiaTheme="majorEastAsia" w:cstheme="majorEastAsia"/>
          <w:b/>
          <w:bCs/>
          <w:sz w:val="32"/>
          <w:szCs w:val="32"/>
          <w:lang w:val="en-US" w:eastAsia="zh-CN"/>
        </w:rPr>
      </w:pPr>
      <w:bookmarkStart w:id="11" w:name="_Toc10873"/>
      <w:bookmarkStart w:id="12" w:name="_Toc22038"/>
      <w:bookmarkStart w:id="13" w:name="_Toc435514849"/>
      <w:bookmarkStart w:id="14" w:name="_Toc8307303"/>
      <w:bookmarkStart w:id="15" w:name="_Toc13175"/>
      <w:bookmarkStart w:id="16" w:name="_Toc24913_WPSOffice_Level1"/>
      <w:bookmarkStart w:id="17" w:name="_Toc435115054"/>
      <w:bookmarkStart w:id="18" w:name="_Toc8307302"/>
    </w:p>
    <w:p w14:paraId="71D2F931">
      <w:pPr>
        <w:widowControl/>
        <w:jc w:val="center"/>
        <w:rPr>
          <w:rFonts w:hint="eastAsia" w:asciiTheme="majorEastAsia" w:hAnsiTheme="majorEastAsia" w:eastAsiaTheme="majorEastAsia" w:cstheme="majorEastAsia"/>
          <w:b/>
          <w:bCs/>
          <w:sz w:val="32"/>
          <w:szCs w:val="32"/>
          <w:lang w:val="en-US" w:eastAsia="zh-CN"/>
        </w:rPr>
      </w:pPr>
    </w:p>
    <w:p w14:paraId="367C4EF1">
      <w:pPr>
        <w:widowControl/>
        <w:jc w:val="center"/>
        <w:rPr>
          <w:rFonts w:hint="eastAsia" w:asciiTheme="majorEastAsia" w:hAnsiTheme="majorEastAsia" w:eastAsiaTheme="majorEastAsia" w:cstheme="majorEastAsia"/>
          <w:b/>
          <w:bCs/>
          <w:sz w:val="32"/>
          <w:szCs w:val="32"/>
          <w:lang w:val="en-US" w:eastAsia="zh-CN"/>
        </w:rPr>
      </w:pPr>
    </w:p>
    <w:p w14:paraId="1BC07FA1">
      <w:pPr>
        <w:widowControl/>
        <w:jc w:val="center"/>
        <w:rPr>
          <w:rFonts w:hint="eastAsia" w:asciiTheme="majorEastAsia" w:hAnsiTheme="majorEastAsia" w:eastAsiaTheme="majorEastAsia" w:cstheme="majorEastAsia"/>
          <w:b/>
          <w:bCs/>
          <w:sz w:val="32"/>
          <w:szCs w:val="32"/>
          <w:lang w:val="en-US" w:eastAsia="zh-CN"/>
        </w:rPr>
      </w:pPr>
    </w:p>
    <w:p w14:paraId="127CBCF7">
      <w:pPr>
        <w:widowControl/>
        <w:jc w:val="center"/>
        <w:rPr>
          <w:rFonts w:hint="default"/>
          <w:b/>
          <w:bCs/>
          <w:lang w:val="en-US" w:eastAsia="zh-CN"/>
        </w:rPr>
      </w:pPr>
      <w:r>
        <w:rPr>
          <w:rFonts w:hint="eastAsia" w:asciiTheme="majorEastAsia" w:hAnsiTheme="majorEastAsia" w:eastAsiaTheme="majorEastAsia" w:cstheme="majorEastAsia"/>
          <w:b/>
          <w:bCs/>
          <w:sz w:val="32"/>
          <w:szCs w:val="32"/>
          <w:lang w:val="en-US" w:eastAsia="zh-CN"/>
        </w:rPr>
        <w:t>第二章 遴选响应资料表</w:t>
      </w:r>
      <w:bookmarkEnd w:id="11"/>
    </w:p>
    <w:p w14:paraId="4AAD8E72">
      <w:pPr>
        <w:spacing w:line="360" w:lineRule="auto"/>
        <w:ind w:right="-174" w:rightChars="-83" w:firstLine="424" w:firstLineChars="202"/>
      </w:pPr>
      <w:r>
        <w:rPr>
          <w:rFonts w:hint="eastAsia"/>
        </w:rPr>
        <w:t>说明：该资料表的条款项号是与《</w:t>
      </w:r>
      <w:r>
        <w:rPr>
          <w:rFonts w:hint="eastAsia"/>
          <w:lang w:val="en-US" w:eastAsia="zh-CN"/>
        </w:rPr>
        <w:t>遴选响应方</w:t>
      </w:r>
      <w:r>
        <w:rPr>
          <w:rFonts w:hint="eastAsia"/>
        </w:rPr>
        <w:t>须知》条款项号对应的条款，是对《</w:t>
      </w:r>
      <w:r>
        <w:rPr>
          <w:rFonts w:hint="eastAsia"/>
          <w:lang w:val="en-US" w:eastAsia="zh-CN"/>
        </w:rPr>
        <w:t>遴选响应方</w:t>
      </w:r>
      <w:r>
        <w:rPr>
          <w:rFonts w:hint="eastAsia"/>
        </w:rPr>
        <w:t>须知》补充、修改和完善，如果有矛盾的话，应以本资料表为准。</w:t>
      </w:r>
    </w:p>
    <w:tbl>
      <w:tblPr>
        <w:tblStyle w:val="39"/>
        <w:tblW w:w="908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8000"/>
      </w:tblGrid>
      <w:tr w14:paraId="361336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8" w:type="dxa"/>
            <w:vAlign w:val="center"/>
          </w:tcPr>
          <w:p w14:paraId="7F3E8E51">
            <w:pPr>
              <w:jc w:val="center"/>
              <w:rPr>
                <w:rFonts w:ascii="宋体" w:hAnsi="宋体"/>
                <w:szCs w:val="21"/>
              </w:rPr>
            </w:pPr>
            <w:r>
              <w:rPr>
                <w:rFonts w:ascii="宋体" w:hAnsi="宋体"/>
                <w:szCs w:val="21"/>
              </w:rPr>
              <w:t>条款</w:t>
            </w:r>
            <w:r>
              <w:rPr>
                <w:rFonts w:hint="eastAsia" w:ascii="宋体" w:hAnsi="宋体"/>
                <w:szCs w:val="21"/>
              </w:rPr>
              <w:t>项</w:t>
            </w:r>
            <w:r>
              <w:rPr>
                <w:rFonts w:ascii="宋体" w:hAnsi="宋体"/>
                <w:szCs w:val="21"/>
              </w:rPr>
              <w:t>号</w:t>
            </w:r>
          </w:p>
        </w:tc>
        <w:tc>
          <w:tcPr>
            <w:tcW w:w="8000" w:type="dxa"/>
            <w:vAlign w:val="center"/>
          </w:tcPr>
          <w:p w14:paraId="1DE6B0A4">
            <w:pPr>
              <w:jc w:val="center"/>
              <w:rPr>
                <w:rFonts w:ascii="宋体" w:hAnsi="宋体"/>
                <w:b/>
                <w:szCs w:val="21"/>
              </w:rPr>
            </w:pPr>
            <w:r>
              <w:rPr>
                <w:rFonts w:ascii="宋体" w:hAnsi="宋体"/>
                <w:b/>
                <w:szCs w:val="21"/>
              </w:rPr>
              <w:t>内     容</w:t>
            </w:r>
          </w:p>
        </w:tc>
      </w:tr>
      <w:tr w14:paraId="50424F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88" w:type="dxa"/>
            <w:gridSpan w:val="2"/>
            <w:vAlign w:val="center"/>
          </w:tcPr>
          <w:p w14:paraId="6661C7FE">
            <w:pPr>
              <w:jc w:val="center"/>
              <w:rPr>
                <w:rFonts w:ascii="宋体" w:hAnsi="宋体"/>
                <w:szCs w:val="21"/>
              </w:rPr>
            </w:pPr>
            <w:r>
              <w:rPr>
                <w:rFonts w:hint="eastAsia" w:ascii="宋体" w:hAnsi="宋体"/>
                <w:b/>
                <w:szCs w:val="21"/>
                <w:lang w:val="en-US" w:eastAsia="zh-CN"/>
              </w:rPr>
              <w:t>一</w:t>
            </w:r>
            <w:r>
              <w:rPr>
                <w:rFonts w:hint="eastAsia" w:ascii="宋体" w:hAnsi="宋体"/>
                <w:b/>
                <w:szCs w:val="21"/>
              </w:rPr>
              <w:t>、</w:t>
            </w:r>
            <w:r>
              <w:rPr>
                <w:rFonts w:hint="eastAsia" w:ascii="宋体" w:hAnsi="宋体"/>
                <w:b/>
                <w:szCs w:val="21"/>
                <w:lang w:val="en-US" w:eastAsia="zh-CN"/>
              </w:rPr>
              <w:t>遴选</w:t>
            </w:r>
            <w:r>
              <w:rPr>
                <w:rFonts w:hint="eastAsia" w:ascii="宋体" w:hAnsi="宋体"/>
                <w:b/>
                <w:szCs w:val="21"/>
              </w:rPr>
              <w:t>文件</w:t>
            </w:r>
          </w:p>
        </w:tc>
      </w:tr>
      <w:tr w14:paraId="5D49C5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88" w:type="dxa"/>
            <w:vAlign w:val="center"/>
          </w:tcPr>
          <w:p w14:paraId="1AFE9D0A">
            <w:pPr>
              <w:jc w:val="center"/>
              <w:rPr>
                <w:rFonts w:ascii="宋体" w:hAnsi="宋体"/>
                <w:szCs w:val="21"/>
              </w:rPr>
            </w:pPr>
            <w:r>
              <w:rPr>
                <w:rFonts w:hint="eastAsia" w:ascii="宋体" w:hAnsi="宋体"/>
                <w:szCs w:val="21"/>
              </w:rPr>
              <w:t>8.1</w:t>
            </w:r>
          </w:p>
        </w:tc>
        <w:tc>
          <w:tcPr>
            <w:tcW w:w="8000" w:type="dxa"/>
            <w:vAlign w:val="center"/>
          </w:tcPr>
          <w:p w14:paraId="34DB549C">
            <w:pPr>
              <w:adjustRightInd w:val="0"/>
              <w:snapToGrid w:val="0"/>
              <w:rPr>
                <w:rFonts w:ascii="宋体" w:hAnsi="宋体"/>
                <w:szCs w:val="21"/>
              </w:rPr>
            </w:pPr>
            <w:r>
              <w:rPr>
                <w:rFonts w:hint="eastAsia" w:ascii="宋体" w:hAnsi="宋体"/>
                <w:b/>
                <w:bCs/>
                <w:szCs w:val="21"/>
              </w:rPr>
              <w:t>现场考察或者召开</w:t>
            </w:r>
            <w:r>
              <w:rPr>
                <w:rFonts w:hint="eastAsia" w:ascii="宋体" w:hAnsi="宋体"/>
                <w:b/>
                <w:bCs/>
                <w:szCs w:val="21"/>
                <w:lang w:eastAsia="zh-CN"/>
              </w:rPr>
              <w:t>遴选</w:t>
            </w:r>
            <w:r>
              <w:rPr>
                <w:rFonts w:hint="eastAsia" w:ascii="宋体" w:hAnsi="宋体"/>
                <w:b/>
                <w:bCs/>
                <w:szCs w:val="21"/>
              </w:rPr>
              <w:t>前答疑会</w:t>
            </w:r>
            <w:r>
              <w:rPr>
                <w:rFonts w:hint="eastAsia" w:ascii="宋体" w:hAnsi="宋体"/>
                <w:szCs w:val="21"/>
              </w:rPr>
              <w:t>：不举行。</w:t>
            </w:r>
          </w:p>
        </w:tc>
      </w:tr>
      <w:tr w14:paraId="36F9BA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74" w:hRule="atLeast"/>
          <w:jc w:val="center"/>
        </w:trPr>
        <w:tc>
          <w:tcPr>
            <w:tcW w:w="9088" w:type="dxa"/>
            <w:gridSpan w:val="2"/>
            <w:vAlign w:val="center"/>
          </w:tcPr>
          <w:p w14:paraId="722CAD1A">
            <w:pPr>
              <w:jc w:val="center"/>
              <w:rPr>
                <w:rFonts w:ascii="宋体" w:hAnsi="宋体"/>
                <w:b/>
                <w:szCs w:val="21"/>
              </w:rPr>
            </w:pPr>
            <w:r>
              <w:rPr>
                <w:rFonts w:hint="eastAsia" w:ascii="宋体" w:hAnsi="宋体"/>
                <w:b/>
                <w:szCs w:val="21"/>
                <w:lang w:val="en-US" w:eastAsia="zh-CN"/>
              </w:rPr>
              <w:t>二</w:t>
            </w:r>
            <w:r>
              <w:rPr>
                <w:rFonts w:ascii="宋体" w:hAnsi="宋体"/>
                <w:b/>
                <w:szCs w:val="21"/>
              </w:rPr>
              <w:t>、</w:t>
            </w:r>
            <w:r>
              <w:rPr>
                <w:rFonts w:hint="eastAsia" w:ascii="宋体" w:hAnsi="宋体"/>
                <w:b/>
                <w:szCs w:val="21"/>
                <w:lang w:val="en-US" w:eastAsia="zh-CN"/>
              </w:rPr>
              <w:t>遴选响应</w:t>
            </w:r>
            <w:r>
              <w:rPr>
                <w:rFonts w:ascii="宋体" w:hAnsi="宋体"/>
                <w:b/>
                <w:szCs w:val="21"/>
              </w:rPr>
              <w:t>文件的编制</w:t>
            </w:r>
          </w:p>
        </w:tc>
      </w:tr>
      <w:tr w14:paraId="266683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8" w:type="dxa"/>
            <w:vAlign w:val="center"/>
          </w:tcPr>
          <w:p w14:paraId="2572BF4C">
            <w:pPr>
              <w:jc w:val="center"/>
              <w:rPr>
                <w:rFonts w:ascii="宋体" w:hAnsi="宋体"/>
                <w:dstrike/>
                <w:szCs w:val="21"/>
                <w:em w:val="dot"/>
              </w:rPr>
            </w:pPr>
            <w:r>
              <w:rPr>
                <w:rFonts w:hint="eastAsia" w:ascii="宋体" w:hAnsi="宋体"/>
                <w:szCs w:val="21"/>
              </w:rPr>
              <w:t>12.2.1</w:t>
            </w:r>
          </w:p>
        </w:tc>
        <w:tc>
          <w:tcPr>
            <w:tcW w:w="8000" w:type="dxa"/>
            <w:vAlign w:val="center"/>
          </w:tcPr>
          <w:p w14:paraId="3E218134">
            <w:pPr>
              <w:adjustRightInd w:val="0"/>
              <w:snapToGrid w:val="0"/>
              <w:ind w:left="210" w:hanging="210"/>
              <w:rPr>
                <w:rFonts w:ascii="宋体" w:hAnsi="宋体"/>
                <w:szCs w:val="21"/>
              </w:rPr>
            </w:pPr>
            <w:r>
              <w:rPr>
                <w:rFonts w:hint="eastAsia" w:ascii="宋体" w:hAnsi="宋体"/>
                <w:szCs w:val="21"/>
              </w:rPr>
              <w:t>（境外货物）</w:t>
            </w:r>
            <w:r>
              <w:rPr>
                <w:rFonts w:hint="eastAsia" w:ascii="宋体" w:hAnsi="宋体" w:cs="宋体"/>
                <w:szCs w:val="21"/>
                <w:lang w:val="zh-CN"/>
              </w:rPr>
              <w:t>进口环节关税和增</w:t>
            </w:r>
            <w:r>
              <w:rPr>
                <w:rFonts w:hint="eastAsia" w:ascii="宋体" w:hAnsi="宋体" w:cs="宋体"/>
                <w:szCs w:val="21"/>
              </w:rPr>
              <w:t>值税：无。</w:t>
            </w:r>
          </w:p>
        </w:tc>
      </w:tr>
      <w:tr w14:paraId="2537C0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8" w:type="dxa"/>
            <w:vAlign w:val="center"/>
          </w:tcPr>
          <w:p w14:paraId="45CAF1C3">
            <w:pPr>
              <w:jc w:val="center"/>
              <w:rPr>
                <w:rFonts w:ascii="宋体" w:hAnsi="宋体"/>
                <w:szCs w:val="21"/>
              </w:rPr>
            </w:pPr>
            <w:r>
              <w:rPr>
                <w:rFonts w:hint="eastAsia" w:ascii="宋体" w:hAnsi="宋体"/>
                <w:szCs w:val="21"/>
              </w:rPr>
              <w:t>12.3</w:t>
            </w:r>
          </w:p>
        </w:tc>
        <w:tc>
          <w:tcPr>
            <w:tcW w:w="8000" w:type="dxa"/>
            <w:vAlign w:val="center"/>
          </w:tcPr>
          <w:p w14:paraId="15A9914C">
            <w:pPr>
              <w:rPr>
                <w:rFonts w:ascii="宋体" w:hAnsi="宋体"/>
                <w:szCs w:val="21"/>
              </w:rPr>
            </w:pPr>
            <w:r>
              <w:rPr>
                <w:rFonts w:hint="eastAsia" w:ascii="宋体" w:hAnsi="宋体"/>
                <w:szCs w:val="21"/>
                <w:lang w:eastAsia="zh-CN"/>
              </w:rPr>
              <w:t>遴选响应方</w:t>
            </w:r>
            <w:r>
              <w:rPr>
                <w:rFonts w:hint="eastAsia" w:ascii="宋体" w:hAnsi="宋体"/>
                <w:szCs w:val="21"/>
              </w:rPr>
              <w:t>所报的</w:t>
            </w:r>
            <w:r>
              <w:rPr>
                <w:rFonts w:hint="eastAsia" w:ascii="宋体" w:hAnsi="宋体"/>
                <w:szCs w:val="21"/>
                <w:lang w:val="en-US" w:eastAsia="zh-CN"/>
              </w:rPr>
              <w:t>SPD管理平台医用物资供应商服务费</w:t>
            </w:r>
            <w:r>
              <w:rPr>
                <w:rFonts w:hint="eastAsia" w:ascii="宋体" w:hAnsi="宋体"/>
                <w:szCs w:val="21"/>
              </w:rPr>
              <w:t>在合同执行过程中是固定不变的，不得以任何理由予以变更。</w:t>
            </w:r>
          </w:p>
        </w:tc>
      </w:tr>
      <w:tr w14:paraId="332D26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8" w:type="dxa"/>
            <w:vAlign w:val="center"/>
          </w:tcPr>
          <w:p w14:paraId="66E8F77B">
            <w:pPr>
              <w:jc w:val="center"/>
              <w:rPr>
                <w:rFonts w:ascii="宋体" w:hAnsi="宋体"/>
                <w:szCs w:val="21"/>
              </w:rPr>
            </w:pPr>
            <w:r>
              <w:rPr>
                <w:rFonts w:hint="eastAsia" w:ascii="宋体" w:hAnsi="宋体"/>
                <w:szCs w:val="21"/>
              </w:rPr>
              <w:t>12.4</w:t>
            </w:r>
          </w:p>
        </w:tc>
        <w:tc>
          <w:tcPr>
            <w:tcW w:w="8000" w:type="dxa"/>
            <w:vAlign w:val="center"/>
          </w:tcPr>
          <w:p w14:paraId="126B2312">
            <w:pPr>
              <w:rPr>
                <w:rFonts w:ascii="宋体" w:hAnsi="宋体" w:cs="宋体"/>
                <w:szCs w:val="21"/>
              </w:rPr>
            </w:pPr>
            <w:r>
              <w:rPr>
                <w:rFonts w:hint="eastAsia" w:ascii="宋体" w:hAnsi="宋体"/>
                <w:szCs w:val="21"/>
              </w:rPr>
              <w:t>不允许有备选方案，否则将被视为无效</w:t>
            </w:r>
            <w:r>
              <w:rPr>
                <w:rFonts w:hint="eastAsia" w:ascii="宋体" w:hAnsi="宋体"/>
                <w:szCs w:val="21"/>
                <w:lang w:val="en-US" w:eastAsia="zh-CN"/>
              </w:rPr>
              <w:t>遴选响应</w:t>
            </w:r>
            <w:r>
              <w:rPr>
                <w:rFonts w:hint="eastAsia" w:ascii="宋体" w:hAnsi="宋体"/>
                <w:szCs w:val="21"/>
              </w:rPr>
              <w:t>。</w:t>
            </w:r>
          </w:p>
        </w:tc>
      </w:tr>
      <w:tr w14:paraId="625F47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8" w:type="dxa"/>
            <w:vAlign w:val="center"/>
          </w:tcPr>
          <w:p w14:paraId="663A630D">
            <w:pPr>
              <w:jc w:val="center"/>
              <w:rPr>
                <w:rFonts w:ascii="宋体" w:hAnsi="宋体"/>
                <w:szCs w:val="21"/>
              </w:rPr>
            </w:pPr>
            <w:r>
              <w:rPr>
                <w:rFonts w:hint="eastAsia" w:ascii="宋体" w:hAnsi="宋体"/>
                <w:szCs w:val="21"/>
              </w:rPr>
              <w:t>12.5</w:t>
            </w:r>
          </w:p>
        </w:tc>
        <w:tc>
          <w:tcPr>
            <w:tcW w:w="8000" w:type="dxa"/>
            <w:vAlign w:val="center"/>
          </w:tcPr>
          <w:p w14:paraId="68F6E294">
            <w:pPr>
              <w:rPr>
                <w:rFonts w:ascii="宋体" w:hAnsi="宋体"/>
                <w:szCs w:val="21"/>
              </w:rPr>
            </w:pPr>
            <w:r>
              <w:rPr>
                <w:rFonts w:hint="eastAsia" w:ascii="宋体" w:hAnsi="宋体"/>
                <w:szCs w:val="21"/>
              </w:rPr>
              <w:t>不允许附加条件报价，</w:t>
            </w:r>
            <w:r>
              <w:rPr>
                <w:rFonts w:hint="eastAsia" w:ascii="宋体" w:hAnsi="宋体" w:cs="宋体"/>
                <w:szCs w:val="21"/>
              </w:rPr>
              <w:t>否则将被视为无效</w:t>
            </w:r>
            <w:r>
              <w:rPr>
                <w:rFonts w:hint="eastAsia" w:ascii="宋体" w:hAnsi="宋体" w:cs="宋体"/>
                <w:szCs w:val="21"/>
                <w:lang w:val="en-US" w:eastAsia="zh-CN"/>
              </w:rPr>
              <w:t>遴选响应</w:t>
            </w:r>
            <w:r>
              <w:rPr>
                <w:rFonts w:hint="eastAsia" w:ascii="宋体" w:hAnsi="宋体" w:cs="宋体"/>
                <w:szCs w:val="21"/>
              </w:rPr>
              <w:t>。</w:t>
            </w:r>
          </w:p>
        </w:tc>
      </w:tr>
      <w:tr w14:paraId="0C9532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8" w:type="dxa"/>
            <w:vAlign w:val="center"/>
          </w:tcPr>
          <w:p w14:paraId="7C44A7AB">
            <w:pPr>
              <w:jc w:val="center"/>
              <w:rPr>
                <w:rFonts w:ascii="宋体" w:hAnsi="宋体"/>
                <w:szCs w:val="21"/>
              </w:rPr>
            </w:pPr>
            <w:r>
              <w:rPr>
                <w:rFonts w:hint="eastAsia" w:ascii="宋体" w:hAnsi="宋体"/>
                <w:szCs w:val="21"/>
              </w:rPr>
              <w:t>18</w:t>
            </w:r>
            <w:r>
              <w:rPr>
                <w:rFonts w:ascii="宋体" w:hAnsi="宋体"/>
                <w:szCs w:val="21"/>
              </w:rPr>
              <w:t>.1</w:t>
            </w:r>
          </w:p>
        </w:tc>
        <w:tc>
          <w:tcPr>
            <w:tcW w:w="8000" w:type="dxa"/>
            <w:vAlign w:val="center"/>
          </w:tcPr>
          <w:p w14:paraId="70E1415B">
            <w:pPr>
              <w:rPr>
                <w:rFonts w:ascii="宋体" w:hAnsi="宋体"/>
                <w:szCs w:val="21"/>
              </w:rPr>
            </w:pPr>
            <w:r>
              <w:rPr>
                <w:rFonts w:hint="eastAsia" w:ascii="宋体" w:hAnsi="宋体"/>
                <w:szCs w:val="21"/>
                <w:lang w:val="en-US" w:eastAsia="zh-CN"/>
              </w:rPr>
              <w:t>遴选响应</w:t>
            </w:r>
            <w:r>
              <w:rPr>
                <w:rFonts w:ascii="宋体" w:hAnsi="宋体"/>
                <w:szCs w:val="21"/>
              </w:rPr>
              <w:t>有效期：90天</w:t>
            </w:r>
            <w:r>
              <w:rPr>
                <w:rFonts w:hint="eastAsia" w:ascii="宋体" w:hAnsi="宋体"/>
                <w:szCs w:val="21"/>
              </w:rPr>
              <w:t>。</w:t>
            </w:r>
          </w:p>
        </w:tc>
      </w:tr>
      <w:tr w14:paraId="4CC058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8" w:type="dxa"/>
            <w:vAlign w:val="center"/>
          </w:tcPr>
          <w:p w14:paraId="52B2B466">
            <w:pPr>
              <w:jc w:val="center"/>
              <w:rPr>
                <w:rFonts w:ascii="宋体" w:hAnsi="宋体"/>
                <w:szCs w:val="21"/>
              </w:rPr>
            </w:pPr>
            <w:r>
              <w:rPr>
                <w:rFonts w:hint="eastAsia" w:ascii="宋体" w:hAnsi="宋体"/>
                <w:szCs w:val="21"/>
              </w:rPr>
              <w:t>19</w:t>
            </w:r>
            <w:r>
              <w:rPr>
                <w:rFonts w:ascii="宋体" w:hAnsi="宋体"/>
                <w:szCs w:val="21"/>
              </w:rPr>
              <w:t>.1</w:t>
            </w:r>
          </w:p>
        </w:tc>
        <w:tc>
          <w:tcPr>
            <w:tcW w:w="8000" w:type="dxa"/>
            <w:vAlign w:val="center"/>
          </w:tcPr>
          <w:p w14:paraId="2CBF94E8">
            <w:pPr>
              <w:rPr>
                <w:rFonts w:ascii="宋体" w:hAnsi="宋体"/>
                <w:szCs w:val="21"/>
              </w:rPr>
            </w:pPr>
            <w:r>
              <w:rPr>
                <w:rFonts w:hint="eastAsia" w:ascii="宋体" w:hAnsi="宋体"/>
                <w:szCs w:val="21"/>
                <w:lang w:val="en-US" w:eastAsia="zh-CN"/>
              </w:rPr>
              <w:t>遴选响应</w:t>
            </w:r>
            <w:r>
              <w:rPr>
                <w:rFonts w:ascii="宋体" w:hAnsi="宋体"/>
                <w:szCs w:val="21"/>
              </w:rPr>
              <w:t>文件份数：正本一份，副本</w:t>
            </w:r>
            <w:r>
              <w:rPr>
                <w:rFonts w:hint="eastAsia" w:ascii="宋体" w:hAnsi="宋体"/>
                <w:szCs w:val="21"/>
              </w:rPr>
              <w:t>五</w:t>
            </w:r>
            <w:r>
              <w:rPr>
                <w:rFonts w:ascii="宋体" w:hAnsi="宋体"/>
                <w:szCs w:val="21"/>
              </w:rPr>
              <w:t>份，电子文件</w:t>
            </w:r>
            <w:r>
              <w:rPr>
                <w:rFonts w:hint="eastAsia" w:ascii="宋体" w:hAnsi="宋体"/>
                <w:szCs w:val="21"/>
              </w:rPr>
              <w:t>一</w:t>
            </w:r>
            <w:r>
              <w:rPr>
                <w:rFonts w:ascii="宋体" w:hAnsi="宋体"/>
                <w:szCs w:val="21"/>
              </w:rPr>
              <w:t>份</w:t>
            </w:r>
            <w:r>
              <w:rPr>
                <w:rFonts w:hint="eastAsia" w:ascii="宋体" w:hAnsi="宋体"/>
                <w:szCs w:val="21"/>
                <w:lang w:eastAsia="zh-CN"/>
              </w:rPr>
              <w:t>（</w:t>
            </w:r>
            <w:r>
              <w:rPr>
                <w:rFonts w:hint="eastAsia" w:ascii="宋体" w:hAnsi="宋体"/>
                <w:szCs w:val="21"/>
                <w:lang w:val="en-US" w:eastAsia="zh-CN"/>
              </w:rPr>
              <w:t>U盘</w:t>
            </w:r>
            <w:r>
              <w:rPr>
                <w:rFonts w:hint="eastAsia" w:ascii="宋体" w:hAnsi="宋体"/>
                <w:szCs w:val="21"/>
                <w:lang w:eastAsia="zh-CN"/>
              </w:rPr>
              <w:t>）</w:t>
            </w:r>
            <w:r>
              <w:rPr>
                <w:rFonts w:ascii="宋体" w:hAnsi="宋体"/>
                <w:szCs w:val="21"/>
              </w:rPr>
              <w:t>。</w:t>
            </w:r>
          </w:p>
        </w:tc>
      </w:tr>
      <w:tr w14:paraId="65E087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8" w:type="dxa"/>
            <w:vAlign w:val="center"/>
          </w:tcPr>
          <w:p w14:paraId="0A16E13B">
            <w:pPr>
              <w:jc w:val="center"/>
              <w:rPr>
                <w:rFonts w:ascii="宋体" w:hAnsi="宋体"/>
                <w:szCs w:val="21"/>
              </w:rPr>
            </w:pPr>
            <w:r>
              <w:rPr>
                <w:rFonts w:hint="eastAsia" w:ascii="宋体" w:hAnsi="宋体"/>
                <w:szCs w:val="21"/>
              </w:rPr>
              <w:t>2</w:t>
            </w:r>
            <w:r>
              <w:rPr>
                <w:rFonts w:ascii="宋体" w:hAnsi="宋体"/>
                <w:szCs w:val="21"/>
              </w:rPr>
              <w:t>2.1.3</w:t>
            </w:r>
          </w:p>
        </w:tc>
        <w:tc>
          <w:tcPr>
            <w:tcW w:w="8000" w:type="dxa"/>
            <w:vAlign w:val="center"/>
          </w:tcPr>
          <w:p w14:paraId="2ACB5BFE">
            <w:pPr>
              <w:rPr>
                <w:rFonts w:ascii="宋体" w:hAnsi="宋体"/>
                <w:szCs w:val="21"/>
              </w:rPr>
            </w:pPr>
            <w:r>
              <w:rPr>
                <w:rFonts w:hint="eastAsia" w:ascii="宋体" w:hAnsi="宋体" w:cs="宋体"/>
                <w:szCs w:val="21"/>
              </w:rPr>
              <w:t>质疑函接受的联系</w:t>
            </w:r>
            <w:r>
              <w:rPr>
                <w:rFonts w:hint="eastAsia" w:ascii="宋体" w:hAnsi="宋体"/>
                <w:szCs w:val="21"/>
              </w:rPr>
              <w:t>方式</w:t>
            </w:r>
          </w:p>
          <w:p w14:paraId="16E2C8F4">
            <w:pPr>
              <w:pStyle w:val="115"/>
              <w:tabs>
                <w:tab w:val="left" w:pos="0"/>
                <w:tab w:val="left" w:pos="99"/>
                <w:tab w:val="left" w:pos="2773"/>
              </w:tabs>
              <w:adjustRightInd w:val="0"/>
              <w:snapToGrid w:val="0"/>
              <w:ind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szCs w:val="21"/>
              </w:rPr>
              <w:t>地址：深圳市福田区</w:t>
            </w:r>
            <w:r>
              <w:rPr>
                <w:rFonts w:hint="eastAsia" w:asciiTheme="minorEastAsia" w:hAnsiTheme="minorEastAsia" w:eastAsiaTheme="minorEastAsia"/>
                <w:color w:val="auto"/>
                <w:szCs w:val="21"/>
                <w:lang w:val="en-US" w:eastAsia="zh-CN"/>
              </w:rPr>
              <w:t>梅林街道中康路27号福田区第二人民医院综合楼A</w:t>
            </w:r>
            <w:r>
              <w:rPr>
                <w:rFonts w:hint="eastAsia" w:asciiTheme="minorEastAsia" w:hAnsiTheme="minorEastAsia" w:eastAsiaTheme="minorEastAsia"/>
                <w:color w:val="auto"/>
                <w:szCs w:val="21"/>
              </w:rPr>
              <w:t>栋501</w:t>
            </w:r>
          </w:p>
          <w:p w14:paraId="3293FF27">
            <w:pPr>
              <w:pStyle w:val="115"/>
              <w:tabs>
                <w:tab w:val="left" w:pos="0"/>
                <w:tab w:val="left" w:pos="99"/>
                <w:tab w:val="left" w:pos="2773"/>
              </w:tabs>
              <w:adjustRightInd w:val="0"/>
              <w:snapToGrid w:val="0"/>
              <w:ind w:firstLine="0" w:firstLineChars="0"/>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rPr>
              <w:t>联系人：</w:t>
            </w:r>
            <w:r>
              <w:rPr>
                <w:rFonts w:hint="eastAsia" w:asciiTheme="minorEastAsia" w:hAnsiTheme="minorEastAsia" w:eastAsiaTheme="minorEastAsia"/>
                <w:color w:val="auto"/>
                <w:szCs w:val="21"/>
                <w:lang w:val="en-US" w:eastAsia="zh-CN"/>
              </w:rPr>
              <w:t>吴工</w:t>
            </w:r>
          </w:p>
          <w:p w14:paraId="3A80ADDA">
            <w:pPr>
              <w:pStyle w:val="115"/>
              <w:tabs>
                <w:tab w:val="left" w:pos="0"/>
                <w:tab w:val="left" w:pos="99"/>
                <w:tab w:val="left" w:pos="2773"/>
              </w:tabs>
              <w:adjustRightInd w:val="0"/>
              <w:snapToGrid w:val="0"/>
              <w:ind w:firstLine="0" w:firstLineChars="0"/>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rPr>
              <w:t>联系电话：</w:t>
            </w:r>
            <w:r>
              <w:rPr>
                <w:rFonts w:hint="eastAsia" w:asciiTheme="minorEastAsia" w:hAnsiTheme="minorEastAsia" w:eastAsiaTheme="minorEastAsia"/>
                <w:color w:val="auto"/>
                <w:szCs w:val="21"/>
                <w:lang w:val="en-US" w:eastAsia="zh-CN"/>
              </w:rPr>
              <w:t>0755-83279817</w:t>
            </w:r>
          </w:p>
          <w:p w14:paraId="5CF049EA">
            <w:pPr>
              <w:tabs>
                <w:tab w:val="left" w:pos="524"/>
                <w:tab w:val="left" w:pos="601"/>
              </w:tabs>
              <w:adjustRightInd w:val="0"/>
              <w:snapToGrid w:val="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电子邮箱：zbcgb@ft2yy.cn</w:t>
            </w:r>
          </w:p>
          <w:p w14:paraId="20A9B3B6">
            <w:pPr>
              <w:rPr>
                <w:rFonts w:ascii="宋体" w:hAnsi="宋体"/>
                <w:szCs w:val="21"/>
              </w:rPr>
            </w:pPr>
            <w:r>
              <w:rPr>
                <w:rFonts w:hint="eastAsia" w:asciiTheme="minorEastAsia" w:hAnsiTheme="minorEastAsia" w:eastAsiaTheme="minorEastAsia"/>
                <w:bCs/>
                <w:color w:val="auto"/>
                <w:szCs w:val="21"/>
              </w:rPr>
              <w:t>邮编：5180</w:t>
            </w:r>
            <w:r>
              <w:rPr>
                <w:rFonts w:hint="eastAsia" w:asciiTheme="minorEastAsia" w:hAnsiTheme="minorEastAsia" w:eastAsiaTheme="minorEastAsia"/>
                <w:bCs/>
                <w:color w:val="auto"/>
                <w:szCs w:val="21"/>
                <w:lang w:val="en-US" w:eastAsia="zh-CN"/>
              </w:rPr>
              <w:t>49</w:t>
            </w:r>
          </w:p>
        </w:tc>
      </w:tr>
      <w:tr w14:paraId="14D127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76" w:hRule="atLeast"/>
          <w:jc w:val="center"/>
        </w:trPr>
        <w:tc>
          <w:tcPr>
            <w:tcW w:w="9088" w:type="dxa"/>
            <w:gridSpan w:val="2"/>
            <w:vAlign w:val="center"/>
          </w:tcPr>
          <w:p w14:paraId="71B701E8">
            <w:pPr>
              <w:jc w:val="center"/>
              <w:rPr>
                <w:rFonts w:ascii="宋体" w:hAnsi="宋体"/>
                <w:szCs w:val="21"/>
              </w:rPr>
            </w:pPr>
            <w:r>
              <w:rPr>
                <w:rFonts w:hint="eastAsia" w:ascii="宋体" w:hAnsi="宋体"/>
                <w:b/>
                <w:szCs w:val="21"/>
                <w:lang w:val="en-US" w:eastAsia="zh-CN"/>
              </w:rPr>
              <w:t>三</w:t>
            </w:r>
            <w:r>
              <w:rPr>
                <w:rFonts w:ascii="宋体" w:hAnsi="宋体"/>
                <w:b/>
                <w:szCs w:val="21"/>
              </w:rPr>
              <w:t>、授予合同</w:t>
            </w:r>
          </w:p>
        </w:tc>
      </w:tr>
      <w:tr w14:paraId="0CF07D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8" w:type="dxa"/>
            <w:vAlign w:val="center"/>
          </w:tcPr>
          <w:p w14:paraId="36EFD8EE">
            <w:pPr>
              <w:adjustRightInd w:val="0"/>
              <w:snapToGrid w:val="0"/>
              <w:jc w:val="center"/>
              <w:rPr>
                <w:rFonts w:ascii="宋体" w:hAnsi="宋体"/>
                <w:szCs w:val="21"/>
              </w:rPr>
            </w:pPr>
            <w:r>
              <w:rPr>
                <w:rFonts w:hint="eastAsia" w:ascii="宋体" w:hAnsi="宋体"/>
                <w:szCs w:val="21"/>
              </w:rPr>
              <w:t>26.1</w:t>
            </w:r>
          </w:p>
        </w:tc>
        <w:tc>
          <w:tcPr>
            <w:tcW w:w="8000" w:type="dxa"/>
            <w:vAlign w:val="center"/>
          </w:tcPr>
          <w:p w14:paraId="2A6201EC">
            <w:pPr>
              <w:adjustRightInd w:val="0"/>
              <w:snapToGrid w:val="0"/>
              <w:rPr>
                <w:rFonts w:ascii="宋体" w:hAnsi="宋体"/>
                <w:color w:val="FF0000"/>
                <w:szCs w:val="21"/>
              </w:rPr>
            </w:pPr>
            <w:r>
              <w:rPr>
                <w:rFonts w:hint="eastAsia" w:ascii="宋体" w:hAnsi="宋体"/>
                <w:szCs w:val="21"/>
              </w:rPr>
              <w:t>履约保证金：无</w:t>
            </w:r>
          </w:p>
        </w:tc>
      </w:tr>
      <w:tr w14:paraId="4BBDD7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088" w:type="dxa"/>
            <w:gridSpan w:val="2"/>
            <w:vAlign w:val="center"/>
          </w:tcPr>
          <w:p w14:paraId="506848CE">
            <w:pPr>
              <w:jc w:val="center"/>
              <w:rPr>
                <w:rFonts w:ascii="宋体" w:hAnsi="宋体"/>
                <w:b/>
                <w:szCs w:val="21"/>
              </w:rPr>
            </w:pPr>
            <w:r>
              <w:rPr>
                <w:rFonts w:hint="eastAsia" w:ascii="宋体" w:hAnsi="宋体"/>
                <w:b/>
                <w:szCs w:val="21"/>
              </w:rPr>
              <w:t>其他说明</w:t>
            </w:r>
          </w:p>
        </w:tc>
      </w:tr>
      <w:tr w14:paraId="5A09ED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8" w:type="dxa"/>
            <w:vAlign w:val="center"/>
          </w:tcPr>
          <w:p w14:paraId="4CFCAE8E">
            <w:pPr>
              <w:adjustRightInd w:val="0"/>
              <w:snapToGrid w:val="0"/>
              <w:jc w:val="center"/>
              <w:rPr>
                <w:rFonts w:ascii="宋体" w:hAnsi="宋体"/>
                <w:szCs w:val="21"/>
              </w:rPr>
            </w:pPr>
            <w:r>
              <w:rPr>
                <w:rFonts w:hint="eastAsia" w:ascii="宋体" w:hAnsi="宋体"/>
                <w:szCs w:val="21"/>
              </w:rPr>
              <w:t>/</w:t>
            </w:r>
          </w:p>
        </w:tc>
        <w:tc>
          <w:tcPr>
            <w:tcW w:w="8000" w:type="dxa"/>
            <w:vAlign w:val="center"/>
          </w:tcPr>
          <w:p w14:paraId="14C16344">
            <w:pPr>
              <w:rPr>
                <w:rFonts w:ascii="宋体" w:hAnsi="宋体"/>
                <w:szCs w:val="21"/>
              </w:rPr>
            </w:pPr>
            <w:r>
              <w:rPr>
                <w:rFonts w:hint="eastAsia" w:ascii="宋体" w:hAnsi="宋体"/>
                <w:bCs/>
                <w:lang w:eastAsia="zh-CN"/>
              </w:rPr>
              <w:t>评审</w:t>
            </w:r>
            <w:r>
              <w:rPr>
                <w:rFonts w:hint="eastAsia" w:ascii="宋体" w:hAnsi="宋体"/>
                <w:bCs/>
              </w:rPr>
              <w:t>方法：</w:t>
            </w:r>
            <w:r>
              <w:rPr>
                <w:rFonts w:hint="eastAsia" w:ascii="宋体" w:hAnsi="宋体"/>
                <w:szCs w:val="21"/>
              </w:rPr>
              <w:t>采用综合评分法。</w:t>
            </w:r>
          </w:p>
        </w:tc>
      </w:tr>
    </w:tbl>
    <w:p w14:paraId="09F26152">
      <w:pPr>
        <w:rPr>
          <w:rFonts w:hint="default"/>
          <w:lang w:val="en-US" w:eastAsia="zh-CN"/>
        </w:rPr>
      </w:pPr>
    </w:p>
    <w:p w14:paraId="7C79D62C">
      <w:pPr>
        <w:pStyle w:val="16"/>
        <w:rPr>
          <w:rFonts w:hint="default"/>
          <w:lang w:val="en-US" w:eastAsia="zh-CN"/>
        </w:rPr>
      </w:pPr>
    </w:p>
    <w:p w14:paraId="0270CFB5">
      <w:pPr>
        <w:pStyle w:val="17"/>
        <w:rPr>
          <w:rFonts w:hint="default"/>
          <w:lang w:val="en-US" w:eastAsia="zh-CN"/>
        </w:rPr>
      </w:pPr>
    </w:p>
    <w:p w14:paraId="188471DF">
      <w:pPr>
        <w:pStyle w:val="17"/>
        <w:rPr>
          <w:rFonts w:hint="default"/>
          <w:lang w:val="en-US" w:eastAsia="zh-CN"/>
        </w:rPr>
      </w:pPr>
    </w:p>
    <w:p w14:paraId="404F940D">
      <w:pPr>
        <w:pStyle w:val="17"/>
        <w:rPr>
          <w:rFonts w:hint="default"/>
          <w:lang w:val="en-US" w:eastAsia="zh-CN"/>
        </w:rPr>
      </w:pPr>
    </w:p>
    <w:p w14:paraId="2E7A09CE">
      <w:pPr>
        <w:pStyle w:val="17"/>
        <w:rPr>
          <w:rFonts w:hint="default"/>
          <w:lang w:val="en-US" w:eastAsia="zh-CN"/>
        </w:rPr>
      </w:pPr>
    </w:p>
    <w:p w14:paraId="38E16202">
      <w:pPr>
        <w:pStyle w:val="17"/>
        <w:rPr>
          <w:rFonts w:hint="default"/>
          <w:lang w:val="en-US" w:eastAsia="zh-CN"/>
        </w:rPr>
      </w:pPr>
    </w:p>
    <w:p w14:paraId="1B0C0D7E">
      <w:pPr>
        <w:pStyle w:val="17"/>
        <w:rPr>
          <w:rFonts w:hint="default"/>
          <w:lang w:val="en-US" w:eastAsia="zh-CN"/>
        </w:rPr>
      </w:pPr>
    </w:p>
    <w:p w14:paraId="0E38A58F">
      <w:pPr>
        <w:pStyle w:val="17"/>
        <w:rPr>
          <w:rFonts w:hint="default"/>
          <w:lang w:val="en-US" w:eastAsia="zh-CN"/>
        </w:rPr>
      </w:pPr>
    </w:p>
    <w:p w14:paraId="70D86BD8">
      <w:pPr>
        <w:pStyle w:val="17"/>
        <w:rPr>
          <w:rFonts w:hint="default"/>
          <w:lang w:val="en-US" w:eastAsia="zh-CN"/>
        </w:rPr>
      </w:pPr>
    </w:p>
    <w:p w14:paraId="02D6FC13">
      <w:pPr>
        <w:pStyle w:val="17"/>
        <w:rPr>
          <w:rFonts w:hint="default"/>
          <w:lang w:val="en-US" w:eastAsia="zh-CN"/>
        </w:rPr>
      </w:pPr>
    </w:p>
    <w:p w14:paraId="0757D083">
      <w:pPr>
        <w:pStyle w:val="2"/>
        <w:jc w:val="center"/>
        <w:rPr>
          <w:rFonts w:asciiTheme="majorEastAsia" w:hAnsiTheme="majorEastAsia" w:eastAsiaTheme="majorEastAsia" w:cstheme="majorEastAsia"/>
          <w:sz w:val="32"/>
          <w:szCs w:val="32"/>
        </w:rPr>
      </w:pPr>
      <w:bookmarkStart w:id="19" w:name="_Toc29306"/>
      <w:bookmarkStart w:id="20" w:name="_Toc348"/>
      <w:r>
        <w:rPr>
          <w:rFonts w:hint="eastAsia" w:asciiTheme="majorEastAsia" w:hAnsiTheme="majorEastAsia" w:eastAsiaTheme="majorEastAsia" w:cstheme="majorEastAsia"/>
          <w:sz w:val="32"/>
          <w:szCs w:val="32"/>
        </w:rPr>
        <w:t>第</w:t>
      </w:r>
      <w:r>
        <w:rPr>
          <w:rFonts w:hint="eastAsia" w:asciiTheme="majorEastAsia" w:hAnsiTheme="majorEastAsia" w:eastAsiaTheme="majorEastAsia" w:cstheme="majorEastAsia"/>
          <w:sz w:val="32"/>
          <w:szCs w:val="32"/>
          <w:lang w:val="en-US" w:eastAsia="zh-CN"/>
        </w:rPr>
        <w:t>三</w:t>
      </w:r>
      <w:r>
        <w:rPr>
          <w:rFonts w:hint="eastAsia" w:asciiTheme="majorEastAsia" w:hAnsiTheme="majorEastAsia" w:eastAsiaTheme="majorEastAsia" w:cstheme="majorEastAsia"/>
          <w:sz w:val="32"/>
          <w:szCs w:val="32"/>
        </w:rPr>
        <w:t>章 用户需求书</w:t>
      </w:r>
      <w:bookmarkEnd w:id="12"/>
      <w:bookmarkEnd w:id="13"/>
      <w:bookmarkEnd w:id="14"/>
      <w:bookmarkEnd w:id="15"/>
      <w:bookmarkEnd w:id="16"/>
      <w:bookmarkEnd w:id="17"/>
      <w:bookmarkEnd w:id="19"/>
      <w:bookmarkEnd w:id="20"/>
    </w:p>
    <w:p w14:paraId="68C33E35">
      <w:pPr>
        <w:snapToGrid w:val="0"/>
        <w:spacing w:line="360" w:lineRule="auto"/>
        <w:rPr>
          <w:rFonts w:ascii="宋体"/>
          <w:b/>
          <w:bCs/>
          <w:szCs w:val="20"/>
        </w:rPr>
      </w:pPr>
      <w:r>
        <w:rPr>
          <w:rFonts w:hint="eastAsia" w:ascii="宋体"/>
          <w:b/>
          <w:bCs/>
          <w:szCs w:val="20"/>
        </w:rPr>
        <w:t>说明：</w:t>
      </w:r>
    </w:p>
    <w:p w14:paraId="0505EBB8">
      <w:pPr>
        <w:numPr>
          <w:ilvl w:val="0"/>
          <w:numId w:val="2"/>
        </w:numPr>
        <w:snapToGrid w:val="0"/>
        <w:spacing w:line="360" w:lineRule="auto"/>
        <w:ind w:left="422" w:leftChars="0" w:hanging="422" w:hangingChars="200"/>
        <w:rPr>
          <w:rFonts w:hint="eastAsia" w:cs="Times New Roman" w:asciiTheme="minorEastAsia" w:hAnsiTheme="minorEastAsia" w:eastAsiaTheme="minorEastAsia"/>
          <w:b/>
          <w:bCs/>
          <w:szCs w:val="21"/>
        </w:rPr>
      </w:pPr>
      <w:r>
        <w:rPr>
          <w:rFonts w:hint="eastAsia" w:ascii="宋体"/>
          <w:b/>
          <w:bCs/>
          <w:szCs w:val="20"/>
          <w:lang w:val="en-US" w:eastAsia="zh-CN"/>
        </w:rPr>
        <w:t>遴选响应方</w:t>
      </w:r>
      <w:r>
        <w:rPr>
          <w:rFonts w:hint="eastAsia" w:ascii="宋体"/>
          <w:b/>
          <w:bCs/>
          <w:szCs w:val="20"/>
        </w:rPr>
        <w:t>须对本项目的</w:t>
      </w:r>
      <w:r>
        <w:rPr>
          <w:rFonts w:hint="eastAsia" w:asciiTheme="minorEastAsia" w:hAnsiTheme="minorEastAsia" w:eastAsiaTheme="minorEastAsia"/>
          <w:b/>
          <w:bCs/>
          <w:szCs w:val="21"/>
        </w:rPr>
        <w:t>采购标的或服务内容</w:t>
      </w:r>
      <w:r>
        <w:rPr>
          <w:rFonts w:hint="eastAsia" w:ascii="宋体"/>
          <w:b/>
          <w:bCs/>
          <w:szCs w:val="20"/>
        </w:rPr>
        <w:t>进行整体</w:t>
      </w:r>
      <w:r>
        <w:rPr>
          <w:rFonts w:hint="eastAsia" w:ascii="宋体"/>
          <w:b/>
          <w:bCs/>
          <w:szCs w:val="20"/>
          <w:lang w:eastAsia="zh-CN"/>
        </w:rPr>
        <w:t>遴选响应</w:t>
      </w:r>
      <w:r>
        <w:rPr>
          <w:rFonts w:hint="eastAsia" w:ascii="宋体"/>
          <w:b/>
          <w:bCs/>
          <w:szCs w:val="20"/>
        </w:rPr>
        <w:t>，任何只对</w:t>
      </w:r>
      <w:r>
        <w:rPr>
          <w:rFonts w:hint="eastAsia" w:asciiTheme="minorEastAsia" w:hAnsiTheme="minorEastAsia" w:eastAsiaTheme="minorEastAsia"/>
          <w:b/>
          <w:bCs/>
          <w:szCs w:val="21"/>
        </w:rPr>
        <w:t>采购标的或服务内容</w:t>
      </w:r>
      <w:r>
        <w:rPr>
          <w:rFonts w:hint="eastAsia" w:ascii="宋体"/>
          <w:b/>
          <w:bCs/>
          <w:szCs w:val="20"/>
        </w:rPr>
        <w:t>其中一部分</w:t>
      </w:r>
      <w:r>
        <w:rPr>
          <w:rFonts w:hint="eastAsia" w:cs="Times New Roman" w:asciiTheme="minorEastAsia" w:hAnsiTheme="minorEastAsia" w:eastAsiaTheme="minorEastAsia"/>
          <w:b/>
          <w:bCs/>
          <w:szCs w:val="21"/>
        </w:rPr>
        <w:t>内容进行的</w:t>
      </w:r>
      <w:r>
        <w:rPr>
          <w:rFonts w:hint="eastAsia" w:cs="Times New Roman" w:asciiTheme="minorEastAsia" w:hAnsiTheme="minorEastAsia" w:eastAsiaTheme="minorEastAsia"/>
          <w:b/>
          <w:bCs/>
          <w:szCs w:val="21"/>
          <w:lang w:eastAsia="zh-CN"/>
        </w:rPr>
        <w:t>遴选响应</w:t>
      </w:r>
      <w:r>
        <w:rPr>
          <w:rFonts w:hint="eastAsia" w:cs="Times New Roman" w:asciiTheme="minorEastAsia" w:hAnsiTheme="minorEastAsia" w:eastAsiaTheme="minorEastAsia"/>
          <w:b/>
          <w:bCs/>
          <w:szCs w:val="21"/>
        </w:rPr>
        <w:t>都被视为无效</w:t>
      </w:r>
      <w:r>
        <w:rPr>
          <w:rFonts w:hint="eastAsia" w:cs="Times New Roman" w:asciiTheme="minorEastAsia" w:hAnsiTheme="minorEastAsia" w:eastAsiaTheme="minorEastAsia"/>
          <w:b/>
          <w:bCs/>
          <w:szCs w:val="21"/>
          <w:lang w:eastAsia="zh-CN"/>
        </w:rPr>
        <w:t>遴选响应</w:t>
      </w:r>
      <w:r>
        <w:rPr>
          <w:rFonts w:hint="eastAsia" w:cs="Times New Roman" w:asciiTheme="minorEastAsia" w:hAnsiTheme="minorEastAsia" w:eastAsiaTheme="minorEastAsia"/>
          <w:b/>
          <w:bCs/>
          <w:szCs w:val="21"/>
        </w:rPr>
        <w:t>。</w:t>
      </w:r>
    </w:p>
    <w:p w14:paraId="253A2017">
      <w:pPr>
        <w:numPr>
          <w:ilvl w:val="0"/>
          <w:numId w:val="2"/>
        </w:numPr>
        <w:snapToGrid w:val="0"/>
        <w:spacing w:line="360" w:lineRule="auto"/>
        <w:ind w:left="422" w:leftChars="0" w:hanging="422" w:hangingChars="200"/>
        <w:rPr>
          <w:rFonts w:hint="eastAsia" w:cs="Times New Roman" w:asciiTheme="minorEastAsia" w:hAnsiTheme="minorEastAsia" w:eastAsiaTheme="minorEastAsia"/>
          <w:b/>
          <w:bCs/>
          <w:szCs w:val="21"/>
        </w:rPr>
      </w:pPr>
      <w:r>
        <w:rPr>
          <w:rFonts w:hint="eastAsia" w:cs="Times New Roman" w:asciiTheme="minorEastAsia" w:hAnsiTheme="minorEastAsia" w:eastAsiaTheme="minorEastAsia"/>
          <w:b/>
          <w:bCs/>
          <w:szCs w:val="21"/>
        </w:rPr>
        <w:t>用户需求书中打“★”号条款为实质性条款，有任何一条负偏离则导致无效</w:t>
      </w:r>
      <w:r>
        <w:rPr>
          <w:rFonts w:hint="eastAsia" w:cs="Times New Roman" w:asciiTheme="minorEastAsia" w:hAnsiTheme="minorEastAsia" w:eastAsiaTheme="minorEastAsia"/>
          <w:b/>
          <w:bCs/>
          <w:szCs w:val="21"/>
          <w:lang w:eastAsia="zh-CN"/>
        </w:rPr>
        <w:t>遴选响应</w:t>
      </w:r>
      <w:r>
        <w:rPr>
          <w:rFonts w:hint="eastAsia" w:cs="Times New Roman" w:asciiTheme="minorEastAsia" w:hAnsiTheme="minorEastAsia" w:eastAsiaTheme="minorEastAsia"/>
          <w:b/>
          <w:bCs/>
          <w:szCs w:val="21"/>
        </w:rPr>
        <w:t>。</w:t>
      </w:r>
    </w:p>
    <w:p w14:paraId="64A31BAD">
      <w:pPr>
        <w:numPr>
          <w:ilvl w:val="0"/>
          <w:numId w:val="0"/>
        </w:numPr>
        <w:snapToGrid w:val="0"/>
        <w:spacing w:line="360" w:lineRule="auto"/>
        <w:ind w:left="422" w:leftChars="0" w:hanging="422" w:hangingChars="200"/>
        <w:rPr>
          <w:rFonts w:hint="eastAsia" w:cs="Times New Roman" w:asciiTheme="minorEastAsia" w:hAnsiTheme="minorEastAsia" w:eastAsiaTheme="minorEastAsia"/>
          <w:b/>
          <w:bCs/>
          <w:szCs w:val="21"/>
        </w:rPr>
      </w:pPr>
      <w:r>
        <w:rPr>
          <w:rFonts w:hint="eastAsia" w:cs="Times New Roman" w:asciiTheme="minorEastAsia" w:hAnsiTheme="minorEastAsia" w:eastAsiaTheme="minorEastAsia"/>
          <w:b/>
          <w:bCs/>
          <w:szCs w:val="21"/>
          <w:lang w:val="en-US" w:eastAsia="zh-CN"/>
        </w:rPr>
        <w:t xml:space="preserve">3. </w:t>
      </w:r>
      <w:r>
        <w:rPr>
          <w:rFonts w:hint="eastAsia" w:cs="Times New Roman" w:asciiTheme="minorEastAsia" w:hAnsiTheme="minorEastAsia" w:eastAsiaTheme="minorEastAsia"/>
          <w:b/>
          <w:bCs/>
          <w:szCs w:val="21"/>
        </w:rPr>
        <w:t>用户需求书中打“▲”号条款为重要技术参数，但不作为无效</w:t>
      </w:r>
      <w:r>
        <w:rPr>
          <w:rFonts w:hint="eastAsia" w:cs="Times New Roman" w:asciiTheme="minorEastAsia" w:hAnsiTheme="minorEastAsia" w:eastAsiaTheme="minorEastAsia"/>
          <w:b/>
          <w:bCs/>
          <w:szCs w:val="21"/>
          <w:lang w:eastAsia="zh-CN"/>
        </w:rPr>
        <w:t>遴选响应</w:t>
      </w:r>
      <w:r>
        <w:rPr>
          <w:rFonts w:hint="eastAsia" w:cs="Times New Roman" w:asciiTheme="minorEastAsia" w:hAnsiTheme="minorEastAsia" w:eastAsiaTheme="minorEastAsia"/>
          <w:b/>
          <w:bCs/>
          <w:szCs w:val="21"/>
        </w:rPr>
        <w:t>条款。</w:t>
      </w:r>
    </w:p>
    <w:p w14:paraId="07D5EB91">
      <w:pPr>
        <w:pStyle w:val="21"/>
        <w:numPr>
          <w:ilvl w:val="0"/>
          <w:numId w:val="0"/>
        </w:numPr>
        <w:tabs>
          <w:tab w:val="left" w:pos="540"/>
        </w:tabs>
        <w:adjustRightInd w:val="0"/>
        <w:snapToGrid w:val="0"/>
        <w:spacing w:line="360" w:lineRule="auto"/>
        <w:ind w:left="420" w:leftChars="0" w:hanging="420" w:firstLineChars="0"/>
        <w:rPr>
          <w:rFonts w:hAnsi="宋体"/>
          <w:b/>
          <w:color w:val="auto"/>
        </w:rPr>
      </w:pPr>
      <w:r>
        <w:rPr>
          <w:rFonts w:ascii="宋体" w:hAnsi="宋体" w:eastAsia="宋体" w:cs="Courier New"/>
          <w:b/>
          <w:color w:val="auto"/>
          <w:kern w:val="2"/>
          <w:sz w:val="21"/>
          <w:szCs w:val="21"/>
          <w:lang w:val="en-US" w:eastAsia="zh-CN" w:bidi="ar-SA"/>
        </w:rPr>
        <w:t>一、</w:t>
      </w:r>
      <w:r>
        <w:rPr>
          <w:rFonts w:hint="eastAsia"/>
          <w:b/>
          <w:color w:val="auto"/>
          <w:szCs w:val="20"/>
        </w:rPr>
        <w:t>项目概况及一览表：</w:t>
      </w:r>
    </w:p>
    <w:tbl>
      <w:tblPr>
        <w:tblStyle w:val="40"/>
        <w:tblW w:w="9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9"/>
        <w:gridCol w:w="915"/>
        <w:gridCol w:w="6540"/>
      </w:tblGrid>
      <w:tr w14:paraId="60623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259" w:type="dxa"/>
            <w:shd w:val="clear" w:color="auto" w:fill="C2D69B" w:themeFill="accent3" w:themeFillTint="99"/>
            <w:vAlign w:val="center"/>
          </w:tcPr>
          <w:p w14:paraId="696AC34D">
            <w:pPr>
              <w:pStyle w:val="21"/>
              <w:numPr>
                <w:ilvl w:val="0"/>
                <w:numId w:val="0"/>
              </w:numPr>
              <w:spacing w:line="240" w:lineRule="auto"/>
              <w:jc w:val="center"/>
              <w:rPr>
                <w:rFonts w:hint="eastAsia" w:ascii="宋体" w:hAnsi="宋体" w:eastAsia="宋体" w:cs="宋体"/>
                <w:b/>
                <w:bCs w:val="0"/>
                <w:color w:val="auto"/>
                <w:kern w:val="2"/>
                <w:sz w:val="21"/>
                <w:szCs w:val="20"/>
                <w:highlight w:val="none"/>
                <w:lang w:val="en-US" w:eastAsia="zh-CN" w:bidi="ar-SA"/>
              </w:rPr>
            </w:pPr>
            <w:r>
              <w:rPr>
                <w:rFonts w:hint="eastAsia" w:ascii="宋体" w:hAnsi="宋体" w:eastAsia="宋体" w:cs="宋体"/>
                <w:b/>
                <w:bCs w:val="0"/>
                <w:color w:val="auto"/>
                <w:kern w:val="2"/>
                <w:sz w:val="21"/>
                <w:szCs w:val="20"/>
                <w:highlight w:val="none"/>
                <w:lang w:val="en-US" w:eastAsia="zh-CN" w:bidi="ar-SA"/>
              </w:rPr>
              <w:t>采购内容</w:t>
            </w:r>
          </w:p>
        </w:tc>
        <w:tc>
          <w:tcPr>
            <w:tcW w:w="915" w:type="dxa"/>
            <w:shd w:val="clear" w:color="auto" w:fill="C2D69B" w:themeFill="accent3" w:themeFillTint="99"/>
            <w:vAlign w:val="center"/>
          </w:tcPr>
          <w:p w14:paraId="6BA4B9D2">
            <w:pPr>
              <w:pStyle w:val="21"/>
              <w:numPr>
                <w:ilvl w:val="0"/>
                <w:numId w:val="0"/>
              </w:numPr>
              <w:spacing w:line="240" w:lineRule="auto"/>
              <w:jc w:val="center"/>
              <w:rPr>
                <w:rFonts w:hint="eastAsia" w:ascii="宋体" w:hAnsi="宋体" w:eastAsia="宋体" w:cs="宋体"/>
                <w:b/>
                <w:bCs w:val="0"/>
                <w:color w:val="auto"/>
                <w:kern w:val="2"/>
                <w:sz w:val="21"/>
                <w:szCs w:val="20"/>
                <w:highlight w:val="none"/>
                <w:lang w:val="en-US" w:eastAsia="zh-CN" w:bidi="ar-SA"/>
              </w:rPr>
            </w:pPr>
            <w:r>
              <w:rPr>
                <w:rFonts w:hint="eastAsia" w:ascii="宋体" w:hAnsi="宋体" w:eastAsia="宋体" w:cs="宋体"/>
                <w:b/>
                <w:bCs w:val="0"/>
                <w:color w:val="auto"/>
                <w:kern w:val="2"/>
                <w:sz w:val="21"/>
                <w:szCs w:val="20"/>
                <w:highlight w:val="none"/>
                <w:lang w:val="en-US" w:eastAsia="zh-CN" w:bidi="ar-SA"/>
              </w:rPr>
              <w:t>数量</w:t>
            </w:r>
          </w:p>
        </w:tc>
        <w:tc>
          <w:tcPr>
            <w:tcW w:w="6540" w:type="dxa"/>
            <w:shd w:val="clear" w:color="auto" w:fill="C2D69B" w:themeFill="accent3" w:themeFillTint="99"/>
            <w:vAlign w:val="center"/>
          </w:tcPr>
          <w:p w14:paraId="5E8A50B2">
            <w:pPr>
              <w:pStyle w:val="21"/>
              <w:numPr>
                <w:ilvl w:val="0"/>
                <w:numId w:val="0"/>
              </w:numPr>
              <w:spacing w:line="240" w:lineRule="auto"/>
              <w:jc w:val="center"/>
              <w:rPr>
                <w:rFonts w:hint="eastAsia" w:ascii="宋体" w:hAnsi="宋体" w:eastAsia="宋体" w:cs="宋体"/>
                <w:b/>
                <w:bCs w:val="0"/>
                <w:color w:val="auto"/>
                <w:kern w:val="2"/>
                <w:sz w:val="21"/>
                <w:szCs w:val="20"/>
                <w:highlight w:val="none"/>
                <w:lang w:val="en-US" w:eastAsia="zh-CN" w:bidi="ar-SA"/>
              </w:rPr>
            </w:pPr>
            <w:r>
              <w:rPr>
                <w:rFonts w:hint="eastAsia" w:ascii="宋体" w:hAnsi="宋体" w:eastAsia="宋体" w:cs="宋体"/>
                <w:b/>
                <w:bCs w:val="0"/>
                <w:color w:val="auto"/>
                <w:kern w:val="2"/>
                <w:sz w:val="21"/>
                <w:szCs w:val="20"/>
                <w:highlight w:val="none"/>
                <w:lang w:val="en-US" w:eastAsia="zh-CN" w:bidi="ar-SA"/>
              </w:rPr>
              <w:t>服务期</w:t>
            </w:r>
          </w:p>
        </w:tc>
      </w:tr>
      <w:tr w14:paraId="56E61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259" w:type="dxa"/>
            <w:vAlign w:val="center"/>
          </w:tcPr>
          <w:p w14:paraId="3F775592">
            <w:pPr>
              <w:pStyle w:val="21"/>
              <w:numPr>
                <w:ilvl w:val="0"/>
                <w:numId w:val="0"/>
              </w:numPr>
              <w:spacing w:line="240" w:lineRule="auto"/>
              <w:jc w:val="center"/>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医用耗材供应链精细化管理（SPD）服务</w:t>
            </w:r>
          </w:p>
        </w:tc>
        <w:tc>
          <w:tcPr>
            <w:tcW w:w="915" w:type="dxa"/>
            <w:vAlign w:val="top"/>
          </w:tcPr>
          <w:p w14:paraId="472A7462">
            <w:pPr>
              <w:pStyle w:val="21"/>
              <w:numPr>
                <w:ilvl w:val="0"/>
                <w:numId w:val="0"/>
              </w:numPr>
              <w:spacing w:line="240" w:lineRule="auto"/>
              <w:jc w:val="center"/>
              <w:rPr>
                <w:rFonts w:hint="eastAsia" w:ascii="宋体" w:hAnsi="宋体" w:eastAsia="宋体" w:cs="宋体"/>
                <w:bCs/>
                <w:color w:val="auto"/>
                <w:kern w:val="2"/>
                <w:sz w:val="21"/>
                <w:szCs w:val="20"/>
                <w:highlight w:val="none"/>
                <w:lang w:val="en-US" w:eastAsia="zh-CN" w:bidi="ar-SA"/>
              </w:rPr>
            </w:pPr>
          </w:p>
          <w:p w14:paraId="1C5BB8F6">
            <w:pPr>
              <w:pStyle w:val="21"/>
              <w:numPr>
                <w:ilvl w:val="0"/>
                <w:numId w:val="0"/>
              </w:numPr>
              <w:spacing w:line="240" w:lineRule="auto"/>
              <w:jc w:val="center"/>
              <w:rPr>
                <w:rFonts w:hint="eastAsia" w:ascii="宋体" w:hAnsi="宋体" w:eastAsia="宋体" w:cs="宋体"/>
                <w:bCs/>
                <w:color w:val="auto"/>
                <w:kern w:val="2"/>
                <w:sz w:val="21"/>
                <w:szCs w:val="20"/>
                <w:highlight w:val="none"/>
                <w:lang w:val="en-US" w:eastAsia="zh-CN" w:bidi="ar-SA"/>
              </w:rPr>
            </w:pPr>
          </w:p>
          <w:p w14:paraId="5C6A330B">
            <w:pPr>
              <w:pStyle w:val="21"/>
              <w:numPr>
                <w:ilvl w:val="0"/>
                <w:numId w:val="0"/>
              </w:numPr>
              <w:spacing w:line="240" w:lineRule="auto"/>
              <w:jc w:val="center"/>
              <w:rPr>
                <w:rFonts w:hint="default"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1项</w:t>
            </w:r>
          </w:p>
        </w:tc>
        <w:tc>
          <w:tcPr>
            <w:tcW w:w="6540" w:type="dxa"/>
            <w:vAlign w:val="top"/>
          </w:tcPr>
          <w:p w14:paraId="32DED6B8">
            <w:pPr>
              <w:pStyle w:val="21"/>
              <w:numPr>
                <w:ilvl w:val="0"/>
                <w:numId w:val="0"/>
              </w:numPr>
              <w:spacing w:line="240" w:lineRule="auto"/>
              <w:jc w:val="center"/>
              <w:rPr>
                <w:rFonts w:hint="eastAsia" w:ascii="宋体" w:hAnsi="宋体" w:eastAsia="宋体" w:cs="宋体"/>
                <w:bCs/>
                <w:color w:val="auto"/>
                <w:kern w:val="2"/>
                <w:sz w:val="21"/>
                <w:szCs w:val="20"/>
                <w:highlight w:val="none"/>
                <w:lang w:val="en-US" w:eastAsia="zh-CN" w:bidi="ar-SA"/>
              </w:rPr>
            </w:pPr>
            <w:r>
              <w:rPr>
                <w:rFonts w:hint="eastAsia" w:cs="Times New Roman" w:asciiTheme="minorEastAsia" w:hAnsiTheme="minorEastAsia" w:eastAsiaTheme="minorEastAsia"/>
                <w:b/>
                <w:bCs/>
                <w:szCs w:val="21"/>
              </w:rPr>
              <w:t>★</w:t>
            </w:r>
            <w:r>
              <w:rPr>
                <w:rFonts w:hint="eastAsia" w:ascii="宋体" w:hAnsi="宋体" w:eastAsia="宋体" w:cs="宋体"/>
                <w:bCs/>
                <w:color w:val="auto"/>
                <w:kern w:val="2"/>
                <w:sz w:val="21"/>
                <w:szCs w:val="20"/>
                <w:highlight w:val="none"/>
                <w:lang w:val="en-US" w:eastAsia="zh-CN" w:bidi="ar-SA"/>
              </w:rPr>
              <w:t>项目为长期服务类项目，第一年为本次采购服务期限，采购人可根据项目需要和</w:t>
            </w:r>
            <w:r>
              <w:rPr>
                <w:rFonts w:hint="eastAsia" w:hAnsi="宋体" w:eastAsia="宋体" w:cs="宋体"/>
                <w:bCs/>
                <w:color w:val="auto"/>
                <w:kern w:val="2"/>
                <w:sz w:val="21"/>
                <w:szCs w:val="20"/>
                <w:highlight w:val="none"/>
                <w:lang w:val="en-US" w:eastAsia="zh-CN" w:bidi="ar-SA"/>
              </w:rPr>
              <w:t>中选方</w:t>
            </w:r>
            <w:r>
              <w:rPr>
                <w:rFonts w:hint="eastAsia" w:ascii="宋体" w:hAnsi="宋体" w:eastAsia="宋体" w:cs="宋体"/>
                <w:bCs/>
                <w:color w:val="auto"/>
                <w:kern w:val="2"/>
                <w:sz w:val="21"/>
                <w:szCs w:val="20"/>
                <w:highlight w:val="none"/>
                <w:lang w:val="en-US" w:eastAsia="zh-CN" w:bidi="ar-SA"/>
              </w:rPr>
              <w:t>的履约情况确定合同期限是否延长，但最长累计不超过三年。如合同执行期间与国家医改新政策或规定不符，则经双方协商一致后做相应的调整或合同中止，在此之前已完成的合同内容及费用等双方各自承担，所造成的损失，双方互不追究责任。</w:t>
            </w:r>
          </w:p>
        </w:tc>
      </w:tr>
    </w:tbl>
    <w:p w14:paraId="7E060F63">
      <w:pPr>
        <w:pStyle w:val="21"/>
        <w:tabs>
          <w:tab w:val="left" w:pos="540"/>
        </w:tabs>
        <w:adjustRightInd w:val="0"/>
        <w:snapToGrid w:val="0"/>
        <w:spacing w:line="360" w:lineRule="auto"/>
        <w:rPr>
          <w:rFonts w:hAnsi="宋体"/>
          <w:b/>
          <w:color w:val="auto"/>
        </w:rPr>
      </w:pPr>
    </w:p>
    <w:p w14:paraId="07CE6B05">
      <w:pPr>
        <w:pStyle w:val="21"/>
        <w:numPr>
          <w:ilvl w:val="0"/>
          <w:numId w:val="0"/>
        </w:numPr>
        <w:tabs>
          <w:tab w:val="left" w:pos="540"/>
        </w:tabs>
        <w:adjustRightInd w:val="0"/>
        <w:snapToGrid w:val="0"/>
        <w:spacing w:line="360" w:lineRule="auto"/>
        <w:ind w:left="420" w:leftChars="0" w:hanging="420" w:firstLineChars="0"/>
        <w:rPr>
          <w:rFonts w:hAnsi="宋体"/>
          <w:b/>
          <w:color w:val="auto"/>
        </w:rPr>
      </w:pPr>
      <w:r>
        <w:rPr>
          <w:rFonts w:ascii="宋体" w:hAnsi="宋体" w:eastAsia="宋体" w:cs="Courier New"/>
          <w:b/>
          <w:color w:val="auto"/>
          <w:kern w:val="2"/>
          <w:sz w:val="21"/>
          <w:szCs w:val="21"/>
          <w:lang w:val="en-US" w:eastAsia="zh-CN" w:bidi="ar-SA"/>
        </w:rPr>
        <w:t>二、</w:t>
      </w:r>
      <w:r>
        <w:rPr>
          <w:rFonts w:hint="eastAsia" w:hAnsi="宋体"/>
          <w:b/>
          <w:color w:val="auto"/>
        </w:rPr>
        <w:t>技术要求：</w:t>
      </w:r>
    </w:p>
    <w:p w14:paraId="5525A9BE">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 xml:space="preserve">1、中选方要为医院构建一套医用物资智能化管理模式，有具体的管理办法、制度、标准流程，能够形成高效运营的管理体系。 </w:t>
      </w:r>
    </w:p>
    <w:p w14:paraId="30D35D9A">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 xml:space="preserve">2、中选方要为医院搭建一套满足医院实际管理需求的医用物资智能化物流信息化管理平台，该平台能够与医院的 HIS 等系统实现无缝连接。 </w:t>
      </w:r>
    </w:p>
    <w:p w14:paraId="07686861">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 xml:space="preserve">3、中选方要承担医院中心库改造费用和运营费用，配置相应的信息及物流设施设备，使其能够满足智能化模式的有效运行（具备工作站、SPD专用打印设备、手持 PDA 等系统终端设备及配套定制类货架、库内拣货车、周转箱、下送箱等物流作业工具及相应配套的消耗品如打印纸、RFID标签等）。 </w:t>
      </w:r>
    </w:p>
    <w:p w14:paraId="15A58854">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 xml:space="preserve">4、中选方要承担医院各级消耗点包括临床科室、内镜室、手术室、介入导管室（后期如有）等站点的建设费用，使其能够满足智能化模式的有效运行（根据医院要求，二级库房内要具有壁挂式扫码一体机、库位隔板、货架等）。 </w:t>
      </w:r>
    </w:p>
    <w:p w14:paraId="20FEAC55">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5、软件系统使用面向对象语言开发，支持二次开发，可按照采购人的需求进行定制开发及优化，与其他系统的接口支持 WebService、RESTfull、可界面定义接口字段及系统类型方式，支持实时和异步实现各系统间数据同步与互动，数据传输效率高，基于事物处理，保证数据一致性；</w:t>
      </w:r>
    </w:p>
    <w:p w14:paraId="08567A94">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5.1支持通用的 Windows、UNIX、Linux 操作系统；</w:t>
      </w:r>
    </w:p>
    <w:p w14:paraId="36DD39C4">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5.2支持 Oracle 19C版本的数据库管理软件；</w:t>
      </w:r>
    </w:p>
    <w:p w14:paraId="386AF341">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5.3支持 PDA手持终端操作，实现 PDA 手持终端扫描数据与院内物流系统数据进行实时交互；</w:t>
      </w:r>
    </w:p>
    <w:p w14:paraId="5094E7D0">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 xml:space="preserve">5.4提供手机APP，支持供应商及医院端应用，实现移动端数据管理； </w:t>
      </w:r>
    </w:p>
    <w:p w14:paraId="7CACF761">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5.5支持订单短信提醒；</w:t>
      </w:r>
    </w:p>
    <w:p w14:paraId="7D5FD9D6">
      <w:pPr>
        <w:pStyle w:val="21"/>
        <w:spacing w:line="240" w:lineRule="auto"/>
        <w:rPr>
          <w:rFonts w:hint="eastAsia" w:asciiTheme="majorEastAsia" w:hAnsiTheme="majorEastAsia" w:eastAsiaTheme="majorEastAsia" w:cstheme="majorEastAsia"/>
          <w:b/>
          <w:bCs/>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▲5.6支持各二级消耗点集采产品使用量管控并能按周期进行预警；</w:t>
      </w:r>
      <w:r>
        <w:rPr>
          <w:rFonts w:hint="eastAsia" w:asciiTheme="majorEastAsia" w:hAnsiTheme="majorEastAsia" w:eastAsiaTheme="majorEastAsia" w:cstheme="majorEastAsia"/>
          <w:b/>
          <w:bCs/>
          <w:color w:val="FF0000"/>
          <w:kern w:val="2"/>
          <w:sz w:val="21"/>
          <w:szCs w:val="21"/>
          <w:highlight w:val="none"/>
          <w:lang w:val="en-US" w:eastAsia="zh-CN" w:bidi="ar-SA"/>
        </w:rPr>
        <w:t>（需提供预警截图或其它证明材料）</w:t>
      </w:r>
    </w:p>
    <w:p w14:paraId="2D537EE1">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 xml:space="preserve">6、接口管理： </w:t>
      </w:r>
    </w:p>
    <w:p w14:paraId="2048090D">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 xml:space="preserve">6.1支持与采购人医院现有应用集成平台的数据集成； </w:t>
      </w:r>
    </w:p>
    <w:p w14:paraId="263E1CC8">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 xml:space="preserve">6.2支持与采购人医院指定的系统完成医院字典主数据的同步接口； </w:t>
      </w:r>
    </w:p>
    <w:p w14:paraId="6C61447F">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6.3支持 HIS系统实现对接；</w:t>
      </w:r>
    </w:p>
    <w:p w14:paraId="7D4C78FC">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 xml:space="preserve">6.4能够实现财务对接，满足采购人医院财务部门财务需求；根据医院要求，能够通过接口开发等方式实现医院内部物资管理功能； </w:t>
      </w:r>
    </w:p>
    <w:p w14:paraId="36A40BF5">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 xml:space="preserve">6.5技术上能够实现与省、市集中采购平台系统对接，实现下单、到货数据、结算数据对接； </w:t>
      </w:r>
    </w:p>
    <w:p w14:paraId="0141AD7B">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 xml:space="preserve">6.6为实现方案中描述的功能而与其它系统间的数据对接； </w:t>
      </w:r>
    </w:p>
    <w:p w14:paraId="6CF78507">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7、中选方只能为采购人医院物流管理提供院内物流服务，保障医院医用物资的智能采购和院内物流服务，派驻人员的工作主要包括运营管理、院内物流配送服务、技术运维及相关人员操作培训等,派驻人员服务要求:</w:t>
      </w:r>
    </w:p>
    <w:p w14:paraId="478654B9">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7.1驻场运营团队人数不少于6人；</w:t>
      </w:r>
    </w:p>
    <w:p w14:paraId="6163B9E5">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7.2具备应急事务处理能力，承诺7×24小时有专人听班，接到医院应急需求0.5小时遴选响应，1小时到达现场；</w:t>
      </w:r>
    </w:p>
    <w:p w14:paraId="2EDF7157">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7.3项目运营期间，若遇到国家医用物资相关政策调整（例如国家统一耗材条码等），应无条件根据国家政策作出相应的调整和优化且需按医院要求的内容，规定的时间范围内完成；</w:t>
      </w:r>
    </w:p>
    <w:p w14:paraId="7B3DFC58">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▲7.4项目管理主要人员须具有5年以上综合性</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等级二甲级别及以上的医</w:t>
      </w:r>
      <w:r>
        <w:rPr>
          <w:rFonts w:hint="eastAsia" w:asciiTheme="majorEastAsia" w:hAnsiTheme="majorEastAsia" w:eastAsiaTheme="majorEastAsia" w:cstheme="majorEastAsia"/>
          <w:color w:val="auto"/>
          <w:kern w:val="2"/>
          <w:sz w:val="21"/>
          <w:szCs w:val="21"/>
          <w:highlight w:val="none"/>
          <w:lang w:val="en-US" w:eastAsia="zh-CN" w:bidi="ar-SA"/>
        </w:rPr>
        <w:t>院SPD项目管理经验且熟悉服务范围内物资管理的相关法律、法规；</w:t>
      </w:r>
      <w:r>
        <w:rPr>
          <w:rFonts w:hint="eastAsia" w:asciiTheme="majorEastAsia" w:hAnsiTheme="majorEastAsia" w:eastAsiaTheme="majorEastAsia" w:cstheme="majorEastAsia"/>
          <w:b/>
          <w:bCs/>
          <w:color w:val="FF0000"/>
          <w:kern w:val="2"/>
          <w:sz w:val="21"/>
          <w:szCs w:val="21"/>
          <w:highlight w:val="none"/>
          <w:lang w:val="en-US" w:eastAsia="zh-CN" w:bidi="ar-SA"/>
        </w:rPr>
        <w:t>（提供相关证明材料，包括但不限于社保缴纳证明、公积金缴纳证明等)</w:t>
      </w:r>
    </w:p>
    <w:p w14:paraId="47CDE770">
      <w:pPr>
        <w:pStyle w:val="21"/>
        <w:spacing w:line="240" w:lineRule="auto"/>
        <w:rPr>
          <w:rFonts w:hint="eastAsia" w:asciiTheme="majorEastAsia" w:hAnsiTheme="majorEastAsia" w:eastAsiaTheme="majorEastAsia" w:cstheme="majorEastAsia"/>
          <w:color w:val="FF0000"/>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▲7.5系统驻场运维人员须具备5年以上系统管理和维护综合性等</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级二甲级别及以上的医</w:t>
      </w:r>
      <w:r>
        <w:rPr>
          <w:rFonts w:hint="eastAsia" w:asciiTheme="majorEastAsia" w:hAnsiTheme="majorEastAsia" w:eastAsiaTheme="majorEastAsia" w:cstheme="majorEastAsia"/>
          <w:color w:val="auto"/>
          <w:kern w:val="2"/>
          <w:sz w:val="21"/>
          <w:szCs w:val="21"/>
          <w:highlight w:val="none"/>
          <w:lang w:val="en-US" w:eastAsia="zh-CN" w:bidi="ar-SA"/>
        </w:rPr>
        <w:t>院SPD管理系统经验；</w:t>
      </w:r>
      <w:r>
        <w:rPr>
          <w:rFonts w:hint="eastAsia" w:asciiTheme="majorEastAsia" w:hAnsiTheme="majorEastAsia" w:eastAsiaTheme="majorEastAsia" w:cstheme="majorEastAsia"/>
          <w:b/>
          <w:bCs/>
          <w:color w:val="FF0000"/>
          <w:kern w:val="2"/>
          <w:sz w:val="21"/>
          <w:szCs w:val="21"/>
          <w:highlight w:val="none"/>
          <w:lang w:val="en-US" w:eastAsia="zh-CN" w:bidi="ar-SA"/>
        </w:rPr>
        <w:t>（提供相关证明包括但不限于社保缴纳证明、公积金缴纳证明等)</w:t>
      </w:r>
    </w:p>
    <w:p w14:paraId="73E34972">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7.6投入项目人员、组织架构、分类及数量应能满足项目需求；</w:t>
      </w:r>
    </w:p>
    <w:p w14:paraId="3F8E54F7">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▲8、服务商应当主动接受医院日常监督管理服务工作的考核。</w:t>
      </w:r>
      <w:r>
        <w:rPr>
          <w:rFonts w:hint="eastAsia" w:asciiTheme="majorEastAsia" w:hAnsiTheme="majorEastAsia" w:eastAsiaTheme="majorEastAsia" w:cstheme="majorEastAsia"/>
          <w:b/>
          <w:bCs/>
          <w:color w:val="FF0000"/>
          <w:kern w:val="2"/>
          <w:sz w:val="21"/>
          <w:szCs w:val="21"/>
          <w:highlight w:val="none"/>
          <w:lang w:val="en-US" w:eastAsia="zh-CN" w:bidi="ar-SA"/>
        </w:rPr>
        <w:t>（需提供具体监督考核方案）</w:t>
      </w:r>
    </w:p>
    <w:p w14:paraId="6ACB6469">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 xml:space="preserve">9、中选方负责采购人医院相关部门负责制定的医用物资供应目录下的所有医用物资的院内物流管理工作。 </w:t>
      </w:r>
    </w:p>
    <w:p w14:paraId="5C42E177">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 xml:space="preserve">10、中选方负责协助医院医用物资在院内使用后结算。根据医院业务需求和要求，协助备货、配送至中心库、配送至医院各消耗点和提供包括但不限于院内各级库房的协验、仓储和养护等协助服务环节。 </w:t>
      </w:r>
    </w:p>
    <w:p w14:paraId="11720EDD">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 xml:space="preserve">11、医用物资院内物流管理服务工作主要包括协助医院完成医用物资的计划汇总、采购订单发送、赋码、验收、入库、上架、拣货、加工及推送等各项服务。 </w:t>
      </w:r>
    </w:p>
    <w:p w14:paraId="11A90900">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 xml:space="preserve">12、中选方具有完善的服务质量保证体系和制度，把好服务质量关，承诺对采购人医院的服务质量负全责，如因院内物流服务质量出现问题，给采购人医院造成纠纷和经济损失由中选方承担全部责任。 </w:t>
      </w:r>
    </w:p>
    <w:p w14:paraId="1C3B89F1">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 xml:space="preserve">13、运营模式 </w:t>
      </w:r>
    </w:p>
    <w:p w14:paraId="05035C7E">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 xml:space="preserve">13.1 平台模式：以医用物资智能化管理系统及院内物资配送为核心，与本地集采平台系统互联互通，通过对医院中心库（一级库）集中化管理，临床科室（二级库）精细化管理，实现多维度、可视化数据分析及监管的服务管理平台说明及运营管理方案。 </w:t>
      </w:r>
    </w:p>
    <w:p w14:paraId="701613FF">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13.2 结算模式：医院与医用物资供应商以临床实际使用消耗数据作为结算依据，按月结算，定期结付，实现医院“零库存资金”占用。</w:t>
      </w:r>
    </w:p>
    <w:p w14:paraId="6FDB4075">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13.3 服务模式：专业的第三方运营团队实现院内物流精细化管理服务模式，按时保质的完成采购人院内物流各环节工作，对医用物资的整个供应环节中采购、验收、拣货、加工、下送、使用、结算进行全程监管。</w:t>
      </w:r>
    </w:p>
    <w:p w14:paraId="05EEB879">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13.4 中选方承担SPD平台的建设和合同期运营管理费用，包括但不限于SPD院内物流管理系统及相关配套硬件、软硬件维护、配送人员。</w:t>
      </w:r>
    </w:p>
    <w:p w14:paraId="331DC65D">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 xml:space="preserve">13.5 合同期内，如遇国家相关政策调整或与国家相关规定相抵触，按国家相关政策和规定执行。 </w:t>
      </w:r>
    </w:p>
    <w:p w14:paraId="3136CAD3">
      <w:pPr>
        <w:pStyle w:val="21"/>
        <w:spacing w:line="240" w:lineRule="auto"/>
        <w:rPr>
          <w:rFonts w:hint="eastAsia" w:asciiTheme="majorEastAsia" w:hAnsiTheme="majorEastAsia" w:eastAsiaTheme="majorEastAsia" w:cstheme="majorEastAsia"/>
          <w:color w:val="auto"/>
          <w:kern w:val="2"/>
          <w:sz w:val="21"/>
          <w:szCs w:val="21"/>
          <w:highlight w:val="none"/>
          <w:lang w:val="zh-CN"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14、</w:t>
      </w:r>
      <w:r>
        <w:rPr>
          <w:rFonts w:hint="eastAsia" w:asciiTheme="majorEastAsia" w:hAnsiTheme="majorEastAsia" w:eastAsiaTheme="majorEastAsia" w:cstheme="majorEastAsia"/>
          <w:color w:val="auto"/>
          <w:kern w:val="2"/>
          <w:sz w:val="21"/>
          <w:szCs w:val="21"/>
          <w:highlight w:val="none"/>
          <w:lang w:val="zh-CN" w:eastAsia="zh-CN" w:bidi="ar-SA"/>
        </w:rPr>
        <w:t xml:space="preserve">硬件参数 </w:t>
      </w:r>
    </w:p>
    <w:p w14:paraId="4179CFCF">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14.1提供本项目专用的核心硬件设备，确保软件系统正常运行。</w:t>
      </w:r>
    </w:p>
    <w:p w14:paraId="54032310">
      <w:pPr>
        <w:snapToGrid w:val="0"/>
        <w:spacing w:line="240" w:lineRule="auto"/>
        <w:jc w:val="center"/>
        <w:rPr>
          <w:rFonts w:hint="eastAsia" w:asciiTheme="majorEastAsia" w:hAnsiTheme="majorEastAsia" w:eastAsiaTheme="majorEastAsia" w:cstheme="majorEastAsia"/>
          <w:b/>
          <w:bCs/>
          <w:color w:val="auto"/>
          <w:kern w:val="2"/>
          <w:sz w:val="21"/>
          <w:szCs w:val="21"/>
          <w:highlight w:val="none"/>
          <w:lang w:val="en-US" w:eastAsia="zh-CN" w:bidi="ar-SA"/>
        </w:rPr>
      </w:pPr>
      <w:r>
        <w:rPr>
          <w:rFonts w:hint="eastAsia" w:asciiTheme="majorEastAsia" w:hAnsiTheme="majorEastAsia" w:eastAsiaTheme="majorEastAsia" w:cstheme="majorEastAsia"/>
          <w:b/>
          <w:bCs/>
          <w:color w:val="auto"/>
          <w:kern w:val="2"/>
          <w:sz w:val="21"/>
          <w:szCs w:val="21"/>
          <w:highlight w:val="none"/>
          <w:lang w:val="en-US" w:eastAsia="zh-CN" w:bidi="ar-SA"/>
        </w:rPr>
        <w:t>硬件配置参数</w:t>
      </w:r>
    </w:p>
    <w:tbl>
      <w:tblPr>
        <w:tblStyle w:val="39"/>
        <w:tblW w:w="112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23"/>
        <w:gridCol w:w="888"/>
        <w:gridCol w:w="9087"/>
        <w:gridCol w:w="700"/>
      </w:tblGrid>
      <w:tr w14:paraId="7E78E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23" w:type="dxa"/>
            <w:vAlign w:val="center"/>
          </w:tcPr>
          <w:p w14:paraId="7D78B82A">
            <w:pPr>
              <w:snapToGrid w:val="0"/>
              <w:spacing w:line="240" w:lineRule="auto"/>
              <w:jc w:val="center"/>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序号</w:t>
            </w:r>
          </w:p>
        </w:tc>
        <w:tc>
          <w:tcPr>
            <w:tcW w:w="888" w:type="dxa"/>
            <w:vAlign w:val="center"/>
          </w:tcPr>
          <w:p w14:paraId="77A0BF43">
            <w:pPr>
              <w:snapToGrid w:val="0"/>
              <w:spacing w:line="240" w:lineRule="auto"/>
              <w:jc w:val="center"/>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名称</w:t>
            </w:r>
          </w:p>
        </w:tc>
        <w:tc>
          <w:tcPr>
            <w:tcW w:w="9087" w:type="dxa"/>
            <w:vAlign w:val="center"/>
          </w:tcPr>
          <w:p w14:paraId="197E66B3">
            <w:pPr>
              <w:snapToGrid w:val="0"/>
              <w:spacing w:line="240" w:lineRule="auto"/>
              <w:jc w:val="center"/>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参数要求</w:t>
            </w:r>
          </w:p>
        </w:tc>
        <w:tc>
          <w:tcPr>
            <w:tcW w:w="700" w:type="dxa"/>
            <w:vAlign w:val="center"/>
          </w:tcPr>
          <w:p w14:paraId="62317A36">
            <w:pPr>
              <w:snapToGrid w:val="0"/>
              <w:spacing w:line="240" w:lineRule="auto"/>
              <w:jc w:val="center"/>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数量</w:t>
            </w:r>
          </w:p>
        </w:tc>
      </w:tr>
      <w:tr w14:paraId="5DA10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3" w:type="dxa"/>
            <w:vMerge w:val="restart"/>
            <w:vAlign w:val="center"/>
          </w:tcPr>
          <w:p w14:paraId="1DBA8E0A">
            <w:pPr>
              <w:snapToGrid w:val="0"/>
              <w:spacing w:line="240" w:lineRule="auto"/>
              <w:jc w:val="center"/>
              <w:rPr>
                <w:rFonts w:hint="eastAsia" w:asciiTheme="majorEastAsia" w:hAnsiTheme="majorEastAsia" w:eastAsiaTheme="majorEastAsia" w:cstheme="majorEastAsia"/>
                <w:color w:val="auto"/>
                <w:sz w:val="21"/>
                <w:szCs w:val="21"/>
                <w:highlight w:val="none"/>
              </w:rPr>
            </w:pPr>
          </w:p>
          <w:p w14:paraId="5CD78DF7">
            <w:pPr>
              <w:snapToGrid w:val="0"/>
              <w:spacing w:line="240" w:lineRule="auto"/>
              <w:jc w:val="center"/>
              <w:rPr>
                <w:rFonts w:hint="eastAsia" w:asciiTheme="majorEastAsia" w:hAnsiTheme="majorEastAsia" w:eastAsiaTheme="majorEastAsia" w:cstheme="majorEastAsia"/>
                <w:color w:val="auto"/>
                <w:sz w:val="21"/>
                <w:szCs w:val="21"/>
                <w:highlight w:val="none"/>
              </w:rPr>
            </w:pPr>
          </w:p>
          <w:p w14:paraId="1FC2BB4B">
            <w:pPr>
              <w:snapToGrid w:val="0"/>
              <w:spacing w:line="240" w:lineRule="auto"/>
              <w:jc w:val="center"/>
              <w:rPr>
                <w:rFonts w:hint="eastAsia" w:asciiTheme="majorEastAsia" w:hAnsiTheme="majorEastAsia" w:eastAsiaTheme="majorEastAsia" w:cstheme="majorEastAsia"/>
                <w:color w:val="auto"/>
                <w:sz w:val="21"/>
                <w:szCs w:val="21"/>
                <w:highlight w:val="none"/>
              </w:rPr>
            </w:pPr>
          </w:p>
          <w:p w14:paraId="2790D95E">
            <w:pPr>
              <w:snapToGrid w:val="0"/>
              <w:spacing w:line="24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w:t>
            </w:r>
          </w:p>
        </w:tc>
        <w:tc>
          <w:tcPr>
            <w:tcW w:w="888" w:type="dxa"/>
            <w:vMerge w:val="restart"/>
            <w:vAlign w:val="center"/>
          </w:tcPr>
          <w:p w14:paraId="40793579">
            <w:pPr>
              <w:snapToGrid w:val="0"/>
              <w:spacing w:line="240" w:lineRule="auto"/>
              <w:jc w:val="center"/>
              <w:rPr>
                <w:rFonts w:hint="eastAsia" w:asciiTheme="majorEastAsia" w:hAnsiTheme="majorEastAsia" w:eastAsiaTheme="majorEastAsia" w:cstheme="majorEastAsia"/>
                <w:color w:val="auto"/>
                <w:sz w:val="21"/>
                <w:szCs w:val="21"/>
                <w:highlight w:val="none"/>
              </w:rPr>
            </w:pPr>
          </w:p>
          <w:p w14:paraId="3D9829BD">
            <w:pPr>
              <w:snapToGrid w:val="0"/>
              <w:spacing w:line="240" w:lineRule="auto"/>
              <w:jc w:val="center"/>
              <w:rPr>
                <w:rFonts w:hint="eastAsia" w:asciiTheme="majorEastAsia" w:hAnsiTheme="majorEastAsia" w:eastAsiaTheme="majorEastAsia" w:cstheme="majorEastAsia"/>
                <w:color w:val="auto"/>
                <w:sz w:val="21"/>
                <w:szCs w:val="21"/>
                <w:highlight w:val="none"/>
              </w:rPr>
            </w:pPr>
          </w:p>
          <w:p w14:paraId="1E888685">
            <w:pPr>
              <w:snapToGrid w:val="0"/>
              <w:spacing w:line="240" w:lineRule="auto"/>
              <w:jc w:val="center"/>
              <w:rPr>
                <w:rFonts w:hint="eastAsia" w:asciiTheme="majorEastAsia" w:hAnsiTheme="majorEastAsia" w:eastAsiaTheme="majorEastAsia" w:cstheme="majorEastAsia"/>
                <w:color w:val="auto"/>
                <w:sz w:val="21"/>
                <w:szCs w:val="21"/>
                <w:highlight w:val="none"/>
              </w:rPr>
            </w:pPr>
          </w:p>
          <w:p w14:paraId="03ADB272">
            <w:pPr>
              <w:snapToGrid w:val="0"/>
              <w:spacing w:line="24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服务器</w:t>
            </w:r>
          </w:p>
        </w:tc>
        <w:tc>
          <w:tcPr>
            <w:tcW w:w="9087" w:type="dxa"/>
            <w:vAlign w:val="center"/>
          </w:tcPr>
          <w:p w14:paraId="6906F9C3">
            <w:pPr>
              <w:snapToGrid w:val="0"/>
              <w:spacing w:line="240" w:lineRule="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1、机型：2U</w:t>
            </w:r>
            <w:r>
              <w:rPr>
                <w:rFonts w:hint="eastAsia" w:asciiTheme="majorEastAsia" w:hAnsiTheme="majorEastAsia" w:eastAsiaTheme="majorEastAsia" w:cstheme="majorEastAsia"/>
                <w:color w:val="auto"/>
                <w:sz w:val="21"/>
                <w:szCs w:val="21"/>
                <w:highlight w:val="none"/>
                <w:lang w:eastAsia="zh-CN"/>
              </w:rPr>
              <w:t>机架服务器；</w:t>
            </w:r>
          </w:p>
        </w:tc>
        <w:tc>
          <w:tcPr>
            <w:tcW w:w="700" w:type="dxa"/>
            <w:vMerge w:val="restart"/>
            <w:vAlign w:val="center"/>
          </w:tcPr>
          <w:p w14:paraId="7078EE54">
            <w:pPr>
              <w:snapToGrid w:val="0"/>
              <w:spacing w:line="240" w:lineRule="auto"/>
              <w:jc w:val="center"/>
              <w:rPr>
                <w:rFonts w:hint="eastAsia" w:asciiTheme="majorEastAsia" w:hAnsiTheme="majorEastAsia" w:eastAsiaTheme="majorEastAsia" w:cstheme="majorEastAsia"/>
                <w:color w:val="auto"/>
                <w:sz w:val="21"/>
                <w:szCs w:val="21"/>
                <w:highlight w:val="none"/>
                <w:lang w:val="en-US" w:eastAsia="zh-CN"/>
              </w:rPr>
            </w:pPr>
          </w:p>
          <w:p w14:paraId="04C908BA">
            <w:pPr>
              <w:snapToGrid w:val="0"/>
              <w:spacing w:line="240" w:lineRule="auto"/>
              <w:jc w:val="center"/>
              <w:rPr>
                <w:rFonts w:hint="eastAsia" w:asciiTheme="majorEastAsia" w:hAnsiTheme="majorEastAsia" w:eastAsiaTheme="majorEastAsia" w:cstheme="majorEastAsia"/>
                <w:color w:val="auto"/>
                <w:sz w:val="21"/>
                <w:szCs w:val="21"/>
                <w:highlight w:val="none"/>
                <w:lang w:val="en-US" w:eastAsia="zh-CN"/>
              </w:rPr>
            </w:pPr>
          </w:p>
          <w:p w14:paraId="48830972">
            <w:pPr>
              <w:snapToGrid w:val="0"/>
              <w:spacing w:line="240" w:lineRule="auto"/>
              <w:jc w:val="center"/>
              <w:rPr>
                <w:rFonts w:hint="eastAsia" w:asciiTheme="majorEastAsia" w:hAnsiTheme="majorEastAsia" w:eastAsiaTheme="majorEastAsia" w:cstheme="majorEastAsia"/>
                <w:color w:val="auto"/>
                <w:sz w:val="21"/>
                <w:szCs w:val="21"/>
                <w:highlight w:val="none"/>
                <w:lang w:val="en-US" w:eastAsia="zh-CN"/>
              </w:rPr>
            </w:pPr>
          </w:p>
          <w:p w14:paraId="29C579E9">
            <w:pPr>
              <w:snapToGrid w:val="0"/>
              <w:spacing w:line="240" w:lineRule="auto"/>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≥2台</w:t>
            </w:r>
          </w:p>
        </w:tc>
      </w:tr>
      <w:tr w14:paraId="291A9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3" w:type="dxa"/>
            <w:vMerge w:val="continue"/>
            <w:vAlign w:val="center"/>
          </w:tcPr>
          <w:p w14:paraId="766A2B01">
            <w:pPr>
              <w:snapToGrid w:val="0"/>
              <w:spacing w:line="240" w:lineRule="auto"/>
              <w:jc w:val="center"/>
              <w:rPr>
                <w:rFonts w:hint="eastAsia" w:asciiTheme="majorEastAsia" w:hAnsiTheme="majorEastAsia" w:eastAsiaTheme="majorEastAsia" w:cstheme="majorEastAsia"/>
                <w:sz w:val="21"/>
                <w:szCs w:val="21"/>
              </w:rPr>
            </w:pPr>
          </w:p>
        </w:tc>
        <w:tc>
          <w:tcPr>
            <w:tcW w:w="888" w:type="dxa"/>
            <w:vMerge w:val="continue"/>
            <w:vAlign w:val="center"/>
          </w:tcPr>
          <w:p w14:paraId="3F464418">
            <w:pPr>
              <w:snapToGrid w:val="0"/>
              <w:spacing w:line="240" w:lineRule="auto"/>
              <w:jc w:val="center"/>
              <w:rPr>
                <w:rFonts w:hint="eastAsia" w:asciiTheme="majorEastAsia" w:hAnsiTheme="majorEastAsia" w:eastAsiaTheme="majorEastAsia" w:cstheme="majorEastAsia"/>
                <w:sz w:val="21"/>
                <w:szCs w:val="21"/>
              </w:rPr>
            </w:pPr>
          </w:p>
        </w:tc>
        <w:tc>
          <w:tcPr>
            <w:tcW w:w="9087" w:type="dxa"/>
            <w:vAlign w:val="center"/>
          </w:tcPr>
          <w:p w14:paraId="4B448BE8">
            <w:pPr>
              <w:snapToGrid w:val="0"/>
              <w:spacing w:line="240" w:lineRule="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w:t>
            </w:r>
            <w:r>
              <w:rPr>
                <w:rFonts w:hint="eastAsia"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256GB RDIMM, 3200MT/s, 支持最大内存≥3TB，2块256G</w:t>
            </w:r>
            <w:r>
              <w:rPr>
                <w:rFonts w:hint="eastAsia" w:asciiTheme="majorEastAsia" w:hAnsiTheme="majorEastAsia" w:eastAsiaTheme="majorEastAsia" w:cstheme="majorEastAsia"/>
                <w:color w:val="auto"/>
                <w:sz w:val="21"/>
                <w:szCs w:val="21"/>
                <w:highlight w:val="none"/>
                <w:lang w:eastAsia="zh-CN"/>
              </w:rPr>
              <w:t>及以上</w:t>
            </w:r>
            <w:r>
              <w:rPr>
                <w:rFonts w:hint="eastAsia" w:asciiTheme="majorEastAsia" w:hAnsiTheme="majorEastAsia" w:eastAsiaTheme="majorEastAsia" w:cstheme="majorEastAsia"/>
                <w:color w:val="auto"/>
                <w:sz w:val="21"/>
                <w:szCs w:val="21"/>
                <w:highlight w:val="none"/>
              </w:rPr>
              <w:t xml:space="preserve"> SSD硬盘</w:t>
            </w:r>
            <w:r>
              <w:rPr>
                <w:rFonts w:hint="eastAsia" w:asciiTheme="majorEastAsia" w:hAnsiTheme="majorEastAsia" w:eastAsiaTheme="majorEastAsia" w:cstheme="majorEastAsia"/>
                <w:color w:val="auto"/>
                <w:sz w:val="21"/>
                <w:szCs w:val="21"/>
                <w:highlight w:val="none"/>
                <w:lang w:eastAsia="zh-CN"/>
              </w:rPr>
              <w:t>；</w:t>
            </w:r>
          </w:p>
        </w:tc>
        <w:tc>
          <w:tcPr>
            <w:tcW w:w="700" w:type="dxa"/>
            <w:vMerge w:val="continue"/>
            <w:vAlign w:val="center"/>
          </w:tcPr>
          <w:p w14:paraId="08E28B53">
            <w:pPr>
              <w:snapToGrid w:val="0"/>
              <w:spacing w:line="240" w:lineRule="auto"/>
              <w:rPr>
                <w:rFonts w:hint="eastAsia" w:asciiTheme="majorEastAsia" w:hAnsiTheme="majorEastAsia" w:eastAsiaTheme="majorEastAsia" w:cstheme="majorEastAsia"/>
                <w:color w:val="auto"/>
                <w:sz w:val="21"/>
                <w:szCs w:val="21"/>
                <w:highlight w:val="none"/>
                <w:lang w:val="en-US" w:eastAsia="zh-CN"/>
              </w:rPr>
            </w:pPr>
          </w:p>
        </w:tc>
      </w:tr>
      <w:tr w14:paraId="48990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3" w:type="dxa"/>
            <w:vMerge w:val="continue"/>
            <w:vAlign w:val="center"/>
          </w:tcPr>
          <w:p w14:paraId="15E6E3A6">
            <w:pPr>
              <w:snapToGrid w:val="0"/>
              <w:spacing w:line="240" w:lineRule="auto"/>
              <w:jc w:val="center"/>
              <w:rPr>
                <w:rFonts w:hint="eastAsia" w:asciiTheme="majorEastAsia" w:hAnsiTheme="majorEastAsia" w:eastAsiaTheme="majorEastAsia" w:cstheme="majorEastAsia"/>
                <w:color w:val="auto"/>
                <w:sz w:val="21"/>
                <w:szCs w:val="21"/>
                <w:highlight w:val="none"/>
                <w:lang w:val="en-US" w:eastAsia="zh-CN"/>
              </w:rPr>
            </w:pPr>
          </w:p>
        </w:tc>
        <w:tc>
          <w:tcPr>
            <w:tcW w:w="888" w:type="dxa"/>
            <w:vMerge w:val="continue"/>
            <w:vAlign w:val="center"/>
          </w:tcPr>
          <w:p w14:paraId="63BC6B23">
            <w:pPr>
              <w:snapToGrid w:val="0"/>
              <w:spacing w:line="240" w:lineRule="auto"/>
              <w:jc w:val="center"/>
              <w:rPr>
                <w:rFonts w:hint="eastAsia" w:asciiTheme="majorEastAsia" w:hAnsiTheme="majorEastAsia" w:eastAsiaTheme="majorEastAsia" w:cstheme="majorEastAsia"/>
                <w:color w:val="auto"/>
                <w:sz w:val="21"/>
                <w:szCs w:val="21"/>
                <w:highlight w:val="none"/>
                <w:lang w:val="en-US" w:eastAsia="zh-CN"/>
              </w:rPr>
            </w:pPr>
          </w:p>
        </w:tc>
        <w:tc>
          <w:tcPr>
            <w:tcW w:w="9087" w:type="dxa"/>
            <w:vAlign w:val="center"/>
          </w:tcPr>
          <w:p w14:paraId="53218794">
            <w:pPr>
              <w:snapToGrid w:val="0"/>
              <w:spacing w:line="240" w:lineRule="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3</w:t>
            </w:r>
            <w:r>
              <w:rPr>
                <w:rFonts w:hint="eastAsia" w:asciiTheme="majorEastAsia" w:hAnsiTheme="majorEastAsia" w:eastAsiaTheme="majorEastAsia" w:cstheme="majorEastAsia"/>
                <w:color w:val="auto"/>
                <w:sz w:val="21"/>
                <w:szCs w:val="21"/>
                <w:highlight w:val="none"/>
              </w:rPr>
              <w:t>、支持RAID 0,1,5</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,6,10,50,60，带有8GB</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及以上</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缓存RAID卡</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p>
        </w:tc>
        <w:tc>
          <w:tcPr>
            <w:tcW w:w="700" w:type="dxa"/>
            <w:vMerge w:val="continue"/>
            <w:vAlign w:val="center"/>
          </w:tcPr>
          <w:p w14:paraId="28E852BE">
            <w:pPr>
              <w:snapToGrid w:val="0"/>
              <w:spacing w:line="240" w:lineRule="auto"/>
              <w:rPr>
                <w:rFonts w:hint="eastAsia" w:asciiTheme="majorEastAsia" w:hAnsiTheme="majorEastAsia" w:eastAsiaTheme="majorEastAsia" w:cstheme="majorEastAsia"/>
                <w:color w:val="auto"/>
                <w:sz w:val="21"/>
                <w:szCs w:val="21"/>
                <w:highlight w:val="none"/>
                <w:lang w:val="en-US" w:eastAsia="zh-CN"/>
              </w:rPr>
            </w:pPr>
          </w:p>
        </w:tc>
      </w:tr>
      <w:tr w14:paraId="190E6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3" w:type="dxa"/>
            <w:vMerge w:val="continue"/>
            <w:vAlign w:val="center"/>
          </w:tcPr>
          <w:p w14:paraId="6F02112F">
            <w:pPr>
              <w:snapToGrid w:val="0"/>
              <w:spacing w:line="240" w:lineRule="auto"/>
              <w:jc w:val="center"/>
              <w:rPr>
                <w:rFonts w:hint="eastAsia" w:asciiTheme="majorEastAsia" w:hAnsiTheme="majorEastAsia" w:eastAsiaTheme="majorEastAsia" w:cstheme="majorEastAsia"/>
                <w:color w:val="auto"/>
                <w:sz w:val="21"/>
                <w:szCs w:val="21"/>
                <w:highlight w:val="none"/>
                <w:lang w:val="en-US" w:eastAsia="zh-CN"/>
              </w:rPr>
            </w:pPr>
          </w:p>
        </w:tc>
        <w:tc>
          <w:tcPr>
            <w:tcW w:w="888" w:type="dxa"/>
            <w:vMerge w:val="continue"/>
            <w:vAlign w:val="center"/>
          </w:tcPr>
          <w:p w14:paraId="42D6C1DD">
            <w:pPr>
              <w:snapToGrid w:val="0"/>
              <w:spacing w:line="240" w:lineRule="auto"/>
              <w:jc w:val="center"/>
              <w:rPr>
                <w:rFonts w:hint="eastAsia" w:asciiTheme="majorEastAsia" w:hAnsiTheme="majorEastAsia" w:eastAsiaTheme="majorEastAsia" w:cstheme="majorEastAsia"/>
                <w:color w:val="auto"/>
                <w:sz w:val="21"/>
                <w:szCs w:val="21"/>
                <w:highlight w:val="none"/>
                <w:lang w:val="en-US" w:eastAsia="zh-CN"/>
              </w:rPr>
            </w:pPr>
          </w:p>
        </w:tc>
        <w:tc>
          <w:tcPr>
            <w:tcW w:w="9087" w:type="dxa"/>
            <w:vAlign w:val="center"/>
          </w:tcPr>
          <w:p w14:paraId="74A39BDE">
            <w:pPr>
              <w:snapToGrid w:val="0"/>
              <w:spacing w:line="240" w:lineRule="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4</w:t>
            </w:r>
            <w:r>
              <w:rPr>
                <w:rFonts w:hint="eastAsia" w:asciiTheme="majorEastAsia" w:hAnsiTheme="majorEastAsia" w:eastAsiaTheme="majorEastAsia" w:cstheme="majorEastAsia"/>
                <w:color w:val="auto"/>
                <w:sz w:val="21"/>
                <w:szCs w:val="21"/>
                <w:highlight w:val="none"/>
              </w:rPr>
              <w:t>、最高可配8个PCIe 第三代插槽</w:t>
            </w:r>
            <w:r>
              <w:rPr>
                <w:rFonts w:hint="eastAsia" w:asciiTheme="majorEastAsia" w:hAnsiTheme="majorEastAsia" w:eastAsiaTheme="majorEastAsia" w:cstheme="majorEastAsia"/>
                <w:color w:val="auto"/>
                <w:sz w:val="21"/>
                <w:szCs w:val="21"/>
                <w:highlight w:val="none"/>
                <w:lang w:eastAsia="zh-CN"/>
              </w:rPr>
              <w:t>；</w:t>
            </w:r>
          </w:p>
        </w:tc>
        <w:tc>
          <w:tcPr>
            <w:tcW w:w="700" w:type="dxa"/>
            <w:vMerge w:val="continue"/>
            <w:vAlign w:val="center"/>
          </w:tcPr>
          <w:p w14:paraId="7F8F5D9F">
            <w:pPr>
              <w:snapToGrid w:val="0"/>
              <w:spacing w:line="240" w:lineRule="auto"/>
              <w:rPr>
                <w:rFonts w:hint="eastAsia" w:asciiTheme="majorEastAsia" w:hAnsiTheme="majorEastAsia" w:eastAsiaTheme="majorEastAsia" w:cstheme="majorEastAsia"/>
                <w:color w:val="auto"/>
                <w:sz w:val="21"/>
                <w:szCs w:val="21"/>
                <w:highlight w:val="none"/>
                <w:lang w:val="en-US" w:eastAsia="zh-CN"/>
              </w:rPr>
            </w:pPr>
          </w:p>
        </w:tc>
      </w:tr>
      <w:tr w14:paraId="3010E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3" w:type="dxa"/>
            <w:vMerge w:val="continue"/>
            <w:vAlign w:val="center"/>
          </w:tcPr>
          <w:p w14:paraId="49FDC7D2">
            <w:pPr>
              <w:snapToGrid w:val="0"/>
              <w:spacing w:line="240" w:lineRule="auto"/>
              <w:jc w:val="center"/>
              <w:rPr>
                <w:rFonts w:hint="eastAsia" w:asciiTheme="majorEastAsia" w:hAnsiTheme="majorEastAsia" w:eastAsiaTheme="majorEastAsia" w:cstheme="majorEastAsia"/>
                <w:color w:val="auto"/>
                <w:sz w:val="21"/>
                <w:szCs w:val="21"/>
                <w:highlight w:val="none"/>
                <w:lang w:val="en-US" w:eastAsia="zh-CN"/>
              </w:rPr>
            </w:pPr>
          </w:p>
        </w:tc>
        <w:tc>
          <w:tcPr>
            <w:tcW w:w="888" w:type="dxa"/>
            <w:vMerge w:val="continue"/>
            <w:vAlign w:val="center"/>
          </w:tcPr>
          <w:p w14:paraId="0993FF68">
            <w:pPr>
              <w:snapToGrid w:val="0"/>
              <w:spacing w:line="240" w:lineRule="auto"/>
              <w:jc w:val="center"/>
              <w:rPr>
                <w:rFonts w:hint="eastAsia" w:asciiTheme="majorEastAsia" w:hAnsiTheme="majorEastAsia" w:eastAsiaTheme="majorEastAsia" w:cstheme="majorEastAsia"/>
                <w:color w:val="auto"/>
                <w:sz w:val="21"/>
                <w:szCs w:val="21"/>
                <w:highlight w:val="none"/>
                <w:lang w:val="en-US" w:eastAsia="zh-CN"/>
              </w:rPr>
            </w:pPr>
          </w:p>
        </w:tc>
        <w:tc>
          <w:tcPr>
            <w:tcW w:w="9087" w:type="dxa"/>
            <w:vAlign w:val="center"/>
          </w:tcPr>
          <w:p w14:paraId="4A059BD2">
            <w:pPr>
              <w:snapToGrid w:val="0"/>
              <w:spacing w:line="240" w:lineRule="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5</w:t>
            </w:r>
            <w:r>
              <w:rPr>
                <w:rFonts w:hint="eastAsia" w:asciiTheme="majorEastAsia" w:hAnsiTheme="majorEastAsia" w:eastAsiaTheme="majorEastAsia" w:cstheme="majorEastAsia"/>
                <w:color w:val="auto"/>
                <w:sz w:val="21"/>
                <w:szCs w:val="21"/>
                <w:highlight w:val="none"/>
              </w:rPr>
              <w:t>、支持SD卡数量≥2，SD卡可组成RAID 1级别，保证虚拟化平台高可用性</w:t>
            </w:r>
            <w:r>
              <w:rPr>
                <w:rFonts w:hint="eastAsia" w:asciiTheme="majorEastAsia" w:hAnsiTheme="majorEastAsia" w:eastAsiaTheme="majorEastAsia" w:cstheme="majorEastAsia"/>
                <w:color w:val="auto"/>
                <w:sz w:val="21"/>
                <w:szCs w:val="21"/>
                <w:highlight w:val="none"/>
                <w:lang w:eastAsia="zh-CN"/>
              </w:rPr>
              <w:t>；</w:t>
            </w:r>
          </w:p>
        </w:tc>
        <w:tc>
          <w:tcPr>
            <w:tcW w:w="700" w:type="dxa"/>
            <w:vMerge w:val="continue"/>
            <w:vAlign w:val="center"/>
          </w:tcPr>
          <w:p w14:paraId="7834D43F">
            <w:pPr>
              <w:snapToGrid w:val="0"/>
              <w:spacing w:line="240" w:lineRule="auto"/>
              <w:rPr>
                <w:rFonts w:hint="eastAsia" w:asciiTheme="majorEastAsia" w:hAnsiTheme="majorEastAsia" w:eastAsiaTheme="majorEastAsia" w:cstheme="majorEastAsia"/>
                <w:color w:val="auto"/>
                <w:sz w:val="21"/>
                <w:szCs w:val="21"/>
                <w:highlight w:val="none"/>
                <w:lang w:val="en-US" w:eastAsia="zh-CN"/>
              </w:rPr>
            </w:pPr>
          </w:p>
        </w:tc>
      </w:tr>
      <w:tr w14:paraId="7142B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3" w:type="dxa"/>
            <w:vMerge w:val="continue"/>
            <w:vAlign w:val="center"/>
          </w:tcPr>
          <w:p w14:paraId="2BDCAB6E">
            <w:pPr>
              <w:snapToGrid w:val="0"/>
              <w:spacing w:line="240" w:lineRule="auto"/>
              <w:jc w:val="center"/>
              <w:rPr>
                <w:rFonts w:hint="eastAsia" w:asciiTheme="majorEastAsia" w:hAnsiTheme="majorEastAsia" w:eastAsiaTheme="majorEastAsia" w:cstheme="majorEastAsia"/>
                <w:color w:val="auto"/>
                <w:sz w:val="21"/>
                <w:szCs w:val="21"/>
                <w:highlight w:val="none"/>
                <w:lang w:val="en-US" w:eastAsia="zh-CN"/>
              </w:rPr>
            </w:pPr>
          </w:p>
        </w:tc>
        <w:tc>
          <w:tcPr>
            <w:tcW w:w="888" w:type="dxa"/>
            <w:vMerge w:val="continue"/>
            <w:vAlign w:val="center"/>
          </w:tcPr>
          <w:p w14:paraId="65A7722B">
            <w:pPr>
              <w:snapToGrid w:val="0"/>
              <w:spacing w:line="240" w:lineRule="auto"/>
              <w:jc w:val="center"/>
              <w:rPr>
                <w:rFonts w:hint="eastAsia" w:asciiTheme="majorEastAsia" w:hAnsiTheme="majorEastAsia" w:eastAsiaTheme="majorEastAsia" w:cstheme="majorEastAsia"/>
                <w:color w:val="auto"/>
                <w:sz w:val="21"/>
                <w:szCs w:val="21"/>
                <w:highlight w:val="none"/>
                <w:lang w:val="en-US" w:eastAsia="zh-CN"/>
              </w:rPr>
            </w:pPr>
          </w:p>
        </w:tc>
        <w:tc>
          <w:tcPr>
            <w:tcW w:w="9087" w:type="dxa"/>
            <w:vAlign w:val="center"/>
          </w:tcPr>
          <w:p w14:paraId="00C2D53F">
            <w:pPr>
              <w:snapToGrid w:val="0"/>
              <w:spacing w:line="240" w:lineRule="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6</w:t>
            </w:r>
            <w:r>
              <w:rPr>
                <w:rFonts w:hint="eastAsia" w:asciiTheme="majorEastAsia" w:hAnsiTheme="majorEastAsia" w:eastAsiaTheme="majorEastAsia" w:cstheme="majorEastAsia"/>
                <w:color w:val="auto"/>
                <w:sz w:val="21"/>
                <w:szCs w:val="21"/>
                <w:highlight w:val="none"/>
              </w:rPr>
              <w:t>、支持M.2 SSD数量≥2，SDD可组成RAID 1级别，保证操作系统高可用性</w:t>
            </w:r>
            <w:r>
              <w:rPr>
                <w:rFonts w:hint="eastAsia" w:asciiTheme="majorEastAsia" w:hAnsiTheme="majorEastAsia" w:eastAsiaTheme="majorEastAsia" w:cstheme="majorEastAsia"/>
                <w:color w:val="auto"/>
                <w:sz w:val="21"/>
                <w:szCs w:val="21"/>
                <w:highlight w:val="none"/>
                <w:lang w:eastAsia="zh-CN"/>
              </w:rPr>
              <w:t>；</w:t>
            </w:r>
          </w:p>
        </w:tc>
        <w:tc>
          <w:tcPr>
            <w:tcW w:w="700" w:type="dxa"/>
            <w:vMerge w:val="continue"/>
            <w:vAlign w:val="center"/>
          </w:tcPr>
          <w:p w14:paraId="404E4842">
            <w:pPr>
              <w:snapToGrid w:val="0"/>
              <w:spacing w:line="240" w:lineRule="auto"/>
              <w:rPr>
                <w:rFonts w:hint="eastAsia" w:asciiTheme="majorEastAsia" w:hAnsiTheme="majorEastAsia" w:eastAsiaTheme="majorEastAsia" w:cstheme="majorEastAsia"/>
                <w:color w:val="auto"/>
                <w:sz w:val="21"/>
                <w:szCs w:val="21"/>
                <w:highlight w:val="none"/>
                <w:lang w:val="en-US" w:eastAsia="zh-CN"/>
              </w:rPr>
            </w:pPr>
          </w:p>
        </w:tc>
      </w:tr>
      <w:tr w14:paraId="0E69E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3" w:type="dxa"/>
            <w:vMerge w:val="continue"/>
            <w:vAlign w:val="center"/>
          </w:tcPr>
          <w:p w14:paraId="6026CD8A">
            <w:pPr>
              <w:snapToGrid w:val="0"/>
              <w:spacing w:line="240" w:lineRule="auto"/>
              <w:jc w:val="center"/>
              <w:rPr>
                <w:rFonts w:hint="eastAsia" w:asciiTheme="majorEastAsia" w:hAnsiTheme="majorEastAsia" w:eastAsiaTheme="majorEastAsia" w:cstheme="majorEastAsia"/>
                <w:color w:val="auto"/>
                <w:sz w:val="21"/>
                <w:szCs w:val="21"/>
                <w:highlight w:val="none"/>
                <w:lang w:val="en-US" w:eastAsia="zh-CN"/>
              </w:rPr>
            </w:pPr>
          </w:p>
        </w:tc>
        <w:tc>
          <w:tcPr>
            <w:tcW w:w="888" w:type="dxa"/>
            <w:vMerge w:val="continue"/>
            <w:vAlign w:val="center"/>
          </w:tcPr>
          <w:p w14:paraId="0DE4C2B2">
            <w:pPr>
              <w:snapToGrid w:val="0"/>
              <w:spacing w:line="240" w:lineRule="auto"/>
              <w:jc w:val="center"/>
              <w:rPr>
                <w:rFonts w:hint="eastAsia" w:asciiTheme="majorEastAsia" w:hAnsiTheme="majorEastAsia" w:eastAsiaTheme="majorEastAsia" w:cstheme="majorEastAsia"/>
                <w:color w:val="auto"/>
                <w:sz w:val="21"/>
                <w:szCs w:val="21"/>
                <w:highlight w:val="none"/>
                <w:lang w:val="en-US" w:eastAsia="zh-CN"/>
              </w:rPr>
            </w:pPr>
          </w:p>
        </w:tc>
        <w:tc>
          <w:tcPr>
            <w:tcW w:w="9087" w:type="dxa"/>
            <w:vAlign w:val="center"/>
          </w:tcPr>
          <w:p w14:paraId="5A20A855">
            <w:pPr>
              <w:snapToGrid w:val="0"/>
              <w:spacing w:line="240" w:lineRule="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7</w:t>
            </w:r>
            <w:r>
              <w:rPr>
                <w:rFonts w:hint="eastAsia" w:asciiTheme="majorEastAsia" w:hAnsiTheme="majorEastAsia" w:eastAsiaTheme="majorEastAsia" w:cstheme="majorEastAsia"/>
                <w:color w:val="auto"/>
                <w:sz w:val="21"/>
                <w:szCs w:val="21"/>
                <w:highlight w:val="none"/>
              </w:rPr>
              <w:t>、支持双宽GPU数量≥3，单宽GPU数量≥6</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配置4端口千兆网卡</w:t>
            </w:r>
            <w:r>
              <w:rPr>
                <w:rFonts w:hint="eastAsia" w:asciiTheme="majorEastAsia" w:hAnsiTheme="majorEastAsia" w:eastAsiaTheme="majorEastAsia" w:cstheme="majorEastAsia"/>
                <w:color w:val="auto"/>
                <w:sz w:val="21"/>
                <w:szCs w:val="21"/>
                <w:highlight w:val="none"/>
                <w:lang w:eastAsia="zh-CN"/>
              </w:rPr>
              <w:t>。</w:t>
            </w:r>
          </w:p>
        </w:tc>
        <w:tc>
          <w:tcPr>
            <w:tcW w:w="700" w:type="dxa"/>
            <w:vMerge w:val="continue"/>
            <w:vAlign w:val="center"/>
          </w:tcPr>
          <w:p w14:paraId="3CDEC9CB">
            <w:pPr>
              <w:snapToGrid w:val="0"/>
              <w:spacing w:line="240" w:lineRule="auto"/>
              <w:rPr>
                <w:rFonts w:hint="eastAsia" w:asciiTheme="majorEastAsia" w:hAnsiTheme="majorEastAsia" w:eastAsiaTheme="majorEastAsia" w:cstheme="majorEastAsia"/>
                <w:color w:val="auto"/>
                <w:sz w:val="21"/>
                <w:szCs w:val="21"/>
                <w:highlight w:val="none"/>
                <w:lang w:val="en-US" w:eastAsia="zh-CN"/>
              </w:rPr>
            </w:pPr>
          </w:p>
        </w:tc>
      </w:tr>
      <w:tr w14:paraId="5BD7B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3" w:type="dxa"/>
            <w:vMerge w:val="restart"/>
            <w:vAlign w:val="center"/>
          </w:tcPr>
          <w:p w14:paraId="18415546">
            <w:pPr>
              <w:snapToGrid w:val="0"/>
              <w:spacing w:line="24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w:t>
            </w:r>
          </w:p>
        </w:tc>
        <w:tc>
          <w:tcPr>
            <w:tcW w:w="888" w:type="dxa"/>
            <w:vMerge w:val="restart"/>
            <w:vAlign w:val="center"/>
          </w:tcPr>
          <w:p w14:paraId="654F79F5">
            <w:pPr>
              <w:snapToGrid w:val="0"/>
              <w:spacing w:line="24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存储</w:t>
            </w:r>
          </w:p>
        </w:tc>
        <w:tc>
          <w:tcPr>
            <w:tcW w:w="9087" w:type="dxa"/>
            <w:vAlign w:val="center"/>
          </w:tcPr>
          <w:p w14:paraId="3E8E719B">
            <w:pPr>
              <w:snapToGrid w:val="0"/>
              <w:spacing w:line="240" w:lineRule="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1、机型：2U存储</w:t>
            </w:r>
            <w:r>
              <w:rPr>
                <w:rFonts w:hint="eastAsia" w:asciiTheme="majorEastAsia" w:hAnsiTheme="majorEastAsia" w:eastAsiaTheme="majorEastAsia" w:cstheme="majorEastAsia"/>
                <w:color w:val="auto"/>
                <w:sz w:val="21"/>
                <w:szCs w:val="21"/>
                <w:highlight w:val="none"/>
                <w:lang w:eastAsia="zh-CN"/>
              </w:rPr>
              <w:t>；</w:t>
            </w:r>
          </w:p>
        </w:tc>
        <w:tc>
          <w:tcPr>
            <w:tcW w:w="700" w:type="dxa"/>
            <w:vMerge w:val="restart"/>
            <w:vAlign w:val="center"/>
          </w:tcPr>
          <w:p w14:paraId="4EA62C4E">
            <w:pPr>
              <w:snapToGrid w:val="0"/>
              <w:spacing w:line="240" w:lineRule="auto"/>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≥1台</w:t>
            </w:r>
          </w:p>
        </w:tc>
      </w:tr>
      <w:tr w14:paraId="53336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3" w:type="dxa"/>
            <w:vMerge w:val="continue"/>
            <w:vAlign w:val="center"/>
          </w:tcPr>
          <w:p w14:paraId="3A1CBFD5">
            <w:pPr>
              <w:snapToGrid w:val="0"/>
              <w:spacing w:line="240" w:lineRule="auto"/>
              <w:rPr>
                <w:rFonts w:hint="eastAsia" w:asciiTheme="majorEastAsia" w:hAnsiTheme="majorEastAsia" w:eastAsiaTheme="majorEastAsia" w:cstheme="majorEastAsia"/>
                <w:sz w:val="21"/>
                <w:szCs w:val="21"/>
              </w:rPr>
            </w:pPr>
          </w:p>
        </w:tc>
        <w:tc>
          <w:tcPr>
            <w:tcW w:w="888" w:type="dxa"/>
            <w:vMerge w:val="continue"/>
            <w:vAlign w:val="center"/>
          </w:tcPr>
          <w:p w14:paraId="7A2457AA">
            <w:pPr>
              <w:snapToGrid w:val="0"/>
              <w:spacing w:line="240" w:lineRule="auto"/>
              <w:rPr>
                <w:rFonts w:hint="eastAsia" w:asciiTheme="majorEastAsia" w:hAnsiTheme="majorEastAsia" w:eastAsiaTheme="majorEastAsia" w:cstheme="majorEastAsia"/>
                <w:sz w:val="21"/>
                <w:szCs w:val="21"/>
              </w:rPr>
            </w:pPr>
          </w:p>
        </w:tc>
        <w:tc>
          <w:tcPr>
            <w:tcW w:w="9087" w:type="dxa"/>
            <w:vAlign w:val="center"/>
          </w:tcPr>
          <w:p w14:paraId="657930E5">
            <w:pPr>
              <w:snapToGrid w:val="0"/>
              <w:spacing w:line="24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2、控制器：双控,每个控制器2个16G SFP模块</w:t>
            </w:r>
            <w:r>
              <w:rPr>
                <w:rFonts w:hint="eastAsia" w:asciiTheme="majorEastAsia" w:hAnsiTheme="majorEastAsia" w:eastAsiaTheme="majorEastAsia" w:cstheme="majorEastAsia"/>
                <w:color w:val="auto"/>
                <w:sz w:val="21"/>
                <w:szCs w:val="21"/>
                <w:highlight w:val="none"/>
                <w:lang w:eastAsia="zh-CN"/>
              </w:rPr>
              <w:t>；</w:t>
            </w:r>
          </w:p>
        </w:tc>
        <w:tc>
          <w:tcPr>
            <w:tcW w:w="700" w:type="dxa"/>
            <w:vMerge w:val="continue"/>
            <w:vAlign w:val="center"/>
          </w:tcPr>
          <w:p w14:paraId="3DC64F8A">
            <w:pPr>
              <w:snapToGrid w:val="0"/>
              <w:spacing w:line="240" w:lineRule="auto"/>
              <w:rPr>
                <w:rFonts w:hint="eastAsia" w:asciiTheme="majorEastAsia" w:hAnsiTheme="majorEastAsia" w:eastAsiaTheme="majorEastAsia" w:cstheme="majorEastAsia"/>
                <w:color w:val="auto"/>
                <w:sz w:val="21"/>
                <w:szCs w:val="21"/>
                <w:highlight w:val="none"/>
              </w:rPr>
            </w:pPr>
          </w:p>
        </w:tc>
      </w:tr>
      <w:tr w14:paraId="6075C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3" w:type="dxa"/>
            <w:vMerge w:val="continue"/>
            <w:vAlign w:val="center"/>
          </w:tcPr>
          <w:p w14:paraId="23415203">
            <w:pPr>
              <w:snapToGrid w:val="0"/>
              <w:spacing w:line="240" w:lineRule="auto"/>
              <w:rPr>
                <w:rFonts w:hint="eastAsia" w:asciiTheme="majorEastAsia" w:hAnsiTheme="majorEastAsia" w:eastAsiaTheme="majorEastAsia" w:cstheme="majorEastAsia"/>
                <w:color w:val="auto"/>
                <w:sz w:val="21"/>
                <w:szCs w:val="21"/>
                <w:highlight w:val="none"/>
              </w:rPr>
            </w:pPr>
          </w:p>
        </w:tc>
        <w:tc>
          <w:tcPr>
            <w:tcW w:w="888" w:type="dxa"/>
            <w:vMerge w:val="continue"/>
            <w:vAlign w:val="center"/>
          </w:tcPr>
          <w:p w14:paraId="274B0041">
            <w:pPr>
              <w:snapToGrid w:val="0"/>
              <w:spacing w:line="240" w:lineRule="auto"/>
              <w:rPr>
                <w:rFonts w:hint="eastAsia" w:asciiTheme="majorEastAsia" w:hAnsiTheme="majorEastAsia" w:eastAsiaTheme="majorEastAsia" w:cstheme="majorEastAsia"/>
                <w:color w:val="auto"/>
                <w:sz w:val="21"/>
                <w:szCs w:val="21"/>
                <w:highlight w:val="none"/>
              </w:rPr>
            </w:pPr>
          </w:p>
        </w:tc>
        <w:tc>
          <w:tcPr>
            <w:tcW w:w="9087" w:type="dxa"/>
            <w:vAlign w:val="center"/>
          </w:tcPr>
          <w:p w14:paraId="04313722">
            <w:pPr>
              <w:snapToGrid w:val="0"/>
              <w:spacing w:line="24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3、硬盘：1.2T SAS 10K 2.5寸≥10块硬盘，最大支持48TB</w:t>
            </w:r>
            <w:r>
              <w:rPr>
                <w:rFonts w:hint="eastAsia" w:asciiTheme="majorEastAsia" w:hAnsiTheme="majorEastAsia" w:eastAsiaTheme="majorEastAsia" w:cstheme="majorEastAsia"/>
                <w:color w:val="auto"/>
                <w:sz w:val="21"/>
                <w:szCs w:val="21"/>
                <w:highlight w:val="none"/>
                <w:lang w:eastAsia="zh-CN"/>
              </w:rPr>
              <w:t>；</w:t>
            </w:r>
          </w:p>
        </w:tc>
        <w:tc>
          <w:tcPr>
            <w:tcW w:w="700" w:type="dxa"/>
            <w:vMerge w:val="continue"/>
            <w:vAlign w:val="center"/>
          </w:tcPr>
          <w:p w14:paraId="731B18C8">
            <w:pPr>
              <w:snapToGrid w:val="0"/>
              <w:spacing w:line="240" w:lineRule="auto"/>
              <w:rPr>
                <w:rFonts w:hint="eastAsia" w:asciiTheme="majorEastAsia" w:hAnsiTheme="majorEastAsia" w:eastAsiaTheme="majorEastAsia" w:cstheme="majorEastAsia"/>
                <w:color w:val="auto"/>
                <w:sz w:val="21"/>
                <w:szCs w:val="21"/>
                <w:highlight w:val="none"/>
              </w:rPr>
            </w:pPr>
          </w:p>
        </w:tc>
      </w:tr>
      <w:tr w14:paraId="3B09D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3" w:type="dxa"/>
            <w:vMerge w:val="continue"/>
            <w:vAlign w:val="center"/>
          </w:tcPr>
          <w:p w14:paraId="3140A275">
            <w:pPr>
              <w:snapToGrid w:val="0"/>
              <w:spacing w:line="240" w:lineRule="auto"/>
              <w:rPr>
                <w:rFonts w:hint="eastAsia" w:asciiTheme="majorEastAsia" w:hAnsiTheme="majorEastAsia" w:eastAsiaTheme="majorEastAsia" w:cstheme="majorEastAsia"/>
                <w:color w:val="auto"/>
                <w:sz w:val="21"/>
                <w:szCs w:val="21"/>
                <w:highlight w:val="none"/>
              </w:rPr>
            </w:pPr>
          </w:p>
        </w:tc>
        <w:tc>
          <w:tcPr>
            <w:tcW w:w="888" w:type="dxa"/>
            <w:vMerge w:val="continue"/>
            <w:vAlign w:val="center"/>
          </w:tcPr>
          <w:p w14:paraId="2C6F4CCF">
            <w:pPr>
              <w:snapToGrid w:val="0"/>
              <w:spacing w:line="240" w:lineRule="auto"/>
              <w:rPr>
                <w:rFonts w:hint="eastAsia" w:asciiTheme="majorEastAsia" w:hAnsiTheme="majorEastAsia" w:eastAsiaTheme="majorEastAsia" w:cstheme="majorEastAsia"/>
                <w:color w:val="auto"/>
                <w:sz w:val="21"/>
                <w:szCs w:val="21"/>
                <w:highlight w:val="none"/>
              </w:rPr>
            </w:pPr>
          </w:p>
        </w:tc>
        <w:tc>
          <w:tcPr>
            <w:tcW w:w="9087" w:type="dxa"/>
            <w:vAlign w:val="center"/>
          </w:tcPr>
          <w:p w14:paraId="7F4BBC9F">
            <w:pPr>
              <w:snapToGrid w:val="0"/>
              <w:spacing w:line="24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4、RAID：支持RAID0,1,5,6,10</w:t>
            </w:r>
            <w:r>
              <w:rPr>
                <w:rFonts w:hint="eastAsia" w:asciiTheme="majorEastAsia" w:hAnsiTheme="majorEastAsia" w:eastAsiaTheme="majorEastAsia" w:cstheme="majorEastAsia"/>
                <w:color w:val="auto"/>
                <w:sz w:val="21"/>
                <w:szCs w:val="21"/>
                <w:highlight w:val="none"/>
                <w:lang w:eastAsia="zh-CN"/>
              </w:rPr>
              <w:t>。</w:t>
            </w:r>
          </w:p>
        </w:tc>
        <w:tc>
          <w:tcPr>
            <w:tcW w:w="700" w:type="dxa"/>
            <w:vMerge w:val="continue"/>
            <w:vAlign w:val="center"/>
          </w:tcPr>
          <w:p w14:paraId="617116FB">
            <w:pPr>
              <w:snapToGrid w:val="0"/>
              <w:spacing w:line="240" w:lineRule="auto"/>
              <w:rPr>
                <w:rFonts w:hint="eastAsia" w:asciiTheme="majorEastAsia" w:hAnsiTheme="majorEastAsia" w:eastAsiaTheme="majorEastAsia" w:cstheme="majorEastAsia"/>
                <w:color w:val="auto"/>
                <w:sz w:val="21"/>
                <w:szCs w:val="21"/>
                <w:highlight w:val="none"/>
              </w:rPr>
            </w:pPr>
          </w:p>
        </w:tc>
      </w:tr>
      <w:tr w14:paraId="4B0B4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3" w:type="dxa"/>
            <w:vMerge w:val="restart"/>
            <w:vAlign w:val="center"/>
          </w:tcPr>
          <w:p w14:paraId="7E8372FC">
            <w:pPr>
              <w:snapToGrid w:val="0"/>
              <w:spacing w:line="24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w:t>
            </w:r>
          </w:p>
        </w:tc>
        <w:tc>
          <w:tcPr>
            <w:tcW w:w="888" w:type="dxa"/>
            <w:vMerge w:val="restart"/>
            <w:vAlign w:val="center"/>
          </w:tcPr>
          <w:p w14:paraId="3DC1231B">
            <w:pPr>
              <w:snapToGrid w:val="0"/>
              <w:spacing w:line="24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光纤交换机</w:t>
            </w:r>
          </w:p>
        </w:tc>
        <w:tc>
          <w:tcPr>
            <w:tcW w:w="9087" w:type="dxa"/>
            <w:vAlign w:val="center"/>
          </w:tcPr>
          <w:p w14:paraId="60FF99B3">
            <w:pPr>
              <w:snapToGrid w:val="0"/>
              <w:spacing w:line="240" w:lineRule="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1、光纤交</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换机</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16Gb，≥24端口交</w:t>
            </w:r>
            <w:r>
              <w:rPr>
                <w:rFonts w:hint="eastAsia" w:asciiTheme="majorEastAsia" w:hAnsiTheme="majorEastAsia" w:eastAsiaTheme="majorEastAsia" w:cstheme="majorEastAsia"/>
                <w:color w:val="auto"/>
                <w:sz w:val="21"/>
                <w:szCs w:val="21"/>
                <w:highlight w:val="none"/>
              </w:rPr>
              <w:t>换机，≥16端口激活，含16个16Gb/s短波SFP</w:t>
            </w:r>
            <w:r>
              <w:rPr>
                <w:rFonts w:hint="eastAsia" w:asciiTheme="majorEastAsia" w:hAnsiTheme="majorEastAsia" w:eastAsiaTheme="majorEastAsia" w:cstheme="majorEastAsia"/>
                <w:color w:val="auto"/>
                <w:sz w:val="21"/>
                <w:szCs w:val="21"/>
                <w:highlight w:val="none"/>
                <w:lang w:val="en-US" w:eastAsia="zh-CN"/>
              </w:rPr>
              <w:t>；</w:t>
            </w:r>
          </w:p>
        </w:tc>
        <w:tc>
          <w:tcPr>
            <w:tcW w:w="700" w:type="dxa"/>
            <w:vMerge w:val="restart"/>
            <w:vAlign w:val="center"/>
          </w:tcPr>
          <w:p w14:paraId="063BA933">
            <w:pPr>
              <w:snapToGrid w:val="0"/>
              <w:spacing w:line="240" w:lineRule="auto"/>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≥1台</w:t>
            </w:r>
          </w:p>
        </w:tc>
      </w:tr>
      <w:tr w14:paraId="2491E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3" w:type="dxa"/>
            <w:vMerge w:val="continue"/>
            <w:vAlign w:val="center"/>
          </w:tcPr>
          <w:p w14:paraId="7BAA3779">
            <w:pPr>
              <w:snapToGrid w:val="0"/>
              <w:spacing w:line="240" w:lineRule="auto"/>
              <w:rPr>
                <w:rFonts w:hint="eastAsia" w:asciiTheme="majorEastAsia" w:hAnsiTheme="majorEastAsia" w:eastAsiaTheme="majorEastAsia" w:cstheme="majorEastAsia"/>
                <w:sz w:val="21"/>
                <w:szCs w:val="21"/>
              </w:rPr>
            </w:pPr>
          </w:p>
        </w:tc>
        <w:tc>
          <w:tcPr>
            <w:tcW w:w="888" w:type="dxa"/>
            <w:vMerge w:val="continue"/>
            <w:vAlign w:val="center"/>
          </w:tcPr>
          <w:p w14:paraId="11133BD7">
            <w:pPr>
              <w:snapToGrid w:val="0"/>
              <w:spacing w:line="240" w:lineRule="auto"/>
              <w:rPr>
                <w:rFonts w:hint="eastAsia" w:asciiTheme="majorEastAsia" w:hAnsiTheme="majorEastAsia" w:eastAsiaTheme="majorEastAsia" w:cstheme="majorEastAsia"/>
                <w:sz w:val="21"/>
                <w:szCs w:val="21"/>
              </w:rPr>
            </w:pPr>
          </w:p>
        </w:tc>
        <w:tc>
          <w:tcPr>
            <w:tcW w:w="9087" w:type="dxa"/>
            <w:vAlign w:val="center"/>
          </w:tcPr>
          <w:p w14:paraId="08B6F8ED">
            <w:pPr>
              <w:snapToGrid w:val="0"/>
              <w:spacing w:line="24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2、含Web tools、Zoning、EGM软件授权；</w:t>
            </w:r>
          </w:p>
        </w:tc>
        <w:tc>
          <w:tcPr>
            <w:tcW w:w="700" w:type="dxa"/>
            <w:vMerge w:val="continue"/>
            <w:vAlign w:val="center"/>
          </w:tcPr>
          <w:p w14:paraId="083F8883">
            <w:pPr>
              <w:snapToGrid w:val="0"/>
              <w:spacing w:line="240" w:lineRule="auto"/>
              <w:rPr>
                <w:rFonts w:hint="eastAsia" w:asciiTheme="majorEastAsia" w:hAnsiTheme="majorEastAsia" w:eastAsiaTheme="majorEastAsia" w:cstheme="majorEastAsia"/>
                <w:color w:val="auto"/>
                <w:sz w:val="21"/>
                <w:szCs w:val="21"/>
                <w:highlight w:val="none"/>
              </w:rPr>
            </w:pPr>
          </w:p>
        </w:tc>
      </w:tr>
      <w:tr w14:paraId="68EFD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3" w:type="dxa"/>
            <w:vMerge w:val="continue"/>
            <w:vAlign w:val="center"/>
          </w:tcPr>
          <w:p w14:paraId="5149F502">
            <w:pPr>
              <w:snapToGrid w:val="0"/>
              <w:spacing w:line="240" w:lineRule="auto"/>
              <w:rPr>
                <w:rFonts w:hint="eastAsia" w:asciiTheme="majorEastAsia" w:hAnsiTheme="majorEastAsia" w:eastAsiaTheme="majorEastAsia" w:cstheme="majorEastAsia"/>
                <w:color w:val="auto"/>
                <w:sz w:val="21"/>
                <w:szCs w:val="21"/>
                <w:highlight w:val="none"/>
              </w:rPr>
            </w:pPr>
          </w:p>
        </w:tc>
        <w:tc>
          <w:tcPr>
            <w:tcW w:w="888" w:type="dxa"/>
            <w:vMerge w:val="continue"/>
            <w:vAlign w:val="center"/>
          </w:tcPr>
          <w:p w14:paraId="3739AEC4">
            <w:pPr>
              <w:snapToGrid w:val="0"/>
              <w:spacing w:line="240" w:lineRule="auto"/>
              <w:rPr>
                <w:rFonts w:hint="eastAsia" w:asciiTheme="majorEastAsia" w:hAnsiTheme="majorEastAsia" w:eastAsiaTheme="majorEastAsia" w:cstheme="majorEastAsia"/>
                <w:color w:val="auto"/>
                <w:sz w:val="21"/>
                <w:szCs w:val="21"/>
                <w:highlight w:val="none"/>
              </w:rPr>
            </w:pPr>
          </w:p>
        </w:tc>
        <w:tc>
          <w:tcPr>
            <w:tcW w:w="9087" w:type="dxa"/>
            <w:vAlign w:val="center"/>
          </w:tcPr>
          <w:p w14:paraId="235560D7">
            <w:pPr>
              <w:snapToGrid w:val="0"/>
              <w:spacing w:line="24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3、可支持升级E-Port组件激活级联功能；</w:t>
            </w:r>
          </w:p>
        </w:tc>
        <w:tc>
          <w:tcPr>
            <w:tcW w:w="700" w:type="dxa"/>
            <w:vMerge w:val="continue"/>
            <w:vAlign w:val="center"/>
          </w:tcPr>
          <w:p w14:paraId="50B334E2">
            <w:pPr>
              <w:snapToGrid w:val="0"/>
              <w:spacing w:line="240" w:lineRule="auto"/>
              <w:rPr>
                <w:rFonts w:hint="eastAsia" w:asciiTheme="majorEastAsia" w:hAnsiTheme="majorEastAsia" w:eastAsiaTheme="majorEastAsia" w:cstheme="majorEastAsia"/>
                <w:color w:val="auto"/>
                <w:sz w:val="21"/>
                <w:szCs w:val="21"/>
                <w:highlight w:val="none"/>
              </w:rPr>
            </w:pPr>
          </w:p>
        </w:tc>
      </w:tr>
      <w:tr w14:paraId="22A18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3" w:type="dxa"/>
            <w:vMerge w:val="continue"/>
            <w:vAlign w:val="center"/>
          </w:tcPr>
          <w:p w14:paraId="510AB9C1">
            <w:pPr>
              <w:snapToGrid w:val="0"/>
              <w:spacing w:line="240" w:lineRule="auto"/>
              <w:rPr>
                <w:rFonts w:hint="eastAsia" w:asciiTheme="majorEastAsia" w:hAnsiTheme="majorEastAsia" w:eastAsiaTheme="majorEastAsia" w:cstheme="majorEastAsia"/>
                <w:color w:val="auto"/>
                <w:sz w:val="21"/>
                <w:szCs w:val="21"/>
                <w:highlight w:val="none"/>
              </w:rPr>
            </w:pPr>
          </w:p>
        </w:tc>
        <w:tc>
          <w:tcPr>
            <w:tcW w:w="888" w:type="dxa"/>
            <w:vMerge w:val="continue"/>
            <w:vAlign w:val="center"/>
          </w:tcPr>
          <w:p w14:paraId="1258EADB">
            <w:pPr>
              <w:snapToGrid w:val="0"/>
              <w:spacing w:line="240" w:lineRule="auto"/>
              <w:rPr>
                <w:rFonts w:hint="eastAsia" w:asciiTheme="majorEastAsia" w:hAnsiTheme="majorEastAsia" w:eastAsiaTheme="majorEastAsia" w:cstheme="majorEastAsia"/>
                <w:color w:val="auto"/>
                <w:sz w:val="21"/>
                <w:szCs w:val="21"/>
                <w:highlight w:val="none"/>
              </w:rPr>
            </w:pPr>
          </w:p>
        </w:tc>
        <w:tc>
          <w:tcPr>
            <w:tcW w:w="9087" w:type="dxa"/>
            <w:vAlign w:val="center"/>
          </w:tcPr>
          <w:p w14:paraId="68226D75">
            <w:pPr>
              <w:snapToGrid w:val="0"/>
              <w:spacing w:line="24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4、可按需扩展到16或24个通讯端口，单电源（固定），机架套件</w:t>
            </w:r>
            <w:r>
              <w:rPr>
                <w:rFonts w:hint="eastAsia" w:asciiTheme="majorEastAsia" w:hAnsiTheme="majorEastAsia" w:eastAsiaTheme="majorEastAsia" w:cstheme="majorEastAsia"/>
                <w:color w:val="auto"/>
                <w:sz w:val="21"/>
                <w:szCs w:val="21"/>
                <w:highlight w:val="none"/>
                <w:lang w:eastAsia="zh-CN"/>
              </w:rPr>
              <w:t>。</w:t>
            </w:r>
          </w:p>
        </w:tc>
        <w:tc>
          <w:tcPr>
            <w:tcW w:w="700" w:type="dxa"/>
            <w:vMerge w:val="continue"/>
            <w:vAlign w:val="center"/>
          </w:tcPr>
          <w:p w14:paraId="3D2FB535">
            <w:pPr>
              <w:snapToGrid w:val="0"/>
              <w:spacing w:line="240" w:lineRule="auto"/>
              <w:rPr>
                <w:rFonts w:hint="eastAsia" w:asciiTheme="majorEastAsia" w:hAnsiTheme="majorEastAsia" w:eastAsiaTheme="majorEastAsia" w:cstheme="majorEastAsia"/>
                <w:color w:val="auto"/>
                <w:sz w:val="21"/>
                <w:szCs w:val="21"/>
                <w:highlight w:val="none"/>
              </w:rPr>
            </w:pPr>
          </w:p>
        </w:tc>
      </w:tr>
      <w:tr w14:paraId="37B0F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3" w:type="dxa"/>
            <w:vMerge w:val="restart"/>
            <w:vAlign w:val="center"/>
          </w:tcPr>
          <w:p w14:paraId="0B6B5896">
            <w:pPr>
              <w:snapToGrid w:val="0"/>
              <w:spacing w:line="24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w:t>
            </w:r>
          </w:p>
        </w:tc>
        <w:tc>
          <w:tcPr>
            <w:tcW w:w="888" w:type="dxa"/>
            <w:vMerge w:val="restart"/>
            <w:vAlign w:val="center"/>
          </w:tcPr>
          <w:p w14:paraId="613AB9E5">
            <w:pPr>
              <w:snapToGrid w:val="0"/>
              <w:spacing w:line="24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扫码一体机</w:t>
            </w:r>
          </w:p>
        </w:tc>
        <w:tc>
          <w:tcPr>
            <w:tcW w:w="9087" w:type="dxa"/>
            <w:vAlign w:val="center"/>
          </w:tcPr>
          <w:p w14:paraId="4E293B44">
            <w:pPr>
              <w:snapToGrid w:val="0"/>
              <w:spacing w:line="240" w:lineRule="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1</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屏幕尺寸：≥21.5寸 “ips屏”</w:t>
            </w:r>
            <w:r>
              <w:rPr>
                <w:rFonts w:hint="eastAsia" w:asciiTheme="majorEastAsia" w:hAnsiTheme="majorEastAsia" w:eastAsiaTheme="majorEastAsia" w:cstheme="majorEastAsia"/>
                <w:color w:val="auto"/>
                <w:sz w:val="21"/>
                <w:szCs w:val="21"/>
                <w:highlight w:val="none"/>
                <w:lang w:eastAsia="zh-CN"/>
              </w:rPr>
              <w:t>；</w:t>
            </w:r>
          </w:p>
        </w:tc>
        <w:tc>
          <w:tcPr>
            <w:tcW w:w="700" w:type="dxa"/>
            <w:vMerge w:val="restart"/>
            <w:vAlign w:val="center"/>
          </w:tcPr>
          <w:p w14:paraId="03C3BB47">
            <w:pPr>
              <w:snapToGrid w:val="0"/>
              <w:spacing w:line="240" w:lineRule="auto"/>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按需</w:t>
            </w:r>
          </w:p>
        </w:tc>
      </w:tr>
      <w:tr w14:paraId="4A0BB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3" w:type="dxa"/>
            <w:vMerge w:val="continue"/>
            <w:vAlign w:val="center"/>
          </w:tcPr>
          <w:p w14:paraId="45DCA1EA">
            <w:pPr>
              <w:snapToGrid w:val="0"/>
              <w:spacing w:line="240" w:lineRule="auto"/>
              <w:rPr>
                <w:rFonts w:hint="eastAsia" w:asciiTheme="majorEastAsia" w:hAnsiTheme="majorEastAsia" w:eastAsiaTheme="majorEastAsia" w:cstheme="majorEastAsia"/>
                <w:sz w:val="21"/>
                <w:szCs w:val="21"/>
              </w:rPr>
            </w:pPr>
          </w:p>
        </w:tc>
        <w:tc>
          <w:tcPr>
            <w:tcW w:w="888" w:type="dxa"/>
            <w:vMerge w:val="continue"/>
            <w:vAlign w:val="center"/>
          </w:tcPr>
          <w:p w14:paraId="155C0923">
            <w:pPr>
              <w:snapToGrid w:val="0"/>
              <w:spacing w:line="240" w:lineRule="auto"/>
              <w:rPr>
                <w:rFonts w:hint="eastAsia" w:asciiTheme="majorEastAsia" w:hAnsiTheme="majorEastAsia" w:eastAsiaTheme="majorEastAsia" w:cstheme="majorEastAsia"/>
                <w:sz w:val="21"/>
                <w:szCs w:val="21"/>
              </w:rPr>
            </w:pPr>
          </w:p>
        </w:tc>
        <w:tc>
          <w:tcPr>
            <w:tcW w:w="9087" w:type="dxa"/>
            <w:vAlign w:val="center"/>
          </w:tcPr>
          <w:p w14:paraId="3DF59D32">
            <w:pPr>
              <w:snapToGrid w:val="0"/>
              <w:spacing w:line="240" w:lineRule="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2</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操作系统：安卓7.0及以上</w:t>
            </w:r>
            <w:r>
              <w:rPr>
                <w:rFonts w:hint="eastAsia" w:asciiTheme="majorEastAsia" w:hAnsiTheme="majorEastAsia" w:eastAsiaTheme="majorEastAsia" w:cstheme="majorEastAsia"/>
                <w:color w:val="auto"/>
                <w:sz w:val="21"/>
                <w:szCs w:val="21"/>
                <w:highlight w:val="none"/>
                <w:lang w:eastAsia="zh-CN"/>
              </w:rPr>
              <w:t>；</w:t>
            </w:r>
          </w:p>
        </w:tc>
        <w:tc>
          <w:tcPr>
            <w:tcW w:w="700" w:type="dxa"/>
            <w:vMerge w:val="continue"/>
            <w:vAlign w:val="center"/>
          </w:tcPr>
          <w:p w14:paraId="2E20642A">
            <w:pPr>
              <w:snapToGrid w:val="0"/>
              <w:spacing w:line="240" w:lineRule="auto"/>
              <w:jc w:val="center"/>
              <w:rPr>
                <w:rFonts w:hint="eastAsia" w:asciiTheme="majorEastAsia" w:hAnsiTheme="majorEastAsia" w:eastAsiaTheme="majorEastAsia" w:cstheme="majorEastAsia"/>
                <w:color w:val="auto"/>
                <w:sz w:val="21"/>
                <w:szCs w:val="21"/>
                <w:highlight w:val="none"/>
              </w:rPr>
            </w:pPr>
          </w:p>
        </w:tc>
      </w:tr>
      <w:tr w14:paraId="7E872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jc w:val="center"/>
        </w:trPr>
        <w:tc>
          <w:tcPr>
            <w:tcW w:w="623" w:type="dxa"/>
            <w:vMerge w:val="continue"/>
            <w:vAlign w:val="center"/>
          </w:tcPr>
          <w:p w14:paraId="1E505192">
            <w:pPr>
              <w:snapToGrid w:val="0"/>
              <w:spacing w:line="240" w:lineRule="auto"/>
              <w:rPr>
                <w:rFonts w:hint="eastAsia" w:asciiTheme="majorEastAsia" w:hAnsiTheme="majorEastAsia" w:eastAsiaTheme="majorEastAsia" w:cstheme="majorEastAsia"/>
                <w:color w:val="auto"/>
                <w:sz w:val="21"/>
                <w:szCs w:val="21"/>
                <w:highlight w:val="none"/>
              </w:rPr>
            </w:pPr>
          </w:p>
        </w:tc>
        <w:tc>
          <w:tcPr>
            <w:tcW w:w="888" w:type="dxa"/>
            <w:vMerge w:val="continue"/>
            <w:vAlign w:val="center"/>
          </w:tcPr>
          <w:p w14:paraId="63BE4394">
            <w:pPr>
              <w:snapToGrid w:val="0"/>
              <w:spacing w:line="240" w:lineRule="auto"/>
              <w:rPr>
                <w:rFonts w:hint="eastAsia" w:asciiTheme="majorEastAsia" w:hAnsiTheme="majorEastAsia" w:eastAsiaTheme="majorEastAsia" w:cstheme="majorEastAsia"/>
                <w:color w:val="auto"/>
                <w:sz w:val="21"/>
                <w:szCs w:val="21"/>
                <w:highlight w:val="none"/>
              </w:rPr>
            </w:pPr>
          </w:p>
        </w:tc>
        <w:tc>
          <w:tcPr>
            <w:tcW w:w="9087" w:type="dxa"/>
            <w:vAlign w:val="center"/>
          </w:tcPr>
          <w:p w14:paraId="72CAC342">
            <w:pPr>
              <w:snapToGrid w:val="0"/>
              <w:spacing w:line="24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网络：wifi连接、有线网络连接；</w:t>
            </w:r>
          </w:p>
        </w:tc>
        <w:tc>
          <w:tcPr>
            <w:tcW w:w="700" w:type="dxa"/>
            <w:vMerge w:val="continue"/>
            <w:vAlign w:val="center"/>
          </w:tcPr>
          <w:p w14:paraId="574BD6D9">
            <w:pPr>
              <w:snapToGrid w:val="0"/>
              <w:spacing w:line="240" w:lineRule="auto"/>
              <w:jc w:val="center"/>
              <w:rPr>
                <w:rFonts w:hint="eastAsia" w:asciiTheme="majorEastAsia" w:hAnsiTheme="majorEastAsia" w:eastAsiaTheme="majorEastAsia" w:cstheme="majorEastAsia"/>
                <w:color w:val="auto"/>
                <w:sz w:val="21"/>
                <w:szCs w:val="21"/>
                <w:highlight w:val="none"/>
              </w:rPr>
            </w:pPr>
          </w:p>
        </w:tc>
      </w:tr>
      <w:tr w14:paraId="49729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3" w:type="dxa"/>
            <w:vMerge w:val="continue"/>
            <w:vAlign w:val="center"/>
          </w:tcPr>
          <w:p w14:paraId="54A79711">
            <w:pPr>
              <w:snapToGrid w:val="0"/>
              <w:spacing w:line="240" w:lineRule="auto"/>
              <w:rPr>
                <w:rFonts w:hint="eastAsia" w:asciiTheme="majorEastAsia" w:hAnsiTheme="majorEastAsia" w:eastAsiaTheme="majorEastAsia" w:cstheme="majorEastAsia"/>
                <w:color w:val="auto"/>
                <w:sz w:val="21"/>
                <w:szCs w:val="21"/>
                <w:highlight w:val="none"/>
              </w:rPr>
            </w:pPr>
          </w:p>
        </w:tc>
        <w:tc>
          <w:tcPr>
            <w:tcW w:w="888" w:type="dxa"/>
            <w:vMerge w:val="continue"/>
            <w:vAlign w:val="center"/>
          </w:tcPr>
          <w:p w14:paraId="310B4C66">
            <w:pPr>
              <w:snapToGrid w:val="0"/>
              <w:spacing w:line="240" w:lineRule="auto"/>
              <w:rPr>
                <w:rFonts w:hint="eastAsia" w:asciiTheme="majorEastAsia" w:hAnsiTheme="majorEastAsia" w:eastAsiaTheme="majorEastAsia" w:cstheme="majorEastAsia"/>
                <w:color w:val="auto"/>
                <w:sz w:val="21"/>
                <w:szCs w:val="21"/>
                <w:highlight w:val="none"/>
              </w:rPr>
            </w:pPr>
          </w:p>
        </w:tc>
        <w:tc>
          <w:tcPr>
            <w:tcW w:w="9087" w:type="dxa"/>
            <w:vAlign w:val="center"/>
          </w:tcPr>
          <w:p w14:paraId="63C1E9C0">
            <w:pPr>
              <w:snapToGrid w:val="0"/>
              <w:spacing w:line="240" w:lineRule="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4</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登录识别：IC卡等身份登录</w:t>
            </w:r>
            <w:r>
              <w:rPr>
                <w:rFonts w:hint="eastAsia" w:asciiTheme="majorEastAsia" w:hAnsiTheme="majorEastAsia" w:eastAsiaTheme="majorEastAsia" w:cstheme="majorEastAsia"/>
                <w:color w:val="auto"/>
                <w:sz w:val="21"/>
                <w:szCs w:val="21"/>
                <w:highlight w:val="none"/>
                <w:lang w:eastAsia="zh-CN"/>
              </w:rPr>
              <w:t>；</w:t>
            </w:r>
          </w:p>
        </w:tc>
        <w:tc>
          <w:tcPr>
            <w:tcW w:w="700" w:type="dxa"/>
            <w:vMerge w:val="continue"/>
            <w:vAlign w:val="center"/>
          </w:tcPr>
          <w:p w14:paraId="37EE6C7C">
            <w:pPr>
              <w:snapToGrid w:val="0"/>
              <w:spacing w:line="240" w:lineRule="auto"/>
              <w:jc w:val="center"/>
              <w:rPr>
                <w:rFonts w:hint="eastAsia" w:asciiTheme="majorEastAsia" w:hAnsiTheme="majorEastAsia" w:eastAsiaTheme="majorEastAsia" w:cstheme="majorEastAsia"/>
                <w:color w:val="auto"/>
                <w:sz w:val="21"/>
                <w:szCs w:val="21"/>
                <w:highlight w:val="none"/>
              </w:rPr>
            </w:pPr>
          </w:p>
        </w:tc>
      </w:tr>
      <w:tr w14:paraId="55547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3" w:type="dxa"/>
            <w:vMerge w:val="continue"/>
            <w:vAlign w:val="center"/>
          </w:tcPr>
          <w:p w14:paraId="38AC2208">
            <w:pPr>
              <w:snapToGrid w:val="0"/>
              <w:spacing w:line="240" w:lineRule="auto"/>
              <w:rPr>
                <w:rFonts w:hint="eastAsia" w:asciiTheme="majorEastAsia" w:hAnsiTheme="majorEastAsia" w:eastAsiaTheme="majorEastAsia" w:cstheme="majorEastAsia"/>
                <w:color w:val="auto"/>
                <w:sz w:val="21"/>
                <w:szCs w:val="21"/>
                <w:highlight w:val="none"/>
              </w:rPr>
            </w:pPr>
          </w:p>
        </w:tc>
        <w:tc>
          <w:tcPr>
            <w:tcW w:w="888" w:type="dxa"/>
            <w:vMerge w:val="continue"/>
            <w:vAlign w:val="center"/>
          </w:tcPr>
          <w:p w14:paraId="5F210B77">
            <w:pPr>
              <w:snapToGrid w:val="0"/>
              <w:spacing w:line="240" w:lineRule="auto"/>
              <w:rPr>
                <w:rFonts w:hint="eastAsia" w:asciiTheme="majorEastAsia" w:hAnsiTheme="majorEastAsia" w:eastAsiaTheme="majorEastAsia" w:cstheme="majorEastAsia"/>
                <w:color w:val="auto"/>
                <w:sz w:val="21"/>
                <w:szCs w:val="21"/>
                <w:highlight w:val="none"/>
              </w:rPr>
            </w:pPr>
          </w:p>
        </w:tc>
        <w:tc>
          <w:tcPr>
            <w:tcW w:w="9087" w:type="dxa"/>
            <w:vAlign w:val="center"/>
          </w:tcPr>
          <w:p w14:paraId="49BD992D">
            <w:pPr>
              <w:snapToGrid w:val="0"/>
              <w:spacing w:line="240" w:lineRule="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5</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扫描功能：激光扫描，扫描一维码、二维码识别</w:t>
            </w:r>
            <w:r>
              <w:rPr>
                <w:rFonts w:hint="eastAsia" w:asciiTheme="majorEastAsia" w:hAnsiTheme="majorEastAsia" w:eastAsiaTheme="majorEastAsia" w:cstheme="majorEastAsia"/>
                <w:color w:val="auto"/>
                <w:sz w:val="21"/>
                <w:szCs w:val="21"/>
                <w:highlight w:val="none"/>
                <w:lang w:eastAsia="zh-CN"/>
              </w:rPr>
              <w:t>；</w:t>
            </w:r>
          </w:p>
        </w:tc>
        <w:tc>
          <w:tcPr>
            <w:tcW w:w="700" w:type="dxa"/>
            <w:vMerge w:val="continue"/>
            <w:vAlign w:val="center"/>
          </w:tcPr>
          <w:p w14:paraId="012082DD">
            <w:pPr>
              <w:snapToGrid w:val="0"/>
              <w:spacing w:line="240" w:lineRule="auto"/>
              <w:jc w:val="center"/>
              <w:rPr>
                <w:rFonts w:hint="eastAsia" w:asciiTheme="majorEastAsia" w:hAnsiTheme="majorEastAsia" w:eastAsiaTheme="majorEastAsia" w:cstheme="majorEastAsia"/>
                <w:color w:val="auto"/>
                <w:sz w:val="21"/>
                <w:szCs w:val="21"/>
                <w:highlight w:val="none"/>
              </w:rPr>
            </w:pPr>
          </w:p>
        </w:tc>
      </w:tr>
      <w:tr w14:paraId="0B1B6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3" w:type="dxa"/>
            <w:vMerge w:val="continue"/>
            <w:vAlign w:val="center"/>
          </w:tcPr>
          <w:p w14:paraId="344FE5FA">
            <w:pPr>
              <w:snapToGrid w:val="0"/>
              <w:spacing w:line="240" w:lineRule="auto"/>
              <w:rPr>
                <w:rFonts w:hint="eastAsia" w:asciiTheme="majorEastAsia" w:hAnsiTheme="majorEastAsia" w:eastAsiaTheme="majorEastAsia" w:cstheme="majorEastAsia"/>
                <w:color w:val="auto"/>
                <w:sz w:val="21"/>
                <w:szCs w:val="21"/>
                <w:highlight w:val="none"/>
              </w:rPr>
            </w:pPr>
          </w:p>
        </w:tc>
        <w:tc>
          <w:tcPr>
            <w:tcW w:w="888" w:type="dxa"/>
            <w:vMerge w:val="continue"/>
            <w:vAlign w:val="center"/>
          </w:tcPr>
          <w:p w14:paraId="73607B15">
            <w:pPr>
              <w:snapToGrid w:val="0"/>
              <w:spacing w:line="240" w:lineRule="auto"/>
              <w:rPr>
                <w:rFonts w:hint="eastAsia" w:asciiTheme="majorEastAsia" w:hAnsiTheme="majorEastAsia" w:eastAsiaTheme="majorEastAsia" w:cstheme="majorEastAsia"/>
                <w:color w:val="auto"/>
                <w:sz w:val="21"/>
                <w:szCs w:val="21"/>
                <w:highlight w:val="none"/>
              </w:rPr>
            </w:pPr>
          </w:p>
        </w:tc>
        <w:tc>
          <w:tcPr>
            <w:tcW w:w="9087" w:type="dxa"/>
            <w:vAlign w:val="center"/>
          </w:tcPr>
          <w:p w14:paraId="0900B0AB">
            <w:pPr>
              <w:snapToGrid w:val="0"/>
              <w:spacing w:line="24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6</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光感：感应熄屏；</w:t>
            </w:r>
          </w:p>
        </w:tc>
        <w:tc>
          <w:tcPr>
            <w:tcW w:w="700" w:type="dxa"/>
            <w:vMerge w:val="continue"/>
            <w:vAlign w:val="center"/>
          </w:tcPr>
          <w:p w14:paraId="6D2CD9A7">
            <w:pPr>
              <w:snapToGrid w:val="0"/>
              <w:spacing w:line="240" w:lineRule="auto"/>
              <w:jc w:val="center"/>
              <w:rPr>
                <w:rFonts w:hint="eastAsia" w:asciiTheme="majorEastAsia" w:hAnsiTheme="majorEastAsia" w:eastAsiaTheme="majorEastAsia" w:cstheme="majorEastAsia"/>
                <w:color w:val="auto"/>
                <w:sz w:val="21"/>
                <w:szCs w:val="21"/>
                <w:highlight w:val="none"/>
              </w:rPr>
            </w:pPr>
          </w:p>
        </w:tc>
      </w:tr>
      <w:tr w14:paraId="0675A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3" w:type="dxa"/>
            <w:vMerge w:val="continue"/>
            <w:vAlign w:val="center"/>
          </w:tcPr>
          <w:p w14:paraId="4614C29A">
            <w:pPr>
              <w:snapToGrid w:val="0"/>
              <w:spacing w:line="240" w:lineRule="auto"/>
              <w:rPr>
                <w:rFonts w:hint="eastAsia" w:asciiTheme="majorEastAsia" w:hAnsiTheme="majorEastAsia" w:eastAsiaTheme="majorEastAsia" w:cstheme="majorEastAsia"/>
                <w:color w:val="auto"/>
                <w:sz w:val="21"/>
                <w:szCs w:val="21"/>
                <w:highlight w:val="none"/>
              </w:rPr>
            </w:pPr>
          </w:p>
        </w:tc>
        <w:tc>
          <w:tcPr>
            <w:tcW w:w="888" w:type="dxa"/>
            <w:vMerge w:val="continue"/>
            <w:vAlign w:val="center"/>
          </w:tcPr>
          <w:p w14:paraId="42C6834F">
            <w:pPr>
              <w:snapToGrid w:val="0"/>
              <w:spacing w:line="240" w:lineRule="auto"/>
              <w:rPr>
                <w:rFonts w:hint="eastAsia" w:asciiTheme="majorEastAsia" w:hAnsiTheme="majorEastAsia" w:eastAsiaTheme="majorEastAsia" w:cstheme="majorEastAsia"/>
                <w:color w:val="auto"/>
                <w:sz w:val="21"/>
                <w:szCs w:val="21"/>
                <w:highlight w:val="none"/>
              </w:rPr>
            </w:pPr>
          </w:p>
        </w:tc>
        <w:tc>
          <w:tcPr>
            <w:tcW w:w="9087" w:type="dxa"/>
            <w:vAlign w:val="center"/>
          </w:tcPr>
          <w:p w14:paraId="77BBED7B">
            <w:pPr>
              <w:snapToGrid w:val="0"/>
              <w:spacing w:line="240" w:lineRule="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7</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支持蓝牙连接和USB接口，≥2个USB2.0</w:t>
            </w:r>
            <w:r>
              <w:rPr>
                <w:rFonts w:hint="eastAsia" w:asciiTheme="majorEastAsia" w:hAnsiTheme="majorEastAsia" w:eastAsiaTheme="majorEastAsia" w:cstheme="majorEastAsia"/>
                <w:color w:val="auto"/>
                <w:sz w:val="21"/>
                <w:szCs w:val="21"/>
                <w:highlight w:val="none"/>
                <w:lang w:eastAsia="zh-CN"/>
              </w:rPr>
              <w:t>；</w:t>
            </w:r>
          </w:p>
        </w:tc>
        <w:tc>
          <w:tcPr>
            <w:tcW w:w="700" w:type="dxa"/>
            <w:vMerge w:val="continue"/>
            <w:vAlign w:val="center"/>
          </w:tcPr>
          <w:p w14:paraId="225E23BB">
            <w:pPr>
              <w:snapToGrid w:val="0"/>
              <w:spacing w:line="240" w:lineRule="auto"/>
              <w:jc w:val="center"/>
              <w:rPr>
                <w:rFonts w:hint="eastAsia" w:asciiTheme="majorEastAsia" w:hAnsiTheme="majorEastAsia" w:eastAsiaTheme="majorEastAsia" w:cstheme="majorEastAsia"/>
                <w:color w:val="auto"/>
                <w:sz w:val="21"/>
                <w:szCs w:val="21"/>
                <w:highlight w:val="none"/>
              </w:rPr>
            </w:pPr>
          </w:p>
        </w:tc>
      </w:tr>
      <w:tr w14:paraId="3C745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3" w:type="dxa"/>
            <w:vMerge w:val="continue"/>
            <w:vAlign w:val="center"/>
          </w:tcPr>
          <w:p w14:paraId="31EE8D84">
            <w:pPr>
              <w:snapToGrid w:val="0"/>
              <w:spacing w:line="240" w:lineRule="auto"/>
              <w:rPr>
                <w:rFonts w:hint="eastAsia" w:asciiTheme="majorEastAsia" w:hAnsiTheme="majorEastAsia" w:eastAsiaTheme="majorEastAsia" w:cstheme="majorEastAsia"/>
                <w:color w:val="auto"/>
                <w:sz w:val="21"/>
                <w:szCs w:val="21"/>
                <w:highlight w:val="none"/>
              </w:rPr>
            </w:pPr>
          </w:p>
        </w:tc>
        <w:tc>
          <w:tcPr>
            <w:tcW w:w="888" w:type="dxa"/>
            <w:vMerge w:val="continue"/>
            <w:vAlign w:val="center"/>
          </w:tcPr>
          <w:p w14:paraId="55BE8314">
            <w:pPr>
              <w:snapToGrid w:val="0"/>
              <w:spacing w:line="240" w:lineRule="auto"/>
              <w:rPr>
                <w:rFonts w:hint="eastAsia" w:asciiTheme="majorEastAsia" w:hAnsiTheme="majorEastAsia" w:eastAsiaTheme="majorEastAsia" w:cstheme="majorEastAsia"/>
                <w:color w:val="auto"/>
                <w:sz w:val="21"/>
                <w:szCs w:val="21"/>
                <w:highlight w:val="none"/>
              </w:rPr>
            </w:pPr>
          </w:p>
        </w:tc>
        <w:tc>
          <w:tcPr>
            <w:tcW w:w="9087" w:type="dxa"/>
            <w:vAlign w:val="center"/>
          </w:tcPr>
          <w:p w14:paraId="2C50144D">
            <w:pPr>
              <w:snapToGrid w:val="0"/>
              <w:spacing w:line="24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8、</w:t>
            </w:r>
            <w:r>
              <w:rPr>
                <w:rFonts w:hint="eastAsia" w:asciiTheme="majorEastAsia" w:hAnsiTheme="majorEastAsia" w:eastAsiaTheme="majorEastAsia" w:cstheme="majorEastAsia"/>
                <w:color w:val="auto"/>
                <w:sz w:val="21"/>
                <w:szCs w:val="21"/>
                <w:highlight w:val="none"/>
              </w:rPr>
              <w:t>CPU：主频≥1.8GHz，核心≥4核，内存：RAM≥2G,ROM≥16G</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分辨率：≥1920×1080</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对比度：≥1000:1</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亮度：≥250cd/m2</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前置摄像头：≥200万像素。</w:t>
            </w:r>
          </w:p>
        </w:tc>
        <w:tc>
          <w:tcPr>
            <w:tcW w:w="700" w:type="dxa"/>
            <w:vMerge w:val="continue"/>
            <w:vAlign w:val="center"/>
          </w:tcPr>
          <w:p w14:paraId="4288776C">
            <w:pPr>
              <w:snapToGrid w:val="0"/>
              <w:spacing w:line="240" w:lineRule="auto"/>
              <w:jc w:val="center"/>
              <w:rPr>
                <w:rFonts w:hint="eastAsia" w:asciiTheme="majorEastAsia" w:hAnsiTheme="majorEastAsia" w:eastAsiaTheme="majorEastAsia" w:cstheme="majorEastAsia"/>
                <w:color w:val="auto"/>
                <w:sz w:val="21"/>
                <w:szCs w:val="21"/>
                <w:highlight w:val="none"/>
              </w:rPr>
            </w:pPr>
          </w:p>
        </w:tc>
      </w:tr>
      <w:tr w14:paraId="0CA84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3" w:type="dxa"/>
            <w:vMerge w:val="restart"/>
            <w:vAlign w:val="center"/>
          </w:tcPr>
          <w:p w14:paraId="7ED0D278">
            <w:pPr>
              <w:snapToGrid w:val="0"/>
              <w:spacing w:line="24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5</w:t>
            </w:r>
          </w:p>
        </w:tc>
        <w:tc>
          <w:tcPr>
            <w:tcW w:w="888" w:type="dxa"/>
            <w:vMerge w:val="restart"/>
            <w:vAlign w:val="center"/>
          </w:tcPr>
          <w:p w14:paraId="54F008B6">
            <w:pPr>
              <w:snapToGrid w:val="0"/>
              <w:spacing w:line="24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手持PDA</w:t>
            </w:r>
          </w:p>
        </w:tc>
        <w:tc>
          <w:tcPr>
            <w:tcW w:w="9087" w:type="dxa"/>
            <w:vAlign w:val="center"/>
          </w:tcPr>
          <w:p w14:paraId="10380178">
            <w:pPr>
              <w:snapToGrid w:val="0"/>
              <w:spacing w:line="240" w:lineRule="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1、CPU处理器平台：八核处理器及以上，频率≥2.0GHz；</w:t>
            </w:r>
          </w:p>
        </w:tc>
        <w:tc>
          <w:tcPr>
            <w:tcW w:w="700" w:type="dxa"/>
            <w:vMerge w:val="restart"/>
            <w:vAlign w:val="center"/>
          </w:tcPr>
          <w:p w14:paraId="6AD3D5B6">
            <w:pPr>
              <w:snapToGrid w:val="0"/>
              <w:spacing w:line="240" w:lineRule="auto"/>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按需</w:t>
            </w:r>
          </w:p>
        </w:tc>
      </w:tr>
      <w:tr w14:paraId="3D6CC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623" w:type="dxa"/>
            <w:vMerge w:val="continue"/>
            <w:vAlign w:val="center"/>
          </w:tcPr>
          <w:p w14:paraId="32059F00">
            <w:pPr>
              <w:snapToGrid w:val="0"/>
              <w:spacing w:line="240" w:lineRule="auto"/>
              <w:rPr>
                <w:rFonts w:hint="eastAsia" w:asciiTheme="majorEastAsia" w:hAnsiTheme="majorEastAsia" w:eastAsiaTheme="majorEastAsia" w:cstheme="majorEastAsia"/>
                <w:sz w:val="21"/>
                <w:szCs w:val="21"/>
              </w:rPr>
            </w:pPr>
          </w:p>
        </w:tc>
        <w:tc>
          <w:tcPr>
            <w:tcW w:w="888" w:type="dxa"/>
            <w:vMerge w:val="continue"/>
            <w:vAlign w:val="center"/>
          </w:tcPr>
          <w:p w14:paraId="617D151F">
            <w:pPr>
              <w:snapToGrid w:val="0"/>
              <w:spacing w:line="240" w:lineRule="auto"/>
              <w:rPr>
                <w:rFonts w:hint="eastAsia" w:asciiTheme="majorEastAsia" w:hAnsiTheme="majorEastAsia" w:eastAsiaTheme="majorEastAsia" w:cstheme="majorEastAsia"/>
                <w:sz w:val="21"/>
                <w:szCs w:val="21"/>
              </w:rPr>
            </w:pPr>
          </w:p>
        </w:tc>
        <w:tc>
          <w:tcPr>
            <w:tcW w:w="9087" w:type="dxa"/>
            <w:vAlign w:val="center"/>
          </w:tcPr>
          <w:p w14:paraId="290701FC">
            <w:pPr>
              <w:snapToGrid w:val="0"/>
              <w:spacing w:line="24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2、存储器：RAM：≥4GB；ROM：≥64GB；</w:t>
            </w:r>
          </w:p>
        </w:tc>
        <w:tc>
          <w:tcPr>
            <w:tcW w:w="700" w:type="dxa"/>
            <w:vMerge w:val="continue"/>
            <w:vAlign w:val="center"/>
          </w:tcPr>
          <w:p w14:paraId="764F9BDC">
            <w:pPr>
              <w:snapToGrid w:val="0"/>
              <w:spacing w:line="240" w:lineRule="auto"/>
              <w:jc w:val="center"/>
              <w:rPr>
                <w:rFonts w:hint="eastAsia" w:asciiTheme="majorEastAsia" w:hAnsiTheme="majorEastAsia" w:eastAsiaTheme="majorEastAsia" w:cstheme="majorEastAsia"/>
                <w:color w:val="auto"/>
                <w:sz w:val="21"/>
                <w:szCs w:val="21"/>
                <w:highlight w:val="none"/>
              </w:rPr>
            </w:pPr>
          </w:p>
        </w:tc>
      </w:tr>
      <w:tr w14:paraId="6FB4A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623" w:type="dxa"/>
            <w:vMerge w:val="continue"/>
            <w:vAlign w:val="center"/>
          </w:tcPr>
          <w:p w14:paraId="63923775">
            <w:pPr>
              <w:snapToGrid w:val="0"/>
              <w:spacing w:line="240" w:lineRule="auto"/>
              <w:rPr>
                <w:rFonts w:hint="eastAsia" w:asciiTheme="majorEastAsia" w:hAnsiTheme="majorEastAsia" w:eastAsiaTheme="majorEastAsia" w:cstheme="majorEastAsia"/>
                <w:color w:val="auto"/>
                <w:sz w:val="21"/>
                <w:szCs w:val="21"/>
                <w:highlight w:val="none"/>
              </w:rPr>
            </w:pPr>
          </w:p>
        </w:tc>
        <w:tc>
          <w:tcPr>
            <w:tcW w:w="888" w:type="dxa"/>
            <w:vMerge w:val="continue"/>
            <w:vAlign w:val="center"/>
          </w:tcPr>
          <w:p w14:paraId="33E74EF2">
            <w:pPr>
              <w:snapToGrid w:val="0"/>
              <w:spacing w:line="240" w:lineRule="auto"/>
              <w:rPr>
                <w:rFonts w:hint="eastAsia" w:asciiTheme="majorEastAsia" w:hAnsiTheme="majorEastAsia" w:eastAsiaTheme="majorEastAsia" w:cstheme="majorEastAsia"/>
                <w:color w:val="auto"/>
                <w:sz w:val="21"/>
                <w:szCs w:val="21"/>
                <w:highlight w:val="none"/>
              </w:rPr>
            </w:pPr>
          </w:p>
        </w:tc>
        <w:tc>
          <w:tcPr>
            <w:tcW w:w="9087" w:type="dxa"/>
            <w:vAlign w:val="center"/>
          </w:tcPr>
          <w:p w14:paraId="28BB8E54">
            <w:pPr>
              <w:snapToGrid w:val="0"/>
              <w:spacing w:line="24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3、操作系统：≥Android 9.0；</w:t>
            </w:r>
          </w:p>
        </w:tc>
        <w:tc>
          <w:tcPr>
            <w:tcW w:w="700" w:type="dxa"/>
            <w:vMerge w:val="continue"/>
            <w:vAlign w:val="center"/>
          </w:tcPr>
          <w:p w14:paraId="4C61EFD5">
            <w:pPr>
              <w:snapToGrid w:val="0"/>
              <w:spacing w:line="240" w:lineRule="auto"/>
              <w:jc w:val="center"/>
              <w:rPr>
                <w:rFonts w:hint="eastAsia" w:asciiTheme="majorEastAsia" w:hAnsiTheme="majorEastAsia" w:eastAsiaTheme="majorEastAsia" w:cstheme="majorEastAsia"/>
                <w:color w:val="auto"/>
                <w:sz w:val="21"/>
                <w:szCs w:val="21"/>
                <w:highlight w:val="none"/>
              </w:rPr>
            </w:pPr>
          </w:p>
        </w:tc>
      </w:tr>
      <w:tr w14:paraId="7A0E8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623" w:type="dxa"/>
            <w:vMerge w:val="continue"/>
            <w:vAlign w:val="center"/>
          </w:tcPr>
          <w:p w14:paraId="6A6C0351">
            <w:pPr>
              <w:snapToGrid w:val="0"/>
              <w:spacing w:line="240" w:lineRule="auto"/>
              <w:rPr>
                <w:rFonts w:hint="eastAsia" w:asciiTheme="majorEastAsia" w:hAnsiTheme="majorEastAsia" w:eastAsiaTheme="majorEastAsia" w:cstheme="majorEastAsia"/>
                <w:color w:val="auto"/>
                <w:sz w:val="21"/>
                <w:szCs w:val="21"/>
                <w:highlight w:val="none"/>
              </w:rPr>
            </w:pPr>
          </w:p>
        </w:tc>
        <w:tc>
          <w:tcPr>
            <w:tcW w:w="888" w:type="dxa"/>
            <w:vMerge w:val="continue"/>
            <w:vAlign w:val="center"/>
          </w:tcPr>
          <w:p w14:paraId="6284A13E">
            <w:pPr>
              <w:snapToGrid w:val="0"/>
              <w:spacing w:line="240" w:lineRule="auto"/>
              <w:rPr>
                <w:rFonts w:hint="eastAsia" w:asciiTheme="majorEastAsia" w:hAnsiTheme="majorEastAsia" w:eastAsiaTheme="majorEastAsia" w:cstheme="majorEastAsia"/>
                <w:color w:val="auto"/>
                <w:sz w:val="21"/>
                <w:szCs w:val="21"/>
                <w:highlight w:val="none"/>
              </w:rPr>
            </w:pPr>
          </w:p>
        </w:tc>
        <w:tc>
          <w:tcPr>
            <w:tcW w:w="9087" w:type="dxa"/>
            <w:vAlign w:val="center"/>
          </w:tcPr>
          <w:p w14:paraId="22C5B690">
            <w:pPr>
              <w:snapToGrid w:val="0"/>
              <w:spacing w:line="24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4、触摸屏：屏幕大小：≥5.5，支持戴手套/带水触摸，分辨率支持：≥720×1280；</w:t>
            </w:r>
          </w:p>
        </w:tc>
        <w:tc>
          <w:tcPr>
            <w:tcW w:w="700" w:type="dxa"/>
            <w:vMerge w:val="continue"/>
            <w:vAlign w:val="center"/>
          </w:tcPr>
          <w:p w14:paraId="6641BC32">
            <w:pPr>
              <w:snapToGrid w:val="0"/>
              <w:spacing w:line="240" w:lineRule="auto"/>
              <w:jc w:val="center"/>
              <w:rPr>
                <w:rFonts w:hint="eastAsia" w:asciiTheme="majorEastAsia" w:hAnsiTheme="majorEastAsia" w:eastAsiaTheme="majorEastAsia" w:cstheme="majorEastAsia"/>
                <w:color w:val="auto"/>
                <w:sz w:val="21"/>
                <w:szCs w:val="21"/>
                <w:highlight w:val="none"/>
              </w:rPr>
            </w:pPr>
          </w:p>
        </w:tc>
      </w:tr>
      <w:tr w14:paraId="09EB6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623" w:type="dxa"/>
            <w:vMerge w:val="continue"/>
            <w:vAlign w:val="center"/>
          </w:tcPr>
          <w:p w14:paraId="1A3569E5">
            <w:pPr>
              <w:snapToGrid w:val="0"/>
              <w:spacing w:line="240" w:lineRule="auto"/>
              <w:rPr>
                <w:rFonts w:hint="eastAsia" w:asciiTheme="majorEastAsia" w:hAnsiTheme="majorEastAsia" w:eastAsiaTheme="majorEastAsia" w:cstheme="majorEastAsia"/>
                <w:color w:val="auto"/>
                <w:sz w:val="21"/>
                <w:szCs w:val="21"/>
                <w:highlight w:val="none"/>
              </w:rPr>
            </w:pPr>
          </w:p>
        </w:tc>
        <w:tc>
          <w:tcPr>
            <w:tcW w:w="888" w:type="dxa"/>
            <w:vMerge w:val="continue"/>
            <w:vAlign w:val="center"/>
          </w:tcPr>
          <w:p w14:paraId="359ED457">
            <w:pPr>
              <w:snapToGrid w:val="0"/>
              <w:spacing w:line="240" w:lineRule="auto"/>
              <w:rPr>
                <w:rFonts w:hint="eastAsia" w:asciiTheme="majorEastAsia" w:hAnsiTheme="majorEastAsia" w:eastAsiaTheme="majorEastAsia" w:cstheme="majorEastAsia"/>
                <w:color w:val="auto"/>
                <w:sz w:val="21"/>
                <w:szCs w:val="21"/>
                <w:highlight w:val="none"/>
              </w:rPr>
            </w:pPr>
          </w:p>
        </w:tc>
        <w:tc>
          <w:tcPr>
            <w:tcW w:w="9087" w:type="dxa"/>
            <w:vAlign w:val="center"/>
          </w:tcPr>
          <w:p w14:paraId="440634DE">
            <w:pPr>
              <w:snapToGrid w:val="0"/>
              <w:spacing w:line="24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5、电池：≥4000mAh锂离子充电电池</w:t>
            </w:r>
            <w:r>
              <w:rPr>
                <w:rFonts w:hint="eastAsia" w:asciiTheme="majorEastAsia" w:hAnsiTheme="majorEastAsia" w:eastAsiaTheme="majorEastAsia" w:cstheme="majorEastAsia"/>
                <w:color w:val="auto"/>
                <w:sz w:val="21"/>
                <w:szCs w:val="21"/>
                <w:highlight w:val="none"/>
                <w:lang w:eastAsia="zh-CN"/>
              </w:rPr>
              <w:t>；</w:t>
            </w:r>
          </w:p>
        </w:tc>
        <w:tc>
          <w:tcPr>
            <w:tcW w:w="700" w:type="dxa"/>
            <w:vMerge w:val="continue"/>
            <w:vAlign w:val="center"/>
          </w:tcPr>
          <w:p w14:paraId="0BC6ABD6">
            <w:pPr>
              <w:snapToGrid w:val="0"/>
              <w:spacing w:line="240" w:lineRule="auto"/>
              <w:jc w:val="center"/>
              <w:rPr>
                <w:rFonts w:hint="eastAsia" w:asciiTheme="majorEastAsia" w:hAnsiTheme="majorEastAsia" w:eastAsiaTheme="majorEastAsia" w:cstheme="majorEastAsia"/>
                <w:color w:val="auto"/>
                <w:sz w:val="21"/>
                <w:szCs w:val="21"/>
                <w:highlight w:val="none"/>
              </w:rPr>
            </w:pPr>
          </w:p>
        </w:tc>
      </w:tr>
      <w:tr w14:paraId="4430D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623" w:type="dxa"/>
            <w:vMerge w:val="continue"/>
            <w:vAlign w:val="center"/>
          </w:tcPr>
          <w:p w14:paraId="0F7330A8">
            <w:pPr>
              <w:snapToGrid w:val="0"/>
              <w:spacing w:line="240" w:lineRule="auto"/>
              <w:rPr>
                <w:rFonts w:hint="eastAsia" w:asciiTheme="majorEastAsia" w:hAnsiTheme="majorEastAsia" w:eastAsiaTheme="majorEastAsia" w:cstheme="majorEastAsia"/>
                <w:color w:val="auto"/>
                <w:sz w:val="21"/>
                <w:szCs w:val="21"/>
                <w:highlight w:val="none"/>
              </w:rPr>
            </w:pPr>
          </w:p>
        </w:tc>
        <w:tc>
          <w:tcPr>
            <w:tcW w:w="888" w:type="dxa"/>
            <w:vMerge w:val="continue"/>
            <w:vAlign w:val="center"/>
          </w:tcPr>
          <w:p w14:paraId="00F79D4F">
            <w:pPr>
              <w:snapToGrid w:val="0"/>
              <w:spacing w:line="240" w:lineRule="auto"/>
              <w:rPr>
                <w:rFonts w:hint="eastAsia" w:asciiTheme="majorEastAsia" w:hAnsiTheme="majorEastAsia" w:eastAsiaTheme="majorEastAsia" w:cstheme="majorEastAsia"/>
                <w:color w:val="auto"/>
                <w:sz w:val="21"/>
                <w:szCs w:val="21"/>
                <w:highlight w:val="none"/>
              </w:rPr>
            </w:pPr>
          </w:p>
        </w:tc>
        <w:tc>
          <w:tcPr>
            <w:tcW w:w="9087" w:type="dxa"/>
            <w:vAlign w:val="center"/>
          </w:tcPr>
          <w:p w14:paraId="0AA9FAF2">
            <w:pPr>
              <w:snapToGrid w:val="0"/>
              <w:spacing w:line="24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6、蓝牙：蓝牙4.0或以上</w:t>
            </w:r>
            <w:r>
              <w:rPr>
                <w:rFonts w:hint="eastAsia" w:asciiTheme="majorEastAsia" w:hAnsiTheme="majorEastAsia" w:eastAsiaTheme="majorEastAsia" w:cstheme="majorEastAsia"/>
                <w:color w:val="auto"/>
                <w:sz w:val="21"/>
                <w:szCs w:val="21"/>
                <w:highlight w:val="none"/>
                <w:lang w:eastAsia="zh-CN"/>
              </w:rPr>
              <w:t>；</w:t>
            </w:r>
          </w:p>
        </w:tc>
        <w:tc>
          <w:tcPr>
            <w:tcW w:w="700" w:type="dxa"/>
            <w:vMerge w:val="continue"/>
            <w:vAlign w:val="center"/>
          </w:tcPr>
          <w:p w14:paraId="7E0A6CC1">
            <w:pPr>
              <w:snapToGrid w:val="0"/>
              <w:spacing w:line="240" w:lineRule="auto"/>
              <w:jc w:val="center"/>
              <w:rPr>
                <w:rFonts w:hint="eastAsia" w:asciiTheme="majorEastAsia" w:hAnsiTheme="majorEastAsia" w:eastAsiaTheme="majorEastAsia" w:cstheme="majorEastAsia"/>
                <w:color w:val="auto"/>
                <w:sz w:val="21"/>
                <w:szCs w:val="21"/>
                <w:highlight w:val="none"/>
              </w:rPr>
            </w:pPr>
          </w:p>
        </w:tc>
      </w:tr>
      <w:tr w14:paraId="7C0D2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623" w:type="dxa"/>
            <w:vMerge w:val="continue"/>
            <w:vAlign w:val="center"/>
          </w:tcPr>
          <w:p w14:paraId="3B601882">
            <w:pPr>
              <w:snapToGrid w:val="0"/>
              <w:spacing w:line="240" w:lineRule="auto"/>
              <w:rPr>
                <w:rFonts w:hint="eastAsia" w:asciiTheme="majorEastAsia" w:hAnsiTheme="majorEastAsia" w:eastAsiaTheme="majorEastAsia" w:cstheme="majorEastAsia"/>
                <w:color w:val="auto"/>
                <w:sz w:val="21"/>
                <w:szCs w:val="21"/>
                <w:highlight w:val="none"/>
              </w:rPr>
            </w:pPr>
          </w:p>
        </w:tc>
        <w:tc>
          <w:tcPr>
            <w:tcW w:w="888" w:type="dxa"/>
            <w:vMerge w:val="continue"/>
            <w:vAlign w:val="center"/>
          </w:tcPr>
          <w:p w14:paraId="17EEA943">
            <w:pPr>
              <w:snapToGrid w:val="0"/>
              <w:spacing w:line="240" w:lineRule="auto"/>
              <w:rPr>
                <w:rFonts w:hint="eastAsia" w:asciiTheme="majorEastAsia" w:hAnsiTheme="majorEastAsia" w:eastAsiaTheme="majorEastAsia" w:cstheme="majorEastAsia"/>
                <w:color w:val="auto"/>
                <w:sz w:val="21"/>
                <w:szCs w:val="21"/>
                <w:highlight w:val="none"/>
              </w:rPr>
            </w:pPr>
          </w:p>
        </w:tc>
        <w:tc>
          <w:tcPr>
            <w:tcW w:w="9087" w:type="dxa"/>
            <w:vAlign w:val="center"/>
          </w:tcPr>
          <w:p w14:paraId="65E0F944">
            <w:pPr>
              <w:snapToGrid w:val="0"/>
              <w:spacing w:line="24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7、通信制式：支持4G 全网通,向下兼容3G、2G网络</w:t>
            </w:r>
            <w:r>
              <w:rPr>
                <w:rFonts w:hint="eastAsia" w:asciiTheme="majorEastAsia" w:hAnsiTheme="majorEastAsia" w:eastAsiaTheme="majorEastAsia" w:cstheme="majorEastAsia"/>
                <w:color w:val="auto"/>
                <w:sz w:val="21"/>
                <w:szCs w:val="21"/>
                <w:highlight w:val="none"/>
                <w:lang w:eastAsia="zh-CN"/>
              </w:rPr>
              <w:t>；</w:t>
            </w:r>
          </w:p>
        </w:tc>
        <w:tc>
          <w:tcPr>
            <w:tcW w:w="700" w:type="dxa"/>
            <w:vMerge w:val="continue"/>
            <w:vAlign w:val="center"/>
          </w:tcPr>
          <w:p w14:paraId="0963E4D5">
            <w:pPr>
              <w:snapToGrid w:val="0"/>
              <w:spacing w:line="240" w:lineRule="auto"/>
              <w:jc w:val="center"/>
              <w:rPr>
                <w:rFonts w:hint="eastAsia" w:asciiTheme="majorEastAsia" w:hAnsiTheme="majorEastAsia" w:eastAsiaTheme="majorEastAsia" w:cstheme="majorEastAsia"/>
                <w:color w:val="auto"/>
                <w:sz w:val="21"/>
                <w:szCs w:val="21"/>
                <w:highlight w:val="none"/>
              </w:rPr>
            </w:pPr>
          </w:p>
        </w:tc>
      </w:tr>
      <w:tr w14:paraId="38B64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623" w:type="dxa"/>
            <w:vMerge w:val="continue"/>
            <w:vAlign w:val="center"/>
          </w:tcPr>
          <w:p w14:paraId="5A5CB21C">
            <w:pPr>
              <w:snapToGrid w:val="0"/>
              <w:spacing w:line="240" w:lineRule="auto"/>
              <w:rPr>
                <w:rFonts w:hint="eastAsia" w:asciiTheme="majorEastAsia" w:hAnsiTheme="majorEastAsia" w:eastAsiaTheme="majorEastAsia" w:cstheme="majorEastAsia"/>
                <w:color w:val="auto"/>
                <w:sz w:val="21"/>
                <w:szCs w:val="21"/>
                <w:highlight w:val="none"/>
              </w:rPr>
            </w:pPr>
          </w:p>
        </w:tc>
        <w:tc>
          <w:tcPr>
            <w:tcW w:w="888" w:type="dxa"/>
            <w:vMerge w:val="continue"/>
            <w:vAlign w:val="center"/>
          </w:tcPr>
          <w:p w14:paraId="427943AE">
            <w:pPr>
              <w:snapToGrid w:val="0"/>
              <w:spacing w:line="240" w:lineRule="auto"/>
              <w:rPr>
                <w:rFonts w:hint="eastAsia" w:asciiTheme="majorEastAsia" w:hAnsiTheme="majorEastAsia" w:eastAsiaTheme="majorEastAsia" w:cstheme="majorEastAsia"/>
                <w:color w:val="auto"/>
                <w:sz w:val="21"/>
                <w:szCs w:val="21"/>
                <w:highlight w:val="none"/>
              </w:rPr>
            </w:pPr>
          </w:p>
        </w:tc>
        <w:tc>
          <w:tcPr>
            <w:tcW w:w="9087" w:type="dxa"/>
            <w:vAlign w:val="center"/>
          </w:tcPr>
          <w:p w14:paraId="6CB2038F">
            <w:pPr>
              <w:snapToGrid w:val="0"/>
              <w:spacing w:line="24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8、条码扫描：可读取国际通用一维条码和二维条码</w:t>
            </w:r>
            <w:r>
              <w:rPr>
                <w:rFonts w:hint="eastAsia" w:asciiTheme="majorEastAsia" w:hAnsiTheme="majorEastAsia" w:eastAsiaTheme="majorEastAsia" w:cstheme="majorEastAsia"/>
                <w:color w:val="auto"/>
                <w:sz w:val="21"/>
                <w:szCs w:val="21"/>
                <w:highlight w:val="none"/>
                <w:lang w:eastAsia="zh-CN"/>
              </w:rPr>
              <w:t>；</w:t>
            </w:r>
          </w:p>
        </w:tc>
        <w:tc>
          <w:tcPr>
            <w:tcW w:w="700" w:type="dxa"/>
            <w:vMerge w:val="continue"/>
            <w:vAlign w:val="center"/>
          </w:tcPr>
          <w:p w14:paraId="2A70B3A7">
            <w:pPr>
              <w:snapToGrid w:val="0"/>
              <w:spacing w:line="240" w:lineRule="auto"/>
              <w:jc w:val="center"/>
              <w:rPr>
                <w:rFonts w:hint="eastAsia" w:asciiTheme="majorEastAsia" w:hAnsiTheme="majorEastAsia" w:eastAsiaTheme="majorEastAsia" w:cstheme="majorEastAsia"/>
                <w:color w:val="auto"/>
                <w:sz w:val="21"/>
                <w:szCs w:val="21"/>
                <w:highlight w:val="none"/>
              </w:rPr>
            </w:pPr>
          </w:p>
        </w:tc>
      </w:tr>
      <w:tr w14:paraId="6D3EC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623" w:type="dxa"/>
            <w:vMerge w:val="continue"/>
            <w:vAlign w:val="center"/>
          </w:tcPr>
          <w:p w14:paraId="39E0837F">
            <w:pPr>
              <w:snapToGrid w:val="0"/>
              <w:spacing w:line="240" w:lineRule="auto"/>
              <w:rPr>
                <w:rFonts w:hint="eastAsia" w:asciiTheme="majorEastAsia" w:hAnsiTheme="majorEastAsia" w:eastAsiaTheme="majorEastAsia" w:cstheme="majorEastAsia"/>
                <w:color w:val="auto"/>
                <w:sz w:val="21"/>
                <w:szCs w:val="21"/>
                <w:highlight w:val="none"/>
              </w:rPr>
            </w:pPr>
          </w:p>
        </w:tc>
        <w:tc>
          <w:tcPr>
            <w:tcW w:w="888" w:type="dxa"/>
            <w:vMerge w:val="continue"/>
            <w:vAlign w:val="center"/>
          </w:tcPr>
          <w:p w14:paraId="16FAEF91">
            <w:pPr>
              <w:snapToGrid w:val="0"/>
              <w:spacing w:line="240" w:lineRule="auto"/>
              <w:rPr>
                <w:rFonts w:hint="eastAsia" w:asciiTheme="majorEastAsia" w:hAnsiTheme="majorEastAsia" w:eastAsiaTheme="majorEastAsia" w:cstheme="majorEastAsia"/>
                <w:color w:val="auto"/>
                <w:sz w:val="21"/>
                <w:szCs w:val="21"/>
                <w:highlight w:val="none"/>
              </w:rPr>
            </w:pPr>
          </w:p>
        </w:tc>
        <w:tc>
          <w:tcPr>
            <w:tcW w:w="9087" w:type="dxa"/>
            <w:vAlign w:val="center"/>
          </w:tcPr>
          <w:p w14:paraId="4BF481A9">
            <w:pPr>
              <w:snapToGrid w:val="0"/>
              <w:spacing w:line="240" w:lineRule="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9、防水防尘工业等级≥IP65</w:t>
            </w:r>
            <w:r>
              <w:rPr>
                <w:rFonts w:hint="eastAsia" w:asciiTheme="majorEastAsia" w:hAnsiTheme="majorEastAsia" w:eastAsiaTheme="majorEastAsia" w:cstheme="majorEastAsia"/>
                <w:color w:val="auto"/>
                <w:sz w:val="21"/>
                <w:szCs w:val="21"/>
                <w:highlight w:val="none"/>
                <w:lang w:eastAsia="zh-CN"/>
              </w:rPr>
              <w:t>。</w:t>
            </w:r>
          </w:p>
        </w:tc>
        <w:tc>
          <w:tcPr>
            <w:tcW w:w="700" w:type="dxa"/>
            <w:vMerge w:val="continue"/>
            <w:vAlign w:val="center"/>
          </w:tcPr>
          <w:p w14:paraId="20492C63">
            <w:pPr>
              <w:snapToGrid w:val="0"/>
              <w:spacing w:line="240" w:lineRule="auto"/>
              <w:jc w:val="center"/>
              <w:rPr>
                <w:rFonts w:hint="eastAsia" w:asciiTheme="majorEastAsia" w:hAnsiTheme="majorEastAsia" w:eastAsiaTheme="majorEastAsia" w:cstheme="majorEastAsia"/>
                <w:color w:val="auto"/>
                <w:sz w:val="21"/>
                <w:szCs w:val="21"/>
                <w:highlight w:val="none"/>
              </w:rPr>
            </w:pPr>
          </w:p>
        </w:tc>
      </w:tr>
      <w:tr w14:paraId="10340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3" w:type="dxa"/>
            <w:vMerge w:val="restart"/>
            <w:vAlign w:val="center"/>
          </w:tcPr>
          <w:p w14:paraId="02A61095">
            <w:pPr>
              <w:snapToGrid w:val="0"/>
              <w:spacing w:line="24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6</w:t>
            </w:r>
          </w:p>
        </w:tc>
        <w:tc>
          <w:tcPr>
            <w:tcW w:w="888" w:type="dxa"/>
            <w:vMerge w:val="restart"/>
            <w:vAlign w:val="center"/>
          </w:tcPr>
          <w:p w14:paraId="5FA86393">
            <w:pPr>
              <w:snapToGrid w:val="0"/>
              <w:spacing w:line="24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高值耗材智能柜</w:t>
            </w:r>
          </w:p>
        </w:tc>
        <w:tc>
          <w:tcPr>
            <w:tcW w:w="9087" w:type="dxa"/>
            <w:vAlign w:val="center"/>
          </w:tcPr>
          <w:p w14:paraId="627ED9D5">
            <w:pPr>
              <w:snapToGrid w:val="0"/>
              <w:spacing w:line="240" w:lineRule="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1、主柜尺寸参照≥930mm（宽）*600mm(深)*1930mm(高)，副柜尺寸参照≥675mm（宽）*600mm(深)*1930mm(高)</w:t>
            </w:r>
            <w:r>
              <w:rPr>
                <w:rFonts w:hint="eastAsia" w:asciiTheme="majorEastAsia" w:hAnsiTheme="majorEastAsia" w:eastAsiaTheme="majorEastAsia" w:cstheme="majorEastAsia"/>
                <w:color w:val="auto"/>
                <w:sz w:val="21"/>
                <w:szCs w:val="21"/>
                <w:highlight w:val="none"/>
                <w:lang w:eastAsia="zh-CN"/>
              </w:rPr>
              <w:t>；</w:t>
            </w:r>
          </w:p>
        </w:tc>
        <w:tc>
          <w:tcPr>
            <w:tcW w:w="700" w:type="dxa"/>
            <w:vMerge w:val="restart"/>
            <w:vAlign w:val="center"/>
          </w:tcPr>
          <w:p w14:paraId="34784FEE">
            <w:pPr>
              <w:snapToGrid w:val="0"/>
              <w:spacing w:line="240" w:lineRule="auto"/>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按需</w:t>
            </w:r>
          </w:p>
        </w:tc>
      </w:tr>
      <w:tr w14:paraId="2275A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3" w:type="dxa"/>
            <w:vMerge w:val="continue"/>
            <w:vAlign w:val="center"/>
          </w:tcPr>
          <w:p w14:paraId="44E58015">
            <w:pPr>
              <w:snapToGrid w:val="0"/>
              <w:spacing w:line="240" w:lineRule="auto"/>
              <w:rPr>
                <w:rFonts w:hint="eastAsia" w:asciiTheme="majorEastAsia" w:hAnsiTheme="majorEastAsia" w:eastAsiaTheme="majorEastAsia" w:cstheme="majorEastAsia"/>
                <w:sz w:val="21"/>
                <w:szCs w:val="21"/>
              </w:rPr>
            </w:pPr>
          </w:p>
        </w:tc>
        <w:tc>
          <w:tcPr>
            <w:tcW w:w="888" w:type="dxa"/>
            <w:vMerge w:val="continue"/>
            <w:vAlign w:val="center"/>
          </w:tcPr>
          <w:p w14:paraId="57695D71">
            <w:pPr>
              <w:snapToGrid w:val="0"/>
              <w:spacing w:line="240" w:lineRule="auto"/>
              <w:rPr>
                <w:rFonts w:hint="eastAsia" w:asciiTheme="majorEastAsia" w:hAnsiTheme="majorEastAsia" w:eastAsiaTheme="majorEastAsia" w:cstheme="majorEastAsia"/>
                <w:sz w:val="21"/>
                <w:szCs w:val="21"/>
              </w:rPr>
            </w:pPr>
          </w:p>
        </w:tc>
        <w:tc>
          <w:tcPr>
            <w:tcW w:w="9087" w:type="dxa"/>
            <w:vAlign w:val="center"/>
          </w:tcPr>
          <w:p w14:paraId="285AEDAB">
            <w:pPr>
              <w:snapToGrid w:val="0"/>
              <w:spacing w:line="24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2、RFID标签符合标准：ISO 18000-6C；识读频率：860MHZ～960MHZ</w:t>
            </w:r>
            <w:r>
              <w:rPr>
                <w:rFonts w:hint="eastAsia" w:asciiTheme="majorEastAsia" w:hAnsiTheme="majorEastAsia" w:eastAsiaTheme="majorEastAsia" w:cstheme="majorEastAsia"/>
                <w:color w:val="auto"/>
                <w:sz w:val="21"/>
                <w:szCs w:val="21"/>
                <w:highlight w:val="none"/>
                <w:lang w:eastAsia="zh-CN"/>
              </w:rPr>
              <w:t>；</w:t>
            </w:r>
          </w:p>
        </w:tc>
        <w:tc>
          <w:tcPr>
            <w:tcW w:w="700" w:type="dxa"/>
            <w:vMerge w:val="continue"/>
            <w:vAlign w:val="center"/>
          </w:tcPr>
          <w:p w14:paraId="13899EC4">
            <w:pPr>
              <w:snapToGrid w:val="0"/>
              <w:spacing w:line="240" w:lineRule="auto"/>
              <w:rPr>
                <w:rFonts w:hint="eastAsia" w:asciiTheme="majorEastAsia" w:hAnsiTheme="majorEastAsia" w:eastAsiaTheme="majorEastAsia" w:cstheme="majorEastAsia"/>
                <w:color w:val="auto"/>
                <w:sz w:val="21"/>
                <w:szCs w:val="21"/>
                <w:highlight w:val="none"/>
              </w:rPr>
            </w:pPr>
          </w:p>
        </w:tc>
      </w:tr>
      <w:tr w14:paraId="3725A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3" w:type="dxa"/>
            <w:vMerge w:val="continue"/>
            <w:vAlign w:val="center"/>
          </w:tcPr>
          <w:p w14:paraId="53E0AFB6">
            <w:pPr>
              <w:snapToGrid w:val="0"/>
              <w:spacing w:line="240" w:lineRule="auto"/>
              <w:rPr>
                <w:rFonts w:hint="eastAsia" w:asciiTheme="majorEastAsia" w:hAnsiTheme="majorEastAsia" w:eastAsiaTheme="majorEastAsia" w:cstheme="majorEastAsia"/>
                <w:color w:val="auto"/>
                <w:sz w:val="21"/>
                <w:szCs w:val="21"/>
                <w:highlight w:val="none"/>
              </w:rPr>
            </w:pPr>
          </w:p>
        </w:tc>
        <w:tc>
          <w:tcPr>
            <w:tcW w:w="888" w:type="dxa"/>
            <w:vMerge w:val="continue"/>
            <w:vAlign w:val="center"/>
          </w:tcPr>
          <w:p w14:paraId="13C959D2">
            <w:pPr>
              <w:snapToGrid w:val="0"/>
              <w:spacing w:line="240" w:lineRule="auto"/>
              <w:rPr>
                <w:rFonts w:hint="eastAsia" w:asciiTheme="majorEastAsia" w:hAnsiTheme="majorEastAsia" w:eastAsiaTheme="majorEastAsia" w:cstheme="majorEastAsia"/>
                <w:color w:val="auto"/>
                <w:sz w:val="21"/>
                <w:szCs w:val="21"/>
                <w:highlight w:val="none"/>
              </w:rPr>
            </w:pPr>
          </w:p>
        </w:tc>
        <w:tc>
          <w:tcPr>
            <w:tcW w:w="9087" w:type="dxa"/>
            <w:vAlign w:val="center"/>
          </w:tcPr>
          <w:p w14:paraId="5E3D7219">
            <w:pPr>
              <w:snapToGrid w:val="0"/>
              <w:spacing w:line="24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b/>
                <w:bCs/>
                <w:color w:val="auto"/>
                <w:sz w:val="21"/>
                <w:szCs w:val="21"/>
                <w:highlight w:val="none"/>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Theme="majorEastAsia" w:hAnsiTheme="majorEastAsia" w:eastAsiaTheme="majorEastAsia" w:cstheme="majorEastAsia"/>
                <w:color w:val="auto"/>
                <w:sz w:val="21"/>
                <w:szCs w:val="21"/>
                <w:highlight w:val="none"/>
                <w:lang w:val="en-US" w:eastAsia="zh-CN"/>
              </w:rPr>
              <w:t>3</w:t>
            </w:r>
            <w:r>
              <w:rPr>
                <w:rFonts w:hint="eastAsia" w:asciiTheme="majorEastAsia" w:hAnsiTheme="majorEastAsia" w:eastAsiaTheme="majorEastAsia" w:cstheme="majorEastAsia"/>
                <w:color w:val="auto"/>
                <w:sz w:val="21"/>
                <w:szCs w:val="21"/>
                <w:highlight w:val="none"/>
              </w:rPr>
              <w:t>、支持智能化自动批量读取，智能柜</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600个标签扫描准确率≥99.99%</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b/>
                <w:bCs/>
                <w:color w:val="FF0000"/>
                <w:sz w:val="21"/>
                <w:szCs w:val="21"/>
                <w:highlight w:val="none"/>
                <w:lang w:eastAsia="zh-CN"/>
              </w:rPr>
              <w:t>（需提供第三方检测报告）</w:t>
            </w:r>
          </w:p>
        </w:tc>
        <w:tc>
          <w:tcPr>
            <w:tcW w:w="700" w:type="dxa"/>
            <w:vMerge w:val="continue"/>
            <w:vAlign w:val="center"/>
          </w:tcPr>
          <w:p w14:paraId="27D931E1">
            <w:pPr>
              <w:snapToGrid w:val="0"/>
              <w:spacing w:line="240" w:lineRule="auto"/>
              <w:rPr>
                <w:rFonts w:hint="eastAsia" w:asciiTheme="majorEastAsia" w:hAnsiTheme="majorEastAsia" w:eastAsiaTheme="majorEastAsia" w:cstheme="majorEastAsia"/>
                <w:color w:val="auto"/>
                <w:sz w:val="21"/>
                <w:szCs w:val="21"/>
                <w:highlight w:val="none"/>
              </w:rPr>
            </w:pPr>
          </w:p>
        </w:tc>
      </w:tr>
      <w:tr w14:paraId="07892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 w:hRule="atLeast"/>
          <w:jc w:val="center"/>
        </w:trPr>
        <w:tc>
          <w:tcPr>
            <w:tcW w:w="623" w:type="dxa"/>
            <w:vMerge w:val="continue"/>
            <w:vAlign w:val="center"/>
          </w:tcPr>
          <w:p w14:paraId="77D977E6">
            <w:pPr>
              <w:snapToGrid w:val="0"/>
              <w:spacing w:line="240" w:lineRule="auto"/>
              <w:rPr>
                <w:rFonts w:hint="eastAsia" w:asciiTheme="majorEastAsia" w:hAnsiTheme="majorEastAsia" w:eastAsiaTheme="majorEastAsia" w:cstheme="majorEastAsia"/>
                <w:color w:val="auto"/>
                <w:sz w:val="21"/>
                <w:szCs w:val="21"/>
                <w:highlight w:val="none"/>
              </w:rPr>
            </w:pPr>
          </w:p>
        </w:tc>
        <w:tc>
          <w:tcPr>
            <w:tcW w:w="888" w:type="dxa"/>
            <w:vMerge w:val="continue"/>
            <w:vAlign w:val="center"/>
          </w:tcPr>
          <w:p w14:paraId="46002B32">
            <w:pPr>
              <w:snapToGrid w:val="0"/>
              <w:spacing w:line="240" w:lineRule="auto"/>
              <w:rPr>
                <w:rFonts w:hint="eastAsia" w:asciiTheme="majorEastAsia" w:hAnsiTheme="majorEastAsia" w:eastAsiaTheme="majorEastAsia" w:cstheme="majorEastAsia"/>
                <w:color w:val="auto"/>
                <w:sz w:val="21"/>
                <w:szCs w:val="21"/>
                <w:highlight w:val="none"/>
              </w:rPr>
            </w:pPr>
          </w:p>
        </w:tc>
        <w:tc>
          <w:tcPr>
            <w:tcW w:w="9087" w:type="dxa"/>
            <w:vAlign w:val="center"/>
          </w:tcPr>
          <w:p w14:paraId="0ADD08DE">
            <w:pPr>
              <w:numPr>
                <w:ilvl w:val="0"/>
                <w:numId w:val="0"/>
              </w:numPr>
              <w:snapToGrid w:val="0"/>
              <w:spacing w:line="24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4、</w:t>
            </w:r>
            <w:r>
              <w:rPr>
                <w:rFonts w:hint="eastAsia" w:asciiTheme="majorEastAsia" w:hAnsiTheme="majorEastAsia" w:eastAsiaTheme="majorEastAsia" w:cstheme="majorEastAsia"/>
                <w:color w:val="auto"/>
                <w:sz w:val="21"/>
                <w:szCs w:val="21"/>
                <w:highlight w:val="none"/>
              </w:rPr>
              <w:t>具有货品出入库自动追踪管理功能</w:t>
            </w:r>
            <w:r>
              <w:rPr>
                <w:rFonts w:hint="eastAsia" w:asciiTheme="majorEastAsia" w:hAnsiTheme="majorEastAsia" w:eastAsiaTheme="majorEastAsia" w:cstheme="majorEastAsia"/>
                <w:color w:val="auto"/>
                <w:sz w:val="21"/>
                <w:szCs w:val="21"/>
                <w:highlight w:val="none"/>
                <w:lang w:eastAsia="zh-CN"/>
              </w:rPr>
              <w:t>；</w:t>
            </w:r>
          </w:p>
        </w:tc>
        <w:tc>
          <w:tcPr>
            <w:tcW w:w="700" w:type="dxa"/>
            <w:vMerge w:val="continue"/>
            <w:vAlign w:val="center"/>
          </w:tcPr>
          <w:p w14:paraId="6B604195">
            <w:pPr>
              <w:snapToGrid w:val="0"/>
              <w:spacing w:line="240" w:lineRule="auto"/>
              <w:rPr>
                <w:rFonts w:hint="eastAsia" w:asciiTheme="majorEastAsia" w:hAnsiTheme="majorEastAsia" w:eastAsiaTheme="majorEastAsia" w:cstheme="majorEastAsia"/>
                <w:color w:val="auto"/>
                <w:sz w:val="21"/>
                <w:szCs w:val="21"/>
                <w:highlight w:val="none"/>
              </w:rPr>
            </w:pPr>
          </w:p>
        </w:tc>
      </w:tr>
      <w:tr w14:paraId="40330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 w:hRule="atLeast"/>
          <w:jc w:val="center"/>
        </w:trPr>
        <w:tc>
          <w:tcPr>
            <w:tcW w:w="623" w:type="dxa"/>
            <w:vMerge w:val="continue"/>
            <w:vAlign w:val="center"/>
          </w:tcPr>
          <w:p w14:paraId="0C604033">
            <w:pPr>
              <w:snapToGrid w:val="0"/>
              <w:spacing w:line="240" w:lineRule="auto"/>
              <w:rPr>
                <w:rFonts w:hint="eastAsia" w:asciiTheme="majorEastAsia" w:hAnsiTheme="majorEastAsia" w:eastAsiaTheme="majorEastAsia" w:cstheme="majorEastAsia"/>
                <w:color w:val="auto"/>
                <w:sz w:val="21"/>
                <w:szCs w:val="21"/>
                <w:highlight w:val="none"/>
              </w:rPr>
            </w:pPr>
          </w:p>
        </w:tc>
        <w:tc>
          <w:tcPr>
            <w:tcW w:w="888" w:type="dxa"/>
            <w:vMerge w:val="continue"/>
            <w:vAlign w:val="center"/>
          </w:tcPr>
          <w:p w14:paraId="7D199994">
            <w:pPr>
              <w:snapToGrid w:val="0"/>
              <w:spacing w:line="240" w:lineRule="auto"/>
              <w:rPr>
                <w:rFonts w:hint="eastAsia" w:asciiTheme="majorEastAsia" w:hAnsiTheme="majorEastAsia" w:eastAsiaTheme="majorEastAsia" w:cstheme="majorEastAsia"/>
                <w:color w:val="auto"/>
                <w:sz w:val="21"/>
                <w:szCs w:val="21"/>
                <w:highlight w:val="none"/>
              </w:rPr>
            </w:pPr>
          </w:p>
        </w:tc>
        <w:tc>
          <w:tcPr>
            <w:tcW w:w="9087" w:type="dxa"/>
            <w:vAlign w:val="center"/>
          </w:tcPr>
          <w:p w14:paraId="436E2B8F">
            <w:pPr>
              <w:snapToGrid w:val="0"/>
              <w:spacing w:line="24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5、</w:t>
            </w:r>
            <w:r>
              <w:rPr>
                <w:rFonts w:hint="eastAsia" w:asciiTheme="majorEastAsia" w:hAnsiTheme="majorEastAsia" w:eastAsiaTheme="majorEastAsia" w:cstheme="majorEastAsia"/>
                <w:color w:val="auto"/>
                <w:sz w:val="21"/>
                <w:szCs w:val="21"/>
                <w:highlight w:val="none"/>
              </w:rPr>
              <w:t>具有库存自动盘点和预警功能</w:t>
            </w:r>
            <w:r>
              <w:rPr>
                <w:rFonts w:hint="eastAsia" w:asciiTheme="majorEastAsia" w:hAnsiTheme="majorEastAsia" w:eastAsiaTheme="majorEastAsia" w:cstheme="majorEastAsia"/>
                <w:color w:val="auto"/>
                <w:sz w:val="21"/>
                <w:szCs w:val="21"/>
                <w:highlight w:val="none"/>
                <w:lang w:eastAsia="zh-CN"/>
              </w:rPr>
              <w:t>；</w:t>
            </w:r>
          </w:p>
        </w:tc>
        <w:tc>
          <w:tcPr>
            <w:tcW w:w="700" w:type="dxa"/>
            <w:vMerge w:val="continue"/>
            <w:vAlign w:val="center"/>
          </w:tcPr>
          <w:p w14:paraId="782DC940">
            <w:pPr>
              <w:snapToGrid w:val="0"/>
              <w:spacing w:line="240" w:lineRule="auto"/>
              <w:rPr>
                <w:rFonts w:hint="eastAsia" w:asciiTheme="majorEastAsia" w:hAnsiTheme="majorEastAsia" w:eastAsiaTheme="majorEastAsia" w:cstheme="majorEastAsia"/>
                <w:color w:val="auto"/>
                <w:sz w:val="21"/>
                <w:szCs w:val="21"/>
                <w:highlight w:val="none"/>
              </w:rPr>
            </w:pPr>
          </w:p>
        </w:tc>
      </w:tr>
      <w:tr w14:paraId="0476F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3" w:type="dxa"/>
            <w:vMerge w:val="continue"/>
            <w:vAlign w:val="center"/>
          </w:tcPr>
          <w:p w14:paraId="0FE1CBF4">
            <w:pPr>
              <w:snapToGrid w:val="0"/>
              <w:spacing w:line="240" w:lineRule="auto"/>
              <w:rPr>
                <w:rFonts w:hint="eastAsia" w:asciiTheme="majorEastAsia" w:hAnsiTheme="majorEastAsia" w:eastAsiaTheme="majorEastAsia" w:cstheme="majorEastAsia"/>
                <w:color w:val="auto"/>
                <w:sz w:val="21"/>
                <w:szCs w:val="21"/>
                <w:highlight w:val="none"/>
              </w:rPr>
            </w:pPr>
          </w:p>
        </w:tc>
        <w:tc>
          <w:tcPr>
            <w:tcW w:w="888" w:type="dxa"/>
            <w:vMerge w:val="continue"/>
            <w:vAlign w:val="center"/>
          </w:tcPr>
          <w:p w14:paraId="561B5B9E">
            <w:pPr>
              <w:snapToGrid w:val="0"/>
              <w:spacing w:line="240" w:lineRule="auto"/>
              <w:rPr>
                <w:rFonts w:hint="eastAsia" w:asciiTheme="majorEastAsia" w:hAnsiTheme="majorEastAsia" w:eastAsiaTheme="majorEastAsia" w:cstheme="majorEastAsia"/>
                <w:color w:val="auto"/>
                <w:sz w:val="21"/>
                <w:szCs w:val="21"/>
                <w:highlight w:val="none"/>
              </w:rPr>
            </w:pPr>
          </w:p>
        </w:tc>
        <w:tc>
          <w:tcPr>
            <w:tcW w:w="9087" w:type="dxa"/>
            <w:vAlign w:val="center"/>
          </w:tcPr>
          <w:p w14:paraId="3BA487E2">
            <w:pPr>
              <w:snapToGrid w:val="0"/>
              <w:spacing w:line="24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b/>
                <w:bCs/>
                <w:color w:val="auto"/>
                <w:sz w:val="21"/>
                <w:szCs w:val="21"/>
                <w:highlight w:val="none"/>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Theme="majorEastAsia" w:hAnsiTheme="majorEastAsia" w:eastAsiaTheme="majorEastAsia" w:cstheme="majorEastAsia"/>
                <w:b/>
                <w:bCs/>
                <w:color w:val="auto"/>
                <w:sz w:val="21"/>
                <w:szCs w:val="21"/>
                <w:highlight w:val="non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6</w:t>
            </w:r>
            <w:r>
              <w:rPr>
                <w:rFonts w:hint="eastAsia" w:asciiTheme="majorEastAsia" w:hAnsiTheme="majorEastAsia" w:eastAsiaTheme="majorEastAsia" w:cstheme="majorEastAsia"/>
                <w:b/>
                <w:bCs/>
                <w:color w:val="auto"/>
                <w:sz w:val="21"/>
                <w:szCs w:val="21"/>
                <w:highlight w:val="none"/>
              </w:rPr>
              <w:t>、</w:t>
            </w:r>
            <w:r>
              <w:rPr>
                <w:rFonts w:hint="eastAsia" w:asciiTheme="majorEastAsia" w:hAnsiTheme="majorEastAsia" w:eastAsiaTheme="majorEastAsia" w:cstheme="majorEastAsia"/>
                <w:color w:val="auto"/>
                <w:sz w:val="21"/>
                <w:szCs w:val="21"/>
                <w:highlight w:val="none"/>
              </w:rPr>
              <w:t>支持人员权限安全管理，支持指纹/指静脉识别、RFID 刷卡器、密码</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lang w:val="en-US" w:eastAsia="zh-CN"/>
              </w:rPr>
              <w:t>人脸识别；</w:t>
            </w:r>
            <w:r>
              <w:rPr>
                <w:rFonts w:hint="eastAsia" w:asciiTheme="majorEastAsia" w:hAnsiTheme="majorEastAsia" w:eastAsiaTheme="majorEastAsia" w:cstheme="majorEastAsia"/>
                <w:b/>
                <w:bCs/>
                <w:color w:val="FF0000"/>
                <w:sz w:val="21"/>
                <w:szCs w:val="21"/>
                <w:highlight w:val="none"/>
                <w:lang w:eastAsia="zh-CN"/>
              </w:rPr>
              <w:t>（需提供产品彩页或其它证明材料）</w:t>
            </w:r>
          </w:p>
        </w:tc>
        <w:tc>
          <w:tcPr>
            <w:tcW w:w="700" w:type="dxa"/>
            <w:vMerge w:val="continue"/>
            <w:vAlign w:val="center"/>
          </w:tcPr>
          <w:p w14:paraId="360B9941">
            <w:pPr>
              <w:snapToGrid w:val="0"/>
              <w:spacing w:line="240" w:lineRule="auto"/>
              <w:rPr>
                <w:rFonts w:hint="eastAsia" w:asciiTheme="majorEastAsia" w:hAnsiTheme="majorEastAsia" w:eastAsiaTheme="majorEastAsia" w:cstheme="majorEastAsia"/>
                <w:color w:val="auto"/>
                <w:sz w:val="21"/>
                <w:szCs w:val="21"/>
                <w:highlight w:val="none"/>
              </w:rPr>
            </w:pPr>
          </w:p>
        </w:tc>
      </w:tr>
      <w:tr w14:paraId="022ED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 w:hRule="atLeast"/>
          <w:jc w:val="center"/>
        </w:trPr>
        <w:tc>
          <w:tcPr>
            <w:tcW w:w="623" w:type="dxa"/>
            <w:vMerge w:val="continue"/>
            <w:vAlign w:val="center"/>
          </w:tcPr>
          <w:p w14:paraId="120505A6">
            <w:pPr>
              <w:snapToGrid w:val="0"/>
              <w:spacing w:line="240" w:lineRule="auto"/>
              <w:rPr>
                <w:rFonts w:hint="eastAsia" w:asciiTheme="majorEastAsia" w:hAnsiTheme="majorEastAsia" w:eastAsiaTheme="majorEastAsia" w:cstheme="majorEastAsia"/>
                <w:color w:val="auto"/>
                <w:sz w:val="21"/>
                <w:szCs w:val="21"/>
                <w:highlight w:val="none"/>
              </w:rPr>
            </w:pPr>
          </w:p>
        </w:tc>
        <w:tc>
          <w:tcPr>
            <w:tcW w:w="888" w:type="dxa"/>
            <w:vMerge w:val="continue"/>
            <w:vAlign w:val="center"/>
          </w:tcPr>
          <w:p w14:paraId="793C5BC9">
            <w:pPr>
              <w:snapToGrid w:val="0"/>
              <w:spacing w:line="240" w:lineRule="auto"/>
              <w:rPr>
                <w:rFonts w:hint="eastAsia" w:asciiTheme="majorEastAsia" w:hAnsiTheme="majorEastAsia" w:eastAsiaTheme="majorEastAsia" w:cstheme="majorEastAsia"/>
                <w:color w:val="auto"/>
                <w:sz w:val="21"/>
                <w:szCs w:val="21"/>
                <w:highlight w:val="none"/>
              </w:rPr>
            </w:pPr>
          </w:p>
        </w:tc>
        <w:tc>
          <w:tcPr>
            <w:tcW w:w="9087" w:type="dxa"/>
            <w:vAlign w:val="center"/>
          </w:tcPr>
          <w:p w14:paraId="70B45D75">
            <w:pPr>
              <w:snapToGrid w:val="0"/>
              <w:spacing w:line="24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7</w:t>
            </w:r>
            <w:r>
              <w:rPr>
                <w:rFonts w:hint="eastAsia" w:asciiTheme="majorEastAsia" w:hAnsiTheme="majorEastAsia" w:eastAsiaTheme="majorEastAsia" w:cstheme="majorEastAsia"/>
                <w:color w:val="auto"/>
                <w:sz w:val="21"/>
                <w:szCs w:val="21"/>
                <w:highlight w:val="none"/>
              </w:rPr>
              <w:t>、可多台联动，可由一台柜体组合控制多台柜体满足科室使用需求</w:t>
            </w:r>
            <w:r>
              <w:rPr>
                <w:rFonts w:hint="eastAsia" w:asciiTheme="majorEastAsia" w:hAnsiTheme="majorEastAsia" w:eastAsiaTheme="majorEastAsia" w:cstheme="majorEastAsia"/>
                <w:color w:val="auto"/>
                <w:sz w:val="21"/>
                <w:szCs w:val="21"/>
                <w:highlight w:val="none"/>
                <w:lang w:eastAsia="zh-CN"/>
              </w:rPr>
              <w:t>；</w:t>
            </w:r>
          </w:p>
        </w:tc>
        <w:tc>
          <w:tcPr>
            <w:tcW w:w="700" w:type="dxa"/>
            <w:vMerge w:val="continue"/>
            <w:vAlign w:val="center"/>
          </w:tcPr>
          <w:p w14:paraId="42CDC7E6">
            <w:pPr>
              <w:snapToGrid w:val="0"/>
              <w:spacing w:line="240" w:lineRule="auto"/>
              <w:rPr>
                <w:rFonts w:hint="eastAsia" w:asciiTheme="majorEastAsia" w:hAnsiTheme="majorEastAsia" w:eastAsiaTheme="majorEastAsia" w:cstheme="majorEastAsia"/>
                <w:color w:val="auto"/>
                <w:sz w:val="21"/>
                <w:szCs w:val="21"/>
                <w:highlight w:val="none"/>
              </w:rPr>
            </w:pPr>
          </w:p>
        </w:tc>
      </w:tr>
      <w:tr w14:paraId="76C77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 w:hRule="atLeast"/>
          <w:jc w:val="center"/>
        </w:trPr>
        <w:tc>
          <w:tcPr>
            <w:tcW w:w="623" w:type="dxa"/>
            <w:vMerge w:val="continue"/>
            <w:vAlign w:val="center"/>
          </w:tcPr>
          <w:p w14:paraId="2916A9D7">
            <w:pPr>
              <w:snapToGrid w:val="0"/>
              <w:spacing w:line="240" w:lineRule="auto"/>
              <w:rPr>
                <w:rFonts w:hint="eastAsia" w:asciiTheme="majorEastAsia" w:hAnsiTheme="majorEastAsia" w:eastAsiaTheme="majorEastAsia" w:cstheme="majorEastAsia"/>
                <w:color w:val="auto"/>
                <w:sz w:val="21"/>
                <w:szCs w:val="21"/>
                <w:highlight w:val="none"/>
              </w:rPr>
            </w:pPr>
          </w:p>
        </w:tc>
        <w:tc>
          <w:tcPr>
            <w:tcW w:w="888" w:type="dxa"/>
            <w:vMerge w:val="continue"/>
            <w:vAlign w:val="center"/>
          </w:tcPr>
          <w:p w14:paraId="57BEB9E7">
            <w:pPr>
              <w:snapToGrid w:val="0"/>
              <w:spacing w:line="240" w:lineRule="auto"/>
              <w:rPr>
                <w:rFonts w:hint="eastAsia" w:asciiTheme="majorEastAsia" w:hAnsiTheme="majorEastAsia" w:eastAsiaTheme="majorEastAsia" w:cstheme="majorEastAsia"/>
                <w:color w:val="auto"/>
                <w:sz w:val="21"/>
                <w:szCs w:val="21"/>
                <w:highlight w:val="none"/>
              </w:rPr>
            </w:pPr>
          </w:p>
        </w:tc>
        <w:tc>
          <w:tcPr>
            <w:tcW w:w="9087" w:type="dxa"/>
            <w:vAlign w:val="center"/>
          </w:tcPr>
          <w:p w14:paraId="7981939D">
            <w:pPr>
              <w:snapToGrid w:val="0"/>
              <w:spacing w:line="24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8</w:t>
            </w:r>
            <w:r>
              <w:rPr>
                <w:rFonts w:hint="eastAsia" w:asciiTheme="majorEastAsia" w:hAnsiTheme="majorEastAsia" w:eastAsiaTheme="majorEastAsia" w:cstheme="majorEastAsia"/>
                <w:color w:val="auto"/>
                <w:sz w:val="21"/>
                <w:szCs w:val="21"/>
                <w:highlight w:val="none"/>
              </w:rPr>
              <w:t>、必须支持调节内部空间层，方便挂件和摆件随意使用</w:t>
            </w:r>
            <w:r>
              <w:rPr>
                <w:rFonts w:hint="eastAsia" w:asciiTheme="majorEastAsia" w:hAnsiTheme="majorEastAsia" w:eastAsiaTheme="majorEastAsia" w:cstheme="majorEastAsia"/>
                <w:color w:val="auto"/>
                <w:sz w:val="21"/>
                <w:szCs w:val="21"/>
                <w:highlight w:val="none"/>
                <w:lang w:eastAsia="zh-CN"/>
              </w:rPr>
              <w:t>；</w:t>
            </w:r>
          </w:p>
        </w:tc>
        <w:tc>
          <w:tcPr>
            <w:tcW w:w="700" w:type="dxa"/>
            <w:vMerge w:val="continue"/>
            <w:vAlign w:val="center"/>
          </w:tcPr>
          <w:p w14:paraId="301FD131">
            <w:pPr>
              <w:snapToGrid w:val="0"/>
              <w:spacing w:line="240" w:lineRule="auto"/>
              <w:rPr>
                <w:rFonts w:hint="eastAsia" w:asciiTheme="majorEastAsia" w:hAnsiTheme="majorEastAsia" w:eastAsiaTheme="majorEastAsia" w:cstheme="majorEastAsia"/>
                <w:color w:val="auto"/>
                <w:sz w:val="21"/>
                <w:szCs w:val="21"/>
                <w:highlight w:val="none"/>
              </w:rPr>
            </w:pPr>
          </w:p>
        </w:tc>
      </w:tr>
      <w:tr w14:paraId="440DD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 w:hRule="atLeast"/>
          <w:jc w:val="center"/>
        </w:trPr>
        <w:tc>
          <w:tcPr>
            <w:tcW w:w="623" w:type="dxa"/>
            <w:vMerge w:val="continue"/>
            <w:vAlign w:val="center"/>
          </w:tcPr>
          <w:p w14:paraId="426A014D">
            <w:pPr>
              <w:snapToGrid w:val="0"/>
              <w:spacing w:line="240" w:lineRule="auto"/>
              <w:rPr>
                <w:rFonts w:hint="eastAsia" w:asciiTheme="majorEastAsia" w:hAnsiTheme="majorEastAsia" w:eastAsiaTheme="majorEastAsia" w:cstheme="majorEastAsia"/>
                <w:color w:val="auto"/>
                <w:sz w:val="21"/>
                <w:szCs w:val="21"/>
                <w:highlight w:val="none"/>
              </w:rPr>
            </w:pPr>
          </w:p>
        </w:tc>
        <w:tc>
          <w:tcPr>
            <w:tcW w:w="888" w:type="dxa"/>
            <w:vMerge w:val="continue"/>
            <w:vAlign w:val="center"/>
          </w:tcPr>
          <w:p w14:paraId="3C01B414">
            <w:pPr>
              <w:snapToGrid w:val="0"/>
              <w:spacing w:line="240" w:lineRule="auto"/>
              <w:rPr>
                <w:rFonts w:hint="eastAsia" w:asciiTheme="majorEastAsia" w:hAnsiTheme="majorEastAsia" w:eastAsiaTheme="majorEastAsia" w:cstheme="majorEastAsia"/>
                <w:color w:val="auto"/>
                <w:sz w:val="21"/>
                <w:szCs w:val="21"/>
                <w:highlight w:val="none"/>
              </w:rPr>
            </w:pPr>
          </w:p>
        </w:tc>
        <w:tc>
          <w:tcPr>
            <w:tcW w:w="9087" w:type="dxa"/>
            <w:vAlign w:val="center"/>
          </w:tcPr>
          <w:p w14:paraId="4796123A">
            <w:pPr>
              <w:snapToGrid w:val="0"/>
              <w:spacing w:line="24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b/>
                <w:bCs/>
                <w:color w:val="auto"/>
                <w:sz w:val="21"/>
                <w:szCs w:val="21"/>
                <w:highlight w:val="none"/>
                <w:lang w:eastAsia="zh-CN"/>
              </w:rPr>
              <w:t>▲</w:t>
            </w:r>
            <w:r>
              <w:rPr>
                <w:rFonts w:hint="eastAsia" w:asciiTheme="majorEastAsia" w:hAnsiTheme="majorEastAsia" w:eastAsiaTheme="majorEastAsia" w:cstheme="majorEastAsia"/>
                <w:b w:val="0"/>
                <w:bCs w:val="0"/>
                <w:color w:val="auto"/>
                <w:sz w:val="21"/>
                <w:szCs w:val="21"/>
                <w:highlight w:val="none"/>
                <w:lang w:val="en-US" w:eastAsia="zh-CN"/>
              </w:rPr>
              <w:t>9</w:t>
            </w:r>
            <w:r>
              <w:rPr>
                <w:rFonts w:hint="eastAsia" w:asciiTheme="majorEastAsia" w:hAnsiTheme="majorEastAsia" w:eastAsiaTheme="majorEastAsia" w:cstheme="majorEastAsia"/>
                <w:b/>
                <w:bCs/>
                <w:color w:val="auto"/>
                <w:sz w:val="21"/>
                <w:szCs w:val="21"/>
                <w:highlight w:val="none"/>
              </w:rPr>
              <w:t>、</w:t>
            </w:r>
            <w:r>
              <w:rPr>
                <w:rFonts w:hint="eastAsia" w:asciiTheme="majorEastAsia" w:hAnsiTheme="majorEastAsia" w:eastAsiaTheme="majorEastAsia" w:cstheme="majorEastAsia"/>
                <w:b w:val="0"/>
                <w:bCs w:val="0"/>
                <w:color w:val="auto"/>
                <w:sz w:val="21"/>
                <w:szCs w:val="21"/>
                <w:highlight w:val="none"/>
              </w:rPr>
              <w:t>RFID识别速度为600个标签用时≤3秒</w:t>
            </w:r>
            <w:r>
              <w:rPr>
                <w:rFonts w:hint="eastAsia" w:asciiTheme="majorEastAsia" w:hAnsiTheme="majorEastAsia" w:eastAsiaTheme="majorEastAsia" w:cstheme="majorEastAsia"/>
                <w:b w:val="0"/>
                <w:bCs w:val="0"/>
                <w:color w:val="auto"/>
                <w:sz w:val="21"/>
                <w:szCs w:val="21"/>
                <w:highlight w:val="none"/>
                <w:lang w:eastAsia="zh-CN"/>
              </w:rPr>
              <w:t>；</w:t>
            </w:r>
            <w:r>
              <w:rPr>
                <w:rFonts w:hint="eastAsia" w:asciiTheme="majorEastAsia" w:hAnsiTheme="majorEastAsia" w:eastAsiaTheme="majorEastAsia" w:cstheme="majorEastAsia"/>
                <w:b/>
                <w:bCs/>
                <w:color w:val="FF0000"/>
                <w:sz w:val="21"/>
                <w:szCs w:val="21"/>
                <w:highlight w:val="none"/>
                <w:lang w:eastAsia="zh-CN"/>
              </w:rPr>
              <w:t>（需</w:t>
            </w:r>
            <w:r>
              <w:rPr>
                <w:rFonts w:hint="eastAsia" w:asciiTheme="majorEastAsia" w:hAnsiTheme="majorEastAsia" w:eastAsiaTheme="majorEastAsia" w:cstheme="majorEastAsia"/>
                <w:b/>
                <w:bCs/>
                <w:color w:val="FF0000"/>
                <w:sz w:val="21"/>
                <w:szCs w:val="21"/>
                <w:highlight w:val="none"/>
              </w:rPr>
              <w:t>提供第三方检测报告</w:t>
            </w:r>
            <w:r>
              <w:rPr>
                <w:rFonts w:hint="eastAsia" w:asciiTheme="majorEastAsia" w:hAnsiTheme="majorEastAsia" w:eastAsiaTheme="majorEastAsia" w:cstheme="majorEastAsia"/>
                <w:b/>
                <w:bCs/>
                <w:color w:val="FF0000"/>
                <w:sz w:val="21"/>
                <w:szCs w:val="21"/>
                <w:highlight w:val="none"/>
                <w:lang w:eastAsia="zh-CN"/>
              </w:rPr>
              <w:t>）</w:t>
            </w:r>
          </w:p>
        </w:tc>
        <w:tc>
          <w:tcPr>
            <w:tcW w:w="700" w:type="dxa"/>
            <w:vMerge w:val="continue"/>
            <w:vAlign w:val="center"/>
          </w:tcPr>
          <w:p w14:paraId="2CC89C0A">
            <w:pPr>
              <w:snapToGrid w:val="0"/>
              <w:spacing w:line="240" w:lineRule="auto"/>
              <w:rPr>
                <w:rFonts w:hint="eastAsia" w:asciiTheme="majorEastAsia" w:hAnsiTheme="majorEastAsia" w:eastAsiaTheme="majorEastAsia" w:cstheme="majorEastAsia"/>
                <w:color w:val="auto"/>
                <w:sz w:val="21"/>
                <w:szCs w:val="21"/>
                <w:highlight w:val="none"/>
              </w:rPr>
            </w:pPr>
          </w:p>
        </w:tc>
      </w:tr>
      <w:tr w14:paraId="7EFB3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3" w:type="dxa"/>
            <w:vMerge w:val="continue"/>
            <w:vAlign w:val="center"/>
          </w:tcPr>
          <w:p w14:paraId="355D1B61">
            <w:pPr>
              <w:snapToGrid w:val="0"/>
              <w:spacing w:line="240" w:lineRule="auto"/>
              <w:rPr>
                <w:rFonts w:hint="eastAsia" w:asciiTheme="majorEastAsia" w:hAnsiTheme="majorEastAsia" w:eastAsiaTheme="majorEastAsia" w:cstheme="majorEastAsia"/>
                <w:color w:val="auto"/>
                <w:sz w:val="21"/>
                <w:szCs w:val="21"/>
                <w:highlight w:val="none"/>
              </w:rPr>
            </w:pPr>
          </w:p>
        </w:tc>
        <w:tc>
          <w:tcPr>
            <w:tcW w:w="888" w:type="dxa"/>
            <w:vMerge w:val="continue"/>
            <w:vAlign w:val="center"/>
          </w:tcPr>
          <w:p w14:paraId="7FB31E0A">
            <w:pPr>
              <w:snapToGrid w:val="0"/>
              <w:spacing w:line="240" w:lineRule="auto"/>
              <w:rPr>
                <w:rFonts w:hint="eastAsia" w:asciiTheme="majorEastAsia" w:hAnsiTheme="majorEastAsia" w:eastAsiaTheme="majorEastAsia" w:cstheme="majorEastAsia"/>
                <w:color w:val="auto"/>
                <w:sz w:val="21"/>
                <w:szCs w:val="21"/>
                <w:highlight w:val="none"/>
              </w:rPr>
            </w:pPr>
          </w:p>
        </w:tc>
        <w:tc>
          <w:tcPr>
            <w:tcW w:w="9087" w:type="dxa"/>
            <w:vAlign w:val="center"/>
          </w:tcPr>
          <w:p w14:paraId="733DF83C">
            <w:pPr>
              <w:snapToGrid w:val="0"/>
              <w:spacing w:line="24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w:t>
            </w:r>
            <w:r>
              <w:rPr>
                <w:rFonts w:hint="eastAsia" w:asciiTheme="majorEastAsia" w:hAnsiTheme="majorEastAsia" w:eastAsiaTheme="majorEastAsia" w:cstheme="majorEastAsia"/>
                <w:color w:val="auto"/>
                <w:sz w:val="21"/>
                <w:szCs w:val="21"/>
                <w:highlight w:val="none"/>
                <w:lang w:val="en-US" w:eastAsia="zh-CN"/>
              </w:rPr>
              <w:t>0</w:t>
            </w:r>
            <w:r>
              <w:rPr>
                <w:rFonts w:hint="eastAsia" w:asciiTheme="majorEastAsia" w:hAnsiTheme="majorEastAsia" w:eastAsiaTheme="majorEastAsia" w:cstheme="majorEastAsia"/>
                <w:color w:val="auto"/>
                <w:sz w:val="21"/>
                <w:szCs w:val="21"/>
                <w:highlight w:val="none"/>
              </w:rPr>
              <w:t>、智能柜门体具备屏蔽信号，以防止取出RFID标签后对剩余标签信号采集产生干扰</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提供第三方检测报告</w:t>
            </w:r>
            <w:r>
              <w:rPr>
                <w:rFonts w:hint="eastAsia" w:asciiTheme="majorEastAsia" w:hAnsiTheme="majorEastAsia" w:eastAsiaTheme="majorEastAsia" w:cstheme="majorEastAsia"/>
                <w:color w:val="auto"/>
                <w:sz w:val="21"/>
                <w:szCs w:val="21"/>
                <w:highlight w:val="none"/>
                <w:lang w:eastAsia="zh-CN"/>
              </w:rPr>
              <w:t>；</w:t>
            </w:r>
          </w:p>
        </w:tc>
        <w:tc>
          <w:tcPr>
            <w:tcW w:w="700" w:type="dxa"/>
            <w:vMerge w:val="continue"/>
            <w:vAlign w:val="center"/>
          </w:tcPr>
          <w:p w14:paraId="3A5F3DD0">
            <w:pPr>
              <w:snapToGrid w:val="0"/>
              <w:spacing w:line="240" w:lineRule="auto"/>
              <w:rPr>
                <w:rFonts w:hint="eastAsia" w:asciiTheme="majorEastAsia" w:hAnsiTheme="majorEastAsia" w:eastAsiaTheme="majorEastAsia" w:cstheme="majorEastAsia"/>
                <w:color w:val="auto"/>
                <w:sz w:val="21"/>
                <w:szCs w:val="21"/>
                <w:highlight w:val="none"/>
              </w:rPr>
            </w:pPr>
          </w:p>
        </w:tc>
      </w:tr>
      <w:tr w14:paraId="02ADD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 w:hRule="atLeast"/>
          <w:jc w:val="center"/>
        </w:trPr>
        <w:tc>
          <w:tcPr>
            <w:tcW w:w="623" w:type="dxa"/>
            <w:vMerge w:val="continue"/>
            <w:vAlign w:val="center"/>
          </w:tcPr>
          <w:p w14:paraId="3B47EC82">
            <w:pPr>
              <w:snapToGrid w:val="0"/>
              <w:spacing w:line="240" w:lineRule="auto"/>
              <w:rPr>
                <w:rFonts w:hint="eastAsia" w:asciiTheme="majorEastAsia" w:hAnsiTheme="majorEastAsia" w:eastAsiaTheme="majorEastAsia" w:cstheme="majorEastAsia"/>
                <w:color w:val="auto"/>
                <w:sz w:val="21"/>
                <w:szCs w:val="21"/>
                <w:highlight w:val="none"/>
              </w:rPr>
            </w:pPr>
          </w:p>
        </w:tc>
        <w:tc>
          <w:tcPr>
            <w:tcW w:w="888" w:type="dxa"/>
            <w:vMerge w:val="continue"/>
            <w:vAlign w:val="center"/>
          </w:tcPr>
          <w:p w14:paraId="1108CAB2">
            <w:pPr>
              <w:snapToGrid w:val="0"/>
              <w:spacing w:line="240" w:lineRule="auto"/>
              <w:rPr>
                <w:rFonts w:hint="eastAsia" w:asciiTheme="majorEastAsia" w:hAnsiTheme="majorEastAsia" w:eastAsiaTheme="majorEastAsia" w:cstheme="majorEastAsia"/>
                <w:color w:val="auto"/>
                <w:sz w:val="21"/>
                <w:szCs w:val="21"/>
                <w:highlight w:val="none"/>
              </w:rPr>
            </w:pPr>
          </w:p>
        </w:tc>
        <w:tc>
          <w:tcPr>
            <w:tcW w:w="9087" w:type="dxa"/>
            <w:vAlign w:val="center"/>
          </w:tcPr>
          <w:p w14:paraId="7D4873B7">
            <w:pPr>
              <w:snapToGrid w:val="0"/>
              <w:spacing w:line="240" w:lineRule="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1</w:t>
            </w:r>
            <w:r>
              <w:rPr>
                <w:rFonts w:hint="eastAsia" w:asciiTheme="majorEastAsia" w:hAnsiTheme="majorEastAsia" w:eastAsiaTheme="majorEastAsia" w:cstheme="majorEastAsia"/>
                <w:color w:val="auto"/>
                <w:sz w:val="21"/>
                <w:szCs w:val="21"/>
                <w:highlight w:val="none"/>
                <w:lang w:val="en-US" w:eastAsia="zh-CN"/>
              </w:rPr>
              <w:t>1</w:t>
            </w:r>
            <w:r>
              <w:rPr>
                <w:rFonts w:hint="eastAsia" w:asciiTheme="majorEastAsia" w:hAnsiTheme="majorEastAsia" w:eastAsiaTheme="majorEastAsia" w:cstheme="majorEastAsia"/>
                <w:color w:val="auto"/>
                <w:sz w:val="21"/>
                <w:szCs w:val="21"/>
                <w:highlight w:val="none"/>
              </w:rPr>
              <w:t>、具备RFID定数耗材实时追踪功能，对SPD库房出入库进行追踪</w:t>
            </w:r>
            <w:r>
              <w:rPr>
                <w:rFonts w:hint="eastAsia" w:asciiTheme="majorEastAsia" w:hAnsiTheme="majorEastAsia" w:eastAsiaTheme="majorEastAsia" w:cstheme="majorEastAsia"/>
                <w:color w:val="auto"/>
                <w:sz w:val="21"/>
                <w:szCs w:val="21"/>
                <w:highlight w:val="none"/>
                <w:lang w:eastAsia="zh-CN"/>
              </w:rPr>
              <w:t>；</w:t>
            </w:r>
          </w:p>
        </w:tc>
        <w:tc>
          <w:tcPr>
            <w:tcW w:w="700" w:type="dxa"/>
            <w:vMerge w:val="continue"/>
            <w:vAlign w:val="center"/>
          </w:tcPr>
          <w:p w14:paraId="7E8F0F92">
            <w:pPr>
              <w:snapToGrid w:val="0"/>
              <w:spacing w:line="240" w:lineRule="auto"/>
              <w:rPr>
                <w:rFonts w:hint="eastAsia" w:asciiTheme="majorEastAsia" w:hAnsiTheme="majorEastAsia" w:eastAsiaTheme="majorEastAsia" w:cstheme="majorEastAsia"/>
                <w:color w:val="auto"/>
                <w:sz w:val="21"/>
                <w:szCs w:val="21"/>
                <w:highlight w:val="none"/>
              </w:rPr>
            </w:pPr>
          </w:p>
        </w:tc>
      </w:tr>
      <w:tr w14:paraId="2B1C4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3" w:type="dxa"/>
            <w:vMerge w:val="continue"/>
            <w:vAlign w:val="center"/>
          </w:tcPr>
          <w:p w14:paraId="432A009C">
            <w:pPr>
              <w:snapToGrid w:val="0"/>
              <w:spacing w:line="240" w:lineRule="auto"/>
              <w:rPr>
                <w:rFonts w:hint="eastAsia" w:asciiTheme="majorEastAsia" w:hAnsiTheme="majorEastAsia" w:eastAsiaTheme="majorEastAsia" w:cstheme="majorEastAsia"/>
                <w:color w:val="auto"/>
                <w:sz w:val="21"/>
                <w:szCs w:val="21"/>
                <w:highlight w:val="none"/>
              </w:rPr>
            </w:pPr>
          </w:p>
        </w:tc>
        <w:tc>
          <w:tcPr>
            <w:tcW w:w="888" w:type="dxa"/>
            <w:vMerge w:val="continue"/>
            <w:vAlign w:val="center"/>
          </w:tcPr>
          <w:p w14:paraId="31D7C5CC">
            <w:pPr>
              <w:snapToGrid w:val="0"/>
              <w:spacing w:line="240" w:lineRule="auto"/>
              <w:rPr>
                <w:rFonts w:hint="eastAsia" w:asciiTheme="majorEastAsia" w:hAnsiTheme="majorEastAsia" w:eastAsiaTheme="majorEastAsia" w:cstheme="majorEastAsia"/>
                <w:color w:val="auto"/>
                <w:sz w:val="21"/>
                <w:szCs w:val="21"/>
                <w:highlight w:val="none"/>
              </w:rPr>
            </w:pPr>
          </w:p>
        </w:tc>
        <w:tc>
          <w:tcPr>
            <w:tcW w:w="9087" w:type="dxa"/>
            <w:vAlign w:val="center"/>
          </w:tcPr>
          <w:p w14:paraId="7E55830A">
            <w:pPr>
              <w:snapToGrid w:val="0"/>
              <w:spacing w:line="24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w:t>
            </w:r>
            <w:r>
              <w:rPr>
                <w:rFonts w:hint="eastAsia" w:asciiTheme="majorEastAsia" w:hAnsiTheme="majorEastAsia" w:eastAsiaTheme="majorEastAsia" w:cstheme="majorEastAsia"/>
                <w:color w:val="auto"/>
                <w:sz w:val="21"/>
                <w:szCs w:val="21"/>
                <w:highlight w:val="none"/>
                <w:lang w:val="en-US" w:eastAsia="zh-CN"/>
              </w:rPr>
              <w:t>2</w:t>
            </w:r>
            <w:r>
              <w:rPr>
                <w:rFonts w:hint="eastAsia" w:asciiTheme="majorEastAsia" w:hAnsiTheme="majorEastAsia" w:eastAsiaTheme="majorEastAsia" w:cstheme="majorEastAsia"/>
                <w:color w:val="auto"/>
                <w:sz w:val="21"/>
                <w:szCs w:val="21"/>
                <w:highlight w:val="none"/>
              </w:rPr>
              <w:t>、显示模块：≥15寸液晶显示及触摸屏，镶嵌在柜门上，减少空间浪费</w:t>
            </w:r>
            <w:r>
              <w:rPr>
                <w:rFonts w:hint="eastAsia" w:asciiTheme="majorEastAsia" w:hAnsiTheme="majorEastAsia" w:eastAsiaTheme="majorEastAsia" w:cstheme="majorEastAsia"/>
                <w:color w:val="auto"/>
                <w:sz w:val="21"/>
                <w:szCs w:val="21"/>
                <w:highlight w:val="none"/>
                <w:lang w:eastAsia="zh-CN"/>
              </w:rPr>
              <w:t>；</w:t>
            </w:r>
          </w:p>
        </w:tc>
        <w:tc>
          <w:tcPr>
            <w:tcW w:w="700" w:type="dxa"/>
            <w:vMerge w:val="continue"/>
            <w:vAlign w:val="center"/>
          </w:tcPr>
          <w:p w14:paraId="18EABA2A">
            <w:pPr>
              <w:snapToGrid w:val="0"/>
              <w:spacing w:line="240" w:lineRule="auto"/>
              <w:rPr>
                <w:rFonts w:hint="eastAsia" w:asciiTheme="majorEastAsia" w:hAnsiTheme="majorEastAsia" w:eastAsiaTheme="majorEastAsia" w:cstheme="majorEastAsia"/>
                <w:color w:val="auto"/>
                <w:sz w:val="21"/>
                <w:szCs w:val="21"/>
                <w:highlight w:val="none"/>
              </w:rPr>
            </w:pPr>
          </w:p>
        </w:tc>
      </w:tr>
      <w:tr w14:paraId="11087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3" w:type="dxa"/>
            <w:vMerge w:val="continue"/>
            <w:vAlign w:val="center"/>
          </w:tcPr>
          <w:p w14:paraId="5BF0FE17">
            <w:pPr>
              <w:snapToGrid w:val="0"/>
              <w:spacing w:line="240" w:lineRule="auto"/>
              <w:rPr>
                <w:rFonts w:hint="eastAsia" w:asciiTheme="majorEastAsia" w:hAnsiTheme="majorEastAsia" w:eastAsiaTheme="majorEastAsia" w:cstheme="majorEastAsia"/>
                <w:color w:val="auto"/>
                <w:sz w:val="21"/>
                <w:szCs w:val="21"/>
                <w:highlight w:val="none"/>
              </w:rPr>
            </w:pPr>
          </w:p>
        </w:tc>
        <w:tc>
          <w:tcPr>
            <w:tcW w:w="888" w:type="dxa"/>
            <w:vMerge w:val="continue"/>
            <w:vAlign w:val="center"/>
          </w:tcPr>
          <w:p w14:paraId="1646B98C">
            <w:pPr>
              <w:snapToGrid w:val="0"/>
              <w:spacing w:line="240" w:lineRule="auto"/>
              <w:rPr>
                <w:rFonts w:hint="eastAsia" w:asciiTheme="majorEastAsia" w:hAnsiTheme="majorEastAsia" w:eastAsiaTheme="majorEastAsia" w:cstheme="majorEastAsia"/>
                <w:color w:val="auto"/>
                <w:sz w:val="21"/>
                <w:szCs w:val="21"/>
                <w:highlight w:val="none"/>
              </w:rPr>
            </w:pPr>
          </w:p>
        </w:tc>
        <w:tc>
          <w:tcPr>
            <w:tcW w:w="9087" w:type="dxa"/>
            <w:vAlign w:val="center"/>
          </w:tcPr>
          <w:p w14:paraId="58B6B62E">
            <w:pPr>
              <w:snapToGrid w:val="0"/>
              <w:spacing w:line="24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w:t>
            </w:r>
            <w:r>
              <w:rPr>
                <w:rFonts w:hint="eastAsia" w:asciiTheme="majorEastAsia" w:hAnsiTheme="majorEastAsia" w:eastAsiaTheme="majorEastAsia" w:cstheme="majorEastAsia"/>
                <w:color w:val="auto"/>
                <w:sz w:val="21"/>
                <w:szCs w:val="21"/>
                <w:highlight w:val="none"/>
                <w:lang w:val="en-US" w:eastAsia="zh-CN"/>
              </w:rPr>
              <w:t>3</w:t>
            </w:r>
            <w:r>
              <w:rPr>
                <w:rFonts w:hint="eastAsia" w:asciiTheme="majorEastAsia" w:hAnsiTheme="majorEastAsia" w:eastAsiaTheme="majorEastAsia" w:cstheme="majorEastAsia"/>
                <w:color w:val="auto"/>
                <w:sz w:val="21"/>
                <w:szCs w:val="21"/>
                <w:highlight w:val="none"/>
              </w:rPr>
              <w:t>、移动及调节特性: 自带万向轮，同时带有4个不锈钢调整脚，柜子可以移动到任意位置，调整脚可任意调节</w:t>
            </w:r>
            <w:r>
              <w:rPr>
                <w:rFonts w:hint="eastAsia" w:asciiTheme="majorEastAsia" w:hAnsiTheme="majorEastAsia" w:eastAsiaTheme="majorEastAsia" w:cstheme="majorEastAsia"/>
                <w:color w:val="auto"/>
                <w:sz w:val="21"/>
                <w:szCs w:val="21"/>
                <w:highlight w:val="none"/>
                <w:lang w:eastAsia="zh-CN"/>
              </w:rPr>
              <w:t>。</w:t>
            </w:r>
          </w:p>
        </w:tc>
        <w:tc>
          <w:tcPr>
            <w:tcW w:w="700" w:type="dxa"/>
            <w:vMerge w:val="continue"/>
            <w:vAlign w:val="center"/>
          </w:tcPr>
          <w:p w14:paraId="3FBAFC23">
            <w:pPr>
              <w:snapToGrid w:val="0"/>
              <w:spacing w:line="240" w:lineRule="auto"/>
              <w:rPr>
                <w:rFonts w:hint="eastAsia" w:asciiTheme="majorEastAsia" w:hAnsiTheme="majorEastAsia" w:eastAsiaTheme="majorEastAsia" w:cstheme="majorEastAsia"/>
                <w:color w:val="auto"/>
                <w:sz w:val="21"/>
                <w:szCs w:val="21"/>
                <w:highlight w:val="none"/>
              </w:rPr>
            </w:pPr>
          </w:p>
        </w:tc>
      </w:tr>
    </w:tbl>
    <w:p w14:paraId="0EE8A1E3">
      <w:pPr>
        <w:pStyle w:val="16"/>
        <w:spacing w:before="65" w:line="240" w:lineRule="auto"/>
        <w:rPr>
          <w:rFonts w:hint="eastAsia" w:asciiTheme="majorEastAsia" w:hAnsiTheme="majorEastAsia" w:eastAsiaTheme="majorEastAsia" w:cstheme="majorEastAsia"/>
          <w:color w:val="auto"/>
          <w:sz w:val="21"/>
          <w:szCs w:val="21"/>
          <w:highlight w:val="none"/>
        </w:rPr>
      </w:pPr>
    </w:p>
    <w:p w14:paraId="583ABDDE">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▲14.2在现有科室库的基础上进行改造，满足科室现有场地的安装及承重。新设科室，按医院需求配置相关设施，其他未尽事宜，按医院要求落实。</w:t>
      </w:r>
      <w:r>
        <w:rPr>
          <w:rFonts w:hint="eastAsia" w:asciiTheme="majorEastAsia" w:hAnsiTheme="majorEastAsia" w:eastAsiaTheme="majorEastAsia" w:cstheme="majorEastAsia"/>
          <w:b/>
          <w:bCs/>
          <w:color w:val="FF0000"/>
          <w:kern w:val="2"/>
          <w:sz w:val="21"/>
          <w:szCs w:val="21"/>
          <w:highlight w:val="none"/>
          <w:lang w:val="en-US" w:eastAsia="zh-CN" w:bidi="ar-SA"/>
        </w:rPr>
        <w:t>（需提供承诺函）</w:t>
      </w:r>
    </w:p>
    <w:p w14:paraId="5656EC19">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 xml:space="preserve">15.软件参数，医用物资智能化管理系统及院内物资配送服务项目需包括六大模块： </w:t>
      </w:r>
    </w:p>
    <w:p w14:paraId="6A7B3EE9">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（一）供应采购协同商务管理平台</w:t>
      </w:r>
    </w:p>
    <w:p w14:paraId="55F2E910">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（二）院内物流精益化管理平台</w:t>
      </w:r>
    </w:p>
    <w:p w14:paraId="11634637">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（三）智能柜管理平台</w:t>
      </w:r>
    </w:p>
    <w:p w14:paraId="4DBCBF89">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（四）移动终端应用平台</w:t>
      </w:r>
    </w:p>
    <w:p w14:paraId="052B7DF5">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（五）事务通知服务平台</w:t>
      </w:r>
    </w:p>
    <w:p w14:paraId="41E83CFA">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 xml:space="preserve">（六）BI 数据决策分析平台 </w:t>
      </w:r>
    </w:p>
    <w:p w14:paraId="4E1E760B">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 xml:space="preserve">▲15.1供应采购协同商务管理平台 </w:t>
      </w:r>
    </w:p>
    <w:p w14:paraId="5048FF74">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实现院内物资采购计划的自动推送和供应商配送单制作，通过标准化接口向院内 SPD 端、智能硬件设备端，提供标准信息数据，通过数据脱敏，确保信息安全，保证院外供应商数据及院内业务信息数据统一规范标准化，隔离外部可能出现的信息攻击，达到院内外信息互通统一管理。</w:t>
      </w:r>
    </w:p>
    <w:tbl>
      <w:tblPr>
        <w:tblStyle w:val="39"/>
        <w:tblW w:w="108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24"/>
        <w:gridCol w:w="8353"/>
      </w:tblGrid>
      <w:tr w14:paraId="701F2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524" w:type="dxa"/>
            <w:vAlign w:val="center"/>
          </w:tcPr>
          <w:p w14:paraId="109AEACA">
            <w:pPr>
              <w:autoSpaceDE w:val="0"/>
              <w:autoSpaceDN w:val="0"/>
              <w:spacing w:line="240" w:lineRule="auto"/>
              <w:jc w:val="center"/>
              <w:rPr>
                <w:rFonts w:hint="eastAsia" w:asciiTheme="majorEastAsia" w:hAnsiTheme="majorEastAsia" w:eastAsiaTheme="majorEastAsia" w:cstheme="majorEastAsia"/>
                <w:b/>
                <w:color w:val="auto"/>
                <w:sz w:val="21"/>
                <w:szCs w:val="21"/>
                <w:highlight w:val="none"/>
                <w:lang w:val="zh-CN" w:bidi="zh-CN"/>
              </w:rPr>
            </w:pPr>
            <w:r>
              <w:rPr>
                <w:rFonts w:hint="eastAsia" w:asciiTheme="majorEastAsia" w:hAnsiTheme="majorEastAsia" w:eastAsiaTheme="majorEastAsia" w:cstheme="majorEastAsia"/>
                <w:b/>
                <w:color w:val="auto"/>
                <w:sz w:val="21"/>
                <w:szCs w:val="21"/>
                <w:highlight w:val="none"/>
                <w:lang w:val="zh-CN" w:bidi="zh-CN"/>
              </w:rPr>
              <w:t>子功能</w:t>
            </w:r>
          </w:p>
        </w:tc>
        <w:tc>
          <w:tcPr>
            <w:tcW w:w="8353" w:type="dxa"/>
            <w:vAlign w:val="center"/>
          </w:tcPr>
          <w:p w14:paraId="367A96BD">
            <w:pPr>
              <w:autoSpaceDE w:val="0"/>
              <w:autoSpaceDN w:val="0"/>
              <w:spacing w:line="240" w:lineRule="auto"/>
              <w:jc w:val="center"/>
              <w:rPr>
                <w:rFonts w:hint="eastAsia" w:asciiTheme="majorEastAsia" w:hAnsiTheme="majorEastAsia" w:eastAsiaTheme="majorEastAsia" w:cstheme="majorEastAsia"/>
                <w:b/>
                <w:color w:val="auto"/>
                <w:sz w:val="21"/>
                <w:szCs w:val="21"/>
                <w:highlight w:val="none"/>
                <w:lang w:val="zh-CN" w:bidi="zh-CN"/>
              </w:rPr>
            </w:pPr>
            <w:r>
              <w:rPr>
                <w:rFonts w:hint="eastAsia" w:asciiTheme="majorEastAsia" w:hAnsiTheme="majorEastAsia" w:eastAsiaTheme="majorEastAsia" w:cstheme="majorEastAsia"/>
                <w:b/>
                <w:color w:val="auto"/>
                <w:sz w:val="21"/>
                <w:szCs w:val="21"/>
                <w:highlight w:val="none"/>
                <w:lang w:val="zh-CN" w:bidi="zh-CN"/>
              </w:rPr>
              <w:t>功能说明</w:t>
            </w:r>
            <w:r>
              <w:rPr>
                <w:rFonts w:hint="eastAsia" w:asciiTheme="majorEastAsia" w:hAnsiTheme="majorEastAsia" w:eastAsiaTheme="majorEastAsia" w:cstheme="majorEastAsia"/>
                <w:b/>
                <w:color w:val="auto"/>
                <w:w w:val="99"/>
                <w:sz w:val="21"/>
                <w:szCs w:val="21"/>
                <w:highlight w:val="none"/>
                <w:lang w:val="zh-CN" w:bidi="zh-CN"/>
              </w:rPr>
              <w:t xml:space="preserve"> </w:t>
            </w:r>
          </w:p>
        </w:tc>
      </w:tr>
      <w:tr w14:paraId="45622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524" w:type="dxa"/>
            <w:vAlign w:val="center"/>
          </w:tcPr>
          <w:p w14:paraId="6D7C5347">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架构和权限管理</w:t>
            </w:r>
          </w:p>
        </w:tc>
        <w:tc>
          <w:tcPr>
            <w:tcW w:w="8353" w:type="dxa"/>
            <w:vAlign w:val="center"/>
          </w:tcPr>
          <w:p w14:paraId="23D1F7C8">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平台以 B/S 架构搭建，满足给各厂家、供应商、服务商（中选方）、医院、政府等提供对应的安全账号登录，自动校验账号和鉴权数据权限，查询需要的信息。 </w:t>
            </w:r>
          </w:p>
        </w:tc>
      </w:tr>
      <w:tr w14:paraId="789D9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524" w:type="dxa"/>
            <w:vAlign w:val="center"/>
          </w:tcPr>
          <w:p w14:paraId="0B144B90">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产品自身码解析</w:t>
            </w:r>
          </w:p>
        </w:tc>
        <w:tc>
          <w:tcPr>
            <w:tcW w:w="8353" w:type="dxa"/>
            <w:vAlign w:val="center"/>
          </w:tcPr>
          <w:p w14:paraId="4FC7EE8F">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支持产品自身码UDI/GS1解析功能，实现扫描自身码自动拆分录入物资相应信息。</w:t>
            </w:r>
          </w:p>
        </w:tc>
      </w:tr>
      <w:tr w14:paraId="363BF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524" w:type="dxa"/>
            <w:vAlign w:val="center"/>
          </w:tcPr>
          <w:p w14:paraId="4EACAE9F">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统一编码和对照</w:t>
            </w:r>
          </w:p>
        </w:tc>
        <w:tc>
          <w:tcPr>
            <w:tcW w:w="8353" w:type="dxa"/>
            <w:vAlign w:val="center"/>
          </w:tcPr>
          <w:p w14:paraId="7A45CCA4">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厂家，供应商各环节业务销售数据，实现通过统一商品编码映射，商品的生产厂家，企业可以通过平台实现产品一码溯源，查询全流程销售流向数据跟踪。 </w:t>
            </w:r>
          </w:p>
        </w:tc>
      </w:tr>
      <w:tr w14:paraId="04306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524" w:type="dxa"/>
            <w:vAlign w:val="center"/>
          </w:tcPr>
          <w:p w14:paraId="5822BB7E">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系统对接和平台开放</w:t>
            </w:r>
          </w:p>
        </w:tc>
        <w:tc>
          <w:tcPr>
            <w:tcW w:w="8353" w:type="dxa"/>
            <w:vAlign w:val="center"/>
          </w:tcPr>
          <w:p w14:paraId="1B127EC2">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建设医院与供应商数据交互平台，在线接收采购计划和上传配送信息。 </w:t>
            </w:r>
          </w:p>
          <w:p w14:paraId="1AF3AE2F">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①支持权限管理功能，医院可以查看所有供应商交互信息，供应商只能查看及操作自己的信息。 </w:t>
            </w:r>
          </w:p>
          <w:p w14:paraId="5CE06FAB">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②支持供应商配送效率（进度）查询。 </w:t>
            </w:r>
          </w:p>
        </w:tc>
      </w:tr>
      <w:tr w14:paraId="257C7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524" w:type="dxa"/>
            <w:vAlign w:val="center"/>
          </w:tcPr>
          <w:p w14:paraId="0F39606B">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数据授权和审批流定义</w:t>
            </w:r>
          </w:p>
        </w:tc>
        <w:tc>
          <w:tcPr>
            <w:tcW w:w="8353" w:type="dxa"/>
            <w:vAlign w:val="center"/>
          </w:tcPr>
          <w:p w14:paraId="21DEE9A5">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支持商品、厂家、供应商准入机制管理并支持设置对应数据过滤，支持服务商（中选方），医院等多方审批流配置等。 </w:t>
            </w:r>
          </w:p>
        </w:tc>
      </w:tr>
      <w:tr w14:paraId="45407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524" w:type="dxa"/>
            <w:vAlign w:val="center"/>
          </w:tcPr>
          <w:p w14:paraId="4105170A">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数据传输方式</w:t>
            </w:r>
          </w:p>
        </w:tc>
        <w:tc>
          <w:tcPr>
            <w:tcW w:w="8353" w:type="dxa"/>
            <w:vAlign w:val="center"/>
          </w:tcPr>
          <w:p w14:paraId="4805FFD4">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平台具备通过数据功能授权并提供多种接口模式（文件导入、WebService）等，收集企业数据并下发企业需要的信息，满足厂家、流通企业、子流通企业分别在平台上传配货信息和接收订单。 </w:t>
            </w:r>
          </w:p>
        </w:tc>
      </w:tr>
      <w:tr w14:paraId="26C4F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524" w:type="dxa"/>
            <w:vAlign w:val="center"/>
          </w:tcPr>
          <w:p w14:paraId="45987ECC">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证照管理和预警</w:t>
            </w:r>
          </w:p>
        </w:tc>
        <w:tc>
          <w:tcPr>
            <w:tcW w:w="8353" w:type="dxa"/>
            <w:vAlign w:val="center"/>
          </w:tcPr>
          <w:p w14:paraId="3FF15EBC">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①平台支持供应商的</w:t>
            </w:r>
            <w:r>
              <w:rPr>
                <w:rFonts w:hint="eastAsia" w:asciiTheme="majorEastAsia" w:hAnsiTheme="majorEastAsia" w:eastAsiaTheme="majorEastAsia" w:cstheme="majorEastAsia"/>
                <w:color w:val="auto"/>
                <w:sz w:val="21"/>
                <w:szCs w:val="21"/>
                <w:highlight w:val="none"/>
                <w:lang w:bidi="zh-CN"/>
              </w:rPr>
              <w:t>管理</w:t>
            </w:r>
            <w:r>
              <w:rPr>
                <w:rFonts w:hint="eastAsia" w:asciiTheme="majorEastAsia" w:hAnsiTheme="majorEastAsia" w:eastAsiaTheme="majorEastAsia" w:cstheme="majorEastAsia"/>
                <w:color w:val="auto"/>
                <w:sz w:val="21"/>
                <w:szCs w:val="21"/>
                <w:highlight w:val="none"/>
                <w:lang w:val="zh-CN" w:bidi="zh-CN"/>
              </w:rPr>
              <w:t>、</w:t>
            </w:r>
            <w:r>
              <w:rPr>
                <w:rFonts w:hint="eastAsia" w:asciiTheme="majorEastAsia" w:hAnsiTheme="majorEastAsia" w:eastAsiaTheme="majorEastAsia" w:cstheme="majorEastAsia"/>
                <w:color w:val="auto"/>
                <w:sz w:val="21"/>
                <w:szCs w:val="21"/>
                <w:highlight w:val="none"/>
                <w:lang w:bidi="zh-CN"/>
              </w:rPr>
              <w:t>业务人员身份信息登记备案</w:t>
            </w:r>
            <w:r>
              <w:rPr>
                <w:rFonts w:hint="eastAsia" w:asciiTheme="majorEastAsia" w:hAnsiTheme="majorEastAsia" w:eastAsiaTheme="majorEastAsia" w:cstheme="majorEastAsia"/>
                <w:color w:val="auto"/>
                <w:sz w:val="21"/>
                <w:szCs w:val="21"/>
                <w:highlight w:val="none"/>
                <w:lang w:val="zh-CN" w:bidi="zh-CN"/>
              </w:rPr>
              <w:t>、供应商自行维护证件，</w:t>
            </w:r>
            <w:r>
              <w:rPr>
                <w:rFonts w:hint="eastAsia" w:asciiTheme="majorEastAsia" w:hAnsiTheme="majorEastAsia" w:eastAsiaTheme="majorEastAsia" w:cstheme="majorEastAsia"/>
                <w:color w:val="auto"/>
                <w:sz w:val="21"/>
                <w:szCs w:val="21"/>
                <w:highlight w:val="none"/>
                <w:lang w:bidi="zh-CN"/>
              </w:rPr>
              <w:t>资质证照</w:t>
            </w:r>
            <w:r>
              <w:rPr>
                <w:rFonts w:hint="eastAsia" w:asciiTheme="majorEastAsia" w:hAnsiTheme="majorEastAsia" w:eastAsiaTheme="majorEastAsia" w:cstheme="majorEastAsia"/>
                <w:color w:val="auto"/>
                <w:sz w:val="21"/>
                <w:szCs w:val="21"/>
                <w:highlight w:val="none"/>
                <w:lang w:val="zh-CN" w:bidi="zh-CN"/>
              </w:rPr>
              <w:t>临期智能预警。</w:t>
            </w:r>
            <w:r>
              <w:rPr>
                <w:rFonts w:hint="eastAsia" w:asciiTheme="majorEastAsia" w:hAnsiTheme="majorEastAsia" w:eastAsiaTheme="majorEastAsia" w:cstheme="majorEastAsia"/>
                <w:b/>
                <w:bCs/>
                <w:color w:val="FF0000"/>
                <w:sz w:val="21"/>
                <w:szCs w:val="21"/>
                <w:highlight w:val="none"/>
                <w:lang w:val="zh-CN" w:bidi="zh-CN"/>
              </w:rPr>
              <w:t>（提供系统截图）</w:t>
            </w:r>
          </w:p>
          <w:p w14:paraId="27EB415E">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②支持资质证照 OCR 图片自动转换文字功能。</w:t>
            </w:r>
            <w:r>
              <w:rPr>
                <w:rFonts w:hint="eastAsia" w:asciiTheme="majorEastAsia" w:hAnsiTheme="majorEastAsia" w:eastAsiaTheme="majorEastAsia" w:cstheme="majorEastAsia"/>
                <w:b/>
                <w:bCs/>
                <w:color w:val="FF0000"/>
                <w:sz w:val="21"/>
                <w:szCs w:val="21"/>
                <w:highlight w:val="none"/>
                <w:lang w:val="zh-CN" w:bidi="zh-CN"/>
              </w:rPr>
              <w:t>（提供系统截图）</w:t>
            </w:r>
          </w:p>
        </w:tc>
      </w:tr>
      <w:tr w14:paraId="5377A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524" w:type="dxa"/>
            <w:vAlign w:val="center"/>
          </w:tcPr>
          <w:p w14:paraId="0E683253">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发票制作功能</w:t>
            </w:r>
          </w:p>
        </w:tc>
        <w:tc>
          <w:tcPr>
            <w:tcW w:w="8353" w:type="dxa"/>
            <w:vAlign w:val="center"/>
          </w:tcPr>
          <w:p w14:paraId="562E8D84">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供货商可以调取消耗信息进行登记发票信息，支持一张结算单开具多张发票。 </w:t>
            </w:r>
          </w:p>
        </w:tc>
      </w:tr>
      <w:tr w14:paraId="33504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524" w:type="dxa"/>
            <w:vAlign w:val="center"/>
          </w:tcPr>
          <w:p w14:paraId="6532FFA9">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bidi="zh-CN"/>
              </w:rPr>
            </w:pPr>
            <w:r>
              <w:rPr>
                <w:rFonts w:hint="eastAsia" w:asciiTheme="majorEastAsia" w:hAnsiTheme="majorEastAsia" w:eastAsiaTheme="majorEastAsia" w:cstheme="majorEastAsia"/>
                <w:color w:val="auto"/>
                <w:sz w:val="21"/>
                <w:szCs w:val="21"/>
                <w:highlight w:val="none"/>
                <w:lang w:val="zh-CN" w:bidi="zh-CN"/>
              </w:rPr>
              <w:t>统计分析</w:t>
            </w:r>
            <w:r>
              <w:rPr>
                <w:rFonts w:hint="eastAsia" w:asciiTheme="majorEastAsia" w:hAnsiTheme="majorEastAsia" w:eastAsiaTheme="majorEastAsia" w:cstheme="majorEastAsia"/>
                <w:color w:val="auto"/>
                <w:sz w:val="21"/>
                <w:szCs w:val="21"/>
                <w:highlight w:val="none"/>
                <w:lang w:bidi="zh-CN"/>
              </w:rPr>
              <w:t>功能</w:t>
            </w:r>
          </w:p>
        </w:tc>
        <w:tc>
          <w:tcPr>
            <w:tcW w:w="8353" w:type="dxa"/>
            <w:vAlign w:val="center"/>
          </w:tcPr>
          <w:p w14:paraId="7D9B115C">
            <w:pPr>
              <w:autoSpaceDE w:val="0"/>
              <w:autoSpaceDN w:val="0"/>
              <w:spacing w:line="240" w:lineRule="auto"/>
              <w:rPr>
                <w:rFonts w:hint="eastAsia" w:asciiTheme="majorEastAsia" w:hAnsiTheme="majorEastAsia" w:eastAsiaTheme="majorEastAsia" w:cstheme="majorEastAsia"/>
                <w:color w:val="auto"/>
                <w:sz w:val="21"/>
                <w:szCs w:val="21"/>
                <w:highlight w:val="none"/>
                <w:lang w:bidi="zh-CN"/>
              </w:rPr>
            </w:pPr>
            <w:r>
              <w:rPr>
                <w:rFonts w:hint="eastAsia" w:asciiTheme="majorEastAsia" w:hAnsiTheme="majorEastAsia" w:eastAsiaTheme="majorEastAsia" w:cstheme="majorEastAsia"/>
                <w:color w:val="auto"/>
                <w:sz w:val="21"/>
                <w:szCs w:val="21"/>
                <w:highlight w:val="none"/>
                <w:lang w:val="zh-CN" w:bidi="zh-CN"/>
              </w:rPr>
              <w:t>供货商配送效率；支持对一种或多种耗材按科室使用量查询统计、打印、导</w:t>
            </w:r>
            <w:r>
              <w:rPr>
                <w:rFonts w:hint="eastAsia" w:asciiTheme="majorEastAsia" w:hAnsiTheme="majorEastAsia" w:eastAsiaTheme="majorEastAsia" w:cstheme="majorEastAsia"/>
                <w:color w:val="auto"/>
                <w:sz w:val="21"/>
                <w:szCs w:val="21"/>
                <w:highlight w:val="none"/>
                <w:lang w:bidi="zh-CN"/>
              </w:rPr>
              <w:t>出等。</w:t>
            </w:r>
          </w:p>
        </w:tc>
      </w:tr>
      <w:tr w14:paraId="351A3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524" w:type="dxa"/>
            <w:vAlign w:val="center"/>
          </w:tcPr>
          <w:p w14:paraId="61742D77">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权限管理</w:t>
            </w:r>
          </w:p>
        </w:tc>
        <w:tc>
          <w:tcPr>
            <w:tcW w:w="8353" w:type="dxa"/>
            <w:vAlign w:val="center"/>
          </w:tcPr>
          <w:p w14:paraId="5FA80CDF">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院方可以查看所有订单信息，供货商只能操作及查看自己的订单信息。 </w:t>
            </w:r>
          </w:p>
        </w:tc>
      </w:tr>
    </w:tbl>
    <w:p w14:paraId="52191C5F">
      <w:pPr>
        <w:snapToGrid w:val="0"/>
        <w:spacing w:line="240" w:lineRule="auto"/>
        <w:rPr>
          <w:rFonts w:hint="eastAsia" w:asciiTheme="majorEastAsia" w:hAnsiTheme="majorEastAsia" w:eastAsiaTheme="majorEastAsia" w:cstheme="majorEastAsia"/>
          <w:color w:val="auto"/>
          <w:sz w:val="21"/>
          <w:szCs w:val="21"/>
          <w:highlight w:val="none"/>
          <w:lang w:val="en-US" w:eastAsia="zh-CN"/>
        </w:rPr>
      </w:pPr>
    </w:p>
    <w:p w14:paraId="4E900492">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▲15.2 院内物流精益化管理平台，中心库实现集中化运营服务，包括协助医用物资品规品种的信息化准入标准建设，医用物资院内统一赋码，常备物资统一仓储，以及院内物资配送等工作内容；为临床科室提供二级库精细化管理，包括二级库补货、拣选、库存、效期预警、盘点、消耗结算等工作。</w:t>
      </w:r>
    </w:p>
    <w:p w14:paraId="54DD2AA5">
      <w:pPr>
        <w:snapToGrid w:val="0"/>
        <w:spacing w:line="24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2"/>
          <w:sz w:val="21"/>
          <w:szCs w:val="21"/>
          <w:highlight w:val="none"/>
          <w:lang w:val="en-US" w:eastAsia="zh-CN" w:bidi="ar-SA"/>
        </w:rPr>
        <w:t xml:space="preserve">（1） 基础模块 </w:t>
      </w:r>
    </w:p>
    <w:tbl>
      <w:tblPr>
        <w:tblStyle w:val="39"/>
        <w:tblW w:w="101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26"/>
        <w:gridCol w:w="7791"/>
      </w:tblGrid>
      <w:tr w14:paraId="66DC0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326" w:type="dxa"/>
            <w:vAlign w:val="center"/>
          </w:tcPr>
          <w:p w14:paraId="3586F28E">
            <w:pPr>
              <w:autoSpaceDE w:val="0"/>
              <w:autoSpaceDN w:val="0"/>
              <w:spacing w:line="240" w:lineRule="auto"/>
              <w:jc w:val="center"/>
              <w:rPr>
                <w:rFonts w:hint="eastAsia" w:asciiTheme="majorEastAsia" w:hAnsiTheme="majorEastAsia" w:eastAsiaTheme="majorEastAsia" w:cstheme="majorEastAsia"/>
                <w:b/>
                <w:color w:val="auto"/>
                <w:sz w:val="21"/>
                <w:szCs w:val="21"/>
                <w:highlight w:val="none"/>
                <w:lang w:val="zh-CN" w:bidi="zh-CN"/>
              </w:rPr>
            </w:pPr>
            <w:r>
              <w:rPr>
                <w:rFonts w:hint="eastAsia" w:asciiTheme="majorEastAsia" w:hAnsiTheme="majorEastAsia" w:eastAsiaTheme="majorEastAsia" w:cstheme="majorEastAsia"/>
                <w:b/>
                <w:color w:val="auto"/>
                <w:sz w:val="21"/>
                <w:szCs w:val="21"/>
                <w:highlight w:val="none"/>
                <w:lang w:val="zh-CN" w:bidi="zh-CN"/>
              </w:rPr>
              <w:t>子功能</w:t>
            </w:r>
          </w:p>
        </w:tc>
        <w:tc>
          <w:tcPr>
            <w:tcW w:w="7791" w:type="dxa"/>
            <w:vAlign w:val="center"/>
          </w:tcPr>
          <w:p w14:paraId="1591C560">
            <w:pPr>
              <w:tabs>
                <w:tab w:val="left" w:pos="129"/>
              </w:tabs>
              <w:autoSpaceDE w:val="0"/>
              <w:autoSpaceDN w:val="0"/>
              <w:spacing w:line="240" w:lineRule="auto"/>
              <w:jc w:val="center"/>
              <w:rPr>
                <w:rFonts w:hint="eastAsia" w:asciiTheme="majorEastAsia" w:hAnsiTheme="majorEastAsia" w:eastAsiaTheme="majorEastAsia" w:cstheme="majorEastAsia"/>
                <w:b/>
                <w:color w:val="auto"/>
                <w:sz w:val="21"/>
                <w:szCs w:val="21"/>
                <w:highlight w:val="none"/>
                <w:lang w:val="zh-CN" w:bidi="zh-CN"/>
              </w:rPr>
            </w:pPr>
            <w:r>
              <w:rPr>
                <w:rFonts w:hint="eastAsia" w:asciiTheme="majorEastAsia" w:hAnsiTheme="majorEastAsia" w:eastAsiaTheme="majorEastAsia" w:cstheme="majorEastAsia"/>
                <w:b/>
                <w:color w:val="auto"/>
                <w:sz w:val="21"/>
                <w:szCs w:val="21"/>
                <w:highlight w:val="none"/>
                <w:lang w:val="zh-CN" w:bidi="zh-CN"/>
              </w:rPr>
              <w:t>功能说明</w:t>
            </w:r>
          </w:p>
        </w:tc>
      </w:tr>
      <w:tr w14:paraId="4AA37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326" w:type="dxa"/>
            <w:vAlign w:val="center"/>
          </w:tcPr>
          <w:p w14:paraId="104D6612">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p>
          <w:p w14:paraId="169E2D22">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p>
          <w:p w14:paraId="41CE1041">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p>
          <w:p w14:paraId="7FA75F5E">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医院商品管理</w:t>
            </w:r>
            <w:r>
              <w:rPr>
                <w:rFonts w:hint="eastAsia" w:asciiTheme="majorEastAsia" w:hAnsiTheme="majorEastAsia" w:eastAsiaTheme="majorEastAsia" w:cstheme="majorEastAsia"/>
                <w:color w:val="auto"/>
                <w:sz w:val="21"/>
                <w:szCs w:val="21"/>
                <w:highlight w:val="none"/>
                <w:lang w:val="en-US" w:bidi="zh-CN"/>
              </w:rPr>
              <w:t xml:space="preserve">         </w:t>
            </w:r>
            <w:r>
              <w:rPr>
                <w:rFonts w:hint="eastAsia" w:asciiTheme="majorEastAsia" w:hAnsiTheme="majorEastAsia" w:eastAsiaTheme="majorEastAsia" w:cstheme="majorEastAsia"/>
                <w:color w:val="auto"/>
                <w:sz w:val="21"/>
                <w:szCs w:val="21"/>
                <w:highlight w:val="none"/>
                <w:lang w:val="zh-CN" w:bidi="zh-CN"/>
              </w:rPr>
              <w:t>（物资维护管理）</w:t>
            </w:r>
          </w:p>
        </w:tc>
        <w:tc>
          <w:tcPr>
            <w:tcW w:w="7791" w:type="dxa"/>
            <w:vAlign w:val="center"/>
          </w:tcPr>
          <w:p w14:paraId="2808777D">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针对医院物资的品种准入、物资信息、证照等相关资质信息，进行统一基础管理。 </w:t>
            </w:r>
          </w:p>
          <w:p w14:paraId="45223991">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①支持物资分类管理。 </w:t>
            </w:r>
          </w:p>
          <w:p w14:paraId="1EA0C3E5">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②支持在线查阅物资关联证照信息。 </w:t>
            </w:r>
          </w:p>
          <w:p w14:paraId="0E507B56">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③支持设置同一商品多种品规，单品规对应唯一价格。</w:t>
            </w:r>
          </w:p>
          <w:p w14:paraId="77D5BA12">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④ 支持多计量单位管理，支持相互转换。</w:t>
            </w:r>
          </w:p>
          <w:p w14:paraId="7705E02D">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⑤ 可以与医院原有系统对接，确保所有系统正常运作。 </w:t>
            </w:r>
          </w:p>
          <w:p w14:paraId="7E34DE76">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⑥物资属性及维护能满足医院需求，可以按照医院需求新增其它功能。 </w:t>
            </w:r>
          </w:p>
          <w:p w14:paraId="3926557C">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⑦所有物资属性支持数据统计分析。 </w:t>
            </w:r>
          </w:p>
          <w:p w14:paraId="773E24AB">
            <w:pPr>
              <w:autoSpaceDE w:val="0"/>
              <w:autoSpaceDN w:val="0"/>
              <w:spacing w:line="240" w:lineRule="auto"/>
              <w:rPr>
                <w:rFonts w:hint="eastAsia" w:asciiTheme="majorEastAsia" w:hAnsiTheme="majorEastAsia" w:eastAsiaTheme="majorEastAsia" w:cstheme="majorEastAsia"/>
                <w:sz w:val="21"/>
                <w:szCs w:val="21"/>
                <w:lang w:val="zh-CN"/>
              </w:rPr>
            </w:pPr>
            <w:r>
              <w:rPr>
                <w:rFonts w:hint="eastAsia" w:asciiTheme="majorEastAsia" w:hAnsiTheme="majorEastAsia" w:eastAsiaTheme="majorEastAsia" w:cstheme="majorEastAsia"/>
                <w:color w:val="auto"/>
                <w:sz w:val="21"/>
                <w:szCs w:val="21"/>
                <w:highlight w:val="none"/>
                <w:lang w:val="zh-CN" w:bidi="zh-CN"/>
              </w:rPr>
              <w:t xml:space="preserve">⑧信息维护支持痕迹操作，支持日期查询，可追溯至操作员。 </w:t>
            </w:r>
          </w:p>
        </w:tc>
      </w:tr>
      <w:tr w14:paraId="4E640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326" w:type="dxa"/>
            <w:vAlign w:val="center"/>
          </w:tcPr>
          <w:p w14:paraId="0056FEAB">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供应商管理</w:t>
            </w:r>
          </w:p>
        </w:tc>
        <w:tc>
          <w:tcPr>
            <w:tcW w:w="7791" w:type="dxa"/>
            <w:vAlign w:val="center"/>
          </w:tcPr>
          <w:p w14:paraId="50E69C00">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针对供应商准入、证照等相关资质信息进行统一基础管理。 </w:t>
            </w:r>
          </w:p>
          <w:p w14:paraId="5F904750">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①支持供应商分类管理。 </w:t>
            </w:r>
          </w:p>
          <w:p w14:paraId="68024A58">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②支持在线查阅供应商资质、照片、统招相关信息。 </w:t>
            </w:r>
          </w:p>
          <w:p w14:paraId="185B5D9D">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③支持供应商和生产厂家的信息维护。 </w:t>
            </w:r>
          </w:p>
          <w:p w14:paraId="78D1CEA5">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④信息维护支持痕迹操作。支持查阅过期信息。 </w:t>
            </w:r>
          </w:p>
          <w:p w14:paraId="0DB04717">
            <w:pPr>
              <w:autoSpaceDE w:val="0"/>
              <w:autoSpaceDN w:val="0"/>
              <w:spacing w:line="240" w:lineRule="auto"/>
              <w:rPr>
                <w:rFonts w:hint="eastAsia" w:asciiTheme="majorEastAsia" w:hAnsiTheme="majorEastAsia" w:eastAsiaTheme="majorEastAsia" w:cstheme="majorEastAsia"/>
                <w:sz w:val="21"/>
                <w:szCs w:val="21"/>
                <w:lang w:val="zh-CN"/>
              </w:rPr>
            </w:pPr>
            <w:r>
              <w:rPr>
                <w:rFonts w:hint="eastAsia" w:asciiTheme="majorEastAsia" w:hAnsiTheme="majorEastAsia" w:eastAsiaTheme="majorEastAsia" w:cstheme="majorEastAsia"/>
                <w:color w:val="auto"/>
                <w:sz w:val="21"/>
                <w:szCs w:val="21"/>
                <w:highlight w:val="none"/>
                <w:lang w:val="zh-CN" w:bidi="zh-CN"/>
              </w:rPr>
              <w:t xml:space="preserve">⑤支持对证照资质到期前的有效期预警，可以设置管控措施。 </w:t>
            </w:r>
          </w:p>
        </w:tc>
      </w:tr>
      <w:tr w14:paraId="55497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326" w:type="dxa"/>
            <w:vAlign w:val="center"/>
          </w:tcPr>
          <w:p w14:paraId="183EA9E3">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bidi="zh-CN"/>
              </w:rPr>
            </w:pPr>
            <w:r>
              <w:rPr>
                <w:rFonts w:hint="eastAsia" w:asciiTheme="majorEastAsia" w:hAnsiTheme="majorEastAsia" w:eastAsiaTheme="majorEastAsia" w:cstheme="majorEastAsia"/>
                <w:color w:val="auto"/>
                <w:sz w:val="21"/>
                <w:szCs w:val="21"/>
                <w:highlight w:val="none"/>
                <w:lang w:bidi="zh-CN"/>
              </w:rPr>
              <w:t>医院供应商商品关系</w:t>
            </w:r>
          </w:p>
        </w:tc>
        <w:tc>
          <w:tcPr>
            <w:tcW w:w="7791" w:type="dxa"/>
            <w:vAlign w:val="center"/>
          </w:tcPr>
          <w:p w14:paraId="203763C1">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针对品种进行医院和供应商的商品关系维护。 </w:t>
            </w:r>
          </w:p>
        </w:tc>
      </w:tr>
      <w:tr w14:paraId="6ED30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326" w:type="dxa"/>
            <w:vAlign w:val="center"/>
          </w:tcPr>
          <w:p w14:paraId="10D16E8D">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结算管理</w:t>
            </w:r>
          </w:p>
        </w:tc>
        <w:tc>
          <w:tcPr>
            <w:tcW w:w="7791" w:type="dxa"/>
            <w:vAlign w:val="center"/>
          </w:tcPr>
          <w:p w14:paraId="15461C8E">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①支持消耗后定期结算管理。 </w:t>
            </w:r>
          </w:p>
          <w:p w14:paraId="79120030">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②支持结算单审核。结算单展现供应商本月到货信息、消耗信息、库存剩余信息等功能。 </w:t>
            </w:r>
          </w:p>
          <w:p w14:paraId="769B66F3">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③支持发票管理。供应商发票单据自动同步院内物流系统，相关人员进行发票接收、发票审核功能。 </w:t>
            </w:r>
          </w:p>
          <w:p w14:paraId="30F82219">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④支持汇总查询。支持可收费和不可收费耗材的进销存查询、结算单状态跟踪查询、入出库发票查询、结算单数据核对查询、控量耗材剩余量查询等功能。 </w:t>
            </w:r>
          </w:p>
          <w:p w14:paraId="6D63BD77">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⑤支持对供应商结算功能。</w:t>
            </w:r>
          </w:p>
        </w:tc>
      </w:tr>
    </w:tbl>
    <w:p w14:paraId="2F83674A">
      <w:pPr>
        <w:snapToGrid w:val="0"/>
        <w:spacing w:line="240" w:lineRule="auto"/>
        <w:rPr>
          <w:rFonts w:hint="eastAsia" w:asciiTheme="majorEastAsia" w:hAnsiTheme="majorEastAsia" w:eastAsiaTheme="majorEastAsia" w:cstheme="majorEastAsia"/>
          <w:color w:val="auto"/>
          <w:sz w:val="21"/>
          <w:szCs w:val="21"/>
          <w:highlight w:val="none"/>
        </w:rPr>
      </w:pPr>
    </w:p>
    <w:p w14:paraId="179230BA">
      <w:pPr>
        <w:snapToGrid w:val="0"/>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 xml:space="preserve">（2）中心库模块 </w:t>
      </w:r>
    </w:p>
    <w:tbl>
      <w:tblPr>
        <w:tblStyle w:val="39"/>
        <w:tblW w:w="9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9"/>
        <w:gridCol w:w="7846"/>
      </w:tblGrid>
      <w:tr w14:paraId="747C7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1679" w:type="dxa"/>
            <w:vAlign w:val="center"/>
          </w:tcPr>
          <w:p w14:paraId="3AE54AD7">
            <w:pPr>
              <w:spacing w:line="240" w:lineRule="auto"/>
              <w:ind w:left="-2" w:leftChars="-1" w:right="90" w:firstLine="8" w:firstLineChars="4"/>
              <w:jc w:val="center"/>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子功能</w:t>
            </w:r>
          </w:p>
        </w:tc>
        <w:tc>
          <w:tcPr>
            <w:tcW w:w="7846" w:type="dxa"/>
            <w:vAlign w:val="center"/>
          </w:tcPr>
          <w:p w14:paraId="2FA44E3C">
            <w:pPr>
              <w:spacing w:line="240" w:lineRule="auto"/>
              <w:ind w:left="-2" w:leftChars="-1" w:right="90" w:firstLine="8" w:firstLineChars="4"/>
              <w:jc w:val="center"/>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bCs/>
                <w:color w:val="auto"/>
                <w:sz w:val="21"/>
                <w:szCs w:val="21"/>
                <w:highlight w:val="none"/>
              </w:rPr>
              <w:t xml:space="preserve">功能描述 </w:t>
            </w:r>
          </w:p>
        </w:tc>
      </w:tr>
      <w:tr w14:paraId="42715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679" w:type="dxa"/>
            <w:vAlign w:val="center"/>
          </w:tcPr>
          <w:p w14:paraId="2169BB63">
            <w:pPr>
              <w:spacing w:line="240" w:lineRule="auto"/>
              <w:ind w:left="-2" w:leftChars="-1" w:right="90" w:firstLine="8" w:firstLineChars="4"/>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单品码管理</w:t>
            </w:r>
          </w:p>
        </w:tc>
        <w:tc>
          <w:tcPr>
            <w:tcW w:w="7846" w:type="dxa"/>
            <w:vAlign w:val="center"/>
          </w:tcPr>
          <w:p w14:paraId="0E85CFBC">
            <w:pPr>
              <w:spacing w:line="240" w:lineRule="auto"/>
              <w:ind w:left="108"/>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对单品规，实现一码溯源机制。 </w:t>
            </w:r>
          </w:p>
        </w:tc>
      </w:tr>
      <w:tr w14:paraId="4FEFE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679" w:type="dxa"/>
            <w:vAlign w:val="center"/>
          </w:tcPr>
          <w:p w14:paraId="2F59887E">
            <w:pPr>
              <w:spacing w:line="240" w:lineRule="auto"/>
              <w:ind w:left="-2" w:leftChars="-1" w:right="90" w:firstLine="8" w:firstLineChars="4"/>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验收管理</w:t>
            </w:r>
          </w:p>
        </w:tc>
        <w:tc>
          <w:tcPr>
            <w:tcW w:w="7846" w:type="dxa"/>
            <w:vAlign w:val="center"/>
          </w:tcPr>
          <w:p w14:paraId="54CA3ACA">
            <w:pPr>
              <w:spacing w:line="240" w:lineRule="auto"/>
              <w:ind w:left="108"/>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支持一键扫码入库。 </w:t>
            </w:r>
          </w:p>
        </w:tc>
      </w:tr>
      <w:tr w14:paraId="12373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679" w:type="dxa"/>
            <w:vAlign w:val="center"/>
          </w:tcPr>
          <w:p w14:paraId="7437B1A2">
            <w:pPr>
              <w:spacing w:line="240" w:lineRule="auto"/>
              <w:ind w:left="-2" w:leftChars="-1" w:right="90" w:firstLine="8" w:firstLineChars="4"/>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上架管理</w:t>
            </w:r>
          </w:p>
        </w:tc>
        <w:tc>
          <w:tcPr>
            <w:tcW w:w="7846" w:type="dxa"/>
            <w:vAlign w:val="center"/>
          </w:tcPr>
          <w:p w14:paraId="6534C779">
            <w:pPr>
              <w:spacing w:line="240" w:lineRule="auto"/>
              <w:ind w:left="108"/>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支持扫码上架。 </w:t>
            </w:r>
          </w:p>
        </w:tc>
      </w:tr>
      <w:tr w14:paraId="3C58D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679" w:type="dxa"/>
            <w:vAlign w:val="center"/>
          </w:tcPr>
          <w:p w14:paraId="36FD59CD">
            <w:pPr>
              <w:spacing w:line="240" w:lineRule="auto"/>
              <w:ind w:left="-2" w:leftChars="-1" w:right="90" w:firstLine="8" w:firstLineChars="4"/>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整件拆零管理</w:t>
            </w:r>
          </w:p>
        </w:tc>
        <w:tc>
          <w:tcPr>
            <w:tcW w:w="7846" w:type="dxa"/>
            <w:vAlign w:val="center"/>
          </w:tcPr>
          <w:p w14:paraId="51194C1B">
            <w:pPr>
              <w:spacing w:line="240" w:lineRule="auto"/>
              <w:ind w:left="74" w:right="9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支持中心库整件和拆零管理，整件区和拆零区物理和系统库存分离，拆零区对单品种耗材可支持多种规格定数包大小设计，整件区对拆零区有预警补货机制</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b/>
                <w:bCs/>
                <w:color w:val="FF0000"/>
                <w:sz w:val="21"/>
                <w:szCs w:val="21"/>
                <w:highlight w:val="none"/>
                <w:lang w:eastAsia="zh-CN"/>
              </w:rPr>
              <w:t>（</w:t>
            </w:r>
            <w:r>
              <w:rPr>
                <w:rFonts w:hint="eastAsia" w:asciiTheme="majorEastAsia" w:hAnsiTheme="majorEastAsia" w:eastAsiaTheme="majorEastAsia" w:cstheme="majorEastAsia"/>
                <w:b/>
                <w:bCs/>
                <w:color w:val="FF0000"/>
                <w:sz w:val="21"/>
                <w:szCs w:val="21"/>
                <w:highlight w:val="none"/>
              </w:rPr>
              <w:t>提供系统截图</w:t>
            </w:r>
            <w:r>
              <w:rPr>
                <w:rFonts w:hint="eastAsia" w:asciiTheme="majorEastAsia" w:hAnsiTheme="majorEastAsia" w:eastAsiaTheme="majorEastAsia" w:cstheme="majorEastAsia"/>
                <w:b/>
                <w:bCs/>
                <w:color w:val="FF0000"/>
                <w:sz w:val="21"/>
                <w:szCs w:val="21"/>
                <w:highlight w:val="none"/>
                <w:lang w:eastAsia="zh-CN"/>
              </w:rPr>
              <w:t>）</w:t>
            </w:r>
          </w:p>
        </w:tc>
      </w:tr>
      <w:tr w14:paraId="3EBA7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679" w:type="dxa"/>
            <w:vAlign w:val="center"/>
          </w:tcPr>
          <w:p w14:paraId="287C7495">
            <w:pPr>
              <w:spacing w:line="240" w:lineRule="auto"/>
              <w:ind w:left="-2" w:leftChars="-1" w:right="90" w:firstLine="8" w:firstLineChars="4"/>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科室补货任务管理</w:t>
            </w:r>
          </w:p>
        </w:tc>
        <w:tc>
          <w:tcPr>
            <w:tcW w:w="7846" w:type="dxa"/>
            <w:vAlign w:val="center"/>
          </w:tcPr>
          <w:p w14:paraId="39AD74C1">
            <w:pPr>
              <w:spacing w:line="240" w:lineRule="auto"/>
              <w:ind w:left="108" w:right="161"/>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①支持根据科室补货报警时间及科室补货优先级及科室所在区域进行释放拣货任务。 </w:t>
            </w:r>
          </w:p>
          <w:p w14:paraId="6A765D3E">
            <w:pPr>
              <w:spacing w:line="240" w:lineRule="auto"/>
              <w:ind w:left="108"/>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②支持释放拣货任务判断当前库存是否满足，不满足不打印拣货标签，轮到下一次进行释放。 </w:t>
            </w:r>
          </w:p>
        </w:tc>
      </w:tr>
      <w:tr w14:paraId="65331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679" w:type="dxa"/>
            <w:vAlign w:val="center"/>
          </w:tcPr>
          <w:p w14:paraId="73EE1C65">
            <w:pPr>
              <w:spacing w:line="240" w:lineRule="auto"/>
              <w:ind w:left="-2" w:leftChars="-1" w:right="90" w:firstLine="8" w:firstLineChars="4"/>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拣货管理</w:t>
            </w:r>
          </w:p>
        </w:tc>
        <w:tc>
          <w:tcPr>
            <w:tcW w:w="7846" w:type="dxa"/>
            <w:vAlign w:val="center"/>
          </w:tcPr>
          <w:p w14:paraId="3018949F">
            <w:pPr>
              <w:spacing w:line="240" w:lineRule="auto"/>
              <w:ind w:left="108"/>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支持移动手持终端设备操作，扫描拣货标签系统自动提示拣货库位及拣货明细。 </w:t>
            </w:r>
          </w:p>
        </w:tc>
      </w:tr>
      <w:tr w14:paraId="3FDE8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679" w:type="dxa"/>
            <w:vAlign w:val="center"/>
          </w:tcPr>
          <w:p w14:paraId="2F18AE2E">
            <w:pPr>
              <w:spacing w:line="240" w:lineRule="auto"/>
              <w:ind w:left="-2" w:leftChars="-1" w:right="90" w:firstLine="8" w:firstLineChars="4"/>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加工管理</w:t>
            </w:r>
          </w:p>
        </w:tc>
        <w:tc>
          <w:tcPr>
            <w:tcW w:w="7846" w:type="dxa"/>
            <w:vAlign w:val="center"/>
          </w:tcPr>
          <w:p w14:paraId="4FBEB45D">
            <w:pPr>
              <w:spacing w:line="240" w:lineRule="auto"/>
              <w:ind w:left="108" w:right="161"/>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①支持按照科室、商品进行定数包的个性化加工，并打印定数包标签，科室加工任务完成打印配送清单。 </w:t>
            </w:r>
          </w:p>
          <w:p w14:paraId="2ACA75BA">
            <w:pPr>
              <w:spacing w:line="240" w:lineRule="auto"/>
              <w:ind w:left="108"/>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②支持相关加工任务查询。 </w:t>
            </w:r>
          </w:p>
          <w:p w14:paraId="1B234560">
            <w:pPr>
              <w:spacing w:line="240" w:lineRule="auto"/>
              <w:ind w:left="108"/>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③支持多加工台同时加工管理。 </w:t>
            </w:r>
          </w:p>
        </w:tc>
      </w:tr>
      <w:tr w14:paraId="217F8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679" w:type="dxa"/>
            <w:vAlign w:val="center"/>
          </w:tcPr>
          <w:p w14:paraId="43B58597">
            <w:pPr>
              <w:spacing w:line="240" w:lineRule="auto"/>
              <w:ind w:left="-2" w:leftChars="-1" w:right="90" w:firstLine="8" w:firstLineChars="4"/>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采购管理</w:t>
            </w:r>
          </w:p>
        </w:tc>
        <w:tc>
          <w:tcPr>
            <w:tcW w:w="7846" w:type="dxa"/>
            <w:vAlign w:val="center"/>
          </w:tcPr>
          <w:p w14:paraId="79F9EC6B">
            <w:pPr>
              <w:spacing w:line="240" w:lineRule="auto"/>
              <w:ind w:left="108"/>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①支持系统自动生成采购计划，可以自动通知工作相关人员进行处理。 </w:t>
            </w:r>
          </w:p>
          <w:p w14:paraId="25544425">
            <w:pPr>
              <w:spacing w:line="240" w:lineRule="auto"/>
              <w:ind w:left="108"/>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②支持采购计划生成订单进行审核。审核后可以通知相关负责人。 </w:t>
            </w:r>
          </w:p>
          <w:p w14:paraId="269309AD">
            <w:pPr>
              <w:spacing w:line="240" w:lineRule="auto"/>
              <w:ind w:left="108"/>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③支持采购计划作废管理。 </w:t>
            </w:r>
          </w:p>
          <w:p w14:paraId="0475F5DA">
            <w:pPr>
              <w:spacing w:line="240" w:lineRule="auto"/>
              <w:ind w:left="108"/>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④支持订单自动发送至供应商平台进行通知。 </w:t>
            </w:r>
          </w:p>
          <w:p w14:paraId="6AC89511">
            <w:pPr>
              <w:spacing w:line="240" w:lineRule="auto"/>
              <w:ind w:left="108"/>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⑤支持采购订单全程状态跟踪管理。 </w:t>
            </w:r>
          </w:p>
        </w:tc>
      </w:tr>
      <w:tr w14:paraId="3E85A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679" w:type="dxa"/>
            <w:vAlign w:val="center"/>
          </w:tcPr>
          <w:p w14:paraId="2C34BBF1">
            <w:pPr>
              <w:spacing w:line="240" w:lineRule="auto"/>
              <w:ind w:left="-2" w:leftChars="-1" w:right="119" w:firstLine="8" w:firstLineChars="4"/>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退货管理</w:t>
            </w:r>
          </w:p>
        </w:tc>
        <w:tc>
          <w:tcPr>
            <w:tcW w:w="7846" w:type="dxa"/>
            <w:vAlign w:val="center"/>
          </w:tcPr>
          <w:p w14:paraId="0E902A0C">
            <w:pPr>
              <w:spacing w:line="240" w:lineRule="auto"/>
              <w:ind w:left="108"/>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①支持中心库退货管理。 </w:t>
            </w:r>
          </w:p>
          <w:p w14:paraId="5A9A5936">
            <w:pPr>
              <w:spacing w:line="240" w:lineRule="auto"/>
              <w:ind w:left="108"/>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②支持科室退货管理，包括定数包商品退货及条码管控商品退货。 </w:t>
            </w:r>
          </w:p>
          <w:p w14:paraId="7B1A01BA">
            <w:pPr>
              <w:spacing w:line="240" w:lineRule="auto"/>
              <w:ind w:left="108"/>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③支持冲账管理。 </w:t>
            </w:r>
          </w:p>
        </w:tc>
      </w:tr>
      <w:tr w14:paraId="4B93B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679" w:type="dxa"/>
            <w:vAlign w:val="center"/>
          </w:tcPr>
          <w:p w14:paraId="1E327410">
            <w:pPr>
              <w:spacing w:line="240" w:lineRule="auto"/>
              <w:ind w:left="-2" w:leftChars="-1" w:right="167" w:firstLine="8" w:firstLineChars="4"/>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补货管理</w:t>
            </w:r>
          </w:p>
        </w:tc>
        <w:tc>
          <w:tcPr>
            <w:tcW w:w="7846" w:type="dxa"/>
            <w:vAlign w:val="center"/>
          </w:tcPr>
          <w:p w14:paraId="050E79A8">
            <w:pPr>
              <w:spacing w:line="240" w:lineRule="auto"/>
              <w:ind w:left="108"/>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①支持二级库自动补货管理。 </w:t>
            </w:r>
          </w:p>
          <w:p w14:paraId="3A387370">
            <w:pPr>
              <w:spacing w:line="240" w:lineRule="auto"/>
              <w:ind w:left="108"/>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②支持手工补货管理。 </w:t>
            </w:r>
          </w:p>
          <w:p w14:paraId="0BF2EC2D">
            <w:pPr>
              <w:spacing w:line="240" w:lineRule="auto"/>
              <w:ind w:left="108" w:right="161"/>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③支持科室补货节假日管理，设定出库任务生成时间，系统自动判断节假日期间使用量并自动释放出库任务</w:t>
            </w:r>
            <w:r>
              <w:rPr>
                <w:rFonts w:hint="eastAsia" w:asciiTheme="majorEastAsia" w:hAnsiTheme="majorEastAsia" w:eastAsiaTheme="majorEastAsia" w:cstheme="majorEastAsia"/>
                <w:color w:val="auto"/>
                <w:sz w:val="21"/>
                <w:szCs w:val="21"/>
                <w:highlight w:val="none"/>
                <w:lang w:eastAsia="zh-CN"/>
              </w:rPr>
              <w:t>。</w:t>
            </w:r>
          </w:p>
        </w:tc>
      </w:tr>
      <w:tr w14:paraId="36F5A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679" w:type="dxa"/>
            <w:vAlign w:val="center"/>
          </w:tcPr>
          <w:p w14:paraId="4CCD192F">
            <w:pPr>
              <w:spacing w:line="240" w:lineRule="auto"/>
              <w:ind w:left="-2" w:leftChars="-1" w:right="167" w:firstLine="8" w:firstLineChars="4"/>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库存管理</w:t>
            </w:r>
          </w:p>
        </w:tc>
        <w:tc>
          <w:tcPr>
            <w:tcW w:w="7846" w:type="dxa"/>
            <w:vAlign w:val="center"/>
          </w:tcPr>
          <w:p w14:paraId="1C6B1A10">
            <w:pPr>
              <w:spacing w:line="240" w:lineRule="auto"/>
              <w:ind w:left="108"/>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①支持库存设置安全库存、补货点、最大库存管理，并自动报警。</w:t>
            </w:r>
          </w:p>
          <w:p w14:paraId="21FF0A0B">
            <w:pPr>
              <w:spacing w:line="240" w:lineRule="auto"/>
              <w:ind w:left="108"/>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②支持库存设置定时定量补货，按周/按月补货，选择对应日期，自动补货；</w:t>
            </w:r>
          </w:p>
          <w:p w14:paraId="7DEE6052">
            <w:pPr>
              <w:spacing w:line="240" w:lineRule="auto"/>
              <w:ind w:left="108"/>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③支持移动手持终端查询货位库存功能。</w:t>
            </w:r>
          </w:p>
        </w:tc>
      </w:tr>
      <w:tr w14:paraId="64B03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679" w:type="dxa"/>
            <w:vAlign w:val="center"/>
          </w:tcPr>
          <w:p w14:paraId="69D2C220">
            <w:pPr>
              <w:spacing w:line="240" w:lineRule="auto"/>
              <w:ind w:left="-2" w:leftChars="-1" w:right="167" w:firstLine="8" w:firstLineChars="4"/>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盘点管理</w:t>
            </w:r>
          </w:p>
        </w:tc>
        <w:tc>
          <w:tcPr>
            <w:tcW w:w="7846" w:type="dxa"/>
            <w:vAlign w:val="center"/>
          </w:tcPr>
          <w:p w14:paraId="038464E0">
            <w:pPr>
              <w:spacing w:line="240" w:lineRule="auto"/>
              <w:ind w:left="108"/>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支持使用移动手持终端进行动态和静态盘点管理。 </w:t>
            </w:r>
          </w:p>
        </w:tc>
      </w:tr>
      <w:tr w14:paraId="61AC5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679" w:type="dxa"/>
            <w:vAlign w:val="center"/>
          </w:tcPr>
          <w:p w14:paraId="6731CDAC">
            <w:pPr>
              <w:spacing w:line="240" w:lineRule="auto"/>
              <w:ind w:left="-2" w:leftChars="-1" w:right="167" w:firstLine="8" w:firstLineChars="4"/>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控量管理</w:t>
            </w:r>
          </w:p>
        </w:tc>
        <w:tc>
          <w:tcPr>
            <w:tcW w:w="7846" w:type="dxa"/>
            <w:vAlign w:val="center"/>
          </w:tcPr>
          <w:p w14:paraId="0DE68252">
            <w:pPr>
              <w:spacing w:line="240" w:lineRule="auto"/>
              <w:ind w:left="108"/>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①支持物资使用预算管控，达到管控预算，不进行常规补货，走相关审批流程</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b/>
                <w:bCs/>
                <w:color w:val="FF0000"/>
                <w:sz w:val="21"/>
                <w:szCs w:val="21"/>
                <w:highlight w:val="none"/>
                <w:lang w:eastAsia="zh-CN"/>
              </w:rPr>
              <w:t>（</w:t>
            </w:r>
            <w:r>
              <w:rPr>
                <w:rFonts w:hint="eastAsia" w:asciiTheme="majorEastAsia" w:hAnsiTheme="majorEastAsia" w:eastAsiaTheme="majorEastAsia" w:cstheme="majorEastAsia"/>
                <w:b/>
                <w:bCs/>
                <w:color w:val="FF0000"/>
                <w:sz w:val="21"/>
                <w:szCs w:val="21"/>
                <w:highlight w:val="none"/>
              </w:rPr>
              <w:t>提供系统截图</w:t>
            </w:r>
            <w:r>
              <w:rPr>
                <w:rFonts w:hint="eastAsia" w:asciiTheme="majorEastAsia" w:hAnsiTheme="majorEastAsia" w:eastAsiaTheme="majorEastAsia" w:cstheme="majorEastAsia"/>
                <w:b/>
                <w:bCs/>
                <w:color w:val="FF0000"/>
                <w:sz w:val="21"/>
                <w:szCs w:val="21"/>
                <w:highlight w:val="none"/>
                <w:lang w:eastAsia="zh-CN"/>
              </w:rPr>
              <w:t>）</w:t>
            </w:r>
          </w:p>
          <w:p w14:paraId="16D0A171">
            <w:pPr>
              <w:spacing w:line="240" w:lineRule="auto"/>
              <w:ind w:left="108"/>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②支持物资使用用量管控，达到管控用量，不进行常规补货，走相关审批流程</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b/>
                <w:bCs/>
                <w:color w:val="FF0000"/>
                <w:sz w:val="21"/>
                <w:szCs w:val="21"/>
                <w:highlight w:val="none"/>
                <w:lang w:eastAsia="zh-CN"/>
              </w:rPr>
              <w:t>（</w:t>
            </w:r>
            <w:r>
              <w:rPr>
                <w:rFonts w:hint="eastAsia" w:asciiTheme="majorEastAsia" w:hAnsiTheme="majorEastAsia" w:eastAsiaTheme="majorEastAsia" w:cstheme="majorEastAsia"/>
                <w:b/>
                <w:bCs/>
                <w:color w:val="FF0000"/>
                <w:sz w:val="21"/>
                <w:szCs w:val="21"/>
                <w:highlight w:val="none"/>
              </w:rPr>
              <w:t>提供系统截图</w:t>
            </w:r>
            <w:r>
              <w:rPr>
                <w:rFonts w:hint="eastAsia" w:asciiTheme="majorEastAsia" w:hAnsiTheme="majorEastAsia" w:eastAsiaTheme="majorEastAsia" w:cstheme="majorEastAsia"/>
                <w:b/>
                <w:bCs/>
                <w:color w:val="FF0000"/>
                <w:sz w:val="21"/>
                <w:szCs w:val="21"/>
                <w:highlight w:val="none"/>
                <w:lang w:eastAsia="zh-CN"/>
              </w:rPr>
              <w:t>）</w:t>
            </w:r>
          </w:p>
        </w:tc>
      </w:tr>
      <w:tr w14:paraId="25EC7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679" w:type="dxa"/>
            <w:vAlign w:val="center"/>
          </w:tcPr>
          <w:p w14:paraId="46E1F844">
            <w:pPr>
              <w:spacing w:line="240" w:lineRule="auto"/>
              <w:ind w:left="-2" w:leftChars="-1" w:right="167" w:firstLine="8" w:firstLineChars="4"/>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批号管理</w:t>
            </w:r>
          </w:p>
        </w:tc>
        <w:tc>
          <w:tcPr>
            <w:tcW w:w="7846" w:type="dxa"/>
            <w:vAlign w:val="center"/>
          </w:tcPr>
          <w:p w14:paraId="4D1E66A8">
            <w:pPr>
              <w:spacing w:line="240" w:lineRule="auto"/>
              <w:ind w:left="108"/>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支持对物资的批号、效期等关键信息进行管理。 </w:t>
            </w:r>
          </w:p>
        </w:tc>
      </w:tr>
      <w:tr w14:paraId="7C508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679" w:type="dxa"/>
            <w:vAlign w:val="center"/>
          </w:tcPr>
          <w:p w14:paraId="4A68674D">
            <w:pPr>
              <w:spacing w:line="24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效期预警管理</w:t>
            </w:r>
          </w:p>
        </w:tc>
        <w:tc>
          <w:tcPr>
            <w:tcW w:w="7846" w:type="dxa"/>
            <w:vAlign w:val="center"/>
          </w:tcPr>
          <w:p w14:paraId="373A4B3E">
            <w:pPr>
              <w:spacing w:line="240" w:lineRule="auto"/>
              <w:ind w:left="149" w:leftChars="71"/>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支持对近效期物资自动预警。 </w:t>
            </w:r>
          </w:p>
        </w:tc>
      </w:tr>
    </w:tbl>
    <w:p w14:paraId="124D353D">
      <w:pPr>
        <w:spacing w:line="240" w:lineRule="auto"/>
        <w:rPr>
          <w:rFonts w:hint="eastAsia" w:asciiTheme="majorEastAsia" w:hAnsiTheme="majorEastAsia" w:eastAsiaTheme="majorEastAsia" w:cstheme="majorEastAsia"/>
          <w:color w:val="auto"/>
          <w:sz w:val="21"/>
          <w:szCs w:val="21"/>
          <w:highlight w:val="none"/>
        </w:rPr>
      </w:pPr>
    </w:p>
    <w:p w14:paraId="0D84EED3">
      <w:pPr>
        <w:snapToGrid w:val="0"/>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（3）科室库管理</w:t>
      </w:r>
    </w:p>
    <w:tbl>
      <w:tblPr>
        <w:tblStyle w:val="39"/>
        <w:tblW w:w="101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00"/>
        <w:gridCol w:w="7883"/>
      </w:tblGrid>
      <w:tr w14:paraId="2090F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300" w:type="dxa"/>
            <w:vAlign w:val="center"/>
          </w:tcPr>
          <w:p w14:paraId="52564440">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b/>
                <w:color w:val="auto"/>
                <w:sz w:val="21"/>
                <w:szCs w:val="21"/>
                <w:highlight w:val="none"/>
                <w:lang w:val="zh-CN" w:bidi="zh-CN"/>
              </w:rPr>
              <w:t>子功能</w:t>
            </w:r>
            <w:r>
              <w:rPr>
                <w:rFonts w:hint="eastAsia" w:asciiTheme="majorEastAsia" w:hAnsiTheme="majorEastAsia" w:eastAsiaTheme="majorEastAsia" w:cstheme="majorEastAsia"/>
                <w:color w:val="auto"/>
                <w:sz w:val="21"/>
                <w:szCs w:val="21"/>
                <w:highlight w:val="none"/>
                <w:lang w:val="zh-CN" w:bidi="zh-CN"/>
              </w:rPr>
              <w:t xml:space="preserve"> </w:t>
            </w:r>
          </w:p>
        </w:tc>
        <w:tc>
          <w:tcPr>
            <w:tcW w:w="7883" w:type="dxa"/>
            <w:vAlign w:val="center"/>
          </w:tcPr>
          <w:p w14:paraId="478615C4">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b/>
                <w:color w:val="auto"/>
                <w:sz w:val="21"/>
                <w:szCs w:val="21"/>
                <w:highlight w:val="none"/>
                <w:lang w:val="zh-CN" w:bidi="zh-CN"/>
              </w:rPr>
              <w:t>功能说明</w:t>
            </w:r>
            <w:r>
              <w:rPr>
                <w:rFonts w:hint="eastAsia" w:asciiTheme="majorEastAsia" w:hAnsiTheme="majorEastAsia" w:eastAsiaTheme="majorEastAsia" w:cstheme="majorEastAsia"/>
                <w:color w:val="auto"/>
                <w:sz w:val="21"/>
                <w:szCs w:val="21"/>
                <w:highlight w:val="none"/>
                <w:lang w:val="zh-CN" w:bidi="zh-CN"/>
              </w:rPr>
              <w:t xml:space="preserve"> </w:t>
            </w:r>
          </w:p>
        </w:tc>
      </w:tr>
      <w:tr w14:paraId="5BB4E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300" w:type="dxa"/>
            <w:vAlign w:val="center"/>
          </w:tcPr>
          <w:p w14:paraId="61EE957B">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资料维护 </w:t>
            </w:r>
          </w:p>
        </w:tc>
        <w:tc>
          <w:tcPr>
            <w:tcW w:w="7883" w:type="dxa"/>
            <w:vAlign w:val="center"/>
          </w:tcPr>
          <w:p w14:paraId="43491B46">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基础资料维护。 </w:t>
            </w:r>
          </w:p>
        </w:tc>
      </w:tr>
      <w:tr w14:paraId="7160F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300" w:type="dxa"/>
            <w:vAlign w:val="center"/>
          </w:tcPr>
          <w:p w14:paraId="5E7218CD">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货位管理 </w:t>
            </w:r>
          </w:p>
        </w:tc>
        <w:tc>
          <w:tcPr>
            <w:tcW w:w="7883" w:type="dxa"/>
            <w:vAlign w:val="center"/>
          </w:tcPr>
          <w:p w14:paraId="2CF131C4">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支持设置专属库位。支持库位调整管理。支持科室上架确认管理。</w:t>
            </w:r>
          </w:p>
        </w:tc>
      </w:tr>
      <w:tr w14:paraId="04578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300" w:type="dxa"/>
            <w:vAlign w:val="center"/>
          </w:tcPr>
          <w:p w14:paraId="0DCB36B4">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消耗管理</w:t>
            </w:r>
            <w:r>
              <w:rPr>
                <w:rFonts w:hint="eastAsia" w:asciiTheme="majorEastAsia" w:hAnsiTheme="majorEastAsia" w:eastAsiaTheme="majorEastAsia" w:cstheme="majorEastAsia"/>
                <w:color w:val="auto"/>
                <w:sz w:val="21"/>
                <w:szCs w:val="21"/>
                <w:highlight w:val="none"/>
                <w:lang w:val="en-US" w:bidi="zh-CN"/>
              </w:rPr>
              <w:t xml:space="preserve">            </w:t>
            </w:r>
            <w:r>
              <w:rPr>
                <w:rFonts w:hint="eastAsia" w:asciiTheme="majorEastAsia" w:hAnsiTheme="majorEastAsia" w:eastAsiaTheme="majorEastAsia" w:cstheme="majorEastAsia"/>
                <w:color w:val="auto"/>
                <w:sz w:val="21"/>
                <w:szCs w:val="21"/>
                <w:highlight w:val="none"/>
                <w:lang w:val="zh-CN" w:bidi="zh-CN"/>
              </w:rPr>
              <w:t>（消耗后结算）</w:t>
            </w:r>
          </w:p>
        </w:tc>
        <w:tc>
          <w:tcPr>
            <w:tcW w:w="7883" w:type="dxa"/>
            <w:vAlign w:val="center"/>
          </w:tcPr>
          <w:p w14:paraId="65900466">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支持科室进行扫描定数包标签进行消耗，也可采用扫码一体机进行扫码，解放护士双手，方便管理。 </w:t>
            </w:r>
          </w:p>
        </w:tc>
      </w:tr>
      <w:tr w14:paraId="13069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300" w:type="dxa"/>
            <w:vAlign w:val="center"/>
          </w:tcPr>
          <w:p w14:paraId="425E020C">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定数包管理 </w:t>
            </w:r>
          </w:p>
        </w:tc>
        <w:tc>
          <w:tcPr>
            <w:tcW w:w="7883" w:type="dxa"/>
            <w:vAlign w:val="center"/>
          </w:tcPr>
          <w:p w14:paraId="4F3627E8">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根据科室物资设置定数包数量,方便物资感知物资消耗，同时减轻管理工作。 </w:t>
            </w:r>
          </w:p>
        </w:tc>
      </w:tr>
      <w:tr w14:paraId="45DFA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300" w:type="dxa"/>
            <w:vAlign w:val="center"/>
          </w:tcPr>
          <w:p w14:paraId="515007F6">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库存管理 </w:t>
            </w:r>
          </w:p>
        </w:tc>
        <w:tc>
          <w:tcPr>
            <w:tcW w:w="7883" w:type="dxa"/>
            <w:vAlign w:val="center"/>
          </w:tcPr>
          <w:p w14:paraId="5DC360D3">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支持科室定数包库存设置、库存盘点、管控物资库存设置。 </w:t>
            </w:r>
          </w:p>
        </w:tc>
      </w:tr>
      <w:tr w14:paraId="46450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300" w:type="dxa"/>
            <w:vAlign w:val="center"/>
          </w:tcPr>
          <w:p w14:paraId="636352E4">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不良事件管理</w:t>
            </w:r>
          </w:p>
        </w:tc>
        <w:tc>
          <w:tcPr>
            <w:tcW w:w="7883" w:type="dxa"/>
            <w:vAlign w:val="center"/>
          </w:tcPr>
          <w:p w14:paraId="03459B71">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支持院内不良事件登记及货物验收提醒。</w:t>
            </w:r>
            <w:r>
              <w:rPr>
                <w:rFonts w:hint="eastAsia" w:asciiTheme="majorEastAsia" w:hAnsiTheme="majorEastAsia" w:eastAsiaTheme="majorEastAsia" w:cstheme="majorEastAsia"/>
                <w:b/>
                <w:bCs/>
                <w:color w:val="FF0000"/>
                <w:sz w:val="21"/>
                <w:szCs w:val="21"/>
                <w:highlight w:val="none"/>
                <w:lang w:val="zh-CN" w:bidi="zh-CN"/>
              </w:rPr>
              <w:t>（</w:t>
            </w:r>
            <w:r>
              <w:rPr>
                <w:rFonts w:hint="eastAsia" w:asciiTheme="majorEastAsia" w:hAnsiTheme="majorEastAsia" w:eastAsiaTheme="majorEastAsia" w:cstheme="majorEastAsia"/>
                <w:b/>
                <w:bCs/>
                <w:color w:val="FF0000"/>
                <w:sz w:val="21"/>
                <w:szCs w:val="21"/>
                <w:highlight w:val="none"/>
              </w:rPr>
              <w:t>提供系统截图</w:t>
            </w:r>
            <w:r>
              <w:rPr>
                <w:rFonts w:hint="eastAsia" w:asciiTheme="majorEastAsia" w:hAnsiTheme="majorEastAsia" w:eastAsiaTheme="majorEastAsia" w:cstheme="majorEastAsia"/>
                <w:b/>
                <w:bCs/>
                <w:color w:val="FF0000"/>
                <w:sz w:val="21"/>
                <w:szCs w:val="21"/>
                <w:highlight w:val="none"/>
                <w:lang w:val="zh-CN" w:bidi="zh-CN"/>
              </w:rPr>
              <w:t>）</w:t>
            </w:r>
          </w:p>
        </w:tc>
      </w:tr>
      <w:tr w14:paraId="24CB5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 w:hRule="atLeast"/>
          <w:jc w:val="center"/>
        </w:trPr>
        <w:tc>
          <w:tcPr>
            <w:tcW w:w="2300" w:type="dxa"/>
            <w:vAlign w:val="center"/>
          </w:tcPr>
          <w:p w14:paraId="6D4A0CD8">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bidi="zh-CN"/>
              </w:rPr>
            </w:pPr>
            <w:r>
              <w:rPr>
                <w:rFonts w:hint="eastAsia" w:asciiTheme="majorEastAsia" w:hAnsiTheme="majorEastAsia" w:eastAsiaTheme="majorEastAsia" w:cstheme="majorEastAsia"/>
                <w:color w:val="auto"/>
                <w:sz w:val="21"/>
                <w:szCs w:val="21"/>
                <w:highlight w:val="none"/>
                <w:lang w:val="zh-CN" w:bidi="zh-CN"/>
              </w:rPr>
              <w:t>三级库管理</w:t>
            </w:r>
            <w:r>
              <w:rPr>
                <w:rFonts w:hint="eastAsia" w:asciiTheme="majorEastAsia" w:hAnsiTheme="majorEastAsia" w:eastAsiaTheme="majorEastAsia" w:cstheme="majorEastAsia"/>
                <w:color w:val="auto"/>
                <w:sz w:val="21"/>
                <w:szCs w:val="21"/>
                <w:highlight w:val="none"/>
                <w:lang w:val="en-US" w:bidi="zh-CN"/>
              </w:rPr>
              <w:t xml:space="preserve">         </w:t>
            </w:r>
            <w:r>
              <w:rPr>
                <w:rFonts w:hint="eastAsia" w:asciiTheme="majorEastAsia" w:hAnsiTheme="majorEastAsia" w:eastAsiaTheme="majorEastAsia" w:cstheme="majorEastAsia"/>
                <w:color w:val="auto"/>
                <w:sz w:val="21"/>
                <w:szCs w:val="21"/>
                <w:highlight w:val="none"/>
                <w:lang w:val="zh-CN" w:bidi="zh-CN"/>
              </w:rPr>
              <w:t xml:space="preserve"> </w:t>
            </w:r>
            <w:r>
              <w:rPr>
                <w:rFonts w:hint="eastAsia" w:asciiTheme="majorEastAsia" w:hAnsiTheme="majorEastAsia" w:eastAsiaTheme="majorEastAsia" w:cstheme="majorEastAsia"/>
                <w:color w:val="FF0000"/>
                <w:sz w:val="21"/>
                <w:szCs w:val="21"/>
                <w:highlight w:val="none"/>
                <w:lang w:val="zh-CN" w:bidi="zh-CN"/>
              </w:rPr>
              <w:t>（</w:t>
            </w:r>
            <w:r>
              <w:rPr>
                <w:rFonts w:hint="eastAsia" w:asciiTheme="majorEastAsia" w:hAnsiTheme="majorEastAsia" w:eastAsiaTheme="majorEastAsia" w:cstheme="majorEastAsia"/>
                <w:b/>
                <w:bCs/>
                <w:color w:val="FF0000"/>
                <w:sz w:val="21"/>
                <w:szCs w:val="21"/>
                <w:highlight w:val="none"/>
                <w:lang w:bidi="zh-CN"/>
              </w:rPr>
              <w:t>提供系统截图</w:t>
            </w:r>
            <w:r>
              <w:rPr>
                <w:rFonts w:hint="eastAsia" w:asciiTheme="majorEastAsia" w:hAnsiTheme="majorEastAsia" w:eastAsiaTheme="majorEastAsia" w:cstheme="majorEastAsia"/>
                <w:color w:val="FF0000"/>
                <w:sz w:val="21"/>
                <w:szCs w:val="21"/>
                <w:highlight w:val="none"/>
                <w:lang w:bidi="zh-CN"/>
              </w:rPr>
              <w:t>）</w:t>
            </w:r>
          </w:p>
        </w:tc>
        <w:tc>
          <w:tcPr>
            <w:tcW w:w="7883" w:type="dxa"/>
            <w:vAlign w:val="center"/>
          </w:tcPr>
          <w:p w14:paraId="13022140">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①支持低值可收费耗材的追溯，形成统计分析报表。 </w:t>
            </w:r>
          </w:p>
          <w:p w14:paraId="09F78709">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②支持低值不可收费耗材的追溯，形成统计分析报表。 </w:t>
            </w:r>
          </w:p>
          <w:p w14:paraId="6560D3CF">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③支持低值可收费耗材收费时 SPD 三级库库存校验，病人收费情况 SPD 系统实时查询，支持盘点生成</w:t>
            </w:r>
            <w:r>
              <w:rPr>
                <w:rFonts w:hint="eastAsia" w:asciiTheme="majorEastAsia" w:hAnsiTheme="majorEastAsia" w:eastAsiaTheme="majorEastAsia" w:cstheme="majorEastAsia"/>
                <w:bCs/>
                <w:color w:val="auto"/>
                <w:sz w:val="21"/>
                <w:szCs w:val="21"/>
                <w:highlight w:val="none"/>
                <w:lang w:val="zh-CN" w:bidi="zh-CN"/>
              </w:rPr>
              <w:t xml:space="preserve">差异化报表，也可以支持不同病区之间的差异率对比分析。 </w:t>
            </w:r>
          </w:p>
          <w:p w14:paraId="31245EFD">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④支持低值不可收费耗材诊疗项目追溯管理，病人诊疗项目收费情况、诊疗项目下耗材使用情况 SPD 系统实时查询，支持盘点生成差异化报表，也可以支持不同病区之间的差异率对比分析。 </w:t>
            </w:r>
          </w:p>
        </w:tc>
      </w:tr>
    </w:tbl>
    <w:p w14:paraId="452ADBE8">
      <w:pPr>
        <w:spacing w:line="240" w:lineRule="auto"/>
        <w:rPr>
          <w:rFonts w:hint="eastAsia" w:asciiTheme="majorEastAsia" w:hAnsiTheme="majorEastAsia" w:eastAsiaTheme="majorEastAsia" w:cstheme="majorEastAsia"/>
          <w:color w:val="auto"/>
          <w:sz w:val="21"/>
          <w:szCs w:val="21"/>
          <w:highlight w:val="none"/>
        </w:rPr>
      </w:pPr>
    </w:p>
    <w:p w14:paraId="47367625">
      <w:pPr>
        <w:snapToGrid w:val="0"/>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 xml:space="preserve">（4）手术室管理模块 </w:t>
      </w:r>
    </w:p>
    <w:tbl>
      <w:tblPr>
        <w:tblStyle w:val="39"/>
        <w:tblW w:w="106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04"/>
        <w:gridCol w:w="7862"/>
      </w:tblGrid>
      <w:tr w14:paraId="46796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804" w:type="dxa"/>
            <w:vAlign w:val="center"/>
          </w:tcPr>
          <w:p w14:paraId="53E76701">
            <w:pPr>
              <w:autoSpaceDE w:val="0"/>
              <w:autoSpaceDN w:val="0"/>
              <w:spacing w:line="240" w:lineRule="auto"/>
              <w:jc w:val="center"/>
              <w:rPr>
                <w:rFonts w:hint="eastAsia" w:asciiTheme="majorEastAsia" w:hAnsiTheme="majorEastAsia" w:eastAsiaTheme="majorEastAsia" w:cstheme="majorEastAsia"/>
                <w:b/>
                <w:color w:val="auto"/>
                <w:sz w:val="21"/>
                <w:szCs w:val="21"/>
                <w:highlight w:val="none"/>
                <w:lang w:val="zh-CN" w:bidi="zh-CN"/>
              </w:rPr>
            </w:pPr>
            <w:r>
              <w:rPr>
                <w:rFonts w:hint="eastAsia" w:asciiTheme="majorEastAsia" w:hAnsiTheme="majorEastAsia" w:eastAsiaTheme="majorEastAsia" w:cstheme="majorEastAsia"/>
                <w:b/>
                <w:color w:val="auto"/>
                <w:sz w:val="21"/>
                <w:szCs w:val="21"/>
                <w:highlight w:val="none"/>
                <w:lang w:val="zh-CN" w:bidi="zh-CN"/>
              </w:rPr>
              <w:t>子功能</w:t>
            </w:r>
          </w:p>
        </w:tc>
        <w:tc>
          <w:tcPr>
            <w:tcW w:w="7862" w:type="dxa"/>
            <w:vAlign w:val="center"/>
          </w:tcPr>
          <w:p w14:paraId="4DE0C2A6">
            <w:pPr>
              <w:autoSpaceDE w:val="0"/>
              <w:autoSpaceDN w:val="0"/>
              <w:spacing w:line="240" w:lineRule="auto"/>
              <w:jc w:val="center"/>
              <w:rPr>
                <w:rFonts w:hint="eastAsia" w:asciiTheme="majorEastAsia" w:hAnsiTheme="majorEastAsia" w:eastAsiaTheme="majorEastAsia" w:cstheme="majorEastAsia"/>
                <w:b/>
                <w:color w:val="auto"/>
                <w:sz w:val="21"/>
                <w:szCs w:val="21"/>
                <w:highlight w:val="none"/>
                <w:lang w:val="zh-CN" w:bidi="zh-CN"/>
              </w:rPr>
            </w:pPr>
            <w:r>
              <w:rPr>
                <w:rFonts w:hint="eastAsia" w:asciiTheme="majorEastAsia" w:hAnsiTheme="majorEastAsia" w:eastAsiaTheme="majorEastAsia" w:cstheme="majorEastAsia"/>
                <w:b/>
                <w:color w:val="auto"/>
                <w:sz w:val="21"/>
                <w:szCs w:val="21"/>
                <w:highlight w:val="none"/>
                <w:lang w:val="zh-CN" w:bidi="zh-CN"/>
              </w:rPr>
              <w:t>功能说明</w:t>
            </w:r>
          </w:p>
        </w:tc>
      </w:tr>
      <w:tr w14:paraId="317E9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2" w:hRule="atLeast"/>
          <w:jc w:val="center"/>
        </w:trPr>
        <w:tc>
          <w:tcPr>
            <w:tcW w:w="2804" w:type="dxa"/>
            <w:vAlign w:val="center"/>
          </w:tcPr>
          <w:p w14:paraId="4911FDE1">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bidi="zh-CN"/>
              </w:rPr>
            </w:pPr>
            <w:r>
              <w:rPr>
                <w:rFonts w:hint="eastAsia" w:asciiTheme="majorEastAsia" w:hAnsiTheme="majorEastAsia" w:eastAsiaTheme="majorEastAsia" w:cstheme="majorEastAsia"/>
                <w:color w:val="auto"/>
                <w:sz w:val="21"/>
                <w:szCs w:val="21"/>
                <w:highlight w:val="none"/>
                <w:lang w:val="zh-CN" w:bidi="zh-CN"/>
              </w:rPr>
              <w:t xml:space="preserve">术式套包管理 </w:t>
            </w:r>
            <w:r>
              <w:rPr>
                <w:rFonts w:hint="eastAsia" w:asciiTheme="majorEastAsia" w:hAnsiTheme="majorEastAsia" w:eastAsiaTheme="majorEastAsia" w:cstheme="majorEastAsia"/>
                <w:color w:val="auto"/>
                <w:sz w:val="21"/>
                <w:szCs w:val="21"/>
                <w:highlight w:val="none"/>
                <w:lang w:val="en-US" w:bidi="zh-CN"/>
              </w:rPr>
              <w:t xml:space="preserve">           </w:t>
            </w:r>
            <w:r>
              <w:rPr>
                <w:rFonts w:hint="eastAsia" w:asciiTheme="majorEastAsia" w:hAnsiTheme="majorEastAsia" w:eastAsiaTheme="majorEastAsia" w:cstheme="majorEastAsia"/>
                <w:b/>
                <w:bCs/>
                <w:color w:val="FF0000"/>
                <w:sz w:val="21"/>
                <w:szCs w:val="21"/>
                <w:highlight w:val="none"/>
                <w:lang w:val="zh-CN" w:bidi="zh-CN"/>
              </w:rPr>
              <w:t>（</w:t>
            </w:r>
            <w:r>
              <w:rPr>
                <w:rFonts w:hint="eastAsia" w:asciiTheme="majorEastAsia" w:hAnsiTheme="majorEastAsia" w:eastAsiaTheme="majorEastAsia" w:cstheme="majorEastAsia"/>
                <w:b/>
                <w:bCs/>
                <w:color w:val="FF0000"/>
                <w:sz w:val="21"/>
                <w:szCs w:val="21"/>
                <w:highlight w:val="none"/>
                <w:lang w:bidi="zh-CN"/>
              </w:rPr>
              <w:t>提供系统截图和科室库内实景图）</w:t>
            </w:r>
          </w:p>
        </w:tc>
        <w:tc>
          <w:tcPr>
            <w:tcW w:w="7862" w:type="dxa"/>
            <w:vAlign w:val="center"/>
          </w:tcPr>
          <w:p w14:paraId="38B40AE4">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①支持添加手术类型进行管理。 </w:t>
            </w:r>
          </w:p>
          <w:p w14:paraId="3E0FF241">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②支持针对不同手术类型制定个性化术式套包。 </w:t>
            </w:r>
          </w:p>
          <w:p w14:paraId="69EFC08E">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③术式套包的功能 </w:t>
            </w:r>
          </w:p>
          <w:p w14:paraId="384C0C63">
            <w:pPr>
              <w:autoSpaceDE w:val="0"/>
              <w:autoSpaceDN w:val="0"/>
              <w:spacing w:line="240" w:lineRule="auto"/>
              <w:rPr>
                <w:rFonts w:hint="eastAsia" w:asciiTheme="majorEastAsia" w:hAnsiTheme="majorEastAsia" w:eastAsiaTheme="majorEastAsia" w:cstheme="majorEastAsia"/>
                <w:color w:val="auto"/>
                <w:sz w:val="21"/>
                <w:szCs w:val="21"/>
                <w:highlight w:val="none"/>
                <w:lang w:bidi="zh-CN"/>
              </w:rPr>
            </w:pPr>
            <w:r>
              <w:rPr>
                <w:rFonts w:hint="eastAsia" w:asciiTheme="majorEastAsia" w:hAnsiTheme="majorEastAsia" w:eastAsiaTheme="majorEastAsia" w:cstheme="majorEastAsia"/>
                <w:b/>
                <w:color w:val="auto"/>
                <w:sz w:val="21"/>
                <w:szCs w:val="21"/>
                <w:highlight w:val="none"/>
                <w:lang w:val="zh-CN" w:bidi="zh-CN"/>
              </w:rPr>
              <w:t>术式套包维护功能</w:t>
            </w:r>
            <w:r>
              <w:rPr>
                <w:rFonts w:hint="eastAsia" w:asciiTheme="majorEastAsia" w:hAnsiTheme="majorEastAsia" w:eastAsiaTheme="majorEastAsia" w:cstheme="majorEastAsia"/>
                <w:color w:val="auto"/>
                <w:sz w:val="21"/>
                <w:szCs w:val="21"/>
                <w:highlight w:val="none"/>
                <w:lang w:val="zh-CN" w:bidi="zh-CN"/>
              </w:rPr>
              <w:t>：手术室管理人员通过对术式套包进行手术对照、库位设置、箱号维护、箱号对照等完成套包在手术室管理全流程操作节点的设置。</w:t>
            </w:r>
            <w:r>
              <w:rPr>
                <w:rFonts w:hint="eastAsia" w:asciiTheme="majorEastAsia" w:hAnsiTheme="majorEastAsia" w:eastAsiaTheme="majorEastAsia" w:cstheme="majorEastAsia"/>
                <w:color w:val="auto"/>
                <w:sz w:val="21"/>
                <w:szCs w:val="21"/>
                <w:highlight w:val="none"/>
                <w:lang w:bidi="zh-CN"/>
              </w:rPr>
              <w:t xml:space="preserve"> </w:t>
            </w:r>
          </w:p>
          <w:p w14:paraId="67262B9A">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b/>
                <w:color w:val="auto"/>
                <w:sz w:val="21"/>
                <w:szCs w:val="21"/>
                <w:highlight w:val="none"/>
                <w:lang w:val="zh-CN" w:bidi="zh-CN"/>
              </w:rPr>
              <w:t>术式套包领取管理功能</w:t>
            </w:r>
            <w:r>
              <w:rPr>
                <w:rFonts w:hint="eastAsia" w:asciiTheme="majorEastAsia" w:hAnsiTheme="majorEastAsia" w:eastAsiaTheme="majorEastAsia" w:cstheme="majorEastAsia"/>
                <w:color w:val="auto"/>
                <w:sz w:val="21"/>
                <w:szCs w:val="21"/>
                <w:highlight w:val="none"/>
                <w:lang w:val="zh-CN" w:bidi="zh-CN"/>
              </w:rPr>
              <w:t xml:space="preserve">：该功能通过对接手术室手麻系统，提前接收手术排程及手术信息，套包领用时能够准确定位患者姓名、住院号、术间、台次、巡回护士、洗手护士、主刀医生等信息，节约护士单独配取一台手术所有耗材的时间，同时记录信息，使得被领取的套包能够实现全程追溯。 </w:t>
            </w:r>
          </w:p>
          <w:p w14:paraId="27AEDCA2">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b/>
                <w:color w:val="auto"/>
                <w:sz w:val="21"/>
                <w:szCs w:val="21"/>
                <w:highlight w:val="none"/>
                <w:lang w:val="zh-CN" w:bidi="zh-CN"/>
              </w:rPr>
              <w:t>术式套包回库功能</w:t>
            </w:r>
            <w:r>
              <w:rPr>
                <w:rFonts w:hint="eastAsia" w:asciiTheme="majorEastAsia" w:hAnsiTheme="majorEastAsia" w:eastAsiaTheme="majorEastAsia" w:cstheme="majorEastAsia"/>
                <w:color w:val="auto"/>
                <w:sz w:val="21"/>
                <w:szCs w:val="21"/>
                <w:highlight w:val="none"/>
                <w:lang w:val="zh-CN" w:bidi="zh-CN"/>
              </w:rPr>
              <w:t xml:space="preserve">：手术结束，套包进行回库，系统自动展现套包明细、使用明细、回库明细，与手术巡回单进行核对，使得回库操作更加快捷、有序、无误，从而确保耗材流通安全。 </w:t>
            </w:r>
          </w:p>
          <w:p w14:paraId="1AADF88A">
            <w:pPr>
              <w:autoSpaceDE w:val="0"/>
              <w:autoSpaceDN w:val="0"/>
              <w:spacing w:line="240" w:lineRule="auto"/>
              <w:rPr>
                <w:rFonts w:hint="eastAsia" w:asciiTheme="majorEastAsia" w:hAnsiTheme="majorEastAsia" w:eastAsiaTheme="majorEastAsia" w:cstheme="majorEastAsia"/>
                <w:color w:val="auto"/>
                <w:sz w:val="21"/>
                <w:szCs w:val="21"/>
                <w:highlight w:val="none"/>
                <w:lang w:bidi="zh-CN"/>
              </w:rPr>
            </w:pPr>
            <w:r>
              <w:rPr>
                <w:rFonts w:hint="eastAsia" w:asciiTheme="majorEastAsia" w:hAnsiTheme="majorEastAsia" w:eastAsiaTheme="majorEastAsia" w:cstheme="majorEastAsia"/>
                <w:b/>
                <w:color w:val="auto"/>
                <w:sz w:val="21"/>
                <w:szCs w:val="21"/>
                <w:highlight w:val="none"/>
                <w:lang w:val="zh-CN" w:bidi="zh-CN"/>
              </w:rPr>
              <w:t>术式套包补货功能</w:t>
            </w:r>
            <w:r>
              <w:rPr>
                <w:rFonts w:hint="eastAsia" w:asciiTheme="majorEastAsia" w:hAnsiTheme="majorEastAsia" w:eastAsiaTheme="majorEastAsia" w:cstheme="majorEastAsia"/>
                <w:color w:val="auto"/>
                <w:sz w:val="21"/>
                <w:szCs w:val="21"/>
                <w:highlight w:val="none"/>
                <w:lang w:val="zh-CN" w:bidi="zh-CN"/>
              </w:rPr>
              <w:t>：系统根据已回库套包的使用明细作为该套包的补货明细，方便手术室操作，套包循环利用，使得套包在手术室能够高效运转。</w:t>
            </w:r>
          </w:p>
        </w:tc>
      </w:tr>
      <w:tr w14:paraId="629A7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2804" w:type="dxa"/>
            <w:vAlign w:val="center"/>
          </w:tcPr>
          <w:p w14:paraId="4B520228">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手术材料单管理</w:t>
            </w:r>
          </w:p>
        </w:tc>
        <w:tc>
          <w:tcPr>
            <w:tcW w:w="7862" w:type="dxa"/>
            <w:vAlign w:val="center"/>
          </w:tcPr>
          <w:p w14:paraId="22CC6B4F">
            <w:pPr>
              <w:tabs>
                <w:tab w:val="left" w:pos="710"/>
              </w:tabs>
              <w:autoSpaceDE w:val="0"/>
              <w:autoSpaceDN w:val="0"/>
              <w:spacing w:line="240" w:lineRule="auto"/>
              <w:jc w:val="left"/>
              <w:rPr>
                <w:rFonts w:hint="eastAsia" w:asciiTheme="majorEastAsia" w:hAnsiTheme="majorEastAsia" w:eastAsiaTheme="majorEastAsia" w:cstheme="majorEastAsia"/>
                <w:color w:val="auto"/>
                <w:sz w:val="21"/>
                <w:szCs w:val="21"/>
                <w:highlight w:val="none"/>
                <w:lang w:bidi="zh-CN"/>
              </w:rPr>
            </w:pPr>
            <w:r>
              <w:rPr>
                <w:rFonts w:hint="eastAsia" w:asciiTheme="majorEastAsia" w:hAnsiTheme="majorEastAsia" w:eastAsiaTheme="majorEastAsia" w:cstheme="majorEastAsia"/>
                <w:b/>
                <w:color w:val="auto"/>
                <w:sz w:val="21"/>
                <w:szCs w:val="21"/>
                <w:highlight w:val="none"/>
                <w:lang w:val="zh-CN" w:bidi="zh-CN"/>
              </w:rPr>
              <w:t>手术材料单管理：</w:t>
            </w:r>
            <w:r>
              <w:rPr>
                <w:rFonts w:hint="eastAsia" w:asciiTheme="majorEastAsia" w:hAnsiTheme="majorEastAsia" w:eastAsiaTheme="majorEastAsia" w:cstheme="majorEastAsia"/>
                <w:bCs/>
                <w:color w:val="auto"/>
                <w:sz w:val="21"/>
                <w:szCs w:val="21"/>
                <w:highlight w:val="none"/>
                <w:lang w:val="zh-CN" w:bidi="zh-CN"/>
              </w:rPr>
              <w:t>针对择期手术病人，拣货加工专用的手术材料包，并实现该材料包电子标签管理。</w:t>
            </w:r>
            <w:r>
              <w:rPr>
                <w:rFonts w:hint="eastAsia" w:asciiTheme="majorEastAsia" w:hAnsiTheme="majorEastAsia" w:eastAsiaTheme="majorEastAsia" w:cstheme="majorEastAsia"/>
                <w:b/>
                <w:bCs w:val="0"/>
                <w:color w:val="FF0000"/>
                <w:sz w:val="21"/>
                <w:szCs w:val="21"/>
                <w:highlight w:val="none"/>
                <w:lang w:val="zh-CN" w:bidi="zh-CN"/>
              </w:rPr>
              <w:t>（</w:t>
            </w:r>
            <w:r>
              <w:rPr>
                <w:rFonts w:hint="eastAsia" w:asciiTheme="majorEastAsia" w:hAnsiTheme="majorEastAsia" w:eastAsiaTheme="majorEastAsia" w:cstheme="majorEastAsia"/>
                <w:b/>
                <w:bCs w:val="0"/>
                <w:color w:val="FF0000"/>
                <w:sz w:val="21"/>
                <w:szCs w:val="21"/>
                <w:highlight w:val="none"/>
                <w:lang w:bidi="zh-CN"/>
              </w:rPr>
              <w:t>提供材料包系统截图和科室库内实景图</w:t>
            </w:r>
            <w:r>
              <w:rPr>
                <w:rFonts w:hint="eastAsia" w:asciiTheme="majorEastAsia" w:hAnsiTheme="majorEastAsia" w:eastAsiaTheme="majorEastAsia" w:cstheme="majorEastAsia"/>
                <w:b/>
                <w:bCs w:val="0"/>
                <w:color w:val="FF0000"/>
                <w:sz w:val="21"/>
                <w:szCs w:val="21"/>
                <w:highlight w:val="none"/>
                <w:lang w:val="zh-CN" w:bidi="zh-CN"/>
              </w:rPr>
              <w:t>）</w:t>
            </w:r>
          </w:p>
        </w:tc>
      </w:tr>
      <w:tr w14:paraId="2D433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804" w:type="dxa"/>
            <w:vAlign w:val="center"/>
          </w:tcPr>
          <w:p w14:paraId="535103BE">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采购入库管理</w:t>
            </w:r>
          </w:p>
        </w:tc>
        <w:tc>
          <w:tcPr>
            <w:tcW w:w="7862" w:type="dxa"/>
            <w:vAlign w:val="center"/>
          </w:tcPr>
          <w:p w14:paraId="674E7440">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①根据设定库存上下限，自动匹配当前库存，自动生成补货预警，实现智能生成采购计划。 </w:t>
            </w:r>
          </w:p>
          <w:p w14:paraId="724B223C">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②根据手术申领耗材情况及使用消耗，支持科室紧急计划释放。 </w:t>
            </w:r>
          </w:p>
        </w:tc>
      </w:tr>
      <w:tr w14:paraId="6150B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804" w:type="dxa"/>
            <w:vAlign w:val="center"/>
          </w:tcPr>
          <w:p w14:paraId="09FE2716">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库存管理</w:t>
            </w:r>
          </w:p>
        </w:tc>
        <w:tc>
          <w:tcPr>
            <w:tcW w:w="7862" w:type="dxa"/>
            <w:vAlign w:val="center"/>
          </w:tcPr>
          <w:p w14:paraId="74945074">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①支持科室库存设置和管控。 </w:t>
            </w:r>
          </w:p>
          <w:p w14:paraId="62ED3510">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②支持院内退货管理。 </w:t>
            </w:r>
          </w:p>
          <w:p w14:paraId="3C6E6E55">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③支持 PDA 动态盘点。 </w:t>
            </w:r>
          </w:p>
        </w:tc>
      </w:tr>
      <w:tr w14:paraId="281F4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804" w:type="dxa"/>
            <w:vAlign w:val="center"/>
          </w:tcPr>
          <w:p w14:paraId="0AE40721">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效期预警管理</w:t>
            </w:r>
          </w:p>
        </w:tc>
        <w:tc>
          <w:tcPr>
            <w:tcW w:w="7862" w:type="dxa"/>
            <w:vAlign w:val="center"/>
          </w:tcPr>
          <w:p w14:paraId="654E70E9">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①支持针对每个商品设置不同的效期预警天数。 </w:t>
            </w:r>
          </w:p>
          <w:p w14:paraId="068A5CC9">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②支持生成近效期预警库存记录。 </w:t>
            </w:r>
          </w:p>
          <w:p w14:paraId="3193135C">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③支持近效期自动预警。 </w:t>
            </w:r>
          </w:p>
        </w:tc>
      </w:tr>
      <w:tr w14:paraId="36EC5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804" w:type="dxa"/>
            <w:vAlign w:val="center"/>
          </w:tcPr>
          <w:p w14:paraId="16A8ECD7">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手术室数据可视化平台</w:t>
            </w:r>
          </w:p>
        </w:tc>
        <w:tc>
          <w:tcPr>
            <w:tcW w:w="7862" w:type="dxa"/>
            <w:vAlign w:val="center"/>
          </w:tcPr>
          <w:p w14:paraId="374C178E">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展示所有手术间的手术状态，并实现术间紧急申领补货的电子看板播报管理。</w:t>
            </w:r>
            <w:r>
              <w:rPr>
                <w:rFonts w:hint="eastAsia" w:asciiTheme="majorEastAsia" w:hAnsiTheme="majorEastAsia" w:eastAsiaTheme="majorEastAsia" w:cstheme="majorEastAsia"/>
                <w:b/>
                <w:bCs/>
                <w:color w:val="FF0000"/>
                <w:sz w:val="21"/>
                <w:szCs w:val="21"/>
                <w:highlight w:val="none"/>
                <w:lang w:val="zh-CN" w:bidi="zh-CN"/>
              </w:rPr>
              <w:t>（</w:t>
            </w:r>
            <w:r>
              <w:rPr>
                <w:rFonts w:hint="eastAsia" w:asciiTheme="majorEastAsia" w:hAnsiTheme="majorEastAsia" w:eastAsiaTheme="majorEastAsia" w:cstheme="majorEastAsia"/>
                <w:b/>
                <w:bCs/>
                <w:color w:val="FF0000"/>
                <w:kern w:val="0"/>
                <w:sz w:val="21"/>
                <w:szCs w:val="21"/>
                <w:highlight w:val="none"/>
                <w:lang w:bidi="ar"/>
              </w:rPr>
              <w:t>提供科室库内实景图</w:t>
            </w:r>
            <w:r>
              <w:rPr>
                <w:rFonts w:hint="eastAsia" w:asciiTheme="majorEastAsia" w:hAnsiTheme="majorEastAsia" w:eastAsiaTheme="majorEastAsia" w:cstheme="majorEastAsia"/>
                <w:b/>
                <w:bCs/>
                <w:color w:val="FF0000"/>
                <w:sz w:val="21"/>
                <w:szCs w:val="21"/>
                <w:highlight w:val="none"/>
                <w:lang w:val="zh-CN" w:bidi="zh-CN"/>
              </w:rPr>
              <w:t>）</w:t>
            </w:r>
          </w:p>
        </w:tc>
      </w:tr>
      <w:tr w14:paraId="2350E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804" w:type="dxa"/>
            <w:vAlign w:val="center"/>
          </w:tcPr>
          <w:p w14:paraId="50C2078C">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消毒对接管理</w:t>
            </w:r>
          </w:p>
        </w:tc>
        <w:tc>
          <w:tcPr>
            <w:tcW w:w="7862" w:type="dxa"/>
            <w:vAlign w:val="center"/>
          </w:tcPr>
          <w:p w14:paraId="26D44DC2">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支持实现与消毒流程信息对接。 </w:t>
            </w:r>
          </w:p>
        </w:tc>
      </w:tr>
      <w:tr w14:paraId="7EF0E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804" w:type="dxa"/>
            <w:vAlign w:val="center"/>
          </w:tcPr>
          <w:p w14:paraId="0B90154B">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手术订单管理</w:t>
            </w:r>
          </w:p>
        </w:tc>
        <w:tc>
          <w:tcPr>
            <w:tcW w:w="7862" w:type="dxa"/>
            <w:vAlign w:val="center"/>
          </w:tcPr>
          <w:p w14:paraId="11A93186">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①支持手术订单外网线上化管理功能。 </w:t>
            </w:r>
          </w:p>
          <w:p w14:paraId="546D50A8">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②支持实现与手术领用信息对接。 </w:t>
            </w:r>
          </w:p>
        </w:tc>
      </w:tr>
      <w:tr w14:paraId="31603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804" w:type="dxa"/>
            <w:vAlign w:val="center"/>
          </w:tcPr>
          <w:p w14:paraId="120683E0">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手术组套管理</w:t>
            </w:r>
          </w:p>
        </w:tc>
        <w:tc>
          <w:tcPr>
            <w:tcW w:w="7862" w:type="dxa"/>
            <w:vAlign w:val="center"/>
          </w:tcPr>
          <w:p w14:paraId="5E08CBCE">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①支持手术申请单申请。 </w:t>
            </w:r>
          </w:p>
          <w:p w14:paraId="58AEA794">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②支持手术申请单在线审核。 </w:t>
            </w:r>
          </w:p>
          <w:p w14:paraId="37B61391">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③支持手术申请单扫码验收、扫码接收。</w:t>
            </w:r>
            <w:r>
              <w:rPr>
                <w:rFonts w:hint="eastAsia" w:asciiTheme="majorEastAsia" w:hAnsiTheme="majorEastAsia" w:eastAsiaTheme="majorEastAsia" w:cstheme="majorEastAsia"/>
                <w:color w:val="auto"/>
                <w:position w:val="6"/>
                <w:sz w:val="21"/>
                <w:szCs w:val="21"/>
                <w:highlight w:val="none"/>
                <w:lang w:val="zh-CN" w:bidi="zh-CN"/>
              </w:rPr>
              <w:t xml:space="preserve"> </w:t>
            </w:r>
          </w:p>
        </w:tc>
      </w:tr>
      <w:tr w14:paraId="0E33C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804" w:type="dxa"/>
            <w:vAlign w:val="center"/>
          </w:tcPr>
          <w:p w14:paraId="7E36DF1D">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备货类库存管理</w:t>
            </w:r>
          </w:p>
        </w:tc>
        <w:tc>
          <w:tcPr>
            <w:tcW w:w="7862" w:type="dxa"/>
            <w:vAlign w:val="center"/>
          </w:tcPr>
          <w:p w14:paraId="7918E407">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①支持科室库存设置和管控。 </w:t>
            </w:r>
          </w:p>
          <w:p w14:paraId="431620AD">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②支持院内退货管理。 </w:t>
            </w:r>
          </w:p>
          <w:p w14:paraId="2C791604">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③支持 PDA 动态盘点。 </w:t>
            </w:r>
          </w:p>
        </w:tc>
      </w:tr>
      <w:tr w14:paraId="53F78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804" w:type="dxa"/>
            <w:vAlign w:val="center"/>
          </w:tcPr>
          <w:p w14:paraId="79421F9C">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手术结束确认管理</w:t>
            </w:r>
          </w:p>
        </w:tc>
        <w:tc>
          <w:tcPr>
            <w:tcW w:w="7862" w:type="dxa"/>
            <w:vAlign w:val="center"/>
          </w:tcPr>
          <w:p w14:paraId="76454B99">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支持骨科耗材的快速清台及回退操作。 </w:t>
            </w:r>
          </w:p>
        </w:tc>
      </w:tr>
      <w:tr w14:paraId="46788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804" w:type="dxa"/>
            <w:vAlign w:val="center"/>
          </w:tcPr>
          <w:p w14:paraId="019FE127">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电子植入单管理</w:t>
            </w:r>
          </w:p>
        </w:tc>
        <w:tc>
          <w:tcPr>
            <w:tcW w:w="7862" w:type="dxa"/>
            <w:vAlign w:val="center"/>
          </w:tcPr>
          <w:p w14:paraId="278B2F0D">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支持生成电子植入单（溯源管理），长期保存手术使用信息，便于后期</w:t>
            </w:r>
            <w:r>
              <w:rPr>
                <w:rFonts w:hint="eastAsia" w:asciiTheme="majorEastAsia" w:hAnsiTheme="majorEastAsia" w:eastAsiaTheme="majorEastAsia" w:cstheme="majorEastAsia"/>
                <w:color w:val="auto"/>
                <w:sz w:val="21"/>
                <w:szCs w:val="21"/>
                <w:highlight w:val="none"/>
                <w:lang w:bidi="zh-CN"/>
              </w:rPr>
              <w:t>病历系统</w:t>
            </w:r>
            <w:r>
              <w:rPr>
                <w:rFonts w:hint="eastAsia" w:asciiTheme="majorEastAsia" w:hAnsiTheme="majorEastAsia" w:eastAsiaTheme="majorEastAsia" w:cstheme="majorEastAsia"/>
                <w:color w:val="auto"/>
                <w:sz w:val="21"/>
                <w:szCs w:val="21"/>
                <w:highlight w:val="none"/>
                <w:lang w:val="zh-CN" w:bidi="zh-CN"/>
              </w:rPr>
              <w:t>查询审阅。</w:t>
            </w:r>
            <w:r>
              <w:rPr>
                <w:rFonts w:hint="eastAsia" w:asciiTheme="majorEastAsia" w:hAnsiTheme="majorEastAsia" w:eastAsiaTheme="majorEastAsia" w:cstheme="majorEastAsia"/>
                <w:b/>
                <w:bCs/>
                <w:color w:val="FF0000"/>
                <w:sz w:val="21"/>
                <w:szCs w:val="21"/>
                <w:highlight w:val="none"/>
                <w:lang w:val="zh-CN" w:bidi="zh-CN"/>
              </w:rPr>
              <w:t>（提供系统截图）</w:t>
            </w:r>
          </w:p>
        </w:tc>
      </w:tr>
    </w:tbl>
    <w:p w14:paraId="77CC9B3D">
      <w:pPr>
        <w:snapToGrid w:val="0"/>
        <w:spacing w:line="240" w:lineRule="auto"/>
        <w:rPr>
          <w:rFonts w:hint="eastAsia" w:asciiTheme="majorEastAsia" w:hAnsiTheme="majorEastAsia" w:eastAsiaTheme="majorEastAsia" w:cstheme="majorEastAsia"/>
          <w:color w:val="auto"/>
          <w:sz w:val="21"/>
          <w:szCs w:val="21"/>
          <w:highlight w:val="none"/>
        </w:rPr>
      </w:pPr>
    </w:p>
    <w:p w14:paraId="000CB307">
      <w:pPr>
        <w:snapToGrid w:val="0"/>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 xml:space="preserve"> 15.3智能柜管理平台 </w:t>
      </w:r>
    </w:p>
    <w:p w14:paraId="1478BD27">
      <w:pPr>
        <w:snapToGrid w:val="0"/>
        <w:spacing w:line="24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b/>
          <w:bCs/>
          <w:color w:val="auto"/>
          <w:kern w:val="2"/>
          <w:sz w:val="21"/>
          <w:szCs w:val="21"/>
          <w:highlight w:val="none"/>
          <w:lang w:val="en-US" w:eastAsia="zh-CN" w:bidi="ar-SA"/>
        </w:rPr>
        <w:t>高值耗材智能柜功能列表</w:t>
      </w:r>
    </w:p>
    <w:tbl>
      <w:tblPr>
        <w:tblStyle w:val="39"/>
        <w:tblW w:w="101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7"/>
        <w:gridCol w:w="8344"/>
      </w:tblGrid>
      <w:tr w14:paraId="19094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847" w:type="dxa"/>
            <w:vAlign w:val="center"/>
          </w:tcPr>
          <w:p w14:paraId="072B2E38">
            <w:pPr>
              <w:autoSpaceDE w:val="0"/>
              <w:autoSpaceDN w:val="0"/>
              <w:spacing w:line="240" w:lineRule="auto"/>
              <w:jc w:val="center"/>
              <w:rPr>
                <w:rFonts w:hint="eastAsia" w:asciiTheme="majorEastAsia" w:hAnsiTheme="majorEastAsia" w:eastAsiaTheme="majorEastAsia" w:cstheme="majorEastAsia"/>
                <w:b/>
                <w:color w:val="auto"/>
                <w:sz w:val="21"/>
                <w:szCs w:val="21"/>
                <w:highlight w:val="none"/>
                <w:lang w:val="zh-CN" w:bidi="zh-CN"/>
              </w:rPr>
            </w:pPr>
            <w:r>
              <w:rPr>
                <w:rFonts w:hint="eastAsia" w:asciiTheme="majorEastAsia" w:hAnsiTheme="majorEastAsia" w:eastAsiaTheme="majorEastAsia" w:cstheme="majorEastAsia"/>
                <w:b/>
                <w:color w:val="auto"/>
                <w:sz w:val="21"/>
                <w:szCs w:val="21"/>
                <w:highlight w:val="none"/>
                <w:lang w:val="zh-CN" w:bidi="zh-CN"/>
              </w:rPr>
              <w:t>子功能</w:t>
            </w:r>
          </w:p>
        </w:tc>
        <w:tc>
          <w:tcPr>
            <w:tcW w:w="8344" w:type="dxa"/>
            <w:vAlign w:val="center"/>
          </w:tcPr>
          <w:p w14:paraId="285286D9">
            <w:pPr>
              <w:autoSpaceDE w:val="0"/>
              <w:autoSpaceDN w:val="0"/>
              <w:spacing w:line="240" w:lineRule="auto"/>
              <w:jc w:val="center"/>
              <w:rPr>
                <w:rFonts w:hint="eastAsia" w:asciiTheme="majorEastAsia" w:hAnsiTheme="majorEastAsia" w:eastAsiaTheme="majorEastAsia" w:cstheme="majorEastAsia"/>
                <w:b/>
                <w:color w:val="auto"/>
                <w:sz w:val="21"/>
                <w:szCs w:val="21"/>
                <w:highlight w:val="none"/>
                <w:lang w:val="zh-CN" w:bidi="zh-CN"/>
              </w:rPr>
            </w:pPr>
            <w:r>
              <w:rPr>
                <w:rFonts w:hint="eastAsia" w:asciiTheme="majorEastAsia" w:hAnsiTheme="majorEastAsia" w:eastAsiaTheme="majorEastAsia" w:cstheme="majorEastAsia"/>
                <w:b/>
                <w:color w:val="auto"/>
                <w:sz w:val="21"/>
                <w:szCs w:val="21"/>
                <w:highlight w:val="none"/>
                <w:lang w:val="zh-CN" w:bidi="zh-CN"/>
              </w:rPr>
              <w:t>详细功能描述</w:t>
            </w:r>
            <w:r>
              <w:rPr>
                <w:rFonts w:hint="eastAsia" w:asciiTheme="majorEastAsia" w:hAnsiTheme="majorEastAsia" w:eastAsiaTheme="majorEastAsia" w:cstheme="majorEastAsia"/>
                <w:b/>
                <w:color w:val="auto"/>
                <w:w w:val="99"/>
                <w:sz w:val="21"/>
                <w:szCs w:val="21"/>
                <w:highlight w:val="none"/>
                <w:lang w:val="zh-CN" w:bidi="zh-CN"/>
              </w:rPr>
              <w:t xml:space="preserve"> </w:t>
            </w:r>
          </w:p>
        </w:tc>
      </w:tr>
      <w:tr w14:paraId="72D0C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jc w:val="center"/>
        </w:trPr>
        <w:tc>
          <w:tcPr>
            <w:tcW w:w="1847" w:type="dxa"/>
            <w:vAlign w:val="center"/>
          </w:tcPr>
          <w:p w14:paraId="7D952FCC">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存取耗材</w:t>
            </w:r>
          </w:p>
        </w:tc>
        <w:tc>
          <w:tcPr>
            <w:tcW w:w="8344" w:type="dxa"/>
            <w:vAlign w:val="center"/>
          </w:tcPr>
          <w:p w14:paraId="3B324DE0">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通过 RFID 技术自动感知耗材存取，对应增加减少库存，精准度≥99%。 </w:t>
            </w:r>
          </w:p>
        </w:tc>
      </w:tr>
      <w:tr w14:paraId="23846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jc w:val="center"/>
        </w:trPr>
        <w:tc>
          <w:tcPr>
            <w:tcW w:w="1847" w:type="dxa"/>
            <w:vAlign w:val="center"/>
          </w:tcPr>
          <w:p w14:paraId="4CBACD25">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自动补货预警</w:t>
            </w:r>
          </w:p>
        </w:tc>
        <w:tc>
          <w:tcPr>
            <w:tcW w:w="8344" w:type="dxa"/>
            <w:vAlign w:val="center"/>
          </w:tcPr>
          <w:p w14:paraId="2981CD1A">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可以根据智能补货数据模型，实时监测柜体内库存，可以实现智能补货功能。</w:t>
            </w:r>
          </w:p>
        </w:tc>
      </w:tr>
      <w:tr w14:paraId="2457C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jc w:val="center"/>
        </w:trPr>
        <w:tc>
          <w:tcPr>
            <w:tcW w:w="1847" w:type="dxa"/>
            <w:vAlign w:val="center"/>
          </w:tcPr>
          <w:p w14:paraId="218FCEAA">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效期管理</w:t>
            </w:r>
          </w:p>
        </w:tc>
        <w:tc>
          <w:tcPr>
            <w:tcW w:w="8344" w:type="dxa"/>
            <w:vAlign w:val="center"/>
          </w:tcPr>
          <w:p w14:paraId="1524BB30">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具备对柜体内货品进行效期监管功能，对货品效期进行自动预警。 </w:t>
            </w:r>
          </w:p>
        </w:tc>
      </w:tr>
      <w:tr w14:paraId="1365C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jc w:val="center"/>
        </w:trPr>
        <w:tc>
          <w:tcPr>
            <w:tcW w:w="1847" w:type="dxa"/>
            <w:vAlign w:val="center"/>
          </w:tcPr>
          <w:p w14:paraId="130D4C58">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追溯管理</w:t>
            </w:r>
          </w:p>
        </w:tc>
        <w:tc>
          <w:tcPr>
            <w:tcW w:w="8344" w:type="dxa"/>
            <w:vAlign w:val="center"/>
          </w:tcPr>
          <w:p w14:paraId="6D9F3F3B">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通过条形码唯一标识，实现商品追溯管理。 </w:t>
            </w:r>
          </w:p>
        </w:tc>
      </w:tr>
      <w:tr w14:paraId="38BCF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jc w:val="center"/>
        </w:trPr>
        <w:tc>
          <w:tcPr>
            <w:tcW w:w="1847" w:type="dxa"/>
            <w:vAlign w:val="center"/>
          </w:tcPr>
          <w:p w14:paraId="5E5E6081">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自动盘点</w:t>
            </w:r>
          </w:p>
        </w:tc>
        <w:tc>
          <w:tcPr>
            <w:tcW w:w="8344" w:type="dxa"/>
            <w:vAlign w:val="center"/>
          </w:tcPr>
          <w:p w14:paraId="20CFC144">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具备耗材准确自动盘点（通过 RFID）。 </w:t>
            </w:r>
          </w:p>
        </w:tc>
      </w:tr>
      <w:tr w14:paraId="192AC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jc w:val="center"/>
        </w:trPr>
        <w:tc>
          <w:tcPr>
            <w:tcW w:w="1847" w:type="dxa"/>
            <w:vAlign w:val="center"/>
          </w:tcPr>
          <w:p w14:paraId="6F169447">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库存管理</w:t>
            </w:r>
          </w:p>
        </w:tc>
        <w:tc>
          <w:tcPr>
            <w:tcW w:w="8344" w:type="dxa"/>
            <w:vAlign w:val="center"/>
          </w:tcPr>
          <w:p w14:paraId="2E37ACF3">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具备实时库存查询（通过 RFID），耗材可进行货位调整。 </w:t>
            </w:r>
          </w:p>
        </w:tc>
      </w:tr>
      <w:tr w14:paraId="56353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jc w:val="center"/>
        </w:trPr>
        <w:tc>
          <w:tcPr>
            <w:tcW w:w="1847" w:type="dxa"/>
            <w:vAlign w:val="center"/>
          </w:tcPr>
          <w:p w14:paraId="4AD15D00">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防丢管理</w:t>
            </w:r>
          </w:p>
        </w:tc>
        <w:tc>
          <w:tcPr>
            <w:tcW w:w="8344" w:type="dxa"/>
            <w:vAlign w:val="center"/>
          </w:tcPr>
          <w:p w14:paraId="1BAB63EE">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耗材出柜未用还回报警，防止耗材丢失，短信报警。</w:t>
            </w:r>
            <w:r>
              <w:rPr>
                <w:rFonts w:hint="eastAsia" w:asciiTheme="majorEastAsia" w:hAnsiTheme="majorEastAsia" w:eastAsiaTheme="majorEastAsia" w:cstheme="majorEastAsia"/>
                <w:b/>
                <w:bCs/>
                <w:color w:val="FF0000"/>
                <w:sz w:val="21"/>
                <w:szCs w:val="21"/>
                <w:highlight w:val="none"/>
                <w:lang w:val="zh-CN" w:bidi="zh-CN"/>
              </w:rPr>
              <w:t>（</w:t>
            </w:r>
            <w:r>
              <w:rPr>
                <w:rFonts w:hint="eastAsia" w:asciiTheme="majorEastAsia" w:hAnsiTheme="majorEastAsia" w:eastAsiaTheme="majorEastAsia" w:cstheme="majorEastAsia"/>
                <w:b/>
                <w:bCs/>
                <w:color w:val="FF0000"/>
                <w:sz w:val="21"/>
                <w:szCs w:val="21"/>
                <w:highlight w:val="none"/>
                <w:lang w:bidi="zh-CN"/>
              </w:rPr>
              <w:t>提供截图</w:t>
            </w:r>
            <w:r>
              <w:rPr>
                <w:rFonts w:hint="eastAsia" w:asciiTheme="majorEastAsia" w:hAnsiTheme="majorEastAsia" w:eastAsiaTheme="majorEastAsia" w:cstheme="majorEastAsia"/>
                <w:b/>
                <w:bCs/>
                <w:color w:val="FF0000"/>
                <w:sz w:val="21"/>
                <w:szCs w:val="21"/>
                <w:highlight w:val="none"/>
                <w:lang w:val="zh-CN" w:bidi="zh-CN"/>
              </w:rPr>
              <w:t>）</w:t>
            </w:r>
          </w:p>
        </w:tc>
      </w:tr>
      <w:tr w14:paraId="6BEBD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jc w:val="center"/>
        </w:trPr>
        <w:tc>
          <w:tcPr>
            <w:tcW w:w="1847" w:type="dxa"/>
            <w:vAlign w:val="center"/>
          </w:tcPr>
          <w:p w14:paraId="5DEE6CCB">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自检功能</w:t>
            </w:r>
          </w:p>
        </w:tc>
        <w:tc>
          <w:tcPr>
            <w:tcW w:w="8344" w:type="dxa"/>
            <w:vAlign w:val="center"/>
          </w:tcPr>
          <w:p w14:paraId="12FBEBB4">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具备自检功能，并具备短信报警功能。 </w:t>
            </w:r>
          </w:p>
        </w:tc>
      </w:tr>
      <w:tr w14:paraId="4CE58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847" w:type="dxa"/>
            <w:vAlign w:val="center"/>
          </w:tcPr>
          <w:p w14:paraId="0447A5F5">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触屏操作</w:t>
            </w:r>
          </w:p>
        </w:tc>
        <w:tc>
          <w:tcPr>
            <w:tcW w:w="8344" w:type="dxa"/>
            <w:vAlign w:val="center"/>
          </w:tcPr>
          <w:p w14:paraId="2CCF2094">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具备高清透明触控屏幕，≥</w:t>
            </w:r>
            <w:r>
              <w:rPr>
                <w:rFonts w:hint="eastAsia" w:asciiTheme="majorEastAsia" w:hAnsiTheme="majorEastAsia" w:eastAsiaTheme="majorEastAsia" w:cstheme="majorEastAsia"/>
                <w:color w:val="auto"/>
                <w:sz w:val="21"/>
                <w:szCs w:val="21"/>
                <w:highlight w:val="none"/>
                <w:lang w:bidi="zh-CN"/>
              </w:rPr>
              <w:t>4</w:t>
            </w:r>
            <w:r>
              <w:rPr>
                <w:rFonts w:hint="eastAsia" w:asciiTheme="majorEastAsia" w:hAnsiTheme="majorEastAsia" w:eastAsiaTheme="majorEastAsia" w:cstheme="majorEastAsia"/>
                <w:color w:val="auto"/>
                <w:sz w:val="21"/>
                <w:szCs w:val="21"/>
                <w:highlight w:val="none"/>
                <w:lang w:val="zh-CN" w:bidi="zh-CN"/>
              </w:rPr>
              <w:t>G 内存，≥</w:t>
            </w:r>
            <w:r>
              <w:rPr>
                <w:rFonts w:hint="eastAsia" w:asciiTheme="majorEastAsia" w:hAnsiTheme="majorEastAsia" w:eastAsiaTheme="majorEastAsia" w:cstheme="majorEastAsia"/>
                <w:color w:val="auto"/>
                <w:sz w:val="21"/>
                <w:szCs w:val="21"/>
                <w:highlight w:val="none"/>
                <w:lang w:bidi="zh-CN"/>
              </w:rPr>
              <w:t>32</w:t>
            </w:r>
            <w:r>
              <w:rPr>
                <w:rFonts w:hint="eastAsia" w:asciiTheme="majorEastAsia" w:hAnsiTheme="majorEastAsia" w:eastAsiaTheme="majorEastAsia" w:cstheme="majorEastAsia"/>
                <w:color w:val="auto"/>
                <w:sz w:val="21"/>
                <w:szCs w:val="21"/>
                <w:highlight w:val="none"/>
                <w:lang w:val="zh-CN" w:bidi="zh-CN"/>
              </w:rPr>
              <w:t>G 存储，不低于 Android</w:t>
            </w:r>
            <w:r>
              <w:rPr>
                <w:rFonts w:hint="eastAsia" w:asciiTheme="majorEastAsia" w:hAnsiTheme="majorEastAsia" w:eastAsiaTheme="majorEastAsia" w:cstheme="majorEastAsia"/>
                <w:color w:val="auto"/>
                <w:sz w:val="21"/>
                <w:szCs w:val="21"/>
                <w:highlight w:val="none"/>
                <w:lang w:val="en-US" w:bidi="zh-CN"/>
              </w:rPr>
              <w:t>7</w:t>
            </w:r>
            <w:r>
              <w:rPr>
                <w:rFonts w:hint="eastAsia" w:asciiTheme="majorEastAsia" w:hAnsiTheme="majorEastAsia" w:eastAsiaTheme="majorEastAsia" w:cstheme="majorEastAsia"/>
                <w:color w:val="auto"/>
                <w:sz w:val="21"/>
                <w:szCs w:val="21"/>
                <w:highlight w:val="none"/>
                <w:lang w:val="zh-CN" w:bidi="zh-CN"/>
              </w:rPr>
              <w:t xml:space="preserve">.0 系统及 LCD亮灯拣选提示。 </w:t>
            </w:r>
          </w:p>
        </w:tc>
      </w:tr>
      <w:tr w14:paraId="112DB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847" w:type="dxa"/>
            <w:vAlign w:val="center"/>
          </w:tcPr>
          <w:p w14:paraId="446B5E78">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权限控制</w:t>
            </w:r>
          </w:p>
        </w:tc>
        <w:tc>
          <w:tcPr>
            <w:tcW w:w="8344" w:type="dxa"/>
            <w:vAlign w:val="center"/>
          </w:tcPr>
          <w:p w14:paraId="78A112F2">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具备耗材取用的权限访问控制，支持 IC 卡、指尖脉冲、密码控制开门。 </w:t>
            </w:r>
          </w:p>
        </w:tc>
      </w:tr>
      <w:tr w14:paraId="4BF4E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847" w:type="dxa"/>
            <w:vAlign w:val="center"/>
          </w:tcPr>
          <w:p w14:paraId="52E16526">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访问控制台</w:t>
            </w:r>
          </w:p>
        </w:tc>
        <w:tc>
          <w:tcPr>
            <w:tcW w:w="8344" w:type="dxa"/>
            <w:vAlign w:val="center"/>
          </w:tcPr>
          <w:p w14:paraId="4AE9918A">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智能柜人员权限管理，如添加或删除智能柜使用人员、用户权限调整；配置智能柜门相关参数；对数据库进行备份、还原、初始化；监控智能柜门开启状态。 </w:t>
            </w:r>
          </w:p>
        </w:tc>
      </w:tr>
      <w:tr w14:paraId="06836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847" w:type="dxa"/>
            <w:vAlign w:val="center"/>
          </w:tcPr>
          <w:p w14:paraId="3915A0FD">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应急开门</w:t>
            </w:r>
          </w:p>
        </w:tc>
        <w:tc>
          <w:tcPr>
            <w:tcW w:w="8344" w:type="dxa"/>
            <w:vAlign w:val="center"/>
          </w:tcPr>
          <w:p w14:paraId="6E5780C2">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具备紧急情况下快速开门功能，如设备故障、断网、断电情况。 </w:t>
            </w:r>
          </w:p>
        </w:tc>
      </w:tr>
      <w:tr w14:paraId="76AD9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847" w:type="dxa"/>
            <w:vAlign w:val="center"/>
          </w:tcPr>
          <w:p w14:paraId="60481EB3">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技术要求</w:t>
            </w:r>
          </w:p>
        </w:tc>
        <w:tc>
          <w:tcPr>
            <w:tcW w:w="8344" w:type="dxa"/>
            <w:vAlign w:val="center"/>
          </w:tcPr>
          <w:p w14:paraId="1AC5C3F2">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具备耗材取出时可以被感知到，要求设备之间不能串读。在错误操作时能自动记录错误数据方便修复。</w:t>
            </w:r>
          </w:p>
        </w:tc>
      </w:tr>
      <w:tr w14:paraId="41472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847" w:type="dxa"/>
            <w:vAlign w:val="center"/>
          </w:tcPr>
          <w:p w14:paraId="0DCED935">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系统接口</w:t>
            </w:r>
          </w:p>
        </w:tc>
        <w:tc>
          <w:tcPr>
            <w:tcW w:w="8344" w:type="dxa"/>
            <w:vAlign w:val="center"/>
          </w:tcPr>
          <w:p w14:paraId="2ED19851">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提供标准化接口，可以与医院各系统对接。 </w:t>
            </w:r>
          </w:p>
        </w:tc>
      </w:tr>
    </w:tbl>
    <w:p w14:paraId="34522EDF">
      <w:pPr>
        <w:snapToGrid w:val="0"/>
        <w:spacing w:line="240" w:lineRule="auto"/>
        <w:rPr>
          <w:rFonts w:hint="eastAsia" w:asciiTheme="majorEastAsia" w:hAnsiTheme="majorEastAsia" w:eastAsiaTheme="majorEastAsia" w:cstheme="majorEastAsia"/>
          <w:color w:val="auto"/>
          <w:sz w:val="21"/>
          <w:szCs w:val="21"/>
          <w:highlight w:val="none"/>
          <w:lang w:val="en-US" w:eastAsia="zh-CN"/>
        </w:rPr>
      </w:pPr>
    </w:p>
    <w:p w14:paraId="074B1BFA">
      <w:pPr>
        <w:snapToGrid w:val="0"/>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 xml:space="preserve">15.4移动终端应用平台，通过 PDA或APP 实现移动业务办公，快速扫码等仓储业务。 </w:t>
      </w:r>
    </w:p>
    <w:tbl>
      <w:tblPr>
        <w:tblStyle w:val="39"/>
        <w:tblW w:w="96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2"/>
        <w:gridCol w:w="7962"/>
      </w:tblGrid>
      <w:tr w14:paraId="68BD5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02" w:type="dxa"/>
            <w:vAlign w:val="center"/>
          </w:tcPr>
          <w:p w14:paraId="609839F5">
            <w:pPr>
              <w:autoSpaceDE w:val="0"/>
              <w:autoSpaceDN w:val="0"/>
              <w:spacing w:line="240" w:lineRule="auto"/>
              <w:jc w:val="center"/>
              <w:rPr>
                <w:rFonts w:hint="eastAsia" w:asciiTheme="majorEastAsia" w:hAnsiTheme="majorEastAsia" w:eastAsiaTheme="majorEastAsia" w:cstheme="majorEastAsia"/>
                <w:b/>
                <w:color w:val="auto"/>
                <w:sz w:val="21"/>
                <w:szCs w:val="21"/>
                <w:highlight w:val="none"/>
                <w:lang w:val="zh-CN" w:bidi="zh-CN"/>
              </w:rPr>
            </w:pPr>
            <w:r>
              <w:rPr>
                <w:rFonts w:hint="eastAsia" w:asciiTheme="majorEastAsia" w:hAnsiTheme="majorEastAsia" w:eastAsiaTheme="majorEastAsia" w:cstheme="majorEastAsia"/>
                <w:b/>
                <w:color w:val="auto"/>
                <w:sz w:val="21"/>
                <w:szCs w:val="21"/>
                <w:highlight w:val="none"/>
                <w:lang w:val="zh-CN" w:bidi="zh-CN"/>
              </w:rPr>
              <w:t>子功能</w:t>
            </w:r>
          </w:p>
        </w:tc>
        <w:tc>
          <w:tcPr>
            <w:tcW w:w="7962" w:type="dxa"/>
            <w:vAlign w:val="center"/>
          </w:tcPr>
          <w:p w14:paraId="715BB0D9">
            <w:pPr>
              <w:autoSpaceDE w:val="0"/>
              <w:autoSpaceDN w:val="0"/>
              <w:spacing w:line="240" w:lineRule="auto"/>
              <w:jc w:val="center"/>
              <w:rPr>
                <w:rFonts w:hint="eastAsia" w:asciiTheme="majorEastAsia" w:hAnsiTheme="majorEastAsia" w:eastAsiaTheme="majorEastAsia" w:cstheme="majorEastAsia"/>
                <w:b/>
                <w:color w:val="auto"/>
                <w:sz w:val="21"/>
                <w:szCs w:val="21"/>
                <w:highlight w:val="none"/>
                <w:lang w:val="zh-CN" w:bidi="zh-CN"/>
              </w:rPr>
            </w:pPr>
            <w:r>
              <w:rPr>
                <w:rFonts w:hint="eastAsia" w:asciiTheme="majorEastAsia" w:hAnsiTheme="majorEastAsia" w:eastAsiaTheme="majorEastAsia" w:cstheme="majorEastAsia"/>
                <w:b/>
                <w:color w:val="auto"/>
                <w:sz w:val="21"/>
                <w:szCs w:val="21"/>
                <w:highlight w:val="none"/>
                <w:lang w:val="zh-CN" w:bidi="zh-CN"/>
              </w:rPr>
              <w:t>功能说明</w:t>
            </w:r>
          </w:p>
        </w:tc>
      </w:tr>
      <w:tr w14:paraId="26F6C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702" w:type="dxa"/>
            <w:vAlign w:val="center"/>
          </w:tcPr>
          <w:p w14:paraId="7EFBC831">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扫码入库</w:t>
            </w:r>
          </w:p>
        </w:tc>
        <w:tc>
          <w:tcPr>
            <w:tcW w:w="7962" w:type="dxa"/>
            <w:vAlign w:val="center"/>
          </w:tcPr>
          <w:p w14:paraId="17E2D3EF">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通过 PDA 扫描耗材、试剂供应商“配送单/随货同行单”获取单据数据，实现一键扫码快速上架入库。 </w:t>
            </w:r>
          </w:p>
        </w:tc>
      </w:tr>
      <w:tr w14:paraId="7444F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702" w:type="dxa"/>
            <w:vAlign w:val="center"/>
          </w:tcPr>
          <w:p w14:paraId="2EC8B442">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移动办公</w:t>
            </w:r>
          </w:p>
        </w:tc>
        <w:tc>
          <w:tcPr>
            <w:tcW w:w="7962" w:type="dxa"/>
            <w:vAlign w:val="center"/>
          </w:tcPr>
          <w:p w14:paraId="5BE48D6A">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①利用手机APP，实现医院端中心库拣货、加工、盘点管理等功能，实现移动办公，提高工作效率。</w:t>
            </w:r>
            <w:r>
              <w:rPr>
                <w:rFonts w:hint="eastAsia" w:asciiTheme="majorEastAsia" w:hAnsiTheme="majorEastAsia" w:eastAsiaTheme="majorEastAsia" w:cstheme="majorEastAsia"/>
                <w:color w:val="auto"/>
                <w:sz w:val="21"/>
                <w:szCs w:val="21"/>
                <w:highlight w:val="none"/>
                <w:lang w:val="zh-CN" w:bidi="zh-CN"/>
              </w:rPr>
              <w:br w:type="textWrapping"/>
            </w:r>
            <w:r>
              <w:rPr>
                <w:rFonts w:hint="eastAsia" w:asciiTheme="majorEastAsia" w:hAnsiTheme="majorEastAsia" w:eastAsiaTheme="majorEastAsia" w:cstheme="majorEastAsia"/>
                <w:color w:val="auto"/>
                <w:sz w:val="21"/>
                <w:szCs w:val="21"/>
                <w:highlight w:val="none"/>
                <w:lang w:val="zh-CN" w:bidi="zh-CN"/>
              </w:rPr>
              <w:t>②利用手机APP，实现供应商端订单接收查询、物资配送查询等功能，实现移动办公，提高工作效率。</w:t>
            </w:r>
          </w:p>
        </w:tc>
      </w:tr>
    </w:tbl>
    <w:p w14:paraId="79CC1A8F">
      <w:pPr>
        <w:snapToGrid w:val="0"/>
        <w:spacing w:line="240" w:lineRule="auto"/>
        <w:rPr>
          <w:rFonts w:hint="eastAsia" w:asciiTheme="majorEastAsia" w:hAnsiTheme="majorEastAsia" w:eastAsiaTheme="majorEastAsia" w:cstheme="majorEastAsia"/>
          <w:color w:val="auto"/>
          <w:sz w:val="21"/>
          <w:szCs w:val="21"/>
          <w:highlight w:val="none"/>
          <w:lang w:val="en-US" w:eastAsia="zh-CN"/>
        </w:rPr>
      </w:pPr>
    </w:p>
    <w:p w14:paraId="5A74DE82">
      <w:pPr>
        <w:snapToGrid w:val="0"/>
        <w:spacing w:line="240" w:lineRule="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 xml:space="preserve">15.5 事物通知服务平台，通过手机APP或短信实时获取系统消息、审批订单、处理订单等，实现高效的协同办公。 </w:t>
      </w:r>
    </w:p>
    <w:tbl>
      <w:tblPr>
        <w:tblStyle w:val="39"/>
        <w:tblW w:w="97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7"/>
        <w:gridCol w:w="7490"/>
      </w:tblGrid>
      <w:tr w14:paraId="79373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2247" w:type="dxa"/>
            <w:vAlign w:val="center"/>
          </w:tcPr>
          <w:p w14:paraId="7F2E3A37">
            <w:pPr>
              <w:autoSpaceDE w:val="0"/>
              <w:autoSpaceDN w:val="0"/>
              <w:spacing w:line="240" w:lineRule="auto"/>
              <w:jc w:val="center"/>
              <w:rPr>
                <w:rFonts w:hint="eastAsia" w:asciiTheme="majorEastAsia" w:hAnsiTheme="majorEastAsia" w:eastAsiaTheme="majorEastAsia" w:cstheme="majorEastAsia"/>
                <w:b/>
                <w:color w:val="auto"/>
                <w:sz w:val="21"/>
                <w:szCs w:val="21"/>
                <w:highlight w:val="none"/>
                <w:lang w:val="zh-CN" w:bidi="zh-CN"/>
              </w:rPr>
            </w:pPr>
            <w:r>
              <w:rPr>
                <w:rFonts w:hint="eastAsia" w:asciiTheme="majorEastAsia" w:hAnsiTheme="majorEastAsia" w:eastAsiaTheme="majorEastAsia" w:cstheme="majorEastAsia"/>
                <w:b/>
                <w:color w:val="auto"/>
                <w:sz w:val="21"/>
                <w:szCs w:val="21"/>
                <w:highlight w:val="none"/>
                <w:lang w:val="zh-CN" w:bidi="zh-CN"/>
              </w:rPr>
              <w:t>子功能</w:t>
            </w:r>
            <w:r>
              <w:rPr>
                <w:rFonts w:hint="eastAsia" w:asciiTheme="majorEastAsia" w:hAnsiTheme="majorEastAsia" w:eastAsiaTheme="majorEastAsia" w:cstheme="majorEastAsia"/>
                <w:b/>
                <w:color w:val="auto"/>
                <w:w w:val="99"/>
                <w:sz w:val="21"/>
                <w:szCs w:val="21"/>
                <w:highlight w:val="none"/>
                <w:lang w:val="zh-CN" w:bidi="zh-CN"/>
              </w:rPr>
              <w:t xml:space="preserve"> </w:t>
            </w:r>
          </w:p>
        </w:tc>
        <w:tc>
          <w:tcPr>
            <w:tcW w:w="7490" w:type="dxa"/>
            <w:vAlign w:val="center"/>
          </w:tcPr>
          <w:p w14:paraId="21362AA0">
            <w:pPr>
              <w:autoSpaceDE w:val="0"/>
              <w:autoSpaceDN w:val="0"/>
              <w:spacing w:line="240" w:lineRule="auto"/>
              <w:jc w:val="center"/>
              <w:rPr>
                <w:rFonts w:hint="eastAsia" w:asciiTheme="majorEastAsia" w:hAnsiTheme="majorEastAsia" w:eastAsiaTheme="majorEastAsia" w:cstheme="majorEastAsia"/>
                <w:b/>
                <w:color w:val="auto"/>
                <w:sz w:val="21"/>
                <w:szCs w:val="21"/>
                <w:highlight w:val="none"/>
                <w:lang w:val="zh-CN" w:bidi="zh-CN"/>
              </w:rPr>
            </w:pPr>
            <w:r>
              <w:rPr>
                <w:rFonts w:hint="eastAsia" w:asciiTheme="majorEastAsia" w:hAnsiTheme="majorEastAsia" w:eastAsiaTheme="majorEastAsia" w:cstheme="majorEastAsia"/>
                <w:b/>
                <w:color w:val="auto"/>
                <w:sz w:val="21"/>
                <w:szCs w:val="21"/>
                <w:highlight w:val="none"/>
                <w:lang w:val="zh-CN" w:bidi="zh-CN"/>
              </w:rPr>
              <w:t>功能说明</w:t>
            </w:r>
            <w:r>
              <w:rPr>
                <w:rFonts w:hint="eastAsia" w:asciiTheme="majorEastAsia" w:hAnsiTheme="majorEastAsia" w:eastAsiaTheme="majorEastAsia" w:cstheme="majorEastAsia"/>
                <w:b/>
                <w:color w:val="auto"/>
                <w:w w:val="99"/>
                <w:sz w:val="21"/>
                <w:szCs w:val="21"/>
                <w:highlight w:val="none"/>
                <w:lang w:val="zh-CN" w:bidi="zh-CN"/>
              </w:rPr>
              <w:t xml:space="preserve"> </w:t>
            </w:r>
          </w:p>
        </w:tc>
      </w:tr>
      <w:tr w14:paraId="58301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247" w:type="dxa"/>
            <w:vAlign w:val="center"/>
          </w:tcPr>
          <w:p w14:paraId="27CFE2AB">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消息提醒 </w:t>
            </w:r>
          </w:p>
        </w:tc>
        <w:tc>
          <w:tcPr>
            <w:tcW w:w="7490" w:type="dxa"/>
            <w:vAlign w:val="center"/>
          </w:tcPr>
          <w:p w14:paraId="515ACEE3">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订单通知、结算通知、审批信息等。 </w:t>
            </w:r>
          </w:p>
        </w:tc>
      </w:tr>
      <w:tr w14:paraId="229A6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247" w:type="dxa"/>
            <w:vAlign w:val="center"/>
          </w:tcPr>
          <w:p w14:paraId="1DEBF577">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移动审批 </w:t>
            </w:r>
          </w:p>
        </w:tc>
        <w:tc>
          <w:tcPr>
            <w:tcW w:w="7490" w:type="dxa"/>
            <w:vAlign w:val="center"/>
          </w:tcPr>
          <w:p w14:paraId="0D2FD239">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支持移动一键审核确认，支持提醒未办理信息。 </w:t>
            </w:r>
          </w:p>
        </w:tc>
      </w:tr>
      <w:tr w14:paraId="119CF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247" w:type="dxa"/>
            <w:vAlign w:val="center"/>
          </w:tcPr>
          <w:p w14:paraId="7A2847F9">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证照效期报警 </w:t>
            </w:r>
          </w:p>
        </w:tc>
        <w:tc>
          <w:tcPr>
            <w:tcW w:w="7490" w:type="dxa"/>
            <w:vAlign w:val="center"/>
          </w:tcPr>
          <w:p w14:paraId="1293F67F">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支持证照近效期报警通知功能。 </w:t>
            </w:r>
          </w:p>
        </w:tc>
      </w:tr>
    </w:tbl>
    <w:p w14:paraId="63E621C3">
      <w:pPr>
        <w:snapToGrid w:val="0"/>
        <w:spacing w:line="240" w:lineRule="auto"/>
        <w:rPr>
          <w:rFonts w:hint="eastAsia" w:asciiTheme="majorEastAsia" w:hAnsiTheme="majorEastAsia" w:eastAsiaTheme="majorEastAsia" w:cstheme="majorEastAsia"/>
          <w:color w:val="auto"/>
          <w:sz w:val="21"/>
          <w:szCs w:val="21"/>
          <w:highlight w:val="none"/>
          <w:lang w:val="en-US" w:eastAsia="zh-CN"/>
        </w:rPr>
      </w:pPr>
    </w:p>
    <w:p w14:paraId="51A710A4">
      <w:pPr>
        <w:snapToGrid w:val="0"/>
        <w:spacing w:line="24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 xml:space="preserve">15.6  </w:t>
      </w:r>
      <w:r>
        <w:rPr>
          <w:rFonts w:hint="eastAsia" w:asciiTheme="majorEastAsia" w:hAnsiTheme="majorEastAsia" w:eastAsiaTheme="majorEastAsia" w:cstheme="majorEastAsia"/>
          <w:color w:val="auto"/>
          <w:sz w:val="21"/>
          <w:szCs w:val="21"/>
          <w:highlight w:val="none"/>
        </w:rPr>
        <w:t>BI 数据决策分析平台</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 xml:space="preserve">为医院提供多维度的可视化数据展示和数据监控；医院不同科室根据实际业务需求自由配置，为医院运营提供可靠的数据支撑。 </w:t>
      </w:r>
    </w:p>
    <w:tbl>
      <w:tblPr>
        <w:tblStyle w:val="39"/>
        <w:tblW w:w="97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7501"/>
      </w:tblGrid>
      <w:tr w14:paraId="4A374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69" w:type="dxa"/>
            <w:vAlign w:val="center"/>
          </w:tcPr>
          <w:p w14:paraId="3A49D2A8">
            <w:pPr>
              <w:autoSpaceDE w:val="0"/>
              <w:autoSpaceDN w:val="0"/>
              <w:spacing w:line="240" w:lineRule="auto"/>
              <w:jc w:val="center"/>
              <w:rPr>
                <w:rFonts w:hint="eastAsia" w:asciiTheme="majorEastAsia" w:hAnsiTheme="majorEastAsia" w:eastAsiaTheme="majorEastAsia" w:cstheme="majorEastAsia"/>
                <w:b/>
                <w:color w:val="auto"/>
                <w:sz w:val="21"/>
                <w:szCs w:val="21"/>
                <w:highlight w:val="none"/>
                <w:lang w:val="zh-CN" w:bidi="zh-CN"/>
              </w:rPr>
            </w:pPr>
            <w:r>
              <w:rPr>
                <w:rFonts w:hint="eastAsia" w:asciiTheme="majorEastAsia" w:hAnsiTheme="majorEastAsia" w:eastAsiaTheme="majorEastAsia" w:cstheme="majorEastAsia"/>
                <w:b/>
                <w:color w:val="auto"/>
                <w:sz w:val="21"/>
                <w:szCs w:val="21"/>
                <w:highlight w:val="none"/>
                <w:lang w:val="zh-CN" w:bidi="zh-CN"/>
              </w:rPr>
              <w:t>子功能</w:t>
            </w:r>
            <w:r>
              <w:rPr>
                <w:rFonts w:hint="eastAsia" w:asciiTheme="majorEastAsia" w:hAnsiTheme="majorEastAsia" w:eastAsiaTheme="majorEastAsia" w:cstheme="majorEastAsia"/>
                <w:b/>
                <w:color w:val="auto"/>
                <w:w w:val="99"/>
                <w:sz w:val="21"/>
                <w:szCs w:val="21"/>
                <w:highlight w:val="none"/>
                <w:lang w:val="zh-CN" w:bidi="zh-CN"/>
              </w:rPr>
              <w:t xml:space="preserve"> </w:t>
            </w:r>
          </w:p>
        </w:tc>
        <w:tc>
          <w:tcPr>
            <w:tcW w:w="7501" w:type="dxa"/>
            <w:vAlign w:val="center"/>
          </w:tcPr>
          <w:p w14:paraId="1D66C004">
            <w:pPr>
              <w:tabs>
                <w:tab w:val="left" w:pos="3673"/>
              </w:tabs>
              <w:autoSpaceDE w:val="0"/>
              <w:autoSpaceDN w:val="0"/>
              <w:spacing w:line="240" w:lineRule="auto"/>
              <w:jc w:val="center"/>
              <w:rPr>
                <w:rFonts w:hint="eastAsia" w:asciiTheme="majorEastAsia" w:hAnsiTheme="majorEastAsia" w:eastAsiaTheme="majorEastAsia" w:cstheme="majorEastAsia"/>
                <w:b/>
                <w:color w:val="auto"/>
                <w:sz w:val="21"/>
                <w:szCs w:val="21"/>
                <w:highlight w:val="none"/>
                <w:lang w:val="zh-CN" w:bidi="zh-CN"/>
              </w:rPr>
            </w:pPr>
            <w:r>
              <w:rPr>
                <w:rFonts w:hint="eastAsia" w:asciiTheme="majorEastAsia" w:hAnsiTheme="majorEastAsia" w:eastAsiaTheme="majorEastAsia" w:cstheme="majorEastAsia"/>
                <w:b/>
                <w:color w:val="auto"/>
                <w:sz w:val="21"/>
                <w:szCs w:val="21"/>
                <w:highlight w:val="none"/>
                <w:lang w:val="zh-CN" w:bidi="zh-CN"/>
              </w:rPr>
              <w:t>功能说明</w:t>
            </w:r>
            <w:r>
              <w:rPr>
                <w:rFonts w:hint="eastAsia" w:asciiTheme="majorEastAsia" w:hAnsiTheme="majorEastAsia" w:eastAsiaTheme="majorEastAsia" w:cstheme="majorEastAsia"/>
                <w:b/>
                <w:color w:val="auto"/>
                <w:w w:val="99"/>
                <w:sz w:val="21"/>
                <w:szCs w:val="21"/>
                <w:highlight w:val="none"/>
                <w:lang w:val="zh-CN" w:bidi="zh-CN"/>
              </w:rPr>
              <w:t xml:space="preserve"> </w:t>
            </w:r>
          </w:p>
        </w:tc>
      </w:tr>
      <w:tr w14:paraId="65CAB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269" w:type="dxa"/>
            <w:vAlign w:val="center"/>
          </w:tcPr>
          <w:p w14:paraId="3554CBCC">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数据分析监管 </w:t>
            </w:r>
          </w:p>
        </w:tc>
        <w:tc>
          <w:tcPr>
            <w:tcW w:w="7501" w:type="dxa"/>
            <w:vAlign w:val="center"/>
          </w:tcPr>
          <w:p w14:paraId="04B2CCB7">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为医院提供多维度的可视化数据展示和数据监控；医院不同科室根据实际业务需求自由配置，为医院运营提供可靠的数据支撑。 </w:t>
            </w:r>
          </w:p>
        </w:tc>
      </w:tr>
      <w:tr w14:paraId="42D2C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jc w:val="center"/>
        </w:trPr>
        <w:tc>
          <w:tcPr>
            <w:tcW w:w="2269" w:type="dxa"/>
            <w:vAlign w:val="center"/>
          </w:tcPr>
          <w:p w14:paraId="58FED98A">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耗占比分析 </w:t>
            </w:r>
          </w:p>
        </w:tc>
        <w:tc>
          <w:tcPr>
            <w:tcW w:w="7501" w:type="dxa"/>
            <w:vAlign w:val="center"/>
          </w:tcPr>
          <w:p w14:paraId="01B4596A">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①实现以全院、科室等不同分级统计模式，针对耗材消耗情况进行多维度分析，并满足设定标准值，根据实际使用情况实现超标预警。 </w:t>
            </w:r>
          </w:p>
          <w:p w14:paraId="4CFE218C">
            <w:pPr>
              <w:autoSpaceDE w:val="0"/>
              <w:autoSpaceDN w:val="0"/>
              <w:spacing w:line="240" w:lineRule="auto"/>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bidi="zh-CN"/>
              </w:rPr>
              <w:t xml:space="preserve">②实现以全院、科室等不同分级统计模式，针对耗材使用情况进行品类、品规、厂家等多维度排名。 </w:t>
            </w:r>
          </w:p>
        </w:tc>
      </w:tr>
      <w:tr w14:paraId="25034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269" w:type="dxa"/>
            <w:vAlign w:val="center"/>
          </w:tcPr>
          <w:p w14:paraId="069DDB6B">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排行分析 </w:t>
            </w:r>
          </w:p>
        </w:tc>
        <w:tc>
          <w:tcPr>
            <w:tcW w:w="7501" w:type="dxa"/>
            <w:vAlign w:val="center"/>
          </w:tcPr>
          <w:p w14:paraId="6D366DD3">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科室耗材用量排行；医生用耗材排行；耗材品种用量排行等。 </w:t>
            </w:r>
          </w:p>
        </w:tc>
      </w:tr>
      <w:tr w14:paraId="1BC59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269" w:type="dxa"/>
            <w:vAlign w:val="center"/>
          </w:tcPr>
          <w:p w14:paraId="6F8CC108">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大屏数据监管 </w:t>
            </w:r>
          </w:p>
        </w:tc>
        <w:tc>
          <w:tcPr>
            <w:tcW w:w="7501" w:type="dxa"/>
            <w:vAlign w:val="center"/>
          </w:tcPr>
          <w:p w14:paraId="6C3FD718">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实现通过大屏展示从耗材供应商配送情况，第三方运营方服务情况，科室耗材的使用情况和智能硬件等多维度的实时数据更新。 </w:t>
            </w:r>
          </w:p>
        </w:tc>
      </w:tr>
      <w:tr w14:paraId="192F0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269" w:type="dxa"/>
            <w:vAlign w:val="center"/>
          </w:tcPr>
          <w:p w14:paraId="4CAA08CF">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财务报表 </w:t>
            </w:r>
          </w:p>
        </w:tc>
        <w:tc>
          <w:tcPr>
            <w:tcW w:w="7501" w:type="dxa"/>
            <w:vAlign w:val="center"/>
          </w:tcPr>
          <w:p w14:paraId="0D487B55">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按医院要求，满足与财务部门对接的各类报表。 </w:t>
            </w:r>
          </w:p>
        </w:tc>
      </w:tr>
      <w:tr w14:paraId="7727E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269" w:type="dxa"/>
            <w:vAlign w:val="center"/>
          </w:tcPr>
          <w:p w14:paraId="7267EDEE">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自定义报表 </w:t>
            </w:r>
          </w:p>
        </w:tc>
        <w:tc>
          <w:tcPr>
            <w:tcW w:w="7501" w:type="dxa"/>
            <w:vAlign w:val="center"/>
          </w:tcPr>
          <w:p w14:paraId="195C6603">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实现可自定义报表界面元素、字段等形成所需报表内容，无需二次开发。</w:t>
            </w:r>
          </w:p>
        </w:tc>
      </w:tr>
    </w:tbl>
    <w:p w14:paraId="287A13C7">
      <w:pPr>
        <w:pStyle w:val="21"/>
        <w:numPr>
          <w:ilvl w:val="0"/>
          <w:numId w:val="0"/>
        </w:numPr>
        <w:tabs>
          <w:tab w:val="left" w:pos="540"/>
        </w:tabs>
        <w:adjustRightInd w:val="0"/>
        <w:snapToGrid w:val="0"/>
        <w:spacing w:line="360" w:lineRule="auto"/>
        <w:ind w:left="420" w:leftChars="0" w:hanging="420" w:firstLineChars="0"/>
        <w:rPr>
          <w:rFonts w:hAnsi="宋体"/>
          <w:b/>
          <w:color w:val="auto"/>
        </w:rPr>
      </w:pPr>
      <w:r>
        <w:rPr>
          <w:rFonts w:ascii="宋体" w:hAnsi="宋体" w:eastAsia="宋体" w:cs="Courier New"/>
          <w:b/>
          <w:color w:val="auto"/>
          <w:kern w:val="2"/>
          <w:sz w:val="21"/>
          <w:szCs w:val="21"/>
          <w:lang w:val="en-US" w:eastAsia="zh-CN" w:bidi="ar-SA"/>
        </w:rPr>
        <w:t>三、</w:t>
      </w:r>
      <w:r>
        <w:rPr>
          <w:rFonts w:hint="eastAsia" w:hAnsi="宋体"/>
          <w:b/>
          <w:color w:val="auto"/>
        </w:rPr>
        <w:t>★商务要求：</w:t>
      </w:r>
    </w:p>
    <w:tbl>
      <w:tblPr>
        <w:tblStyle w:val="40"/>
        <w:tblW w:w="10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6"/>
        <w:gridCol w:w="7560"/>
        <w:gridCol w:w="975"/>
      </w:tblGrid>
      <w:tr w14:paraId="35E9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6" w:type="dxa"/>
            <w:vAlign w:val="top"/>
          </w:tcPr>
          <w:p w14:paraId="25EC8549">
            <w:pPr>
              <w:pStyle w:val="21"/>
              <w:numPr>
                <w:ilvl w:val="0"/>
                <w:numId w:val="0"/>
              </w:numPr>
              <w:spacing w:line="240" w:lineRule="auto"/>
              <w:jc w:val="center"/>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类别</w:t>
            </w:r>
          </w:p>
        </w:tc>
        <w:tc>
          <w:tcPr>
            <w:tcW w:w="7560" w:type="dxa"/>
            <w:vAlign w:val="top"/>
          </w:tcPr>
          <w:p w14:paraId="0BEC1E8D">
            <w:pPr>
              <w:pStyle w:val="21"/>
              <w:numPr>
                <w:ilvl w:val="0"/>
                <w:numId w:val="0"/>
              </w:numPr>
              <w:spacing w:line="240" w:lineRule="auto"/>
              <w:jc w:val="center"/>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需求</w:t>
            </w:r>
          </w:p>
        </w:tc>
        <w:tc>
          <w:tcPr>
            <w:tcW w:w="975" w:type="dxa"/>
            <w:vAlign w:val="top"/>
          </w:tcPr>
          <w:p w14:paraId="7C168430">
            <w:pPr>
              <w:pStyle w:val="21"/>
              <w:numPr>
                <w:ilvl w:val="0"/>
                <w:numId w:val="0"/>
              </w:numPr>
              <w:spacing w:line="240" w:lineRule="auto"/>
              <w:jc w:val="center"/>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备注</w:t>
            </w:r>
          </w:p>
        </w:tc>
      </w:tr>
      <w:tr w14:paraId="3E2D3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6" w:type="dxa"/>
            <w:vAlign w:val="center"/>
          </w:tcPr>
          <w:p w14:paraId="241FADD6">
            <w:pPr>
              <w:pStyle w:val="21"/>
              <w:numPr>
                <w:ilvl w:val="0"/>
                <w:numId w:val="0"/>
              </w:numPr>
              <w:spacing w:line="240" w:lineRule="auto"/>
              <w:jc w:val="center"/>
              <w:rPr>
                <w:rFonts w:hint="eastAsia" w:asciiTheme="majorEastAsia" w:hAnsiTheme="majorEastAsia" w:eastAsiaTheme="majorEastAsia" w:cstheme="majorEastAsia"/>
                <w:color w:val="auto"/>
                <w:kern w:val="2"/>
                <w:sz w:val="21"/>
                <w:szCs w:val="21"/>
                <w:highlight w:val="none"/>
                <w:lang w:val="en-US" w:eastAsia="zh-CN" w:bidi="zh-CN"/>
              </w:rPr>
            </w:pPr>
          </w:p>
          <w:p w14:paraId="740DD645">
            <w:pPr>
              <w:pStyle w:val="21"/>
              <w:numPr>
                <w:ilvl w:val="0"/>
                <w:numId w:val="0"/>
              </w:numPr>
              <w:spacing w:line="240" w:lineRule="auto"/>
              <w:jc w:val="center"/>
              <w:rPr>
                <w:rFonts w:hint="eastAsia" w:asciiTheme="majorEastAsia" w:hAnsiTheme="majorEastAsia" w:eastAsiaTheme="majorEastAsia" w:cstheme="majorEastAsia"/>
                <w:color w:val="auto"/>
                <w:kern w:val="2"/>
                <w:sz w:val="21"/>
                <w:szCs w:val="21"/>
                <w:highlight w:val="none"/>
                <w:lang w:val="en-US" w:eastAsia="zh-CN" w:bidi="zh-CN"/>
              </w:rPr>
            </w:pPr>
            <w:r>
              <w:rPr>
                <w:rFonts w:hint="eastAsia" w:asciiTheme="majorEastAsia" w:hAnsiTheme="majorEastAsia" w:eastAsiaTheme="majorEastAsia" w:cstheme="majorEastAsia"/>
                <w:color w:val="auto"/>
                <w:kern w:val="2"/>
                <w:sz w:val="21"/>
                <w:szCs w:val="21"/>
                <w:highlight w:val="none"/>
                <w:lang w:val="en-US" w:eastAsia="zh-CN" w:bidi="zh-CN"/>
              </w:rPr>
              <w:t>概述</w:t>
            </w:r>
          </w:p>
        </w:tc>
        <w:tc>
          <w:tcPr>
            <w:tcW w:w="7560" w:type="dxa"/>
            <w:vAlign w:val="top"/>
          </w:tcPr>
          <w:p w14:paraId="7F04AF63">
            <w:pPr>
              <w:pStyle w:val="21"/>
              <w:numPr>
                <w:ilvl w:val="0"/>
                <w:numId w:val="0"/>
              </w:numPr>
              <w:spacing w:line="240" w:lineRule="auto"/>
              <w:rPr>
                <w:rFonts w:hint="eastAsia" w:asciiTheme="majorEastAsia" w:hAnsiTheme="majorEastAsia" w:eastAsiaTheme="majorEastAsia" w:cstheme="majorEastAsia"/>
                <w:color w:val="auto"/>
                <w:kern w:val="2"/>
                <w:sz w:val="21"/>
                <w:szCs w:val="21"/>
                <w:highlight w:val="none"/>
                <w:lang w:val="en-US" w:eastAsia="zh-CN" w:bidi="zh-CN"/>
              </w:rPr>
            </w:pPr>
            <w:r>
              <w:rPr>
                <w:rFonts w:hint="eastAsia" w:asciiTheme="majorEastAsia" w:hAnsiTheme="majorEastAsia" w:eastAsiaTheme="majorEastAsia" w:cstheme="majorEastAsia"/>
                <w:color w:val="auto"/>
                <w:kern w:val="2"/>
                <w:sz w:val="21"/>
                <w:szCs w:val="21"/>
                <w:lang w:val="en-US" w:eastAsia="zh-CN" w:bidi="zh-CN"/>
              </w:rPr>
              <w:t>1.</w:t>
            </w:r>
            <w:r>
              <w:rPr>
                <w:rFonts w:hint="eastAsia" w:asciiTheme="majorEastAsia" w:hAnsiTheme="majorEastAsia" w:eastAsiaTheme="majorEastAsia" w:cstheme="majorEastAsia"/>
                <w:color w:val="auto"/>
                <w:kern w:val="2"/>
                <w:sz w:val="21"/>
                <w:szCs w:val="21"/>
                <w:highlight w:val="none"/>
                <w:lang w:val="en-US" w:eastAsia="zh-CN" w:bidi="zh-CN"/>
              </w:rPr>
              <w:t xml:space="preserve">我院医用耗材供应链精细化管理（SPD）服务于2025年8月31日到期，现拟招一家服务商（中选方）提供医用物资SPD院内物流管理服务（包含SPD项目相关软件、一、二级库硬件、运营服务人员等相关配套）。 </w:t>
            </w:r>
          </w:p>
        </w:tc>
        <w:tc>
          <w:tcPr>
            <w:tcW w:w="975" w:type="dxa"/>
            <w:vAlign w:val="top"/>
          </w:tcPr>
          <w:p w14:paraId="156DDA4B">
            <w:pPr>
              <w:pStyle w:val="21"/>
              <w:numPr>
                <w:ilvl w:val="0"/>
                <w:numId w:val="0"/>
              </w:numPr>
              <w:spacing w:line="240" w:lineRule="auto"/>
              <w:rPr>
                <w:rFonts w:hint="eastAsia" w:asciiTheme="majorEastAsia" w:hAnsiTheme="majorEastAsia" w:eastAsiaTheme="majorEastAsia" w:cstheme="majorEastAsia"/>
                <w:color w:val="auto"/>
                <w:kern w:val="2"/>
                <w:sz w:val="21"/>
                <w:szCs w:val="21"/>
                <w:highlight w:val="none"/>
                <w:lang w:val="en-US" w:eastAsia="zh-CN" w:bidi="zh-CN"/>
              </w:rPr>
            </w:pPr>
          </w:p>
        </w:tc>
      </w:tr>
      <w:tr w14:paraId="3A997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6" w:type="dxa"/>
            <w:vAlign w:val="center"/>
          </w:tcPr>
          <w:p w14:paraId="21B08892">
            <w:pPr>
              <w:pStyle w:val="21"/>
              <w:numPr>
                <w:ilvl w:val="0"/>
                <w:numId w:val="0"/>
              </w:numPr>
              <w:spacing w:line="240" w:lineRule="auto"/>
              <w:jc w:val="center"/>
              <w:rPr>
                <w:rFonts w:hint="eastAsia" w:asciiTheme="majorEastAsia" w:hAnsiTheme="majorEastAsia" w:eastAsiaTheme="majorEastAsia" w:cstheme="majorEastAsia"/>
                <w:color w:val="auto"/>
                <w:kern w:val="2"/>
                <w:sz w:val="21"/>
                <w:szCs w:val="21"/>
                <w:highlight w:val="none"/>
                <w:lang w:val="en-US" w:eastAsia="zh-CN" w:bidi="zh-CN"/>
              </w:rPr>
            </w:pPr>
            <w:r>
              <w:rPr>
                <w:rFonts w:hint="eastAsia" w:asciiTheme="majorEastAsia" w:hAnsiTheme="majorEastAsia" w:eastAsiaTheme="majorEastAsia" w:cstheme="majorEastAsia"/>
                <w:color w:val="auto"/>
                <w:kern w:val="2"/>
                <w:sz w:val="21"/>
                <w:szCs w:val="21"/>
                <w:highlight w:val="none"/>
                <w:lang w:val="en-US" w:eastAsia="zh-CN" w:bidi="zh-CN"/>
              </w:rPr>
              <w:t>服务范围</w:t>
            </w:r>
          </w:p>
        </w:tc>
        <w:tc>
          <w:tcPr>
            <w:tcW w:w="7560" w:type="dxa"/>
            <w:vAlign w:val="top"/>
          </w:tcPr>
          <w:p w14:paraId="4EC3C8A1">
            <w:pPr>
              <w:pStyle w:val="21"/>
              <w:numPr>
                <w:ilvl w:val="0"/>
                <w:numId w:val="3"/>
              </w:numPr>
              <w:spacing w:line="240" w:lineRule="auto"/>
              <w:rPr>
                <w:rFonts w:hint="eastAsia" w:asciiTheme="majorEastAsia" w:hAnsiTheme="majorEastAsia" w:eastAsiaTheme="majorEastAsia" w:cstheme="majorEastAsia"/>
                <w:color w:val="auto"/>
                <w:kern w:val="2"/>
                <w:sz w:val="21"/>
                <w:szCs w:val="21"/>
                <w:highlight w:val="none"/>
                <w:lang w:val="en-US" w:eastAsia="zh-CN" w:bidi="zh-CN"/>
              </w:rPr>
            </w:pPr>
            <w:r>
              <w:rPr>
                <w:rFonts w:hint="eastAsia" w:asciiTheme="majorEastAsia" w:hAnsiTheme="majorEastAsia" w:eastAsiaTheme="majorEastAsia" w:cstheme="majorEastAsia"/>
                <w:color w:val="auto"/>
                <w:kern w:val="2"/>
                <w:sz w:val="21"/>
                <w:szCs w:val="21"/>
                <w:highlight w:val="none"/>
                <w:lang w:val="en-US" w:eastAsia="zh-CN" w:bidi="zh-CN"/>
              </w:rPr>
              <w:t>品类：医用耗材、检验试剂等含跟踪和追溯的全流程管理。</w:t>
            </w:r>
          </w:p>
          <w:p w14:paraId="100B0478">
            <w:pPr>
              <w:pStyle w:val="21"/>
              <w:numPr>
                <w:ilvl w:val="0"/>
                <w:numId w:val="3"/>
              </w:numPr>
              <w:spacing w:line="240" w:lineRule="auto"/>
              <w:rPr>
                <w:rFonts w:hint="default" w:asciiTheme="majorEastAsia" w:hAnsiTheme="majorEastAsia" w:eastAsiaTheme="majorEastAsia" w:cstheme="majorEastAsia"/>
                <w:color w:val="auto"/>
                <w:kern w:val="2"/>
                <w:sz w:val="21"/>
                <w:szCs w:val="21"/>
                <w:highlight w:val="none"/>
                <w:lang w:val="en-US" w:eastAsia="zh-CN" w:bidi="zh-CN"/>
              </w:rPr>
            </w:pPr>
            <w:r>
              <w:rPr>
                <w:rFonts w:hint="eastAsia" w:asciiTheme="majorEastAsia" w:hAnsiTheme="majorEastAsia" w:eastAsiaTheme="majorEastAsia" w:cstheme="majorEastAsia"/>
                <w:color w:val="auto"/>
                <w:kern w:val="2"/>
                <w:sz w:val="21"/>
                <w:szCs w:val="21"/>
                <w:highlight w:val="none"/>
                <w:lang w:val="en-US" w:eastAsia="zh-CN" w:bidi="zh-CN"/>
              </w:rPr>
              <w:t>范围：采购人所属各科室、社康等。</w:t>
            </w:r>
          </w:p>
        </w:tc>
        <w:tc>
          <w:tcPr>
            <w:tcW w:w="975" w:type="dxa"/>
            <w:vAlign w:val="top"/>
          </w:tcPr>
          <w:p w14:paraId="00332390">
            <w:pPr>
              <w:pStyle w:val="21"/>
              <w:numPr>
                <w:ilvl w:val="0"/>
                <w:numId w:val="0"/>
              </w:numPr>
              <w:spacing w:line="240" w:lineRule="auto"/>
              <w:rPr>
                <w:rFonts w:hint="eastAsia" w:asciiTheme="majorEastAsia" w:hAnsiTheme="majorEastAsia" w:eastAsiaTheme="majorEastAsia" w:cstheme="majorEastAsia"/>
                <w:color w:val="auto"/>
                <w:kern w:val="2"/>
                <w:sz w:val="21"/>
                <w:szCs w:val="21"/>
                <w:highlight w:val="none"/>
                <w:lang w:val="en-US" w:eastAsia="zh-CN" w:bidi="zh-CN"/>
              </w:rPr>
            </w:pPr>
          </w:p>
        </w:tc>
      </w:tr>
      <w:tr w14:paraId="4677A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1866" w:type="dxa"/>
            <w:vAlign w:val="center"/>
          </w:tcPr>
          <w:p w14:paraId="63C4DC0D">
            <w:pPr>
              <w:pStyle w:val="21"/>
              <w:numPr>
                <w:ilvl w:val="0"/>
                <w:numId w:val="0"/>
              </w:numPr>
              <w:spacing w:line="240" w:lineRule="auto"/>
              <w:jc w:val="center"/>
              <w:rPr>
                <w:rFonts w:hint="eastAsia" w:asciiTheme="majorEastAsia" w:hAnsiTheme="majorEastAsia" w:eastAsiaTheme="majorEastAsia" w:cstheme="majorEastAsia"/>
                <w:color w:val="auto"/>
                <w:kern w:val="2"/>
                <w:sz w:val="21"/>
                <w:szCs w:val="21"/>
                <w:highlight w:val="none"/>
                <w:lang w:val="en-US" w:eastAsia="zh-CN" w:bidi="zh-CN"/>
              </w:rPr>
            </w:pPr>
          </w:p>
          <w:p w14:paraId="7E36324B">
            <w:pPr>
              <w:pStyle w:val="21"/>
              <w:numPr>
                <w:ilvl w:val="0"/>
                <w:numId w:val="0"/>
              </w:numPr>
              <w:spacing w:line="240" w:lineRule="auto"/>
              <w:jc w:val="center"/>
              <w:rPr>
                <w:rFonts w:hint="eastAsia" w:asciiTheme="majorEastAsia" w:hAnsiTheme="majorEastAsia" w:eastAsiaTheme="majorEastAsia" w:cstheme="majorEastAsia"/>
                <w:color w:val="auto"/>
                <w:kern w:val="2"/>
                <w:sz w:val="21"/>
                <w:szCs w:val="21"/>
                <w:highlight w:val="none"/>
                <w:lang w:val="en-US" w:eastAsia="zh-CN" w:bidi="zh-CN"/>
              </w:rPr>
            </w:pPr>
          </w:p>
          <w:p w14:paraId="258DC9AA">
            <w:pPr>
              <w:pStyle w:val="21"/>
              <w:numPr>
                <w:ilvl w:val="0"/>
                <w:numId w:val="0"/>
              </w:numPr>
              <w:spacing w:line="240" w:lineRule="auto"/>
              <w:jc w:val="center"/>
              <w:rPr>
                <w:rFonts w:hint="eastAsia" w:asciiTheme="majorEastAsia" w:hAnsiTheme="majorEastAsia" w:eastAsiaTheme="majorEastAsia" w:cstheme="majorEastAsia"/>
                <w:color w:val="auto"/>
                <w:kern w:val="2"/>
                <w:sz w:val="21"/>
                <w:szCs w:val="21"/>
                <w:highlight w:val="none"/>
                <w:lang w:val="en-US" w:eastAsia="zh-CN" w:bidi="zh-CN"/>
              </w:rPr>
            </w:pPr>
          </w:p>
          <w:p w14:paraId="48C1DD8E">
            <w:pPr>
              <w:pStyle w:val="21"/>
              <w:numPr>
                <w:ilvl w:val="0"/>
                <w:numId w:val="0"/>
              </w:numPr>
              <w:spacing w:line="240" w:lineRule="auto"/>
              <w:jc w:val="center"/>
              <w:rPr>
                <w:rFonts w:hint="eastAsia" w:asciiTheme="majorEastAsia" w:hAnsiTheme="majorEastAsia" w:eastAsiaTheme="majorEastAsia" w:cstheme="majorEastAsia"/>
                <w:color w:val="auto"/>
                <w:kern w:val="2"/>
                <w:sz w:val="21"/>
                <w:szCs w:val="21"/>
                <w:highlight w:val="none"/>
                <w:lang w:val="en-US" w:eastAsia="zh-CN" w:bidi="zh-CN"/>
              </w:rPr>
            </w:pPr>
            <w:r>
              <w:rPr>
                <w:rFonts w:hint="eastAsia" w:asciiTheme="majorEastAsia" w:hAnsiTheme="majorEastAsia" w:eastAsiaTheme="majorEastAsia" w:cstheme="majorEastAsia"/>
                <w:color w:val="auto"/>
                <w:kern w:val="2"/>
                <w:sz w:val="21"/>
                <w:szCs w:val="21"/>
                <w:highlight w:val="none"/>
                <w:lang w:val="en-US" w:eastAsia="zh-CN" w:bidi="zh-CN"/>
              </w:rPr>
              <w:t>项目目标</w:t>
            </w:r>
          </w:p>
        </w:tc>
        <w:tc>
          <w:tcPr>
            <w:tcW w:w="7560" w:type="dxa"/>
            <w:vAlign w:val="top"/>
          </w:tcPr>
          <w:p w14:paraId="769EC799">
            <w:pPr>
              <w:pStyle w:val="21"/>
              <w:numPr>
                <w:ilvl w:val="0"/>
                <w:numId w:val="0"/>
              </w:numPr>
              <w:spacing w:line="240" w:lineRule="auto"/>
              <w:rPr>
                <w:rFonts w:hint="eastAsia" w:asciiTheme="majorEastAsia" w:hAnsiTheme="majorEastAsia" w:eastAsiaTheme="majorEastAsia" w:cstheme="majorEastAsia"/>
                <w:color w:val="auto"/>
                <w:kern w:val="2"/>
                <w:sz w:val="21"/>
                <w:szCs w:val="21"/>
                <w:highlight w:val="none"/>
                <w:lang w:val="en-US" w:eastAsia="zh-CN" w:bidi="zh-CN"/>
              </w:rPr>
            </w:pPr>
            <w:r>
              <w:rPr>
                <w:rFonts w:hint="eastAsia" w:asciiTheme="majorEastAsia" w:hAnsiTheme="majorEastAsia" w:eastAsiaTheme="majorEastAsia" w:cstheme="majorEastAsia"/>
                <w:color w:val="auto"/>
                <w:kern w:val="2"/>
                <w:sz w:val="21"/>
                <w:szCs w:val="21"/>
                <w:lang w:val="en-US" w:eastAsia="zh-CN" w:bidi="zh-CN"/>
              </w:rPr>
              <w:t>2.</w:t>
            </w:r>
            <w:r>
              <w:rPr>
                <w:rFonts w:hint="eastAsia" w:asciiTheme="majorEastAsia" w:hAnsiTheme="majorEastAsia" w:eastAsiaTheme="majorEastAsia" w:cstheme="majorEastAsia"/>
                <w:color w:val="auto"/>
                <w:kern w:val="2"/>
                <w:sz w:val="21"/>
                <w:szCs w:val="21"/>
                <w:highlight w:val="none"/>
                <w:lang w:val="en-US" w:eastAsia="zh-CN" w:bidi="zh-CN"/>
              </w:rPr>
              <w:t>符合国家医改和医保控费等政策的需求，确保采购人及病人利益不受损失。</w:t>
            </w:r>
          </w:p>
          <w:p w14:paraId="04ABDC31">
            <w:pPr>
              <w:pStyle w:val="21"/>
              <w:numPr>
                <w:ilvl w:val="0"/>
                <w:numId w:val="0"/>
              </w:numPr>
              <w:spacing w:line="240" w:lineRule="auto"/>
              <w:rPr>
                <w:rFonts w:hint="default" w:asciiTheme="majorEastAsia" w:hAnsiTheme="majorEastAsia" w:eastAsiaTheme="majorEastAsia" w:cstheme="majorEastAsia"/>
                <w:color w:val="auto"/>
                <w:kern w:val="2"/>
                <w:sz w:val="21"/>
                <w:szCs w:val="21"/>
                <w:highlight w:val="none"/>
                <w:lang w:val="en-US" w:eastAsia="zh-CN" w:bidi="zh-CN"/>
              </w:rPr>
            </w:pPr>
            <w:r>
              <w:rPr>
                <w:rFonts w:hint="default" w:asciiTheme="majorEastAsia" w:hAnsiTheme="majorEastAsia" w:eastAsiaTheme="majorEastAsia" w:cstheme="majorEastAsia"/>
                <w:color w:val="auto"/>
                <w:kern w:val="2"/>
                <w:sz w:val="21"/>
                <w:szCs w:val="21"/>
                <w:lang w:val="en-US" w:eastAsia="zh-CN" w:bidi="zh-CN"/>
              </w:rPr>
              <w:t>3.</w:t>
            </w:r>
            <w:r>
              <w:rPr>
                <w:rFonts w:hint="eastAsia" w:asciiTheme="majorEastAsia" w:hAnsiTheme="majorEastAsia" w:eastAsiaTheme="majorEastAsia" w:cstheme="majorEastAsia"/>
                <w:color w:val="auto"/>
                <w:kern w:val="2"/>
                <w:sz w:val="21"/>
                <w:szCs w:val="21"/>
                <w:highlight w:val="none"/>
                <w:lang w:val="en-US" w:eastAsia="zh-CN" w:bidi="zh-CN"/>
              </w:rPr>
              <w:t>实行“普通耗材出库结算”、“高值耗材消耗结算”，减少采购人医用耗材的损耗。</w:t>
            </w:r>
          </w:p>
          <w:p w14:paraId="49CF8B54">
            <w:pPr>
              <w:pStyle w:val="21"/>
              <w:numPr>
                <w:ilvl w:val="0"/>
                <w:numId w:val="0"/>
              </w:numPr>
              <w:spacing w:line="240" w:lineRule="auto"/>
              <w:rPr>
                <w:rFonts w:hint="default" w:asciiTheme="majorEastAsia" w:hAnsiTheme="majorEastAsia" w:eastAsiaTheme="majorEastAsia" w:cstheme="majorEastAsia"/>
                <w:color w:val="auto"/>
                <w:kern w:val="2"/>
                <w:sz w:val="21"/>
                <w:szCs w:val="21"/>
                <w:highlight w:val="none"/>
                <w:lang w:val="en-US" w:eastAsia="zh-CN" w:bidi="zh-CN"/>
              </w:rPr>
            </w:pPr>
            <w:r>
              <w:rPr>
                <w:rFonts w:hint="default" w:asciiTheme="majorEastAsia" w:hAnsiTheme="majorEastAsia" w:eastAsiaTheme="majorEastAsia" w:cstheme="majorEastAsia"/>
                <w:color w:val="auto"/>
                <w:kern w:val="2"/>
                <w:sz w:val="21"/>
                <w:szCs w:val="21"/>
                <w:lang w:val="en-US" w:eastAsia="zh-CN" w:bidi="zh-CN"/>
              </w:rPr>
              <w:t>4.</w:t>
            </w:r>
            <w:r>
              <w:rPr>
                <w:rFonts w:hint="eastAsia" w:asciiTheme="majorEastAsia" w:hAnsiTheme="majorEastAsia" w:eastAsiaTheme="majorEastAsia" w:cstheme="majorEastAsia"/>
                <w:color w:val="auto"/>
                <w:kern w:val="2"/>
                <w:sz w:val="21"/>
                <w:szCs w:val="21"/>
                <w:highlight w:val="none"/>
                <w:lang w:val="en-US" w:eastAsia="zh-CN" w:bidi="zh-CN"/>
              </w:rPr>
              <w:t>利用互联网和物联网等技术手段，提高采购人医用耗材精细化和智能化的院内物流运行效率。搭建信息系统，联通SPD与院内相关信息管理系统、深圳市医用耗材阳光平台、深圳市医保物价平台等，实现采购人医用耗材的全程信息化管理。服务商（中选方）负责采购人信息系统端口连接的安装工作及费用（包含信息系统方的接口开发费），采购人协助配合沟通。</w:t>
            </w:r>
          </w:p>
          <w:p w14:paraId="0E6AEA91">
            <w:pPr>
              <w:pStyle w:val="21"/>
              <w:numPr>
                <w:ilvl w:val="0"/>
                <w:numId w:val="0"/>
              </w:numPr>
              <w:spacing w:line="240" w:lineRule="auto"/>
              <w:rPr>
                <w:rFonts w:hint="default" w:asciiTheme="majorEastAsia" w:hAnsiTheme="majorEastAsia" w:eastAsiaTheme="majorEastAsia" w:cstheme="majorEastAsia"/>
                <w:color w:val="auto"/>
                <w:kern w:val="2"/>
                <w:sz w:val="21"/>
                <w:szCs w:val="21"/>
                <w:highlight w:val="none"/>
                <w:lang w:val="en-US" w:eastAsia="zh-CN" w:bidi="zh-CN"/>
              </w:rPr>
            </w:pPr>
            <w:r>
              <w:rPr>
                <w:rFonts w:hint="default" w:asciiTheme="majorEastAsia" w:hAnsiTheme="majorEastAsia" w:eastAsiaTheme="majorEastAsia" w:cstheme="majorEastAsia"/>
                <w:color w:val="auto"/>
                <w:kern w:val="2"/>
                <w:sz w:val="21"/>
                <w:szCs w:val="21"/>
                <w:lang w:val="en-US" w:eastAsia="zh-CN" w:bidi="zh-CN"/>
              </w:rPr>
              <w:t>5.</w:t>
            </w:r>
            <w:r>
              <w:rPr>
                <w:rFonts w:hint="eastAsia" w:asciiTheme="majorEastAsia" w:hAnsiTheme="majorEastAsia" w:eastAsiaTheme="majorEastAsia" w:cstheme="majorEastAsia"/>
                <w:color w:val="auto"/>
                <w:kern w:val="2"/>
                <w:sz w:val="21"/>
                <w:szCs w:val="21"/>
                <w:highlight w:val="none"/>
                <w:lang w:val="en-US" w:eastAsia="zh-CN" w:bidi="zh-CN"/>
              </w:rPr>
              <w:t>实现采购人医用耗材智能全闭环和全称追溯管理。</w:t>
            </w:r>
          </w:p>
        </w:tc>
        <w:tc>
          <w:tcPr>
            <w:tcW w:w="975" w:type="dxa"/>
            <w:vAlign w:val="top"/>
          </w:tcPr>
          <w:p w14:paraId="7D4D931E">
            <w:pPr>
              <w:pStyle w:val="21"/>
              <w:numPr>
                <w:ilvl w:val="0"/>
                <w:numId w:val="0"/>
              </w:numPr>
              <w:spacing w:line="240" w:lineRule="auto"/>
              <w:rPr>
                <w:rFonts w:hint="eastAsia" w:asciiTheme="majorEastAsia" w:hAnsiTheme="majorEastAsia" w:eastAsiaTheme="majorEastAsia" w:cstheme="majorEastAsia"/>
                <w:color w:val="auto"/>
                <w:kern w:val="2"/>
                <w:sz w:val="21"/>
                <w:szCs w:val="21"/>
                <w:highlight w:val="none"/>
                <w:lang w:val="en-US" w:eastAsia="zh-CN" w:bidi="zh-CN"/>
              </w:rPr>
            </w:pPr>
          </w:p>
        </w:tc>
      </w:tr>
      <w:tr w14:paraId="0840C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6" w:type="dxa"/>
            <w:vAlign w:val="center"/>
          </w:tcPr>
          <w:p w14:paraId="4294276E">
            <w:pPr>
              <w:pStyle w:val="21"/>
              <w:numPr>
                <w:ilvl w:val="0"/>
                <w:numId w:val="0"/>
              </w:numPr>
              <w:spacing w:line="240" w:lineRule="auto"/>
              <w:jc w:val="center"/>
              <w:rPr>
                <w:rFonts w:hint="eastAsia" w:asciiTheme="majorEastAsia" w:hAnsiTheme="majorEastAsia" w:eastAsiaTheme="majorEastAsia" w:cstheme="majorEastAsia"/>
                <w:color w:val="auto"/>
                <w:kern w:val="2"/>
                <w:sz w:val="21"/>
                <w:szCs w:val="21"/>
                <w:highlight w:val="none"/>
                <w:lang w:val="en-US" w:eastAsia="zh-CN" w:bidi="zh-CN"/>
              </w:rPr>
            </w:pPr>
            <w:r>
              <w:rPr>
                <w:rFonts w:hint="eastAsia" w:asciiTheme="majorEastAsia" w:hAnsiTheme="majorEastAsia" w:eastAsiaTheme="majorEastAsia" w:cstheme="majorEastAsia"/>
                <w:color w:val="auto"/>
                <w:kern w:val="2"/>
                <w:sz w:val="21"/>
                <w:szCs w:val="21"/>
                <w:highlight w:val="none"/>
                <w:lang w:val="en-US" w:eastAsia="zh-CN" w:bidi="zh-CN"/>
              </w:rPr>
              <w:t>服务团队</w:t>
            </w:r>
          </w:p>
        </w:tc>
        <w:tc>
          <w:tcPr>
            <w:tcW w:w="7560" w:type="dxa"/>
            <w:vAlign w:val="top"/>
          </w:tcPr>
          <w:p w14:paraId="59AAB593">
            <w:pPr>
              <w:pStyle w:val="21"/>
              <w:numPr>
                <w:ilvl w:val="0"/>
                <w:numId w:val="0"/>
              </w:numPr>
              <w:spacing w:line="240" w:lineRule="auto"/>
              <w:rPr>
                <w:rFonts w:hint="default" w:asciiTheme="majorEastAsia" w:hAnsiTheme="majorEastAsia" w:eastAsiaTheme="majorEastAsia" w:cstheme="majorEastAsia"/>
                <w:color w:val="auto"/>
                <w:kern w:val="2"/>
                <w:sz w:val="21"/>
                <w:szCs w:val="21"/>
                <w:highlight w:val="none"/>
                <w:lang w:val="en-US" w:eastAsia="zh-CN" w:bidi="zh-CN"/>
              </w:rPr>
            </w:pPr>
            <w:r>
              <w:rPr>
                <w:rFonts w:hint="eastAsia" w:asciiTheme="majorEastAsia" w:hAnsiTheme="majorEastAsia" w:eastAsiaTheme="majorEastAsia" w:cstheme="majorEastAsia"/>
                <w:color w:val="auto"/>
                <w:kern w:val="2"/>
                <w:sz w:val="21"/>
                <w:szCs w:val="21"/>
                <w:highlight w:val="none"/>
                <w:lang w:val="en-US" w:eastAsia="zh-CN" w:bidi="zh-CN"/>
              </w:rPr>
              <w:t>服务商在院内配备不少于6人的医用耗材精细化管理项目运维和物流服务团队。</w:t>
            </w:r>
          </w:p>
        </w:tc>
        <w:tc>
          <w:tcPr>
            <w:tcW w:w="975" w:type="dxa"/>
            <w:vAlign w:val="top"/>
          </w:tcPr>
          <w:p w14:paraId="340C8640">
            <w:pPr>
              <w:pStyle w:val="21"/>
              <w:numPr>
                <w:ilvl w:val="0"/>
                <w:numId w:val="0"/>
              </w:numPr>
              <w:spacing w:line="240" w:lineRule="auto"/>
              <w:rPr>
                <w:rFonts w:hint="eastAsia" w:asciiTheme="majorEastAsia" w:hAnsiTheme="majorEastAsia" w:eastAsiaTheme="majorEastAsia" w:cstheme="majorEastAsia"/>
                <w:color w:val="auto"/>
                <w:kern w:val="2"/>
                <w:sz w:val="21"/>
                <w:szCs w:val="21"/>
                <w:highlight w:val="none"/>
                <w:lang w:val="en-US" w:eastAsia="zh-CN" w:bidi="zh-CN"/>
              </w:rPr>
            </w:pPr>
          </w:p>
        </w:tc>
      </w:tr>
      <w:tr w14:paraId="743B3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866" w:type="dxa"/>
            <w:vAlign w:val="center"/>
          </w:tcPr>
          <w:p w14:paraId="0CD37B8E">
            <w:pPr>
              <w:pStyle w:val="21"/>
              <w:numPr>
                <w:ilvl w:val="0"/>
                <w:numId w:val="0"/>
              </w:numPr>
              <w:spacing w:line="240" w:lineRule="auto"/>
              <w:jc w:val="center"/>
              <w:rPr>
                <w:rFonts w:hint="eastAsia" w:asciiTheme="majorEastAsia" w:hAnsiTheme="majorEastAsia" w:eastAsiaTheme="majorEastAsia" w:cstheme="majorEastAsia"/>
                <w:color w:val="auto"/>
                <w:kern w:val="2"/>
                <w:sz w:val="21"/>
                <w:szCs w:val="21"/>
                <w:highlight w:val="none"/>
                <w:lang w:val="en-US" w:eastAsia="zh-CN" w:bidi="zh-CN"/>
              </w:rPr>
            </w:pPr>
          </w:p>
          <w:p w14:paraId="2A26D043">
            <w:pPr>
              <w:pStyle w:val="21"/>
              <w:numPr>
                <w:ilvl w:val="0"/>
                <w:numId w:val="0"/>
              </w:numPr>
              <w:spacing w:line="240" w:lineRule="auto"/>
              <w:jc w:val="center"/>
              <w:rPr>
                <w:rFonts w:hint="eastAsia" w:asciiTheme="majorEastAsia" w:hAnsiTheme="majorEastAsia" w:eastAsiaTheme="majorEastAsia" w:cstheme="majorEastAsia"/>
                <w:color w:val="auto"/>
                <w:kern w:val="2"/>
                <w:sz w:val="21"/>
                <w:szCs w:val="21"/>
                <w:highlight w:val="none"/>
                <w:lang w:val="en-US" w:eastAsia="zh-CN" w:bidi="zh-CN"/>
              </w:rPr>
            </w:pPr>
            <w:r>
              <w:rPr>
                <w:rFonts w:hint="eastAsia" w:asciiTheme="majorEastAsia" w:hAnsiTheme="majorEastAsia" w:eastAsiaTheme="majorEastAsia" w:cstheme="majorEastAsia"/>
                <w:color w:val="auto"/>
                <w:kern w:val="2"/>
                <w:sz w:val="21"/>
                <w:szCs w:val="21"/>
                <w:highlight w:val="none"/>
                <w:lang w:val="en-US" w:eastAsia="zh-CN" w:bidi="zh-CN"/>
              </w:rPr>
              <w:t>结算方式</w:t>
            </w:r>
          </w:p>
        </w:tc>
        <w:tc>
          <w:tcPr>
            <w:tcW w:w="7560" w:type="dxa"/>
            <w:vAlign w:val="top"/>
          </w:tcPr>
          <w:p w14:paraId="0DA51C87">
            <w:pPr>
              <w:pStyle w:val="21"/>
              <w:numPr>
                <w:ilvl w:val="0"/>
                <w:numId w:val="0"/>
              </w:numPr>
              <w:spacing w:line="240" w:lineRule="auto"/>
              <w:rPr>
                <w:rFonts w:hint="eastAsia" w:asciiTheme="majorEastAsia" w:hAnsiTheme="majorEastAsia" w:eastAsiaTheme="majorEastAsia" w:cstheme="majorEastAsia"/>
                <w:color w:val="auto"/>
                <w:kern w:val="2"/>
                <w:sz w:val="21"/>
                <w:szCs w:val="21"/>
                <w:highlight w:val="none"/>
                <w:lang w:val="en-US" w:eastAsia="zh-CN" w:bidi="zh-CN"/>
              </w:rPr>
            </w:pPr>
            <w:r>
              <w:rPr>
                <w:rFonts w:hint="eastAsia" w:asciiTheme="majorEastAsia" w:hAnsiTheme="majorEastAsia" w:eastAsiaTheme="majorEastAsia" w:cstheme="majorEastAsia"/>
                <w:color w:val="auto"/>
                <w:kern w:val="2"/>
                <w:sz w:val="21"/>
                <w:szCs w:val="21"/>
                <w:highlight w:val="none"/>
                <w:lang w:val="en-US" w:eastAsia="zh-CN" w:bidi="zh-CN"/>
              </w:rPr>
              <w:t>医院不承担此项目所有费用，服务商（中选方）应自行负责其服务团队的办公用品等费用，向SPD管理平台的医用物资供应商按季度收取SPD服务费，以维持项目正常运营。服务费的金额不得超过其物资供应总额的 2 %，即医用物资供应商季度与医院结算发票金额×中选服务费率。</w:t>
            </w:r>
          </w:p>
        </w:tc>
        <w:tc>
          <w:tcPr>
            <w:tcW w:w="975" w:type="dxa"/>
            <w:vAlign w:val="top"/>
          </w:tcPr>
          <w:p w14:paraId="14B8D439">
            <w:pPr>
              <w:pStyle w:val="21"/>
              <w:numPr>
                <w:ilvl w:val="0"/>
                <w:numId w:val="0"/>
              </w:numPr>
              <w:spacing w:line="240" w:lineRule="auto"/>
              <w:rPr>
                <w:rFonts w:hint="eastAsia" w:asciiTheme="majorEastAsia" w:hAnsiTheme="majorEastAsia" w:eastAsiaTheme="majorEastAsia" w:cstheme="majorEastAsia"/>
                <w:color w:val="auto"/>
                <w:kern w:val="2"/>
                <w:sz w:val="21"/>
                <w:szCs w:val="21"/>
                <w:highlight w:val="none"/>
                <w:lang w:val="en-US" w:eastAsia="zh-CN" w:bidi="zh-CN"/>
              </w:rPr>
            </w:pPr>
          </w:p>
        </w:tc>
      </w:tr>
      <w:tr w14:paraId="2D293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6" w:type="dxa"/>
            <w:vAlign w:val="center"/>
          </w:tcPr>
          <w:p w14:paraId="4CD5787A">
            <w:pPr>
              <w:pStyle w:val="21"/>
              <w:numPr>
                <w:ilvl w:val="0"/>
                <w:numId w:val="0"/>
              </w:numPr>
              <w:spacing w:line="240" w:lineRule="auto"/>
              <w:jc w:val="center"/>
              <w:rPr>
                <w:rFonts w:hint="eastAsia" w:asciiTheme="majorEastAsia" w:hAnsiTheme="majorEastAsia" w:eastAsiaTheme="majorEastAsia" w:cstheme="majorEastAsia"/>
                <w:color w:val="auto"/>
                <w:kern w:val="2"/>
                <w:sz w:val="21"/>
                <w:szCs w:val="21"/>
                <w:highlight w:val="none"/>
                <w:lang w:val="en-US" w:eastAsia="zh-CN" w:bidi="zh-CN"/>
              </w:rPr>
            </w:pPr>
          </w:p>
          <w:p w14:paraId="18451A2D">
            <w:pPr>
              <w:pStyle w:val="21"/>
              <w:numPr>
                <w:ilvl w:val="0"/>
                <w:numId w:val="0"/>
              </w:numPr>
              <w:spacing w:line="240" w:lineRule="auto"/>
              <w:jc w:val="center"/>
              <w:rPr>
                <w:rFonts w:hint="eastAsia" w:asciiTheme="majorEastAsia" w:hAnsiTheme="majorEastAsia" w:eastAsiaTheme="majorEastAsia" w:cstheme="majorEastAsia"/>
                <w:color w:val="auto"/>
                <w:kern w:val="2"/>
                <w:sz w:val="21"/>
                <w:szCs w:val="21"/>
                <w:highlight w:val="none"/>
                <w:lang w:val="en-US" w:eastAsia="zh-CN" w:bidi="zh-CN"/>
              </w:rPr>
            </w:pPr>
          </w:p>
          <w:p w14:paraId="0798D8DE">
            <w:pPr>
              <w:pStyle w:val="21"/>
              <w:numPr>
                <w:ilvl w:val="0"/>
                <w:numId w:val="0"/>
              </w:numPr>
              <w:spacing w:line="240" w:lineRule="auto"/>
              <w:jc w:val="center"/>
              <w:rPr>
                <w:rFonts w:hint="eastAsia" w:asciiTheme="majorEastAsia" w:hAnsiTheme="majorEastAsia" w:eastAsiaTheme="majorEastAsia" w:cstheme="majorEastAsia"/>
                <w:color w:val="auto"/>
                <w:kern w:val="2"/>
                <w:sz w:val="21"/>
                <w:szCs w:val="21"/>
                <w:highlight w:val="none"/>
                <w:lang w:val="en-US" w:eastAsia="zh-CN" w:bidi="zh-CN"/>
              </w:rPr>
            </w:pPr>
          </w:p>
          <w:p w14:paraId="4DE9B10D">
            <w:pPr>
              <w:pStyle w:val="21"/>
              <w:numPr>
                <w:ilvl w:val="0"/>
                <w:numId w:val="0"/>
              </w:numPr>
              <w:spacing w:line="240" w:lineRule="auto"/>
              <w:jc w:val="center"/>
              <w:rPr>
                <w:rFonts w:hint="eastAsia" w:asciiTheme="majorEastAsia" w:hAnsiTheme="majorEastAsia" w:eastAsiaTheme="majorEastAsia" w:cstheme="majorEastAsia"/>
                <w:color w:val="auto"/>
                <w:kern w:val="2"/>
                <w:sz w:val="21"/>
                <w:szCs w:val="21"/>
                <w:highlight w:val="none"/>
                <w:lang w:val="en-US" w:eastAsia="zh-CN" w:bidi="zh-CN"/>
              </w:rPr>
            </w:pPr>
          </w:p>
          <w:p w14:paraId="699CD486">
            <w:pPr>
              <w:pStyle w:val="21"/>
              <w:numPr>
                <w:ilvl w:val="0"/>
                <w:numId w:val="0"/>
              </w:numPr>
              <w:spacing w:line="240" w:lineRule="auto"/>
              <w:jc w:val="center"/>
              <w:rPr>
                <w:rFonts w:hint="eastAsia" w:asciiTheme="majorEastAsia" w:hAnsiTheme="majorEastAsia" w:eastAsiaTheme="majorEastAsia" w:cstheme="majorEastAsia"/>
                <w:color w:val="auto"/>
                <w:kern w:val="2"/>
                <w:sz w:val="21"/>
                <w:szCs w:val="21"/>
                <w:highlight w:val="none"/>
                <w:lang w:val="en-US" w:eastAsia="zh-CN" w:bidi="zh-CN"/>
              </w:rPr>
            </w:pPr>
            <w:r>
              <w:rPr>
                <w:rFonts w:hint="eastAsia" w:asciiTheme="majorEastAsia" w:hAnsiTheme="majorEastAsia" w:eastAsiaTheme="majorEastAsia" w:cstheme="majorEastAsia"/>
                <w:color w:val="auto"/>
                <w:kern w:val="2"/>
                <w:sz w:val="21"/>
                <w:szCs w:val="21"/>
                <w:highlight w:val="none"/>
                <w:lang w:val="en-US" w:eastAsia="zh-CN" w:bidi="zh-CN"/>
              </w:rPr>
              <w:t>软件与设备配置</w:t>
            </w:r>
          </w:p>
        </w:tc>
        <w:tc>
          <w:tcPr>
            <w:tcW w:w="7560" w:type="dxa"/>
            <w:vAlign w:val="top"/>
          </w:tcPr>
          <w:p w14:paraId="4C64FF1B">
            <w:pPr>
              <w:pStyle w:val="21"/>
              <w:numPr>
                <w:ilvl w:val="0"/>
                <w:numId w:val="0"/>
              </w:numPr>
              <w:spacing w:line="240" w:lineRule="auto"/>
              <w:rPr>
                <w:rFonts w:hint="eastAsia" w:asciiTheme="majorEastAsia" w:hAnsiTheme="majorEastAsia" w:eastAsiaTheme="majorEastAsia" w:cstheme="majorEastAsia"/>
                <w:color w:val="auto"/>
                <w:kern w:val="2"/>
                <w:sz w:val="21"/>
                <w:szCs w:val="21"/>
                <w:highlight w:val="none"/>
                <w:lang w:val="en-US" w:eastAsia="zh-CN" w:bidi="zh-CN"/>
              </w:rPr>
            </w:pPr>
            <w:r>
              <w:rPr>
                <w:rFonts w:hint="eastAsia" w:asciiTheme="majorEastAsia" w:hAnsiTheme="majorEastAsia" w:eastAsiaTheme="majorEastAsia" w:cstheme="majorEastAsia"/>
                <w:color w:val="auto"/>
                <w:kern w:val="2"/>
                <w:sz w:val="21"/>
                <w:szCs w:val="21"/>
                <w:highlight w:val="none"/>
                <w:lang w:val="en-US" w:eastAsia="zh-CN" w:bidi="zh-CN"/>
              </w:rPr>
              <w:t>1.设有规范化的医用耗材库。</w:t>
            </w:r>
          </w:p>
          <w:p w14:paraId="48B15D1D">
            <w:pPr>
              <w:pStyle w:val="21"/>
              <w:numPr>
                <w:ilvl w:val="0"/>
                <w:numId w:val="0"/>
              </w:numPr>
              <w:spacing w:line="240" w:lineRule="auto"/>
              <w:rPr>
                <w:rFonts w:hint="default" w:asciiTheme="majorEastAsia" w:hAnsiTheme="majorEastAsia" w:eastAsiaTheme="majorEastAsia" w:cstheme="majorEastAsia"/>
                <w:color w:val="auto"/>
                <w:kern w:val="2"/>
                <w:sz w:val="21"/>
                <w:szCs w:val="21"/>
                <w:highlight w:val="none"/>
                <w:lang w:val="en-US" w:eastAsia="zh-CN" w:bidi="zh-CN"/>
              </w:rPr>
            </w:pPr>
            <w:r>
              <w:rPr>
                <w:rFonts w:hint="eastAsia" w:asciiTheme="majorEastAsia" w:hAnsiTheme="majorEastAsia" w:eastAsiaTheme="majorEastAsia" w:cstheme="majorEastAsia"/>
                <w:color w:val="auto"/>
                <w:kern w:val="2"/>
                <w:sz w:val="21"/>
                <w:szCs w:val="21"/>
                <w:highlight w:val="none"/>
                <w:lang w:val="en-US" w:eastAsia="zh-CN" w:bidi="zh-CN"/>
              </w:rPr>
              <w:t>2.普通科室门诊（或病区）、社康配备手持智能终端点管理医用耗材。</w:t>
            </w:r>
          </w:p>
          <w:p w14:paraId="28F06D93">
            <w:pPr>
              <w:pStyle w:val="21"/>
              <w:numPr>
                <w:ilvl w:val="0"/>
                <w:numId w:val="0"/>
              </w:numPr>
              <w:spacing w:line="240" w:lineRule="auto"/>
              <w:rPr>
                <w:rFonts w:hint="default" w:asciiTheme="majorEastAsia" w:hAnsiTheme="majorEastAsia" w:eastAsiaTheme="majorEastAsia" w:cstheme="majorEastAsia"/>
                <w:color w:val="auto"/>
                <w:kern w:val="2"/>
                <w:sz w:val="21"/>
                <w:szCs w:val="21"/>
                <w:highlight w:val="none"/>
                <w:lang w:val="en-US" w:eastAsia="zh-CN" w:bidi="zh-CN"/>
              </w:rPr>
            </w:pPr>
            <w:r>
              <w:rPr>
                <w:rFonts w:hint="eastAsia" w:asciiTheme="majorEastAsia" w:hAnsiTheme="majorEastAsia" w:eastAsiaTheme="majorEastAsia" w:cstheme="majorEastAsia"/>
                <w:color w:val="auto"/>
                <w:kern w:val="2"/>
                <w:sz w:val="21"/>
                <w:szCs w:val="21"/>
                <w:highlight w:val="none"/>
                <w:lang w:val="en-US" w:eastAsia="zh-CN" w:bidi="zh-CN"/>
              </w:rPr>
              <w:t>3.提供医用耗材SPD管理软件和供应商平台，软件系统和智能设备与余元其它系统可实现信息共享。</w:t>
            </w:r>
          </w:p>
          <w:p w14:paraId="0FFE3477">
            <w:pPr>
              <w:pStyle w:val="21"/>
              <w:numPr>
                <w:ilvl w:val="0"/>
                <w:numId w:val="0"/>
              </w:numPr>
              <w:spacing w:line="240" w:lineRule="auto"/>
              <w:rPr>
                <w:rFonts w:hint="eastAsia" w:asciiTheme="majorEastAsia" w:hAnsiTheme="majorEastAsia" w:eastAsiaTheme="majorEastAsia" w:cstheme="majorEastAsia"/>
                <w:color w:val="auto"/>
                <w:kern w:val="2"/>
                <w:sz w:val="21"/>
                <w:szCs w:val="21"/>
                <w:highlight w:val="none"/>
                <w:lang w:val="en-US" w:eastAsia="zh-CN" w:bidi="zh-CN"/>
              </w:rPr>
            </w:pPr>
            <w:r>
              <w:rPr>
                <w:rFonts w:hint="eastAsia" w:asciiTheme="majorEastAsia" w:hAnsiTheme="majorEastAsia" w:eastAsiaTheme="majorEastAsia" w:cstheme="majorEastAsia"/>
                <w:color w:val="auto"/>
                <w:kern w:val="2"/>
                <w:sz w:val="21"/>
                <w:szCs w:val="21"/>
                <w:highlight w:val="none"/>
                <w:lang w:val="en-US" w:eastAsia="zh-CN" w:bidi="zh-CN"/>
              </w:rPr>
              <w:t>4.使用信息化和物联网技术，实现科室医用耗材库存实时监控和主导补货，高值医用耗材全程可追溯管理。</w:t>
            </w:r>
          </w:p>
          <w:p w14:paraId="22712152">
            <w:pPr>
              <w:pStyle w:val="21"/>
              <w:numPr>
                <w:ilvl w:val="0"/>
                <w:numId w:val="0"/>
              </w:numPr>
              <w:spacing w:line="240" w:lineRule="auto"/>
              <w:rPr>
                <w:rFonts w:hint="eastAsia" w:asciiTheme="majorEastAsia" w:hAnsiTheme="majorEastAsia" w:eastAsiaTheme="majorEastAsia" w:cstheme="majorEastAsia"/>
                <w:color w:val="auto"/>
                <w:kern w:val="2"/>
                <w:sz w:val="21"/>
                <w:szCs w:val="21"/>
                <w:highlight w:val="none"/>
                <w:lang w:val="en-US" w:eastAsia="zh-CN" w:bidi="zh-CN"/>
              </w:rPr>
            </w:pPr>
            <w:r>
              <w:rPr>
                <w:rFonts w:hint="eastAsia" w:asciiTheme="majorEastAsia" w:hAnsiTheme="majorEastAsia" w:eastAsiaTheme="majorEastAsia" w:cstheme="majorEastAsia"/>
                <w:color w:val="auto"/>
                <w:kern w:val="2"/>
                <w:sz w:val="21"/>
                <w:szCs w:val="21"/>
                <w:highlight w:val="none"/>
                <w:lang w:val="en-US" w:eastAsia="zh-CN" w:bidi="zh-CN"/>
              </w:rPr>
              <w:t>5.服务期系统需要部署在医院内的数据中心机房，且遴选响应方提供至少2台服务器。可匹配医院各系统，有足够的服务器空间，数据归医院所有，信息安全需中选方负责，上线前做好信息安全监测，有权威安全监测报告并与医院签订信息安全保密协议。</w:t>
            </w:r>
          </w:p>
          <w:p w14:paraId="162025A1">
            <w:pPr>
              <w:pStyle w:val="21"/>
              <w:numPr>
                <w:ilvl w:val="0"/>
                <w:numId w:val="0"/>
              </w:numPr>
              <w:spacing w:line="240" w:lineRule="auto"/>
              <w:rPr>
                <w:rFonts w:hint="default" w:asciiTheme="majorEastAsia" w:hAnsiTheme="majorEastAsia" w:eastAsiaTheme="majorEastAsia" w:cstheme="majorEastAsia"/>
                <w:color w:val="auto"/>
                <w:kern w:val="2"/>
                <w:sz w:val="21"/>
                <w:szCs w:val="21"/>
                <w:highlight w:val="none"/>
                <w:lang w:val="en-US" w:eastAsia="zh-CN" w:bidi="zh-CN"/>
              </w:rPr>
            </w:pPr>
            <w:r>
              <w:rPr>
                <w:rFonts w:hint="eastAsia" w:asciiTheme="majorEastAsia" w:hAnsiTheme="majorEastAsia" w:eastAsiaTheme="majorEastAsia" w:cstheme="majorEastAsia"/>
                <w:color w:val="auto"/>
                <w:kern w:val="2"/>
                <w:sz w:val="21"/>
                <w:szCs w:val="21"/>
                <w:highlight w:val="none"/>
                <w:lang w:val="en-US" w:eastAsia="zh-CN" w:bidi="zh-CN"/>
              </w:rPr>
              <w:t>6.合作期届满或合同中止之日，中选方应无偿移交平台管理系统（含硬件）给采购人，保证历史数据完整，并和采购人或后期服务商完成对接，不得向采购人提出任何的折旧费，补偿费等。</w:t>
            </w:r>
            <w:r>
              <w:rPr>
                <w:rFonts w:hint="eastAsia" w:asciiTheme="majorEastAsia" w:hAnsiTheme="majorEastAsia" w:eastAsiaTheme="majorEastAsia" w:cstheme="majorEastAsia"/>
                <w:b/>
                <w:bCs/>
                <w:color w:val="FF0000"/>
                <w:kern w:val="2"/>
                <w:sz w:val="21"/>
                <w:szCs w:val="21"/>
                <w:highlight w:val="none"/>
                <w:lang w:val="en-US" w:eastAsia="zh-CN" w:bidi="zh-CN"/>
              </w:rPr>
              <w:t>（需提供承诺函）</w:t>
            </w:r>
          </w:p>
        </w:tc>
        <w:tc>
          <w:tcPr>
            <w:tcW w:w="975" w:type="dxa"/>
            <w:vAlign w:val="top"/>
          </w:tcPr>
          <w:p w14:paraId="69CDB543">
            <w:pPr>
              <w:pStyle w:val="21"/>
              <w:numPr>
                <w:ilvl w:val="0"/>
                <w:numId w:val="0"/>
              </w:numPr>
              <w:spacing w:line="240" w:lineRule="auto"/>
              <w:rPr>
                <w:rFonts w:hint="eastAsia" w:asciiTheme="majorEastAsia" w:hAnsiTheme="majorEastAsia" w:eastAsiaTheme="majorEastAsia" w:cstheme="majorEastAsia"/>
                <w:color w:val="auto"/>
                <w:kern w:val="2"/>
                <w:sz w:val="21"/>
                <w:szCs w:val="21"/>
                <w:highlight w:val="none"/>
                <w:lang w:val="en-US" w:eastAsia="zh-CN" w:bidi="zh-CN"/>
              </w:rPr>
            </w:pPr>
          </w:p>
        </w:tc>
      </w:tr>
      <w:tr w14:paraId="1C039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6" w:type="dxa"/>
            <w:vAlign w:val="center"/>
          </w:tcPr>
          <w:p w14:paraId="32739D58">
            <w:pPr>
              <w:pStyle w:val="21"/>
              <w:numPr>
                <w:ilvl w:val="0"/>
                <w:numId w:val="0"/>
              </w:numPr>
              <w:spacing w:line="240" w:lineRule="auto"/>
              <w:jc w:val="center"/>
              <w:rPr>
                <w:rFonts w:hint="eastAsia" w:asciiTheme="majorEastAsia" w:hAnsiTheme="majorEastAsia" w:eastAsiaTheme="majorEastAsia" w:cstheme="majorEastAsia"/>
                <w:color w:val="auto"/>
                <w:kern w:val="2"/>
                <w:sz w:val="21"/>
                <w:szCs w:val="21"/>
                <w:highlight w:val="none"/>
                <w:lang w:val="en-US" w:eastAsia="zh-CN" w:bidi="zh-CN"/>
              </w:rPr>
            </w:pPr>
            <w:r>
              <w:rPr>
                <w:rFonts w:hint="eastAsia" w:asciiTheme="majorEastAsia" w:hAnsiTheme="majorEastAsia" w:eastAsiaTheme="majorEastAsia" w:cstheme="majorEastAsia"/>
                <w:color w:val="auto"/>
                <w:kern w:val="2"/>
                <w:sz w:val="21"/>
                <w:szCs w:val="21"/>
                <w:highlight w:val="none"/>
                <w:lang w:val="en-US" w:eastAsia="zh-CN" w:bidi="zh-CN"/>
              </w:rPr>
              <w:t>其它</w:t>
            </w:r>
          </w:p>
        </w:tc>
        <w:tc>
          <w:tcPr>
            <w:tcW w:w="7560" w:type="dxa"/>
            <w:vAlign w:val="top"/>
          </w:tcPr>
          <w:p w14:paraId="1EAEC920">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zh-CN"/>
              </w:rPr>
            </w:pPr>
            <w:r>
              <w:rPr>
                <w:rFonts w:hint="eastAsia" w:asciiTheme="majorEastAsia" w:hAnsiTheme="majorEastAsia" w:eastAsiaTheme="majorEastAsia" w:cstheme="majorEastAsia"/>
                <w:color w:val="auto"/>
                <w:kern w:val="2"/>
                <w:sz w:val="21"/>
                <w:szCs w:val="21"/>
                <w:highlight w:val="none"/>
                <w:lang w:val="en-US" w:eastAsia="zh-CN" w:bidi="zh-CN"/>
              </w:rPr>
              <w:t>遴选响应方须专业提供院内医用物资物流服务工作，</w:t>
            </w:r>
            <w:r>
              <w:rPr>
                <w:rFonts w:hint="eastAsia" w:asciiTheme="majorEastAsia" w:hAnsiTheme="majorEastAsia" w:eastAsiaTheme="majorEastAsia" w:cstheme="majorEastAsia"/>
                <w:color w:val="auto"/>
                <w:kern w:val="2"/>
                <w:sz w:val="21"/>
                <w:szCs w:val="21"/>
                <w:highlight w:val="none"/>
                <w:lang w:val="zh-CN" w:eastAsia="zh-CN" w:bidi="zh-CN"/>
              </w:rPr>
              <w:t>中选后中选方不得</w:t>
            </w:r>
            <w:r>
              <w:rPr>
                <w:rFonts w:hint="eastAsia" w:asciiTheme="majorEastAsia" w:hAnsiTheme="majorEastAsia" w:eastAsiaTheme="majorEastAsia" w:cstheme="majorEastAsia"/>
                <w:color w:val="auto"/>
                <w:kern w:val="2"/>
                <w:sz w:val="21"/>
                <w:szCs w:val="21"/>
                <w:highlight w:val="none"/>
                <w:lang w:val="en-US" w:eastAsia="zh-CN" w:bidi="zh-CN"/>
              </w:rPr>
              <w:t>参与本</w:t>
            </w:r>
            <w:r>
              <w:rPr>
                <w:rFonts w:hint="eastAsia" w:asciiTheme="majorEastAsia" w:hAnsiTheme="majorEastAsia" w:eastAsiaTheme="majorEastAsia" w:cstheme="majorEastAsia"/>
                <w:color w:val="auto"/>
                <w:kern w:val="2"/>
                <w:sz w:val="21"/>
                <w:szCs w:val="21"/>
                <w:highlight w:val="none"/>
                <w:lang w:val="zh-CN" w:eastAsia="zh-CN" w:bidi="zh-CN"/>
              </w:rPr>
              <w:t>院医用耗材、检验试剂、药品、</w:t>
            </w:r>
            <w:r>
              <w:rPr>
                <w:rFonts w:hint="eastAsia" w:asciiTheme="majorEastAsia" w:hAnsiTheme="majorEastAsia" w:eastAsiaTheme="majorEastAsia" w:cstheme="majorEastAsia"/>
                <w:color w:val="auto"/>
                <w:kern w:val="2"/>
                <w:sz w:val="21"/>
                <w:szCs w:val="21"/>
                <w:highlight w:val="none"/>
                <w:lang w:val="en-US" w:eastAsia="zh-CN" w:bidi="zh-CN"/>
              </w:rPr>
              <w:t>医疗</w:t>
            </w:r>
            <w:r>
              <w:rPr>
                <w:rFonts w:hint="eastAsia" w:asciiTheme="majorEastAsia" w:hAnsiTheme="majorEastAsia" w:eastAsiaTheme="majorEastAsia" w:cstheme="majorEastAsia"/>
                <w:color w:val="auto"/>
                <w:kern w:val="2"/>
                <w:sz w:val="21"/>
                <w:szCs w:val="21"/>
                <w:highlight w:val="none"/>
                <w:lang w:val="zh-CN" w:eastAsia="zh-CN" w:bidi="zh-CN"/>
              </w:rPr>
              <w:t>设备</w:t>
            </w:r>
            <w:r>
              <w:rPr>
                <w:rFonts w:hint="eastAsia" w:asciiTheme="majorEastAsia" w:hAnsiTheme="majorEastAsia" w:eastAsiaTheme="majorEastAsia" w:cstheme="majorEastAsia"/>
                <w:color w:val="auto"/>
                <w:kern w:val="2"/>
                <w:sz w:val="21"/>
                <w:szCs w:val="21"/>
                <w:highlight w:val="none"/>
                <w:lang w:val="en-US" w:eastAsia="zh-CN" w:bidi="zh-CN"/>
              </w:rPr>
              <w:t>等</w:t>
            </w:r>
            <w:r>
              <w:rPr>
                <w:rFonts w:hint="eastAsia" w:asciiTheme="majorEastAsia" w:hAnsiTheme="majorEastAsia" w:eastAsiaTheme="majorEastAsia" w:cstheme="majorEastAsia"/>
                <w:color w:val="auto"/>
                <w:kern w:val="2"/>
                <w:sz w:val="21"/>
                <w:szCs w:val="21"/>
                <w:highlight w:val="none"/>
                <w:lang w:val="zh-CN" w:eastAsia="zh-CN" w:bidi="zh-CN"/>
              </w:rPr>
              <w:t>销售业务往来。</w:t>
            </w:r>
            <w:r>
              <w:rPr>
                <w:rFonts w:hint="eastAsia" w:asciiTheme="majorEastAsia" w:hAnsiTheme="majorEastAsia" w:eastAsiaTheme="majorEastAsia" w:cstheme="majorEastAsia"/>
                <w:b/>
                <w:bCs/>
                <w:color w:val="FF0000"/>
                <w:kern w:val="2"/>
                <w:sz w:val="21"/>
                <w:szCs w:val="21"/>
                <w:highlight w:val="none"/>
                <w:lang w:val="zh-CN" w:eastAsia="zh-CN" w:bidi="zh-CN"/>
              </w:rPr>
              <w:t>（需提供承诺函）</w:t>
            </w:r>
          </w:p>
        </w:tc>
        <w:tc>
          <w:tcPr>
            <w:tcW w:w="975" w:type="dxa"/>
            <w:vAlign w:val="top"/>
          </w:tcPr>
          <w:p w14:paraId="1E8E7797">
            <w:pPr>
              <w:pStyle w:val="21"/>
              <w:numPr>
                <w:ilvl w:val="0"/>
                <w:numId w:val="0"/>
              </w:numPr>
              <w:spacing w:line="240" w:lineRule="auto"/>
              <w:rPr>
                <w:rFonts w:hint="eastAsia" w:asciiTheme="majorEastAsia" w:hAnsiTheme="majorEastAsia" w:eastAsiaTheme="majorEastAsia" w:cstheme="majorEastAsia"/>
                <w:color w:val="auto"/>
                <w:kern w:val="2"/>
                <w:sz w:val="21"/>
                <w:szCs w:val="21"/>
                <w:highlight w:val="none"/>
                <w:lang w:val="en-US" w:eastAsia="zh-CN" w:bidi="zh-CN"/>
              </w:rPr>
            </w:pPr>
          </w:p>
        </w:tc>
      </w:tr>
    </w:tbl>
    <w:p w14:paraId="06B5ECA1">
      <w:pPr>
        <w:pStyle w:val="21"/>
        <w:numPr>
          <w:ilvl w:val="0"/>
          <w:numId w:val="0"/>
        </w:numPr>
        <w:tabs>
          <w:tab w:val="left" w:pos="540"/>
        </w:tabs>
        <w:adjustRightInd w:val="0"/>
        <w:snapToGrid w:val="0"/>
        <w:spacing w:line="360" w:lineRule="auto"/>
        <w:ind w:leftChars="0"/>
        <w:rPr>
          <w:rFonts w:hAnsi="宋体"/>
          <w:b/>
          <w:color w:val="auto"/>
        </w:rPr>
      </w:pPr>
    </w:p>
    <w:p w14:paraId="0BB912A2">
      <w:pPr>
        <w:pStyle w:val="21"/>
        <w:tabs>
          <w:tab w:val="left" w:pos="420"/>
          <w:tab w:val="left" w:pos="540"/>
        </w:tabs>
        <w:adjustRightInd w:val="0"/>
        <w:snapToGrid w:val="0"/>
        <w:spacing w:line="360" w:lineRule="auto"/>
        <w:jc w:val="center"/>
        <w:rPr>
          <w:rFonts w:hint="eastAsia" w:cs="Times New Roman" w:asciiTheme="majorEastAsia" w:hAnsiTheme="majorEastAsia" w:eastAsiaTheme="majorEastAsia"/>
          <w:b/>
          <w:bCs/>
          <w:kern w:val="2"/>
          <w:sz w:val="32"/>
          <w:szCs w:val="32"/>
          <w:lang w:val="en-US" w:eastAsia="zh-CN" w:bidi="ar-SA"/>
        </w:rPr>
      </w:pPr>
    </w:p>
    <w:p w14:paraId="7B6DBA2C">
      <w:pPr>
        <w:pStyle w:val="21"/>
        <w:tabs>
          <w:tab w:val="left" w:pos="420"/>
          <w:tab w:val="left" w:pos="540"/>
        </w:tabs>
        <w:adjustRightInd w:val="0"/>
        <w:snapToGrid w:val="0"/>
        <w:spacing w:line="360" w:lineRule="auto"/>
        <w:jc w:val="both"/>
        <w:rPr>
          <w:rFonts w:hint="eastAsia" w:cs="Times New Roman" w:asciiTheme="majorEastAsia" w:hAnsiTheme="majorEastAsia" w:eastAsiaTheme="majorEastAsia"/>
          <w:b/>
          <w:bCs/>
          <w:kern w:val="2"/>
          <w:sz w:val="32"/>
          <w:szCs w:val="32"/>
          <w:lang w:val="en-US" w:eastAsia="zh-CN" w:bidi="ar-SA"/>
        </w:rPr>
      </w:pPr>
    </w:p>
    <w:p w14:paraId="43BBC0D2">
      <w:pPr>
        <w:pStyle w:val="21"/>
        <w:tabs>
          <w:tab w:val="left" w:pos="420"/>
          <w:tab w:val="left" w:pos="540"/>
        </w:tabs>
        <w:adjustRightInd w:val="0"/>
        <w:snapToGrid w:val="0"/>
        <w:spacing w:line="360" w:lineRule="auto"/>
        <w:jc w:val="center"/>
        <w:outlineLvl w:val="0"/>
        <w:rPr>
          <w:rFonts w:hint="default" w:cs="Times New Roman" w:asciiTheme="majorEastAsia" w:hAnsiTheme="majorEastAsia" w:eastAsiaTheme="majorEastAsia"/>
          <w:b/>
          <w:bCs/>
          <w:kern w:val="2"/>
          <w:sz w:val="32"/>
          <w:szCs w:val="32"/>
          <w:lang w:val="en-US" w:eastAsia="zh-CN" w:bidi="ar-SA"/>
        </w:rPr>
      </w:pPr>
      <w:bookmarkStart w:id="21" w:name="_Toc30304"/>
      <w:r>
        <w:rPr>
          <w:rFonts w:hint="eastAsia" w:cs="Times New Roman" w:asciiTheme="majorEastAsia" w:hAnsiTheme="majorEastAsia" w:eastAsiaTheme="majorEastAsia"/>
          <w:b/>
          <w:bCs/>
          <w:kern w:val="2"/>
          <w:sz w:val="32"/>
          <w:szCs w:val="32"/>
          <w:lang w:val="en-US" w:eastAsia="zh-CN" w:bidi="ar-SA"/>
        </w:rPr>
        <w:t>第四章 遴选事宜</w:t>
      </w:r>
      <w:bookmarkEnd w:id="21"/>
    </w:p>
    <w:bookmarkEnd w:id="18"/>
    <w:p w14:paraId="5A6C2754">
      <w:pPr>
        <w:pStyle w:val="3"/>
        <w:numPr>
          <w:ilvl w:val="0"/>
          <w:numId w:val="4"/>
        </w:numPr>
        <w:spacing w:line="240" w:lineRule="auto"/>
        <w:ind w:left="-420" w:leftChars="-200" w:firstLine="4"/>
        <w:jc w:val="center"/>
        <w:rPr>
          <w:rFonts w:asciiTheme="majorEastAsia" w:hAnsiTheme="majorEastAsia" w:eastAsiaTheme="majorEastAsia"/>
          <w:sz w:val="30"/>
          <w:szCs w:val="30"/>
        </w:rPr>
      </w:pPr>
      <w:bookmarkStart w:id="22" w:name="_Toc15209"/>
      <w:bookmarkStart w:id="23" w:name="_Toc24015563"/>
      <w:bookmarkStart w:id="24" w:name="_Toc19942"/>
      <w:bookmarkStart w:id="25" w:name="_Toc3071"/>
      <w:bookmarkStart w:id="26" w:name="_Toc435514846"/>
      <w:r>
        <w:rPr>
          <w:rFonts w:hint="eastAsia" w:asciiTheme="majorEastAsia" w:hAnsiTheme="majorEastAsia" w:eastAsiaTheme="majorEastAsia"/>
          <w:sz w:val="30"/>
          <w:szCs w:val="30"/>
        </w:rPr>
        <w:t>资格性审查表</w:t>
      </w:r>
      <w:bookmarkEnd w:id="22"/>
      <w:bookmarkEnd w:id="23"/>
      <w:bookmarkEnd w:id="24"/>
      <w:bookmarkEnd w:id="25"/>
    </w:p>
    <w:tbl>
      <w:tblPr>
        <w:tblStyle w:val="39"/>
        <w:tblW w:w="8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7499"/>
      </w:tblGrid>
      <w:tr w14:paraId="7BD0E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86" w:type="dxa"/>
            <w:vAlign w:val="center"/>
          </w:tcPr>
          <w:p w14:paraId="63170DFA">
            <w:pPr>
              <w:jc w:val="center"/>
              <w:rPr>
                <w:rFonts w:ascii="宋体" w:cs="宋体"/>
                <w:b/>
              </w:rPr>
            </w:pPr>
            <w:r>
              <w:rPr>
                <w:rFonts w:hint="eastAsia" w:ascii="宋体" w:cs="宋体"/>
                <w:b/>
              </w:rPr>
              <w:t>序号</w:t>
            </w:r>
          </w:p>
        </w:tc>
        <w:tc>
          <w:tcPr>
            <w:tcW w:w="7499" w:type="dxa"/>
            <w:vAlign w:val="center"/>
          </w:tcPr>
          <w:p w14:paraId="06801C78">
            <w:pPr>
              <w:jc w:val="center"/>
              <w:rPr>
                <w:rFonts w:ascii="宋体" w:cs="宋体"/>
                <w:b/>
              </w:rPr>
            </w:pPr>
            <w:r>
              <w:rPr>
                <w:rFonts w:hint="eastAsia" w:ascii="宋体" w:hAnsi="宋体" w:cs="宋体"/>
                <w:b/>
              </w:rPr>
              <w:t>评 审 内 容</w:t>
            </w:r>
          </w:p>
        </w:tc>
      </w:tr>
      <w:tr w14:paraId="54125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86" w:type="dxa"/>
            <w:vAlign w:val="center"/>
          </w:tcPr>
          <w:p w14:paraId="189EBA20">
            <w:pPr>
              <w:numPr>
                <w:ilvl w:val="0"/>
                <w:numId w:val="5"/>
              </w:numPr>
              <w:tabs>
                <w:tab w:val="left" w:pos="176"/>
                <w:tab w:val="left" w:pos="612"/>
              </w:tabs>
              <w:jc w:val="center"/>
              <w:rPr>
                <w:rFonts w:ascii="宋体" w:hAnsi="宋体" w:cs="宋体"/>
              </w:rPr>
            </w:pPr>
          </w:p>
        </w:tc>
        <w:tc>
          <w:tcPr>
            <w:tcW w:w="7499" w:type="dxa"/>
            <w:vAlign w:val="center"/>
          </w:tcPr>
          <w:p w14:paraId="1C5716CC">
            <w:pPr>
              <w:tabs>
                <w:tab w:val="left" w:pos="612"/>
              </w:tabs>
              <w:rPr>
                <w:rFonts w:ascii="宋体" w:hAnsi="宋体" w:cs="宋体"/>
              </w:rPr>
            </w:pPr>
            <w:r>
              <w:rPr>
                <w:rFonts w:hint="eastAsia" w:ascii="宋体" w:hAnsi="宋体" w:cs="宋体"/>
              </w:rPr>
              <w:t>具备</w:t>
            </w:r>
            <w:r>
              <w:rPr>
                <w:rFonts w:hint="eastAsia" w:ascii="宋体" w:hAnsi="宋体" w:cs="宋体"/>
                <w:lang w:val="en-US" w:eastAsia="zh-CN"/>
              </w:rPr>
              <w:t>遴选文件</w:t>
            </w:r>
            <w:r>
              <w:rPr>
                <w:rFonts w:hint="eastAsia" w:ascii="宋体" w:hAnsi="宋体" w:cs="宋体"/>
              </w:rPr>
              <w:t>中规定资格要求的及资格证明文件齐全；</w:t>
            </w:r>
          </w:p>
        </w:tc>
      </w:tr>
      <w:tr w14:paraId="634AA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86" w:type="dxa"/>
            <w:vAlign w:val="center"/>
          </w:tcPr>
          <w:p w14:paraId="5F1E9BFA">
            <w:pPr>
              <w:numPr>
                <w:ilvl w:val="0"/>
                <w:numId w:val="5"/>
              </w:numPr>
              <w:tabs>
                <w:tab w:val="left" w:pos="176"/>
                <w:tab w:val="left" w:pos="612"/>
              </w:tabs>
              <w:jc w:val="center"/>
              <w:rPr>
                <w:rFonts w:ascii="宋体" w:hAnsi="宋体" w:cs="宋体"/>
              </w:rPr>
            </w:pPr>
          </w:p>
        </w:tc>
        <w:tc>
          <w:tcPr>
            <w:tcW w:w="7499" w:type="dxa"/>
            <w:vAlign w:val="center"/>
          </w:tcPr>
          <w:p w14:paraId="3452B085">
            <w:pPr>
              <w:tabs>
                <w:tab w:val="left" w:pos="612"/>
              </w:tabs>
              <w:rPr>
                <w:rFonts w:ascii="宋体" w:hAnsi="宋体" w:cs="宋体"/>
              </w:rPr>
            </w:pPr>
            <w:r>
              <w:rPr>
                <w:rFonts w:hint="eastAsia" w:ascii="宋体" w:hAnsi="宋体" w:cs="宋体"/>
                <w:lang w:eastAsia="zh-CN"/>
              </w:rPr>
              <w:t>遴选响应方</w:t>
            </w:r>
            <w:r>
              <w:rPr>
                <w:rFonts w:hint="eastAsia" w:ascii="宋体" w:hAnsi="宋体" w:cs="宋体"/>
              </w:rPr>
              <w:t>资格声明函已提交并符合</w:t>
            </w:r>
            <w:r>
              <w:rPr>
                <w:rFonts w:hint="eastAsia" w:ascii="宋体" w:hAnsi="宋体" w:cs="宋体"/>
                <w:lang w:val="en-US" w:eastAsia="zh-CN"/>
              </w:rPr>
              <w:t>遴选文件</w:t>
            </w:r>
            <w:r>
              <w:rPr>
                <w:rFonts w:hint="eastAsia" w:ascii="宋体" w:hAnsi="宋体" w:cs="宋体"/>
              </w:rPr>
              <w:t>要求的；</w:t>
            </w:r>
          </w:p>
        </w:tc>
      </w:tr>
    </w:tbl>
    <w:p w14:paraId="39E2A13E">
      <w:pPr>
        <w:adjustRightInd w:val="0"/>
        <w:snapToGrid w:val="0"/>
        <w:spacing w:line="360" w:lineRule="auto"/>
        <w:jc w:val="left"/>
        <w:outlineLvl w:val="9"/>
      </w:pPr>
      <w:bookmarkStart w:id="27" w:name="_Toc15975"/>
      <w:r>
        <w:rPr>
          <w:rFonts w:hint="eastAsia" w:ascii="宋体" w:hAnsi="宋体" w:cs="宋体"/>
        </w:rPr>
        <w:t>说明：</w:t>
      </w:r>
      <w:r>
        <w:rPr>
          <w:rFonts w:hint="eastAsia" w:ascii="宋体" w:hAnsi="宋体"/>
          <w:lang w:eastAsia="zh-CN"/>
        </w:rPr>
        <w:t>遴选响应方</w:t>
      </w:r>
      <w:r>
        <w:rPr>
          <w:rFonts w:hint="eastAsia" w:ascii="宋体" w:hAnsi="宋体"/>
        </w:rPr>
        <w:t>必须严格按照《资格性审查表》的评审内容的要求如实提供证明材料</w:t>
      </w:r>
      <w:r>
        <w:rPr>
          <w:rFonts w:hint="eastAsia" w:ascii="宋体" w:hAnsi="宋体"/>
          <w:bCs/>
        </w:rPr>
        <w:t>并应加盖</w:t>
      </w:r>
      <w:r>
        <w:rPr>
          <w:rFonts w:hint="eastAsia" w:ascii="宋体" w:hAnsi="宋体"/>
          <w:bCs/>
          <w:lang w:eastAsia="zh-CN"/>
        </w:rPr>
        <w:t>遴选响应方</w:t>
      </w:r>
      <w:r>
        <w:rPr>
          <w:rFonts w:hint="eastAsia" w:ascii="宋体" w:hAnsi="宋体"/>
          <w:bCs/>
        </w:rPr>
        <w:t>公章,</w:t>
      </w:r>
      <w:r>
        <w:rPr>
          <w:rFonts w:hint="eastAsia" w:ascii="宋体" w:hAnsi="宋体"/>
        </w:rPr>
        <w:t>对缺漏或不符合项将直接导致无效</w:t>
      </w:r>
      <w:r>
        <w:rPr>
          <w:rFonts w:hint="eastAsia" w:ascii="宋体" w:hAnsi="宋体"/>
          <w:lang w:eastAsia="zh-CN"/>
        </w:rPr>
        <w:t>遴选响应</w:t>
      </w:r>
      <w:r>
        <w:rPr>
          <w:rFonts w:hint="eastAsia" w:ascii="宋体" w:cs="宋体"/>
          <w:szCs w:val="21"/>
        </w:rPr>
        <w:t>。</w:t>
      </w:r>
      <w:bookmarkEnd w:id="27"/>
    </w:p>
    <w:p w14:paraId="152CEAF9">
      <w:pPr>
        <w:pStyle w:val="3"/>
        <w:numPr>
          <w:ilvl w:val="0"/>
          <w:numId w:val="4"/>
        </w:numPr>
        <w:spacing w:line="240" w:lineRule="auto"/>
        <w:ind w:left="0" w:firstLine="0"/>
        <w:jc w:val="center"/>
        <w:rPr>
          <w:rFonts w:asciiTheme="majorEastAsia" w:hAnsiTheme="majorEastAsia" w:eastAsiaTheme="majorEastAsia"/>
          <w:color w:val="auto"/>
          <w:sz w:val="30"/>
          <w:szCs w:val="30"/>
        </w:rPr>
      </w:pPr>
      <w:bookmarkStart w:id="28" w:name="_Toc24015564"/>
      <w:bookmarkStart w:id="29" w:name="_Toc2128"/>
      <w:bookmarkStart w:id="30" w:name="_Toc13229"/>
      <w:bookmarkStart w:id="31" w:name="_Toc11464"/>
      <w:r>
        <w:rPr>
          <w:rFonts w:hint="eastAsia" w:asciiTheme="majorEastAsia" w:hAnsiTheme="majorEastAsia" w:eastAsiaTheme="majorEastAsia"/>
          <w:color w:val="auto"/>
          <w:sz w:val="30"/>
          <w:szCs w:val="30"/>
        </w:rPr>
        <w:t>符合性审查表</w:t>
      </w:r>
      <w:bookmarkEnd w:id="28"/>
      <w:bookmarkEnd w:id="29"/>
      <w:bookmarkEnd w:id="30"/>
      <w:bookmarkEnd w:id="31"/>
    </w:p>
    <w:tbl>
      <w:tblPr>
        <w:tblStyle w:val="39"/>
        <w:tblW w:w="8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7499"/>
      </w:tblGrid>
      <w:tr w14:paraId="35A7D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86" w:type="dxa"/>
            <w:vAlign w:val="center"/>
          </w:tcPr>
          <w:p w14:paraId="0B02F0B3">
            <w:pPr>
              <w:jc w:val="center"/>
              <w:rPr>
                <w:rFonts w:ascii="宋体" w:cs="宋体"/>
                <w:b/>
              </w:rPr>
            </w:pPr>
            <w:r>
              <w:rPr>
                <w:rFonts w:hint="eastAsia" w:ascii="宋体" w:cs="宋体"/>
                <w:b/>
              </w:rPr>
              <w:t>序号</w:t>
            </w:r>
          </w:p>
        </w:tc>
        <w:tc>
          <w:tcPr>
            <w:tcW w:w="7499" w:type="dxa"/>
            <w:vAlign w:val="center"/>
          </w:tcPr>
          <w:p w14:paraId="0AD8AE6A">
            <w:pPr>
              <w:jc w:val="center"/>
              <w:rPr>
                <w:rFonts w:ascii="宋体" w:cs="宋体"/>
                <w:b/>
              </w:rPr>
            </w:pPr>
            <w:r>
              <w:rPr>
                <w:rFonts w:hint="eastAsia" w:ascii="宋体" w:hAnsi="宋体" w:cs="宋体"/>
                <w:b/>
              </w:rPr>
              <w:t>评 审 内 容</w:t>
            </w:r>
          </w:p>
        </w:tc>
      </w:tr>
      <w:tr w14:paraId="09745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86" w:type="dxa"/>
            <w:vAlign w:val="center"/>
          </w:tcPr>
          <w:p w14:paraId="024368F9">
            <w:pPr>
              <w:numPr>
                <w:ilvl w:val="0"/>
                <w:numId w:val="6"/>
              </w:numPr>
              <w:tabs>
                <w:tab w:val="left" w:pos="176"/>
                <w:tab w:val="left" w:pos="612"/>
              </w:tabs>
              <w:jc w:val="center"/>
              <w:rPr>
                <w:rFonts w:ascii="宋体" w:hAnsi="宋体" w:cs="宋体"/>
              </w:rPr>
            </w:pPr>
          </w:p>
        </w:tc>
        <w:tc>
          <w:tcPr>
            <w:tcW w:w="7499" w:type="dxa"/>
            <w:shd w:val="clear" w:color="auto" w:fill="auto"/>
            <w:vAlign w:val="center"/>
          </w:tcPr>
          <w:p w14:paraId="6F1EBE38">
            <w:pPr>
              <w:tabs>
                <w:tab w:val="left" w:pos="612"/>
              </w:tabs>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cs="宋体"/>
              </w:rPr>
              <w:t>按照</w:t>
            </w:r>
            <w:r>
              <w:rPr>
                <w:rFonts w:hint="eastAsia" w:ascii="宋体" w:hAnsi="宋体" w:cs="宋体"/>
                <w:lang w:val="en-US" w:eastAsia="zh-CN"/>
              </w:rPr>
              <w:t>遴选文件</w:t>
            </w:r>
            <w:r>
              <w:rPr>
                <w:rFonts w:hint="eastAsia" w:ascii="宋体" w:hAnsi="宋体" w:cs="宋体"/>
              </w:rPr>
              <w:t>规定要求签署、盖章且</w:t>
            </w:r>
            <w:r>
              <w:rPr>
                <w:rFonts w:hint="eastAsia" w:ascii="宋体" w:hAnsi="宋体" w:cs="宋体"/>
                <w:lang w:eastAsia="zh-CN"/>
              </w:rPr>
              <w:t>遴选响应文件</w:t>
            </w:r>
            <w:r>
              <w:rPr>
                <w:rFonts w:hint="eastAsia" w:ascii="宋体" w:hAnsi="宋体" w:cs="宋体"/>
              </w:rPr>
              <w:t>有法定代表</w:t>
            </w:r>
            <w:r>
              <w:rPr>
                <w:rFonts w:hint="eastAsia" w:ascii="宋体" w:hAnsi="宋体" w:cs="宋体"/>
                <w:color w:val="000000" w:themeColor="text1"/>
                <w14:textFill>
                  <w14:solidFill>
                    <w14:schemeClr w14:val="tx1"/>
                  </w14:solidFill>
                </w14:textFill>
              </w:rPr>
              <w:t>人签字或盖章（或签字人有法定代表人有效授权书）的；</w:t>
            </w:r>
          </w:p>
        </w:tc>
      </w:tr>
      <w:tr w14:paraId="1B5CF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86" w:type="dxa"/>
            <w:vAlign w:val="center"/>
          </w:tcPr>
          <w:p w14:paraId="4F8D838A">
            <w:pPr>
              <w:numPr>
                <w:ilvl w:val="0"/>
                <w:numId w:val="6"/>
              </w:numPr>
              <w:tabs>
                <w:tab w:val="left" w:pos="176"/>
                <w:tab w:val="left" w:pos="612"/>
              </w:tabs>
              <w:jc w:val="center"/>
              <w:rPr>
                <w:rFonts w:ascii="宋体" w:hAnsi="宋体" w:cs="宋体"/>
              </w:rPr>
            </w:pPr>
          </w:p>
        </w:tc>
        <w:tc>
          <w:tcPr>
            <w:tcW w:w="7499" w:type="dxa"/>
            <w:shd w:val="clear" w:color="auto" w:fill="auto"/>
            <w:vAlign w:val="center"/>
          </w:tcPr>
          <w:p w14:paraId="02FC1276">
            <w:pPr>
              <w:tabs>
                <w:tab w:val="left" w:pos="612"/>
              </w:tabs>
              <w:rPr>
                <w:rFonts w:ascii="宋体" w:hAnsi="宋体" w:eastAsia="宋体" w:cs="宋体"/>
                <w:kern w:val="2"/>
                <w:sz w:val="21"/>
                <w:szCs w:val="21"/>
                <w:lang w:val="en-US" w:eastAsia="zh-CN" w:bidi="ar-SA"/>
              </w:rPr>
            </w:pPr>
            <w:r>
              <w:rPr>
                <w:rFonts w:hint="eastAsia" w:ascii="宋体" w:hAnsi="宋体" w:cs="宋体"/>
                <w:szCs w:val="21"/>
                <w:lang w:eastAsia="zh-CN"/>
              </w:rPr>
              <w:t>遴选响应</w:t>
            </w:r>
            <w:r>
              <w:rPr>
                <w:rFonts w:hint="eastAsia" w:ascii="宋体" w:hAnsi="宋体" w:cs="宋体"/>
                <w:szCs w:val="21"/>
              </w:rPr>
              <w:t>函已提交并符合</w:t>
            </w:r>
            <w:r>
              <w:rPr>
                <w:rFonts w:hint="eastAsia" w:ascii="宋体" w:hAnsi="宋体" w:cs="宋体"/>
                <w:szCs w:val="21"/>
                <w:lang w:val="en-US" w:eastAsia="zh-CN"/>
              </w:rPr>
              <w:t>遴选文件</w:t>
            </w:r>
            <w:r>
              <w:rPr>
                <w:rFonts w:hint="eastAsia" w:ascii="宋体" w:hAnsi="宋体" w:cs="宋体"/>
                <w:szCs w:val="21"/>
              </w:rPr>
              <w:t>要求的，且</w:t>
            </w:r>
            <w:r>
              <w:rPr>
                <w:rFonts w:hint="eastAsia" w:ascii="宋体" w:hAnsi="宋体"/>
                <w:szCs w:val="21"/>
                <w:lang w:eastAsia="zh-CN"/>
              </w:rPr>
              <w:t>遴选响应</w:t>
            </w:r>
            <w:r>
              <w:rPr>
                <w:rFonts w:hint="eastAsia" w:ascii="宋体" w:hAnsi="宋体"/>
                <w:szCs w:val="21"/>
              </w:rPr>
              <w:t>有效期不少于</w:t>
            </w:r>
            <w:r>
              <w:rPr>
                <w:rFonts w:hint="eastAsia" w:ascii="宋体" w:hAnsi="宋体"/>
                <w:szCs w:val="21"/>
                <w:lang w:val="en-US" w:eastAsia="zh-CN"/>
              </w:rPr>
              <w:t>遴选文件</w:t>
            </w:r>
            <w:r>
              <w:rPr>
                <w:rFonts w:hint="eastAsia" w:ascii="宋体" w:hAnsi="宋体"/>
                <w:szCs w:val="21"/>
              </w:rPr>
              <w:t>中载明的</w:t>
            </w:r>
            <w:r>
              <w:rPr>
                <w:rFonts w:hint="eastAsia" w:ascii="宋体" w:hAnsi="宋体"/>
                <w:szCs w:val="21"/>
                <w:lang w:eastAsia="zh-CN"/>
              </w:rPr>
              <w:t>遴选响应</w:t>
            </w:r>
            <w:r>
              <w:rPr>
                <w:rFonts w:hint="eastAsia" w:ascii="宋体" w:hAnsi="宋体"/>
                <w:szCs w:val="21"/>
              </w:rPr>
              <w:t>有效期；</w:t>
            </w:r>
          </w:p>
        </w:tc>
      </w:tr>
      <w:tr w14:paraId="3B97A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86" w:type="dxa"/>
            <w:vAlign w:val="center"/>
          </w:tcPr>
          <w:p w14:paraId="6255AB0F">
            <w:pPr>
              <w:numPr>
                <w:ilvl w:val="0"/>
                <w:numId w:val="6"/>
              </w:numPr>
              <w:tabs>
                <w:tab w:val="left" w:pos="176"/>
                <w:tab w:val="left" w:pos="612"/>
              </w:tabs>
              <w:jc w:val="center"/>
              <w:rPr>
                <w:rFonts w:ascii="宋体" w:hAnsi="宋体" w:cs="宋体"/>
              </w:rPr>
            </w:pPr>
          </w:p>
        </w:tc>
        <w:tc>
          <w:tcPr>
            <w:tcW w:w="7499" w:type="dxa"/>
            <w:shd w:val="clear" w:color="auto" w:fill="auto"/>
            <w:vAlign w:val="center"/>
          </w:tcPr>
          <w:p w14:paraId="0B905849">
            <w:pPr>
              <w:rPr>
                <w:rFonts w:ascii="宋体" w:hAnsi="宋体" w:eastAsia="宋体" w:cs="宋体"/>
                <w:kern w:val="2"/>
                <w:sz w:val="21"/>
                <w:szCs w:val="24"/>
                <w:lang w:val="en-US" w:eastAsia="zh-CN" w:bidi="ar-SA"/>
              </w:rPr>
            </w:pPr>
            <w:r>
              <w:rPr>
                <w:rFonts w:hint="eastAsia" w:ascii="宋体" w:hAnsi="宋体" w:cs="宋体"/>
                <w:lang w:eastAsia="zh-CN"/>
              </w:rPr>
              <w:t>遴选响应文件</w:t>
            </w:r>
            <w:r>
              <w:rPr>
                <w:rFonts w:hint="eastAsia" w:ascii="宋体" w:hAnsi="宋体" w:cs="宋体"/>
              </w:rPr>
              <w:t>完全满足</w:t>
            </w:r>
            <w:r>
              <w:rPr>
                <w:rFonts w:hint="eastAsia" w:ascii="宋体" w:hAnsi="宋体" w:cs="宋体"/>
                <w:lang w:val="en-US" w:eastAsia="zh-CN"/>
              </w:rPr>
              <w:t>遴选文件</w:t>
            </w:r>
            <w:r>
              <w:rPr>
                <w:rFonts w:hint="eastAsia" w:ascii="宋体" w:hAnsi="宋体" w:cs="宋体"/>
              </w:rPr>
              <w:t>的实质性条款（即标注★号条款）无负偏离的；</w:t>
            </w:r>
            <w:r>
              <w:rPr>
                <w:rFonts w:ascii="宋体" w:hAnsi="宋体" w:cs="宋体"/>
              </w:rPr>
              <w:t xml:space="preserve"> </w:t>
            </w:r>
          </w:p>
        </w:tc>
      </w:tr>
      <w:tr w14:paraId="10B58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86" w:type="dxa"/>
            <w:vAlign w:val="center"/>
          </w:tcPr>
          <w:p w14:paraId="6FDE05FC">
            <w:pPr>
              <w:numPr>
                <w:ilvl w:val="0"/>
                <w:numId w:val="6"/>
              </w:numPr>
              <w:tabs>
                <w:tab w:val="left" w:pos="176"/>
                <w:tab w:val="left" w:pos="612"/>
              </w:tabs>
              <w:jc w:val="center"/>
              <w:rPr>
                <w:rFonts w:ascii="宋体" w:hAnsi="宋体" w:cs="宋体"/>
              </w:rPr>
            </w:pPr>
          </w:p>
        </w:tc>
        <w:tc>
          <w:tcPr>
            <w:tcW w:w="7499" w:type="dxa"/>
            <w:shd w:val="clear" w:color="auto" w:fill="auto"/>
            <w:vAlign w:val="center"/>
          </w:tcPr>
          <w:p w14:paraId="04239882">
            <w:pPr>
              <w:rPr>
                <w:rFonts w:hint="eastAsia" w:ascii="宋体" w:hAnsi="宋体" w:eastAsia="宋体" w:cs="宋体"/>
                <w:kern w:val="2"/>
                <w:sz w:val="21"/>
                <w:szCs w:val="24"/>
                <w:lang w:val="en-US" w:eastAsia="zh-CN" w:bidi="ar-SA"/>
              </w:rPr>
            </w:pPr>
            <w:r>
              <w:rPr>
                <w:rFonts w:hint="eastAsia" w:ascii="宋体" w:hAnsi="宋体" w:cs="宋体"/>
                <w:lang w:eastAsia="zh-CN"/>
              </w:rPr>
              <w:t>遴选响应文件</w:t>
            </w:r>
            <w:r>
              <w:rPr>
                <w:rFonts w:hint="eastAsia" w:ascii="宋体" w:hAnsi="宋体" w:cs="宋体"/>
              </w:rPr>
              <w:t>没有</w:t>
            </w:r>
            <w:r>
              <w:rPr>
                <w:rFonts w:hint="eastAsia" w:ascii="宋体" w:hAnsi="宋体" w:cs="宋体"/>
                <w:lang w:val="en-US" w:eastAsia="zh-CN"/>
              </w:rPr>
              <w:t>遴选文件</w:t>
            </w:r>
            <w:r>
              <w:rPr>
                <w:rFonts w:hint="eastAsia" w:ascii="宋体" w:hAnsi="宋体" w:cs="宋体"/>
              </w:rPr>
              <w:t>中规定的其它无效</w:t>
            </w:r>
            <w:r>
              <w:rPr>
                <w:rFonts w:hint="eastAsia" w:ascii="宋体" w:hAnsi="宋体" w:cs="宋体"/>
                <w:lang w:eastAsia="zh-CN"/>
              </w:rPr>
              <w:t>遴选响应</w:t>
            </w:r>
            <w:r>
              <w:rPr>
                <w:rFonts w:hint="eastAsia" w:ascii="宋体" w:hAnsi="宋体" w:cs="宋体"/>
              </w:rPr>
              <w:t>条款的；</w:t>
            </w:r>
          </w:p>
        </w:tc>
      </w:tr>
      <w:tr w14:paraId="75B9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86" w:type="dxa"/>
            <w:vAlign w:val="center"/>
          </w:tcPr>
          <w:p w14:paraId="2807D630">
            <w:pPr>
              <w:numPr>
                <w:ilvl w:val="0"/>
                <w:numId w:val="6"/>
              </w:numPr>
              <w:tabs>
                <w:tab w:val="left" w:pos="176"/>
                <w:tab w:val="left" w:pos="612"/>
              </w:tabs>
              <w:jc w:val="center"/>
              <w:rPr>
                <w:rFonts w:ascii="宋体" w:hAnsi="宋体" w:cs="宋体"/>
              </w:rPr>
            </w:pPr>
          </w:p>
        </w:tc>
        <w:tc>
          <w:tcPr>
            <w:tcW w:w="7499" w:type="dxa"/>
            <w:shd w:val="clear" w:color="auto" w:fill="auto"/>
            <w:vAlign w:val="center"/>
          </w:tcPr>
          <w:p w14:paraId="51D6F154">
            <w:pPr>
              <w:rPr>
                <w:rFonts w:hint="eastAsia" w:ascii="宋体" w:hAnsi="宋体" w:eastAsia="宋体" w:cs="宋体"/>
                <w:kern w:val="2"/>
                <w:sz w:val="21"/>
                <w:szCs w:val="24"/>
                <w:lang w:val="en-US" w:eastAsia="zh-CN" w:bidi="ar-SA"/>
              </w:rPr>
            </w:pPr>
            <w:r>
              <w:rPr>
                <w:rFonts w:hint="eastAsia" w:ascii="宋体" w:hAnsi="宋体" w:cs="宋体"/>
              </w:rPr>
              <w:t>按有关法律、法规、规章不属于</w:t>
            </w:r>
            <w:r>
              <w:rPr>
                <w:rFonts w:hint="eastAsia" w:ascii="宋体" w:hAnsi="宋体" w:cs="宋体"/>
                <w:lang w:eastAsia="zh-CN"/>
              </w:rPr>
              <w:t>遴选响应</w:t>
            </w:r>
            <w:r>
              <w:rPr>
                <w:rFonts w:hint="eastAsia" w:ascii="宋体" w:hAnsi="宋体" w:cs="宋体"/>
              </w:rPr>
              <w:t>无效的。</w:t>
            </w:r>
          </w:p>
        </w:tc>
      </w:tr>
    </w:tbl>
    <w:p w14:paraId="2449E2F4">
      <w:pPr>
        <w:tabs>
          <w:tab w:val="left" w:pos="420"/>
          <w:tab w:val="left" w:pos="630"/>
        </w:tabs>
        <w:autoSpaceDE w:val="0"/>
        <w:autoSpaceDN w:val="0"/>
        <w:adjustRightInd w:val="0"/>
        <w:spacing w:line="360" w:lineRule="auto"/>
        <w:rPr>
          <w:b/>
          <w:bCs/>
          <w:sz w:val="28"/>
          <w:szCs w:val="28"/>
        </w:rPr>
      </w:pPr>
      <w:r>
        <w:rPr>
          <w:rFonts w:hint="eastAsia" w:ascii="宋体" w:hAnsi="宋体"/>
          <w:szCs w:val="21"/>
        </w:rPr>
        <w:t>说明：</w:t>
      </w:r>
      <w:r>
        <w:rPr>
          <w:rFonts w:hint="eastAsia" w:ascii="宋体" w:hAnsi="宋体"/>
          <w:lang w:eastAsia="zh-CN"/>
        </w:rPr>
        <w:t>遴选响应方</w:t>
      </w:r>
      <w:r>
        <w:rPr>
          <w:rFonts w:hint="eastAsia" w:ascii="宋体" w:hAnsi="宋体"/>
        </w:rPr>
        <w:t>必须严格按照《符合性审查表》的评审内容的要求如实提供证明材料</w:t>
      </w:r>
      <w:r>
        <w:rPr>
          <w:rFonts w:hint="eastAsia" w:ascii="宋体" w:hAnsi="宋体"/>
          <w:bCs/>
        </w:rPr>
        <w:t>并应加盖</w:t>
      </w:r>
      <w:r>
        <w:rPr>
          <w:rFonts w:hint="eastAsia" w:ascii="宋体" w:hAnsi="宋体"/>
          <w:bCs/>
          <w:lang w:eastAsia="zh-CN"/>
        </w:rPr>
        <w:t>遴选响应方</w:t>
      </w:r>
      <w:r>
        <w:rPr>
          <w:rFonts w:hint="eastAsia" w:ascii="宋体" w:hAnsi="宋体"/>
          <w:bCs/>
        </w:rPr>
        <w:t>公章,</w:t>
      </w:r>
      <w:r>
        <w:rPr>
          <w:rFonts w:hint="eastAsia" w:ascii="宋体" w:hAnsi="宋体"/>
        </w:rPr>
        <w:t>对缺漏或不符合项将直接导致无效</w:t>
      </w:r>
      <w:r>
        <w:rPr>
          <w:rFonts w:hint="eastAsia" w:ascii="宋体" w:hAnsi="宋体"/>
          <w:lang w:eastAsia="zh-CN"/>
        </w:rPr>
        <w:t>遴选响应</w:t>
      </w:r>
      <w:r>
        <w:rPr>
          <w:rFonts w:hint="eastAsia" w:ascii="宋体" w:cs="宋体"/>
          <w:szCs w:val="21"/>
        </w:rPr>
        <w:t>。</w:t>
      </w:r>
    </w:p>
    <w:p w14:paraId="7FBDFCD8">
      <w:pPr>
        <w:pStyle w:val="3"/>
        <w:numPr>
          <w:ilvl w:val="0"/>
          <w:numId w:val="4"/>
        </w:numPr>
        <w:spacing w:line="240" w:lineRule="auto"/>
        <w:ind w:left="0" w:firstLine="0"/>
        <w:jc w:val="center"/>
        <w:rPr>
          <w:rFonts w:ascii="黑体" w:hAnsi="宋体" w:cs="宋体"/>
          <w:color w:val="auto"/>
          <w:sz w:val="28"/>
          <w:szCs w:val="28"/>
        </w:rPr>
      </w:pPr>
      <w:r>
        <w:rPr>
          <w:rFonts w:ascii="黑体" w:hAnsi="宋体" w:cs="宋体"/>
          <w:sz w:val="28"/>
          <w:szCs w:val="28"/>
        </w:rPr>
        <w:br w:type="page"/>
      </w:r>
      <w:bookmarkStart w:id="32" w:name="_Toc10257"/>
      <w:bookmarkStart w:id="33" w:name="_Toc31889"/>
      <w:bookmarkStart w:id="34" w:name="_Toc24015565"/>
      <w:r>
        <w:rPr>
          <w:rFonts w:hint="eastAsia" w:asciiTheme="majorEastAsia" w:hAnsiTheme="majorEastAsia" w:eastAsiaTheme="majorEastAsia"/>
          <w:color w:val="auto"/>
          <w:sz w:val="30"/>
          <w:szCs w:val="30"/>
        </w:rPr>
        <w:t>综合评分表</w:t>
      </w:r>
      <w:bookmarkEnd w:id="32"/>
      <w:bookmarkEnd w:id="33"/>
      <w:bookmarkEnd w:id="34"/>
    </w:p>
    <w:tbl>
      <w:tblPr>
        <w:tblStyle w:val="39"/>
        <w:tblW w:w="976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04"/>
        <w:gridCol w:w="1383"/>
        <w:gridCol w:w="6007"/>
        <w:gridCol w:w="780"/>
        <w:gridCol w:w="788"/>
      </w:tblGrid>
      <w:tr w14:paraId="2674C6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804" w:type="dxa"/>
            <w:vAlign w:val="center"/>
          </w:tcPr>
          <w:p w14:paraId="00490FA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评审部分</w:t>
            </w:r>
          </w:p>
        </w:tc>
        <w:tc>
          <w:tcPr>
            <w:tcW w:w="1383" w:type="dxa"/>
            <w:vAlign w:val="center"/>
          </w:tcPr>
          <w:p w14:paraId="0DE9E6B7">
            <w:pPr>
              <w:spacing w:line="240" w:lineRule="auto"/>
              <w:ind w:left="-78" w:leftChars="-37" w:right="-73" w:rightChars="-35"/>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评审因素</w:t>
            </w:r>
          </w:p>
        </w:tc>
        <w:tc>
          <w:tcPr>
            <w:tcW w:w="6007" w:type="dxa"/>
            <w:vAlign w:val="center"/>
          </w:tcPr>
          <w:p w14:paraId="6144AFAE">
            <w:pPr>
              <w:spacing w:line="240" w:lineRule="auto"/>
              <w:ind w:left="-78" w:leftChars="-37" w:right="-73" w:rightChars="-35"/>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评分细则</w:t>
            </w:r>
          </w:p>
        </w:tc>
        <w:tc>
          <w:tcPr>
            <w:tcW w:w="780" w:type="dxa"/>
            <w:tcBorders>
              <w:right w:val="single" w:color="auto" w:sz="4" w:space="0"/>
            </w:tcBorders>
            <w:vAlign w:val="center"/>
          </w:tcPr>
          <w:p w14:paraId="23148D12">
            <w:pPr>
              <w:spacing w:line="240" w:lineRule="auto"/>
              <w:ind w:left="-78" w:leftChars="-37" w:right="-73" w:rightChars="-35"/>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权重</w:t>
            </w:r>
          </w:p>
        </w:tc>
        <w:tc>
          <w:tcPr>
            <w:tcW w:w="788" w:type="dxa"/>
            <w:tcBorders>
              <w:left w:val="single" w:color="auto" w:sz="4" w:space="0"/>
            </w:tcBorders>
            <w:vAlign w:val="center"/>
          </w:tcPr>
          <w:p w14:paraId="6674B5F1">
            <w:pPr>
              <w:spacing w:line="240" w:lineRule="auto"/>
              <w:ind w:left="-78" w:leftChars="-37" w:right="-73" w:rightChars="-35"/>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分值</w:t>
            </w:r>
          </w:p>
        </w:tc>
      </w:tr>
      <w:tr w14:paraId="3C9777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04" w:type="dxa"/>
            <w:vAlign w:val="center"/>
          </w:tcPr>
          <w:p w14:paraId="066F35AD">
            <w:pPr>
              <w:spacing w:line="240" w:lineRule="auto"/>
              <w:ind w:left="-78" w:leftChars="-37" w:right="-73" w:rightChars="-35"/>
              <w:jc w:val="center"/>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一</w:t>
            </w:r>
          </w:p>
        </w:tc>
        <w:tc>
          <w:tcPr>
            <w:tcW w:w="8958" w:type="dxa"/>
            <w:gridSpan w:val="4"/>
            <w:vAlign w:val="center"/>
          </w:tcPr>
          <w:p w14:paraId="02130ED0">
            <w:pPr>
              <w:spacing w:line="240" w:lineRule="auto"/>
              <w:ind w:left="-78" w:leftChars="-37" w:right="-73" w:rightChars="-35"/>
              <w:jc w:val="center"/>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价格</w:t>
            </w:r>
            <w:r>
              <w:rPr>
                <w:rFonts w:hint="eastAsia" w:ascii="宋体" w:hAnsi="宋体" w:eastAsia="宋体" w:cs="宋体"/>
                <w:b/>
                <w:sz w:val="21"/>
                <w:szCs w:val="21"/>
                <w:highlight w:val="none"/>
                <w:lang w:val="en-US" w:eastAsia="zh-CN"/>
              </w:rPr>
              <w:t>部分</w:t>
            </w:r>
            <w:r>
              <w:rPr>
                <w:rFonts w:hint="eastAsia" w:ascii="宋体" w:hAnsi="宋体" w:eastAsia="宋体" w:cs="宋体"/>
                <w:b/>
                <w:sz w:val="21"/>
                <w:szCs w:val="21"/>
                <w:highlight w:val="none"/>
                <w:lang w:eastAsia="zh-CN"/>
              </w:rPr>
              <w:t>（</w:t>
            </w:r>
            <w:r>
              <w:rPr>
                <w:rFonts w:hint="eastAsia" w:ascii="宋体" w:hAnsi="宋体" w:eastAsia="宋体" w:cs="宋体"/>
                <w:b/>
                <w:sz w:val="21"/>
                <w:szCs w:val="21"/>
                <w:highlight w:val="none"/>
                <w:lang w:val="en-US" w:eastAsia="zh-CN"/>
              </w:rPr>
              <w:t>10分</w:t>
            </w:r>
            <w:r>
              <w:rPr>
                <w:rFonts w:hint="eastAsia" w:ascii="宋体" w:hAnsi="宋体" w:eastAsia="宋体" w:cs="宋体"/>
                <w:b/>
                <w:sz w:val="21"/>
                <w:szCs w:val="21"/>
                <w:highlight w:val="none"/>
                <w:lang w:eastAsia="zh-CN"/>
              </w:rPr>
              <w:t>）</w:t>
            </w:r>
          </w:p>
        </w:tc>
      </w:tr>
      <w:tr w14:paraId="5B5EF0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44" w:hRule="atLeast"/>
          <w:jc w:val="center"/>
        </w:trPr>
        <w:tc>
          <w:tcPr>
            <w:tcW w:w="804" w:type="dxa"/>
            <w:vAlign w:val="center"/>
          </w:tcPr>
          <w:p w14:paraId="2076833B">
            <w:pPr>
              <w:spacing w:line="240" w:lineRule="auto"/>
              <w:ind w:left="-78" w:leftChars="-37" w:right="-73" w:rightChars="-35"/>
              <w:jc w:val="center"/>
              <w:rPr>
                <w:rFonts w:hint="default" w:ascii="宋体" w:hAnsi="宋体" w:eastAsia="宋体" w:cs="宋体"/>
                <w:b/>
                <w:sz w:val="21"/>
                <w:szCs w:val="21"/>
                <w:highlight w:val="none"/>
                <w:lang w:val="en-US" w:eastAsia="zh-CN"/>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w:t>
            </w:r>
          </w:p>
        </w:tc>
        <w:tc>
          <w:tcPr>
            <w:tcW w:w="1383" w:type="dxa"/>
            <w:vAlign w:val="center"/>
          </w:tcPr>
          <w:p w14:paraId="1A1190E1">
            <w:pPr>
              <w:adjustRightInd w:val="0"/>
              <w:snapToGrid w:val="0"/>
              <w:spacing w:line="240" w:lineRule="auto"/>
              <w:jc w:val="center"/>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SPD管理平台医用物资供应商服务费</w:t>
            </w:r>
          </w:p>
        </w:tc>
        <w:tc>
          <w:tcPr>
            <w:tcW w:w="6007" w:type="dxa"/>
            <w:vAlign w:val="center"/>
          </w:tcPr>
          <w:p w14:paraId="47353FAC">
            <w:pPr>
              <w:adjustRightInd w:val="0"/>
              <w:snapToGrid w:val="0"/>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对采购人的医用耗材供应商收取的服务费用不超过其供应的医用耗材金额的2%，且有承诺函的得8分。在此基础上服务费每降低0.5％加1分，最高加2分。</w:t>
            </w:r>
          </w:p>
          <w:p w14:paraId="478483AE">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FF0000"/>
                <w:kern w:val="2"/>
                <w:sz w:val="21"/>
                <w:szCs w:val="21"/>
                <w:highlight w:val="none"/>
                <w:lang w:val="en-US" w:eastAsia="zh-CN" w:bidi="ar-SA"/>
              </w:rPr>
              <w:t>需提供</w:t>
            </w:r>
            <w:r>
              <w:rPr>
                <w:rFonts w:hint="eastAsia" w:ascii="宋体" w:hAnsi="宋体" w:eastAsia="宋体" w:cs="宋体"/>
                <w:color w:val="FF0000"/>
                <w:kern w:val="0"/>
                <w:sz w:val="21"/>
                <w:szCs w:val="21"/>
                <w:highlight w:val="none"/>
                <w:lang w:val="en-US" w:eastAsia="zh-CN"/>
              </w:rPr>
              <w:t>SPD管理平台医用物资供应商服务费承诺函（格式自拟）</w:t>
            </w:r>
          </w:p>
        </w:tc>
        <w:tc>
          <w:tcPr>
            <w:tcW w:w="780" w:type="dxa"/>
            <w:vAlign w:val="center"/>
          </w:tcPr>
          <w:p w14:paraId="1FB1F3AA">
            <w:pPr>
              <w:spacing w:line="240" w:lineRule="auto"/>
              <w:ind w:left="-78" w:leftChars="-37" w:right="-73" w:rightChars="-35"/>
              <w:jc w:val="center"/>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10％</w:t>
            </w:r>
          </w:p>
        </w:tc>
        <w:tc>
          <w:tcPr>
            <w:tcW w:w="788" w:type="dxa"/>
            <w:vAlign w:val="center"/>
          </w:tcPr>
          <w:p w14:paraId="44235FAA">
            <w:pPr>
              <w:spacing w:line="240" w:lineRule="auto"/>
              <w:ind w:left="-78" w:leftChars="-37" w:right="-73" w:rightChars="-35"/>
              <w:jc w:val="center"/>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10分</w:t>
            </w:r>
          </w:p>
        </w:tc>
      </w:tr>
      <w:tr w14:paraId="60462B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jc w:val="center"/>
        </w:trPr>
        <w:tc>
          <w:tcPr>
            <w:tcW w:w="804" w:type="dxa"/>
            <w:vAlign w:val="center"/>
          </w:tcPr>
          <w:p w14:paraId="68F1ED8E">
            <w:pPr>
              <w:spacing w:line="240" w:lineRule="auto"/>
              <w:ind w:left="-78" w:leftChars="-37" w:right="-73" w:rightChars="-35"/>
              <w:jc w:val="center"/>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二</w:t>
            </w:r>
          </w:p>
        </w:tc>
        <w:tc>
          <w:tcPr>
            <w:tcW w:w="8958" w:type="dxa"/>
            <w:gridSpan w:val="4"/>
            <w:vAlign w:val="center"/>
          </w:tcPr>
          <w:p w14:paraId="243354BA">
            <w:pPr>
              <w:spacing w:line="240" w:lineRule="auto"/>
              <w:ind w:left="-78" w:leftChars="-37" w:right="-73" w:rightChars="-35"/>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技术部分（</w:t>
            </w:r>
            <w:r>
              <w:rPr>
                <w:rFonts w:hint="eastAsia" w:ascii="宋体" w:hAnsi="宋体" w:eastAsia="宋体" w:cs="宋体"/>
                <w:b/>
                <w:sz w:val="21"/>
                <w:szCs w:val="21"/>
                <w:highlight w:val="none"/>
                <w:lang w:val="en-US" w:eastAsia="zh-CN"/>
              </w:rPr>
              <w:t>65</w:t>
            </w:r>
            <w:r>
              <w:rPr>
                <w:rFonts w:hint="eastAsia" w:ascii="宋体" w:hAnsi="宋体" w:eastAsia="宋体" w:cs="宋体"/>
                <w:b/>
                <w:sz w:val="21"/>
                <w:szCs w:val="21"/>
                <w:highlight w:val="none"/>
              </w:rPr>
              <w:t>分）</w:t>
            </w:r>
          </w:p>
        </w:tc>
      </w:tr>
      <w:tr w14:paraId="467AAA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04" w:type="dxa"/>
            <w:tcBorders>
              <w:top w:val="single" w:color="auto" w:sz="4" w:space="0"/>
              <w:bottom w:val="single" w:color="auto" w:sz="4" w:space="0"/>
            </w:tcBorders>
            <w:vAlign w:val="center"/>
          </w:tcPr>
          <w:p w14:paraId="01357765">
            <w:pPr>
              <w:pStyle w:val="85"/>
              <w:numPr>
                <w:ilvl w:val="0"/>
                <w:numId w:val="0"/>
              </w:numPr>
              <w:spacing w:line="240" w:lineRule="auto"/>
              <w:ind w:left="420" w:leftChars="0" w:hanging="42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w:t>
            </w:r>
          </w:p>
        </w:tc>
        <w:tc>
          <w:tcPr>
            <w:tcW w:w="1383" w:type="dxa"/>
            <w:vAlign w:val="center"/>
          </w:tcPr>
          <w:p w14:paraId="3CB49859">
            <w:pPr>
              <w:adjustRightInd w:val="0"/>
              <w:snapToGrid w:val="0"/>
              <w:spacing w:line="240" w:lineRule="auto"/>
              <w:jc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zh-CN" w:eastAsia="zh-CN"/>
                <w14:textFill>
                  <w14:solidFill>
                    <w14:schemeClr w14:val="tx1"/>
                  </w14:solidFill>
                </w14:textFill>
              </w:rPr>
              <w:t>技术规格偏离情况</w:t>
            </w:r>
          </w:p>
        </w:tc>
        <w:tc>
          <w:tcPr>
            <w:tcW w:w="6007" w:type="dxa"/>
            <w:vAlign w:val="center"/>
          </w:tcPr>
          <w:p w14:paraId="5C9CC01F">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根据技术要求</w:t>
            </w:r>
            <w:r>
              <w:rPr>
                <w:rFonts w:hint="eastAsia" w:ascii="宋体" w:hAnsi="宋体" w:cs="宋体"/>
                <w:color w:val="000000" w:themeColor="text1"/>
                <w:kern w:val="0"/>
                <w:sz w:val="21"/>
                <w:szCs w:val="21"/>
                <w:highlight w:val="none"/>
                <w:lang w:val="en-US" w:eastAsia="zh-CN"/>
                <w14:textFill>
                  <w14:solidFill>
                    <w14:schemeClr w14:val="tx1"/>
                  </w14:solidFill>
                </w14:textFill>
              </w:rPr>
              <w:t>遴选响应</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情况进行打分，完全满足</w:t>
            </w:r>
            <w:r>
              <w:rPr>
                <w:rFonts w:hint="eastAsia" w:ascii="宋体" w:hAnsi="宋体" w:cs="宋体"/>
                <w:color w:val="000000" w:themeColor="text1"/>
                <w:kern w:val="0"/>
                <w:sz w:val="21"/>
                <w:szCs w:val="21"/>
                <w:highlight w:val="none"/>
                <w:lang w:val="en-US" w:eastAsia="zh-CN"/>
                <w14:textFill>
                  <w14:solidFill>
                    <w14:schemeClr w14:val="tx1"/>
                  </w14:solidFill>
                </w14:textFill>
              </w:rPr>
              <w:t>遴选文件</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要求得35分；带“▲”技术参数条款总分为7分，若</w:t>
            </w:r>
            <w:r>
              <w:rPr>
                <w:rFonts w:hint="eastAsia" w:ascii="宋体" w:hAnsi="宋体" w:cs="宋体"/>
                <w:color w:val="000000" w:themeColor="text1"/>
                <w:kern w:val="0"/>
                <w:sz w:val="21"/>
                <w:szCs w:val="21"/>
                <w:highlight w:val="none"/>
                <w:lang w:val="en-US" w:eastAsia="zh-CN"/>
                <w14:textFill>
                  <w14:solidFill>
                    <w14:schemeClr w14:val="tx1"/>
                  </w14:solidFill>
                </w14:textFill>
              </w:rPr>
              <w:t>遴选响应</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为负偏离，一项扣0.7分，负偏离达10项本小项不得分；其它技术参数条款总分为28分，若</w:t>
            </w:r>
            <w:r>
              <w:rPr>
                <w:rFonts w:hint="eastAsia" w:ascii="宋体" w:hAnsi="宋体" w:cs="宋体"/>
                <w:color w:val="000000" w:themeColor="text1"/>
                <w:kern w:val="0"/>
                <w:sz w:val="21"/>
                <w:szCs w:val="21"/>
                <w:highlight w:val="none"/>
                <w:lang w:val="en-US" w:eastAsia="zh-CN"/>
                <w14:textFill>
                  <w14:solidFill>
                    <w14:schemeClr w14:val="tx1"/>
                  </w14:solidFill>
                </w14:textFill>
              </w:rPr>
              <w:t>遴选响应</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为负偏离的，一项扣0.56分。</w:t>
            </w:r>
          </w:p>
        </w:tc>
        <w:tc>
          <w:tcPr>
            <w:tcW w:w="780" w:type="dxa"/>
            <w:tcBorders>
              <w:right w:val="single" w:color="auto" w:sz="4" w:space="0"/>
            </w:tcBorders>
            <w:vAlign w:val="center"/>
          </w:tcPr>
          <w:p w14:paraId="6A35F4F1">
            <w:pPr>
              <w:spacing w:line="24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35％</w:t>
            </w:r>
          </w:p>
        </w:tc>
        <w:tc>
          <w:tcPr>
            <w:tcW w:w="788" w:type="dxa"/>
            <w:tcBorders>
              <w:left w:val="single" w:color="auto" w:sz="4" w:space="0"/>
            </w:tcBorders>
            <w:vAlign w:val="center"/>
          </w:tcPr>
          <w:p w14:paraId="159FC5EF">
            <w:pPr>
              <w:spacing w:line="240" w:lineRule="auto"/>
              <w:ind w:left="-78" w:leftChars="-37" w:right="-73" w:rightChars="-35"/>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sz w:val="21"/>
                <w:szCs w:val="21"/>
                <w:highlight w:val="none"/>
                <w:lang w:val="en-US" w:eastAsia="zh-CN"/>
              </w:rPr>
              <w:t>35分</w:t>
            </w:r>
          </w:p>
        </w:tc>
      </w:tr>
      <w:tr w14:paraId="0D509E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804" w:type="dxa"/>
            <w:tcBorders>
              <w:top w:val="single" w:color="auto" w:sz="4" w:space="0"/>
              <w:bottom w:val="single" w:color="auto" w:sz="4" w:space="0"/>
            </w:tcBorders>
            <w:vAlign w:val="center"/>
          </w:tcPr>
          <w:p w14:paraId="3A74530A">
            <w:pPr>
              <w:pStyle w:val="85"/>
              <w:numPr>
                <w:ilvl w:val="0"/>
                <w:numId w:val="0"/>
              </w:numPr>
              <w:spacing w:line="240" w:lineRule="auto"/>
              <w:ind w:left="420" w:leftChars="0" w:hanging="42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w:t>
            </w:r>
          </w:p>
        </w:tc>
        <w:tc>
          <w:tcPr>
            <w:tcW w:w="1383" w:type="dxa"/>
            <w:vAlign w:val="center"/>
          </w:tcPr>
          <w:p w14:paraId="7B320015">
            <w:pPr>
              <w:spacing w:line="24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zh-CN" w:eastAsia="zh-CN"/>
                <w14:textFill>
                  <w14:solidFill>
                    <w14:schemeClr w14:val="tx1"/>
                  </w14:solidFill>
                </w14:textFill>
              </w:rPr>
              <w:t>医用耗材智慧管理服务平台建设方案</w:t>
            </w:r>
          </w:p>
        </w:tc>
        <w:tc>
          <w:tcPr>
            <w:tcW w:w="6007" w:type="dxa"/>
            <w:vAlign w:val="center"/>
          </w:tcPr>
          <w:p w14:paraId="483A0DC8">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医用耗材智慧管理服务平台建设方案应当符合及包括以下内容：</w:t>
            </w:r>
          </w:p>
          <w:p w14:paraId="762F831A">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（1）是针对采购人实际情况的具体实施方案；</w:t>
            </w:r>
          </w:p>
          <w:p w14:paraId="17C5674C">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（2）有具体的实施计划、实施进度表、平台管理模式；</w:t>
            </w:r>
          </w:p>
          <w:p w14:paraId="0B1882FD">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（3）有项目培训计划、科室管理方式；</w:t>
            </w:r>
          </w:p>
          <w:p w14:paraId="4665D61D">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（4）有运维保障措施、设备配备计划。</w:t>
            </w:r>
          </w:p>
          <w:p w14:paraId="4BD3E4D6">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满足四项要求得5分，满足以上任意三项要求得3分，满足以上任意两项要求得2分，满足以上任意一项要求得1分。</w:t>
            </w:r>
          </w:p>
          <w:p w14:paraId="1AFEB877">
            <w:pPr>
              <w:adjustRightInd w:val="0"/>
              <w:snapToGrid w:val="0"/>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FF0000"/>
                <w:kern w:val="0"/>
                <w:sz w:val="21"/>
                <w:szCs w:val="21"/>
                <w:highlight w:val="none"/>
                <w:lang w:val="en-US" w:eastAsia="zh-CN"/>
              </w:rPr>
              <w:t>需提供医用耗材智慧管理服务平台建设方案作为证明材料</w:t>
            </w:r>
          </w:p>
        </w:tc>
        <w:tc>
          <w:tcPr>
            <w:tcW w:w="780" w:type="dxa"/>
            <w:tcBorders>
              <w:right w:val="single" w:color="auto" w:sz="4" w:space="0"/>
            </w:tcBorders>
            <w:vAlign w:val="center"/>
          </w:tcPr>
          <w:p w14:paraId="38F77516">
            <w:pPr>
              <w:spacing w:line="24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w:t>
            </w:r>
          </w:p>
        </w:tc>
        <w:tc>
          <w:tcPr>
            <w:tcW w:w="788" w:type="dxa"/>
            <w:tcBorders>
              <w:left w:val="single" w:color="auto" w:sz="4" w:space="0"/>
            </w:tcBorders>
            <w:vAlign w:val="center"/>
          </w:tcPr>
          <w:p w14:paraId="0853AE41">
            <w:pPr>
              <w:spacing w:line="24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w:t>
            </w:r>
          </w:p>
        </w:tc>
      </w:tr>
      <w:tr w14:paraId="724F3E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9" w:hRule="atLeast"/>
          <w:jc w:val="center"/>
        </w:trPr>
        <w:tc>
          <w:tcPr>
            <w:tcW w:w="804" w:type="dxa"/>
            <w:tcBorders>
              <w:top w:val="single" w:color="auto" w:sz="4" w:space="0"/>
              <w:bottom w:val="single" w:color="auto" w:sz="4" w:space="0"/>
            </w:tcBorders>
            <w:vAlign w:val="center"/>
          </w:tcPr>
          <w:p w14:paraId="68D3BE49">
            <w:pPr>
              <w:pStyle w:val="85"/>
              <w:numPr>
                <w:ilvl w:val="0"/>
                <w:numId w:val="0"/>
              </w:numPr>
              <w:spacing w:line="240" w:lineRule="auto"/>
              <w:ind w:left="420" w:leftChars="0" w:hanging="42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3.</w:t>
            </w:r>
          </w:p>
        </w:tc>
        <w:tc>
          <w:tcPr>
            <w:tcW w:w="1383" w:type="dxa"/>
            <w:vAlign w:val="center"/>
          </w:tcPr>
          <w:p w14:paraId="1E37E9D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项目实施</w:t>
            </w:r>
          </w:p>
          <w:p w14:paraId="62127F1F">
            <w:pPr>
              <w:spacing w:line="24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方案</w:t>
            </w:r>
          </w:p>
        </w:tc>
        <w:tc>
          <w:tcPr>
            <w:tcW w:w="6007" w:type="dxa"/>
            <w:vAlign w:val="center"/>
          </w:tcPr>
          <w:p w14:paraId="7AA3B3EE">
            <w:pPr>
              <w:adjustRightInd w:val="0"/>
              <w:snapToGrid w:val="0"/>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在合同签订后90天内在采购人现有医用耗材供应链延伸服务平台上完成采购人医用耗材智慧服务管理平台项目上线运行。要求</w:t>
            </w:r>
            <w:r>
              <w:rPr>
                <w:rFonts w:hint="eastAsia" w:ascii="宋体" w:hAnsi="宋体" w:cs="宋体"/>
                <w:color w:val="000000" w:themeColor="text1"/>
                <w:sz w:val="21"/>
                <w:szCs w:val="21"/>
                <w:highlight w:val="none"/>
                <w:lang w:val="en-US" w:eastAsia="zh-CN"/>
                <w14:textFill>
                  <w14:solidFill>
                    <w14:schemeClr w14:val="tx1"/>
                  </w14:solidFill>
                </w14:textFill>
              </w:rPr>
              <w:t>遴选响应方</w:t>
            </w:r>
            <w:r>
              <w:rPr>
                <w:rFonts w:hint="eastAsia" w:ascii="宋体" w:hAnsi="宋体" w:eastAsia="宋体" w:cs="宋体"/>
                <w:color w:val="000000" w:themeColor="text1"/>
                <w:sz w:val="21"/>
                <w:szCs w:val="21"/>
                <w:highlight w:val="none"/>
                <w14:textFill>
                  <w14:solidFill>
                    <w14:schemeClr w14:val="tx1"/>
                  </w14:solidFill>
                </w14:textFill>
              </w:rPr>
              <w:t>书面提交详细的实施方案和进度计划及保证措施，如不能按期完成，应书面说明原因。合同有效期内，由</w:t>
            </w:r>
            <w:r>
              <w:rPr>
                <w:rFonts w:hint="eastAsia" w:ascii="宋体" w:hAnsi="宋体" w:cs="宋体"/>
                <w:color w:val="000000" w:themeColor="text1"/>
                <w:sz w:val="21"/>
                <w:szCs w:val="21"/>
                <w:highlight w:val="none"/>
                <w:lang w:eastAsia="zh-CN"/>
                <w14:textFill>
                  <w14:solidFill>
                    <w14:schemeClr w14:val="tx1"/>
                  </w14:solidFill>
                </w14:textFill>
              </w:rPr>
              <w:t>中选方</w:t>
            </w:r>
            <w:r>
              <w:rPr>
                <w:rFonts w:hint="eastAsia" w:ascii="宋体" w:hAnsi="宋体" w:eastAsia="宋体" w:cs="宋体"/>
                <w:color w:val="000000" w:themeColor="text1"/>
                <w:sz w:val="21"/>
                <w:szCs w:val="21"/>
                <w:highlight w:val="none"/>
                <w14:textFill>
                  <w14:solidFill>
                    <w14:schemeClr w14:val="tx1"/>
                  </w14:solidFill>
                </w14:textFill>
              </w:rPr>
              <w:t>安排专门的维护团队负责硬件和软件系统的维护、保养和系统升级，费用由</w:t>
            </w:r>
            <w:r>
              <w:rPr>
                <w:rFonts w:hint="eastAsia" w:ascii="宋体" w:hAnsi="宋体" w:cs="宋体"/>
                <w:color w:val="000000" w:themeColor="text1"/>
                <w:sz w:val="21"/>
                <w:szCs w:val="21"/>
                <w:highlight w:val="none"/>
                <w:lang w:eastAsia="zh-CN"/>
                <w14:textFill>
                  <w14:solidFill>
                    <w14:schemeClr w14:val="tx1"/>
                  </w14:solidFill>
                </w14:textFill>
              </w:rPr>
              <w:t>中选方</w:t>
            </w:r>
            <w:r>
              <w:rPr>
                <w:rFonts w:hint="eastAsia" w:ascii="宋体" w:hAnsi="宋体" w:eastAsia="宋体" w:cs="宋体"/>
                <w:color w:val="000000" w:themeColor="text1"/>
                <w:sz w:val="21"/>
                <w:szCs w:val="21"/>
                <w:highlight w:val="none"/>
                <w14:textFill>
                  <w14:solidFill>
                    <w14:schemeClr w14:val="tx1"/>
                  </w14:solidFill>
                </w14:textFill>
              </w:rPr>
              <w:t>承担。合作期满后，若不再续签合作合同，采购人仍可免费使用本项目投入的设备设施及其软件系统，直至采购人另有安排。</w:t>
            </w:r>
          </w:p>
          <w:p w14:paraId="753AB256">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注：项目实施方案（工作措施、工作方法、工作手段、工作流程）</w:t>
            </w:r>
          </w:p>
          <w:p w14:paraId="67D87743">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评估内容：评估</w:t>
            </w:r>
            <w:r>
              <w:rPr>
                <w:rFonts w:hint="eastAsia" w:ascii="宋体" w:hAnsi="宋体" w:cs="宋体"/>
                <w:color w:val="000000" w:themeColor="text1"/>
                <w:kern w:val="0"/>
                <w:sz w:val="21"/>
                <w:szCs w:val="21"/>
                <w:highlight w:val="none"/>
                <w:lang w:val="en-US" w:eastAsia="zh-CN"/>
                <w14:textFill>
                  <w14:solidFill>
                    <w14:schemeClr w14:val="tx1"/>
                  </w14:solidFill>
                </w14:textFill>
              </w:rPr>
              <w:t>遴选响应</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方提供的实施方案中工作内容、工作方法、技术路线、工作流程，以及根据本项目需求提供项目后期创新升级服务方案。其中包含但不限于：</w:t>
            </w:r>
          </w:p>
          <w:p w14:paraId="76644670">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1.在库耗材移仓交接方案；</w:t>
            </w:r>
          </w:p>
          <w:p w14:paraId="7FEF359D">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2.科室申领管理方案；</w:t>
            </w:r>
          </w:p>
          <w:p w14:paraId="16E8BCDA">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3.采购计划管理方案；</w:t>
            </w:r>
          </w:p>
          <w:p w14:paraId="79A1B190">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4.库存管理方案；</w:t>
            </w:r>
          </w:p>
          <w:p w14:paraId="4B25CE42">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5.院内加工定数包方案；</w:t>
            </w:r>
          </w:p>
          <w:p w14:paraId="04669804">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6.二级库管理方案；</w:t>
            </w:r>
          </w:p>
          <w:p w14:paraId="6EE2835A">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7.高值耗材追溯管理方案；</w:t>
            </w:r>
          </w:p>
          <w:p w14:paraId="02D612DA">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8.扫码消耗结算方案；</w:t>
            </w:r>
          </w:p>
          <w:p w14:paraId="12598BF2">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9.配送服务方案；</w:t>
            </w:r>
          </w:p>
          <w:p w14:paraId="699DF21C">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10.供应商管理方案；</w:t>
            </w:r>
          </w:p>
          <w:p w14:paraId="6B5E0FDC">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11.团队管理方案；</w:t>
            </w:r>
          </w:p>
          <w:p w14:paraId="12936D26">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12.投诉意见处理措施。</w:t>
            </w:r>
          </w:p>
          <w:p w14:paraId="3CCF18F5">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评分标准：以上每满足1项得12分，最高得12分。</w:t>
            </w:r>
          </w:p>
          <w:p w14:paraId="6FFD33C9">
            <w:pPr>
              <w:adjustRightInd w:val="0"/>
              <w:snapToGrid w:val="0"/>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FF0000"/>
                <w:kern w:val="0"/>
                <w:sz w:val="21"/>
                <w:szCs w:val="21"/>
                <w:highlight w:val="none"/>
                <w:lang w:val="en-US" w:eastAsia="zh-CN"/>
              </w:rPr>
              <w:t>需提供项目实施方案作为证明材料</w:t>
            </w:r>
          </w:p>
        </w:tc>
        <w:tc>
          <w:tcPr>
            <w:tcW w:w="780" w:type="dxa"/>
            <w:tcBorders>
              <w:right w:val="single" w:color="auto" w:sz="4" w:space="0"/>
            </w:tcBorders>
            <w:vAlign w:val="center"/>
          </w:tcPr>
          <w:p w14:paraId="5FB89C7B">
            <w:pPr>
              <w:spacing w:line="24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color w:val="000000" w:themeColor="text1"/>
                <w:sz w:val="21"/>
                <w:szCs w:val="21"/>
                <w:highlight w:val="none"/>
                <w14:textFill>
                  <w14:solidFill>
                    <w14:schemeClr w14:val="tx1"/>
                  </w14:solidFill>
                </w14:textFill>
              </w:rPr>
              <w:t>%</w:t>
            </w:r>
          </w:p>
        </w:tc>
        <w:tc>
          <w:tcPr>
            <w:tcW w:w="788" w:type="dxa"/>
            <w:tcBorders>
              <w:left w:val="single" w:color="auto" w:sz="4" w:space="0"/>
            </w:tcBorders>
            <w:vAlign w:val="center"/>
          </w:tcPr>
          <w:p w14:paraId="4857FB44">
            <w:pPr>
              <w:spacing w:line="240" w:lineRule="auto"/>
              <w:ind w:left="-78" w:leftChars="-37" w:right="-73" w:rightChars="-35"/>
              <w:jc w:val="center"/>
              <w:rPr>
                <w:rFonts w:hint="eastAsia" w:ascii="宋体" w:hAnsi="宋体" w:eastAsia="宋体" w:cs="宋体"/>
                <w:color w:val="000000" w:themeColor="text1"/>
                <w:kern w:val="0"/>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12分</w:t>
            </w:r>
          </w:p>
        </w:tc>
      </w:tr>
      <w:tr w14:paraId="333E6E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9" w:hRule="atLeast"/>
          <w:jc w:val="center"/>
        </w:trPr>
        <w:tc>
          <w:tcPr>
            <w:tcW w:w="804" w:type="dxa"/>
            <w:tcBorders>
              <w:top w:val="single" w:color="auto" w:sz="4" w:space="0"/>
              <w:bottom w:val="single" w:color="auto" w:sz="4" w:space="0"/>
            </w:tcBorders>
            <w:vAlign w:val="center"/>
          </w:tcPr>
          <w:p w14:paraId="1C99E340">
            <w:pPr>
              <w:pStyle w:val="85"/>
              <w:numPr>
                <w:ilvl w:val="0"/>
                <w:numId w:val="0"/>
              </w:numPr>
              <w:spacing w:line="240" w:lineRule="auto"/>
              <w:ind w:left="420" w:leftChars="0" w:hanging="42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4.</w:t>
            </w:r>
          </w:p>
        </w:tc>
        <w:tc>
          <w:tcPr>
            <w:tcW w:w="1383" w:type="dxa"/>
            <w:vAlign w:val="center"/>
          </w:tcPr>
          <w:p w14:paraId="0F0BECC7">
            <w:pPr>
              <w:spacing w:line="240" w:lineRule="auto"/>
              <w:ind w:left="-78" w:leftChars="-37" w:right="-73" w:rightChars="-35"/>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制度与规范管理</w:t>
            </w:r>
          </w:p>
        </w:tc>
        <w:tc>
          <w:tcPr>
            <w:tcW w:w="6007" w:type="dxa"/>
            <w:vAlign w:val="center"/>
          </w:tcPr>
          <w:p w14:paraId="3FCFE61A">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根据</w:t>
            </w:r>
            <w:r>
              <w:rPr>
                <w:rFonts w:hint="eastAsia" w:ascii="宋体" w:hAnsi="宋体" w:cs="宋体"/>
                <w:color w:val="000000" w:themeColor="text1"/>
                <w:kern w:val="0"/>
                <w:sz w:val="21"/>
                <w:szCs w:val="21"/>
                <w:highlight w:val="none"/>
                <w:lang w:val="en-US" w:eastAsia="zh-CN"/>
                <w14:textFill>
                  <w14:solidFill>
                    <w14:schemeClr w14:val="tx1"/>
                  </w14:solidFill>
                </w14:textFill>
              </w:rPr>
              <w:t>遴选响应方</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提供的医疗机构医用耗材SPD运营管理制度：</w:t>
            </w:r>
          </w:p>
          <w:p w14:paraId="0EC142B2">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制度应当包括：</w:t>
            </w:r>
          </w:p>
          <w:p w14:paraId="41DFBC07">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1.采购与收货；</w:t>
            </w:r>
          </w:p>
          <w:p w14:paraId="1572EE4E">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2.制包与拣配；</w:t>
            </w:r>
          </w:p>
          <w:p w14:paraId="69A84259">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3.消耗与对账；</w:t>
            </w:r>
          </w:p>
          <w:p w14:paraId="20DDC694">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4.仓储与养护；</w:t>
            </w:r>
          </w:p>
          <w:p w14:paraId="675B7AD7">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5</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.质量管理；</w:t>
            </w:r>
          </w:p>
          <w:p w14:paraId="418A8AA8">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6.设备维护；</w:t>
            </w:r>
          </w:p>
          <w:p w14:paraId="69E0AF6D">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7.人员健康；</w:t>
            </w:r>
          </w:p>
          <w:p w14:paraId="4525C39E">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8.信息安全与保密协议。</w:t>
            </w:r>
          </w:p>
          <w:p w14:paraId="3E3B948B">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评分标准：以上每满足1项得0.5分，最高得4分。</w:t>
            </w:r>
          </w:p>
          <w:p w14:paraId="73DB1919">
            <w:pPr>
              <w:adjustRightInd w:val="0"/>
              <w:snapToGrid w:val="0"/>
              <w:spacing w:line="240" w:lineRule="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FF0000"/>
                <w:kern w:val="0"/>
                <w:sz w:val="21"/>
                <w:szCs w:val="21"/>
                <w:highlight w:val="none"/>
                <w:lang w:val="en-US" w:eastAsia="zh-CN"/>
              </w:rPr>
              <w:t>需提供制度与规范管理作为证明材料</w:t>
            </w:r>
          </w:p>
        </w:tc>
        <w:tc>
          <w:tcPr>
            <w:tcW w:w="780" w:type="dxa"/>
            <w:tcBorders>
              <w:right w:val="single" w:color="auto" w:sz="4" w:space="0"/>
            </w:tcBorders>
            <w:vAlign w:val="center"/>
          </w:tcPr>
          <w:p w14:paraId="3473FA62">
            <w:pPr>
              <w:spacing w:line="240" w:lineRule="auto"/>
              <w:ind w:left="-78" w:leftChars="-37" w:right="-73" w:rightChars="-35"/>
              <w:jc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w:t>
            </w:r>
          </w:p>
        </w:tc>
        <w:tc>
          <w:tcPr>
            <w:tcW w:w="788" w:type="dxa"/>
            <w:tcBorders>
              <w:left w:val="single" w:color="auto" w:sz="4" w:space="0"/>
            </w:tcBorders>
            <w:vAlign w:val="center"/>
          </w:tcPr>
          <w:p w14:paraId="02475D6D">
            <w:pPr>
              <w:spacing w:line="240" w:lineRule="auto"/>
              <w:ind w:left="-78" w:leftChars="-37" w:right="-73" w:rightChars="-35"/>
              <w:jc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分</w:t>
            </w:r>
          </w:p>
        </w:tc>
      </w:tr>
      <w:tr w14:paraId="7438A3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9" w:hRule="atLeast"/>
          <w:jc w:val="center"/>
        </w:trPr>
        <w:tc>
          <w:tcPr>
            <w:tcW w:w="804" w:type="dxa"/>
            <w:tcBorders>
              <w:top w:val="single" w:color="auto" w:sz="4" w:space="0"/>
              <w:bottom w:val="single" w:color="auto" w:sz="4" w:space="0"/>
            </w:tcBorders>
            <w:vAlign w:val="center"/>
          </w:tcPr>
          <w:p w14:paraId="3B32BB5C">
            <w:pPr>
              <w:pStyle w:val="85"/>
              <w:numPr>
                <w:ilvl w:val="0"/>
                <w:numId w:val="0"/>
              </w:numPr>
              <w:spacing w:line="240" w:lineRule="auto"/>
              <w:ind w:left="420" w:leftChars="0" w:hanging="42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5.</w:t>
            </w:r>
          </w:p>
        </w:tc>
        <w:tc>
          <w:tcPr>
            <w:tcW w:w="1383" w:type="dxa"/>
            <w:vAlign w:val="center"/>
          </w:tcPr>
          <w:p w14:paraId="1B3567AC">
            <w:pPr>
              <w:spacing w:line="240" w:lineRule="auto"/>
              <w:ind w:left="-78" w:leftChars="-37" w:right="-73" w:rightChars="-35"/>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软件系统主要功能模块</w:t>
            </w:r>
          </w:p>
        </w:tc>
        <w:tc>
          <w:tcPr>
            <w:tcW w:w="6007" w:type="dxa"/>
            <w:vAlign w:val="center"/>
          </w:tcPr>
          <w:p w14:paraId="61D5E6F3">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（1）支持多家供应商的B2B信息共享平台功能应当包括：</w:t>
            </w:r>
          </w:p>
          <w:p w14:paraId="7A1B9CF7">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基础资料、订单与配送管理、结算管理、发票管理、库存查询等功能。</w:t>
            </w:r>
          </w:p>
          <w:p w14:paraId="29149885">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SPD信息管理软件可管理覆盖所有高低值医用耗材和检验试剂等，功能应当包括：基础数据、作业管理（库存实时监控、主动补货、收货等）、备货计划跟踪、科室申领、库存管理、结算管理、溯源管理、跟台耗材管理等。</w:t>
            </w:r>
          </w:p>
          <w:p w14:paraId="21FB0D92">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上述功能模块完整的得4分；功能每缺一项扣0.5分，缺8项或超过8项不得分。</w:t>
            </w:r>
          </w:p>
          <w:p w14:paraId="5409C105">
            <w:pPr>
              <w:adjustRightInd w:val="0"/>
              <w:snapToGrid w:val="0"/>
              <w:spacing w:line="240" w:lineRule="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FF0000"/>
                <w:kern w:val="0"/>
                <w:sz w:val="21"/>
                <w:szCs w:val="21"/>
                <w:highlight w:val="none"/>
                <w:lang w:val="en-US" w:eastAsia="zh-CN"/>
              </w:rPr>
              <w:t>需提供软件功能截图证明</w:t>
            </w:r>
          </w:p>
        </w:tc>
        <w:tc>
          <w:tcPr>
            <w:tcW w:w="780" w:type="dxa"/>
            <w:tcBorders>
              <w:right w:val="single" w:color="auto" w:sz="4" w:space="0"/>
            </w:tcBorders>
            <w:vAlign w:val="center"/>
          </w:tcPr>
          <w:p w14:paraId="4F5F195A">
            <w:pPr>
              <w:spacing w:line="240" w:lineRule="auto"/>
              <w:ind w:left="-78" w:leftChars="-37" w:right="-73" w:rightChars="-35"/>
              <w:jc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w:t>
            </w:r>
          </w:p>
        </w:tc>
        <w:tc>
          <w:tcPr>
            <w:tcW w:w="788" w:type="dxa"/>
            <w:tcBorders>
              <w:left w:val="single" w:color="auto" w:sz="4" w:space="0"/>
            </w:tcBorders>
            <w:vAlign w:val="center"/>
          </w:tcPr>
          <w:p w14:paraId="53790E1F">
            <w:pPr>
              <w:spacing w:line="240" w:lineRule="auto"/>
              <w:ind w:left="-78" w:leftChars="-37" w:right="-73" w:rightChars="-35"/>
              <w:jc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分</w:t>
            </w:r>
          </w:p>
        </w:tc>
      </w:tr>
      <w:tr w14:paraId="72C4FF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9" w:hRule="atLeast"/>
          <w:jc w:val="center"/>
        </w:trPr>
        <w:tc>
          <w:tcPr>
            <w:tcW w:w="804" w:type="dxa"/>
            <w:tcBorders>
              <w:top w:val="single" w:color="auto" w:sz="4" w:space="0"/>
              <w:bottom w:val="single" w:color="auto" w:sz="4" w:space="0"/>
            </w:tcBorders>
            <w:vAlign w:val="center"/>
          </w:tcPr>
          <w:p w14:paraId="044DEE00">
            <w:pPr>
              <w:pStyle w:val="85"/>
              <w:numPr>
                <w:ilvl w:val="0"/>
                <w:numId w:val="0"/>
              </w:numPr>
              <w:spacing w:line="240" w:lineRule="auto"/>
              <w:ind w:leftChars="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383" w:type="dxa"/>
            <w:shd w:val="clear" w:color="auto" w:fill="auto"/>
            <w:vAlign w:val="center"/>
          </w:tcPr>
          <w:p w14:paraId="1DB7B9F7">
            <w:pPr>
              <w:spacing w:line="240" w:lineRule="auto"/>
              <w:ind w:left="-63" w:leftChars="-30" w:right="-88" w:rightChars="-42"/>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软件著作权</w:t>
            </w:r>
          </w:p>
        </w:tc>
        <w:tc>
          <w:tcPr>
            <w:tcW w:w="6007" w:type="dxa"/>
            <w:shd w:val="clear" w:color="auto" w:fill="auto"/>
            <w:vAlign w:val="center"/>
          </w:tcPr>
          <w:p w14:paraId="76B08098">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遴选响应方</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(或所属集团)具有自主研发的医疗物资供应链管理系统或符合供应链延伸管理的SPD系统，同时满足得5分，其他情况不得分。</w:t>
            </w:r>
          </w:p>
          <w:p w14:paraId="09CBC597">
            <w:pPr>
              <w:adjustRightInd w:val="0"/>
              <w:snapToGrid w:val="0"/>
              <w:spacing w:line="24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FF0000"/>
                <w:kern w:val="0"/>
                <w:sz w:val="21"/>
                <w:szCs w:val="21"/>
                <w:highlight w:val="none"/>
                <w:lang w:val="en-US" w:eastAsia="zh-CN"/>
              </w:rPr>
              <w:t>需提供软件著作权证明文件</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 xml:space="preserve"> </w:t>
            </w:r>
          </w:p>
        </w:tc>
        <w:tc>
          <w:tcPr>
            <w:tcW w:w="780" w:type="dxa"/>
            <w:tcBorders>
              <w:right w:val="single" w:color="auto" w:sz="4" w:space="0"/>
            </w:tcBorders>
            <w:shd w:val="clear" w:color="auto" w:fill="auto"/>
            <w:vAlign w:val="center"/>
          </w:tcPr>
          <w:p w14:paraId="3C2DFE41">
            <w:pPr>
              <w:spacing w:line="240" w:lineRule="auto"/>
              <w:ind w:left="-63" w:leftChars="-30" w:right="-88" w:rightChars="-42"/>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5%</w:t>
            </w:r>
          </w:p>
        </w:tc>
        <w:tc>
          <w:tcPr>
            <w:tcW w:w="788" w:type="dxa"/>
            <w:tcBorders>
              <w:left w:val="single" w:color="auto" w:sz="4" w:space="0"/>
            </w:tcBorders>
            <w:shd w:val="clear" w:color="auto" w:fill="auto"/>
            <w:vAlign w:val="center"/>
          </w:tcPr>
          <w:p w14:paraId="1F1AABE6">
            <w:pPr>
              <w:spacing w:line="240" w:lineRule="auto"/>
              <w:ind w:left="-63" w:leftChars="-30" w:right="-88" w:rightChars="-42"/>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5分</w:t>
            </w:r>
          </w:p>
        </w:tc>
      </w:tr>
      <w:tr w14:paraId="1C49FB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jc w:val="center"/>
        </w:trPr>
        <w:tc>
          <w:tcPr>
            <w:tcW w:w="804" w:type="dxa"/>
            <w:tcBorders>
              <w:top w:val="single" w:color="auto" w:sz="4" w:space="0"/>
            </w:tcBorders>
            <w:vAlign w:val="center"/>
          </w:tcPr>
          <w:p w14:paraId="282CA83F">
            <w:pPr>
              <w:spacing w:line="240" w:lineRule="auto"/>
              <w:ind w:left="-78" w:leftChars="-37" w:right="-73" w:rightChars="-35"/>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二</w:t>
            </w:r>
          </w:p>
        </w:tc>
        <w:tc>
          <w:tcPr>
            <w:tcW w:w="8958" w:type="dxa"/>
            <w:gridSpan w:val="4"/>
            <w:vAlign w:val="center"/>
          </w:tcPr>
          <w:p w14:paraId="543F526D">
            <w:pPr>
              <w:spacing w:line="240" w:lineRule="auto"/>
              <w:ind w:left="-78" w:leftChars="-37" w:right="-73" w:rightChars="-35"/>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商务部分（</w:t>
            </w:r>
            <w:r>
              <w:rPr>
                <w:rFonts w:hint="eastAsia" w:ascii="宋体" w:hAnsi="宋体" w:eastAsia="宋体" w:cs="宋体"/>
                <w:b/>
                <w:color w:val="000000" w:themeColor="text1"/>
                <w:sz w:val="21"/>
                <w:szCs w:val="21"/>
                <w:highlight w:val="none"/>
                <w:lang w:val="en-US" w:eastAsia="zh-CN"/>
                <w14:textFill>
                  <w14:solidFill>
                    <w14:schemeClr w14:val="tx1"/>
                  </w14:solidFill>
                </w14:textFill>
              </w:rPr>
              <w:t>25</w:t>
            </w:r>
            <w:r>
              <w:rPr>
                <w:rFonts w:hint="eastAsia" w:ascii="宋体" w:hAnsi="宋体" w:eastAsia="宋体" w:cs="宋体"/>
                <w:b/>
                <w:color w:val="000000" w:themeColor="text1"/>
                <w:sz w:val="21"/>
                <w:szCs w:val="21"/>
                <w:highlight w:val="none"/>
                <w14:textFill>
                  <w14:solidFill>
                    <w14:schemeClr w14:val="tx1"/>
                  </w14:solidFill>
                </w14:textFill>
              </w:rPr>
              <w:t>分）</w:t>
            </w:r>
          </w:p>
        </w:tc>
      </w:tr>
      <w:tr w14:paraId="5EDFC9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804" w:type="dxa"/>
            <w:tcBorders>
              <w:bottom w:val="single" w:color="auto" w:sz="4" w:space="0"/>
            </w:tcBorders>
            <w:vAlign w:val="center"/>
          </w:tcPr>
          <w:p w14:paraId="5D4C2B59">
            <w:pPr>
              <w:pStyle w:val="85"/>
              <w:numPr>
                <w:ilvl w:val="0"/>
                <w:numId w:val="7"/>
              </w:numPr>
              <w:spacing w:line="240" w:lineRule="auto"/>
              <w:ind w:firstLineChars="0"/>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tc>
        <w:tc>
          <w:tcPr>
            <w:tcW w:w="1383" w:type="dxa"/>
            <w:vAlign w:val="center"/>
          </w:tcPr>
          <w:p w14:paraId="4E27E86C">
            <w:pPr>
              <w:spacing w:line="240" w:lineRule="auto"/>
              <w:ind w:left="-63" w:leftChars="-30" w:right="-88" w:rightChars="-42"/>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同类业绩</w:t>
            </w:r>
          </w:p>
        </w:tc>
        <w:tc>
          <w:tcPr>
            <w:tcW w:w="6007" w:type="dxa"/>
            <w:vAlign w:val="center"/>
          </w:tcPr>
          <w:p w14:paraId="3B1F8179">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一）评分内容：</w:t>
            </w:r>
          </w:p>
          <w:p w14:paraId="0969385F">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遴选响应方</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(或所属集团)提供从2022年4月1日至本项目</w:t>
            </w:r>
            <w:r>
              <w:rPr>
                <w:rFonts w:hint="eastAsia" w:ascii="宋体" w:hAnsi="宋体" w:cs="宋体"/>
                <w:color w:val="000000" w:themeColor="text1"/>
                <w:kern w:val="0"/>
                <w:sz w:val="21"/>
                <w:szCs w:val="21"/>
                <w:highlight w:val="none"/>
                <w:lang w:val="en-US" w:eastAsia="zh-CN"/>
                <w14:textFill>
                  <w14:solidFill>
                    <w14:schemeClr w14:val="tx1"/>
                  </w14:solidFill>
                </w14:textFill>
              </w:rPr>
              <w:t>遴选响应</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截止之日（以合同签订时间为准）承担医用耗材供应链精细化管理（SPD）服务项目经验，每提供一个得1分，最高得10分。</w:t>
            </w:r>
          </w:p>
          <w:p w14:paraId="50BC93FD">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（二）评分依据：</w:t>
            </w:r>
          </w:p>
          <w:p w14:paraId="58265EFD">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要求提供合同关键信息（含签订合同双方的单位名称、合同项目名称、采购（服务）内容、签订合同双方的落款盖章、签订日期）复印件为得分依据且各项信息不得有任何遮挡；通过合同关键信息无法判断是否得分的，还须同时提供能证明得分的其它证明资料，如项目报告或合同采购人出具的证明文件等。</w:t>
            </w:r>
          </w:p>
          <w:p w14:paraId="13F0535B">
            <w:pPr>
              <w:adjustRightInd w:val="0"/>
              <w:snapToGrid w:val="0"/>
              <w:spacing w:line="24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2.以上证明文件均提供复印件或扫描件加盖</w:t>
            </w:r>
            <w:r>
              <w:rPr>
                <w:rFonts w:hint="eastAsia" w:ascii="宋体" w:hAnsi="宋体" w:cs="宋体"/>
                <w:color w:val="000000" w:themeColor="text1"/>
                <w:kern w:val="0"/>
                <w:sz w:val="21"/>
                <w:szCs w:val="21"/>
                <w:highlight w:val="none"/>
                <w:lang w:val="en-US" w:eastAsia="zh-CN"/>
                <w14:textFill>
                  <w14:solidFill>
                    <w14:schemeClr w14:val="tx1"/>
                  </w14:solidFill>
                </w14:textFill>
              </w:rPr>
              <w:t>遴选响应</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方公章，原件备查。评分中出现无证明资料或专家无法凭所提供资料判断是否得分的情况，一律作不得分处理。</w:t>
            </w:r>
          </w:p>
        </w:tc>
        <w:tc>
          <w:tcPr>
            <w:tcW w:w="780" w:type="dxa"/>
            <w:tcBorders>
              <w:right w:val="single" w:color="auto" w:sz="4" w:space="0"/>
            </w:tcBorders>
            <w:vAlign w:val="center"/>
          </w:tcPr>
          <w:p w14:paraId="316825A7">
            <w:pPr>
              <w:spacing w:line="240" w:lineRule="auto"/>
              <w:ind w:left="-63" w:leftChars="-30" w:right="-88" w:rightChars="-42"/>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w:t>
            </w:r>
          </w:p>
        </w:tc>
        <w:tc>
          <w:tcPr>
            <w:tcW w:w="788" w:type="dxa"/>
            <w:tcBorders>
              <w:left w:val="single" w:color="auto" w:sz="4" w:space="0"/>
            </w:tcBorders>
            <w:vAlign w:val="center"/>
          </w:tcPr>
          <w:p w14:paraId="03794885">
            <w:pPr>
              <w:spacing w:line="240" w:lineRule="auto"/>
              <w:ind w:left="-78" w:leftChars="-37" w:right="-73" w:rightChars="-35"/>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分</w:t>
            </w:r>
          </w:p>
        </w:tc>
      </w:tr>
      <w:tr w14:paraId="597B6B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804" w:type="dxa"/>
            <w:tcBorders>
              <w:bottom w:val="single" w:color="auto" w:sz="4" w:space="0"/>
            </w:tcBorders>
            <w:vAlign w:val="center"/>
          </w:tcPr>
          <w:p w14:paraId="04DF09DE">
            <w:pPr>
              <w:pStyle w:val="85"/>
              <w:numPr>
                <w:ilvl w:val="0"/>
                <w:numId w:val="7"/>
              </w:numPr>
              <w:spacing w:line="240" w:lineRule="auto"/>
              <w:ind w:firstLineChars="0"/>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tc>
        <w:tc>
          <w:tcPr>
            <w:tcW w:w="1383" w:type="dxa"/>
            <w:vAlign w:val="center"/>
          </w:tcPr>
          <w:p w14:paraId="6A2D052F">
            <w:pPr>
              <w:spacing w:line="240" w:lineRule="auto"/>
              <w:ind w:left="-63" w:leftChars="-30" w:right="-88" w:rightChars="-42"/>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履约评价</w:t>
            </w:r>
          </w:p>
        </w:tc>
        <w:tc>
          <w:tcPr>
            <w:tcW w:w="6007" w:type="dxa"/>
            <w:vAlign w:val="center"/>
          </w:tcPr>
          <w:p w14:paraId="439360FC">
            <w:pPr>
              <w:spacing w:line="240" w:lineRule="auto"/>
              <w:ind w:left="-63" w:leftChars="-30" w:right="-88" w:rightChars="-42"/>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（一）评分内容：</w:t>
            </w:r>
          </w:p>
          <w:p w14:paraId="00AE801C">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遴选响应方</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或所属集团)在上述“同类项目业绩”评审项中参加评审并被认定有效的业绩（且获得评分），能够提供用户出具的履约评价书，且评价为优或者合格的或履约评价最高等级的，每份评价书得1分，本项累计最高最高得10分。</w:t>
            </w:r>
          </w:p>
          <w:p w14:paraId="47D8FFD5">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其他情况或不提供或者不能有效证明的，得0分。</w:t>
            </w:r>
          </w:p>
          <w:p w14:paraId="3A5F1B9B">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（二）评分依据：</w:t>
            </w:r>
          </w:p>
          <w:p w14:paraId="543D2623">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1.须提供用户出具的履约评价书复印件或扫描件（评价书需有甲方公章或业务章）。</w:t>
            </w:r>
          </w:p>
          <w:p w14:paraId="6A0C42E7">
            <w:pPr>
              <w:adjustRightInd w:val="0"/>
              <w:snapToGrid w:val="0"/>
              <w:spacing w:line="24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以上证明文件均提供复印件或扫描件加盖</w:t>
            </w:r>
            <w:r>
              <w:rPr>
                <w:rFonts w:hint="eastAsia" w:ascii="宋体" w:hAnsi="宋体" w:cs="宋体"/>
                <w:color w:val="000000" w:themeColor="text1"/>
                <w:kern w:val="0"/>
                <w:sz w:val="21"/>
                <w:szCs w:val="21"/>
                <w:highlight w:val="none"/>
                <w:lang w:val="en-US" w:eastAsia="zh-CN"/>
                <w14:textFill>
                  <w14:solidFill>
                    <w14:schemeClr w14:val="tx1"/>
                  </w14:solidFill>
                </w14:textFill>
              </w:rPr>
              <w:t>遴选响应</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方公章，原件备查。评分中出现无证明资料或专家无法凭所提供资料判断是否得分的情况，一律作不得分处理。</w:t>
            </w:r>
          </w:p>
        </w:tc>
        <w:tc>
          <w:tcPr>
            <w:tcW w:w="780" w:type="dxa"/>
            <w:tcBorders>
              <w:right w:val="single" w:color="auto" w:sz="4" w:space="0"/>
            </w:tcBorders>
            <w:vAlign w:val="center"/>
          </w:tcPr>
          <w:p w14:paraId="53D24EEB">
            <w:pPr>
              <w:spacing w:line="240" w:lineRule="auto"/>
              <w:ind w:left="-63" w:leftChars="-30" w:right="-88" w:rightChars="-42"/>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10%</w:t>
            </w:r>
          </w:p>
        </w:tc>
        <w:tc>
          <w:tcPr>
            <w:tcW w:w="788" w:type="dxa"/>
            <w:tcBorders>
              <w:left w:val="single" w:color="auto" w:sz="4" w:space="0"/>
            </w:tcBorders>
            <w:vAlign w:val="center"/>
          </w:tcPr>
          <w:p w14:paraId="108CD842">
            <w:pPr>
              <w:spacing w:line="240" w:lineRule="auto"/>
              <w:ind w:left="-63" w:leftChars="-30" w:right="-88" w:rightChars="-42"/>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10分</w:t>
            </w:r>
          </w:p>
        </w:tc>
      </w:tr>
      <w:tr w14:paraId="5FE4AA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804" w:type="dxa"/>
            <w:tcBorders>
              <w:bottom w:val="single" w:color="auto" w:sz="4" w:space="0"/>
            </w:tcBorders>
            <w:vAlign w:val="center"/>
          </w:tcPr>
          <w:p w14:paraId="65ADC8DB">
            <w:pPr>
              <w:pStyle w:val="85"/>
              <w:numPr>
                <w:ilvl w:val="0"/>
                <w:numId w:val="7"/>
              </w:numPr>
              <w:spacing w:line="240" w:lineRule="auto"/>
              <w:ind w:firstLineChars="0"/>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tc>
        <w:tc>
          <w:tcPr>
            <w:tcW w:w="1383" w:type="dxa"/>
            <w:vAlign w:val="center"/>
          </w:tcPr>
          <w:p w14:paraId="7537F2BC">
            <w:pPr>
              <w:spacing w:line="240" w:lineRule="auto"/>
              <w:ind w:left="-63" w:leftChars="-30" w:right="-88" w:rightChars="-42"/>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诚信</w:t>
            </w:r>
          </w:p>
        </w:tc>
        <w:tc>
          <w:tcPr>
            <w:tcW w:w="6007" w:type="dxa"/>
            <w:vAlign w:val="center"/>
          </w:tcPr>
          <w:p w14:paraId="1A3012FF">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（一）评分内容</w:t>
            </w:r>
          </w:p>
          <w:p w14:paraId="0495899C">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遴选响应方</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存在《深圳市财政局政府采购供应商信用信息管理办法》（深财规〔2023〕3号）列明的一般行政处罚信息、一般违法失信记录信息的，本项不得分，不存在上述情形的本项得5分。</w:t>
            </w:r>
            <w:r>
              <w:rPr>
                <w:rFonts w:hint="eastAsia" w:ascii="宋体" w:hAnsi="宋体" w:cs="宋体"/>
                <w:color w:val="000000" w:themeColor="text1"/>
                <w:kern w:val="0"/>
                <w:sz w:val="21"/>
                <w:szCs w:val="21"/>
                <w:highlight w:val="none"/>
                <w:lang w:val="en-US" w:eastAsia="zh-CN"/>
                <w14:textFill>
                  <w14:solidFill>
                    <w14:schemeClr w14:val="tx1"/>
                  </w14:solidFill>
                </w14:textFill>
              </w:rPr>
              <w:t>遴选响应</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方无需提供任何证明材料，</w:t>
            </w:r>
            <w:r>
              <w:rPr>
                <w:rFonts w:hint="eastAsia" w:ascii="宋体" w:hAnsi="宋体" w:cs="宋体"/>
                <w:color w:val="000000" w:themeColor="text1"/>
                <w:kern w:val="0"/>
                <w:sz w:val="21"/>
                <w:szCs w:val="21"/>
                <w:highlight w:val="none"/>
                <w:lang w:val="en-US" w:eastAsia="zh-CN"/>
                <w14:textFill>
                  <w14:solidFill>
                    <w14:schemeClr w14:val="tx1"/>
                  </w14:solidFill>
                </w14:textFill>
              </w:rPr>
              <w:t>评审</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过程中由工作人员向评审委员会提供供应商诚信查询结果。</w:t>
            </w:r>
          </w:p>
          <w:p w14:paraId="1BBC3ACD">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（二）评分依据</w:t>
            </w:r>
          </w:p>
          <w:p w14:paraId="500B46DB">
            <w:pPr>
              <w:adjustRightInd w:val="0"/>
              <w:snapToGrid w:val="0"/>
              <w:spacing w:line="24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查询渠道：通过“信用中国”（www.creditchina.gov.cn）、“中国政府采购网”（www.ccgp.gov.cn）、“深圳市政府采购监管网”（http://zfcg.sz.gov.cn）以及财政主管部门认定的其他渠道查询供应商信用信息，信用信息以</w:t>
            </w:r>
            <w:r>
              <w:rPr>
                <w:rFonts w:hint="eastAsia" w:ascii="宋体" w:hAnsi="宋体" w:cs="宋体"/>
                <w:color w:val="000000" w:themeColor="text1"/>
                <w:kern w:val="0"/>
                <w:sz w:val="21"/>
                <w:szCs w:val="21"/>
                <w:highlight w:val="none"/>
                <w:lang w:val="en-US" w:eastAsia="zh-CN"/>
                <w14:textFill>
                  <w14:solidFill>
                    <w14:schemeClr w14:val="tx1"/>
                  </w14:solidFill>
                </w14:textFill>
              </w:rPr>
              <w:t>遴选</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当日的查询结果为准。</w:t>
            </w:r>
          </w:p>
        </w:tc>
        <w:tc>
          <w:tcPr>
            <w:tcW w:w="780" w:type="dxa"/>
            <w:tcBorders>
              <w:right w:val="single" w:color="auto" w:sz="4" w:space="0"/>
            </w:tcBorders>
            <w:vAlign w:val="center"/>
          </w:tcPr>
          <w:p w14:paraId="4E53CCB1">
            <w:pPr>
              <w:spacing w:line="240" w:lineRule="auto"/>
              <w:ind w:left="-63" w:leftChars="-30" w:right="-88" w:rightChars="-42"/>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5%</w:t>
            </w:r>
          </w:p>
        </w:tc>
        <w:tc>
          <w:tcPr>
            <w:tcW w:w="788" w:type="dxa"/>
            <w:tcBorders>
              <w:left w:val="single" w:color="auto" w:sz="4" w:space="0"/>
            </w:tcBorders>
            <w:vAlign w:val="center"/>
          </w:tcPr>
          <w:p w14:paraId="7D7A0B73">
            <w:pPr>
              <w:spacing w:line="240" w:lineRule="auto"/>
              <w:ind w:left="-63" w:leftChars="-30" w:right="-88" w:rightChars="-42"/>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5分</w:t>
            </w:r>
          </w:p>
        </w:tc>
      </w:tr>
      <w:tr w14:paraId="0F4D72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jc w:val="center"/>
        </w:trPr>
        <w:tc>
          <w:tcPr>
            <w:tcW w:w="8194" w:type="dxa"/>
            <w:gridSpan w:val="3"/>
            <w:vAlign w:val="center"/>
          </w:tcPr>
          <w:p w14:paraId="02E7FEF3">
            <w:pPr>
              <w:spacing w:line="240" w:lineRule="auto"/>
              <w:ind w:left="-78" w:leftChars="-37" w:right="-73" w:rightChars="-35"/>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合计</w:t>
            </w:r>
          </w:p>
        </w:tc>
        <w:tc>
          <w:tcPr>
            <w:tcW w:w="780" w:type="dxa"/>
            <w:tcBorders>
              <w:right w:val="single" w:color="auto" w:sz="4" w:space="0"/>
            </w:tcBorders>
            <w:vAlign w:val="center"/>
          </w:tcPr>
          <w:p w14:paraId="192C65EE">
            <w:pPr>
              <w:spacing w:line="240" w:lineRule="auto"/>
              <w:ind w:left="-78" w:leftChars="-37" w:right="-73" w:rightChars="-35"/>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788" w:type="dxa"/>
            <w:tcBorders>
              <w:left w:val="single" w:color="auto" w:sz="4" w:space="0"/>
            </w:tcBorders>
            <w:vAlign w:val="center"/>
          </w:tcPr>
          <w:p w14:paraId="574F1109">
            <w:pPr>
              <w:spacing w:line="240" w:lineRule="auto"/>
              <w:ind w:left="-78" w:leftChars="-37" w:right="-73" w:rightChars="-35"/>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r>
    </w:tbl>
    <w:p w14:paraId="23804496"/>
    <w:p w14:paraId="2FD2E7B5">
      <w:pPr>
        <w:snapToGrid w:val="0"/>
        <w:spacing w:line="360" w:lineRule="auto"/>
        <w:rPr>
          <w:rFonts w:ascii="宋体" w:cs="宋体"/>
          <w:snapToGrid w:val="0"/>
          <w:kern w:val="0"/>
        </w:rPr>
      </w:pPr>
      <w:r>
        <w:rPr>
          <w:rFonts w:hint="eastAsia" w:ascii="宋体" w:cs="宋体"/>
          <w:snapToGrid w:val="0"/>
          <w:kern w:val="0"/>
        </w:rPr>
        <w:t>备注：</w:t>
      </w:r>
    </w:p>
    <w:p w14:paraId="67F84500">
      <w:pPr>
        <w:numPr>
          <w:ilvl w:val="0"/>
          <w:numId w:val="8"/>
        </w:numPr>
        <w:snapToGrid w:val="0"/>
        <w:spacing w:line="360" w:lineRule="auto"/>
        <w:ind w:left="420" w:leftChars="0" w:hanging="240" w:firstLineChars="0"/>
        <w:rPr>
          <w:rFonts w:ascii="黑体" w:hAnsi="宋体" w:eastAsia="黑体" w:cs="宋体"/>
          <w:sz w:val="28"/>
          <w:szCs w:val="28"/>
        </w:rPr>
      </w:pPr>
      <w:r>
        <w:rPr>
          <w:rFonts w:hint="eastAsia" w:ascii="宋体" w:hAnsi="宋体"/>
          <w:bCs/>
          <w:lang w:val="en-US" w:eastAsia="zh-CN"/>
        </w:rPr>
        <w:t>遴选文件中</w:t>
      </w:r>
      <w:r>
        <w:rPr>
          <w:rFonts w:hint="eastAsia" w:ascii="宋体" w:hAnsi="宋体"/>
          <w:bCs/>
        </w:rPr>
        <w:t>要求提交的与评价指标体系相关的各类有效资料，</w:t>
      </w:r>
      <w:r>
        <w:rPr>
          <w:rFonts w:hint="eastAsia" w:ascii="宋体" w:hAnsi="宋体"/>
          <w:bCs/>
          <w:lang w:val="en-US" w:eastAsia="zh-CN"/>
        </w:rPr>
        <w:t>遴选响应方</w:t>
      </w:r>
      <w:r>
        <w:rPr>
          <w:rFonts w:hint="eastAsia" w:ascii="宋体" w:hAnsi="宋体"/>
          <w:bCs/>
        </w:rPr>
        <w:t>如未按要求提交的，该项评分为零分。</w:t>
      </w:r>
      <w:bookmarkEnd w:id="26"/>
      <w:bookmarkStart w:id="35" w:name="_Toc435514848"/>
      <w:r>
        <w:rPr>
          <w:rFonts w:ascii="黑体" w:hAnsi="宋体" w:eastAsia="黑体" w:cs="宋体"/>
          <w:sz w:val="28"/>
          <w:szCs w:val="28"/>
        </w:rPr>
        <w:br w:type="page"/>
      </w:r>
    </w:p>
    <w:bookmarkEnd w:id="35"/>
    <w:p w14:paraId="7543A2D3">
      <w:pPr>
        <w:pStyle w:val="3"/>
        <w:numPr>
          <w:ilvl w:val="0"/>
          <w:numId w:val="4"/>
        </w:numPr>
        <w:spacing w:line="240" w:lineRule="auto"/>
        <w:jc w:val="center"/>
        <w:rPr>
          <w:rFonts w:asciiTheme="majorEastAsia" w:hAnsiTheme="majorEastAsia" w:eastAsiaTheme="majorEastAsia"/>
          <w:sz w:val="30"/>
          <w:szCs w:val="30"/>
        </w:rPr>
      </w:pPr>
      <w:bookmarkStart w:id="36" w:name="_Toc26118"/>
      <w:r>
        <w:rPr>
          <w:rFonts w:hint="eastAsia" w:asciiTheme="majorEastAsia" w:hAnsiTheme="majorEastAsia" w:eastAsiaTheme="majorEastAsia"/>
          <w:sz w:val="30"/>
          <w:szCs w:val="30"/>
          <w:lang w:val="en-US" w:eastAsia="zh-CN"/>
        </w:rPr>
        <w:t>遴选与评审</w:t>
      </w:r>
      <w:bookmarkEnd w:id="36"/>
    </w:p>
    <w:p w14:paraId="2F026D78">
      <w:pP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w:t>
      </w:r>
      <w:r>
        <w:rPr>
          <w:rFonts w:hint="eastAsia" w:ascii="宋体" w:hAnsi="宋体" w:cs="宋体"/>
          <w:kern w:val="2"/>
          <w:sz w:val="21"/>
          <w:szCs w:val="21"/>
          <w:lang w:val="en-US" w:eastAsia="zh-CN" w:bidi="ar-SA"/>
        </w:rPr>
        <w:t>遴选</w:t>
      </w:r>
    </w:p>
    <w:p w14:paraId="0369ECD0">
      <w:pPr>
        <w:pStyle w:val="85"/>
        <w:widowControl/>
        <w:numPr>
          <w:ilvl w:val="1"/>
          <w:numId w:val="0"/>
        </w:numPr>
        <w:spacing w:line="360" w:lineRule="auto"/>
        <w:ind w:left="567" w:leftChars="0" w:hanging="567" w:firstLineChars="0"/>
        <w:jc w:val="left"/>
        <w:rPr>
          <w:rFonts w:hAnsi="宋体"/>
          <w:color w:val="auto"/>
        </w:rPr>
      </w:pPr>
      <w:r>
        <w:rPr>
          <w:rFonts w:hint="default" w:ascii="宋体" w:hAnsi="宋体" w:cs="宋体"/>
          <w:szCs w:val="21"/>
          <w:lang w:val="en-US" w:eastAsia="zh-CN"/>
        </w:rPr>
        <w:t>1.1.</w:t>
      </w:r>
      <w:r>
        <w:rPr>
          <w:rFonts w:hint="eastAsia" w:ascii="宋体" w:hAnsi="宋体" w:cs="宋体"/>
          <w:szCs w:val="21"/>
          <w:lang w:val="en-US" w:eastAsia="zh-CN"/>
        </w:rPr>
        <w:t xml:space="preserve"> 应在</w:t>
      </w:r>
      <w:r>
        <w:rPr>
          <w:rFonts w:hint="eastAsia" w:ascii="宋体" w:hAnsi="宋体" w:cs="宋体"/>
          <w:szCs w:val="21"/>
        </w:rPr>
        <w:t>规</w:t>
      </w:r>
      <w:r>
        <w:rPr>
          <w:rFonts w:hint="eastAsia" w:ascii="宋体" w:hAnsi="宋体" w:cs="宋体"/>
          <w:color w:val="auto"/>
          <w:szCs w:val="21"/>
        </w:rPr>
        <w:t>定</w:t>
      </w:r>
      <w:r>
        <w:rPr>
          <w:rFonts w:hint="eastAsia" w:ascii="宋体" w:hAnsi="宋体" w:cs="宋体"/>
          <w:szCs w:val="21"/>
        </w:rPr>
        <w:t>的日期、时间和地点组织公开</w:t>
      </w:r>
      <w:r>
        <w:rPr>
          <w:rFonts w:hint="eastAsia" w:ascii="宋体" w:hAnsi="宋体" w:cs="宋体"/>
          <w:szCs w:val="21"/>
          <w:lang w:val="en-US" w:eastAsia="zh-CN"/>
        </w:rPr>
        <w:t>遴选</w:t>
      </w:r>
      <w:r>
        <w:rPr>
          <w:rFonts w:hint="eastAsia" w:ascii="宋体" w:hAnsi="宋体" w:cs="宋体"/>
          <w:szCs w:val="21"/>
        </w:rPr>
        <w:t>。</w:t>
      </w:r>
      <w:r>
        <w:rPr>
          <w:rFonts w:hint="eastAsia" w:ascii="宋体" w:hAnsi="宋体" w:cs="宋体"/>
          <w:szCs w:val="21"/>
          <w:lang w:val="en-US" w:eastAsia="zh-CN"/>
        </w:rPr>
        <w:t>遴选现场</w:t>
      </w:r>
      <w:r>
        <w:rPr>
          <w:rFonts w:hint="eastAsia" w:ascii="宋体" w:hAnsi="宋体" w:cs="宋体"/>
          <w:szCs w:val="21"/>
        </w:rPr>
        <w:t>邀请所有</w:t>
      </w:r>
      <w:r>
        <w:rPr>
          <w:rFonts w:hint="eastAsia" w:ascii="宋体" w:hAnsi="宋体" w:cs="宋体"/>
          <w:szCs w:val="21"/>
          <w:lang w:val="en-US" w:eastAsia="zh-CN"/>
        </w:rPr>
        <w:t>遴选响应方</w:t>
      </w:r>
      <w:r>
        <w:rPr>
          <w:rFonts w:hint="eastAsia" w:ascii="宋体" w:hAnsi="宋体" w:cs="宋体"/>
          <w:szCs w:val="21"/>
        </w:rPr>
        <w:t>代表</w:t>
      </w:r>
      <w:r>
        <w:rPr>
          <w:rFonts w:hint="eastAsia" w:ascii="宋体" w:hAnsi="宋体" w:cs="宋体"/>
          <w:color w:val="auto"/>
          <w:szCs w:val="21"/>
        </w:rPr>
        <w:t>参加。参加</w:t>
      </w:r>
      <w:r>
        <w:rPr>
          <w:rFonts w:hint="eastAsia" w:ascii="宋体" w:hAnsi="宋体" w:cs="宋体"/>
          <w:color w:val="auto"/>
          <w:szCs w:val="21"/>
          <w:lang w:val="en-US" w:eastAsia="zh-CN"/>
        </w:rPr>
        <w:t>遴选</w:t>
      </w:r>
      <w:r>
        <w:rPr>
          <w:rFonts w:hint="eastAsia" w:ascii="宋体" w:hAnsi="宋体" w:cs="宋体"/>
          <w:color w:val="auto"/>
          <w:szCs w:val="21"/>
        </w:rPr>
        <w:t>的代表应签名报到以证明其出席。</w:t>
      </w:r>
    </w:p>
    <w:p w14:paraId="3FE2B93C">
      <w:pPr>
        <w:pStyle w:val="85"/>
        <w:widowControl/>
        <w:numPr>
          <w:ilvl w:val="1"/>
          <w:numId w:val="0"/>
        </w:numPr>
        <w:spacing w:line="360" w:lineRule="auto"/>
        <w:ind w:left="567" w:leftChars="0" w:hanging="567" w:firstLineChars="0"/>
        <w:jc w:val="left"/>
        <w:rPr>
          <w:rFonts w:ascii="宋体" w:hAnsi="宋体" w:cs="宋体"/>
          <w:szCs w:val="21"/>
        </w:rPr>
      </w:pPr>
      <w:r>
        <w:rPr>
          <w:rFonts w:ascii="宋体" w:hAnsi="宋体" w:eastAsia="宋体" w:cs="宋体"/>
          <w:b w:val="0"/>
          <w:kern w:val="2"/>
          <w:sz w:val="21"/>
          <w:szCs w:val="21"/>
          <w:lang w:val="en-US" w:eastAsia="zh-CN" w:bidi="ar-SA"/>
        </w:rPr>
        <w:t>1.2.</w:t>
      </w:r>
      <w:r>
        <w:rPr>
          <w:rFonts w:hint="eastAsia" w:ascii="宋体" w:hAnsi="宋体" w:cs="宋体"/>
          <w:b w:val="0"/>
          <w:kern w:val="2"/>
          <w:sz w:val="21"/>
          <w:szCs w:val="21"/>
          <w:lang w:val="en-US" w:eastAsia="zh-CN" w:bidi="ar-SA"/>
        </w:rPr>
        <w:t xml:space="preserve"> 遴选</w:t>
      </w:r>
      <w:r>
        <w:rPr>
          <w:rFonts w:hint="eastAsia" w:ascii="宋体" w:hAnsi="宋体" w:cs="宋体"/>
          <w:szCs w:val="21"/>
        </w:rPr>
        <w:t>时，由</w:t>
      </w:r>
      <w:r>
        <w:rPr>
          <w:rFonts w:hint="eastAsia" w:ascii="宋体" w:hAnsi="宋体" w:cs="宋体"/>
          <w:szCs w:val="21"/>
          <w:lang w:val="en-US" w:eastAsia="zh-CN"/>
        </w:rPr>
        <w:t>采购人党委办公室工作人员</w:t>
      </w:r>
      <w:r>
        <w:rPr>
          <w:rFonts w:hint="eastAsia" w:ascii="宋体" w:hAnsi="宋体" w:cs="宋体"/>
          <w:szCs w:val="21"/>
        </w:rPr>
        <w:t>检查</w:t>
      </w:r>
      <w:r>
        <w:rPr>
          <w:rFonts w:hint="eastAsia" w:ascii="宋体" w:hAnsi="宋体" w:cs="宋体"/>
          <w:szCs w:val="21"/>
          <w:lang w:eastAsia="zh-CN"/>
        </w:rPr>
        <w:t>遴选响应文件</w:t>
      </w:r>
      <w:r>
        <w:rPr>
          <w:rFonts w:hint="eastAsia" w:ascii="宋体" w:hAnsi="宋体" w:cs="宋体"/>
          <w:szCs w:val="21"/>
        </w:rPr>
        <w:t>的密封情况；经确认无误后，由采购人工作人员当众拆封，宣布</w:t>
      </w:r>
      <w:r>
        <w:rPr>
          <w:rFonts w:hint="eastAsia" w:ascii="宋体" w:hAnsi="宋体" w:cs="宋体"/>
          <w:szCs w:val="21"/>
          <w:lang w:val="en-US" w:eastAsia="zh-CN"/>
        </w:rPr>
        <w:t>遴选响应方</w:t>
      </w:r>
      <w:r>
        <w:rPr>
          <w:rFonts w:hint="eastAsia" w:ascii="宋体" w:hAnsi="宋体" w:cs="宋体"/>
          <w:szCs w:val="21"/>
        </w:rPr>
        <w:t>名称、</w:t>
      </w:r>
      <w:r>
        <w:rPr>
          <w:rFonts w:hint="eastAsia" w:ascii="宋体" w:hAnsi="宋体" w:cs="宋体"/>
          <w:kern w:val="0"/>
          <w:szCs w:val="21"/>
        </w:rPr>
        <w:t>平台建设管理服务费用</w:t>
      </w:r>
      <w:r>
        <w:rPr>
          <w:rFonts w:hint="eastAsia" w:ascii="宋体" w:hAnsi="宋体" w:cs="宋体"/>
          <w:szCs w:val="21"/>
        </w:rPr>
        <w:t>和</w:t>
      </w:r>
      <w:r>
        <w:rPr>
          <w:rFonts w:hint="eastAsia" w:ascii="宋体" w:hAnsi="宋体" w:cs="宋体"/>
          <w:szCs w:val="21"/>
          <w:lang w:val="en-US" w:eastAsia="zh-CN"/>
        </w:rPr>
        <w:t>遴选文件</w:t>
      </w:r>
      <w:r>
        <w:rPr>
          <w:rFonts w:hint="eastAsia" w:ascii="宋体" w:hAnsi="宋体" w:cs="宋体"/>
          <w:szCs w:val="21"/>
        </w:rPr>
        <w:t>规定的需要宣布的其他内容。</w:t>
      </w:r>
    </w:p>
    <w:p w14:paraId="1D2020F4">
      <w:pPr>
        <w:pStyle w:val="85"/>
        <w:widowControl/>
        <w:numPr>
          <w:ilvl w:val="1"/>
          <w:numId w:val="0"/>
        </w:numPr>
        <w:spacing w:line="360" w:lineRule="auto"/>
        <w:ind w:left="567" w:leftChars="0" w:hanging="567" w:firstLineChars="0"/>
        <w:jc w:val="left"/>
        <w:rPr>
          <w:rFonts w:ascii="宋体" w:hAnsi="宋体" w:cs="宋体"/>
          <w:szCs w:val="21"/>
        </w:rPr>
      </w:pPr>
      <w:r>
        <w:rPr>
          <w:rFonts w:ascii="宋体" w:hAnsi="宋体" w:eastAsia="宋体" w:cs="宋体"/>
          <w:b w:val="0"/>
          <w:kern w:val="2"/>
          <w:sz w:val="21"/>
          <w:szCs w:val="21"/>
          <w:lang w:val="en-US" w:eastAsia="zh-CN" w:bidi="ar-SA"/>
        </w:rPr>
        <w:t>1.3.</w:t>
      </w:r>
      <w:r>
        <w:rPr>
          <w:rFonts w:hint="eastAsia" w:ascii="宋体" w:hAnsi="宋体" w:cs="宋体"/>
          <w:szCs w:val="21"/>
          <w:lang w:val="en-US" w:eastAsia="zh-CN"/>
        </w:rPr>
        <w:t xml:space="preserve"> 遴选</w:t>
      </w:r>
      <w:r>
        <w:rPr>
          <w:rFonts w:hint="eastAsia" w:ascii="宋体" w:hAnsi="宋体" w:cs="宋体"/>
          <w:szCs w:val="21"/>
        </w:rPr>
        <w:t>过程应当由采购人相关工作人员负责记录，由参加</w:t>
      </w:r>
      <w:r>
        <w:rPr>
          <w:rFonts w:hint="eastAsia" w:ascii="宋体" w:hAnsi="宋体" w:cs="宋体"/>
          <w:szCs w:val="21"/>
          <w:lang w:val="en-US" w:eastAsia="zh-CN"/>
        </w:rPr>
        <w:t>遴选</w:t>
      </w:r>
      <w:r>
        <w:rPr>
          <w:rFonts w:hint="eastAsia" w:ascii="宋体" w:hAnsi="宋体" w:cs="宋体"/>
          <w:szCs w:val="21"/>
        </w:rPr>
        <w:t>的各</w:t>
      </w:r>
      <w:r>
        <w:rPr>
          <w:rFonts w:hint="eastAsia" w:ascii="宋体" w:hAnsi="宋体" w:cs="宋体"/>
          <w:szCs w:val="21"/>
          <w:lang w:val="en-US" w:eastAsia="zh-CN"/>
        </w:rPr>
        <w:t>遴选响应方</w:t>
      </w:r>
      <w:r>
        <w:rPr>
          <w:rFonts w:hint="eastAsia" w:ascii="宋体" w:hAnsi="宋体" w:cs="宋体"/>
          <w:szCs w:val="21"/>
        </w:rPr>
        <w:t>代表和相关工作人员签字确认。</w:t>
      </w:r>
    </w:p>
    <w:p w14:paraId="7AC09916">
      <w:pPr>
        <w:pStyle w:val="85"/>
        <w:widowControl/>
        <w:numPr>
          <w:ilvl w:val="1"/>
          <w:numId w:val="0"/>
        </w:numPr>
        <w:spacing w:line="360" w:lineRule="auto"/>
        <w:ind w:left="567" w:leftChars="0" w:hanging="567" w:firstLineChars="0"/>
        <w:jc w:val="left"/>
        <w:rPr>
          <w:rFonts w:hint="eastAsia" w:ascii="宋体" w:hAnsi="宋体" w:cs="宋体"/>
          <w:szCs w:val="21"/>
        </w:rPr>
      </w:pPr>
      <w:r>
        <w:rPr>
          <w:rFonts w:ascii="宋体" w:hAnsi="宋体" w:eastAsia="宋体" w:cs="宋体"/>
          <w:b w:val="0"/>
          <w:kern w:val="2"/>
          <w:sz w:val="21"/>
          <w:szCs w:val="21"/>
          <w:lang w:val="en-US" w:eastAsia="zh-CN" w:bidi="ar-SA"/>
        </w:rPr>
        <w:t>1.4.</w:t>
      </w:r>
      <w:r>
        <w:rPr>
          <w:rFonts w:hint="eastAsia" w:ascii="宋体" w:hAnsi="宋体" w:cs="宋体"/>
          <w:b w:val="0"/>
          <w:kern w:val="2"/>
          <w:sz w:val="21"/>
          <w:szCs w:val="21"/>
          <w:lang w:val="en-US" w:eastAsia="zh-CN" w:bidi="ar-SA"/>
        </w:rPr>
        <w:t xml:space="preserve"> </w:t>
      </w:r>
      <w:r>
        <w:rPr>
          <w:rFonts w:hint="eastAsia" w:ascii="宋体" w:hAnsi="宋体" w:cs="宋体"/>
          <w:szCs w:val="21"/>
          <w:lang w:val="en-US" w:eastAsia="zh-CN"/>
        </w:rPr>
        <w:t>遴选响应方</w:t>
      </w:r>
      <w:r>
        <w:rPr>
          <w:rFonts w:hint="eastAsia" w:ascii="宋体" w:hAnsi="宋体" w:cs="宋体"/>
          <w:szCs w:val="21"/>
        </w:rPr>
        <w:t>代表对</w:t>
      </w:r>
      <w:r>
        <w:rPr>
          <w:rFonts w:hint="eastAsia" w:ascii="宋体" w:hAnsi="宋体" w:cs="宋体"/>
          <w:szCs w:val="21"/>
          <w:lang w:val="en-US" w:eastAsia="zh-CN"/>
        </w:rPr>
        <w:t>遴选</w:t>
      </w:r>
      <w:r>
        <w:rPr>
          <w:rFonts w:hint="eastAsia" w:ascii="宋体" w:hAnsi="宋体" w:cs="宋体"/>
          <w:szCs w:val="21"/>
        </w:rPr>
        <w:t>过程和记录有疑义，以及认为采购人相关工作人员有需要回避的情形的，应当场提出询问或者回避申请。采购人对</w:t>
      </w:r>
      <w:r>
        <w:rPr>
          <w:rFonts w:hint="eastAsia" w:ascii="宋体" w:hAnsi="宋体" w:cs="宋体"/>
          <w:szCs w:val="21"/>
          <w:lang w:val="en-US" w:eastAsia="zh-CN"/>
        </w:rPr>
        <w:t>遴选响应方</w:t>
      </w:r>
      <w:r>
        <w:rPr>
          <w:rFonts w:hint="eastAsia" w:ascii="宋体" w:hAnsi="宋体" w:cs="宋体"/>
          <w:szCs w:val="21"/>
        </w:rPr>
        <w:t>代表提出的询问或者回避申请应当及时处理。</w:t>
      </w:r>
    </w:p>
    <w:p w14:paraId="2599E174">
      <w:pPr>
        <w:pStyle w:val="85"/>
        <w:widowControl/>
        <w:numPr>
          <w:ilvl w:val="0"/>
          <w:numId w:val="0"/>
        </w:numPr>
        <w:spacing w:line="360" w:lineRule="auto"/>
        <w:ind w:leftChars="0"/>
        <w:jc w:val="left"/>
        <w:rPr>
          <w:rFonts w:hint="eastAsia" w:ascii="宋体" w:hAnsi="宋体" w:eastAsia="宋体" w:cs="宋体"/>
          <w:szCs w:val="21"/>
          <w:lang w:val="en-US" w:eastAsia="zh-CN"/>
        </w:rPr>
      </w:pPr>
      <w:r>
        <w:rPr>
          <w:rFonts w:hint="eastAsia" w:ascii="宋体" w:hAnsi="宋体" w:cs="宋体"/>
          <w:szCs w:val="21"/>
          <w:lang w:val="en-US" w:eastAsia="zh-CN"/>
        </w:rPr>
        <w:t>二：</w:t>
      </w:r>
      <w:r>
        <w:rPr>
          <w:rFonts w:hint="eastAsia" w:hAnsi="宋体"/>
          <w:lang w:eastAsia="zh-CN"/>
        </w:rPr>
        <w:t>评审</w:t>
      </w:r>
      <w:r>
        <w:rPr>
          <w:rFonts w:hint="eastAsia" w:hAnsi="宋体"/>
        </w:rPr>
        <w:t>委员会的组成</w:t>
      </w:r>
    </w:p>
    <w:p w14:paraId="3509FA96">
      <w:pPr>
        <w:pStyle w:val="85"/>
        <w:widowControl/>
        <w:numPr>
          <w:ilvl w:val="1"/>
          <w:numId w:val="0"/>
        </w:numPr>
        <w:spacing w:line="360" w:lineRule="auto"/>
        <w:ind w:left="567" w:leftChars="0" w:hanging="567" w:firstLineChars="0"/>
        <w:jc w:val="left"/>
        <w:outlineLvl w:val="9"/>
        <w:rPr>
          <w:rFonts w:ascii="宋体" w:hAnsi="宋体" w:cs="宋体"/>
          <w:szCs w:val="21"/>
        </w:rPr>
      </w:pPr>
      <w:r>
        <w:rPr>
          <w:rFonts w:ascii="宋体" w:hAnsi="宋体" w:eastAsia="宋体" w:cs="宋体"/>
          <w:b w:val="0"/>
          <w:kern w:val="2"/>
          <w:sz w:val="21"/>
          <w:szCs w:val="21"/>
          <w:lang w:val="en-US" w:eastAsia="zh-CN" w:bidi="ar-SA"/>
        </w:rPr>
        <w:t>2.1.</w:t>
      </w:r>
      <w:r>
        <w:rPr>
          <w:rFonts w:hint="eastAsia" w:ascii="宋体" w:hAnsi="宋体" w:cs="宋体"/>
          <w:b w:val="0"/>
          <w:kern w:val="2"/>
          <w:sz w:val="21"/>
          <w:szCs w:val="21"/>
          <w:lang w:val="en-US" w:eastAsia="zh-CN" w:bidi="ar-SA"/>
        </w:rPr>
        <w:t xml:space="preserve"> </w:t>
      </w:r>
      <w:r>
        <w:rPr>
          <w:rFonts w:hint="eastAsia" w:hAnsi="宋体"/>
          <w:lang w:eastAsia="zh-CN"/>
        </w:rPr>
        <w:t>评审</w:t>
      </w:r>
      <w:r>
        <w:rPr>
          <w:rFonts w:hint="eastAsia" w:hAnsi="宋体"/>
        </w:rPr>
        <w:t>委员会</w:t>
      </w:r>
      <w:r>
        <w:rPr>
          <w:rFonts w:hint="eastAsia" w:ascii="宋体" w:hAnsi="宋体" w:cs="宋体"/>
          <w:szCs w:val="21"/>
        </w:rPr>
        <w:t>依法组建，由5人单数组成。</w:t>
      </w:r>
    </w:p>
    <w:p w14:paraId="78A04134">
      <w:pPr>
        <w:pStyle w:val="85"/>
        <w:widowControl/>
        <w:numPr>
          <w:ilvl w:val="1"/>
          <w:numId w:val="0"/>
        </w:numPr>
        <w:spacing w:line="360" w:lineRule="auto"/>
        <w:ind w:left="567" w:leftChars="0" w:hanging="567" w:firstLineChars="0"/>
        <w:jc w:val="left"/>
        <w:rPr>
          <w:rFonts w:ascii="宋体" w:hAnsi="宋体" w:cs="宋体"/>
          <w:szCs w:val="21"/>
        </w:rPr>
      </w:pPr>
      <w:r>
        <w:rPr>
          <w:rFonts w:ascii="宋体" w:hAnsi="宋体" w:eastAsia="宋体" w:cs="宋体"/>
          <w:b w:val="0"/>
          <w:kern w:val="2"/>
          <w:sz w:val="21"/>
          <w:szCs w:val="21"/>
          <w:lang w:val="en-US" w:eastAsia="zh-CN" w:bidi="ar-SA"/>
        </w:rPr>
        <w:t>2.2.</w:t>
      </w:r>
      <w:r>
        <w:rPr>
          <w:rFonts w:hint="eastAsia" w:ascii="宋体" w:hAnsi="宋体" w:cs="宋体"/>
          <w:b w:val="0"/>
          <w:kern w:val="2"/>
          <w:sz w:val="21"/>
          <w:szCs w:val="21"/>
          <w:lang w:val="en-US" w:eastAsia="zh-CN" w:bidi="ar-SA"/>
        </w:rPr>
        <w:t xml:space="preserve"> </w:t>
      </w:r>
      <w:r>
        <w:rPr>
          <w:rFonts w:hint="eastAsia" w:hAnsi="宋体"/>
          <w:lang w:eastAsia="zh-CN"/>
        </w:rPr>
        <w:t>评审</w:t>
      </w:r>
      <w:r>
        <w:rPr>
          <w:rFonts w:hint="eastAsia" w:hAnsi="宋体"/>
        </w:rPr>
        <w:t>委员会</w:t>
      </w:r>
      <w:r>
        <w:rPr>
          <w:rFonts w:hint="eastAsia" w:ascii="宋体" w:hAnsi="宋体" w:cs="宋体"/>
          <w:szCs w:val="21"/>
        </w:rPr>
        <w:t>成员名单在</w:t>
      </w:r>
      <w:r>
        <w:rPr>
          <w:rFonts w:hint="eastAsia" w:hAnsi="宋体"/>
          <w:lang w:eastAsia="zh-CN"/>
        </w:rPr>
        <w:t>评审</w:t>
      </w:r>
      <w:r>
        <w:rPr>
          <w:rFonts w:hint="eastAsia" w:ascii="宋体" w:hAnsi="宋体" w:cs="宋体"/>
          <w:szCs w:val="21"/>
        </w:rPr>
        <w:t>结果公告前应当保密。</w:t>
      </w:r>
      <w:r>
        <w:rPr>
          <w:rFonts w:hint="eastAsia" w:hAnsi="宋体"/>
          <w:lang w:eastAsia="zh-CN"/>
        </w:rPr>
        <w:t>评审</w:t>
      </w:r>
      <w:r>
        <w:rPr>
          <w:rFonts w:hint="eastAsia" w:ascii="宋体" w:hAnsi="宋体" w:cs="宋体"/>
          <w:szCs w:val="21"/>
        </w:rPr>
        <w:t>专家有下列情形之一的，受到邀请应主动提出回避，采购当事人也可以要求该</w:t>
      </w:r>
      <w:r>
        <w:rPr>
          <w:rFonts w:hint="eastAsia" w:hAnsi="宋体"/>
          <w:lang w:eastAsia="zh-CN"/>
        </w:rPr>
        <w:t>评审</w:t>
      </w:r>
      <w:r>
        <w:rPr>
          <w:rFonts w:hint="eastAsia" w:ascii="宋体" w:hAnsi="宋体" w:cs="宋体"/>
          <w:szCs w:val="21"/>
        </w:rPr>
        <w:t>专家回避：</w:t>
      </w:r>
    </w:p>
    <w:p w14:paraId="0D550C9C">
      <w:pPr>
        <w:pStyle w:val="115"/>
        <w:widowControl/>
        <w:numPr>
          <w:ilvl w:val="2"/>
          <w:numId w:val="0"/>
        </w:numPr>
        <w:spacing w:line="360" w:lineRule="auto"/>
        <w:ind w:left="709" w:leftChars="0" w:hanging="709" w:firstLineChars="0"/>
        <w:jc w:val="left"/>
        <w:rPr>
          <w:rFonts w:ascii="宋体" w:hAnsi="宋体" w:cs="宋体"/>
          <w:szCs w:val="21"/>
        </w:rPr>
      </w:pPr>
      <w:r>
        <w:rPr>
          <w:rFonts w:ascii="宋体" w:hAnsi="宋体" w:eastAsia="宋体" w:cs="宋体"/>
          <w:kern w:val="2"/>
          <w:sz w:val="21"/>
          <w:szCs w:val="21"/>
          <w:lang w:val="en-US" w:eastAsia="zh-CN" w:bidi="ar-SA"/>
        </w:rPr>
        <w:t>2.2.1.</w:t>
      </w:r>
      <w:r>
        <w:rPr>
          <w:rFonts w:hint="eastAsia" w:ascii="宋体" w:hAnsi="宋体" w:cs="宋体"/>
          <w:kern w:val="2"/>
          <w:sz w:val="21"/>
          <w:szCs w:val="21"/>
          <w:lang w:val="en-US" w:eastAsia="zh-CN" w:bidi="ar-SA"/>
        </w:rPr>
        <w:t xml:space="preserve"> </w:t>
      </w:r>
      <w:r>
        <w:rPr>
          <w:rFonts w:hint="eastAsia" w:ascii="宋体" w:hAnsi="宋体" w:cs="宋体"/>
          <w:szCs w:val="21"/>
        </w:rPr>
        <w:t>参加采购活动前3年内与</w:t>
      </w:r>
      <w:r>
        <w:rPr>
          <w:rFonts w:hint="eastAsia" w:ascii="宋体" w:hAnsi="宋体" w:cs="宋体"/>
          <w:szCs w:val="21"/>
          <w:lang w:val="en-US" w:eastAsia="zh-CN"/>
        </w:rPr>
        <w:t>遴选响应方</w:t>
      </w:r>
      <w:r>
        <w:rPr>
          <w:rFonts w:hint="eastAsia" w:ascii="宋体" w:hAnsi="宋体" w:cs="宋体"/>
          <w:szCs w:val="21"/>
        </w:rPr>
        <w:t>存在劳动关系；</w:t>
      </w:r>
    </w:p>
    <w:p w14:paraId="415C13EA">
      <w:pPr>
        <w:pStyle w:val="115"/>
        <w:widowControl/>
        <w:numPr>
          <w:ilvl w:val="2"/>
          <w:numId w:val="0"/>
        </w:numPr>
        <w:spacing w:line="360" w:lineRule="auto"/>
        <w:ind w:left="709" w:leftChars="0" w:hanging="709" w:firstLineChars="0"/>
        <w:jc w:val="left"/>
        <w:rPr>
          <w:rFonts w:ascii="宋体" w:hAnsi="宋体" w:cs="宋体"/>
          <w:szCs w:val="21"/>
        </w:rPr>
      </w:pPr>
      <w:r>
        <w:rPr>
          <w:rFonts w:ascii="宋体" w:hAnsi="宋体" w:eastAsia="宋体" w:cs="宋体"/>
          <w:kern w:val="2"/>
          <w:sz w:val="21"/>
          <w:szCs w:val="21"/>
          <w:lang w:val="en-US" w:eastAsia="zh-CN" w:bidi="ar-SA"/>
        </w:rPr>
        <w:t>2.2.2.</w:t>
      </w:r>
      <w:r>
        <w:rPr>
          <w:rFonts w:hint="eastAsia" w:ascii="宋体" w:hAnsi="宋体" w:cs="宋体"/>
          <w:kern w:val="2"/>
          <w:sz w:val="21"/>
          <w:szCs w:val="21"/>
          <w:lang w:val="en-US" w:eastAsia="zh-CN" w:bidi="ar-SA"/>
        </w:rPr>
        <w:t xml:space="preserve"> </w:t>
      </w:r>
      <w:r>
        <w:rPr>
          <w:rFonts w:hint="eastAsia" w:ascii="宋体" w:hAnsi="宋体" w:cs="宋体"/>
          <w:szCs w:val="21"/>
        </w:rPr>
        <w:t>参加采购活动前3年内担任</w:t>
      </w:r>
      <w:r>
        <w:rPr>
          <w:rFonts w:hint="eastAsia" w:ascii="宋体" w:hAnsi="宋体" w:cs="宋体"/>
          <w:szCs w:val="21"/>
          <w:lang w:val="en-US" w:eastAsia="zh-CN"/>
        </w:rPr>
        <w:t>遴选响应方</w:t>
      </w:r>
      <w:r>
        <w:rPr>
          <w:rFonts w:hint="eastAsia" w:ascii="宋体" w:hAnsi="宋体" w:cs="宋体"/>
          <w:szCs w:val="21"/>
        </w:rPr>
        <w:t>的董事、监事；</w:t>
      </w:r>
    </w:p>
    <w:p w14:paraId="7F82D60C">
      <w:pPr>
        <w:pStyle w:val="115"/>
        <w:widowControl/>
        <w:numPr>
          <w:ilvl w:val="2"/>
          <w:numId w:val="0"/>
        </w:numPr>
        <w:spacing w:line="360" w:lineRule="auto"/>
        <w:ind w:left="709" w:leftChars="0" w:hanging="709" w:firstLineChars="0"/>
        <w:jc w:val="left"/>
        <w:rPr>
          <w:rFonts w:ascii="宋体" w:hAnsi="宋体" w:cs="宋体"/>
          <w:szCs w:val="21"/>
        </w:rPr>
      </w:pPr>
      <w:r>
        <w:rPr>
          <w:rFonts w:ascii="宋体" w:hAnsi="宋体" w:eastAsia="宋体" w:cs="宋体"/>
          <w:kern w:val="2"/>
          <w:sz w:val="21"/>
          <w:szCs w:val="21"/>
          <w:lang w:val="en-US" w:eastAsia="zh-CN" w:bidi="ar-SA"/>
        </w:rPr>
        <w:t>2.2.3.</w:t>
      </w:r>
      <w:r>
        <w:rPr>
          <w:rFonts w:hint="eastAsia" w:ascii="宋体" w:hAnsi="宋体" w:cs="宋体"/>
          <w:kern w:val="2"/>
          <w:sz w:val="21"/>
          <w:szCs w:val="21"/>
          <w:lang w:val="en-US" w:eastAsia="zh-CN" w:bidi="ar-SA"/>
        </w:rPr>
        <w:t xml:space="preserve"> </w:t>
      </w:r>
      <w:r>
        <w:rPr>
          <w:rFonts w:hint="eastAsia" w:ascii="宋体" w:hAnsi="宋体" w:cs="宋体"/>
          <w:szCs w:val="21"/>
        </w:rPr>
        <w:t>参加采购活动前3年内是</w:t>
      </w:r>
      <w:r>
        <w:rPr>
          <w:rFonts w:hint="eastAsia" w:ascii="宋体" w:hAnsi="宋体" w:cs="宋体"/>
          <w:szCs w:val="21"/>
          <w:lang w:val="en-US" w:eastAsia="zh-CN"/>
        </w:rPr>
        <w:t>遴选响应方</w:t>
      </w:r>
      <w:r>
        <w:rPr>
          <w:rFonts w:hint="eastAsia" w:ascii="宋体" w:hAnsi="宋体" w:cs="宋体"/>
          <w:szCs w:val="21"/>
        </w:rPr>
        <w:t>的控股股东或者实际控制人；</w:t>
      </w:r>
    </w:p>
    <w:p w14:paraId="03BCF695">
      <w:pPr>
        <w:pStyle w:val="115"/>
        <w:widowControl/>
        <w:numPr>
          <w:ilvl w:val="2"/>
          <w:numId w:val="0"/>
        </w:numPr>
        <w:spacing w:line="360" w:lineRule="auto"/>
        <w:ind w:left="709" w:leftChars="0" w:hanging="709" w:firstLineChars="0"/>
        <w:jc w:val="left"/>
        <w:rPr>
          <w:rFonts w:ascii="宋体" w:hAnsi="宋体" w:cs="宋体"/>
          <w:szCs w:val="21"/>
        </w:rPr>
      </w:pPr>
      <w:r>
        <w:rPr>
          <w:rFonts w:ascii="宋体" w:hAnsi="宋体" w:eastAsia="宋体" w:cs="宋体"/>
          <w:kern w:val="2"/>
          <w:sz w:val="21"/>
          <w:szCs w:val="21"/>
          <w:lang w:val="en-US" w:eastAsia="zh-CN" w:bidi="ar-SA"/>
        </w:rPr>
        <w:t>2.2.4.</w:t>
      </w:r>
      <w:r>
        <w:rPr>
          <w:rFonts w:hint="eastAsia" w:ascii="宋体" w:hAnsi="宋体" w:cs="宋体"/>
          <w:kern w:val="2"/>
          <w:sz w:val="21"/>
          <w:szCs w:val="21"/>
          <w:lang w:val="en-US" w:eastAsia="zh-CN" w:bidi="ar-SA"/>
        </w:rPr>
        <w:t xml:space="preserve"> </w:t>
      </w:r>
      <w:r>
        <w:rPr>
          <w:rFonts w:hint="eastAsia" w:ascii="宋体" w:hAnsi="宋体" w:cs="宋体"/>
          <w:szCs w:val="21"/>
        </w:rPr>
        <w:t>与</w:t>
      </w:r>
      <w:r>
        <w:rPr>
          <w:rFonts w:hint="eastAsia" w:ascii="宋体" w:hAnsi="宋体" w:cs="宋体"/>
          <w:szCs w:val="21"/>
          <w:lang w:val="en-US" w:eastAsia="zh-CN"/>
        </w:rPr>
        <w:t>遴选响应方</w:t>
      </w:r>
      <w:r>
        <w:rPr>
          <w:rFonts w:hint="eastAsia" w:ascii="宋体" w:hAnsi="宋体" w:cs="宋体"/>
          <w:szCs w:val="21"/>
        </w:rPr>
        <w:t>的法定代表人或者负责人有夫妻、直系血亲、三代以内旁系血亲或者近姻亲关系；</w:t>
      </w:r>
    </w:p>
    <w:p w14:paraId="6558117E">
      <w:pPr>
        <w:pStyle w:val="115"/>
        <w:widowControl/>
        <w:numPr>
          <w:ilvl w:val="2"/>
          <w:numId w:val="0"/>
        </w:numPr>
        <w:spacing w:line="360" w:lineRule="auto"/>
        <w:ind w:left="709" w:leftChars="0" w:hanging="709" w:firstLineChars="0"/>
        <w:jc w:val="left"/>
        <w:rPr>
          <w:rFonts w:ascii="宋体" w:hAnsi="宋体" w:cs="宋体"/>
          <w:szCs w:val="21"/>
        </w:rPr>
      </w:pPr>
      <w:r>
        <w:rPr>
          <w:rFonts w:ascii="宋体" w:hAnsi="宋体" w:eastAsia="宋体" w:cs="宋体"/>
          <w:kern w:val="2"/>
          <w:sz w:val="21"/>
          <w:szCs w:val="21"/>
          <w:lang w:val="en-US" w:eastAsia="zh-CN" w:bidi="ar-SA"/>
        </w:rPr>
        <w:t>2.2.5.</w:t>
      </w:r>
      <w:r>
        <w:rPr>
          <w:rFonts w:hint="eastAsia" w:ascii="宋体" w:hAnsi="宋体" w:cs="宋体"/>
          <w:kern w:val="2"/>
          <w:sz w:val="21"/>
          <w:szCs w:val="21"/>
          <w:lang w:val="en-US" w:eastAsia="zh-CN" w:bidi="ar-SA"/>
        </w:rPr>
        <w:t xml:space="preserve"> </w:t>
      </w:r>
      <w:r>
        <w:rPr>
          <w:rFonts w:hint="eastAsia" w:ascii="宋体" w:hAnsi="宋体" w:cs="宋体"/>
          <w:szCs w:val="21"/>
        </w:rPr>
        <w:t>与</w:t>
      </w:r>
      <w:r>
        <w:rPr>
          <w:rFonts w:hint="eastAsia" w:ascii="宋体" w:hAnsi="宋体" w:cs="宋体"/>
          <w:szCs w:val="21"/>
          <w:lang w:val="en-US" w:eastAsia="zh-CN"/>
        </w:rPr>
        <w:t>遴选响应方</w:t>
      </w:r>
      <w:r>
        <w:rPr>
          <w:rFonts w:hint="eastAsia" w:ascii="宋体" w:hAnsi="宋体" w:cs="宋体"/>
          <w:szCs w:val="21"/>
        </w:rPr>
        <w:t>有其他可能影响采购活动公平、公正进行的关系。</w:t>
      </w:r>
    </w:p>
    <w:p w14:paraId="6E7F3194">
      <w:pPr>
        <w:pStyle w:val="85"/>
        <w:widowControl/>
        <w:numPr>
          <w:ilvl w:val="1"/>
          <w:numId w:val="0"/>
        </w:numPr>
        <w:spacing w:line="360" w:lineRule="auto"/>
        <w:ind w:left="567" w:leftChars="0" w:hanging="567" w:firstLineChars="0"/>
        <w:jc w:val="left"/>
        <w:rPr>
          <w:rFonts w:ascii="宋体" w:hAnsi="宋体" w:cs="宋体"/>
          <w:szCs w:val="21"/>
        </w:rPr>
      </w:pPr>
      <w:r>
        <w:rPr>
          <w:rFonts w:ascii="宋体" w:hAnsi="宋体" w:eastAsia="宋体" w:cs="宋体"/>
          <w:b w:val="0"/>
          <w:kern w:val="2"/>
          <w:sz w:val="21"/>
          <w:szCs w:val="21"/>
          <w:lang w:val="en-US" w:eastAsia="zh-CN" w:bidi="ar-SA"/>
        </w:rPr>
        <w:t>2.3.</w:t>
      </w:r>
      <w:r>
        <w:rPr>
          <w:rFonts w:hint="eastAsia" w:ascii="宋体" w:hAnsi="宋体" w:cs="宋体"/>
          <w:b w:val="0"/>
          <w:kern w:val="2"/>
          <w:sz w:val="21"/>
          <w:szCs w:val="21"/>
          <w:lang w:val="en-US" w:eastAsia="zh-CN" w:bidi="ar-SA"/>
        </w:rPr>
        <w:t xml:space="preserve"> </w:t>
      </w:r>
      <w:r>
        <w:rPr>
          <w:rFonts w:hint="eastAsia" w:hAnsi="宋体"/>
          <w:lang w:eastAsia="zh-CN"/>
        </w:rPr>
        <w:t>评审</w:t>
      </w:r>
      <w:r>
        <w:rPr>
          <w:rFonts w:hint="eastAsia" w:ascii="宋体" w:hAnsi="宋体" w:cs="宋体"/>
          <w:szCs w:val="21"/>
        </w:rPr>
        <w:t>委员会和有关工作人员不得透露对</w:t>
      </w:r>
      <w:r>
        <w:rPr>
          <w:rFonts w:hint="eastAsia" w:ascii="宋体" w:hAnsi="宋体" w:cs="宋体"/>
          <w:szCs w:val="21"/>
          <w:lang w:val="en-US" w:eastAsia="zh-CN"/>
        </w:rPr>
        <w:t>遴选响应文件</w:t>
      </w:r>
      <w:r>
        <w:rPr>
          <w:rFonts w:hint="eastAsia" w:ascii="宋体" w:hAnsi="宋体" w:cs="宋体"/>
          <w:szCs w:val="21"/>
        </w:rPr>
        <w:t>的评审和比较以及与评</w:t>
      </w:r>
      <w:r>
        <w:rPr>
          <w:rFonts w:hint="eastAsia" w:ascii="宋体" w:hAnsi="宋体" w:cs="宋体"/>
          <w:szCs w:val="21"/>
          <w:lang w:val="en-US" w:eastAsia="zh-CN"/>
        </w:rPr>
        <w:t>审</w:t>
      </w:r>
      <w:r>
        <w:rPr>
          <w:rFonts w:hint="eastAsia" w:ascii="宋体" w:hAnsi="宋体" w:cs="宋体"/>
          <w:szCs w:val="21"/>
        </w:rPr>
        <w:t>有关的其他情况。</w:t>
      </w:r>
    </w:p>
    <w:p w14:paraId="73C401BF">
      <w:pPr>
        <w:pStyle w:val="85"/>
        <w:widowControl/>
        <w:numPr>
          <w:ilvl w:val="1"/>
          <w:numId w:val="0"/>
        </w:numPr>
        <w:spacing w:line="360" w:lineRule="auto"/>
        <w:ind w:left="567" w:leftChars="0" w:hanging="567" w:firstLineChars="0"/>
        <w:jc w:val="left"/>
        <w:outlineLvl w:val="9"/>
        <w:rPr>
          <w:rFonts w:ascii="宋体" w:hAnsi="宋体" w:cs="宋体"/>
          <w:szCs w:val="21"/>
        </w:rPr>
      </w:pPr>
      <w:r>
        <w:rPr>
          <w:rFonts w:ascii="宋体" w:hAnsi="宋体" w:eastAsia="宋体" w:cs="宋体"/>
          <w:b w:val="0"/>
          <w:kern w:val="2"/>
          <w:sz w:val="21"/>
          <w:szCs w:val="21"/>
          <w:lang w:val="en-US" w:eastAsia="zh-CN" w:bidi="ar-SA"/>
        </w:rPr>
        <w:t>2.4.</w:t>
      </w:r>
      <w:r>
        <w:rPr>
          <w:rFonts w:hint="eastAsia" w:ascii="宋体" w:hAnsi="宋体" w:cs="宋体"/>
          <w:b w:val="0"/>
          <w:kern w:val="2"/>
          <w:sz w:val="21"/>
          <w:szCs w:val="21"/>
          <w:lang w:val="en-US" w:eastAsia="zh-CN" w:bidi="ar-SA"/>
        </w:rPr>
        <w:t xml:space="preserve"> </w:t>
      </w:r>
      <w:r>
        <w:rPr>
          <w:rFonts w:hint="eastAsia" w:hAnsi="宋体"/>
          <w:lang w:eastAsia="zh-CN"/>
        </w:rPr>
        <w:t>评审</w:t>
      </w:r>
      <w:r>
        <w:rPr>
          <w:rFonts w:hint="eastAsia" w:ascii="宋体" w:hAnsi="宋体" w:cs="宋体"/>
          <w:szCs w:val="21"/>
        </w:rPr>
        <w:t>委员会负责具体</w:t>
      </w:r>
      <w:r>
        <w:rPr>
          <w:rFonts w:hint="eastAsia" w:hAnsi="宋体"/>
          <w:lang w:eastAsia="zh-CN"/>
        </w:rPr>
        <w:t>评审</w:t>
      </w:r>
      <w:r>
        <w:rPr>
          <w:rFonts w:hint="eastAsia" w:ascii="宋体" w:hAnsi="宋体" w:cs="宋体"/>
          <w:szCs w:val="21"/>
        </w:rPr>
        <w:t>事务，并独立履行下列职责：</w:t>
      </w:r>
    </w:p>
    <w:p w14:paraId="0FFF6028">
      <w:pPr>
        <w:pStyle w:val="85"/>
        <w:widowControl/>
        <w:numPr>
          <w:ilvl w:val="2"/>
          <w:numId w:val="0"/>
        </w:numPr>
        <w:spacing w:line="360" w:lineRule="auto"/>
        <w:ind w:left="709" w:leftChars="0" w:hanging="709" w:firstLineChars="0"/>
        <w:jc w:val="left"/>
        <w:rPr>
          <w:rFonts w:ascii="宋体" w:hAnsi="宋体" w:cs="宋体"/>
          <w:szCs w:val="21"/>
        </w:rPr>
      </w:pPr>
      <w:r>
        <w:rPr>
          <w:rFonts w:ascii="宋体" w:hAnsi="宋体" w:eastAsia="宋体" w:cs="宋体"/>
          <w:kern w:val="2"/>
          <w:sz w:val="21"/>
          <w:szCs w:val="21"/>
          <w:lang w:val="en-US" w:eastAsia="zh-CN" w:bidi="ar-SA"/>
        </w:rPr>
        <w:t>2.4.1.</w:t>
      </w:r>
      <w:r>
        <w:rPr>
          <w:rFonts w:hint="eastAsia" w:ascii="宋体" w:hAnsi="宋体" w:cs="宋体"/>
          <w:kern w:val="2"/>
          <w:sz w:val="21"/>
          <w:szCs w:val="21"/>
          <w:lang w:val="en-US" w:eastAsia="zh-CN" w:bidi="ar-SA"/>
        </w:rPr>
        <w:t xml:space="preserve"> </w:t>
      </w:r>
      <w:r>
        <w:rPr>
          <w:rFonts w:hint="eastAsia" w:ascii="宋体" w:hAnsi="宋体" w:cs="宋体"/>
          <w:szCs w:val="21"/>
        </w:rPr>
        <w:t>审查、评价</w:t>
      </w:r>
      <w:r>
        <w:rPr>
          <w:rFonts w:hint="eastAsia" w:ascii="宋体" w:hAnsi="宋体" w:cs="宋体"/>
          <w:szCs w:val="21"/>
          <w:lang w:val="en-US" w:eastAsia="zh-CN"/>
        </w:rPr>
        <w:t>遴选响应文件</w:t>
      </w:r>
      <w:r>
        <w:rPr>
          <w:rFonts w:hint="eastAsia" w:ascii="宋体" w:hAnsi="宋体" w:cs="宋体"/>
          <w:szCs w:val="21"/>
        </w:rPr>
        <w:t>是否符合商务、技术等实质性要求；</w:t>
      </w:r>
    </w:p>
    <w:p w14:paraId="032848C8">
      <w:pPr>
        <w:pStyle w:val="85"/>
        <w:widowControl/>
        <w:numPr>
          <w:ilvl w:val="2"/>
          <w:numId w:val="0"/>
        </w:numPr>
        <w:spacing w:line="360" w:lineRule="auto"/>
        <w:ind w:left="709" w:leftChars="0" w:hanging="709" w:firstLineChars="0"/>
        <w:jc w:val="left"/>
        <w:rPr>
          <w:rFonts w:ascii="宋体" w:hAnsi="宋体" w:cs="宋体"/>
          <w:szCs w:val="21"/>
        </w:rPr>
      </w:pPr>
      <w:r>
        <w:rPr>
          <w:rFonts w:ascii="宋体" w:hAnsi="宋体" w:eastAsia="宋体" w:cs="宋体"/>
          <w:kern w:val="2"/>
          <w:sz w:val="21"/>
          <w:szCs w:val="21"/>
          <w:lang w:val="en-US" w:eastAsia="zh-CN" w:bidi="ar-SA"/>
        </w:rPr>
        <w:t>2.4.2.</w:t>
      </w:r>
      <w:r>
        <w:rPr>
          <w:rFonts w:hint="eastAsia" w:ascii="宋体" w:hAnsi="宋体" w:cs="宋体"/>
          <w:kern w:val="2"/>
          <w:sz w:val="21"/>
          <w:szCs w:val="21"/>
          <w:lang w:val="en-US" w:eastAsia="zh-CN" w:bidi="ar-SA"/>
        </w:rPr>
        <w:t xml:space="preserve"> </w:t>
      </w:r>
      <w:r>
        <w:rPr>
          <w:rFonts w:hint="eastAsia" w:ascii="宋体" w:hAnsi="宋体" w:cs="宋体"/>
          <w:szCs w:val="21"/>
        </w:rPr>
        <w:t>要求</w:t>
      </w:r>
      <w:r>
        <w:rPr>
          <w:rFonts w:hint="eastAsia" w:ascii="宋体" w:hAnsi="宋体" w:cs="宋体"/>
          <w:szCs w:val="21"/>
          <w:lang w:val="en-US" w:eastAsia="zh-CN"/>
        </w:rPr>
        <w:t>遴选响应方</w:t>
      </w:r>
      <w:r>
        <w:rPr>
          <w:rFonts w:hint="eastAsia" w:ascii="宋体" w:hAnsi="宋体" w:cs="宋体"/>
          <w:szCs w:val="21"/>
        </w:rPr>
        <w:t>对</w:t>
      </w:r>
      <w:r>
        <w:rPr>
          <w:rFonts w:hint="eastAsia" w:ascii="宋体" w:hAnsi="宋体" w:cs="宋体"/>
          <w:szCs w:val="21"/>
          <w:lang w:val="en-US" w:eastAsia="zh-CN"/>
        </w:rPr>
        <w:t>遴选响应文件</w:t>
      </w:r>
      <w:r>
        <w:rPr>
          <w:rFonts w:hint="eastAsia" w:ascii="宋体" w:hAnsi="宋体" w:cs="宋体"/>
          <w:szCs w:val="21"/>
        </w:rPr>
        <w:t>有关事项作出澄清或者说明；</w:t>
      </w:r>
    </w:p>
    <w:p w14:paraId="397EAD7C">
      <w:pPr>
        <w:pStyle w:val="85"/>
        <w:widowControl/>
        <w:numPr>
          <w:ilvl w:val="2"/>
          <w:numId w:val="0"/>
        </w:numPr>
        <w:spacing w:line="360" w:lineRule="auto"/>
        <w:ind w:left="709" w:leftChars="0" w:hanging="709" w:firstLineChars="0"/>
        <w:jc w:val="left"/>
        <w:rPr>
          <w:rFonts w:ascii="宋体" w:hAnsi="宋体" w:cs="宋体"/>
          <w:szCs w:val="21"/>
        </w:rPr>
      </w:pPr>
      <w:r>
        <w:rPr>
          <w:rFonts w:ascii="宋体" w:hAnsi="宋体" w:eastAsia="宋体" w:cs="宋体"/>
          <w:kern w:val="2"/>
          <w:sz w:val="21"/>
          <w:szCs w:val="21"/>
          <w:lang w:val="en-US" w:eastAsia="zh-CN" w:bidi="ar-SA"/>
        </w:rPr>
        <w:t>2.4.3.</w:t>
      </w:r>
      <w:r>
        <w:rPr>
          <w:rFonts w:hint="eastAsia" w:ascii="宋体" w:hAnsi="宋体" w:cs="宋体"/>
          <w:kern w:val="2"/>
          <w:sz w:val="21"/>
          <w:szCs w:val="21"/>
          <w:lang w:val="en-US" w:eastAsia="zh-CN" w:bidi="ar-SA"/>
        </w:rPr>
        <w:t xml:space="preserve"> </w:t>
      </w:r>
      <w:r>
        <w:rPr>
          <w:rFonts w:hint="eastAsia" w:ascii="宋体" w:hAnsi="宋体" w:cs="宋体"/>
          <w:szCs w:val="21"/>
        </w:rPr>
        <w:t>对</w:t>
      </w:r>
      <w:r>
        <w:rPr>
          <w:rFonts w:hint="eastAsia" w:ascii="宋体" w:hAnsi="宋体" w:cs="宋体"/>
          <w:szCs w:val="21"/>
          <w:lang w:val="en-US" w:eastAsia="zh-CN"/>
        </w:rPr>
        <w:t>遴选响应文件</w:t>
      </w:r>
      <w:r>
        <w:rPr>
          <w:rFonts w:hint="eastAsia" w:ascii="宋体" w:hAnsi="宋体" w:cs="宋体"/>
          <w:szCs w:val="21"/>
        </w:rPr>
        <w:t>进行比较和评价；</w:t>
      </w:r>
    </w:p>
    <w:p w14:paraId="623C2705">
      <w:pPr>
        <w:pStyle w:val="85"/>
        <w:widowControl/>
        <w:numPr>
          <w:ilvl w:val="2"/>
          <w:numId w:val="0"/>
        </w:numPr>
        <w:spacing w:line="360" w:lineRule="auto"/>
        <w:ind w:left="709" w:leftChars="0" w:hanging="709" w:firstLineChars="0"/>
        <w:jc w:val="left"/>
        <w:rPr>
          <w:rFonts w:ascii="宋体" w:hAnsi="宋体" w:cs="宋体"/>
          <w:szCs w:val="21"/>
        </w:rPr>
      </w:pPr>
      <w:r>
        <w:rPr>
          <w:rFonts w:ascii="宋体" w:hAnsi="宋体" w:eastAsia="宋体" w:cs="宋体"/>
          <w:kern w:val="2"/>
          <w:sz w:val="21"/>
          <w:szCs w:val="21"/>
          <w:lang w:val="en-US" w:eastAsia="zh-CN" w:bidi="ar-SA"/>
        </w:rPr>
        <w:t>2.4.4.</w:t>
      </w:r>
      <w:r>
        <w:rPr>
          <w:rFonts w:hint="eastAsia" w:ascii="宋体" w:hAnsi="宋体" w:cs="宋体"/>
          <w:kern w:val="2"/>
          <w:sz w:val="21"/>
          <w:szCs w:val="21"/>
          <w:lang w:val="en-US" w:eastAsia="zh-CN" w:bidi="ar-SA"/>
        </w:rPr>
        <w:t xml:space="preserve"> </w:t>
      </w:r>
      <w:r>
        <w:rPr>
          <w:rFonts w:hint="eastAsia" w:ascii="宋体" w:hAnsi="宋体" w:cs="宋体"/>
          <w:szCs w:val="21"/>
        </w:rPr>
        <w:t>确定</w:t>
      </w:r>
      <w:r>
        <w:rPr>
          <w:rFonts w:hint="eastAsia" w:ascii="宋体" w:hAnsi="宋体" w:cs="宋体"/>
          <w:szCs w:val="21"/>
          <w:lang w:val="en-US" w:eastAsia="zh-CN"/>
        </w:rPr>
        <w:t>中选</w:t>
      </w:r>
      <w:r>
        <w:rPr>
          <w:rFonts w:hint="eastAsia" w:ascii="宋体" w:hAnsi="宋体" w:cs="宋体"/>
          <w:szCs w:val="21"/>
        </w:rPr>
        <w:t>候选人名单；</w:t>
      </w:r>
    </w:p>
    <w:p w14:paraId="65F715F6">
      <w:pPr>
        <w:pStyle w:val="85"/>
        <w:widowControl/>
        <w:numPr>
          <w:ilvl w:val="1"/>
          <w:numId w:val="0"/>
        </w:numPr>
        <w:spacing w:line="360" w:lineRule="auto"/>
        <w:ind w:left="567" w:leftChars="0" w:hanging="567" w:firstLineChars="0"/>
        <w:jc w:val="left"/>
        <w:rPr>
          <w:rFonts w:ascii="宋体" w:hAnsi="宋体" w:cs="宋体"/>
          <w:szCs w:val="21"/>
        </w:rPr>
      </w:pPr>
      <w:r>
        <w:rPr>
          <w:rFonts w:ascii="宋体" w:hAnsi="宋体" w:eastAsia="宋体" w:cs="宋体"/>
          <w:b w:val="0"/>
          <w:kern w:val="2"/>
          <w:sz w:val="21"/>
          <w:szCs w:val="21"/>
          <w:lang w:val="en-US" w:eastAsia="zh-CN" w:bidi="ar-SA"/>
        </w:rPr>
        <w:t>2.5.</w:t>
      </w:r>
      <w:r>
        <w:rPr>
          <w:rFonts w:hint="eastAsia" w:ascii="宋体" w:hAnsi="宋体" w:cs="宋体"/>
          <w:b w:val="0"/>
          <w:kern w:val="2"/>
          <w:sz w:val="21"/>
          <w:szCs w:val="21"/>
          <w:lang w:val="en-US" w:eastAsia="zh-CN" w:bidi="ar-SA"/>
        </w:rPr>
        <w:t xml:space="preserve"> </w:t>
      </w:r>
      <w:r>
        <w:rPr>
          <w:rFonts w:hint="eastAsia" w:ascii="宋体" w:hAnsi="宋体" w:cs="宋体"/>
          <w:szCs w:val="21"/>
        </w:rPr>
        <w:t>对于</w:t>
      </w:r>
      <w:r>
        <w:rPr>
          <w:rFonts w:hint="eastAsia" w:ascii="宋体" w:hAnsi="宋体" w:cs="宋体"/>
          <w:szCs w:val="21"/>
          <w:lang w:val="en-US" w:eastAsia="zh-CN"/>
        </w:rPr>
        <w:t>遴选响应文件</w:t>
      </w:r>
      <w:r>
        <w:rPr>
          <w:rFonts w:hint="eastAsia" w:ascii="宋体" w:hAnsi="宋体" w:cs="宋体"/>
          <w:szCs w:val="21"/>
        </w:rPr>
        <w:t>中含义不明确、同类问题表述不一致或者有明显文字和计算错误的内容，</w:t>
      </w:r>
      <w:r>
        <w:rPr>
          <w:rFonts w:hint="eastAsia" w:hAnsi="宋体"/>
          <w:lang w:eastAsia="zh-CN"/>
        </w:rPr>
        <w:t>评审</w:t>
      </w:r>
      <w:r>
        <w:rPr>
          <w:rFonts w:hint="eastAsia" w:ascii="宋体" w:hAnsi="宋体" w:cs="宋体"/>
          <w:szCs w:val="21"/>
        </w:rPr>
        <w:t>委员会应当以书面形式要求</w:t>
      </w:r>
      <w:r>
        <w:rPr>
          <w:rFonts w:hint="eastAsia" w:ascii="宋体" w:hAnsi="宋体" w:cs="宋体"/>
          <w:szCs w:val="21"/>
          <w:lang w:val="en-US" w:eastAsia="zh-CN"/>
        </w:rPr>
        <w:t>遴选响应方</w:t>
      </w:r>
      <w:r>
        <w:rPr>
          <w:rFonts w:hint="eastAsia" w:ascii="宋体" w:hAnsi="宋体" w:cs="宋体"/>
          <w:szCs w:val="21"/>
        </w:rPr>
        <w:t>作出必要的澄清、说明或者补正。</w:t>
      </w:r>
    </w:p>
    <w:p w14:paraId="4E7C51F4">
      <w:pPr>
        <w:pStyle w:val="85"/>
        <w:widowControl/>
        <w:numPr>
          <w:ilvl w:val="1"/>
          <w:numId w:val="0"/>
        </w:numPr>
        <w:spacing w:line="360" w:lineRule="auto"/>
        <w:ind w:left="567" w:leftChars="0" w:hanging="567" w:firstLineChars="0"/>
        <w:jc w:val="left"/>
        <w:rPr>
          <w:rFonts w:ascii="宋体" w:hAnsi="宋体" w:cs="宋体"/>
          <w:szCs w:val="21"/>
          <w:lang w:eastAsia="zh-TW"/>
        </w:rPr>
      </w:pPr>
      <w:r>
        <w:rPr>
          <w:rFonts w:ascii="宋体" w:hAnsi="宋体" w:eastAsia="宋体" w:cs="宋体"/>
          <w:b w:val="0"/>
          <w:kern w:val="2"/>
          <w:sz w:val="21"/>
          <w:szCs w:val="21"/>
          <w:lang w:val="en-US" w:eastAsia="zh-TW" w:bidi="ar-SA"/>
        </w:rPr>
        <w:t>2.6.</w:t>
      </w:r>
      <w:r>
        <w:rPr>
          <w:rFonts w:hint="eastAsia" w:ascii="宋体" w:hAnsi="宋体" w:cs="宋体"/>
          <w:b w:val="0"/>
          <w:kern w:val="2"/>
          <w:sz w:val="21"/>
          <w:szCs w:val="21"/>
          <w:lang w:val="en-US" w:eastAsia="zh-CN" w:bidi="ar-SA"/>
        </w:rPr>
        <w:t xml:space="preserve"> </w:t>
      </w:r>
      <w:r>
        <w:rPr>
          <w:rFonts w:hint="eastAsia" w:ascii="宋体" w:hAnsi="宋体" w:cs="宋体"/>
          <w:szCs w:val="21"/>
          <w:lang w:val="en-US" w:eastAsia="zh-CN"/>
        </w:rPr>
        <w:t>遴选响应方</w:t>
      </w:r>
      <w:r>
        <w:rPr>
          <w:rFonts w:hint="eastAsia" w:ascii="宋体" w:hAnsi="宋体" w:cs="宋体"/>
          <w:szCs w:val="21"/>
        </w:rPr>
        <w:t>的澄清、说明或者补正应当采用书面形式，并加盖公章，或者由法定代表人或其授权的代表签字。</w:t>
      </w:r>
      <w:r>
        <w:rPr>
          <w:rFonts w:hint="eastAsia" w:ascii="宋体" w:hAnsi="宋体" w:cs="宋体"/>
          <w:szCs w:val="21"/>
          <w:lang w:val="en-US" w:eastAsia="zh-CN"/>
        </w:rPr>
        <w:t>遴选响应方</w:t>
      </w:r>
      <w:r>
        <w:rPr>
          <w:rFonts w:hint="eastAsia" w:ascii="宋体" w:hAnsi="宋体" w:cs="宋体"/>
          <w:szCs w:val="21"/>
        </w:rPr>
        <w:t>的澄清、说明或者补正不得超出</w:t>
      </w:r>
      <w:r>
        <w:rPr>
          <w:rFonts w:hint="eastAsia" w:ascii="宋体" w:hAnsi="宋体" w:cs="宋体"/>
          <w:szCs w:val="21"/>
          <w:lang w:val="en-US" w:eastAsia="zh-CN"/>
        </w:rPr>
        <w:t>遴选文件</w:t>
      </w:r>
      <w:r>
        <w:rPr>
          <w:rFonts w:hint="eastAsia" w:ascii="宋体" w:hAnsi="宋体" w:cs="宋体"/>
          <w:szCs w:val="21"/>
        </w:rPr>
        <w:t>的范围或者改变</w:t>
      </w:r>
      <w:r>
        <w:rPr>
          <w:rFonts w:hint="eastAsia" w:ascii="宋体" w:hAnsi="宋体" w:cs="宋体"/>
          <w:szCs w:val="21"/>
          <w:lang w:val="en-US" w:eastAsia="zh-CN"/>
        </w:rPr>
        <w:t>遴选响应文件</w:t>
      </w:r>
      <w:r>
        <w:rPr>
          <w:rFonts w:hint="eastAsia" w:ascii="宋体" w:hAnsi="宋体" w:cs="宋体"/>
          <w:szCs w:val="21"/>
        </w:rPr>
        <w:t>的实质性内容。</w:t>
      </w:r>
      <w:r>
        <w:rPr>
          <w:rFonts w:hint="eastAsia" w:ascii="宋体" w:hAnsi="宋体" w:cs="宋体"/>
          <w:szCs w:val="21"/>
          <w:lang w:val="en-US" w:eastAsia="zh-CN"/>
        </w:rPr>
        <w:t>遴选响应方</w:t>
      </w:r>
      <w:r>
        <w:rPr>
          <w:rFonts w:hint="eastAsia" w:ascii="宋体" w:hAnsi="宋体" w:cs="宋体"/>
          <w:szCs w:val="21"/>
          <w:lang w:eastAsia="zh-TW"/>
        </w:rPr>
        <w:t>的澄清文件是其</w:t>
      </w:r>
      <w:r>
        <w:rPr>
          <w:rFonts w:hint="eastAsia" w:ascii="宋体" w:hAnsi="宋体" w:cs="宋体"/>
          <w:szCs w:val="21"/>
          <w:lang w:val="en-US" w:eastAsia="zh-CN"/>
        </w:rPr>
        <w:t>遴选响应文件</w:t>
      </w:r>
      <w:r>
        <w:rPr>
          <w:rFonts w:hint="eastAsia" w:ascii="宋体" w:hAnsi="宋体" w:cs="宋体"/>
          <w:szCs w:val="21"/>
          <w:lang w:eastAsia="zh-TW"/>
        </w:rPr>
        <w:t>的组成部分。</w:t>
      </w:r>
    </w:p>
    <w:p w14:paraId="3189A38B">
      <w:pPr>
        <w:pStyle w:val="85"/>
        <w:widowControl/>
        <w:numPr>
          <w:ilvl w:val="1"/>
          <w:numId w:val="0"/>
        </w:numPr>
        <w:spacing w:line="360" w:lineRule="auto"/>
        <w:ind w:left="567" w:leftChars="0" w:hanging="567" w:firstLineChars="0"/>
        <w:jc w:val="left"/>
        <w:rPr>
          <w:rFonts w:ascii="宋体" w:hAnsi="宋体" w:cs="宋体"/>
          <w:szCs w:val="21"/>
        </w:rPr>
      </w:pPr>
      <w:r>
        <w:rPr>
          <w:rFonts w:ascii="宋体" w:hAnsi="宋体" w:eastAsia="宋体" w:cs="宋体"/>
          <w:b w:val="0"/>
          <w:kern w:val="2"/>
          <w:sz w:val="21"/>
          <w:szCs w:val="21"/>
          <w:lang w:val="en-US" w:eastAsia="zh-CN" w:bidi="ar-SA"/>
        </w:rPr>
        <w:t>2.7.</w:t>
      </w:r>
      <w:r>
        <w:rPr>
          <w:rFonts w:hint="eastAsia" w:ascii="宋体" w:hAnsi="宋体" w:cs="宋体"/>
          <w:b w:val="0"/>
          <w:kern w:val="2"/>
          <w:sz w:val="21"/>
          <w:szCs w:val="21"/>
          <w:lang w:val="en-US" w:eastAsia="zh-CN" w:bidi="ar-SA"/>
        </w:rPr>
        <w:t xml:space="preserve"> </w:t>
      </w:r>
      <w:r>
        <w:rPr>
          <w:rFonts w:hint="eastAsia" w:hAnsi="宋体"/>
          <w:lang w:eastAsia="zh-CN"/>
        </w:rPr>
        <w:t>评审</w:t>
      </w:r>
      <w:r>
        <w:t>委员会决定</w:t>
      </w:r>
      <w:r>
        <w:rPr>
          <w:rFonts w:hint="eastAsia"/>
          <w:lang w:val="en-US" w:eastAsia="zh-CN"/>
        </w:rPr>
        <w:t>遴选响应文件</w:t>
      </w:r>
      <w:r>
        <w:t>的</w:t>
      </w:r>
      <w:r>
        <w:rPr>
          <w:rFonts w:hint="eastAsia"/>
          <w:lang w:eastAsia="zh-CN"/>
        </w:rPr>
        <w:t>遴选响应</w:t>
      </w:r>
      <w:r>
        <w:t>性只根据</w:t>
      </w:r>
      <w:r>
        <w:rPr>
          <w:rFonts w:hint="eastAsia"/>
          <w:lang w:val="en-US" w:eastAsia="zh-CN"/>
        </w:rPr>
        <w:t>遴选响应文件</w:t>
      </w:r>
      <w:r>
        <w:t>中提供的材料内容，而不依据外部的材料证据</w:t>
      </w:r>
      <w:r>
        <w:rPr>
          <w:rFonts w:hint="eastAsia" w:ascii="宋体" w:hAnsi="宋体" w:cs="宋体"/>
          <w:szCs w:val="21"/>
        </w:rPr>
        <w:t>。</w:t>
      </w:r>
    </w:p>
    <w:p w14:paraId="22CC7225">
      <w:pPr>
        <w:pStyle w:val="85"/>
        <w:widowControl/>
        <w:numPr>
          <w:ilvl w:val="1"/>
          <w:numId w:val="0"/>
        </w:numPr>
        <w:spacing w:line="360" w:lineRule="auto"/>
        <w:ind w:left="567" w:leftChars="0" w:hanging="567" w:firstLineChars="0"/>
        <w:jc w:val="left"/>
        <w:rPr>
          <w:rFonts w:hint="eastAsia" w:ascii="宋体" w:hAnsi="宋体" w:cs="宋体"/>
          <w:szCs w:val="21"/>
        </w:rPr>
      </w:pPr>
      <w:r>
        <w:rPr>
          <w:rFonts w:ascii="宋体" w:hAnsi="宋体" w:eastAsia="宋体" w:cs="宋体"/>
          <w:b w:val="0"/>
          <w:kern w:val="2"/>
          <w:sz w:val="21"/>
          <w:szCs w:val="21"/>
          <w:lang w:val="en-US" w:eastAsia="zh-CN" w:bidi="ar-SA"/>
        </w:rPr>
        <w:t>2.</w:t>
      </w:r>
      <w:r>
        <w:rPr>
          <w:rFonts w:hint="eastAsia" w:ascii="宋体" w:hAnsi="宋体" w:cs="宋体"/>
          <w:b w:val="0"/>
          <w:kern w:val="2"/>
          <w:sz w:val="21"/>
          <w:szCs w:val="21"/>
          <w:lang w:val="en-US" w:eastAsia="zh-CN" w:bidi="ar-SA"/>
        </w:rPr>
        <w:t>8</w:t>
      </w:r>
      <w:r>
        <w:rPr>
          <w:rFonts w:ascii="宋体" w:hAnsi="宋体" w:eastAsia="宋体" w:cs="宋体"/>
          <w:b w:val="0"/>
          <w:kern w:val="2"/>
          <w:sz w:val="21"/>
          <w:szCs w:val="21"/>
          <w:lang w:val="en-US" w:eastAsia="zh-CN" w:bidi="ar-SA"/>
        </w:rPr>
        <w:t>.</w:t>
      </w:r>
      <w:r>
        <w:rPr>
          <w:rFonts w:hint="eastAsia" w:ascii="宋体" w:hAnsi="宋体" w:cs="宋体"/>
          <w:b w:val="0"/>
          <w:kern w:val="2"/>
          <w:sz w:val="21"/>
          <w:szCs w:val="21"/>
          <w:lang w:val="en-US" w:eastAsia="zh-CN" w:bidi="ar-SA"/>
        </w:rPr>
        <w:t xml:space="preserve"> </w:t>
      </w:r>
      <w:r>
        <w:rPr>
          <w:rFonts w:hint="eastAsia" w:hAnsi="宋体"/>
          <w:lang w:eastAsia="zh-CN"/>
        </w:rPr>
        <w:t>评审</w:t>
      </w:r>
      <w:r>
        <w:rPr>
          <w:rFonts w:hint="eastAsia" w:ascii="宋体" w:hAnsi="宋体" w:cs="宋体"/>
          <w:szCs w:val="21"/>
        </w:rPr>
        <w:t>委员会成员对需要共同认定的事项存在争议的，应当按照少数服从多数的原则作出结论。持不同意见的</w:t>
      </w:r>
      <w:r>
        <w:rPr>
          <w:rFonts w:hint="eastAsia" w:hAnsi="宋体"/>
          <w:lang w:eastAsia="zh-CN"/>
        </w:rPr>
        <w:t>评审</w:t>
      </w:r>
      <w:r>
        <w:rPr>
          <w:rFonts w:hint="eastAsia" w:ascii="宋体" w:hAnsi="宋体" w:cs="宋体"/>
          <w:szCs w:val="21"/>
        </w:rPr>
        <w:t>委员会成员应当在</w:t>
      </w:r>
      <w:r>
        <w:rPr>
          <w:rFonts w:hint="eastAsia" w:hAnsi="宋体"/>
          <w:lang w:eastAsia="zh-CN"/>
        </w:rPr>
        <w:t>评审</w:t>
      </w:r>
      <w:r>
        <w:rPr>
          <w:rFonts w:hint="eastAsia" w:ascii="宋体" w:hAnsi="宋体" w:cs="宋体"/>
          <w:szCs w:val="21"/>
        </w:rPr>
        <w:t>报告上签署不同意见及理由，否则视为同意</w:t>
      </w:r>
      <w:r>
        <w:rPr>
          <w:rFonts w:hint="eastAsia" w:hAnsi="宋体"/>
          <w:lang w:eastAsia="zh-CN"/>
        </w:rPr>
        <w:t>评审</w:t>
      </w:r>
      <w:r>
        <w:rPr>
          <w:rFonts w:hint="eastAsia" w:ascii="宋体" w:hAnsi="宋体" w:cs="宋体"/>
          <w:szCs w:val="21"/>
        </w:rPr>
        <w:t>报告。</w:t>
      </w:r>
    </w:p>
    <w:p w14:paraId="5111F789">
      <w:pPr>
        <w:pStyle w:val="85"/>
        <w:widowControl/>
        <w:numPr>
          <w:ilvl w:val="1"/>
          <w:numId w:val="0"/>
        </w:numPr>
        <w:spacing w:line="360" w:lineRule="auto"/>
        <w:ind w:left="567" w:leftChars="0" w:hanging="567" w:firstLineChars="0"/>
        <w:jc w:val="left"/>
        <w:rPr>
          <w:rFonts w:hint="eastAsia" w:ascii="宋体" w:hAnsi="宋体" w:eastAsia="宋体" w:cs="宋体"/>
          <w:szCs w:val="21"/>
          <w:lang w:val="en-US" w:eastAsia="zh-CN"/>
        </w:rPr>
      </w:pPr>
      <w:r>
        <w:rPr>
          <w:rFonts w:hint="eastAsia" w:ascii="宋体" w:hAnsi="宋体" w:cs="宋体"/>
          <w:szCs w:val="21"/>
          <w:lang w:val="en-US" w:eastAsia="zh-CN"/>
        </w:rPr>
        <w:t>三：</w:t>
      </w:r>
      <w:r>
        <w:rPr>
          <w:rFonts w:hint="eastAsia" w:ascii="宋体" w:hAnsi="宋体" w:cs="宋体"/>
          <w:szCs w:val="21"/>
          <w:lang w:eastAsia="zh-CN"/>
        </w:rPr>
        <w:t>评审</w:t>
      </w:r>
    </w:p>
    <w:p w14:paraId="7870AC05">
      <w:pPr>
        <w:pStyle w:val="85"/>
        <w:widowControl/>
        <w:numPr>
          <w:ilvl w:val="1"/>
          <w:numId w:val="0"/>
        </w:numPr>
        <w:spacing w:line="360" w:lineRule="auto"/>
        <w:ind w:left="567" w:leftChars="0" w:hanging="567" w:firstLineChars="0"/>
        <w:jc w:val="left"/>
        <w:rPr>
          <w:rFonts w:asciiTheme="minorEastAsia" w:hAnsiTheme="minorEastAsia" w:eastAsiaTheme="minorEastAsia" w:cstheme="minorEastAsia"/>
          <w:szCs w:val="21"/>
        </w:rPr>
      </w:pPr>
      <w:r>
        <w:rPr>
          <w:rFonts w:asciiTheme="minorEastAsia" w:hAnsiTheme="minorEastAsia" w:eastAsiaTheme="minorEastAsia" w:cstheme="minorEastAsia"/>
          <w:b w:val="0"/>
          <w:kern w:val="2"/>
          <w:sz w:val="21"/>
          <w:szCs w:val="21"/>
          <w:lang w:val="en-US" w:eastAsia="zh-CN" w:bidi="ar-SA"/>
        </w:rPr>
        <w:t>3.1.</w:t>
      </w:r>
      <w:r>
        <w:rPr>
          <w:rFonts w:hint="eastAsia" w:asciiTheme="minorEastAsia" w:hAnsiTheme="minorEastAsia" w:eastAsiaTheme="minorEastAsia" w:cstheme="minorEastAsia"/>
          <w:b w:val="0"/>
          <w:kern w:val="2"/>
          <w:sz w:val="21"/>
          <w:szCs w:val="21"/>
          <w:lang w:val="en-US" w:eastAsia="zh-CN" w:bidi="ar-SA"/>
        </w:rPr>
        <w:t xml:space="preserve"> </w:t>
      </w:r>
      <w:r>
        <w:rPr>
          <w:rFonts w:hint="eastAsia" w:hAnsi="宋体" w:eastAsiaTheme="minorEastAsia"/>
          <w:lang w:eastAsia="zh-CN"/>
        </w:rPr>
        <w:t>评审</w:t>
      </w:r>
      <w:r>
        <w:rPr>
          <w:rFonts w:hint="eastAsia" w:asciiTheme="minorEastAsia" w:hAnsiTheme="minorEastAsia" w:eastAsiaTheme="minorEastAsia" w:cstheme="minorEastAsia"/>
          <w:bCs/>
          <w:szCs w:val="21"/>
        </w:rPr>
        <w:t>方法：</w:t>
      </w:r>
      <w:r>
        <w:rPr>
          <w:rFonts w:hint="eastAsia" w:asciiTheme="minorEastAsia" w:hAnsiTheme="minorEastAsia" w:eastAsiaTheme="minorEastAsia" w:cstheme="minorEastAsia"/>
        </w:rPr>
        <w:t>综合评分法，</w:t>
      </w:r>
      <w:r>
        <w:rPr>
          <w:rFonts w:hint="eastAsia" w:asciiTheme="minorEastAsia" w:hAnsiTheme="minorEastAsia" w:eastAsiaTheme="minorEastAsia" w:cstheme="minorEastAsia"/>
          <w:lang w:val="en-US" w:eastAsia="zh-CN"/>
        </w:rPr>
        <w:t>遴选响应方的遴选响应文件符合</w:t>
      </w:r>
      <w:r>
        <w:rPr>
          <w:rFonts w:hint="eastAsia" w:asciiTheme="minorEastAsia" w:hAnsiTheme="minorEastAsia" w:eastAsiaTheme="minorEastAsia" w:cstheme="minorEastAsia"/>
        </w:rPr>
        <w:t>全部实质性要求，且按照评审因素的量化指标评审得分最高的</w:t>
      </w:r>
      <w:r>
        <w:rPr>
          <w:rFonts w:hint="eastAsia" w:asciiTheme="minorEastAsia" w:hAnsiTheme="minorEastAsia" w:eastAsiaTheme="minorEastAsia" w:cstheme="minorEastAsia"/>
          <w:lang w:val="en-US" w:eastAsia="zh-CN"/>
        </w:rPr>
        <w:t>遴选响应方</w:t>
      </w:r>
      <w:r>
        <w:rPr>
          <w:rFonts w:hint="eastAsia" w:asciiTheme="minorEastAsia" w:hAnsiTheme="minorEastAsia" w:eastAsiaTheme="minorEastAsia" w:cstheme="minorEastAsia"/>
        </w:rPr>
        <w:t>为</w:t>
      </w:r>
      <w:r>
        <w:rPr>
          <w:rFonts w:hint="eastAsia" w:asciiTheme="minorEastAsia" w:hAnsiTheme="minorEastAsia" w:eastAsiaTheme="minorEastAsia" w:cstheme="minorEastAsia"/>
          <w:lang w:eastAsia="zh-CN"/>
        </w:rPr>
        <w:t>中选</w:t>
      </w:r>
      <w:r>
        <w:rPr>
          <w:rFonts w:hint="eastAsia" w:asciiTheme="minorEastAsia" w:hAnsiTheme="minorEastAsia" w:eastAsiaTheme="minorEastAsia" w:cstheme="minorEastAsia"/>
        </w:rPr>
        <w:t>候选人的</w:t>
      </w:r>
      <w:r>
        <w:rPr>
          <w:rFonts w:hint="eastAsia" w:asciiTheme="minorEastAsia" w:hAnsiTheme="minorEastAsia" w:eastAsiaTheme="minorEastAsia" w:cstheme="minorEastAsia"/>
          <w:lang w:eastAsia="zh-CN"/>
        </w:rPr>
        <w:t>评审</w:t>
      </w:r>
      <w:r>
        <w:rPr>
          <w:rFonts w:hint="eastAsia" w:asciiTheme="minorEastAsia" w:hAnsiTheme="minorEastAsia" w:eastAsiaTheme="minorEastAsia" w:cstheme="minorEastAsia"/>
        </w:rPr>
        <w:t>方法。</w:t>
      </w:r>
    </w:p>
    <w:p w14:paraId="155A0CC0">
      <w:pPr>
        <w:pStyle w:val="85"/>
        <w:widowControl/>
        <w:spacing w:line="360" w:lineRule="auto"/>
        <w:ind w:left="567" w:firstLine="0" w:firstLineChars="0"/>
        <w:jc w:val="left"/>
        <w:rPr>
          <w:rFonts w:asciiTheme="minorEastAsia" w:hAnsiTheme="minorEastAsia" w:eastAsiaTheme="minorEastAsia" w:cstheme="minorEastAsia"/>
        </w:rPr>
      </w:pPr>
      <w:r>
        <w:rPr>
          <w:rFonts w:hint="eastAsia" w:asciiTheme="minorEastAsia" w:hAnsiTheme="minorEastAsia" w:eastAsiaTheme="minorEastAsia" w:cstheme="minorEastAsia"/>
        </w:rPr>
        <w:t>评</w:t>
      </w:r>
      <w:r>
        <w:rPr>
          <w:rFonts w:hint="eastAsia" w:asciiTheme="minorEastAsia" w:hAnsiTheme="minorEastAsia" w:eastAsiaTheme="minorEastAsia" w:cstheme="minorEastAsia"/>
          <w:lang w:val="en-US" w:eastAsia="zh-CN"/>
        </w:rPr>
        <w:t>审</w:t>
      </w:r>
      <w:r>
        <w:rPr>
          <w:rFonts w:hint="eastAsia" w:asciiTheme="minorEastAsia" w:hAnsiTheme="minorEastAsia" w:eastAsiaTheme="minorEastAsia" w:cstheme="minorEastAsia"/>
        </w:rPr>
        <w:t xml:space="preserve">总得分＝F1×A1＋F2×A2＋……＋Fn×An </w:t>
      </w:r>
    </w:p>
    <w:p w14:paraId="560A9136">
      <w:pPr>
        <w:pStyle w:val="85"/>
        <w:widowControl/>
        <w:spacing w:line="360" w:lineRule="auto"/>
        <w:ind w:left="567" w:firstLine="0" w:firstLineChars="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F1、F2……Fn分别为各项评审因素的得分； </w:t>
      </w:r>
    </w:p>
    <w:p w14:paraId="4275035B">
      <w:pPr>
        <w:pStyle w:val="85"/>
        <w:widowControl/>
        <w:spacing w:line="360" w:lineRule="auto"/>
        <w:ind w:left="567" w:firstLine="0"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rPr>
        <w:t>A1、A2、……An 分别为各项评审因素所占的权重(A1＋A2＋……＋An＝1)。</w:t>
      </w:r>
    </w:p>
    <w:p w14:paraId="028D05FE">
      <w:pPr>
        <w:pStyle w:val="85"/>
        <w:widowControl/>
        <w:numPr>
          <w:ilvl w:val="1"/>
          <w:numId w:val="0"/>
        </w:numPr>
        <w:spacing w:line="360" w:lineRule="auto"/>
        <w:ind w:left="567" w:leftChars="0" w:hanging="567" w:firstLineChars="0"/>
        <w:jc w:val="left"/>
        <w:outlineLvl w:val="9"/>
        <w:rPr>
          <w:rFonts w:ascii="宋体" w:hAnsi="宋体"/>
          <w:bCs/>
          <w:szCs w:val="21"/>
        </w:rPr>
      </w:pPr>
      <w:r>
        <w:rPr>
          <w:rFonts w:ascii="宋体" w:hAnsi="宋体" w:eastAsia="宋体" w:cs="Times New Roman"/>
          <w:b w:val="0"/>
          <w:bCs/>
          <w:kern w:val="2"/>
          <w:sz w:val="21"/>
          <w:szCs w:val="21"/>
          <w:lang w:val="en-US" w:eastAsia="zh-CN" w:bidi="ar-SA"/>
        </w:rPr>
        <w:t>3.2.</w:t>
      </w:r>
      <w:r>
        <w:rPr>
          <w:rFonts w:hint="eastAsia" w:ascii="宋体" w:hAnsi="宋体"/>
          <w:bCs/>
          <w:szCs w:val="21"/>
          <w:lang w:eastAsia="zh-CN"/>
        </w:rPr>
        <w:t>评审</w:t>
      </w:r>
      <w:r>
        <w:rPr>
          <w:rFonts w:hint="eastAsia" w:ascii="宋体" w:hAnsi="宋体"/>
          <w:bCs/>
          <w:szCs w:val="21"/>
        </w:rPr>
        <w:t>步骤：</w:t>
      </w:r>
    </w:p>
    <w:p w14:paraId="5FC91109">
      <w:pPr>
        <w:pStyle w:val="85"/>
        <w:widowControl/>
        <w:numPr>
          <w:ilvl w:val="2"/>
          <w:numId w:val="0"/>
        </w:numPr>
        <w:spacing w:line="360" w:lineRule="auto"/>
        <w:ind w:left="709" w:leftChars="0" w:hanging="709" w:firstLineChars="0"/>
        <w:jc w:val="left"/>
        <w:rPr>
          <w:rFonts w:ascii="宋体" w:cs="宋体"/>
          <w:szCs w:val="21"/>
        </w:rPr>
      </w:pPr>
      <w:r>
        <w:rPr>
          <w:rFonts w:ascii="宋体" w:hAnsi="Times New Roman" w:eastAsia="宋体" w:cs="宋体"/>
          <w:kern w:val="2"/>
          <w:sz w:val="21"/>
          <w:szCs w:val="21"/>
          <w:lang w:val="en-US" w:eastAsia="zh-CN" w:bidi="ar-SA"/>
        </w:rPr>
        <w:t>3.2.1.</w:t>
      </w:r>
      <w:r>
        <w:rPr>
          <w:rFonts w:hint="eastAsia" w:ascii="宋体" w:cs="宋体"/>
          <w:kern w:val="2"/>
          <w:sz w:val="21"/>
          <w:szCs w:val="21"/>
          <w:lang w:val="en-US" w:eastAsia="zh-CN" w:bidi="ar-SA"/>
        </w:rPr>
        <w:t xml:space="preserve"> </w:t>
      </w:r>
      <w:r>
        <w:rPr>
          <w:rFonts w:hint="eastAsia" w:ascii="宋体" w:hAnsi="宋体"/>
          <w:bCs/>
          <w:szCs w:val="21"/>
        </w:rPr>
        <w:t>资格性审查：</w:t>
      </w:r>
      <w:r>
        <w:rPr>
          <w:rFonts w:hint="eastAsia" w:ascii="宋体" w:cs="宋体"/>
          <w:szCs w:val="21"/>
        </w:rPr>
        <w:t>采购人应当依法对</w:t>
      </w:r>
      <w:r>
        <w:rPr>
          <w:rFonts w:hint="eastAsia" w:ascii="宋体" w:cs="宋体"/>
          <w:szCs w:val="21"/>
          <w:lang w:val="en-US" w:eastAsia="zh-CN"/>
        </w:rPr>
        <w:t>遴选响应方</w:t>
      </w:r>
      <w:r>
        <w:rPr>
          <w:rFonts w:hint="eastAsia" w:ascii="宋体" w:cs="宋体"/>
          <w:szCs w:val="21"/>
        </w:rPr>
        <w:t>的资格进行审查，详见《资格性审查表》。对初步被认定为资格性审查不合格的，可实行告知</w:t>
      </w:r>
      <w:r>
        <w:rPr>
          <w:rFonts w:hint="eastAsia" w:ascii="宋体" w:cs="宋体"/>
          <w:szCs w:val="21"/>
          <w:lang w:val="en-US" w:eastAsia="zh-CN"/>
        </w:rPr>
        <w:t>遴选响应方</w:t>
      </w:r>
      <w:r>
        <w:rPr>
          <w:rFonts w:hint="eastAsia" w:ascii="宋体" w:cs="宋体"/>
          <w:szCs w:val="21"/>
        </w:rPr>
        <w:t>，以让其核证、澄清事实。未通过资格性审查的</w:t>
      </w:r>
      <w:r>
        <w:rPr>
          <w:rFonts w:hint="eastAsia" w:ascii="宋体" w:cs="宋体"/>
          <w:szCs w:val="21"/>
          <w:lang w:val="en-US" w:eastAsia="zh-CN"/>
        </w:rPr>
        <w:t>遴选响应方</w:t>
      </w:r>
      <w:r>
        <w:rPr>
          <w:rFonts w:hint="eastAsia" w:ascii="宋体" w:cs="宋体"/>
          <w:szCs w:val="21"/>
        </w:rPr>
        <w:t>，不进入符合性审查。</w:t>
      </w:r>
    </w:p>
    <w:p w14:paraId="529BB135">
      <w:pPr>
        <w:pStyle w:val="85"/>
        <w:widowControl/>
        <w:numPr>
          <w:ilvl w:val="2"/>
          <w:numId w:val="0"/>
        </w:numPr>
        <w:spacing w:line="360" w:lineRule="auto"/>
        <w:ind w:left="709" w:leftChars="0" w:hanging="709" w:firstLineChars="0"/>
        <w:jc w:val="left"/>
        <w:rPr>
          <w:rFonts w:ascii="宋体" w:cs="宋体"/>
          <w:szCs w:val="21"/>
        </w:rPr>
      </w:pPr>
      <w:r>
        <w:rPr>
          <w:rFonts w:ascii="宋体" w:hAnsi="Times New Roman" w:eastAsia="宋体" w:cs="宋体"/>
          <w:kern w:val="2"/>
          <w:sz w:val="21"/>
          <w:szCs w:val="21"/>
          <w:lang w:val="en-US" w:eastAsia="zh-CN" w:bidi="ar-SA"/>
        </w:rPr>
        <w:t>3.2.2.</w:t>
      </w:r>
      <w:r>
        <w:rPr>
          <w:rFonts w:hint="eastAsia" w:ascii="宋体" w:cs="宋体"/>
          <w:kern w:val="2"/>
          <w:sz w:val="21"/>
          <w:szCs w:val="21"/>
          <w:lang w:val="en-US" w:eastAsia="zh-CN" w:bidi="ar-SA"/>
        </w:rPr>
        <w:t xml:space="preserve"> </w:t>
      </w:r>
      <w:r>
        <w:rPr>
          <w:rFonts w:hint="eastAsia" w:ascii="宋体" w:cs="宋体"/>
          <w:szCs w:val="21"/>
        </w:rPr>
        <w:t>符合性审查：</w:t>
      </w:r>
      <w:r>
        <w:rPr>
          <w:rFonts w:hint="eastAsia" w:ascii="宋体" w:cs="宋体"/>
          <w:szCs w:val="21"/>
          <w:lang w:eastAsia="zh-CN"/>
        </w:rPr>
        <w:t>评审</w:t>
      </w:r>
      <w:r>
        <w:rPr>
          <w:rFonts w:hint="eastAsia" w:ascii="宋体" w:cs="宋体"/>
          <w:szCs w:val="21"/>
        </w:rPr>
        <w:t>委员会应当对符合资格的</w:t>
      </w:r>
      <w:r>
        <w:rPr>
          <w:rFonts w:hint="eastAsia" w:ascii="宋体" w:cs="宋体"/>
          <w:szCs w:val="21"/>
          <w:lang w:eastAsia="zh-CN"/>
        </w:rPr>
        <w:t>遴选响应方</w:t>
      </w:r>
      <w:r>
        <w:rPr>
          <w:rFonts w:hint="eastAsia" w:ascii="宋体" w:cs="宋体"/>
          <w:szCs w:val="21"/>
        </w:rPr>
        <w:t>的</w:t>
      </w:r>
      <w:r>
        <w:rPr>
          <w:rFonts w:hint="eastAsia" w:ascii="宋体" w:cs="宋体"/>
          <w:szCs w:val="21"/>
          <w:lang w:eastAsia="zh-CN"/>
        </w:rPr>
        <w:t>遴选响应文件</w:t>
      </w:r>
      <w:r>
        <w:rPr>
          <w:rFonts w:hint="eastAsia" w:ascii="宋体" w:cs="宋体"/>
          <w:szCs w:val="21"/>
        </w:rPr>
        <w:t>进行符合性审查，详见《符合性审查表》，以确定其是否满足</w:t>
      </w:r>
      <w:r>
        <w:rPr>
          <w:rFonts w:hint="eastAsia" w:ascii="宋体" w:cs="宋体"/>
          <w:szCs w:val="21"/>
          <w:lang w:val="en-US" w:eastAsia="zh-CN"/>
        </w:rPr>
        <w:t>遴选文件</w:t>
      </w:r>
      <w:r>
        <w:rPr>
          <w:rFonts w:hint="eastAsia" w:ascii="宋体" w:cs="宋体"/>
          <w:szCs w:val="21"/>
        </w:rPr>
        <w:t>的实质性要求。</w:t>
      </w:r>
      <w:r>
        <w:rPr>
          <w:rFonts w:hint="eastAsia" w:ascii="宋体" w:hAnsi="宋体" w:cs="宋体"/>
          <w:szCs w:val="21"/>
          <w:lang w:eastAsia="zh-CN"/>
        </w:rPr>
        <w:t>评审</w:t>
      </w:r>
      <w:r>
        <w:rPr>
          <w:rFonts w:hint="eastAsia" w:ascii="宋体" w:hAnsi="宋体" w:cs="宋体"/>
          <w:szCs w:val="21"/>
        </w:rPr>
        <w:t>委员会对初步被认定为符合性审查不合格或无效</w:t>
      </w:r>
      <w:r>
        <w:rPr>
          <w:rFonts w:hint="eastAsia" w:ascii="宋体" w:hAnsi="宋体" w:cs="宋体"/>
          <w:szCs w:val="21"/>
          <w:lang w:eastAsia="zh-CN"/>
        </w:rPr>
        <w:t>遴选响应</w:t>
      </w:r>
      <w:r>
        <w:rPr>
          <w:rFonts w:hint="eastAsia" w:ascii="宋体" w:hAnsi="宋体" w:cs="宋体"/>
          <w:szCs w:val="21"/>
        </w:rPr>
        <w:t>者可实行告知</w:t>
      </w:r>
      <w:r>
        <w:rPr>
          <w:rFonts w:hint="eastAsia" w:ascii="宋体" w:cs="宋体"/>
          <w:szCs w:val="21"/>
          <w:lang w:eastAsia="zh-CN"/>
        </w:rPr>
        <w:t>遴选响应</w:t>
      </w:r>
      <w:r>
        <w:rPr>
          <w:rFonts w:hint="eastAsia" w:ascii="宋体" w:cs="宋体"/>
          <w:szCs w:val="21"/>
        </w:rPr>
        <w:t>当事人</w:t>
      </w:r>
      <w:r>
        <w:rPr>
          <w:rFonts w:hint="eastAsia" w:ascii="宋体" w:hAnsi="宋体" w:cs="宋体"/>
          <w:szCs w:val="21"/>
        </w:rPr>
        <w:t>，由</w:t>
      </w:r>
      <w:r>
        <w:rPr>
          <w:rFonts w:hint="eastAsia" w:ascii="宋体" w:hAnsi="宋体" w:cs="宋体"/>
          <w:szCs w:val="21"/>
          <w:lang w:eastAsia="zh-CN"/>
        </w:rPr>
        <w:t>评审</w:t>
      </w:r>
      <w:r>
        <w:rPr>
          <w:rFonts w:hint="eastAsia" w:ascii="宋体" w:hAnsi="宋体" w:cs="宋体"/>
          <w:szCs w:val="21"/>
        </w:rPr>
        <w:t>委员会主任或采购人代表将集体意见现场及时告知</w:t>
      </w:r>
      <w:r>
        <w:rPr>
          <w:rFonts w:hint="eastAsia" w:ascii="宋体" w:hAnsi="宋体" w:cs="宋体"/>
          <w:szCs w:val="21"/>
          <w:lang w:eastAsia="zh-CN"/>
        </w:rPr>
        <w:t>遴选响应</w:t>
      </w:r>
      <w:r>
        <w:rPr>
          <w:rFonts w:hint="eastAsia" w:ascii="宋体" w:hAnsi="宋体" w:cs="宋体"/>
          <w:szCs w:val="21"/>
        </w:rPr>
        <w:t>当事人，以让其核证、澄清事实。</w:t>
      </w:r>
      <w:r>
        <w:rPr>
          <w:rFonts w:hint="eastAsia" w:ascii="宋体" w:cs="宋体"/>
          <w:szCs w:val="21"/>
        </w:rPr>
        <w:t>未通过符合性审查的</w:t>
      </w:r>
      <w:r>
        <w:rPr>
          <w:rFonts w:hint="eastAsia" w:ascii="宋体" w:cs="宋体"/>
          <w:szCs w:val="21"/>
          <w:lang w:eastAsia="zh-CN"/>
        </w:rPr>
        <w:t>遴选响应方</w:t>
      </w:r>
      <w:r>
        <w:rPr>
          <w:rFonts w:hint="eastAsia" w:ascii="宋体" w:cs="宋体"/>
          <w:szCs w:val="21"/>
        </w:rPr>
        <w:t>，不进入技术、商务和价格评审。</w:t>
      </w:r>
    </w:p>
    <w:p w14:paraId="0D1CCEE9">
      <w:pPr>
        <w:pStyle w:val="85"/>
        <w:widowControl/>
        <w:numPr>
          <w:ilvl w:val="2"/>
          <w:numId w:val="0"/>
        </w:numPr>
        <w:spacing w:line="360" w:lineRule="auto"/>
        <w:ind w:left="709" w:leftChars="0" w:hanging="709" w:firstLineChars="0"/>
        <w:jc w:val="left"/>
        <w:outlineLvl w:val="9"/>
        <w:rPr>
          <w:rFonts w:ascii="宋体" w:cs="宋体"/>
          <w:szCs w:val="21"/>
        </w:rPr>
      </w:pPr>
      <w:r>
        <w:rPr>
          <w:rFonts w:ascii="宋体" w:hAnsi="Times New Roman" w:eastAsia="宋体" w:cs="宋体"/>
          <w:kern w:val="2"/>
          <w:sz w:val="21"/>
          <w:szCs w:val="21"/>
          <w:lang w:val="en-US" w:eastAsia="zh-CN" w:bidi="ar-SA"/>
        </w:rPr>
        <w:t>3.2.3.</w:t>
      </w:r>
      <w:r>
        <w:rPr>
          <w:rFonts w:hint="eastAsia" w:ascii="宋体" w:cs="宋体"/>
          <w:szCs w:val="21"/>
        </w:rPr>
        <w:t>详细评审及推荐</w:t>
      </w:r>
      <w:r>
        <w:rPr>
          <w:rFonts w:hint="eastAsia" w:ascii="宋体" w:cs="宋体"/>
          <w:szCs w:val="21"/>
          <w:lang w:eastAsia="zh-CN"/>
        </w:rPr>
        <w:t>中选</w:t>
      </w:r>
      <w:r>
        <w:rPr>
          <w:rFonts w:hint="eastAsia" w:ascii="宋体" w:cs="宋体"/>
          <w:szCs w:val="21"/>
        </w:rPr>
        <w:t>候选人：</w:t>
      </w:r>
    </w:p>
    <w:p w14:paraId="30D9F3BE">
      <w:pPr>
        <w:pStyle w:val="85"/>
        <w:widowControl/>
        <w:numPr>
          <w:ilvl w:val="3"/>
          <w:numId w:val="0"/>
        </w:numPr>
        <w:spacing w:line="360" w:lineRule="auto"/>
        <w:ind w:left="851" w:leftChars="0" w:hanging="851" w:firstLineChars="0"/>
        <w:jc w:val="left"/>
        <w:rPr>
          <w:rFonts w:ascii="宋体" w:cs="宋体"/>
          <w:szCs w:val="21"/>
        </w:rPr>
      </w:pPr>
      <w:r>
        <w:rPr>
          <w:rFonts w:ascii="宋体" w:hAnsi="Times New Roman" w:eastAsia="宋体" w:cs="宋体"/>
          <w:kern w:val="2"/>
          <w:sz w:val="21"/>
          <w:szCs w:val="21"/>
          <w:lang w:val="en-US" w:eastAsia="zh-CN" w:bidi="ar-SA"/>
        </w:rPr>
        <w:t>3.2.3.1.</w:t>
      </w:r>
      <w:r>
        <w:rPr>
          <w:rFonts w:hint="eastAsia" w:ascii="宋体" w:cs="宋体"/>
          <w:szCs w:val="21"/>
          <w:lang w:eastAsia="zh-CN"/>
        </w:rPr>
        <w:t>评审</w:t>
      </w:r>
      <w:r>
        <w:rPr>
          <w:rFonts w:hint="eastAsia" w:ascii="宋体" w:cs="宋体"/>
          <w:szCs w:val="21"/>
        </w:rPr>
        <w:t>委员会对符合性审查合格的</w:t>
      </w:r>
      <w:r>
        <w:rPr>
          <w:rFonts w:hint="eastAsia" w:ascii="宋体" w:cs="宋体"/>
          <w:szCs w:val="21"/>
          <w:lang w:eastAsia="zh-CN"/>
        </w:rPr>
        <w:t>遴选响应文件</w:t>
      </w:r>
      <w:r>
        <w:rPr>
          <w:rFonts w:hint="eastAsia" w:ascii="宋体" w:cs="宋体"/>
          <w:szCs w:val="21"/>
        </w:rPr>
        <w:t>进行商务和技术评估，综合比较与评价，具体技术、商务、价格部分的评审因素详见《综合评分表》。</w:t>
      </w:r>
    </w:p>
    <w:p w14:paraId="47706F0B">
      <w:pPr>
        <w:pStyle w:val="85"/>
        <w:widowControl/>
        <w:numPr>
          <w:ilvl w:val="3"/>
          <w:numId w:val="0"/>
        </w:numPr>
        <w:spacing w:line="360" w:lineRule="auto"/>
        <w:ind w:left="851" w:leftChars="0" w:hanging="851" w:firstLineChars="0"/>
        <w:jc w:val="left"/>
        <w:rPr>
          <w:rFonts w:ascii="宋体" w:cs="宋体"/>
          <w:szCs w:val="21"/>
        </w:rPr>
      </w:pPr>
      <w:r>
        <w:rPr>
          <w:rFonts w:ascii="宋体" w:hAnsi="Times New Roman" w:eastAsia="宋体" w:cs="宋体"/>
          <w:kern w:val="2"/>
          <w:sz w:val="21"/>
          <w:szCs w:val="21"/>
          <w:lang w:val="en-US" w:eastAsia="zh-CN" w:bidi="ar-SA"/>
        </w:rPr>
        <w:t>3.2.3.2.</w:t>
      </w:r>
      <w:r>
        <w:rPr>
          <w:rFonts w:hint="eastAsia" w:ascii="宋体" w:hAnsi="宋体"/>
          <w:bCs/>
          <w:lang w:eastAsia="zh-CN"/>
        </w:rPr>
        <w:t>评审</w:t>
      </w:r>
      <w:r>
        <w:rPr>
          <w:rFonts w:hint="eastAsia" w:ascii="宋体" w:hAnsi="宋体"/>
          <w:bCs/>
        </w:rPr>
        <w:t>过程中，不得去掉报价中的最高报价和最低报价。</w:t>
      </w:r>
    </w:p>
    <w:p w14:paraId="117599AE">
      <w:pPr>
        <w:pStyle w:val="85"/>
        <w:widowControl/>
        <w:numPr>
          <w:ilvl w:val="3"/>
          <w:numId w:val="0"/>
        </w:numPr>
        <w:spacing w:line="360" w:lineRule="auto"/>
        <w:ind w:left="851" w:leftChars="0" w:hanging="851" w:firstLineChars="0"/>
        <w:jc w:val="left"/>
        <w:rPr>
          <w:rFonts w:ascii="宋体" w:hAnsi="宋体"/>
          <w:szCs w:val="21"/>
        </w:rPr>
      </w:pPr>
      <w:bookmarkStart w:id="37" w:name="EB067d940baba349e582b898bfd18c9719"/>
      <w:r>
        <w:rPr>
          <w:rFonts w:ascii="宋体" w:hAnsi="宋体" w:eastAsia="宋体" w:cs="Times New Roman"/>
          <w:kern w:val="2"/>
          <w:sz w:val="21"/>
          <w:szCs w:val="21"/>
          <w:lang w:val="en-US" w:eastAsia="zh-CN" w:bidi="ar-SA"/>
        </w:rPr>
        <w:t>3.2.3.3.</w:t>
      </w:r>
      <w:r>
        <w:rPr>
          <w:rFonts w:ascii="宋体" w:hAnsi="宋体" w:cs="宋体"/>
          <w:szCs w:val="21"/>
        </w:rPr>
        <w:t>综合</w:t>
      </w:r>
      <w:r>
        <w:rPr>
          <w:rFonts w:hint="eastAsia" w:ascii="宋体" w:hAnsi="宋体" w:cs="宋体"/>
          <w:szCs w:val="21"/>
        </w:rPr>
        <w:t>得分</w:t>
      </w:r>
      <w:r>
        <w:rPr>
          <w:rFonts w:ascii="宋体" w:hAnsi="宋体" w:cs="宋体"/>
          <w:szCs w:val="21"/>
        </w:rPr>
        <w:t>=技术</w:t>
      </w:r>
      <w:r>
        <w:rPr>
          <w:rFonts w:hint="eastAsia" w:ascii="宋体" w:hAnsi="宋体" w:cs="宋体"/>
          <w:szCs w:val="21"/>
        </w:rPr>
        <w:t>得分</w:t>
      </w:r>
      <w:r>
        <w:rPr>
          <w:rFonts w:ascii="宋体" w:hAnsi="宋体" w:cs="宋体"/>
          <w:szCs w:val="21"/>
        </w:rPr>
        <w:t>+商务</w:t>
      </w:r>
      <w:r>
        <w:rPr>
          <w:rFonts w:hint="eastAsia" w:ascii="宋体" w:hAnsi="宋体" w:cs="宋体"/>
          <w:szCs w:val="21"/>
        </w:rPr>
        <w:t>得分</w:t>
      </w:r>
      <w:r>
        <w:rPr>
          <w:rFonts w:ascii="宋体" w:hAnsi="宋体" w:cs="宋体"/>
          <w:szCs w:val="21"/>
        </w:rPr>
        <w:t>+价格</w:t>
      </w:r>
      <w:bookmarkEnd w:id="37"/>
      <w:r>
        <w:rPr>
          <w:rFonts w:hint="eastAsia" w:ascii="宋体" w:hAnsi="宋体" w:cs="宋体"/>
          <w:szCs w:val="21"/>
        </w:rPr>
        <w:t>得分。</w:t>
      </w:r>
    </w:p>
    <w:p w14:paraId="27E7C87F">
      <w:pPr>
        <w:pStyle w:val="85"/>
        <w:widowControl/>
        <w:numPr>
          <w:ilvl w:val="3"/>
          <w:numId w:val="0"/>
        </w:numPr>
        <w:spacing w:line="360" w:lineRule="auto"/>
        <w:ind w:left="851" w:leftChars="0" w:hanging="851" w:firstLineChars="0"/>
        <w:jc w:val="left"/>
        <w:rPr>
          <w:rFonts w:ascii="宋体" w:hAnsi="宋体" w:cs="宋体"/>
          <w:szCs w:val="21"/>
        </w:rPr>
      </w:pPr>
      <w:r>
        <w:rPr>
          <w:rFonts w:ascii="宋体" w:hAnsi="宋体" w:eastAsia="宋体" w:cs="宋体"/>
          <w:kern w:val="2"/>
          <w:sz w:val="21"/>
          <w:szCs w:val="21"/>
          <w:lang w:val="en-US" w:eastAsia="zh-CN" w:bidi="ar-SA"/>
        </w:rPr>
        <w:t>3.2.3.4.</w:t>
      </w:r>
      <w:r>
        <w:rPr>
          <w:rFonts w:hint="eastAsia" w:ascii="宋体" w:hAnsi="宋体" w:cs="宋体"/>
          <w:szCs w:val="21"/>
        </w:rPr>
        <w:t>使用综合评分法的采购项目，单一产品采购</w:t>
      </w:r>
      <w:r>
        <w:rPr>
          <w:rFonts w:hint="eastAsia" w:ascii="宋体" w:hAnsi="宋体"/>
          <w:szCs w:val="21"/>
        </w:rPr>
        <w:t>项目</w:t>
      </w:r>
      <w:r>
        <w:rPr>
          <w:rFonts w:hint="eastAsia" w:ascii="宋体" w:hAnsi="宋体" w:cs="宋体"/>
          <w:szCs w:val="21"/>
        </w:rPr>
        <w:t>提供相同品牌产品或</w:t>
      </w:r>
      <w:r>
        <w:rPr>
          <w:rFonts w:hint="eastAsia" w:ascii="宋体" w:hAnsi="宋体"/>
          <w:szCs w:val="21"/>
        </w:rPr>
        <w:t>非单一产品采购项目多家</w:t>
      </w:r>
      <w:r>
        <w:rPr>
          <w:rFonts w:hint="eastAsia" w:ascii="宋体" w:hAnsi="宋体"/>
          <w:szCs w:val="21"/>
          <w:lang w:eastAsia="zh-CN"/>
        </w:rPr>
        <w:t>遴选响应方</w:t>
      </w:r>
      <w:r>
        <w:rPr>
          <w:rFonts w:hint="eastAsia" w:ascii="宋体" w:hAnsi="宋体"/>
          <w:szCs w:val="21"/>
        </w:rPr>
        <w:t>提供的核心产品品牌相同的，</w:t>
      </w:r>
      <w:r>
        <w:rPr>
          <w:rFonts w:hint="eastAsia" w:ascii="宋体" w:hAnsi="宋体" w:cs="宋体"/>
          <w:szCs w:val="21"/>
        </w:rPr>
        <w:t>且通过资格审查、符合性审查的不同</w:t>
      </w:r>
      <w:r>
        <w:rPr>
          <w:rFonts w:hint="eastAsia" w:ascii="宋体" w:hAnsi="宋体" w:cs="宋体"/>
          <w:szCs w:val="21"/>
          <w:lang w:eastAsia="zh-CN"/>
        </w:rPr>
        <w:t>遴选响应方</w:t>
      </w:r>
      <w:r>
        <w:rPr>
          <w:rFonts w:hint="eastAsia" w:ascii="宋体" w:hAnsi="宋体" w:cs="宋体"/>
          <w:szCs w:val="21"/>
        </w:rPr>
        <w:t>参加同一合同项下</w:t>
      </w:r>
      <w:r>
        <w:rPr>
          <w:rFonts w:hint="eastAsia" w:ascii="宋体" w:hAnsi="宋体" w:cs="宋体"/>
          <w:szCs w:val="21"/>
          <w:lang w:eastAsia="zh-CN"/>
        </w:rPr>
        <w:t>遴选响应</w:t>
      </w:r>
      <w:r>
        <w:rPr>
          <w:rFonts w:hint="eastAsia" w:ascii="宋体" w:hAnsi="宋体" w:cs="宋体"/>
          <w:szCs w:val="21"/>
        </w:rPr>
        <w:t>的，按一家</w:t>
      </w:r>
      <w:r>
        <w:rPr>
          <w:rFonts w:hint="eastAsia" w:ascii="宋体" w:hAnsi="宋体" w:cs="宋体"/>
          <w:szCs w:val="21"/>
          <w:lang w:eastAsia="zh-CN"/>
        </w:rPr>
        <w:t>遴选响应方</w:t>
      </w:r>
      <w:r>
        <w:rPr>
          <w:rFonts w:hint="eastAsia" w:ascii="宋体" w:hAnsi="宋体" w:cs="宋体"/>
          <w:szCs w:val="21"/>
        </w:rPr>
        <w:t>计算，评审后得分最高的同品牌</w:t>
      </w:r>
      <w:r>
        <w:rPr>
          <w:rFonts w:hint="eastAsia" w:ascii="宋体" w:hAnsi="宋体" w:cs="宋体"/>
          <w:szCs w:val="21"/>
          <w:lang w:eastAsia="zh-CN"/>
        </w:rPr>
        <w:t>遴选响应方</w:t>
      </w:r>
      <w:r>
        <w:rPr>
          <w:rFonts w:hint="eastAsia" w:ascii="宋体" w:hAnsi="宋体" w:cs="宋体"/>
          <w:szCs w:val="21"/>
        </w:rPr>
        <w:t>获得</w:t>
      </w:r>
      <w:r>
        <w:rPr>
          <w:rFonts w:hint="eastAsia" w:ascii="宋体" w:hAnsi="宋体" w:cs="宋体"/>
          <w:szCs w:val="21"/>
          <w:lang w:eastAsia="zh-CN"/>
        </w:rPr>
        <w:t>中选方</w:t>
      </w:r>
      <w:r>
        <w:rPr>
          <w:rFonts w:hint="eastAsia" w:ascii="宋体" w:hAnsi="宋体" w:cs="宋体"/>
          <w:szCs w:val="21"/>
        </w:rPr>
        <w:t>推荐资格；评审得分相同的，按</w:t>
      </w:r>
      <w:r>
        <w:rPr>
          <w:rFonts w:hint="eastAsia" w:ascii="宋体" w:hAnsi="宋体" w:cs="宋体"/>
          <w:szCs w:val="21"/>
          <w:lang w:eastAsia="zh-CN"/>
        </w:rPr>
        <w:t>遴选响应</w:t>
      </w:r>
      <w:r>
        <w:rPr>
          <w:rFonts w:hint="eastAsia" w:ascii="宋体" w:hAnsi="宋体" w:cs="宋体"/>
          <w:szCs w:val="21"/>
        </w:rPr>
        <w:t>报价由低到高顺序排列；得分且</w:t>
      </w:r>
      <w:r>
        <w:rPr>
          <w:rFonts w:hint="eastAsia" w:ascii="宋体" w:hAnsi="宋体" w:cs="宋体"/>
          <w:szCs w:val="21"/>
          <w:lang w:eastAsia="zh-CN"/>
        </w:rPr>
        <w:t>遴选响应</w:t>
      </w:r>
      <w:r>
        <w:rPr>
          <w:rFonts w:hint="eastAsia" w:ascii="宋体" w:hAnsi="宋体" w:cs="宋体"/>
          <w:szCs w:val="21"/>
        </w:rPr>
        <w:t>报价相同的，由采购人委托</w:t>
      </w:r>
      <w:r>
        <w:rPr>
          <w:rFonts w:hint="eastAsia" w:ascii="宋体" w:hAnsi="宋体" w:cs="宋体"/>
          <w:szCs w:val="21"/>
          <w:lang w:eastAsia="zh-CN"/>
        </w:rPr>
        <w:t>评审</w:t>
      </w:r>
      <w:r>
        <w:rPr>
          <w:rFonts w:hint="eastAsia" w:ascii="宋体" w:hAnsi="宋体" w:cs="宋体"/>
          <w:szCs w:val="21"/>
        </w:rPr>
        <w:t>委员会采取随机抽取方式确定，其他同品牌</w:t>
      </w:r>
      <w:r>
        <w:rPr>
          <w:rFonts w:hint="eastAsia" w:ascii="宋体" w:hAnsi="宋体" w:cs="宋体"/>
          <w:szCs w:val="21"/>
          <w:lang w:eastAsia="zh-CN"/>
        </w:rPr>
        <w:t>遴选响应方</w:t>
      </w:r>
      <w:r>
        <w:rPr>
          <w:rFonts w:hint="eastAsia" w:ascii="宋体" w:hAnsi="宋体" w:cs="宋体"/>
          <w:szCs w:val="21"/>
        </w:rPr>
        <w:t>不作为</w:t>
      </w:r>
      <w:r>
        <w:rPr>
          <w:rFonts w:hint="eastAsia" w:ascii="宋体" w:hAnsi="宋体" w:cs="宋体"/>
          <w:szCs w:val="21"/>
          <w:lang w:eastAsia="zh-CN"/>
        </w:rPr>
        <w:t>中选</w:t>
      </w:r>
      <w:r>
        <w:rPr>
          <w:rFonts w:hint="eastAsia" w:ascii="宋体" w:hAnsi="宋体" w:cs="宋体"/>
          <w:szCs w:val="21"/>
        </w:rPr>
        <w:t>候选人。</w:t>
      </w:r>
    </w:p>
    <w:p w14:paraId="7DA2FCBC">
      <w:pPr>
        <w:pStyle w:val="85"/>
        <w:widowControl/>
        <w:numPr>
          <w:ilvl w:val="3"/>
          <w:numId w:val="0"/>
        </w:numPr>
        <w:spacing w:line="360" w:lineRule="auto"/>
        <w:ind w:left="851" w:leftChars="0" w:hanging="851" w:firstLineChars="0"/>
        <w:jc w:val="left"/>
        <w:rPr>
          <w:rFonts w:ascii="宋体" w:hAnsi="宋体"/>
          <w:color w:val="auto"/>
          <w:szCs w:val="21"/>
        </w:rPr>
      </w:pPr>
      <w:r>
        <w:rPr>
          <w:rFonts w:ascii="宋体" w:hAnsi="宋体" w:eastAsia="宋体" w:cs="Times New Roman"/>
          <w:color w:val="auto"/>
          <w:kern w:val="2"/>
          <w:sz w:val="21"/>
          <w:szCs w:val="21"/>
          <w:lang w:val="en-US" w:eastAsia="zh-CN" w:bidi="ar-SA"/>
        </w:rPr>
        <w:t>3.2.3.5.</w:t>
      </w:r>
      <w:r>
        <w:rPr>
          <w:rFonts w:hint="eastAsia" w:ascii="宋体" w:hAnsi="宋体"/>
          <w:color w:val="auto"/>
          <w:szCs w:val="21"/>
        </w:rPr>
        <w:t>采用综合评分法的，</w:t>
      </w:r>
      <w:r>
        <w:rPr>
          <w:rFonts w:hint="eastAsia" w:ascii="宋体" w:hAnsi="宋体"/>
          <w:color w:val="auto"/>
          <w:szCs w:val="21"/>
          <w:lang w:eastAsia="zh-CN"/>
        </w:rPr>
        <w:t>评审</w:t>
      </w:r>
      <w:r>
        <w:rPr>
          <w:rFonts w:hint="eastAsia" w:ascii="宋体" w:hAnsi="宋体"/>
          <w:color w:val="auto"/>
          <w:szCs w:val="21"/>
        </w:rPr>
        <w:t>结果按评审后得分由高到低顺序排列。得分相同的，按</w:t>
      </w:r>
      <w:r>
        <w:rPr>
          <w:rFonts w:hint="eastAsia" w:ascii="宋体" w:hAnsi="宋体"/>
          <w:color w:val="auto"/>
          <w:szCs w:val="21"/>
          <w:lang w:eastAsia="zh-CN"/>
        </w:rPr>
        <w:t>遴选响应</w:t>
      </w:r>
      <w:r>
        <w:rPr>
          <w:rFonts w:hint="eastAsia" w:ascii="宋体" w:hAnsi="宋体"/>
          <w:color w:val="auto"/>
          <w:szCs w:val="21"/>
        </w:rPr>
        <w:t>报价由低到高顺序排列。得分且</w:t>
      </w:r>
      <w:r>
        <w:rPr>
          <w:rFonts w:hint="eastAsia" w:ascii="宋体" w:hAnsi="宋体"/>
          <w:color w:val="auto"/>
          <w:szCs w:val="21"/>
          <w:lang w:eastAsia="zh-CN"/>
        </w:rPr>
        <w:t>遴选响应</w:t>
      </w:r>
      <w:r>
        <w:rPr>
          <w:rFonts w:hint="eastAsia" w:ascii="宋体" w:hAnsi="宋体"/>
          <w:color w:val="auto"/>
          <w:szCs w:val="21"/>
        </w:rPr>
        <w:t>报价相同的并列。</w:t>
      </w:r>
      <w:r>
        <w:rPr>
          <w:rFonts w:hint="eastAsia" w:ascii="宋体" w:hAnsi="宋体"/>
          <w:color w:val="auto"/>
          <w:szCs w:val="21"/>
          <w:lang w:eastAsia="zh-CN"/>
        </w:rPr>
        <w:t>遴选响应文件</w:t>
      </w:r>
      <w:r>
        <w:rPr>
          <w:rFonts w:hint="eastAsia" w:ascii="宋体" w:hAnsi="宋体"/>
          <w:color w:val="auto"/>
          <w:szCs w:val="21"/>
        </w:rPr>
        <w:t>满足</w:t>
      </w:r>
      <w:r>
        <w:rPr>
          <w:rFonts w:hint="eastAsia" w:ascii="宋体" w:hAnsi="宋体"/>
          <w:color w:val="auto"/>
          <w:szCs w:val="21"/>
          <w:lang w:val="en-US" w:eastAsia="zh-CN"/>
        </w:rPr>
        <w:t>遴选文件</w:t>
      </w:r>
      <w:r>
        <w:rPr>
          <w:rFonts w:hint="eastAsia" w:ascii="宋体" w:hAnsi="宋体"/>
          <w:color w:val="auto"/>
          <w:szCs w:val="21"/>
        </w:rPr>
        <w:t>全部实质性要求，且按照评审因素的量化指标评审得分最高的</w:t>
      </w:r>
      <w:r>
        <w:rPr>
          <w:rFonts w:hint="eastAsia" w:ascii="宋体" w:hAnsi="宋体"/>
          <w:color w:val="auto"/>
          <w:szCs w:val="21"/>
          <w:lang w:eastAsia="zh-CN"/>
        </w:rPr>
        <w:t>遴选响应方</w:t>
      </w:r>
      <w:r>
        <w:rPr>
          <w:rFonts w:hint="eastAsia" w:ascii="宋体" w:hAnsi="宋体"/>
          <w:color w:val="auto"/>
          <w:szCs w:val="21"/>
        </w:rPr>
        <w:t>为排名第一的</w:t>
      </w:r>
      <w:r>
        <w:rPr>
          <w:rFonts w:hint="eastAsia" w:ascii="宋体" w:hAnsi="宋体"/>
          <w:color w:val="auto"/>
          <w:szCs w:val="21"/>
          <w:lang w:eastAsia="zh-CN"/>
        </w:rPr>
        <w:t>中选</w:t>
      </w:r>
      <w:r>
        <w:rPr>
          <w:rFonts w:hint="eastAsia" w:ascii="宋体" w:hAnsi="宋体"/>
          <w:color w:val="auto"/>
          <w:szCs w:val="21"/>
        </w:rPr>
        <w:t>候选人。</w:t>
      </w:r>
    </w:p>
    <w:p w14:paraId="11A76680">
      <w:pPr>
        <w:pStyle w:val="85"/>
        <w:widowControl/>
        <w:numPr>
          <w:ilvl w:val="3"/>
          <w:numId w:val="0"/>
        </w:numPr>
        <w:spacing w:line="360" w:lineRule="auto"/>
        <w:ind w:left="851" w:leftChars="0" w:hanging="851" w:firstLineChars="0"/>
        <w:jc w:val="left"/>
        <w:rPr>
          <w:rFonts w:ascii="宋体" w:hAnsi="宋体"/>
          <w:color w:val="auto"/>
          <w:szCs w:val="21"/>
        </w:rPr>
      </w:pPr>
      <w:r>
        <w:rPr>
          <w:rFonts w:ascii="宋体" w:hAnsi="宋体" w:eastAsia="宋体" w:cs="Times New Roman"/>
          <w:color w:val="auto"/>
          <w:kern w:val="2"/>
          <w:sz w:val="21"/>
          <w:szCs w:val="21"/>
          <w:lang w:val="en-US" w:eastAsia="zh-CN" w:bidi="ar-SA"/>
        </w:rPr>
        <w:t>3.2.3.6.</w:t>
      </w:r>
      <w:r>
        <w:rPr>
          <w:rFonts w:hint="eastAsia" w:ascii="宋体" w:hAnsi="宋体"/>
          <w:color w:val="auto"/>
          <w:szCs w:val="21"/>
        </w:rPr>
        <w:t>推荐综合得分排名第一的</w:t>
      </w:r>
      <w:r>
        <w:rPr>
          <w:rFonts w:hint="eastAsia" w:ascii="宋体" w:hAnsi="宋体"/>
          <w:color w:val="auto"/>
          <w:szCs w:val="21"/>
          <w:lang w:eastAsia="zh-CN"/>
        </w:rPr>
        <w:t>遴选响应方</w:t>
      </w:r>
      <w:r>
        <w:rPr>
          <w:rFonts w:hint="eastAsia" w:ascii="宋体" w:hAnsi="宋体"/>
          <w:color w:val="auto"/>
          <w:szCs w:val="21"/>
        </w:rPr>
        <w:t>为第一</w:t>
      </w:r>
      <w:r>
        <w:rPr>
          <w:rFonts w:hint="eastAsia" w:ascii="宋体" w:hAnsi="宋体"/>
          <w:color w:val="auto"/>
          <w:szCs w:val="21"/>
          <w:lang w:eastAsia="zh-CN"/>
        </w:rPr>
        <w:t>中选</w:t>
      </w:r>
      <w:r>
        <w:rPr>
          <w:rFonts w:hint="eastAsia" w:ascii="宋体" w:hAnsi="宋体"/>
          <w:color w:val="auto"/>
          <w:szCs w:val="21"/>
        </w:rPr>
        <w:t>候选人，排名第二的</w:t>
      </w:r>
      <w:r>
        <w:rPr>
          <w:rFonts w:hint="eastAsia" w:ascii="宋体" w:hAnsi="宋体"/>
          <w:color w:val="auto"/>
          <w:szCs w:val="21"/>
          <w:lang w:eastAsia="zh-CN"/>
        </w:rPr>
        <w:t>遴选响应方</w:t>
      </w:r>
      <w:r>
        <w:rPr>
          <w:rFonts w:hint="eastAsia" w:ascii="宋体" w:hAnsi="宋体"/>
          <w:color w:val="auto"/>
          <w:szCs w:val="21"/>
        </w:rPr>
        <w:t>为第二</w:t>
      </w:r>
      <w:r>
        <w:rPr>
          <w:rFonts w:hint="eastAsia" w:ascii="宋体" w:hAnsi="宋体"/>
          <w:color w:val="auto"/>
          <w:szCs w:val="21"/>
          <w:lang w:eastAsia="zh-CN"/>
        </w:rPr>
        <w:t>中选</w:t>
      </w:r>
      <w:r>
        <w:rPr>
          <w:rFonts w:hint="eastAsia" w:ascii="宋体" w:hAnsi="宋体"/>
          <w:color w:val="auto"/>
          <w:szCs w:val="21"/>
        </w:rPr>
        <w:t>候选人，排名第三的</w:t>
      </w:r>
      <w:r>
        <w:rPr>
          <w:rFonts w:hint="eastAsia" w:ascii="宋体" w:hAnsi="宋体"/>
          <w:color w:val="auto"/>
          <w:szCs w:val="21"/>
          <w:lang w:eastAsia="zh-CN"/>
        </w:rPr>
        <w:t>遴选响应方</w:t>
      </w:r>
      <w:r>
        <w:rPr>
          <w:rFonts w:hint="eastAsia" w:ascii="宋体" w:hAnsi="宋体"/>
          <w:color w:val="auto"/>
          <w:szCs w:val="21"/>
        </w:rPr>
        <w:t>为第三</w:t>
      </w:r>
      <w:r>
        <w:rPr>
          <w:rFonts w:hint="eastAsia" w:ascii="宋体" w:hAnsi="宋体"/>
          <w:color w:val="auto"/>
          <w:szCs w:val="21"/>
          <w:lang w:eastAsia="zh-CN"/>
        </w:rPr>
        <w:t>中选</w:t>
      </w:r>
      <w:r>
        <w:rPr>
          <w:rFonts w:hint="eastAsia" w:ascii="宋体" w:hAnsi="宋体"/>
          <w:color w:val="auto"/>
          <w:szCs w:val="21"/>
        </w:rPr>
        <w:t>候选人。</w:t>
      </w:r>
    </w:p>
    <w:p w14:paraId="230B4121">
      <w:pPr>
        <w:pStyle w:val="85"/>
        <w:widowControl/>
        <w:numPr>
          <w:ilvl w:val="3"/>
          <w:numId w:val="0"/>
        </w:numPr>
        <w:spacing w:line="360" w:lineRule="auto"/>
        <w:ind w:left="851" w:leftChars="0" w:hanging="851" w:firstLineChars="0"/>
        <w:jc w:val="left"/>
        <w:rPr>
          <w:rFonts w:ascii="宋体" w:hAnsi="宋体" w:eastAsia="宋体" w:cs="Times New Roman"/>
          <w:b w:val="0"/>
          <w:kern w:val="2"/>
          <w:sz w:val="21"/>
          <w:szCs w:val="21"/>
          <w:lang w:val="en-US" w:eastAsia="zh-CN" w:bidi="ar-SA"/>
        </w:rPr>
      </w:pPr>
      <w:r>
        <w:rPr>
          <w:rFonts w:ascii="宋体" w:hAnsi="宋体" w:eastAsia="宋体" w:cs="Times New Roman"/>
          <w:kern w:val="2"/>
          <w:sz w:val="21"/>
          <w:szCs w:val="21"/>
          <w:lang w:val="en-US" w:eastAsia="zh-CN" w:bidi="ar-SA"/>
        </w:rPr>
        <w:t>3.2.3.7.</w:t>
      </w:r>
      <w:r>
        <w:rPr>
          <w:rFonts w:hint="eastAsia" w:ascii="宋体" w:hAnsi="宋体" w:eastAsia="宋体" w:cs="Times New Roman"/>
          <w:b w:val="0"/>
          <w:kern w:val="2"/>
          <w:sz w:val="21"/>
          <w:szCs w:val="21"/>
          <w:lang w:val="en-US" w:eastAsia="zh-CN" w:bidi="ar-SA"/>
        </w:rPr>
        <w:t>第一</w:t>
      </w:r>
      <w:r>
        <w:rPr>
          <w:rFonts w:hint="eastAsia" w:ascii="宋体" w:hAnsi="宋体" w:cs="Times New Roman"/>
          <w:b w:val="0"/>
          <w:kern w:val="2"/>
          <w:sz w:val="21"/>
          <w:szCs w:val="21"/>
          <w:lang w:val="en-US" w:eastAsia="zh-CN" w:bidi="ar-SA"/>
        </w:rPr>
        <w:t>中选</w:t>
      </w:r>
      <w:r>
        <w:rPr>
          <w:rFonts w:hint="eastAsia" w:ascii="宋体" w:hAnsi="宋体" w:eastAsia="宋体" w:cs="Times New Roman"/>
          <w:b w:val="0"/>
          <w:kern w:val="2"/>
          <w:sz w:val="21"/>
          <w:szCs w:val="21"/>
          <w:lang w:val="en-US" w:eastAsia="zh-CN" w:bidi="ar-SA"/>
        </w:rPr>
        <w:t>候选人并列的，由采购人采取随机抽取的方式确定</w:t>
      </w:r>
      <w:r>
        <w:rPr>
          <w:rFonts w:hint="eastAsia" w:ascii="宋体" w:hAnsi="宋体" w:cs="Times New Roman"/>
          <w:b w:val="0"/>
          <w:kern w:val="2"/>
          <w:sz w:val="21"/>
          <w:szCs w:val="21"/>
          <w:lang w:val="en-US" w:eastAsia="zh-CN" w:bidi="ar-SA"/>
        </w:rPr>
        <w:t>中选方</w:t>
      </w:r>
      <w:r>
        <w:rPr>
          <w:rFonts w:hint="eastAsia" w:ascii="宋体" w:hAnsi="宋体" w:eastAsia="宋体" w:cs="Times New Roman"/>
          <w:b w:val="0"/>
          <w:kern w:val="2"/>
          <w:sz w:val="21"/>
          <w:szCs w:val="21"/>
          <w:lang w:val="en-US" w:eastAsia="zh-CN" w:bidi="ar-SA"/>
        </w:rPr>
        <w:t>。</w:t>
      </w:r>
    </w:p>
    <w:p w14:paraId="5550353A">
      <w:pPr>
        <w:pStyle w:val="115"/>
        <w:widowControl/>
        <w:numPr>
          <w:ilvl w:val="0"/>
          <w:numId w:val="0"/>
        </w:numPr>
        <w:spacing w:line="360" w:lineRule="auto"/>
        <w:ind w:leftChars="0"/>
        <w:jc w:val="left"/>
        <w:rPr>
          <w:rFonts w:hint="eastAsia" w:ascii="宋体" w:hAnsi="宋体" w:eastAsia="宋体" w:cs="Times New Roman"/>
          <w:b w:val="0"/>
          <w:kern w:val="2"/>
          <w:sz w:val="21"/>
          <w:szCs w:val="21"/>
          <w:lang w:val="en-US" w:eastAsia="zh-CN" w:bidi="ar-SA"/>
        </w:rPr>
      </w:pPr>
      <w:r>
        <w:rPr>
          <w:rFonts w:hint="eastAsia" w:ascii="宋体" w:hAnsi="宋体" w:eastAsia="宋体" w:cs="Times New Roman"/>
          <w:b w:val="0"/>
          <w:kern w:val="2"/>
          <w:sz w:val="21"/>
          <w:szCs w:val="21"/>
          <w:lang w:val="en-US" w:eastAsia="zh-CN" w:bidi="ar-SA"/>
        </w:rPr>
        <w:t>四：定标</w:t>
      </w:r>
    </w:p>
    <w:p w14:paraId="4BEC88FB">
      <w:pPr>
        <w:pStyle w:val="115"/>
        <w:widowControl/>
        <w:numPr>
          <w:ilvl w:val="1"/>
          <w:numId w:val="0"/>
        </w:numPr>
        <w:spacing w:line="360" w:lineRule="auto"/>
        <w:ind w:left="426" w:leftChars="0" w:hanging="426" w:firstLineChars="0"/>
        <w:jc w:val="left"/>
        <w:rPr>
          <w:rFonts w:ascii="宋体" w:hAnsi="宋体"/>
          <w:szCs w:val="21"/>
        </w:rPr>
      </w:pPr>
      <w:r>
        <w:rPr>
          <w:rFonts w:ascii="宋体" w:hAnsi="宋体" w:eastAsia="宋体" w:cs="Times New Roman"/>
          <w:b w:val="0"/>
          <w:kern w:val="2"/>
          <w:sz w:val="21"/>
          <w:szCs w:val="21"/>
          <w:lang w:val="en-US" w:eastAsia="zh-CN" w:bidi="ar-SA"/>
        </w:rPr>
        <w:t>4.1.</w:t>
      </w:r>
      <w:r>
        <w:rPr>
          <w:rFonts w:hint="eastAsia" w:ascii="宋体" w:hAnsi="宋体" w:cs="Times New Roman"/>
          <w:b w:val="0"/>
          <w:kern w:val="2"/>
          <w:sz w:val="21"/>
          <w:szCs w:val="21"/>
          <w:lang w:val="en-US" w:eastAsia="zh-CN" w:bidi="ar-SA"/>
        </w:rPr>
        <w:t xml:space="preserve"> </w:t>
      </w:r>
      <w:r>
        <w:rPr>
          <w:rFonts w:hint="eastAsia" w:ascii="宋体" w:hAnsi="宋体"/>
          <w:szCs w:val="21"/>
        </w:rPr>
        <w:t>按照</w:t>
      </w:r>
      <w:r>
        <w:rPr>
          <w:rFonts w:hint="eastAsia" w:ascii="宋体" w:hAnsi="宋体"/>
          <w:szCs w:val="21"/>
          <w:lang w:eastAsia="zh-CN"/>
        </w:rPr>
        <w:t>评审</w:t>
      </w:r>
      <w:r>
        <w:rPr>
          <w:rFonts w:hint="eastAsia" w:ascii="宋体" w:hAnsi="宋体"/>
          <w:szCs w:val="21"/>
        </w:rPr>
        <w:t>报告中推荐的</w:t>
      </w:r>
      <w:r>
        <w:rPr>
          <w:rFonts w:hint="eastAsia" w:ascii="宋体" w:hAnsi="宋体"/>
          <w:szCs w:val="21"/>
          <w:lang w:val="en-US" w:eastAsia="zh-CN"/>
        </w:rPr>
        <w:t>中选</w:t>
      </w:r>
      <w:r>
        <w:rPr>
          <w:rFonts w:hint="eastAsia" w:ascii="宋体" w:hAnsi="宋体"/>
          <w:szCs w:val="21"/>
        </w:rPr>
        <w:t>候选人确定</w:t>
      </w:r>
      <w:r>
        <w:rPr>
          <w:rFonts w:hint="eastAsia" w:ascii="宋体" w:hAnsi="宋体"/>
          <w:szCs w:val="21"/>
          <w:lang w:val="en-US" w:eastAsia="zh-CN"/>
        </w:rPr>
        <w:t>中选方</w:t>
      </w:r>
      <w:r>
        <w:rPr>
          <w:rFonts w:hint="eastAsia" w:ascii="宋体" w:hAnsi="宋体"/>
          <w:szCs w:val="21"/>
        </w:rPr>
        <w:t>，确认后将在刊登本项目</w:t>
      </w:r>
      <w:r>
        <w:rPr>
          <w:rFonts w:hint="eastAsia" w:ascii="宋体" w:hAnsi="宋体"/>
          <w:szCs w:val="21"/>
          <w:lang w:val="en-US" w:eastAsia="zh-CN"/>
        </w:rPr>
        <w:t>采购</w:t>
      </w:r>
      <w:r>
        <w:rPr>
          <w:rFonts w:hint="eastAsia" w:ascii="宋体" w:hAnsi="宋体"/>
          <w:szCs w:val="21"/>
        </w:rPr>
        <w:t>公告的法定媒体上</w:t>
      </w:r>
      <w:r>
        <w:rPr>
          <w:rFonts w:ascii="宋体" w:hAnsi="宋体"/>
          <w:szCs w:val="21"/>
        </w:rPr>
        <w:t>发</w:t>
      </w:r>
      <w:r>
        <w:rPr>
          <w:rFonts w:hint="eastAsia" w:ascii="宋体" w:hAnsi="宋体"/>
          <w:szCs w:val="21"/>
        </w:rPr>
        <w:t>布中</w:t>
      </w:r>
      <w:r>
        <w:rPr>
          <w:rFonts w:hint="eastAsia" w:ascii="宋体" w:hAnsi="宋体"/>
          <w:szCs w:val="21"/>
          <w:lang w:val="en-US" w:eastAsia="zh-CN"/>
        </w:rPr>
        <w:t>选</w:t>
      </w:r>
      <w:r>
        <w:rPr>
          <w:rFonts w:hint="eastAsia" w:ascii="宋体" w:hAnsi="宋体"/>
          <w:szCs w:val="21"/>
        </w:rPr>
        <w:t>公告。</w:t>
      </w:r>
    </w:p>
    <w:p w14:paraId="71BEEE2A">
      <w:pPr>
        <w:pStyle w:val="115"/>
        <w:widowControl/>
        <w:numPr>
          <w:ilvl w:val="1"/>
          <w:numId w:val="0"/>
        </w:numPr>
        <w:spacing w:line="360" w:lineRule="auto"/>
        <w:ind w:left="426" w:leftChars="0" w:hanging="426" w:firstLineChars="0"/>
        <w:jc w:val="left"/>
        <w:rPr>
          <w:rFonts w:ascii="宋体" w:hAnsi="宋体"/>
          <w:szCs w:val="21"/>
        </w:rPr>
      </w:pPr>
      <w:r>
        <w:rPr>
          <w:rFonts w:ascii="宋体" w:hAnsi="宋体" w:eastAsia="宋体" w:cs="Times New Roman"/>
          <w:b w:val="0"/>
          <w:kern w:val="2"/>
          <w:sz w:val="21"/>
          <w:szCs w:val="21"/>
          <w:lang w:val="en-US" w:eastAsia="zh-CN" w:bidi="ar-SA"/>
        </w:rPr>
        <w:t>4.2.</w:t>
      </w:r>
      <w:r>
        <w:rPr>
          <w:rFonts w:hint="eastAsia" w:ascii="宋体" w:hAnsi="宋体" w:cs="Times New Roman"/>
          <w:b w:val="0"/>
          <w:kern w:val="2"/>
          <w:sz w:val="21"/>
          <w:szCs w:val="21"/>
          <w:lang w:val="en-US" w:eastAsia="zh-CN" w:bidi="ar-SA"/>
        </w:rPr>
        <w:t xml:space="preserve"> 中选方</w:t>
      </w:r>
      <w:r>
        <w:rPr>
          <w:rFonts w:hint="eastAsia" w:ascii="宋体" w:hAnsi="宋体"/>
          <w:szCs w:val="21"/>
        </w:rPr>
        <w:t>拒绝与采购人签订合同的，可以重新开展</w:t>
      </w:r>
      <w:r>
        <w:rPr>
          <w:rFonts w:hint="eastAsia" w:ascii="宋体" w:hAnsi="宋体"/>
          <w:szCs w:val="21"/>
          <w:lang w:val="en-US" w:eastAsia="zh-CN"/>
        </w:rPr>
        <w:t>遴选</w:t>
      </w:r>
      <w:r>
        <w:rPr>
          <w:rFonts w:hint="eastAsia" w:ascii="宋体" w:hAnsi="宋体"/>
          <w:szCs w:val="21"/>
        </w:rPr>
        <w:t>活动。</w:t>
      </w:r>
    </w:p>
    <w:p w14:paraId="6F2011B8">
      <w:pPr>
        <w:pStyle w:val="85"/>
        <w:widowControl/>
        <w:numPr>
          <w:ilvl w:val="0"/>
          <w:numId w:val="0"/>
        </w:numPr>
        <w:spacing w:line="360" w:lineRule="auto"/>
        <w:ind w:leftChars="0"/>
        <w:jc w:val="left"/>
        <w:rPr>
          <w:rFonts w:hint="eastAsia" w:ascii="宋体" w:hAnsi="宋体" w:eastAsia="宋体" w:cs="Times New Roman"/>
          <w:b w:val="0"/>
          <w:kern w:val="2"/>
          <w:sz w:val="21"/>
          <w:szCs w:val="21"/>
          <w:lang w:val="en-US" w:eastAsia="zh-CN" w:bidi="ar-SA"/>
        </w:rPr>
      </w:pPr>
      <w:r>
        <w:rPr>
          <w:rFonts w:hint="eastAsia" w:ascii="宋体" w:hAnsi="宋体" w:eastAsia="宋体" w:cs="Times New Roman"/>
          <w:b w:val="0"/>
          <w:kern w:val="2"/>
          <w:sz w:val="21"/>
          <w:szCs w:val="21"/>
          <w:lang w:val="en-US" w:eastAsia="zh-CN" w:bidi="ar-SA"/>
        </w:rPr>
        <w:t>五：</w:t>
      </w:r>
      <w:r>
        <w:rPr>
          <w:rFonts w:ascii="宋体" w:hAnsi="宋体" w:eastAsia="宋体" w:cs="Times New Roman"/>
          <w:b w:val="0"/>
          <w:kern w:val="2"/>
          <w:sz w:val="21"/>
          <w:szCs w:val="21"/>
          <w:lang w:val="en-US" w:eastAsia="zh-CN" w:bidi="ar-SA"/>
        </w:rPr>
        <w:t>特别说明</w:t>
      </w:r>
    </w:p>
    <w:p w14:paraId="70EEA8B4">
      <w:pPr>
        <w:pStyle w:val="85"/>
        <w:widowControl/>
        <w:numPr>
          <w:ilvl w:val="1"/>
          <w:numId w:val="0"/>
        </w:numPr>
        <w:spacing w:line="360" w:lineRule="auto"/>
        <w:ind w:left="567" w:leftChars="0" w:hanging="567" w:firstLineChars="0"/>
        <w:jc w:val="left"/>
        <w:outlineLvl w:val="9"/>
        <w:rPr>
          <w:rFonts w:ascii="宋体" w:hAnsi="宋体"/>
          <w:szCs w:val="21"/>
        </w:rPr>
      </w:pPr>
      <w:r>
        <w:rPr>
          <w:rFonts w:ascii="宋体" w:hAnsi="宋体" w:eastAsia="宋体" w:cs="Times New Roman"/>
          <w:b w:val="0"/>
          <w:kern w:val="2"/>
          <w:sz w:val="21"/>
          <w:szCs w:val="21"/>
          <w:lang w:val="en-US" w:eastAsia="zh-CN" w:bidi="ar-SA"/>
        </w:rPr>
        <w:t>5.1.</w:t>
      </w:r>
      <w:r>
        <w:rPr>
          <w:rFonts w:hint="eastAsia" w:ascii="宋体" w:hAnsi="宋体" w:cs="Times New Roman"/>
          <w:b w:val="0"/>
          <w:kern w:val="2"/>
          <w:sz w:val="21"/>
          <w:szCs w:val="21"/>
          <w:lang w:val="en-US" w:eastAsia="zh-CN" w:bidi="ar-SA"/>
        </w:rPr>
        <w:t xml:space="preserve"> </w:t>
      </w:r>
      <w:r>
        <w:rPr>
          <w:rFonts w:hint="eastAsia" w:ascii="宋体" w:hAnsi="宋体"/>
          <w:szCs w:val="21"/>
        </w:rPr>
        <w:t>有下列情形之一的，视为</w:t>
      </w:r>
      <w:r>
        <w:rPr>
          <w:rFonts w:hint="eastAsia" w:ascii="宋体" w:hAnsi="宋体"/>
          <w:szCs w:val="21"/>
          <w:lang w:val="en-US" w:eastAsia="zh-CN"/>
        </w:rPr>
        <w:t>遴选响应方</w:t>
      </w:r>
      <w:r>
        <w:rPr>
          <w:rFonts w:hint="eastAsia" w:ascii="宋体" w:hAnsi="宋体"/>
          <w:szCs w:val="21"/>
        </w:rPr>
        <w:t>串通</w:t>
      </w:r>
      <w:r>
        <w:rPr>
          <w:rFonts w:hint="eastAsia" w:ascii="宋体" w:hAnsi="宋体"/>
          <w:szCs w:val="21"/>
          <w:lang w:val="en-US" w:eastAsia="zh-CN"/>
        </w:rPr>
        <w:t>遴选响应</w:t>
      </w:r>
      <w:r>
        <w:rPr>
          <w:rFonts w:hint="eastAsia" w:ascii="宋体" w:hAnsi="宋体"/>
          <w:szCs w:val="21"/>
        </w:rPr>
        <w:t>，其</w:t>
      </w:r>
      <w:r>
        <w:rPr>
          <w:rFonts w:hint="eastAsia" w:ascii="宋体" w:hAnsi="宋体"/>
          <w:szCs w:val="21"/>
          <w:lang w:val="en-US" w:eastAsia="zh-CN"/>
        </w:rPr>
        <w:t>遴选响应</w:t>
      </w:r>
      <w:r>
        <w:rPr>
          <w:rFonts w:hint="eastAsia" w:ascii="宋体" w:hAnsi="宋体"/>
          <w:szCs w:val="21"/>
        </w:rPr>
        <w:t>无效：</w:t>
      </w:r>
    </w:p>
    <w:p w14:paraId="776BF247">
      <w:pPr>
        <w:pStyle w:val="85"/>
        <w:widowControl/>
        <w:numPr>
          <w:ilvl w:val="2"/>
          <w:numId w:val="0"/>
        </w:numPr>
        <w:spacing w:line="360" w:lineRule="auto"/>
        <w:ind w:left="709" w:leftChars="0" w:hanging="709" w:firstLineChars="0"/>
        <w:jc w:val="left"/>
        <w:rPr>
          <w:rFonts w:ascii="宋体" w:hAnsi="宋体"/>
          <w:szCs w:val="21"/>
        </w:rPr>
      </w:pPr>
      <w:r>
        <w:rPr>
          <w:rFonts w:ascii="宋体" w:hAnsi="宋体" w:eastAsia="宋体" w:cs="Times New Roman"/>
          <w:kern w:val="2"/>
          <w:sz w:val="21"/>
          <w:szCs w:val="21"/>
          <w:lang w:val="en-US" w:eastAsia="zh-CN" w:bidi="ar-SA"/>
        </w:rPr>
        <w:t>5.1.1.</w:t>
      </w:r>
      <w:r>
        <w:rPr>
          <w:rFonts w:hint="eastAsia" w:ascii="宋体" w:hAnsi="宋体" w:cs="Times New Roman"/>
          <w:kern w:val="2"/>
          <w:sz w:val="21"/>
          <w:szCs w:val="21"/>
          <w:lang w:val="en-US" w:eastAsia="zh-CN" w:bidi="ar-SA"/>
        </w:rPr>
        <w:t xml:space="preserve"> </w:t>
      </w:r>
      <w:r>
        <w:rPr>
          <w:rFonts w:hint="eastAsia" w:ascii="宋体" w:hAnsi="宋体"/>
          <w:szCs w:val="21"/>
        </w:rPr>
        <w:t>不同</w:t>
      </w:r>
      <w:r>
        <w:rPr>
          <w:rFonts w:hint="eastAsia" w:ascii="宋体" w:hAnsi="宋体"/>
          <w:szCs w:val="21"/>
          <w:lang w:val="en-US" w:eastAsia="zh-CN"/>
        </w:rPr>
        <w:t>遴选响应方</w:t>
      </w:r>
      <w:r>
        <w:rPr>
          <w:rFonts w:hint="eastAsia" w:ascii="宋体" w:hAnsi="宋体"/>
          <w:szCs w:val="21"/>
        </w:rPr>
        <w:t>的</w:t>
      </w:r>
      <w:r>
        <w:rPr>
          <w:rFonts w:hint="eastAsia" w:ascii="宋体" w:hAnsi="宋体"/>
          <w:szCs w:val="21"/>
          <w:lang w:val="en-US" w:eastAsia="zh-CN"/>
        </w:rPr>
        <w:t>遴选响应文件</w:t>
      </w:r>
      <w:r>
        <w:rPr>
          <w:rFonts w:hint="eastAsia" w:ascii="宋体" w:hAnsi="宋体"/>
          <w:szCs w:val="21"/>
        </w:rPr>
        <w:t>由同一单位或者个人编制；</w:t>
      </w:r>
    </w:p>
    <w:p w14:paraId="45D516EA">
      <w:pPr>
        <w:pStyle w:val="85"/>
        <w:widowControl/>
        <w:numPr>
          <w:ilvl w:val="2"/>
          <w:numId w:val="0"/>
        </w:numPr>
        <w:spacing w:line="360" w:lineRule="auto"/>
        <w:ind w:left="709" w:leftChars="0" w:hanging="709" w:firstLineChars="0"/>
        <w:jc w:val="left"/>
        <w:rPr>
          <w:rFonts w:ascii="宋体" w:hAnsi="宋体"/>
          <w:szCs w:val="21"/>
        </w:rPr>
      </w:pPr>
      <w:r>
        <w:rPr>
          <w:rFonts w:ascii="宋体" w:hAnsi="宋体" w:eastAsia="宋体" w:cs="Times New Roman"/>
          <w:kern w:val="2"/>
          <w:sz w:val="21"/>
          <w:szCs w:val="21"/>
          <w:lang w:val="en-US" w:eastAsia="zh-CN" w:bidi="ar-SA"/>
        </w:rPr>
        <w:t>5.1.2.</w:t>
      </w:r>
      <w:r>
        <w:rPr>
          <w:rFonts w:hint="eastAsia" w:ascii="宋体" w:hAnsi="宋体" w:cs="Times New Roman"/>
          <w:kern w:val="2"/>
          <w:sz w:val="21"/>
          <w:szCs w:val="21"/>
          <w:lang w:val="en-US" w:eastAsia="zh-CN" w:bidi="ar-SA"/>
        </w:rPr>
        <w:t xml:space="preserve"> </w:t>
      </w:r>
      <w:r>
        <w:rPr>
          <w:rFonts w:hint="eastAsia" w:ascii="宋体" w:hAnsi="宋体"/>
          <w:szCs w:val="21"/>
        </w:rPr>
        <w:t>不同</w:t>
      </w:r>
      <w:r>
        <w:rPr>
          <w:rFonts w:hint="eastAsia" w:ascii="宋体" w:hAnsi="宋体"/>
          <w:szCs w:val="21"/>
          <w:lang w:val="en-US" w:eastAsia="zh-CN"/>
        </w:rPr>
        <w:t>遴选响应方</w:t>
      </w:r>
      <w:r>
        <w:rPr>
          <w:rFonts w:hint="eastAsia" w:ascii="宋体" w:hAnsi="宋体"/>
          <w:szCs w:val="21"/>
        </w:rPr>
        <w:t>委托同一单位或者个人办理</w:t>
      </w:r>
      <w:r>
        <w:rPr>
          <w:rFonts w:hint="eastAsia" w:ascii="宋体" w:hAnsi="宋体"/>
          <w:szCs w:val="21"/>
          <w:lang w:val="en-US" w:eastAsia="zh-CN"/>
        </w:rPr>
        <w:t>遴选</w:t>
      </w:r>
      <w:r>
        <w:rPr>
          <w:rFonts w:hint="eastAsia" w:ascii="宋体" w:hAnsi="宋体"/>
          <w:szCs w:val="21"/>
        </w:rPr>
        <w:t>事宜；</w:t>
      </w:r>
    </w:p>
    <w:p w14:paraId="09F72BB8">
      <w:pPr>
        <w:pStyle w:val="85"/>
        <w:widowControl/>
        <w:numPr>
          <w:ilvl w:val="2"/>
          <w:numId w:val="0"/>
        </w:numPr>
        <w:spacing w:line="360" w:lineRule="auto"/>
        <w:ind w:left="709" w:leftChars="0" w:hanging="709" w:firstLineChars="0"/>
        <w:jc w:val="left"/>
        <w:rPr>
          <w:rFonts w:ascii="宋体" w:hAnsi="宋体"/>
          <w:szCs w:val="21"/>
        </w:rPr>
      </w:pPr>
      <w:r>
        <w:rPr>
          <w:rFonts w:ascii="宋体" w:hAnsi="宋体" w:eastAsia="宋体" w:cs="Times New Roman"/>
          <w:kern w:val="2"/>
          <w:sz w:val="21"/>
          <w:szCs w:val="21"/>
          <w:lang w:val="en-US" w:eastAsia="zh-CN" w:bidi="ar-SA"/>
        </w:rPr>
        <w:t>5.1.3.</w:t>
      </w:r>
      <w:r>
        <w:rPr>
          <w:rFonts w:hint="eastAsia" w:ascii="宋体" w:hAnsi="宋体" w:cs="Times New Roman"/>
          <w:kern w:val="2"/>
          <w:sz w:val="21"/>
          <w:szCs w:val="21"/>
          <w:lang w:val="en-US" w:eastAsia="zh-CN" w:bidi="ar-SA"/>
        </w:rPr>
        <w:t xml:space="preserve"> </w:t>
      </w:r>
      <w:r>
        <w:rPr>
          <w:rFonts w:hint="eastAsia" w:ascii="宋体" w:hAnsi="宋体"/>
          <w:szCs w:val="21"/>
        </w:rPr>
        <w:t>不同</w:t>
      </w:r>
      <w:r>
        <w:rPr>
          <w:rFonts w:hint="eastAsia" w:ascii="宋体" w:hAnsi="宋体"/>
          <w:szCs w:val="21"/>
          <w:lang w:val="en-US" w:eastAsia="zh-CN"/>
        </w:rPr>
        <w:t>遴选响应方</w:t>
      </w:r>
      <w:r>
        <w:rPr>
          <w:rFonts w:hint="eastAsia" w:ascii="宋体" w:hAnsi="宋体"/>
          <w:szCs w:val="21"/>
        </w:rPr>
        <w:t>的</w:t>
      </w:r>
      <w:r>
        <w:rPr>
          <w:rFonts w:hint="eastAsia" w:ascii="宋体" w:hAnsi="宋体"/>
          <w:szCs w:val="21"/>
          <w:lang w:val="en-US" w:eastAsia="zh-CN"/>
        </w:rPr>
        <w:t>遴选响应文件</w:t>
      </w:r>
      <w:r>
        <w:rPr>
          <w:rFonts w:hint="eastAsia" w:ascii="宋体" w:hAnsi="宋体"/>
          <w:szCs w:val="21"/>
        </w:rPr>
        <w:t>载明的项目管理成员或者联系人员为同一人；</w:t>
      </w:r>
    </w:p>
    <w:p w14:paraId="16ACA07F">
      <w:pPr>
        <w:pStyle w:val="85"/>
        <w:widowControl/>
        <w:numPr>
          <w:ilvl w:val="2"/>
          <w:numId w:val="0"/>
        </w:numPr>
        <w:spacing w:line="360" w:lineRule="auto"/>
        <w:ind w:left="709" w:leftChars="0" w:hanging="709" w:firstLineChars="0"/>
        <w:jc w:val="left"/>
        <w:rPr>
          <w:rFonts w:ascii="宋体" w:hAnsi="宋体"/>
          <w:szCs w:val="21"/>
        </w:rPr>
      </w:pPr>
      <w:r>
        <w:rPr>
          <w:rFonts w:ascii="宋体" w:hAnsi="宋体" w:eastAsia="宋体" w:cs="Times New Roman"/>
          <w:kern w:val="2"/>
          <w:sz w:val="21"/>
          <w:szCs w:val="21"/>
          <w:lang w:val="en-US" w:eastAsia="zh-CN" w:bidi="ar-SA"/>
        </w:rPr>
        <w:t>5.1.4.</w:t>
      </w:r>
      <w:r>
        <w:rPr>
          <w:rFonts w:hint="eastAsia" w:ascii="宋体" w:hAnsi="宋体" w:cs="Times New Roman"/>
          <w:kern w:val="2"/>
          <w:sz w:val="21"/>
          <w:szCs w:val="21"/>
          <w:lang w:val="en-US" w:eastAsia="zh-CN" w:bidi="ar-SA"/>
        </w:rPr>
        <w:t xml:space="preserve"> </w:t>
      </w:r>
      <w:r>
        <w:rPr>
          <w:rFonts w:hint="eastAsia" w:ascii="宋体" w:hAnsi="宋体"/>
          <w:szCs w:val="21"/>
        </w:rPr>
        <w:t>不同</w:t>
      </w:r>
      <w:r>
        <w:rPr>
          <w:rFonts w:hint="eastAsia" w:ascii="宋体" w:hAnsi="宋体"/>
          <w:szCs w:val="21"/>
          <w:lang w:val="en-US" w:eastAsia="zh-CN"/>
        </w:rPr>
        <w:t>遴选响应方</w:t>
      </w:r>
      <w:r>
        <w:rPr>
          <w:rFonts w:hint="eastAsia" w:ascii="宋体" w:hAnsi="宋体"/>
          <w:szCs w:val="21"/>
        </w:rPr>
        <w:t>的</w:t>
      </w:r>
      <w:r>
        <w:rPr>
          <w:rFonts w:hint="eastAsia" w:ascii="宋体" w:hAnsi="宋体"/>
          <w:szCs w:val="21"/>
          <w:lang w:val="en-US" w:eastAsia="zh-CN"/>
        </w:rPr>
        <w:t>遴选响应文件</w:t>
      </w:r>
      <w:r>
        <w:rPr>
          <w:rFonts w:hint="eastAsia" w:ascii="宋体" w:hAnsi="宋体"/>
          <w:szCs w:val="21"/>
        </w:rPr>
        <w:t>异常一致；</w:t>
      </w:r>
    </w:p>
    <w:p w14:paraId="421D9A7B">
      <w:pPr>
        <w:pStyle w:val="85"/>
        <w:widowControl/>
        <w:numPr>
          <w:ilvl w:val="2"/>
          <w:numId w:val="0"/>
        </w:numPr>
        <w:spacing w:line="360" w:lineRule="auto"/>
        <w:ind w:left="709" w:leftChars="0" w:hanging="709" w:firstLineChars="0"/>
        <w:jc w:val="left"/>
        <w:outlineLvl w:val="9"/>
        <w:rPr>
          <w:rFonts w:ascii="宋体" w:hAnsi="宋体"/>
          <w:szCs w:val="21"/>
        </w:rPr>
      </w:pPr>
      <w:r>
        <w:rPr>
          <w:rFonts w:ascii="宋体" w:hAnsi="宋体" w:eastAsia="宋体" w:cs="Times New Roman"/>
          <w:kern w:val="2"/>
          <w:sz w:val="21"/>
          <w:szCs w:val="21"/>
          <w:lang w:val="en-US" w:eastAsia="zh-CN" w:bidi="ar-SA"/>
        </w:rPr>
        <w:t>5.1.5.</w:t>
      </w:r>
      <w:r>
        <w:rPr>
          <w:rFonts w:hint="eastAsia" w:ascii="宋体" w:hAnsi="宋体" w:cs="Times New Roman"/>
          <w:kern w:val="2"/>
          <w:sz w:val="21"/>
          <w:szCs w:val="21"/>
          <w:lang w:val="en-US" w:eastAsia="zh-CN" w:bidi="ar-SA"/>
        </w:rPr>
        <w:t xml:space="preserve"> </w:t>
      </w:r>
      <w:r>
        <w:rPr>
          <w:rFonts w:hint="eastAsia" w:ascii="宋体" w:hAnsi="宋体"/>
          <w:szCs w:val="21"/>
        </w:rPr>
        <w:t>不同</w:t>
      </w:r>
      <w:r>
        <w:rPr>
          <w:rFonts w:hint="eastAsia" w:ascii="宋体" w:hAnsi="宋体"/>
          <w:szCs w:val="21"/>
          <w:lang w:val="en-US" w:eastAsia="zh-CN"/>
        </w:rPr>
        <w:t>遴选响应方</w:t>
      </w:r>
      <w:r>
        <w:rPr>
          <w:rFonts w:hint="eastAsia" w:ascii="宋体" w:hAnsi="宋体"/>
          <w:szCs w:val="21"/>
        </w:rPr>
        <w:t>的</w:t>
      </w:r>
      <w:r>
        <w:rPr>
          <w:rFonts w:hint="eastAsia" w:ascii="宋体" w:hAnsi="宋体"/>
          <w:szCs w:val="21"/>
          <w:lang w:val="en-US" w:eastAsia="zh-CN"/>
        </w:rPr>
        <w:t>遴选响应文件</w:t>
      </w:r>
      <w:r>
        <w:rPr>
          <w:rFonts w:hint="eastAsia" w:ascii="宋体" w:hAnsi="宋体"/>
          <w:szCs w:val="21"/>
        </w:rPr>
        <w:t>相互混装；</w:t>
      </w:r>
    </w:p>
    <w:p w14:paraId="2FAB76F9">
      <w:pPr>
        <w:pStyle w:val="85"/>
        <w:widowControl/>
        <w:numPr>
          <w:ilvl w:val="1"/>
          <w:numId w:val="0"/>
        </w:numPr>
        <w:spacing w:line="360" w:lineRule="auto"/>
        <w:ind w:left="567" w:leftChars="0" w:hanging="567" w:firstLineChars="0"/>
        <w:jc w:val="left"/>
        <w:outlineLvl w:val="9"/>
        <w:rPr>
          <w:rFonts w:ascii="宋体" w:hAnsi="宋体"/>
          <w:szCs w:val="21"/>
        </w:rPr>
      </w:pPr>
      <w:r>
        <w:rPr>
          <w:rFonts w:ascii="宋体" w:hAnsi="宋体" w:eastAsia="宋体" w:cs="Times New Roman"/>
          <w:b w:val="0"/>
          <w:kern w:val="2"/>
          <w:sz w:val="21"/>
          <w:szCs w:val="21"/>
          <w:lang w:val="en-US" w:eastAsia="zh-CN" w:bidi="ar-SA"/>
        </w:rPr>
        <w:t>5.2.</w:t>
      </w:r>
      <w:r>
        <w:rPr>
          <w:rFonts w:hint="eastAsia" w:ascii="宋体" w:hAnsi="宋体" w:cs="Times New Roman"/>
          <w:b w:val="0"/>
          <w:kern w:val="2"/>
          <w:sz w:val="21"/>
          <w:szCs w:val="21"/>
          <w:lang w:val="en-US" w:eastAsia="zh-CN" w:bidi="ar-SA"/>
        </w:rPr>
        <w:t xml:space="preserve"> </w:t>
      </w:r>
      <w:r>
        <w:rPr>
          <w:rFonts w:hint="eastAsia" w:ascii="宋体" w:hAnsi="宋体"/>
          <w:szCs w:val="21"/>
          <w:lang w:val="en-US" w:eastAsia="zh-CN"/>
        </w:rPr>
        <w:t>遴选响应方</w:t>
      </w:r>
      <w:r>
        <w:rPr>
          <w:rFonts w:hint="eastAsia" w:ascii="宋体" w:hAnsi="宋体"/>
          <w:szCs w:val="21"/>
        </w:rPr>
        <w:t>存在下列情况之一的，</w:t>
      </w:r>
      <w:r>
        <w:rPr>
          <w:rFonts w:hint="eastAsia" w:ascii="宋体" w:hAnsi="宋体"/>
          <w:szCs w:val="21"/>
          <w:lang w:val="en-US" w:eastAsia="zh-CN"/>
        </w:rPr>
        <w:t>遴选响应</w:t>
      </w:r>
      <w:r>
        <w:rPr>
          <w:rFonts w:hint="eastAsia" w:ascii="宋体" w:hAnsi="宋体"/>
          <w:szCs w:val="21"/>
        </w:rPr>
        <w:t>无效：</w:t>
      </w:r>
    </w:p>
    <w:p w14:paraId="2B978D18">
      <w:pPr>
        <w:pStyle w:val="85"/>
        <w:widowControl/>
        <w:numPr>
          <w:ilvl w:val="2"/>
          <w:numId w:val="0"/>
        </w:numPr>
        <w:spacing w:line="360" w:lineRule="auto"/>
        <w:ind w:left="709" w:leftChars="0" w:hanging="709" w:firstLineChars="0"/>
        <w:jc w:val="left"/>
        <w:rPr>
          <w:rFonts w:ascii="宋体" w:hAnsi="宋体"/>
          <w:szCs w:val="21"/>
        </w:rPr>
      </w:pPr>
      <w:r>
        <w:rPr>
          <w:rFonts w:ascii="宋体" w:hAnsi="宋体" w:eastAsia="宋体" w:cs="Times New Roman"/>
          <w:kern w:val="2"/>
          <w:sz w:val="21"/>
          <w:szCs w:val="21"/>
          <w:lang w:val="en-US" w:eastAsia="zh-CN" w:bidi="ar-SA"/>
        </w:rPr>
        <w:t>5.2.1.</w:t>
      </w:r>
      <w:r>
        <w:rPr>
          <w:rFonts w:hint="eastAsia" w:ascii="宋体" w:hAnsi="宋体" w:cs="Times New Roman"/>
          <w:kern w:val="2"/>
          <w:sz w:val="21"/>
          <w:szCs w:val="21"/>
          <w:lang w:val="en-US" w:eastAsia="zh-CN" w:bidi="ar-SA"/>
        </w:rPr>
        <w:t xml:space="preserve"> 遴选响应文件</w:t>
      </w:r>
      <w:r>
        <w:rPr>
          <w:rFonts w:hint="eastAsia" w:ascii="宋体" w:hAnsi="宋体"/>
          <w:szCs w:val="21"/>
        </w:rPr>
        <w:t>未按</w:t>
      </w:r>
      <w:r>
        <w:rPr>
          <w:rFonts w:hint="eastAsia" w:ascii="宋体" w:hAnsi="宋体"/>
          <w:szCs w:val="21"/>
          <w:lang w:val="en-US" w:eastAsia="zh-CN"/>
        </w:rPr>
        <w:t>遴选文件</w:t>
      </w:r>
      <w:r>
        <w:rPr>
          <w:rFonts w:hint="eastAsia" w:ascii="宋体" w:hAnsi="宋体"/>
          <w:szCs w:val="21"/>
        </w:rPr>
        <w:t>要求签署、盖章的；</w:t>
      </w:r>
    </w:p>
    <w:p w14:paraId="4BAD3AB5">
      <w:pPr>
        <w:pStyle w:val="85"/>
        <w:widowControl/>
        <w:numPr>
          <w:ilvl w:val="2"/>
          <w:numId w:val="0"/>
        </w:numPr>
        <w:spacing w:line="360" w:lineRule="auto"/>
        <w:ind w:left="709" w:leftChars="0" w:hanging="709" w:firstLineChars="0"/>
        <w:jc w:val="left"/>
        <w:rPr>
          <w:rFonts w:ascii="宋体" w:hAnsi="宋体"/>
          <w:szCs w:val="21"/>
        </w:rPr>
      </w:pPr>
      <w:r>
        <w:rPr>
          <w:rFonts w:ascii="宋体" w:hAnsi="宋体" w:eastAsia="宋体" w:cs="Times New Roman"/>
          <w:kern w:val="2"/>
          <w:sz w:val="21"/>
          <w:szCs w:val="21"/>
          <w:lang w:val="en-US" w:eastAsia="zh-CN" w:bidi="ar-SA"/>
        </w:rPr>
        <w:t>5.2.2.</w:t>
      </w:r>
      <w:r>
        <w:rPr>
          <w:rFonts w:hint="eastAsia" w:ascii="宋体" w:hAnsi="宋体" w:cs="Times New Roman"/>
          <w:kern w:val="2"/>
          <w:sz w:val="21"/>
          <w:szCs w:val="21"/>
          <w:lang w:val="en-US" w:eastAsia="zh-CN" w:bidi="ar-SA"/>
        </w:rPr>
        <w:t xml:space="preserve"> </w:t>
      </w:r>
      <w:r>
        <w:rPr>
          <w:rFonts w:hint="eastAsia" w:ascii="宋体" w:hAnsi="宋体"/>
          <w:szCs w:val="21"/>
        </w:rPr>
        <w:t>不具备</w:t>
      </w:r>
      <w:r>
        <w:rPr>
          <w:rFonts w:hint="eastAsia" w:ascii="宋体" w:hAnsi="宋体"/>
          <w:szCs w:val="21"/>
          <w:lang w:val="en-US" w:eastAsia="zh-CN"/>
        </w:rPr>
        <w:t>遴选文件</w:t>
      </w:r>
      <w:r>
        <w:rPr>
          <w:rFonts w:hint="eastAsia" w:ascii="宋体" w:hAnsi="宋体"/>
          <w:szCs w:val="21"/>
        </w:rPr>
        <w:t>中规定的资格要求的；</w:t>
      </w:r>
    </w:p>
    <w:p w14:paraId="72EC76C4">
      <w:pPr>
        <w:pStyle w:val="85"/>
        <w:widowControl/>
        <w:numPr>
          <w:ilvl w:val="2"/>
          <w:numId w:val="0"/>
        </w:numPr>
        <w:spacing w:line="360" w:lineRule="auto"/>
        <w:ind w:left="709" w:leftChars="0" w:hanging="709" w:firstLineChars="0"/>
        <w:jc w:val="left"/>
        <w:rPr>
          <w:rFonts w:hint="eastAsia" w:ascii="宋体" w:hAnsi="宋体" w:eastAsia="宋体"/>
          <w:szCs w:val="21"/>
          <w:lang w:val="en-US" w:eastAsia="zh-CN"/>
        </w:rPr>
      </w:pPr>
      <w:r>
        <w:rPr>
          <w:rFonts w:ascii="宋体" w:hAnsi="宋体" w:eastAsia="宋体" w:cs="Times New Roman"/>
          <w:kern w:val="2"/>
          <w:sz w:val="21"/>
          <w:szCs w:val="21"/>
          <w:lang w:val="en-US" w:eastAsia="zh-CN" w:bidi="ar-SA"/>
        </w:rPr>
        <w:t>5.2.3.</w:t>
      </w:r>
      <w:r>
        <w:rPr>
          <w:rFonts w:hint="eastAsia" w:ascii="宋体" w:hAnsi="宋体" w:cs="Times New Roman"/>
          <w:kern w:val="2"/>
          <w:sz w:val="21"/>
          <w:szCs w:val="21"/>
          <w:lang w:val="en-US" w:eastAsia="zh-CN" w:bidi="ar-SA"/>
        </w:rPr>
        <w:t xml:space="preserve"> </w:t>
      </w:r>
      <w:r>
        <w:rPr>
          <w:rFonts w:hint="eastAsia" w:ascii="宋体" w:hAnsi="宋体" w:cs="宋体"/>
          <w:kern w:val="0"/>
          <w:szCs w:val="21"/>
        </w:rPr>
        <w:t>平台建设管理服务费用</w:t>
      </w:r>
      <w:r>
        <w:rPr>
          <w:rFonts w:hint="eastAsia" w:ascii="宋体" w:hAnsi="宋体" w:cs="宋体"/>
          <w:kern w:val="0"/>
          <w:szCs w:val="21"/>
          <w:lang w:val="en-US" w:eastAsia="zh-CN"/>
        </w:rPr>
        <w:t>超过</w:t>
      </w:r>
      <w:r>
        <w:rPr>
          <w:rFonts w:hint="eastAsia" w:asciiTheme="majorEastAsia" w:hAnsiTheme="majorEastAsia" w:eastAsiaTheme="majorEastAsia" w:cstheme="majorEastAsia"/>
          <w:color w:val="auto"/>
          <w:kern w:val="2"/>
          <w:sz w:val="21"/>
          <w:szCs w:val="21"/>
          <w:highlight w:val="none"/>
          <w:lang w:val="en-US" w:eastAsia="zh-CN" w:bidi="ar-SA"/>
        </w:rPr>
        <w:t>其物资供应总额的2 %；</w:t>
      </w:r>
    </w:p>
    <w:p w14:paraId="62626DC9">
      <w:pPr>
        <w:pStyle w:val="85"/>
        <w:widowControl/>
        <w:numPr>
          <w:ilvl w:val="2"/>
          <w:numId w:val="0"/>
        </w:numPr>
        <w:spacing w:line="360" w:lineRule="auto"/>
        <w:ind w:left="709" w:leftChars="0" w:hanging="709" w:firstLineChars="0"/>
        <w:jc w:val="left"/>
        <w:rPr>
          <w:rFonts w:hint="eastAsia" w:ascii="宋体" w:hAnsi="宋体" w:eastAsia="宋体"/>
          <w:szCs w:val="21"/>
          <w:lang w:eastAsia="zh-CN"/>
        </w:rPr>
      </w:pPr>
      <w:r>
        <w:rPr>
          <w:rFonts w:ascii="宋体" w:hAnsi="宋体" w:eastAsia="宋体" w:cs="Times New Roman"/>
          <w:kern w:val="2"/>
          <w:sz w:val="21"/>
          <w:szCs w:val="21"/>
          <w:lang w:val="en-US" w:eastAsia="zh-CN" w:bidi="ar-SA"/>
        </w:rPr>
        <w:t>5.2.4.</w:t>
      </w:r>
      <w:r>
        <w:rPr>
          <w:rFonts w:hint="eastAsia" w:ascii="宋体" w:hAnsi="宋体" w:cs="Times New Roman"/>
          <w:kern w:val="2"/>
          <w:sz w:val="21"/>
          <w:szCs w:val="21"/>
          <w:lang w:val="en-US" w:eastAsia="zh-CN" w:bidi="ar-SA"/>
        </w:rPr>
        <w:t xml:space="preserve"> 遴选响应文件</w:t>
      </w:r>
      <w:r>
        <w:rPr>
          <w:rFonts w:hint="eastAsia" w:ascii="宋体" w:hAnsi="宋体"/>
          <w:szCs w:val="21"/>
        </w:rPr>
        <w:t>含有采购人不能接受的附加条件的</w:t>
      </w:r>
      <w:r>
        <w:rPr>
          <w:rFonts w:hint="eastAsia" w:ascii="宋体" w:hAnsi="宋体"/>
          <w:szCs w:val="21"/>
          <w:lang w:eastAsia="zh-CN"/>
        </w:rPr>
        <w:t>；</w:t>
      </w:r>
    </w:p>
    <w:p w14:paraId="06D7FE97">
      <w:pPr>
        <w:pStyle w:val="85"/>
        <w:widowControl/>
        <w:numPr>
          <w:ilvl w:val="2"/>
          <w:numId w:val="0"/>
        </w:numPr>
        <w:spacing w:line="360" w:lineRule="auto"/>
        <w:ind w:left="709" w:leftChars="0" w:hanging="709" w:firstLineChars="0"/>
        <w:jc w:val="left"/>
        <w:rPr>
          <w:rFonts w:hint="eastAsia" w:ascii="宋体" w:hAnsi="宋体"/>
          <w:szCs w:val="21"/>
          <w:lang w:eastAsia="zh-CN"/>
        </w:rPr>
      </w:pPr>
      <w:r>
        <w:rPr>
          <w:rFonts w:ascii="宋体" w:hAnsi="宋体" w:eastAsia="宋体" w:cs="Times New Roman"/>
          <w:kern w:val="2"/>
          <w:sz w:val="21"/>
          <w:szCs w:val="21"/>
          <w:lang w:val="en-US" w:eastAsia="zh-CN" w:bidi="ar-SA"/>
        </w:rPr>
        <w:t>5.2.5.</w:t>
      </w:r>
      <w:r>
        <w:rPr>
          <w:rFonts w:hint="eastAsia" w:ascii="宋体" w:hAnsi="宋体" w:cs="Times New Roman"/>
          <w:kern w:val="2"/>
          <w:sz w:val="21"/>
          <w:szCs w:val="21"/>
          <w:lang w:val="en-US" w:eastAsia="zh-CN" w:bidi="ar-SA"/>
        </w:rPr>
        <w:t xml:space="preserve"> </w:t>
      </w:r>
      <w:r>
        <w:rPr>
          <w:rFonts w:hint="eastAsia" w:ascii="宋体" w:hAnsi="宋体"/>
          <w:szCs w:val="21"/>
        </w:rPr>
        <w:t>法律、法规和</w:t>
      </w:r>
      <w:r>
        <w:rPr>
          <w:rFonts w:hint="eastAsia" w:ascii="宋体" w:hAnsi="宋体"/>
          <w:szCs w:val="21"/>
          <w:lang w:val="en-US" w:eastAsia="zh-CN"/>
        </w:rPr>
        <w:t>遴选文件</w:t>
      </w:r>
      <w:r>
        <w:rPr>
          <w:rFonts w:hint="eastAsia" w:ascii="宋体" w:hAnsi="宋体"/>
          <w:szCs w:val="21"/>
        </w:rPr>
        <w:t>规定的其他无效情形</w:t>
      </w:r>
      <w:r>
        <w:rPr>
          <w:rFonts w:hint="eastAsia" w:ascii="宋体" w:hAnsi="宋体"/>
          <w:szCs w:val="21"/>
          <w:lang w:eastAsia="zh-CN"/>
        </w:rPr>
        <w:t>；</w:t>
      </w:r>
    </w:p>
    <w:p w14:paraId="5CBBD457">
      <w:pPr>
        <w:pStyle w:val="85"/>
        <w:widowControl/>
        <w:numPr>
          <w:ilvl w:val="2"/>
          <w:numId w:val="0"/>
        </w:numPr>
        <w:spacing w:line="360" w:lineRule="auto"/>
        <w:ind w:left="709" w:leftChars="0" w:hanging="709" w:firstLineChars="0"/>
        <w:jc w:val="left"/>
        <w:rPr>
          <w:rFonts w:hint="eastAsia" w:ascii="宋体" w:hAnsi="宋体" w:cs="Times New Roman"/>
          <w:szCs w:val="21"/>
        </w:rPr>
      </w:pPr>
      <w:r>
        <w:rPr>
          <w:rFonts w:hint="eastAsia" w:ascii="宋体" w:hAnsi="宋体" w:cs="Times New Roman"/>
          <w:szCs w:val="21"/>
          <w:lang w:val="en-US" w:eastAsia="zh-CN"/>
        </w:rPr>
        <w:t xml:space="preserve">5.3. </w:t>
      </w:r>
      <w:r>
        <w:rPr>
          <w:rFonts w:hint="eastAsia" w:ascii="宋体" w:hAnsi="宋体" w:cs="Times New Roman"/>
          <w:szCs w:val="21"/>
        </w:rPr>
        <w:t>废标</w:t>
      </w:r>
    </w:p>
    <w:p w14:paraId="2CCDEB58">
      <w:pPr>
        <w:pStyle w:val="85"/>
        <w:widowControl/>
        <w:numPr>
          <w:ilvl w:val="2"/>
          <w:numId w:val="0"/>
        </w:numPr>
        <w:spacing w:line="360" w:lineRule="auto"/>
        <w:ind w:left="709" w:leftChars="0" w:hanging="709" w:firstLineChars="0"/>
        <w:jc w:val="left"/>
        <w:rPr>
          <w:rFonts w:ascii="宋体" w:hAnsi="宋体"/>
          <w:szCs w:val="21"/>
        </w:rPr>
      </w:pPr>
      <w:r>
        <w:rPr>
          <w:rFonts w:hint="eastAsia" w:ascii="宋体" w:hAnsi="宋体" w:cs="Times New Roman"/>
          <w:szCs w:val="21"/>
          <w:lang w:val="en-US" w:eastAsia="zh-CN"/>
        </w:rPr>
        <w:t>5.3.</w:t>
      </w:r>
      <w:r>
        <w:rPr>
          <w:rFonts w:ascii="宋体" w:hAnsi="宋体" w:eastAsia="宋体" w:cs="Times New Roman"/>
          <w:kern w:val="2"/>
          <w:sz w:val="21"/>
          <w:szCs w:val="21"/>
          <w:lang w:val="en-US" w:eastAsia="zh-CN" w:bidi="ar-SA"/>
        </w:rPr>
        <w:t>1.</w:t>
      </w:r>
      <w:r>
        <w:rPr>
          <w:rFonts w:hint="eastAsia" w:ascii="宋体" w:hAnsi="宋体" w:cs="Times New Roman"/>
          <w:kern w:val="2"/>
          <w:sz w:val="21"/>
          <w:szCs w:val="21"/>
          <w:lang w:val="en-US" w:eastAsia="zh-CN" w:bidi="ar-SA"/>
        </w:rPr>
        <w:t xml:space="preserve"> </w:t>
      </w:r>
      <w:r>
        <w:rPr>
          <w:rFonts w:ascii="宋体" w:hAnsi="宋体"/>
          <w:szCs w:val="21"/>
        </w:rPr>
        <w:t>在</w:t>
      </w:r>
      <w:r>
        <w:rPr>
          <w:rFonts w:hint="eastAsia" w:ascii="宋体" w:hAnsi="宋体"/>
          <w:szCs w:val="21"/>
          <w:lang w:eastAsia="zh-CN"/>
        </w:rPr>
        <w:t>遴选</w:t>
      </w:r>
      <w:r>
        <w:rPr>
          <w:rFonts w:hint="eastAsia" w:ascii="宋体" w:hAnsi="宋体"/>
          <w:szCs w:val="21"/>
          <w:lang w:val="en-US" w:eastAsia="zh-CN"/>
        </w:rPr>
        <w:t>活动</w:t>
      </w:r>
      <w:r>
        <w:rPr>
          <w:rFonts w:ascii="宋体" w:hAnsi="宋体"/>
          <w:szCs w:val="21"/>
        </w:rPr>
        <w:t>中，出现下列情形之一的，应予废标</w:t>
      </w:r>
      <w:r>
        <w:rPr>
          <w:rFonts w:hint="eastAsia" w:ascii="宋体" w:hAnsi="宋体"/>
          <w:szCs w:val="21"/>
        </w:rPr>
        <w:t>。</w:t>
      </w:r>
    </w:p>
    <w:p w14:paraId="72CA4B5C">
      <w:pPr>
        <w:pStyle w:val="85"/>
        <w:widowControl/>
        <w:numPr>
          <w:ilvl w:val="2"/>
          <w:numId w:val="0"/>
        </w:numPr>
        <w:spacing w:line="360" w:lineRule="auto"/>
        <w:ind w:left="709" w:leftChars="0" w:hanging="709" w:firstLineChars="0"/>
        <w:jc w:val="left"/>
        <w:rPr>
          <w:rFonts w:ascii="宋体" w:hAnsi="宋体"/>
          <w:szCs w:val="21"/>
        </w:rPr>
      </w:pPr>
      <w:r>
        <w:rPr>
          <w:rFonts w:hint="eastAsia" w:ascii="宋体" w:hAnsi="宋体" w:cs="Times New Roman"/>
          <w:szCs w:val="21"/>
          <w:lang w:val="en-US" w:eastAsia="zh-CN"/>
        </w:rPr>
        <w:t>5.3.</w:t>
      </w:r>
      <w:r>
        <w:rPr>
          <w:rFonts w:ascii="宋体" w:hAnsi="宋体" w:eastAsia="宋体" w:cs="Times New Roman"/>
          <w:kern w:val="2"/>
          <w:sz w:val="21"/>
          <w:szCs w:val="21"/>
          <w:lang w:val="en-US" w:eastAsia="zh-CN" w:bidi="ar-SA"/>
        </w:rPr>
        <w:t>2.</w:t>
      </w:r>
      <w:r>
        <w:rPr>
          <w:rFonts w:hint="eastAsia" w:ascii="宋体" w:hAnsi="宋体" w:cs="Times New Roman"/>
          <w:kern w:val="2"/>
          <w:sz w:val="21"/>
          <w:szCs w:val="21"/>
          <w:lang w:val="en-US" w:eastAsia="zh-CN" w:bidi="ar-SA"/>
        </w:rPr>
        <w:t xml:space="preserve"> </w:t>
      </w:r>
      <w:r>
        <w:rPr>
          <w:rFonts w:ascii="宋体" w:hAnsi="宋体"/>
          <w:szCs w:val="21"/>
        </w:rPr>
        <w:t>符合专业条件的</w:t>
      </w:r>
      <w:r>
        <w:rPr>
          <w:rFonts w:hint="eastAsia" w:ascii="宋体" w:hAnsi="宋体"/>
          <w:szCs w:val="21"/>
          <w:lang w:val="en-US" w:eastAsia="zh-CN"/>
        </w:rPr>
        <w:t>遴选响应方</w:t>
      </w:r>
      <w:r>
        <w:rPr>
          <w:rFonts w:ascii="宋体" w:hAnsi="宋体"/>
          <w:szCs w:val="21"/>
        </w:rPr>
        <w:t>或者对</w:t>
      </w:r>
      <w:r>
        <w:rPr>
          <w:rFonts w:hint="eastAsia" w:ascii="宋体" w:hAnsi="宋体"/>
          <w:szCs w:val="21"/>
          <w:lang w:val="en-US" w:eastAsia="zh-CN"/>
        </w:rPr>
        <w:t>遴选文件</w:t>
      </w:r>
      <w:r>
        <w:rPr>
          <w:rFonts w:ascii="宋体" w:hAnsi="宋体"/>
          <w:szCs w:val="21"/>
        </w:rPr>
        <w:t>作实质</w:t>
      </w:r>
      <w:r>
        <w:rPr>
          <w:rFonts w:hint="eastAsia" w:ascii="宋体" w:hAnsi="宋体"/>
          <w:szCs w:val="21"/>
          <w:lang w:eastAsia="zh-CN"/>
        </w:rPr>
        <w:t>遴选响应</w:t>
      </w:r>
      <w:r>
        <w:rPr>
          <w:rFonts w:ascii="宋体" w:hAnsi="宋体"/>
          <w:szCs w:val="21"/>
        </w:rPr>
        <w:t>的供应商不足三家的；</w:t>
      </w:r>
    </w:p>
    <w:p w14:paraId="55B9F1B2">
      <w:pPr>
        <w:pStyle w:val="85"/>
        <w:widowControl/>
        <w:numPr>
          <w:ilvl w:val="2"/>
          <w:numId w:val="0"/>
        </w:numPr>
        <w:spacing w:line="360" w:lineRule="auto"/>
        <w:ind w:left="709" w:leftChars="0" w:hanging="709" w:firstLineChars="0"/>
        <w:jc w:val="left"/>
        <w:rPr>
          <w:rFonts w:ascii="宋体" w:hAnsi="宋体"/>
          <w:szCs w:val="21"/>
        </w:rPr>
      </w:pPr>
      <w:r>
        <w:rPr>
          <w:rFonts w:hint="eastAsia" w:ascii="宋体" w:hAnsi="宋体" w:cs="Times New Roman"/>
          <w:szCs w:val="21"/>
          <w:lang w:val="en-US" w:eastAsia="zh-CN"/>
        </w:rPr>
        <w:t>5.3.</w:t>
      </w:r>
      <w:r>
        <w:rPr>
          <w:rFonts w:ascii="宋体" w:hAnsi="宋体" w:eastAsia="宋体" w:cs="Times New Roman"/>
          <w:kern w:val="2"/>
          <w:sz w:val="21"/>
          <w:szCs w:val="21"/>
          <w:lang w:val="en-US" w:eastAsia="zh-CN" w:bidi="ar-SA"/>
        </w:rPr>
        <w:t>3.</w:t>
      </w:r>
      <w:r>
        <w:rPr>
          <w:rFonts w:hint="eastAsia" w:ascii="宋体" w:hAnsi="宋体" w:cs="Times New Roman"/>
          <w:kern w:val="2"/>
          <w:sz w:val="21"/>
          <w:szCs w:val="21"/>
          <w:lang w:val="en-US" w:eastAsia="zh-CN" w:bidi="ar-SA"/>
        </w:rPr>
        <w:t xml:space="preserve"> </w:t>
      </w:r>
      <w:r>
        <w:rPr>
          <w:rFonts w:ascii="宋体" w:hAnsi="宋体"/>
          <w:szCs w:val="21"/>
        </w:rPr>
        <w:t>出现影响采购公正的违法、违规行为的；</w:t>
      </w:r>
    </w:p>
    <w:p w14:paraId="0F593194">
      <w:pPr>
        <w:pStyle w:val="85"/>
        <w:widowControl/>
        <w:numPr>
          <w:ilvl w:val="2"/>
          <w:numId w:val="0"/>
        </w:numPr>
        <w:spacing w:line="360" w:lineRule="auto"/>
        <w:ind w:left="709" w:leftChars="0" w:hanging="709" w:firstLineChars="0"/>
        <w:jc w:val="left"/>
        <w:rPr>
          <w:rFonts w:hint="eastAsia" w:ascii="宋体" w:hAnsi="宋体"/>
          <w:szCs w:val="21"/>
          <w:lang w:eastAsia="zh-CN"/>
        </w:rPr>
      </w:pPr>
      <w:r>
        <w:rPr>
          <w:rFonts w:hint="eastAsia" w:ascii="宋体" w:hAnsi="宋体" w:cs="Times New Roman"/>
          <w:szCs w:val="21"/>
          <w:lang w:val="en-US" w:eastAsia="zh-CN"/>
        </w:rPr>
        <w:t xml:space="preserve">5.3.4. </w:t>
      </w:r>
      <w:r>
        <w:rPr>
          <w:rFonts w:ascii="宋体" w:hAnsi="宋体"/>
          <w:szCs w:val="21"/>
        </w:rPr>
        <w:t>因重大变故，采购任务取消的</w:t>
      </w:r>
      <w:r>
        <w:rPr>
          <w:rFonts w:hint="eastAsia" w:ascii="宋体" w:hAnsi="宋体"/>
          <w:szCs w:val="21"/>
        </w:rPr>
        <w:t>。</w:t>
      </w:r>
    </w:p>
    <w:p w14:paraId="304E5E9E">
      <w:pPr>
        <w:pStyle w:val="2"/>
        <w:jc w:val="center"/>
        <w:rPr>
          <w:rFonts w:asciiTheme="majorEastAsia" w:hAnsiTheme="majorEastAsia" w:eastAsiaTheme="majorEastAsia" w:cstheme="majorEastAsia"/>
          <w:sz w:val="32"/>
          <w:szCs w:val="32"/>
        </w:rPr>
      </w:pPr>
      <w:bookmarkStart w:id="38" w:name="_Toc24338"/>
      <w:bookmarkStart w:id="39" w:name="_Toc8307306"/>
      <w:bookmarkStart w:id="40" w:name="_Toc22206"/>
      <w:bookmarkStart w:id="41" w:name="_Toc435514851"/>
      <w:bookmarkStart w:id="42" w:name="_Toc9128_WPSOffice_Level1"/>
      <w:bookmarkStart w:id="43" w:name="_Toc435115056"/>
      <w:bookmarkStart w:id="44" w:name="_Toc30185"/>
      <w:bookmarkStart w:id="45" w:name="_Toc32760"/>
      <w:r>
        <w:rPr>
          <w:rFonts w:hint="eastAsia" w:asciiTheme="majorEastAsia" w:hAnsiTheme="majorEastAsia" w:eastAsiaTheme="majorEastAsia" w:cstheme="majorEastAsia"/>
          <w:sz w:val="32"/>
          <w:szCs w:val="32"/>
        </w:rPr>
        <w:t>第</w:t>
      </w:r>
      <w:r>
        <w:rPr>
          <w:rFonts w:hint="eastAsia" w:asciiTheme="majorEastAsia" w:hAnsiTheme="majorEastAsia" w:eastAsiaTheme="majorEastAsia" w:cstheme="majorEastAsia"/>
          <w:sz w:val="32"/>
          <w:szCs w:val="32"/>
          <w:lang w:val="en-US" w:eastAsia="zh-CN"/>
        </w:rPr>
        <w:t>五</w:t>
      </w:r>
      <w:r>
        <w:rPr>
          <w:rFonts w:hint="eastAsia" w:asciiTheme="majorEastAsia" w:hAnsiTheme="majorEastAsia" w:eastAsiaTheme="majorEastAsia" w:cstheme="majorEastAsia"/>
          <w:sz w:val="32"/>
          <w:szCs w:val="32"/>
        </w:rPr>
        <w:t xml:space="preserve">章 </w:t>
      </w:r>
      <w:r>
        <w:rPr>
          <w:rFonts w:hint="eastAsia" w:asciiTheme="majorEastAsia" w:hAnsiTheme="majorEastAsia" w:eastAsiaTheme="majorEastAsia" w:cstheme="majorEastAsia"/>
          <w:sz w:val="32"/>
          <w:szCs w:val="32"/>
          <w:lang w:val="en-US" w:eastAsia="zh-CN"/>
        </w:rPr>
        <w:t>遴选响应文件</w:t>
      </w:r>
      <w:r>
        <w:rPr>
          <w:rFonts w:hint="eastAsia" w:asciiTheme="majorEastAsia" w:hAnsiTheme="majorEastAsia" w:eastAsiaTheme="majorEastAsia" w:cstheme="majorEastAsia"/>
          <w:sz w:val="32"/>
          <w:szCs w:val="32"/>
        </w:rPr>
        <w:t>格式</w:t>
      </w:r>
      <w:bookmarkEnd w:id="38"/>
      <w:bookmarkEnd w:id="39"/>
      <w:bookmarkEnd w:id="40"/>
      <w:bookmarkEnd w:id="41"/>
      <w:bookmarkEnd w:id="42"/>
      <w:bookmarkEnd w:id="43"/>
      <w:bookmarkEnd w:id="44"/>
      <w:bookmarkEnd w:id="45"/>
    </w:p>
    <w:p w14:paraId="6AEC634F">
      <w:pPr>
        <w:pStyle w:val="3"/>
        <w:numPr>
          <w:ilvl w:val="0"/>
          <w:numId w:val="0"/>
        </w:numPr>
        <w:spacing w:line="240" w:lineRule="auto"/>
        <w:ind w:left="420" w:leftChars="0" w:hanging="420" w:firstLineChars="0"/>
        <w:jc w:val="center"/>
        <w:rPr>
          <w:rFonts w:asciiTheme="majorEastAsia" w:hAnsiTheme="majorEastAsia" w:eastAsiaTheme="majorEastAsia"/>
          <w:sz w:val="30"/>
          <w:szCs w:val="30"/>
        </w:rPr>
      </w:pPr>
      <w:bookmarkStart w:id="46" w:name="_Toc8080"/>
      <w:bookmarkStart w:id="47" w:name="_Toc435514852"/>
      <w:bookmarkStart w:id="48" w:name="_Toc17575"/>
      <w:bookmarkStart w:id="49" w:name="_Toc25996"/>
      <w:bookmarkStart w:id="50" w:name="_Toc435515292"/>
      <w:r>
        <w:rPr>
          <w:rFonts w:hint="eastAsia" w:cs="Times New Roman" w:asciiTheme="majorEastAsia" w:hAnsiTheme="majorEastAsia" w:eastAsiaTheme="majorEastAsia"/>
          <w:b/>
          <w:bCs/>
          <w:kern w:val="2"/>
          <w:sz w:val="30"/>
          <w:szCs w:val="30"/>
          <w:lang w:val="en-US" w:eastAsia="zh-CN" w:bidi="ar-SA"/>
        </w:rPr>
        <w:t>遴选响应文件</w:t>
      </w:r>
      <w:r>
        <w:rPr>
          <w:rFonts w:hint="eastAsia" w:asciiTheme="majorEastAsia" w:hAnsiTheme="majorEastAsia" w:eastAsiaTheme="majorEastAsia"/>
          <w:sz w:val="30"/>
          <w:szCs w:val="30"/>
        </w:rPr>
        <w:t>包装封面参考</w:t>
      </w:r>
      <w:bookmarkEnd w:id="46"/>
      <w:bookmarkEnd w:id="47"/>
      <w:bookmarkEnd w:id="48"/>
      <w:bookmarkEnd w:id="49"/>
      <w:bookmarkEnd w:id="50"/>
    </w:p>
    <w:tbl>
      <w:tblPr>
        <w:tblStyle w:val="39"/>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14:paraId="581D0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018" w:type="dxa"/>
          </w:tcPr>
          <w:p w14:paraId="5BFC05FD">
            <w:pPr>
              <w:pStyle w:val="16"/>
              <w:spacing w:line="360" w:lineRule="auto"/>
              <w:ind w:firstLine="482" w:firstLineChars="150"/>
              <w:rPr>
                <w:rFonts w:ascii="仿宋_GB2312" w:eastAsia="仿宋_GB2312"/>
                <w:b/>
                <w:sz w:val="32"/>
              </w:rPr>
            </w:pPr>
          </w:p>
          <w:p w14:paraId="5B28663B">
            <w:pPr>
              <w:pStyle w:val="16"/>
              <w:spacing w:line="360" w:lineRule="auto"/>
              <w:ind w:firstLine="482" w:firstLineChars="150"/>
              <w:rPr>
                <w:rFonts w:ascii="仿宋_GB2312" w:eastAsia="仿宋_GB2312"/>
                <w:b/>
                <w:sz w:val="32"/>
              </w:rPr>
            </w:pPr>
          </w:p>
          <w:p w14:paraId="1E3C09EE">
            <w:pPr>
              <w:pStyle w:val="16"/>
              <w:spacing w:line="360" w:lineRule="auto"/>
              <w:ind w:firstLine="482" w:firstLineChars="150"/>
              <w:rPr>
                <w:rFonts w:ascii="仿宋_GB2312" w:eastAsia="仿宋_GB2312"/>
                <w:b/>
                <w:sz w:val="32"/>
              </w:rPr>
            </w:pPr>
          </w:p>
          <w:p w14:paraId="170227B2">
            <w:pPr>
              <w:pStyle w:val="16"/>
              <w:spacing w:line="360" w:lineRule="auto"/>
              <w:jc w:val="center"/>
              <w:rPr>
                <w:rFonts w:ascii="黑体" w:eastAsia="黑体"/>
                <w:b/>
                <w:sz w:val="72"/>
                <w:szCs w:val="72"/>
              </w:rPr>
            </w:pPr>
            <w:r>
              <w:rPr>
                <w:rFonts w:hint="eastAsia" w:ascii="黑体" w:eastAsia="黑体"/>
                <w:b/>
                <w:sz w:val="72"/>
                <w:szCs w:val="72"/>
                <w:lang w:val="en-US" w:eastAsia="zh-CN"/>
              </w:rPr>
              <w:t xml:space="preserve">遴 选 响 应 </w:t>
            </w:r>
            <w:r>
              <w:rPr>
                <w:rFonts w:hint="eastAsia" w:ascii="黑体" w:eastAsia="黑体"/>
                <w:b/>
                <w:sz w:val="72"/>
                <w:szCs w:val="72"/>
              </w:rPr>
              <w:t>文 件</w:t>
            </w:r>
          </w:p>
          <w:p w14:paraId="0E3E0508">
            <w:pPr>
              <w:pStyle w:val="16"/>
              <w:spacing w:line="360" w:lineRule="auto"/>
              <w:ind w:firstLine="3398" w:firstLineChars="651"/>
              <w:rPr>
                <w:rFonts w:hint="eastAsia" w:ascii="黑体" w:eastAsia="黑体"/>
                <w:b/>
                <w:sz w:val="52"/>
                <w:szCs w:val="52"/>
              </w:rPr>
            </w:pPr>
          </w:p>
          <w:p w14:paraId="39576222">
            <w:pPr>
              <w:pStyle w:val="16"/>
              <w:spacing w:line="360" w:lineRule="auto"/>
              <w:ind w:firstLine="3398" w:firstLineChars="651"/>
              <w:rPr>
                <w:rFonts w:ascii="黑体" w:eastAsia="黑体"/>
                <w:b/>
                <w:sz w:val="32"/>
              </w:rPr>
            </w:pPr>
            <w:r>
              <w:rPr>
                <w:rFonts w:hint="eastAsia" w:ascii="黑体" w:eastAsia="黑体"/>
                <w:b/>
                <w:sz w:val="52"/>
                <w:szCs w:val="52"/>
              </w:rPr>
              <w:t xml:space="preserve">口 </w:t>
            </w:r>
            <w:r>
              <w:rPr>
                <w:rFonts w:hint="eastAsia" w:ascii="黑体" w:eastAsia="黑体"/>
                <w:b/>
                <w:sz w:val="32"/>
              </w:rPr>
              <w:t>正本</w:t>
            </w:r>
          </w:p>
          <w:p w14:paraId="7C6EDE53">
            <w:pPr>
              <w:pStyle w:val="16"/>
              <w:spacing w:line="360" w:lineRule="auto"/>
              <w:ind w:firstLine="3398" w:firstLineChars="651"/>
              <w:rPr>
                <w:rFonts w:ascii="黑体" w:eastAsia="黑体"/>
                <w:b/>
                <w:sz w:val="32"/>
              </w:rPr>
            </w:pPr>
            <w:r>
              <w:rPr>
                <w:rFonts w:hint="eastAsia" w:ascii="黑体" w:eastAsia="黑体"/>
                <w:b/>
                <w:sz w:val="52"/>
                <w:szCs w:val="52"/>
              </w:rPr>
              <w:t xml:space="preserve">口 </w:t>
            </w:r>
            <w:r>
              <w:rPr>
                <w:rFonts w:hint="eastAsia" w:ascii="黑体" w:eastAsia="黑体"/>
                <w:b/>
                <w:sz w:val="32"/>
              </w:rPr>
              <w:t>副本</w:t>
            </w:r>
          </w:p>
          <w:p w14:paraId="5699C5CF">
            <w:pPr>
              <w:pStyle w:val="16"/>
              <w:spacing w:line="360" w:lineRule="auto"/>
              <w:rPr>
                <w:rFonts w:ascii="仿宋_GB2312" w:eastAsia="仿宋_GB2312"/>
                <w:b/>
                <w:sz w:val="32"/>
              </w:rPr>
            </w:pPr>
          </w:p>
          <w:p w14:paraId="7B6F1F05">
            <w:pPr>
              <w:pStyle w:val="16"/>
              <w:spacing w:line="360" w:lineRule="auto"/>
              <w:rPr>
                <w:rFonts w:ascii="仿宋_GB2312" w:eastAsia="仿宋_GB2312"/>
                <w:b/>
                <w:sz w:val="32"/>
              </w:rPr>
            </w:pPr>
          </w:p>
          <w:p w14:paraId="69F8663C">
            <w:pPr>
              <w:pStyle w:val="16"/>
              <w:spacing w:line="360" w:lineRule="auto"/>
              <w:rPr>
                <w:rFonts w:ascii="仿宋_GB2312" w:eastAsia="仿宋_GB2312"/>
                <w:b/>
                <w:sz w:val="32"/>
              </w:rPr>
            </w:pPr>
          </w:p>
          <w:p w14:paraId="05261BC4">
            <w:pPr>
              <w:pStyle w:val="16"/>
              <w:spacing w:line="400" w:lineRule="exact"/>
              <w:ind w:firstLine="900" w:firstLineChars="320"/>
              <w:rPr>
                <w:rFonts w:hint="eastAsia" w:ascii="仿宋_GB2312" w:eastAsia="仿宋_GB2312"/>
                <w:b/>
                <w:color w:val="auto"/>
                <w:sz w:val="28"/>
                <w:szCs w:val="28"/>
                <w:lang w:eastAsia="zh-CN"/>
              </w:rPr>
            </w:pPr>
            <w:r>
              <w:rPr>
                <w:rFonts w:hint="eastAsia" w:ascii="仿宋_GB2312" w:eastAsia="仿宋_GB2312"/>
                <w:b/>
                <w:sz w:val="28"/>
                <w:szCs w:val="28"/>
              </w:rPr>
              <w:t>项目编</w:t>
            </w:r>
            <w:r>
              <w:rPr>
                <w:rFonts w:hint="eastAsia" w:ascii="仿宋_GB2312" w:hAnsi="Times New Roman" w:eastAsia="仿宋_GB2312" w:cs="Times New Roman"/>
                <w:b/>
                <w:sz w:val="28"/>
                <w:szCs w:val="28"/>
              </w:rPr>
              <w:t>号：</w:t>
            </w:r>
            <w:r>
              <w:rPr>
                <w:rFonts w:hint="eastAsia" w:ascii="仿宋_GB2312" w:hAnsi="Times New Roman" w:eastAsia="仿宋_GB2312" w:cs="Times New Roman"/>
                <w:b/>
                <w:sz w:val="28"/>
                <w:szCs w:val="28"/>
                <w:lang w:val="en-US" w:eastAsia="zh-CN"/>
              </w:rPr>
              <w:t>FTEY-202501-FW001</w:t>
            </w:r>
          </w:p>
          <w:p w14:paraId="59FC677A">
            <w:pPr>
              <w:pStyle w:val="16"/>
              <w:spacing w:line="400" w:lineRule="exact"/>
              <w:ind w:firstLine="900" w:firstLineChars="320"/>
              <w:rPr>
                <w:rFonts w:hint="eastAsia" w:ascii="仿宋_GB2312" w:eastAsia="仿宋_GB2312"/>
                <w:b/>
                <w:color w:val="auto"/>
                <w:sz w:val="28"/>
                <w:szCs w:val="28"/>
                <w:lang w:eastAsia="zh-CN"/>
              </w:rPr>
            </w:pPr>
            <w:r>
              <w:rPr>
                <w:rFonts w:hint="eastAsia" w:ascii="仿宋_GB2312" w:eastAsia="仿宋_GB2312"/>
                <w:b/>
                <w:color w:val="auto"/>
                <w:sz w:val="28"/>
                <w:szCs w:val="28"/>
              </w:rPr>
              <w:t>项目</w:t>
            </w:r>
            <w:r>
              <w:rPr>
                <w:rFonts w:hint="eastAsia" w:ascii="仿宋_GB2312" w:hAnsi="Times New Roman" w:eastAsia="仿宋_GB2312" w:cs="Times New Roman"/>
                <w:b/>
                <w:color w:val="auto"/>
                <w:sz w:val="28"/>
                <w:szCs w:val="28"/>
              </w:rPr>
              <w:t>名称：</w:t>
            </w:r>
            <w:r>
              <w:rPr>
                <w:rFonts w:hint="eastAsia" w:ascii="仿宋_GB2312" w:hAnsi="Times New Roman" w:eastAsia="仿宋_GB2312" w:cs="Times New Roman"/>
                <w:b/>
                <w:color w:val="auto"/>
                <w:sz w:val="28"/>
                <w:szCs w:val="28"/>
                <w:lang w:eastAsia="zh-CN"/>
              </w:rPr>
              <w:t>医用耗材供应链精细化管理（SPD）服务</w:t>
            </w:r>
          </w:p>
          <w:p w14:paraId="7F4954F9">
            <w:pPr>
              <w:pStyle w:val="16"/>
              <w:spacing w:line="400" w:lineRule="exact"/>
              <w:ind w:firstLine="900" w:firstLineChars="320"/>
              <w:rPr>
                <w:rFonts w:ascii="仿宋_GB2312" w:eastAsia="仿宋_GB2312"/>
                <w:b/>
                <w:color w:val="auto"/>
                <w:sz w:val="28"/>
                <w:szCs w:val="28"/>
              </w:rPr>
            </w:pPr>
            <w:r>
              <w:rPr>
                <w:rFonts w:hint="eastAsia" w:ascii="仿宋_GB2312" w:eastAsia="仿宋_GB2312"/>
                <w:b/>
                <w:color w:val="auto"/>
                <w:sz w:val="28"/>
                <w:szCs w:val="28"/>
                <w:lang w:val="en-US" w:eastAsia="zh-CN"/>
              </w:rPr>
              <w:t>遴选响应方</w:t>
            </w:r>
            <w:r>
              <w:rPr>
                <w:rFonts w:hint="eastAsia" w:ascii="仿宋_GB2312" w:eastAsia="仿宋_GB2312"/>
                <w:b/>
                <w:color w:val="auto"/>
                <w:sz w:val="28"/>
                <w:szCs w:val="28"/>
              </w:rPr>
              <w:t>名称：</w:t>
            </w:r>
          </w:p>
          <w:p w14:paraId="2196C25C">
            <w:pPr>
              <w:pStyle w:val="16"/>
              <w:spacing w:line="400" w:lineRule="exact"/>
              <w:ind w:firstLine="900" w:firstLineChars="320"/>
              <w:rPr>
                <w:rFonts w:hint="eastAsia" w:ascii="仿宋_GB2312" w:eastAsia="仿宋_GB2312"/>
                <w:b/>
                <w:color w:val="auto"/>
                <w:sz w:val="28"/>
                <w:szCs w:val="28"/>
              </w:rPr>
            </w:pPr>
            <w:r>
              <w:rPr>
                <w:rFonts w:hint="eastAsia" w:ascii="仿宋_GB2312" w:eastAsia="仿宋_GB2312"/>
                <w:b/>
                <w:color w:val="auto"/>
                <w:sz w:val="28"/>
                <w:szCs w:val="28"/>
                <w:lang w:val="en-US" w:eastAsia="zh-CN"/>
              </w:rPr>
              <w:t>遴选响应方</w:t>
            </w:r>
            <w:r>
              <w:rPr>
                <w:rFonts w:hint="eastAsia" w:ascii="仿宋_GB2312" w:eastAsia="仿宋_GB2312"/>
                <w:b/>
                <w:color w:val="auto"/>
                <w:sz w:val="28"/>
                <w:szCs w:val="28"/>
              </w:rPr>
              <w:t>地址：</w:t>
            </w:r>
          </w:p>
          <w:p w14:paraId="7F4E7E4E">
            <w:pPr>
              <w:pStyle w:val="16"/>
              <w:spacing w:line="400" w:lineRule="exact"/>
              <w:ind w:firstLine="900" w:firstLineChars="320"/>
              <w:rPr>
                <w:rFonts w:hint="eastAsia" w:ascii="仿宋_GB2312" w:eastAsia="仿宋_GB2312"/>
                <w:b/>
                <w:color w:val="auto"/>
                <w:sz w:val="28"/>
                <w:szCs w:val="28"/>
                <w:lang w:val="en-US" w:eastAsia="zh-CN"/>
              </w:rPr>
            </w:pPr>
            <w:r>
              <w:rPr>
                <w:rFonts w:hint="eastAsia" w:ascii="仿宋_GB2312" w:eastAsia="仿宋_GB2312"/>
                <w:b/>
                <w:color w:val="auto"/>
                <w:sz w:val="28"/>
                <w:szCs w:val="28"/>
                <w:lang w:val="en-US" w:eastAsia="zh-CN"/>
              </w:rPr>
              <w:t>联系人及联系方式：</w:t>
            </w:r>
          </w:p>
          <w:p w14:paraId="3F20A72B">
            <w:pPr>
              <w:pStyle w:val="16"/>
              <w:spacing w:line="400" w:lineRule="exact"/>
              <w:ind w:firstLine="900" w:firstLineChars="320"/>
              <w:rPr>
                <w:rFonts w:ascii="仿宋_GB2312" w:eastAsia="仿宋_GB2312"/>
                <w:b/>
                <w:sz w:val="32"/>
              </w:rPr>
            </w:pPr>
            <w:r>
              <w:rPr>
                <w:rFonts w:hint="eastAsia" w:ascii="仿宋_GB2312" w:eastAsia="仿宋_GB2312"/>
                <w:b/>
                <w:color w:val="auto"/>
                <w:sz w:val="28"/>
                <w:szCs w:val="28"/>
                <w:lang w:val="en-US" w:eastAsia="zh-CN"/>
              </w:rPr>
              <w:t>现场遴选</w:t>
            </w:r>
            <w:r>
              <w:rPr>
                <w:rFonts w:hint="eastAsia" w:ascii="仿宋_GB2312" w:eastAsia="仿宋_GB2312"/>
                <w:b/>
                <w:color w:val="auto"/>
                <w:sz w:val="28"/>
                <w:szCs w:val="28"/>
              </w:rPr>
              <w:t>前不得启封</w:t>
            </w:r>
          </w:p>
        </w:tc>
      </w:tr>
    </w:tbl>
    <w:p w14:paraId="0C0DAD9B">
      <w:bookmarkStart w:id="51" w:name="_Toc435514865"/>
      <w:bookmarkStart w:id="52" w:name="_Toc435515305"/>
      <w:r>
        <w:rPr>
          <w:rFonts w:hint="eastAsia"/>
        </w:rPr>
        <w:br w:type="page"/>
      </w:r>
    </w:p>
    <w:p w14:paraId="67E707F9">
      <w:pPr>
        <w:bidi w:val="0"/>
        <w:jc w:val="center"/>
        <w:outlineLvl w:val="1"/>
        <w:rPr>
          <w:rFonts w:hint="default" w:cs="Times New Roman" w:asciiTheme="majorEastAsia" w:hAnsiTheme="majorEastAsia" w:eastAsiaTheme="majorEastAsia"/>
          <w:b/>
          <w:bCs/>
          <w:kern w:val="2"/>
          <w:sz w:val="30"/>
          <w:szCs w:val="30"/>
          <w:lang w:val="en-US" w:eastAsia="zh-CN" w:bidi="ar-SA"/>
        </w:rPr>
      </w:pPr>
      <w:bookmarkStart w:id="53" w:name="_Toc15495"/>
      <w:bookmarkStart w:id="54" w:name="_Toc2603"/>
      <w:bookmarkStart w:id="55" w:name="_Toc29334"/>
      <w:r>
        <w:rPr>
          <w:rFonts w:hint="eastAsia" w:cs="Times New Roman" w:asciiTheme="majorEastAsia" w:hAnsiTheme="majorEastAsia" w:eastAsiaTheme="majorEastAsia"/>
          <w:b/>
          <w:bCs/>
          <w:kern w:val="2"/>
          <w:sz w:val="30"/>
          <w:szCs w:val="30"/>
          <w:lang w:val="en-US" w:eastAsia="zh-CN" w:bidi="ar-SA"/>
        </w:rPr>
        <w:t>（一）</w:t>
      </w:r>
      <w:bookmarkEnd w:id="53"/>
      <w:r>
        <w:rPr>
          <w:rFonts w:hint="eastAsia" w:cs="Times New Roman" w:asciiTheme="majorEastAsia" w:hAnsiTheme="majorEastAsia" w:eastAsiaTheme="majorEastAsia"/>
          <w:b/>
          <w:bCs/>
          <w:kern w:val="2"/>
          <w:sz w:val="30"/>
          <w:szCs w:val="30"/>
          <w:lang w:val="en-US" w:eastAsia="zh-CN" w:bidi="ar-SA"/>
        </w:rPr>
        <w:t>资格性自查表</w:t>
      </w:r>
      <w:bookmarkEnd w:id="54"/>
    </w:p>
    <w:tbl>
      <w:tblPr>
        <w:tblStyle w:val="39"/>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5279"/>
        <w:gridCol w:w="1593"/>
        <w:gridCol w:w="1559"/>
      </w:tblGrid>
      <w:tr w14:paraId="2398B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86" w:type="dxa"/>
            <w:vAlign w:val="center"/>
          </w:tcPr>
          <w:p w14:paraId="6F05D83B">
            <w:pPr>
              <w:jc w:val="center"/>
              <w:rPr>
                <w:rFonts w:ascii="宋体" w:cs="宋体"/>
                <w:b/>
              </w:rPr>
            </w:pPr>
            <w:r>
              <w:rPr>
                <w:rFonts w:hint="eastAsia" w:ascii="宋体" w:cs="宋体"/>
                <w:b/>
              </w:rPr>
              <w:t>序号</w:t>
            </w:r>
          </w:p>
        </w:tc>
        <w:tc>
          <w:tcPr>
            <w:tcW w:w="5279" w:type="dxa"/>
            <w:vAlign w:val="center"/>
          </w:tcPr>
          <w:p w14:paraId="572EC149">
            <w:pPr>
              <w:jc w:val="center"/>
              <w:rPr>
                <w:rFonts w:ascii="宋体" w:cs="宋体"/>
                <w:b/>
              </w:rPr>
            </w:pPr>
            <w:r>
              <w:rPr>
                <w:rFonts w:hint="eastAsia" w:ascii="宋体" w:hAnsi="宋体" w:cs="宋体"/>
                <w:b/>
              </w:rPr>
              <w:t>评 审 内 容</w:t>
            </w:r>
          </w:p>
        </w:tc>
        <w:tc>
          <w:tcPr>
            <w:tcW w:w="1593" w:type="dxa"/>
            <w:shd w:val="clear" w:color="auto" w:fill="auto"/>
            <w:vAlign w:val="center"/>
          </w:tcPr>
          <w:p w14:paraId="79784FDC">
            <w:pPr>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Cs w:val="21"/>
                <w:highlight w:val="none"/>
              </w:rPr>
              <w:t>自查结论</w:t>
            </w:r>
          </w:p>
        </w:tc>
        <w:tc>
          <w:tcPr>
            <w:tcW w:w="1559" w:type="dxa"/>
            <w:shd w:val="clear" w:color="auto" w:fill="auto"/>
            <w:vAlign w:val="center"/>
          </w:tcPr>
          <w:p w14:paraId="51DEB8CE">
            <w:pPr>
              <w:ind w:right="-178" w:rightChars="-85"/>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Cs w:val="21"/>
                <w:highlight w:val="none"/>
              </w:rPr>
              <w:t>证明资料</w:t>
            </w:r>
          </w:p>
        </w:tc>
      </w:tr>
      <w:tr w14:paraId="2ACE2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86" w:type="dxa"/>
            <w:vAlign w:val="center"/>
          </w:tcPr>
          <w:p w14:paraId="0165E70D">
            <w:pPr>
              <w:numPr>
                <w:ilvl w:val="0"/>
                <w:numId w:val="0"/>
              </w:numPr>
              <w:tabs>
                <w:tab w:val="left" w:pos="176"/>
                <w:tab w:val="left" w:pos="612"/>
              </w:tabs>
              <w:ind w:leftChars="0"/>
              <w:jc w:val="center"/>
              <w:rPr>
                <w:rFonts w:hint="eastAsia" w:ascii="宋体" w:hAnsi="宋体" w:eastAsia="宋体" w:cs="宋体"/>
                <w:lang w:val="en-US" w:eastAsia="zh-CN"/>
              </w:rPr>
            </w:pPr>
            <w:r>
              <w:rPr>
                <w:rFonts w:hint="eastAsia" w:ascii="宋体" w:hAnsi="宋体" w:cs="宋体"/>
                <w:lang w:val="en-US" w:eastAsia="zh-CN"/>
              </w:rPr>
              <w:t>1</w:t>
            </w:r>
          </w:p>
        </w:tc>
        <w:tc>
          <w:tcPr>
            <w:tcW w:w="5279" w:type="dxa"/>
            <w:vAlign w:val="center"/>
          </w:tcPr>
          <w:p w14:paraId="78B68699">
            <w:pPr>
              <w:tabs>
                <w:tab w:val="left" w:pos="612"/>
              </w:tabs>
              <w:rPr>
                <w:rFonts w:ascii="宋体" w:hAnsi="宋体" w:cs="宋体"/>
              </w:rPr>
            </w:pPr>
            <w:r>
              <w:rPr>
                <w:rFonts w:hint="eastAsia" w:ascii="宋体" w:hAnsi="宋体" w:cs="宋体"/>
              </w:rPr>
              <w:t>具备</w:t>
            </w:r>
            <w:r>
              <w:rPr>
                <w:rFonts w:hint="eastAsia" w:ascii="宋体" w:hAnsi="宋体" w:cs="宋体"/>
                <w:lang w:val="en-US" w:eastAsia="zh-CN"/>
              </w:rPr>
              <w:t>遴选文件</w:t>
            </w:r>
            <w:r>
              <w:rPr>
                <w:rFonts w:hint="eastAsia" w:ascii="宋体" w:hAnsi="宋体" w:cs="宋体"/>
              </w:rPr>
              <w:t>中规定资格要求的及资格证明文件齐全；</w:t>
            </w:r>
          </w:p>
        </w:tc>
        <w:tc>
          <w:tcPr>
            <w:tcW w:w="1593" w:type="dxa"/>
            <w:shd w:val="clear" w:color="auto" w:fill="auto"/>
            <w:vAlign w:val="center"/>
          </w:tcPr>
          <w:p w14:paraId="7E5B605B">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通过</w:t>
            </w:r>
          </w:p>
          <w:p w14:paraId="4A7491C0">
            <w:pPr>
              <w:ind w:left="36" w:leftChars="17"/>
              <w:jc w:val="left"/>
              <w:rPr>
                <w:rFonts w:hint="eastAsia" w:ascii="宋体" w:hAnsi="宋体" w:eastAsia="宋体" w:cs="宋体"/>
                <w:b/>
                <w:bCs/>
                <w:kern w:val="2"/>
                <w:sz w:val="21"/>
                <w:szCs w:val="21"/>
                <w:highlight w:val="none"/>
                <w:lang w:val="en-US" w:eastAsia="zh-CN" w:bidi="ar-SA"/>
              </w:rPr>
            </w:pPr>
            <w:r>
              <w:rPr>
                <w:rFonts w:hint="eastAsia" w:ascii="宋体" w:hAnsi="宋体" w:eastAsia="宋体" w:cs="宋体"/>
                <w:szCs w:val="21"/>
                <w:highlight w:val="none"/>
              </w:rPr>
              <w:t>□不通过</w:t>
            </w:r>
          </w:p>
        </w:tc>
        <w:tc>
          <w:tcPr>
            <w:tcW w:w="1559" w:type="dxa"/>
            <w:shd w:val="clear" w:color="auto" w:fill="auto"/>
            <w:vAlign w:val="center"/>
          </w:tcPr>
          <w:p w14:paraId="7D3E0434">
            <w:pPr>
              <w:ind w:right="-178" w:rightChars="-85"/>
              <w:jc w:val="left"/>
              <w:rPr>
                <w:rFonts w:hint="eastAsia" w:ascii="宋体" w:hAnsi="宋体" w:eastAsia="宋体" w:cs="宋体"/>
                <w:b/>
                <w:bCs/>
                <w:kern w:val="2"/>
                <w:sz w:val="21"/>
                <w:szCs w:val="21"/>
                <w:highlight w:val="none"/>
                <w:lang w:val="en-US" w:eastAsia="zh-CN" w:bidi="ar-SA"/>
              </w:rPr>
            </w:pPr>
            <w:r>
              <w:rPr>
                <w:rFonts w:hint="eastAsia" w:ascii="宋体" w:hAnsi="宋体" w:eastAsia="宋体" w:cs="宋体"/>
                <w:szCs w:val="21"/>
                <w:highlight w:val="none"/>
              </w:rPr>
              <w:t>见</w:t>
            </w:r>
            <w:r>
              <w:rPr>
                <w:rFonts w:hint="eastAsia" w:ascii="宋体" w:hAnsi="宋体" w:cs="宋体"/>
                <w:szCs w:val="21"/>
                <w:highlight w:val="none"/>
                <w:lang w:val="en-US" w:eastAsia="zh-CN"/>
              </w:rPr>
              <w:t>遴选响应文件</w:t>
            </w:r>
            <w:r>
              <w:rPr>
                <w:rFonts w:hint="eastAsia" w:ascii="宋体" w:hAnsi="宋体" w:eastAsia="宋体" w:cs="宋体"/>
                <w:szCs w:val="21"/>
                <w:highlight w:val="none"/>
              </w:rPr>
              <w:t>第( )页</w:t>
            </w:r>
          </w:p>
        </w:tc>
      </w:tr>
      <w:tr w14:paraId="3959F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86" w:type="dxa"/>
            <w:vAlign w:val="center"/>
          </w:tcPr>
          <w:p w14:paraId="08F8ECE9">
            <w:pPr>
              <w:numPr>
                <w:ilvl w:val="0"/>
                <w:numId w:val="0"/>
              </w:numPr>
              <w:tabs>
                <w:tab w:val="left" w:pos="176"/>
                <w:tab w:val="left" w:pos="612"/>
              </w:tabs>
              <w:ind w:leftChars="0"/>
              <w:jc w:val="center"/>
              <w:rPr>
                <w:rFonts w:hint="eastAsia" w:ascii="宋体" w:hAnsi="宋体" w:eastAsia="宋体" w:cs="宋体"/>
                <w:lang w:val="en-US" w:eastAsia="zh-CN"/>
              </w:rPr>
            </w:pPr>
            <w:r>
              <w:rPr>
                <w:rFonts w:hint="eastAsia" w:ascii="宋体" w:hAnsi="宋体" w:cs="宋体"/>
                <w:lang w:val="en-US" w:eastAsia="zh-CN"/>
              </w:rPr>
              <w:t>2</w:t>
            </w:r>
          </w:p>
        </w:tc>
        <w:tc>
          <w:tcPr>
            <w:tcW w:w="5279" w:type="dxa"/>
            <w:vAlign w:val="center"/>
          </w:tcPr>
          <w:p w14:paraId="6B9261D6">
            <w:pPr>
              <w:tabs>
                <w:tab w:val="left" w:pos="612"/>
              </w:tabs>
              <w:rPr>
                <w:rFonts w:ascii="宋体" w:hAnsi="宋体" w:cs="宋体"/>
              </w:rPr>
            </w:pPr>
            <w:r>
              <w:rPr>
                <w:rFonts w:hint="eastAsia" w:ascii="宋体" w:hAnsi="宋体" w:cs="宋体"/>
                <w:lang w:eastAsia="zh-CN"/>
              </w:rPr>
              <w:t>遴选响应方</w:t>
            </w:r>
            <w:r>
              <w:rPr>
                <w:rFonts w:hint="eastAsia" w:ascii="宋体" w:hAnsi="宋体" w:cs="宋体"/>
              </w:rPr>
              <w:t>资格声明函已提交并符合</w:t>
            </w:r>
            <w:r>
              <w:rPr>
                <w:rFonts w:hint="eastAsia" w:ascii="宋体" w:hAnsi="宋体" w:cs="宋体"/>
                <w:lang w:val="en-US" w:eastAsia="zh-CN"/>
              </w:rPr>
              <w:t>遴选文件</w:t>
            </w:r>
            <w:r>
              <w:rPr>
                <w:rFonts w:hint="eastAsia" w:ascii="宋体" w:hAnsi="宋体" w:cs="宋体"/>
              </w:rPr>
              <w:t>要求的；</w:t>
            </w:r>
          </w:p>
        </w:tc>
        <w:tc>
          <w:tcPr>
            <w:tcW w:w="1593" w:type="dxa"/>
            <w:shd w:val="clear" w:color="auto" w:fill="auto"/>
            <w:vAlign w:val="center"/>
          </w:tcPr>
          <w:p w14:paraId="5553BC0F">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2513F7CC">
            <w:pPr>
              <w:ind w:left="36" w:leftChars="17"/>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□不通过</w:t>
            </w:r>
          </w:p>
        </w:tc>
        <w:tc>
          <w:tcPr>
            <w:tcW w:w="1559" w:type="dxa"/>
            <w:shd w:val="clear" w:color="auto" w:fill="auto"/>
            <w:vAlign w:val="center"/>
          </w:tcPr>
          <w:p w14:paraId="363743B9">
            <w:pPr>
              <w:ind w:right="-178" w:rightChars="-85"/>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见</w:t>
            </w:r>
            <w:r>
              <w:rPr>
                <w:rFonts w:hint="eastAsia" w:ascii="宋体" w:hAnsi="宋体" w:cs="宋体"/>
                <w:szCs w:val="21"/>
                <w:highlight w:val="none"/>
                <w:lang w:val="en-US" w:eastAsia="zh-CN"/>
              </w:rPr>
              <w:t>遴选响应文件</w:t>
            </w:r>
            <w:r>
              <w:rPr>
                <w:rFonts w:hint="eastAsia" w:ascii="宋体" w:hAnsi="宋体" w:eastAsia="宋体" w:cs="宋体"/>
                <w:szCs w:val="21"/>
                <w:highlight w:val="none"/>
              </w:rPr>
              <w:t>第( )页</w:t>
            </w:r>
          </w:p>
        </w:tc>
      </w:tr>
    </w:tbl>
    <w:p w14:paraId="4FF96D23">
      <w:pPr>
        <w:adjustRightInd w:val="0"/>
        <w:snapToGrid w:val="0"/>
        <w:spacing w:line="360" w:lineRule="auto"/>
        <w:jc w:val="left"/>
        <w:outlineLvl w:val="9"/>
        <w:rPr>
          <w:rFonts w:hint="eastAsia" w:ascii="宋体" w:hAnsi="宋体" w:cs="宋体"/>
        </w:rPr>
      </w:pPr>
    </w:p>
    <w:p w14:paraId="4726EBCE">
      <w:pPr>
        <w:adjustRightInd w:val="0"/>
        <w:snapToGrid w:val="0"/>
        <w:spacing w:line="360" w:lineRule="auto"/>
        <w:jc w:val="left"/>
        <w:outlineLvl w:val="9"/>
        <w:rPr>
          <w:rFonts w:hint="eastAsia" w:ascii="宋体" w:cs="宋体"/>
          <w:color w:val="auto"/>
          <w:szCs w:val="21"/>
          <w:highlight w:val="none"/>
        </w:rPr>
      </w:pPr>
      <w:r>
        <w:rPr>
          <w:rFonts w:hint="eastAsia" w:ascii="宋体" w:hAnsi="宋体" w:cs="宋体"/>
        </w:rPr>
        <w:t>说明：</w:t>
      </w:r>
      <w:r>
        <w:rPr>
          <w:rFonts w:hint="eastAsia" w:ascii="宋体" w:hAnsi="宋体" w:cs="宋体"/>
          <w:lang w:val="en-US" w:eastAsia="zh-CN"/>
        </w:rPr>
        <w:t>遴选响应方</w:t>
      </w:r>
      <w:r>
        <w:rPr>
          <w:rFonts w:hint="eastAsia" w:ascii="宋体" w:hAnsi="宋体"/>
        </w:rPr>
        <w:t>必须严格按照《</w:t>
      </w:r>
      <w:r>
        <w:rPr>
          <w:rFonts w:hint="eastAsia" w:ascii="宋体" w:hAnsi="宋体"/>
          <w:lang w:val="en-US" w:eastAsia="zh-CN"/>
        </w:rPr>
        <w:t>资格性自查</w:t>
      </w:r>
      <w:r>
        <w:rPr>
          <w:rFonts w:hint="eastAsia" w:ascii="宋体" w:hAnsi="宋体"/>
        </w:rPr>
        <w:t>表》的评审内容的要求如实提供证明材料</w:t>
      </w:r>
      <w:r>
        <w:rPr>
          <w:rFonts w:hint="eastAsia" w:ascii="宋体" w:hAnsi="宋体"/>
          <w:bCs/>
        </w:rPr>
        <w:t>并应加盖公章,</w:t>
      </w:r>
      <w:r>
        <w:rPr>
          <w:rFonts w:hint="eastAsia" w:ascii="宋体" w:hAnsi="宋体"/>
        </w:rPr>
        <w:t>对缺漏或不符合项将直接导致无</w:t>
      </w:r>
      <w:r>
        <w:rPr>
          <w:rFonts w:hint="eastAsia" w:ascii="宋体" w:hAnsi="宋体"/>
          <w:color w:val="auto"/>
          <w:highlight w:val="none"/>
        </w:rPr>
        <w:t>效</w:t>
      </w:r>
      <w:r>
        <w:rPr>
          <w:rFonts w:hint="eastAsia" w:ascii="宋体" w:hAnsi="宋体"/>
          <w:color w:val="auto"/>
          <w:highlight w:val="none"/>
          <w:lang w:val="en-US" w:eastAsia="zh-CN"/>
        </w:rPr>
        <w:t>遴选响应</w:t>
      </w:r>
      <w:r>
        <w:rPr>
          <w:rFonts w:hint="eastAsia" w:ascii="宋体" w:cs="宋体"/>
          <w:color w:val="auto"/>
          <w:szCs w:val="21"/>
          <w:highlight w:val="none"/>
        </w:rPr>
        <w:t>。</w:t>
      </w:r>
    </w:p>
    <w:p w14:paraId="792736D5">
      <w:pPr>
        <w:pStyle w:val="16"/>
        <w:rPr>
          <w:rFonts w:hint="eastAsia"/>
        </w:rPr>
      </w:pPr>
    </w:p>
    <w:p w14:paraId="4B8AD239">
      <w:pPr>
        <w:pStyle w:val="17"/>
        <w:rPr>
          <w:rFonts w:hint="eastAsia"/>
        </w:rPr>
      </w:pPr>
    </w:p>
    <w:p w14:paraId="1599D583">
      <w:pPr>
        <w:bidi w:val="0"/>
        <w:jc w:val="center"/>
        <w:outlineLvl w:val="1"/>
        <w:rPr>
          <w:rFonts w:hint="eastAsia" w:cs="Times New Roman" w:asciiTheme="majorEastAsia" w:hAnsiTheme="majorEastAsia" w:eastAsiaTheme="majorEastAsia"/>
          <w:b/>
          <w:bCs/>
          <w:kern w:val="2"/>
          <w:sz w:val="30"/>
          <w:szCs w:val="30"/>
          <w:lang w:val="en-US" w:eastAsia="zh-CN" w:bidi="ar-SA"/>
        </w:rPr>
      </w:pPr>
      <w:bookmarkStart w:id="56" w:name="_Toc29213"/>
      <w:bookmarkStart w:id="57" w:name="_Toc23960"/>
      <w:r>
        <w:rPr>
          <w:rFonts w:hint="eastAsia" w:cs="Times New Roman" w:asciiTheme="majorEastAsia" w:hAnsiTheme="majorEastAsia" w:eastAsiaTheme="majorEastAsia"/>
          <w:b/>
          <w:bCs/>
          <w:kern w:val="2"/>
          <w:sz w:val="30"/>
          <w:szCs w:val="30"/>
          <w:lang w:val="en-US" w:eastAsia="zh-CN" w:bidi="ar-SA"/>
        </w:rPr>
        <w:t>（二）符合性自查表</w:t>
      </w:r>
      <w:bookmarkEnd w:id="56"/>
      <w:bookmarkEnd w:id="57"/>
    </w:p>
    <w:tbl>
      <w:tblPr>
        <w:tblStyle w:val="39"/>
        <w:tblW w:w="9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769"/>
        <w:gridCol w:w="1593"/>
        <w:gridCol w:w="1559"/>
      </w:tblGrid>
      <w:tr w14:paraId="0DF33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20" w:type="dxa"/>
            <w:vAlign w:val="center"/>
          </w:tcPr>
          <w:p w14:paraId="2A90B64B">
            <w:pPr>
              <w:jc w:val="center"/>
              <w:rPr>
                <w:rFonts w:ascii="宋体" w:cs="宋体"/>
                <w:b/>
              </w:rPr>
            </w:pPr>
            <w:r>
              <w:rPr>
                <w:rFonts w:hint="eastAsia" w:ascii="宋体" w:cs="宋体"/>
                <w:b/>
              </w:rPr>
              <w:t>序号</w:t>
            </w:r>
          </w:p>
        </w:tc>
        <w:tc>
          <w:tcPr>
            <w:tcW w:w="5769" w:type="dxa"/>
            <w:vAlign w:val="center"/>
          </w:tcPr>
          <w:p w14:paraId="0A38D484">
            <w:pPr>
              <w:jc w:val="center"/>
              <w:rPr>
                <w:rFonts w:ascii="宋体" w:cs="宋体"/>
                <w:b/>
              </w:rPr>
            </w:pPr>
            <w:r>
              <w:rPr>
                <w:rFonts w:hint="eastAsia" w:ascii="宋体" w:hAnsi="宋体" w:cs="宋体"/>
                <w:b/>
              </w:rPr>
              <w:t>评 审 内 容</w:t>
            </w:r>
          </w:p>
        </w:tc>
        <w:tc>
          <w:tcPr>
            <w:tcW w:w="1593" w:type="dxa"/>
            <w:shd w:val="clear" w:color="auto" w:fill="auto"/>
            <w:vAlign w:val="center"/>
          </w:tcPr>
          <w:p w14:paraId="5088F4D8">
            <w:pPr>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Cs w:val="21"/>
                <w:highlight w:val="none"/>
              </w:rPr>
              <w:t>自查结论</w:t>
            </w:r>
          </w:p>
        </w:tc>
        <w:tc>
          <w:tcPr>
            <w:tcW w:w="1559" w:type="dxa"/>
            <w:shd w:val="clear" w:color="auto" w:fill="auto"/>
            <w:vAlign w:val="center"/>
          </w:tcPr>
          <w:p w14:paraId="56138339">
            <w:pPr>
              <w:ind w:right="-178" w:rightChars="-85"/>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Cs w:val="21"/>
                <w:highlight w:val="none"/>
              </w:rPr>
              <w:t>证明资料</w:t>
            </w:r>
          </w:p>
        </w:tc>
      </w:tr>
      <w:tr w14:paraId="791BD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720" w:type="dxa"/>
            <w:vAlign w:val="center"/>
          </w:tcPr>
          <w:p w14:paraId="140A5340">
            <w:pPr>
              <w:numPr>
                <w:ilvl w:val="0"/>
                <w:numId w:val="0"/>
              </w:numPr>
              <w:tabs>
                <w:tab w:val="left" w:pos="176"/>
                <w:tab w:val="left" w:pos="612"/>
              </w:tabs>
              <w:ind w:leftChars="0"/>
              <w:jc w:val="center"/>
              <w:rPr>
                <w:rFonts w:hint="eastAsia" w:ascii="宋体" w:hAnsi="宋体" w:eastAsia="宋体" w:cs="宋体"/>
                <w:lang w:val="en-US" w:eastAsia="zh-CN"/>
              </w:rPr>
            </w:pPr>
            <w:r>
              <w:rPr>
                <w:rFonts w:hint="eastAsia" w:ascii="宋体" w:hAnsi="宋体" w:cs="宋体"/>
                <w:lang w:val="en-US" w:eastAsia="zh-CN"/>
              </w:rPr>
              <w:t>1</w:t>
            </w:r>
          </w:p>
        </w:tc>
        <w:tc>
          <w:tcPr>
            <w:tcW w:w="5769" w:type="dxa"/>
            <w:shd w:val="clear" w:color="auto" w:fill="auto"/>
            <w:vAlign w:val="center"/>
          </w:tcPr>
          <w:p w14:paraId="48720C31">
            <w:pPr>
              <w:tabs>
                <w:tab w:val="left" w:pos="612"/>
              </w:tabs>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cs="宋体"/>
              </w:rPr>
              <w:t>按照</w:t>
            </w:r>
            <w:r>
              <w:rPr>
                <w:rFonts w:hint="eastAsia" w:ascii="宋体" w:hAnsi="宋体" w:cs="宋体"/>
                <w:lang w:val="en-US" w:eastAsia="zh-CN"/>
              </w:rPr>
              <w:t>遴选文件</w:t>
            </w:r>
            <w:r>
              <w:rPr>
                <w:rFonts w:hint="eastAsia" w:ascii="宋体" w:hAnsi="宋体" w:cs="宋体"/>
              </w:rPr>
              <w:t>规定要求签署、盖章且</w:t>
            </w:r>
            <w:r>
              <w:rPr>
                <w:rFonts w:hint="eastAsia" w:ascii="宋体" w:hAnsi="宋体" w:cs="宋体"/>
                <w:lang w:eastAsia="zh-CN"/>
              </w:rPr>
              <w:t>遴选响应文件</w:t>
            </w:r>
            <w:r>
              <w:rPr>
                <w:rFonts w:hint="eastAsia" w:ascii="宋体" w:hAnsi="宋体" w:cs="宋体"/>
              </w:rPr>
              <w:t>有法定代表</w:t>
            </w:r>
            <w:r>
              <w:rPr>
                <w:rFonts w:hint="eastAsia" w:ascii="宋体" w:hAnsi="宋体" w:cs="宋体"/>
                <w:color w:val="000000" w:themeColor="text1"/>
                <w14:textFill>
                  <w14:solidFill>
                    <w14:schemeClr w14:val="tx1"/>
                  </w14:solidFill>
                </w14:textFill>
              </w:rPr>
              <w:t>人签字或盖章（或签字人有法定代表人有效授权书）的；</w:t>
            </w:r>
          </w:p>
        </w:tc>
        <w:tc>
          <w:tcPr>
            <w:tcW w:w="1593" w:type="dxa"/>
            <w:shd w:val="clear" w:color="auto" w:fill="auto"/>
            <w:vAlign w:val="center"/>
          </w:tcPr>
          <w:p w14:paraId="779FC009">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通过</w:t>
            </w:r>
          </w:p>
          <w:p w14:paraId="7B2EBD5F">
            <w:pPr>
              <w:ind w:left="36" w:leftChars="17"/>
              <w:jc w:val="left"/>
              <w:rPr>
                <w:rFonts w:hint="eastAsia" w:ascii="宋体" w:hAnsi="宋体" w:eastAsia="宋体" w:cs="宋体"/>
                <w:b/>
                <w:bCs/>
                <w:kern w:val="2"/>
                <w:sz w:val="21"/>
                <w:szCs w:val="21"/>
                <w:highlight w:val="none"/>
                <w:lang w:val="en-US" w:eastAsia="zh-CN" w:bidi="ar-SA"/>
              </w:rPr>
            </w:pPr>
            <w:r>
              <w:rPr>
                <w:rFonts w:hint="eastAsia" w:ascii="宋体" w:hAnsi="宋体" w:eastAsia="宋体" w:cs="宋体"/>
                <w:szCs w:val="21"/>
                <w:highlight w:val="none"/>
              </w:rPr>
              <w:t>□不通过</w:t>
            </w:r>
          </w:p>
        </w:tc>
        <w:tc>
          <w:tcPr>
            <w:tcW w:w="1559" w:type="dxa"/>
            <w:shd w:val="clear" w:color="auto" w:fill="auto"/>
            <w:vAlign w:val="center"/>
          </w:tcPr>
          <w:p w14:paraId="5363A120">
            <w:pPr>
              <w:ind w:right="-178" w:rightChars="-85"/>
              <w:jc w:val="left"/>
              <w:rPr>
                <w:rFonts w:hint="eastAsia" w:ascii="宋体" w:hAnsi="宋体" w:eastAsia="宋体" w:cs="宋体"/>
                <w:b/>
                <w:bCs/>
                <w:kern w:val="2"/>
                <w:sz w:val="21"/>
                <w:szCs w:val="21"/>
                <w:highlight w:val="none"/>
                <w:lang w:val="en-US" w:eastAsia="zh-CN" w:bidi="ar-SA"/>
              </w:rPr>
            </w:pPr>
            <w:r>
              <w:rPr>
                <w:rFonts w:hint="eastAsia" w:ascii="宋体" w:hAnsi="宋体" w:eastAsia="宋体" w:cs="宋体"/>
                <w:szCs w:val="21"/>
                <w:highlight w:val="none"/>
              </w:rPr>
              <w:t>见</w:t>
            </w:r>
            <w:r>
              <w:rPr>
                <w:rFonts w:hint="eastAsia" w:ascii="宋体" w:hAnsi="宋体" w:cs="宋体"/>
                <w:szCs w:val="21"/>
                <w:highlight w:val="none"/>
                <w:lang w:val="en-US" w:eastAsia="zh-CN"/>
              </w:rPr>
              <w:t>遴选响应文件</w:t>
            </w:r>
            <w:r>
              <w:rPr>
                <w:rFonts w:hint="eastAsia" w:ascii="宋体" w:hAnsi="宋体" w:eastAsia="宋体" w:cs="宋体"/>
                <w:szCs w:val="21"/>
                <w:highlight w:val="none"/>
              </w:rPr>
              <w:t>第( )页</w:t>
            </w:r>
          </w:p>
        </w:tc>
      </w:tr>
      <w:tr w14:paraId="72C00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720" w:type="dxa"/>
            <w:vAlign w:val="center"/>
          </w:tcPr>
          <w:p w14:paraId="46ED852A">
            <w:pPr>
              <w:numPr>
                <w:ilvl w:val="0"/>
                <w:numId w:val="0"/>
              </w:numPr>
              <w:tabs>
                <w:tab w:val="left" w:pos="176"/>
                <w:tab w:val="left" w:pos="612"/>
              </w:tabs>
              <w:ind w:leftChars="0"/>
              <w:jc w:val="center"/>
              <w:rPr>
                <w:rFonts w:hint="eastAsia" w:ascii="宋体" w:hAnsi="宋体" w:eastAsia="宋体" w:cs="宋体"/>
                <w:lang w:val="en-US" w:eastAsia="zh-CN"/>
              </w:rPr>
            </w:pPr>
            <w:r>
              <w:rPr>
                <w:rFonts w:hint="eastAsia" w:ascii="宋体" w:hAnsi="宋体" w:cs="宋体"/>
                <w:lang w:val="en-US" w:eastAsia="zh-CN"/>
              </w:rPr>
              <w:t>2</w:t>
            </w:r>
          </w:p>
        </w:tc>
        <w:tc>
          <w:tcPr>
            <w:tcW w:w="5769" w:type="dxa"/>
            <w:shd w:val="clear" w:color="auto" w:fill="auto"/>
            <w:vAlign w:val="center"/>
          </w:tcPr>
          <w:p w14:paraId="68B68BD5">
            <w:pPr>
              <w:tabs>
                <w:tab w:val="left" w:pos="612"/>
              </w:tabs>
              <w:rPr>
                <w:rFonts w:ascii="宋体" w:hAnsi="宋体" w:eastAsia="宋体" w:cs="宋体"/>
                <w:kern w:val="2"/>
                <w:sz w:val="21"/>
                <w:szCs w:val="21"/>
                <w:lang w:val="en-US" w:eastAsia="zh-CN" w:bidi="ar-SA"/>
              </w:rPr>
            </w:pPr>
            <w:r>
              <w:rPr>
                <w:rFonts w:hint="eastAsia" w:ascii="宋体" w:hAnsi="宋体" w:cs="宋体"/>
                <w:szCs w:val="21"/>
                <w:lang w:eastAsia="zh-CN"/>
              </w:rPr>
              <w:t>遴选响应</w:t>
            </w:r>
            <w:r>
              <w:rPr>
                <w:rFonts w:hint="eastAsia" w:ascii="宋体" w:hAnsi="宋体" w:cs="宋体"/>
                <w:szCs w:val="21"/>
              </w:rPr>
              <w:t>函已提交并符合</w:t>
            </w:r>
            <w:r>
              <w:rPr>
                <w:rFonts w:hint="eastAsia" w:ascii="宋体" w:hAnsi="宋体" w:cs="宋体"/>
                <w:szCs w:val="21"/>
                <w:lang w:val="en-US" w:eastAsia="zh-CN"/>
              </w:rPr>
              <w:t>遴选文件</w:t>
            </w:r>
            <w:r>
              <w:rPr>
                <w:rFonts w:hint="eastAsia" w:ascii="宋体" w:hAnsi="宋体" w:cs="宋体"/>
                <w:szCs w:val="21"/>
              </w:rPr>
              <w:t>要求的，且</w:t>
            </w:r>
            <w:r>
              <w:rPr>
                <w:rFonts w:hint="eastAsia" w:ascii="宋体" w:hAnsi="宋体"/>
                <w:szCs w:val="21"/>
                <w:lang w:eastAsia="zh-CN"/>
              </w:rPr>
              <w:t>遴选响应</w:t>
            </w:r>
            <w:r>
              <w:rPr>
                <w:rFonts w:hint="eastAsia" w:ascii="宋体" w:hAnsi="宋体"/>
                <w:szCs w:val="21"/>
              </w:rPr>
              <w:t>有效期不少于</w:t>
            </w:r>
            <w:r>
              <w:rPr>
                <w:rFonts w:hint="eastAsia" w:ascii="宋体" w:hAnsi="宋体"/>
                <w:szCs w:val="21"/>
                <w:lang w:val="en-US" w:eastAsia="zh-CN"/>
              </w:rPr>
              <w:t>遴选文件</w:t>
            </w:r>
            <w:r>
              <w:rPr>
                <w:rFonts w:hint="eastAsia" w:ascii="宋体" w:hAnsi="宋体"/>
                <w:szCs w:val="21"/>
              </w:rPr>
              <w:t>中载明的</w:t>
            </w:r>
            <w:r>
              <w:rPr>
                <w:rFonts w:hint="eastAsia" w:ascii="宋体" w:hAnsi="宋体"/>
                <w:szCs w:val="21"/>
                <w:lang w:eastAsia="zh-CN"/>
              </w:rPr>
              <w:t>遴选响应</w:t>
            </w:r>
            <w:r>
              <w:rPr>
                <w:rFonts w:hint="eastAsia" w:ascii="宋体" w:hAnsi="宋体"/>
                <w:szCs w:val="21"/>
              </w:rPr>
              <w:t>有效期；</w:t>
            </w:r>
          </w:p>
        </w:tc>
        <w:tc>
          <w:tcPr>
            <w:tcW w:w="1593" w:type="dxa"/>
            <w:shd w:val="clear" w:color="auto" w:fill="auto"/>
            <w:vAlign w:val="center"/>
          </w:tcPr>
          <w:p w14:paraId="58478FD3">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4197F2A5">
            <w:pPr>
              <w:ind w:left="36" w:leftChars="17"/>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□不通过</w:t>
            </w:r>
          </w:p>
        </w:tc>
        <w:tc>
          <w:tcPr>
            <w:tcW w:w="1559" w:type="dxa"/>
            <w:shd w:val="clear" w:color="auto" w:fill="auto"/>
            <w:vAlign w:val="center"/>
          </w:tcPr>
          <w:p w14:paraId="09C4F3BE">
            <w:pPr>
              <w:ind w:right="-178" w:rightChars="-85"/>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见</w:t>
            </w:r>
            <w:r>
              <w:rPr>
                <w:rFonts w:hint="eastAsia" w:ascii="宋体" w:hAnsi="宋体" w:cs="宋体"/>
                <w:szCs w:val="21"/>
                <w:highlight w:val="none"/>
                <w:lang w:val="en-US" w:eastAsia="zh-CN"/>
              </w:rPr>
              <w:t>遴选响应文件</w:t>
            </w:r>
            <w:r>
              <w:rPr>
                <w:rFonts w:hint="eastAsia" w:ascii="宋体" w:hAnsi="宋体" w:eastAsia="宋体" w:cs="宋体"/>
                <w:szCs w:val="21"/>
                <w:highlight w:val="none"/>
              </w:rPr>
              <w:t>第( )页</w:t>
            </w:r>
          </w:p>
        </w:tc>
      </w:tr>
      <w:tr w14:paraId="2A5A2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720" w:type="dxa"/>
            <w:vAlign w:val="center"/>
          </w:tcPr>
          <w:p w14:paraId="17B16D61">
            <w:pPr>
              <w:numPr>
                <w:ilvl w:val="0"/>
                <w:numId w:val="0"/>
              </w:numPr>
              <w:tabs>
                <w:tab w:val="left" w:pos="176"/>
                <w:tab w:val="left" w:pos="612"/>
              </w:tabs>
              <w:ind w:leftChars="0"/>
              <w:jc w:val="center"/>
              <w:rPr>
                <w:rFonts w:hint="default" w:ascii="宋体" w:hAnsi="宋体" w:cs="宋体"/>
                <w:lang w:val="en-US" w:eastAsia="zh-CN"/>
              </w:rPr>
            </w:pPr>
            <w:r>
              <w:rPr>
                <w:rFonts w:hint="eastAsia" w:ascii="宋体" w:hAnsi="宋体" w:cs="宋体"/>
                <w:lang w:val="en-US" w:eastAsia="zh-CN"/>
              </w:rPr>
              <w:t>3</w:t>
            </w:r>
          </w:p>
        </w:tc>
        <w:tc>
          <w:tcPr>
            <w:tcW w:w="5769" w:type="dxa"/>
            <w:shd w:val="clear" w:color="auto" w:fill="auto"/>
            <w:vAlign w:val="center"/>
          </w:tcPr>
          <w:p w14:paraId="7DCC07FC">
            <w:pPr>
              <w:rPr>
                <w:rFonts w:hint="eastAsia" w:ascii="宋体" w:hAnsi="宋体" w:eastAsia="宋体" w:cs="宋体"/>
                <w:kern w:val="2"/>
                <w:sz w:val="21"/>
                <w:szCs w:val="24"/>
                <w:lang w:val="en-US" w:eastAsia="zh-CN" w:bidi="ar-SA"/>
              </w:rPr>
            </w:pPr>
            <w:r>
              <w:rPr>
                <w:rFonts w:hint="eastAsia" w:ascii="宋体" w:hAnsi="宋体" w:cs="宋体"/>
                <w:lang w:eastAsia="zh-CN"/>
              </w:rPr>
              <w:t>遴选响应文件</w:t>
            </w:r>
            <w:r>
              <w:rPr>
                <w:rFonts w:hint="eastAsia" w:ascii="宋体" w:hAnsi="宋体" w:cs="宋体"/>
              </w:rPr>
              <w:t>完全满足</w:t>
            </w:r>
            <w:r>
              <w:rPr>
                <w:rFonts w:hint="eastAsia" w:ascii="宋体" w:hAnsi="宋体" w:cs="宋体"/>
                <w:lang w:val="en-US" w:eastAsia="zh-CN"/>
              </w:rPr>
              <w:t>遴选文件</w:t>
            </w:r>
            <w:r>
              <w:rPr>
                <w:rFonts w:hint="eastAsia" w:ascii="宋体" w:hAnsi="宋体" w:cs="宋体"/>
              </w:rPr>
              <w:t>的实质性条款（即标注★号条款）无负偏离的；</w:t>
            </w:r>
            <w:r>
              <w:rPr>
                <w:rFonts w:ascii="宋体" w:hAnsi="宋体" w:cs="宋体"/>
              </w:rPr>
              <w:t xml:space="preserve"> </w:t>
            </w:r>
          </w:p>
        </w:tc>
        <w:tc>
          <w:tcPr>
            <w:tcW w:w="1593" w:type="dxa"/>
            <w:shd w:val="clear" w:color="auto" w:fill="auto"/>
            <w:vAlign w:val="center"/>
          </w:tcPr>
          <w:p w14:paraId="2E6DA131">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通过</w:t>
            </w:r>
          </w:p>
          <w:p w14:paraId="0566ACBD">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1559" w:type="dxa"/>
            <w:shd w:val="clear" w:color="auto" w:fill="auto"/>
            <w:vAlign w:val="center"/>
          </w:tcPr>
          <w:p w14:paraId="6E0F22FD">
            <w:pPr>
              <w:ind w:right="-178" w:rightChars="-85"/>
              <w:jc w:val="left"/>
              <w:rPr>
                <w:rFonts w:hint="eastAsia" w:ascii="宋体" w:hAnsi="宋体" w:eastAsia="宋体" w:cs="宋体"/>
                <w:szCs w:val="21"/>
                <w:highlight w:val="none"/>
              </w:rPr>
            </w:pPr>
            <w:r>
              <w:rPr>
                <w:rFonts w:hint="eastAsia" w:ascii="宋体" w:hAnsi="宋体" w:eastAsia="宋体" w:cs="宋体"/>
                <w:szCs w:val="21"/>
                <w:highlight w:val="none"/>
              </w:rPr>
              <w:t>见</w:t>
            </w:r>
            <w:r>
              <w:rPr>
                <w:rFonts w:hint="eastAsia" w:ascii="宋体" w:hAnsi="宋体" w:cs="宋体"/>
                <w:szCs w:val="21"/>
                <w:highlight w:val="none"/>
                <w:lang w:val="en-US" w:eastAsia="zh-CN"/>
              </w:rPr>
              <w:t>遴选响应文件</w:t>
            </w:r>
            <w:r>
              <w:rPr>
                <w:rFonts w:hint="eastAsia" w:ascii="宋体" w:hAnsi="宋体" w:eastAsia="宋体" w:cs="宋体"/>
                <w:szCs w:val="21"/>
                <w:highlight w:val="none"/>
              </w:rPr>
              <w:t>第( )页</w:t>
            </w:r>
          </w:p>
        </w:tc>
      </w:tr>
      <w:tr w14:paraId="29CC6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720" w:type="dxa"/>
            <w:vAlign w:val="center"/>
          </w:tcPr>
          <w:p w14:paraId="1C203D11">
            <w:pPr>
              <w:numPr>
                <w:ilvl w:val="0"/>
                <w:numId w:val="0"/>
              </w:numPr>
              <w:tabs>
                <w:tab w:val="left" w:pos="176"/>
                <w:tab w:val="left" w:pos="612"/>
              </w:tabs>
              <w:ind w:leftChars="0"/>
              <w:jc w:val="center"/>
              <w:rPr>
                <w:rFonts w:hint="default" w:ascii="宋体" w:hAnsi="宋体" w:cs="宋体"/>
                <w:lang w:val="en-US" w:eastAsia="zh-CN"/>
              </w:rPr>
            </w:pPr>
            <w:r>
              <w:rPr>
                <w:rFonts w:hint="eastAsia" w:ascii="宋体" w:hAnsi="宋体" w:cs="宋体"/>
                <w:lang w:val="en-US" w:eastAsia="zh-CN"/>
              </w:rPr>
              <w:t>4</w:t>
            </w:r>
          </w:p>
        </w:tc>
        <w:tc>
          <w:tcPr>
            <w:tcW w:w="5769" w:type="dxa"/>
            <w:shd w:val="clear" w:color="auto" w:fill="auto"/>
            <w:vAlign w:val="center"/>
          </w:tcPr>
          <w:p w14:paraId="13E0627D">
            <w:pPr>
              <w:rPr>
                <w:rFonts w:hint="eastAsia" w:ascii="宋体" w:hAnsi="宋体" w:eastAsia="宋体" w:cs="宋体"/>
                <w:kern w:val="2"/>
                <w:sz w:val="21"/>
                <w:szCs w:val="24"/>
                <w:lang w:val="en-US" w:eastAsia="zh-CN" w:bidi="ar-SA"/>
              </w:rPr>
            </w:pPr>
            <w:r>
              <w:rPr>
                <w:rFonts w:hint="eastAsia" w:ascii="宋体" w:hAnsi="宋体" w:cs="宋体"/>
                <w:lang w:eastAsia="zh-CN"/>
              </w:rPr>
              <w:t>遴选响应文件</w:t>
            </w:r>
            <w:r>
              <w:rPr>
                <w:rFonts w:hint="eastAsia" w:ascii="宋体" w:hAnsi="宋体" w:cs="宋体"/>
              </w:rPr>
              <w:t>没有</w:t>
            </w:r>
            <w:r>
              <w:rPr>
                <w:rFonts w:hint="eastAsia" w:ascii="宋体" w:hAnsi="宋体" w:cs="宋体"/>
                <w:lang w:val="en-US" w:eastAsia="zh-CN"/>
              </w:rPr>
              <w:t>遴选文件</w:t>
            </w:r>
            <w:r>
              <w:rPr>
                <w:rFonts w:hint="eastAsia" w:ascii="宋体" w:hAnsi="宋体" w:cs="宋体"/>
              </w:rPr>
              <w:t>中规定的其它无效</w:t>
            </w:r>
            <w:r>
              <w:rPr>
                <w:rFonts w:hint="eastAsia" w:ascii="宋体" w:hAnsi="宋体" w:cs="宋体"/>
                <w:lang w:eastAsia="zh-CN"/>
              </w:rPr>
              <w:t>遴选响应</w:t>
            </w:r>
            <w:r>
              <w:rPr>
                <w:rFonts w:hint="eastAsia" w:ascii="宋体" w:hAnsi="宋体" w:cs="宋体"/>
              </w:rPr>
              <w:t>条款的；</w:t>
            </w:r>
          </w:p>
        </w:tc>
        <w:tc>
          <w:tcPr>
            <w:tcW w:w="1593" w:type="dxa"/>
            <w:shd w:val="clear" w:color="auto" w:fill="auto"/>
            <w:vAlign w:val="center"/>
          </w:tcPr>
          <w:p w14:paraId="790C658F">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通过</w:t>
            </w:r>
          </w:p>
          <w:p w14:paraId="1A90FE7D">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1559" w:type="dxa"/>
            <w:shd w:val="clear" w:color="auto" w:fill="auto"/>
            <w:vAlign w:val="center"/>
          </w:tcPr>
          <w:p w14:paraId="7E10D1E7">
            <w:pPr>
              <w:ind w:right="-178" w:rightChars="-85"/>
              <w:jc w:val="left"/>
              <w:rPr>
                <w:rFonts w:hint="eastAsia" w:ascii="宋体" w:hAnsi="宋体" w:eastAsia="宋体" w:cs="宋体"/>
                <w:szCs w:val="21"/>
                <w:highlight w:val="none"/>
              </w:rPr>
            </w:pPr>
            <w:r>
              <w:rPr>
                <w:rFonts w:hint="eastAsia" w:ascii="宋体" w:hAnsi="宋体" w:eastAsia="宋体" w:cs="宋体"/>
                <w:szCs w:val="21"/>
                <w:highlight w:val="none"/>
              </w:rPr>
              <w:t>见</w:t>
            </w:r>
            <w:r>
              <w:rPr>
                <w:rFonts w:hint="eastAsia" w:ascii="宋体" w:hAnsi="宋体" w:cs="宋体"/>
                <w:szCs w:val="21"/>
                <w:highlight w:val="none"/>
                <w:lang w:val="en-US" w:eastAsia="zh-CN"/>
              </w:rPr>
              <w:t>遴选响应文件</w:t>
            </w:r>
            <w:r>
              <w:rPr>
                <w:rFonts w:hint="eastAsia" w:ascii="宋体" w:hAnsi="宋体" w:eastAsia="宋体" w:cs="宋体"/>
                <w:szCs w:val="21"/>
                <w:highlight w:val="none"/>
              </w:rPr>
              <w:t>第( )页</w:t>
            </w:r>
          </w:p>
        </w:tc>
      </w:tr>
      <w:tr w14:paraId="7A044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720" w:type="dxa"/>
            <w:vAlign w:val="center"/>
          </w:tcPr>
          <w:p w14:paraId="49D20BE9">
            <w:pPr>
              <w:numPr>
                <w:ilvl w:val="0"/>
                <w:numId w:val="0"/>
              </w:numPr>
              <w:tabs>
                <w:tab w:val="left" w:pos="176"/>
                <w:tab w:val="left" w:pos="612"/>
              </w:tabs>
              <w:ind w:leftChars="0"/>
              <w:jc w:val="center"/>
              <w:rPr>
                <w:rFonts w:hint="default" w:ascii="宋体" w:hAnsi="宋体" w:cs="宋体"/>
                <w:lang w:val="en-US" w:eastAsia="zh-CN"/>
              </w:rPr>
            </w:pPr>
            <w:r>
              <w:rPr>
                <w:rFonts w:hint="eastAsia" w:ascii="宋体" w:hAnsi="宋体" w:cs="宋体"/>
                <w:lang w:val="en-US" w:eastAsia="zh-CN"/>
              </w:rPr>
              <w:t>5</w:t>
            </w:r>
          </w:p>
        </w:tc>
        <w:tc>
          <w:tcPr>
            <w:tcW w:w="5769" w:type="dxa"/>
            <w:shd w:val="clear" w:color="auto" w:fill="auto"/>
            <w:vAlign w:val="center"/>
          </w:tcPr>
          <w:p w14:paraId="51723094">
            <w:pPr>
              <w:rPr>
                <w:rFonts w:hint="eastAsia" w:ascii="宋体" w:hAnsi="宋体" w:eastAsia="宋体" w:cs="宋体"/>
                <w:kern w:val="2"/>
                <w:sz w:val="21"/>
                <w:szCs w:val="24"/>
                <w:lang w:val="en-US" w:eastAsia="zh-CN" w:bidi="ar-SA"/>
              </w:rPr>
            </w:pPr>
            <w:r>
              <w:rPr>
                <w:rFonts w:hint="eastAsia" w:ascii="宋体" w:hAnsi="宋体" w:cs="宋体"/>
              </w:rPr>
              <w:t>按有关法律、法规、规章不属于</w:t>
            </w:r>
            <w:r>
              <w:rPr>
                <w:rFonts w:hint="eastAsia" w:ascii="宋体" w:hAnsi="宋体" w:cs="宋体"/>
                <w:lang w:eastAsia="zh-CN"/>
              </w:rPr>
              <w:t>遴选响应</w:t>
            </w:r>
            <w:r>
              <w:rPr>
                <w:rFonts w:hint="eastAsia" w:ascii="宋体" w:hAnsi="宋体" w:cs="宋体"/>
              </w:rPr>
              <w:t>无效的。</w:t>
            </w:r>
          </w:p>
        </w:tc>
        <w:tc>
          <w:tcPr>
            <w:tcW w:w="1593" w:type="dxa"/>
            <w:shd w:val="clear" w:color="auto" w:fill="auto"/>
            <w:vAlign w:val="center"/>
          </w:tcPr>
          <w:p w14:paraId="0DE23734">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通过</w:t>
            </w:r>
          </w:p>
          <w:p w14:paraId="404B9366">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1559" w:type="dxa"/>
            <w:shd w:val="clear" w:color="auto" w:fill="auto"/>
            <w:vAlign w:val="center"/>
          </w:tcPr>
          <w:p w14:paraId="7CE8684F">
            <w:pPr>
              <w:ind w:right="-178" w:rightChars="-85"/>
              <w:jc w:val="left"/>
              <w:rPr>
                <w:rFonts w:hint="eastAsia" w:ascii="宋体" w:hAnsi="宋体" w:eastAsia="宋体" w:cs="宋体"/>
                <w:szCs w:val="21"/>
                <w:highlight w:val="none"/>
              </w:rPr>
            </w:pPr>
            <w:r>
              <w:rPr>
                <w:rFonts w:hint="eastAsia" w:ascii="宋体" w:hAnsi="宋体" w:eastAsia="宋体" w:cs="宋体"/>
                <w:szCs w:val="21"/>
                <w:highlight w:val="none"/>
              </w:rPr>
              <w:t>见</w:t>
            </w:r>
            <w:r>
              <w:rPr>
                <w:rFonts w:hint="eastAsia" w:ascii="宋体" w:hAnsi="宋体" w:cs="宋体"/>
                <w:szCs w:val="21"/>
                <w:highlight w:val="none"/>
                <w:lang w:val="en-US" w:eastAsia="zh-CN"/>
              </w:rPr>
              <w:t>遴选响应文件</w:t>
            </w:r>
            <w:r>
              <w:rPr>
                <w:rFonts w:hint="eastAsia" w:ascii="宋体" w:hAnsi="宋体" w:eastAsia="宋体" w:cs="宋体"/>
                <w:szCs w:val="21"/>
                <w:highlight w:val="none"/>
              </w:rPr>
              <w:t>第( )页</w:t>
            </w:r>
          </w:p>
        </w:tc>
      </w:tr>
    </w:tbl>
    <w:p w14:paraId="2391E67A">
      <w:pPr>
        <w:adjustRightInd w:val="0"/>
        <w:snapToGrid w:val="0"/>
        <w:spacing w:line="360" w:lineRule="auto"/>
        <w:jc w:val="left"/>
        <w:outlineLvl w:val="9"/>
        <w:rPr>
          <w:rFonts w:hint="eastAsia" w:ascii="宋体" w:hAnsi="宋体" w:cs="宋体"/>
        </w:rPr>
      </w:pPr>
    </w:p>
    <w:p w14:paraId="58B59976">
      <w:pPr>
        <w:adjustRightInd w:val="0"/>
        <w:snapToGrid w:val="0"/>
        <w:spacing w:line="360" w:lineRule="auto"/>
        <w:jc w:val="left"/>
        <w:outlineLvl w:val="9"/>
        <w:rPr>
          <w:rFonts w:hint="eastAsia" w:ascii="宋体" w:cs="宋体"/>
          <w:color w:val="auto"/>
          <w:szCs w:val="21"/>
          <w:highlight w:val="none"/>
        </w:rPr>
      </w:pPr>
      <w:r>
        <w:rPr>
          <w:rFonts w:hint="eastAsia" w:ascii="宋体" w:hAnsi="宋体" w:cs="宋体"/>
        </w:rPr>
        <w:t>说明：</w:t>
      </w:r>
      <w:r>
        <w:rPr>
          <w:rFonts w:hint="eastAsia" w:ascii="宋体" w:hAnsi="宋体" w:cs="宋体"/>
          <w:lang w:val="en-US" w:eastAsia="zh-CN"/>
        </w:rPr>
        <w:t>遴选响应方</w:t>
      </w:r>
      <w:r>
        <w:rPr>
          <w:rFonts w:hint="eastAsia" w:ascii="宋体" w:hAnsi="宋体"/>
        </w:rPr>
        <w:t>必须严格按照《</w:t>
      </w:r>
      <w:r>
        <w:rPr>
          <w:rFonts w:hint="eastAsia" w:ascii="宋体" w:hAnsi="宋体"/>
          <w:lang w:val="en-US" w:eastAsia="zh-CN"/>
        </w:rPr>
        <w:t>符合性自查</w:t>
      </w:r>
      <w:r>
        <w:rPr>
          <w:rFonts w:hint="eastAsia" w:ascii="宋体" w:hAnsi="宋体"/>
        </w:rPr>
        <w:t>表》的评审内容的要求如实提供证明材料</w:t>
      </w:r>
      <w:r>
        <w:rPr>
          <w:rFonts w:hint="eastAsia" w:ascii="宋体" w:hAnsi="宋体"/>
          <w:bCs/>
        </w:rPr>
        <w:t>并应加盖公章,</w:t>
      </w:r>
      <w:r>
        <w:rPr>
          <w:rFonts w:hint="eastAsia" w:ascii="宋体" w:hAnsi="宋体"/>
        </w:rPr>
        <w:t>对缺漏或不符合项将直接导致无</w:t>
      </w:r>
      <w:r>
        <w:rPr>
          <w:rFonts w:hint="eastAsia" w:ascii="宋体" w:hAnsi="宋体"/>
          <w:color w:val="auto"/>
          <w:highlight w:val="none"/>
        </w:rPr>
        <w:t>效</w:t>
      </w:r>
      <w:r>
        <w:rPr>
          <w:rFonts w:hint="eastAsia" w:ascii="宋体" w:hAnsi="宋体"/>
          <w:color w:val="auto"/>
          <w:highlight w:val="none"/>
          <w:lang w:val="en-US" w:eastAsia="zh-CN"/>
        </w:rPr>
        <w:t>遴选响应</w:t>
      </w:r>
      <w:r>
        <w:rPr>
          <w:rFonts w:hint="eastAsia" w:ascii="宋体" w:cs="宋体"/>
          <w:color w:val="auto"/>
          <w:szCs w:val="21"/>
          <w:highlight w:val="none"/>
        </w:rPr>
        <w:t>。</w:t>
      </w:r>
    </w:p>
    <w:p w14:paraId="2399F2E4">
      <w:pPr>
        <w:widowControl w:val="0"/>
        <w:numPr>
          <w:ilvl w:val="0"/>
          <w:numId w:val="0"/>
        </w:numPr>
        <w:ind w:leftChars="0"/>
        <w:jc w:val="both"/>
        <w:outlineLvl w:val="9"/>
        <w:rPr>
          <w:rFonts w:hint="eastAsia" w:cs="宋体" w:asciiTheme="majorEastAsia" w:hAnsiTheme="majorEastAsia" w:eastAsiaTheme="majorEastAsia"/>
          <w:kern w:val="2"/>
          <w:sz w:val="30"/>
          <w:szCs w:val="30"/>
          <w:lang w:val="en-US" w:eastAsia="zh-CN" w:bidi="ar-SA"/>
        </w:rPr>
      </w:pPr>
    </w:p>
    <w:p w14:paraId="3AF0384C">
      <w:pPr>
        <w:widowControl w:val="0"/>
        <w:numPr>
          <w:ilvl w:val="0"/>
          <w:numId w:val="0"/>
        </w:numPr>
        <w:ind w:leftChars="0"/>
        <w:jc w:val="both"/>
        <w:outlineLvl w:val="9"/>
        <w:rPr>
          <w:rFonts w:hint="eastAsia" w:cs="宋体" w:asciiTheme="majorEastAsia" w:hAnsiTheme="majorEastAsia" w:eastAsiaTheme="majorEastAsia"/>
          <w:kern w:val="2"/>
          <w:sz w:val="30"/>
          <w:szCs w:val="30"/>
          <w:lang w:val="en-US" w:eastAsia="zh-CN" w:bidi="ar-SA"/>
        </w:rPr>
      </w:pPr>
    </w:p>
    <w:p w14:paraId="06381BB4">
      <w:pPr>
        <w:widowControl w:val="0"/>
        <w:numPr>
          <w:ilvl w:val="0"/>
          <w:numId w:val="0"/>
        </w:numPr>
        <w:ind w:leftChars="0"/>
        <w:jc w:val="both"/>
        <w:outlineLvl w:val="9"/>
        <w:rPr>
          <w:rFonts w:hint="eastAsia" w:cs="宋体" w:asciiTheme="majorEastAsia" w:hAnsiTheme="majorEastAsia" w:eastAsiaTheme="majorEastAsia"/>
          <w:kern w:val="2"/>
          <w:sz w:val="30"/>
          <w:szCs w:val="30"/>
          <w:lang w:val="en-US" w:eastAsia="zh-CN" w:bidi="ar-SA"/>
        </w:rPr>
      </w:pPr>
    </w:p>
    <w:p w14:paraId="0C620268">
      <w:pPr>
        <w:widowControl w:val="0"/>
        <w:numPr>
          <w:ilvl w:val="0"/>
          <w:numId w:val="0"/>
        </w:numPr>
        <w:ind w:leftChars="0"/>
        <w:jc w:val="both"/>
        <w:outlineLvl w:val="9"/>
        <w:rPr>
          <w:rFonts w:hint="eastAsia" w:cs="宋体" w:asciiTheme="majorEastAsia" w:hAnsiTheme="majorEastAsia" w:eastAsiaTheme="majorEastAsia"/>
          <w:kern w:val="2"/>
          <w:sz w:val="30"/>
          <w:szCs w:val="30"/>
          <w:lang w:val="en-US" w:eastAsia="zh-CN" w:bidi="ar-SA"/>
        </w:rPr>
      </w:pPr>
    </w:p>
    <w:p w14:paraId="02680DB9">
      <w:pPr>
        <w:widowControl w:val="0"/>
        <w:numPr>
          <w:ilvl w:val="0"/>
          <w:numId w:val="0"/>
        </w:numPr>
        <w:ind w:leftChars="0"/>
        <w:jc w:val="both"/>
        <w:outlineLvl w:val="9"/>
        <w:rPr>
          <w:rFonts w:hint="eastAsia" w:cs="宋体" w:asciiTheme="majorEastAsia" w:hAnsiTheme="majorEastAsia" w:eastAsiaTheme="majorEastAsia"/>
          <w:kern w:val="2"/>
          <w:sz w:val="30"/>
          <w:szCs w:val="30"/>
          <w:lang w:val="en-US" w:eastAsia="zh-CN" w:bidi="ar-SA"/>
        </w:rPr>
      </w:pPr>
    </w:p>
    <w:p w14:paraId="53BD8F71">
      <w:pPr>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br w:type="page"/>
      </w:r>
    </w:p>
    <w:p w14:paraId="6E30B694">
      <w:pPr>
        <w:widowControl w:val="0"/>
        <w:numPr>
          <w:ilvl w:val="0"/>
          <w:numId w:val="0"/>
        </w:numPr>
        <w:ind w:leftChars="0"/>
        <w:jc w:val="both"/>
        <w:outlineLvl w:val="1"/>
        <w:rPr>
          <w:rFonts w:hint="eastAsia" w:cs="宋体" w:asciiTheme="majorEastAsia" w:hAnsiTheme="majorEastAsia" w:eastAsiaTheme="majorEastAsia"/>
          <w:kern w:val="2"/>
          <w:sz w:val="30"/>
          <w:szCs w:val="30"/>
          <w:lang w:val="en-US" w:eastAsia="zh-CN" w:bidi="ar-SA"/>
        </w:rPr>
        <w:sectPr>
          <w:pgSz w:w="11906" w:h="16838"/>
          <w:pgMar w:top="1440" w:right="1286" w:bottom="144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C236A7C">
      <w:pPr>
        <w:pStyle w:val="17"/>
        <w:jc w:val="center"/>
        <w:outlineLvl w:val="1"/>
        <w:rPr>
          <w:rFonts w:hint="eastAsia" w:cs="Times New Roman" w:asciiTheme="majorEastAsia" w:hAnsiTheme="majorEastAsia" w:eastAsiaTheme="majorEastAsia"/>
          <w:b/>
          <w:bCs/>
          <w:kern w:val="2"/>
          <w:sz w:val="30"/>
          <w:szCs w:val="30"/>
          <w:lang w:val="en-US" w:eastAsia="zh-CN" w:bidi="ar-SA"/>
        </w:rPr>
      </w:pPr>
      <w:bookmarkStart w:id="58" w:name="_Toc3027"/>
      <w:r>
        <w:rPr>
          <w:rFonts w:hint="eastAsia" w:cs="Times New Roman" w:asciiTheme="majorEastAsia" w:hAnsiTheme="majorEastAsia" w:eastAsiaTheme="majorEastAsia"/>
          <w:b/>
          <w:bCs/>
          <w:kern w:val="2"/>
          <w:sz w:val="30"/>
          <w:szCs w:val="30"/>
          <w:lang w:val="en-US" w:eastAsia="zh-CN" w:bidi="ar-SA"/>
        </w:rPr>
        <w:t>（三）警示情形自查确认表</w:t>
      </w:r>
      <w:bookmarkEnd w:id="58"/>
    </w:p>
    <w:tbl>
      <w:tblPr>
        <w:tblStyle w:val="39"/>
        <w:tblW w:w="137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744"/>
        <w:gridCol w:w="11002"/>
        <w:gridCol w:w="692"/>
        <w:gridCol w:w="693"/>
      </w:tblGrid>
      <w:tr w14:paraId="7D3B8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60" w:type="dxa"/>
            <w:tcBorders>
              <w:tl2br w:val="nil"/>
              <w:tr2bl w:val="nil"/>
            </w:tcBorders>
            <w:noWrap/>
            <w:vAlign w:val="center"/>
          </w:tcPr>
          <w:p w14:paraId="6613280C">
            <w:pPr>
              <w:spacing w:line="240" w:lineRule="auto"/>
              <w:jc w:val="both"/>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序号</w:t>
            </w:r>
          </w:p>
        </w:tc>
        <w:tc>
          <w:tcPr>
            <w:tcW w:w="744" w:type="dxa"/>
            <w:tcBorders>
              <w:tl2br w:val="nil"/>
              <w:tr2bl w:val="nil"/>
            </w:tcBorders>
            <w:noWrap/>
            <w:vAlign w:val="center"/>
          </w:tcPr>
          <w:p w14:paraId="59B5AF08">
            <w:pPr>
              <w:spacing w:line="240" w:lineRule="auto"/>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类别</w:t>
            </w:r>
          </w:p>
        </w:tc>
        <w:tc>
          <w:tcPr>
            <w:tcW w:w="11002" w:type="dxa"/>
            <w:tcBorders>
              <w:tl2br w:val="nil"/>
              <w:tr2bl w:val="nil"/>
            </w:tcBorders>
            <w:noWrap w:val="0"/>
            <w:vAlign w:val="center"/>
          </w:tcPr>
          <w:p w14:paraId="349CAF59">
            <w:pPr>
              <w:spacing w:line="240" w:lineRule="auto"/>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内容</w:t>
            </w:r>
          </w:p>
        </w:tc>
        <w:tc>
          <w:tcPr>
            <w:tcW w:w="1385" w:type="dxa"/>
            <w:gridSpan w:val="2"/>
            <w:tcBorders>
              <w:tl2br w:val="nil"/>
              <w:tr2bl w:val="nil"/>
            </w:tcBorders>
            <w:noWrap/>
            <w:vAlign w:val="center"/>
          </w:tcPr>
          <w:p w14:paraId="3D003035">
            <w:pPr>
              <w:spacing w:line="240" w:lineRule="auto"/>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选项</w:t>
            </w:r>
          </w:p>
        </w:tc>
      </w:tr>
      <w:tr w14:paraId="60C27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7DF6681E">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1</w:t>
            </w:r>
          </w:p>
        </w:tc>
        <w:tc>
          <w:tcPr>
            <w:tcW w:w="744" w:type="dxa"/>
            <w:vMerge w:val="restart"/>
            <w:tcBorders>
              <w:tl2br w:val="nil"/>
              <w:tr2bl w:val="nil"/>
            </w:tcBorders>
            <w:noWrap w:val="0"/>
            <w:vAlign w:val="center"/>
          </w:tcPr>
          <w:p w14:paraId="4BF17F06">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串通</w:t>
            </w:r>
            <w:r>
              <w:rPr>
                <w:rFonts w:hint="eastAsia" w:ascii="宋体" w:hAnsi="宋体" w:cs="宋体"/>
                <w:color w:val="auto"/>
                <w:sz w:val="22"/>
                <w:szCs w:val="28"/>
                <w:highlight w:val="none"/>
                <w:lang w:val="en-US" w:eastAsia="zh-CN"/>
              </w:rPr>
              <w:t>遴选响应</w:t>
            </w:r>
          </w:p>
        </w:tc>
        <w:tc>
          <w:tcPr>
            <w:tcW w:w="11002" w:type="dxa"/>
            <w:tcBorders>
              <w:tl2br w:val="nil"/>
              <w:tr2bl w:val="nil"/>
            </w:tcBorders>
            <w:noWrap w:val="0"/>
            <w:vAlign w:val="center"/>
          </w:tcPr>
          <w:p w14:paraId="607FC17A">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我单位不存在与其他供应商的法定代表人、主要经营负责人、项目授权代表人、项目负责人、主要技术人员为同一人、属同一单位或者在同一单位缴纳社会保险的“串通</w:t>
            </w:r>
            <w:r>
              <w:rPr>
                <w:rFonts w:hint="eastAsia" w:ascii="宋体" w:hAnsi="宋体" w:cs="宋体"/>
                <w:color w:val="auto"/>
                <w:sz w:val="22"/>
                <w:szCs w:val="28"/>
                <w:highlight w:val="none"/>
                <w:lang w:val="en-US" w:eastAsia="zh-CN"/>
              </w:rPr>
              <w:t>遴选响应</w:t>
            </w:r>
            <w:r>
              <w:rPr>
                <w:rFonts w:hint="eastAsia" w:ascii="宋体" w:hAnsi="宋体" w:eastAsia="宋体" w:cs="宋体"/>
                <w:color w:val="auto"/>
                <w:sz w:val="22"/>
                <w:szCs w:val="28"/>
                <w:highlight w:val="none"/>
                <w:lang w:val="en-US" w:eastAsia="zh-CN"/>
              </w:rPr>
              <w:t>”违法行为。</w:t>
            </w:r>
          </w:p>
        </w:tc>
        <w:tc>
          <w:tcPr>
            <w:tcW w:w="692" w:type="dxa"/>
            <w:tcBorders>
              <w:tl2br w:val="nil"/>
              <w:tr2bl w:val="nil"/>
            </w:tcBorders>
            <w:noWrap/>
            <w:vAlign w:val="center"/>
          </w:tcPr>
          <w:p w14:paraId="7D549A65">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42EEEFFC">
            <w:pPr>
              <w:spacing w:line="240" w:lineRule="auto"/>
              <w:rPr>
                <w:rFonts w:hint="eastAsia" w:ascii="宋体" w:hAnsi="宋体" w:eastAsia="宋体" w:cs="宋体"/>
                <w:color w:val="auto"/>
                <w:sz w:val="22"/>
                <w:szCs w:val="28"/>
                <w:highlight w:val="none"/>
                <w:lang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6C252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67E8982E">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2</w:t>
            </w:r>
          </w:p>
        </w:tc>
        <w:tc>
          <w:tcPr>
            <w:tcW w:w="744" w:type="dxa"/>
            <w:vMerge w:val="continue"/>
            <w:tcBorders>
              <w:tl2br w:val="nil"/>
              <w:tr2bl w:val="nil"/>
            </w:tcBorders>
            <w:noWrap w:val="0"/>
            <w:vAlign w:val="center"/>
          </w:tcPr>
          <w:p w14:paraId="4D5983D7">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123C6635">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我单位不存在与其他供应商的</w:t>
            </w:r>
            <w:r>
              <w:rPr>
                <w:rFonts w:hint="eastAsia" w:ascii="宋体" w:hAnsi="宋体" w:cs="宋体"/>
                <w:color w:val="auto"/>
                <w:sz w:val="22"/>
                <w:szCs w:val="28"/>
                <w:highlight w:val="none"/>
                <w:lang w:val="en-US" w:eastAsia="zh-CN"/>
              </w:rPr>
              <w:t>遴选响应文件</w:t>
            </w:r>
            <w:r>
              <w:rPr>
                <w:rFonts w:hint="eastAsia" w:ascii="宋体" w:hAnsi="宋体" w:eastAsia="宋体" w:cs="宋体"/>
                <w:color w:val="auto"/>
                <w:sz w:val="22"/>
                <w:szCs w:val="28"/>
                <w:highlight w:val="none"/>
                <w:lang w:val="en-US" w:eastAsia="zh-CN"/>
              </w:rPr>
              <w:t>由同一单位或者同一人编制的“串通</w:t>
            </w:r>
            <w:r>
              <w:rPr>
                <w:rFonts w:hint="eastAsia" w:ascii="宋体" w:hAnsi="宋体" w:cs="宋体"/>
                <w:color w:val="auto"/>
                <w:sz w:val="22"/>
                <w:szCs w:val="28"/>
                <w:highlight w:val="none"/>
                <w:lang w:val="en-US" w:eastAsia="zh-CN"/>
              </w:rPr>
              <w:t>遴选响应</w:t>
            </w:r>
            <w:r>
              <w:rPr>
                <w:rFonts w:hint="eastAsia" w:ascii="宋体" w:hAnsi="宋体" w:eastAsia="宋体" w:cs="宋体"/>
                <w:color w:val="auto"/>
                <w:sz w:val="22"/>
                <w:szCs w:val="28"/>
                <w:highlight w:val="none"/>
                <w:lang w:val="en-US" w:eastAsia="zh-CN"/>
              </w:rPr>
              <w:t>”违法行为。</w:t>
            </w:r>
          </w:p>
        </w:tc>
        <w:tc>
          <w:tcPr>
            <w:tcW w:w="692" w:type="dxa"/>
            <w:tcBorders>
              <w:tl2br w:val="nil"/>
              <w:tr2bl w:val="nil"/>
            </w:tcBorders>
            <w:noWrap/>
            <w:vAlign w:val="center"/>
          </w:tcPr>
          <w:p w14:paraId="680964B1">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470DD303">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16AB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A8EEB4A">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3</w:t>
            </w:r>
          </w:p>
        </w:tc>
        <w:tc>
          <w:tcPr>
            <w:tcW w:w="744" w:type="dxa"/>
            <w:vMerge w:val="continue"/>
            <w:tcBorders>
              <w:tl2br w:val="nil"/>
              <w:tr2bl w:val="nil"/>
            </w:tcBorders>
            <w:noWrap w:val="0"/>
            <w:vAlign w:val="center"/>
          </w:tcPr>
          <w:p w14:paraId="3FBAD51E">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43BB69C7">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我单位不存在与其他供应商的</w:t>
            </w:r>
            <w:r>
              <w:rPr>
                <w:rFonts w:hint="eastAsia" w:ascii="宋体" w:hAnsi="宋体" w:cs="宋体"/>
                <w:color w:val="auto"/>
                <w:sz w:val="22"/>
                <w:szCs w:val="28"/>
                <w:highlight w:val="none"/>
                <w:lang w:val="en-US" w:eastAsia="zh-CN"/>
              </w:rPr>
              <w:t>遴选响应文件</w:t>
            </w:r>
            <w:r>
              <w:rPr>
                <w:rFonts w:hint="eastAsia" w:ascii="宋体" w:hAnsi="宋体" w:eastAsia="宋体" w:cs="宋体"/>
                <w:color w:val="auto"/>
                <w:sz w:val="22"/>
                <w:szCs w:val="28"/>
                <w:highlight w:val="none"/>
                <w:lang w:val="en-US" w:eastAsia="zh-CN"/>
              </w:rPr>
              <w:t>或部分</w:t>
            </w:r>
            <w:r>
              <w:rPr>
                <w:rFonts w:hint="eastAsia" w:ascii="宋体" w:hAnsi="宋体" w:cs="宋体"/>
                <w:color w:val="auto"/>
                <w:sz w:val="22"/>
                <w:szCs w:val="28"/>
                <w:highlight w:val="none"/>
                <w:lang w:val="en-US" w:eastAsia="zh-CN"/>
              </w:rPr>
              <w:t>遴选响应文件</w:t>
            </w:r>
            <w:r>
              <w:rPr>
                <w:rFonts w:hint="eastAsia" w:ascii="宋体" w:hAnsi="宋体" w:eastAsia="宋体" w:cs="宋体"/>
                <w:color w:val="auto"/>
                <w:sz w:val="22"/>
                <w:szCs w:val="28"/>
                <w:highlight w:val="none"/>
                <w:lang w:val="en-US" w:eastAsia="zh-CN"/>
              </w:rPr>
              <w:t>相互混装的“串通</w:t>
            </w:r>
            <w:r>
              <w:rPr>
                <w:rFonts w:hint="eastAsia" w:ascii="宋体" w:hAnsi="宋体" w:cs="宋体"/>
                <w:color w:val="auto"/>
                <w:sz w:val="22"/>
                <w:szCs w:val="28"/>
                <w:highlight w:val="none"/>
                <w:lang w:val="en-US" w:eastAsia="zh-CN"/>
              </w:rPr>
              <w:t>遴选响应</w:t>
            </w:r>
            <w:r>
              <w:rPr>
                <w:rFonts w:hint="eastAsia" w:ascii="宋体" w:hAnsi="宋体" w:eastAsia="宋体" w:cs="宋体"/>
                <w:color w:val="auto"/>
                <w:sz w:val="22"/>
                <w:szCs w:val="28"/>
                <w:highlight w:val="none"/>
                <w:lang w:val="en-US" w:eastAsia="zh-CN"/>
              </w:rPr>
              <w:t>”违法行为。</w:t>
            </w:r>
          </w:p>
        </w:tc>
        <w:tc>
          <w:tcPr>
            <w:tcW w:w="692" w:type="dxa"/>
            <w:tcBorders>
              <w:tl2br w:val="nil"/>
              <w:tr2bl w:val="nil"/>
            </w:tcBorders>
            <w:noWrap/>
            <w:vAlign w:val="center"/>
          </w:tcPr>
          <w:p w14:paraId="33FCF77D">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36554F0A">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0C1E3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1CF86BBC">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4</w:t>
            </w:r>
          </w:p>
        </w:tc>
        <w:tc>
          <w:tcPr>
            <w:tcW w:w="744" w:type="dxa"/>
            <w:vMerge w:val="continue"/>
            <w:tcBorders>
              <w:tl2br w:val="nil"/>
              <w:tr2bl w:val="nil"/>
            </w:tcBorders>
            <w:noWrap w:val="0"/>
            <w:vAlign w:val="center"/>
          </w:tcPr>
          <w:p w14:paraId="6BB93B30">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4D2ADBC2">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我单位不存在与其他供应商的</w:t>
            </w:r>
            <w:r>
              <w:rPr>
                <w:rFonts w:hint="eastAsia" w:ascii="宋体" w:hAnsi="宋体" w:cs="宋体"/>
                <w:color w:val="auto"/>
                <w:sz w:val="22"/>
                <w:szCs w:val="28"/>
                <w:highlight w:val="none"/>
                <w:lang w:val="en-US" w:eastAsia="zh-CN"/>
              </w:rPr>
              <w:t>遴选响应文件</w:t>
            </w:r>
            <w:r>
              <w:rPr>
                <w:rFonts w:hint="eastAsia" w:ascii="宋体" w:hAnsi="宋体" w:eastAsia="宋体" w:cs="宋体"/>
                <w:color w:val="auto"/>
                <w:sz w:val="22"/>
                <w:szCs w:val="28"/>
                <w:highlight w:val="none"/>
                <w:lang w:val="en-US" w:eastAsia="zh-CN"/>
              </w:rPr>
              <w:t>内容非正常一致的“串通</w:t>
            </w:r>
            <w:r>
              <w:rPr>
                <w:rFonts w:hint="eastAsia" w:ascii="宋体" w:hAnsi="宋体" w:cs="宋体"/>
                <w:color w:val="auto"/>
                <w:sz w:val="22"/>
                <w:szCs w:val="28"/>
                <w:highlight w:val="none"/>
                <w:lang w:val="en-US" w:eastAsia="zh-CN"/>
              </w:rPr>
              <w:t>遴选响应</w:t>
            </w:r>
            <w:r>
              <w:rPr>
                <w:rFonts w:hint="eastAsia" w:ascii="宋体" w:hAnsi="宋体" w:eastAsia="宋体" w:cs="宋体"/>
                <w:color w:val="auto"/>
                <w:sz w:val="22"/>
                <w:szCs w:val="28"/>
                <w:highlight w:val="none"/>
                <w:lang w:val="en-US" w:eastAsia="zh-CN"/>
              </w:rPr>
              <w:t>”违法行为。</w:t>
            </w:r>
          </w:p>
        </w:tc>
        <w:tc>
          <w:tcPr>
            <w:tcW w:w="692" w:type="dxa"/>
            <w:tcBorders>
              <w:tl2br w:val="nil"/>
              <w:tr2bl w:val="nil"/>
            </w:tcBorders>
            <w:noWrap/>
            <w:vAlign w:val="center"/>
          </w:tcPr>
          <w:p w14:paraId="77308A9A">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4F4F173F">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5A543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3608AE30">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5</w:t>
            </w:r>
          </w:p>
        </w:tc>
        <w:tc>
          <w:tcPr>
            <w:tcW w:w="744" w:type="dxa"/>
            <w:vMerge w:val="continue"/>
            <w:tcBorders>
              <w:tl2br w:val="nil"/>
              <w:tr2bl w:val="nil"/>
            </w:tcBorders>
            <w:noWrap w:val="0"/>
            <w:vAlign w:val="center"/>
          </w:tcPr>
          <w:p w14:paraId="6916C1D8">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5A32D31">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我单位不存在由同一单位工作人员为两家（含）以上供应商进行同一项</w:t>
            </w:r>
            <w:r>
              <w:rPr>
                <w:rFonts w:hint="eastAsia" w:ascii="宋体" w:hAnsi="宋体" w:cs="宋体"/>
                <w:color w:val="auto"/>
                <w:sz w:val="22"/>
                <w:szCs w:val="28"/>
                <w:highlight w:val="none"/>
                <w:lang w:val="en-US" w:eastAsia="zh-CN"/>
              </w:rPr>
              <w:t>遴选</w:t>
            </w:r>
            <w:r>
              <w:rPr>
                <w:rFonts w:hint="eastAsia" w:ascii="宋体" w:hAnsi="宋体" w:eastAsia="宋体" w:cs="宋体"/>
                <w:color w:val="auto"/>
                <w:sz w:val="22"/>
                <w:szCs w:val="28"/>
                <w:highlight w:val="none"/>
                <w:lang w:val="en-US" w:eastAsia="zh-CN"/>
              </w:rPr>
              <w:t>活动的“串通</w:t>
            </w:r>
            <w:r>
              <w:rPr>
                <w:rFonts w:hint="eastAsia" w:ascii="宋体" w:hAnsi="宋体" w:cs="宋体"/>
                <w:color w:val="auto"/>
                <w:sz w:val="22"/>
                <w:szCs w:val="28"/>
                <w:highlight w:val="none"/>
                <w:lang w:val="en-US" w:eastAsia="zh-CN"/>
              </w:rPr>
              <w:t>遴选响应</w:t>
            </w:r>
            <w:r>
              <w:rPr>
                <w:rFonts w:hint="eastAsia" w:ascii="宋体" w:hAnsi="宋体" w:eastAsia="宋体" w:cs="宋体"/>
                <w:color w:val="auto"/>
                <w:sz w:val="22"/>
                <w:szCs w:val="28"/>
                <w:highlight w:val="none"/>
                <w:lang w:val="en-US" w:eastAsia="zh-CN"/>
              </w:rPr>
              <w:t>”违法行为。</w:t>
            </w:r>
          </w:p>
        </w:tc>
        <w:tc>
          <w:tcPr>
            <w:tcW w:w="692" w:type="dxa"/>
            <w:tcBorders>
              <w:tl2br w:val="nil"/>
              <w:tr2bl w:val="nil"/>
            </w:tcBorders>
            <w:noWrap/>
            <w:vAlign w:val="center"/>
          </w:tcPr>
          <w:p w14:paraId="5EA86FB0">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2CDBB9B2">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6DCA3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05DD4BF1">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6</w:t>
            </w:r>
          </w:p>
        </w:tc>
        <w:tc>
          <w:tcPr>
            <w:tcW w:w="744" w:type="dxa"/>
            <w:vMerge w:val="continue"/>
            <w:tcBorders>
              <w:tl2br w:val="nil"/>
              <w:tr2bl w:val="nil"/>
            </w:tcBorders>
            <w:noWrap w:val="0"/>
            <w:vAlign w:val="center"/>
          </w:tcPr>
          <w:p w14:paraId="40968898">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33D3D2C8">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我单位不存在与其他供应商相互约定给予未</w:t>
            </w:r>
            <w:r>
              <w:rPr>
                <w:rFonts w:hint="eastAsia" w:ascii="宋体" w:hAnsi="宋体" w:cs="宋体"/>
                <w:color w:val="auto"/>
                <w:sz w:val="22"/>
                <w:szCs w:val="28"/>
                <w:highlight w:val="none"/>
                <w:lang w:val="en-US" w:eastAsia="zh-CN"/>
              </w:rPr>
              <w:t>中选</w:t>
            </w:r>
            <w:r>
              <w:rPr>
                <w:rFonts w:hint="eastAsia" w:ascii="宋体" w:hAnsi="宋体" w:eastAsia="宋体" w:cs="宋体"/>
                <w:color w:val="auto"/>
                <w:sz w:val="22"/>
                <w:szCs w:val="28"/>
                <w:highlight w:val="none"/>
                <w:lang w:val="en-US" w:eastAsia="zh-CN"/>
              </w:rPr>
              <w:t>供应商利益补偿的“串通</w:t>
            </w:r>
            <w:r>
              <w:rPr>
                <w:rFonts w:hint="eastAsia" w:ascii="宋体" w:hAnsi="宋体" w:cs="宋体"/>
                <w:color w:val="auto"/>
                <w:sz w:val="22"/>
                <w:szCs w:val="28"/>
                <w:highlight w:val="none"/>
                <w:lang w:val="en-US" w:eastAsia="zh-CN"/>
              </w:rPr>
              <w:t>遴选响应</w:t>
            </w:r>
            <w:r>
              <w:rPr>
                <w:rFonts w:hint="eastAsia" w:ascii="宋体" w:hAnsi="宋体" w:eastAsia="宋体" w:cs="宋体"/>
                <w:color w:val="auto"/>
                <w:sz w:val="22"/>
                <w:szCs w:val="28"/>
                <w:highlight w:val="none"/>
                <w:lang w:val="en-US" w:eastAsia="zh-CN"/>
              </w:rPr>
              <w:t>”违法行为。</w:t>
            </w:r>
          </w:p>
        </w:tc>
        <w:tc>
          <w:tcPr>
            <w:tcW w:w="692" w:type="dxa"/>
            <w:tcBorders>
              <w:tl2br w:val="nil"/>
              <w:tr2bl w:val="nil"/>
            </w:tcBorders>
            <w:noWrap/>
            <w:vAlign w:val="center"/>
          </w:tcPr>
          <w:p w14:paraId="58C0E2AE">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59B05C24">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5104D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3B79378A">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7</w:t>
            </w:r>
          </w:p>
        </w:tc>
        <w:tc>
          <w:tcPr>
            <w:tcW w:w="744" w:type="dxa"/>
            <w:vMerge w:val="restart"/>
            <w:tcBorders>
              <w:tl2br w:val="nil"/>
              <w:tr2bl w:val="nil"/>
            </w:tcBorders>
            <w:noWrap w:val="0"/>
            <w:vAlign w:val="center"/>
          </w:tcPr>
          <w:p w14:paraId="650855DF">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虚假材料</w:t>
            </w:r>
          </w:p>
        </w:tc>
        <w:tc>
          <w:tcPr>
            <w:tcW w:w="11002" w:type="dxa"/>
            <w:tcBorders>
              <w:tl2br w:val="nil"/>
              <w:tr2bl w:val="nil"/>
            </w:tcBorders>
            <w:noWrap w:val="0"/>
            <w:vAlign w:val="center"/>
          </w:tcPr>
          <w:p w14:paraId="24132B4E">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我单位已认真核查了</w:t>
            </w:r>
            <w:r>
              <w:rPr>
                <w:rFonts w:hint="eastAsia" w:ascii="宋体" w:hAnsi="宋体" w:cs="宋体"/>
                <w:color w:val="auto"/>
                <w:sz w:val="22"/>
                <w:szCs w:val="28"/>
                <w:highlight w:val="none"/>
                <w:lang w:val="en-US" w:eastAsia="zh-CN"/>
              </w:rPr>
              <w:t>遴选响应文件</w:t>
            </w:r>
            <w:r>
              <w:rPr>
                <w:rFonts w:hint="eastAsia" w:ascii="宋体" w:hAnsi="宋体" w:eastAsia="宋体" w:cs="宋体"/>
                <w:color w:val="auto"/>
                <w:sz w:val="22"/>
                <w:szCs w:val="28"/>
                <w:highlight w:val="none"/>
                <w:lang w:val="en-US" w:eastAsia="zh-CN"/>
              </w:rPr>
              <w:t>的全部内容，</w:t>
            </w:r>
            <w:r>
              <w:rPr>
                <w:rFonts w:hint="eastAsia" w:ascii="宋体" w:hAnsi="宋体" w:eastAsia="宋体" w:cs="宋体"/>
                <w:b/>
                <w:bCs/>
                <w:color w:val="auto"/>
                <w:sz w:val="22"/>
                <w:szCs w:val="28"/>
                <w:highlight w:val="none"/>
                <w:lang w:val="en-US" w:eastAsia="zh-CN"/>
              </w:rPr>
              <w:t>所有资料（包括但不限于人员学历证书、职称证书、合同、履约验收材料或从其他单位取得的检验检测报告、证书、证明等材料）</w:t>
            </w:r>
            <w:r>
              <w:rPr>
                <w:rFonts w:hint="eastAsia" w:ascii="宋体" w:hAnsi="宋体" w:eastAsia="宋体" w:cs="宋体"/>
                <w:color w:val="auto"/>
                <w:sz w:val="22"/>
                <w:szCs w:val="28"/>
                <w:highlight w:val="none"/>
                <w:lang w:val="en-US" w:eastAsia="zh-CN"/>
              </w:rPr>
              <w:t>均为真实资料，</w:t>
            </w:r>
            <w:r>
              <w:rPr>
                <w:rFonts w:hint="eastAsia" w:ascii="宋体" w:hAnsi="宋体" w:eastAsia="宋体" w:cs="宋体"/>
                <w:color w:val="auto"/>
                <w:sz w:val="22"/>
                <w:szCs w:val="28"/>
                <w:highlight w:val="none"/>
                <w:shd w:val="clear" w:color="auto" w:fill="auto"/>
                <w:lang w:val="en-US" w:eastAsia="zh-CN"/>
              </w:rPr>
              <w:t>已</w:t>
            </w:r>
            <w:r>
              <w:rPr>
                <w:rFonts w:hint="eastAsia" w:ascii="宋体" w:hAnsi="宋体" w:eastAsia="宋体" w:cs="宋体"/>
                <w:b/>
                <w:bCs/>
                <w:color w:val="auto"/>
                <w:sz w:val="22"/>
                <w:szCs w:val="28"/>
                <w:highlight w:val="none"/>
                <w:shd w:val="clear" w:color="auto" w:fill="auto"/>
                <w:lang w:val="en-US" w:eastAsia="zh-CN"/>
              </w:rPr>
              <w:t>通过出具机构或全国认证认可信息公共服务平台（认e云平台）等官方渠道核实材料内容的真实性</w:t>
            </w:r>
            <w:r>
              <w:rPr>
                <w:rFonts w:hint="eastAsia" w:ascii="宋体" w:hAnsi="宋体" w:eastAsia="宋体" w:cs="宋体"/>
                <w:color w:val="auto"/>
                <w:sz w:val="22"/>
                <w:szCs w:val="28"/>
                <w:highlight w:val="none"/>
                <w:shd w:val="clear" w:color="auto" w:fill="auto"/>
                <w:lang w:val="en-US" w:eastAsia="zh-CN"/>
              </w:rPr>
              <w:t>。</w:t>
            </w:r>
            <w:r>
              <w:rPr>
                <w:rFonts w:hint="eastAsia" w:ascii="宋体" w:hAnsi="宋体" w:eastAsia="宋体" w:cs="宋体"/>
                <w:color w:val="auto"/>
                <w:sz w:val="22"/>
                <w:szCs w:val="28"/>
                <w:highlight w:val="none"/>
                <w:lang w:val="en-US" w:eastAsia="zh-CN"/>
              </w:rPr>
              <w:t>我单位对</w:t>
            </w:r>
            <w:r>
              <w:rPr>
                <w:rFonts w:hint="eastAsia" w:ascii="宋体" w:hAnsi="宋体" w:cs="宋体"/>
                <w:color w:val="auto"/>
                <w:sz w:val="22"/>
                <w:szCs w:val="28"/>
                <w:highlight w:val="none"/>
                <w:lang w:val="en-US" w:eastAsia="zh-CN"/>
              </w:rPr>
              <w:t>遴选响应文件</w:t>
            </w:r>
            <w:r>
              <w:rPr>
                <w:rFonts w:hint="eastAsia" w:ascii="宋体" w:hAnsi="宋体" w:eastAsia="宋体" w:cs="宋体"/>
                <w:color w:val="auto"/>
                <w:sz w:val="22"/>
                <w:szCs w:val="28"/>
                <w:highlight w:val="none"/>
                <w:lang w:val="en-US" w:eastAsia="zh-CN"/>
              </w:rPr>
              <w:t>中全部</w:t>
            </w:r>
            <w:r>
              <w:rPr>
                <w:rFonts w:hint="eastAsia" w:ascii="宋体" w:hAnsi="宋体" w:cs="宋体"/>
                <w:color w:val="auto"/>
                <w:sz w:val="22"/>
                <w:szCs w:val="28"/>
                <w:highlight w:val="none"/>
                <w:lang w:val="en-US" w:eastAsia="zh-CN"/>
              </w:rPr>
              <w:t>遴选响应</w:t>
            </w:r>
            <w:r>
              <w:rPr>
                <w:rFonts w:hint="eastAsia" w:ascii="宋体" w:hAnsi="宋体" w:eastAsia="宋体" w:cs="宋体"/>
                <w:color w:val="auto"/>
                <w:sz w:val="22"/>
                <w:szCs w:val="28"/>
                <w:highlight w:val="none"/>
                <w:lang w:val="en-US" w:eastAsia="zh-CN"/>
              </w:rPr>
              <w:t>资料的真实性负责。</w:t>
            </w:r>
          </w:p>
        </w:tc>
        <w:tc>
          <w:tcPr>
            <w:tcW w:w="692" w:type="dxa"/>
            <w:tcBorders>
              <w:tl2br w:val="nil"/>
              <w:tr2bl w:val="nil"/>
            </w:tcBorders>
            <w:noWrap/>
            <w:vAlign w:val="center"/>
          </w:tcPr>
          <w:p w14:paraId="41D9AFEC">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6FDA2F51">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545C9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67B7F80C">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8</w:t>
            </w:r>
          </w:p>
        </w:tc>
        <w:tc>
          <w:tcPr>
            <w:tcW w:w="744" w:type="dxa"/>
            <w:vMerge w:val="continue"/>
            <w:tcBorders>
              <w:tl2br w:val="nil"/>
              <w:tr2bl w:val="nil"/>
            </w:tcBorders>
            <w:noWrap w:val="0"/>
            <w:vAlign w:val="center"/>
          </w:tcPr>
          <w:p w14:paraId="5562BD5A">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DCB2351">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我单位不存在通过转让或者租借等方式从其他单位获取资格或者资质证书</w:t>
            </w:r>
            <w:r>
              <w:rPr>
                <w:rFonts w:hint="eastAsia" w:ascii="宋体" w:hAnsi="宋体" w:cs="宋体"/>
                <w:color w:val="auto"/>
                <w:sz w:val="22"/>
                <w:szCs w:val="28"/>
                <w:highlight w:val="none"/>
                <w:lang w:val="en-US" w:eastAsia="zh-CN"/>
              </w:rPr>
              <w:t>遴选响应</w:t>
            </w:r>
            <w:r>
              <w:rPr>
                <w:rFonts w:hint="eastAsia" w:ascii="宋体" w:hAnsi="宋体" w:eastAsia="宋体" w:cs="宋体"/>
                <w:color w:val="auto"/>
                <w:sz w:val="22"/>
                <w:szCs w:val="28"/>
                <w:highlight w:val="none"/>
                <w:lang w:val="en-US" w:eastAsia="zh-CN"/>
              </w:rPr>
              <w:t>的“提供虚假资料”违法行为。</w:t>
            </w:r>
          </w:p>
        </w:tc>
        <w:tc>
          <w:tcPr>
            <w:tcW w:w="692" w:type="dxa"/>
            <w:tcBorders>
              <w:tl2br w:val="nil"/>
              <w:tr2bl w:val="nil"/>
            </w:tcBorders>
            <w:noWrap/>
            <w:vAlign w:val="center"/>
          </w:tcPr>
          <w:p w14:paraId="54E1F13D">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392ED515">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350AB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177D1621">
            <w:pPr>
              <w:spacing w:line="240" w:lineRule="auto"/>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9</w:t>
            </w:r>
          </w:p>
        </w:tc>
        <w:tc>
          <w:tcPr>
            <w:tcW w:w="744" w:type="dxa"/>
            <w:vMerge w:val="continue"/>
            <w:tcBorders>
              <w:tl2br w:val="nil"/>
              <w:tr2bl w:val="nil"/>
            </w:tcBorders>
            <w:noWrap w:val="0"/>
            <w:vAlign w:val="center"/>
          </w:tcPr>
          <w:p w14:paraId="4B8D3ADB">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3F41BB04">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我单位不存在由其他单位或者其他单位负责人在我单位</w:t>
            </w:r>
            <w:r>
              <w:rPr>
                <w:rFonts w:hint="eastAsia" w:ascii="宋体" w:hAnsi="宋体" w:cs="宋体"/>
                <w:color w:val="auto"/>
                <w:sz w:val="22"/>
                <w:szCs w:val="28"/>
                <w:highlight w:val="none"/>
                <w:lang w:val="en-US" w:eastAsia="zh-CN"/>
              </w:rPr>
              <w:t>遴选响应文件</w:t>
            </w:r>
            <w:r>
              <w:rPr>
                <w:rFonts w:hint="eastAsia" w:ascii="宋体" w:hAnsi="宋体" w:eastAsia="宋体" w:cs="宋体"/>
                <w:color w:val="auto"/>
                <w:sz w:val="22"/>
                <w:szCs w:val="28"/>
                <w:highlight w:val="none"/>
                <w:lang w:val="en-US" w:eastAsia="zh-CN"/>
              </w:rPr>
              <w:t>上加盖印章或者签字的“提供虚假资料”违法行为。</w:t>
            </w:r>
          </w:p>
        </w:tc>
        <w:tc>
          <w:tcPr>
            <w:tcW w:w="692" w:type="dxa"/>
            <w:tcBorders>
              <w:tl2br w:val="nil"/>
              <w:tr2bl w:val="nil"/>
            </w:tcBorders>
            <w:noWrap/>
            <w:vAlign w:val="center"/>
          </w:tcPr>
          <w:p w14:paraId="71F5C627">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3DB21690">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2C91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10B7D182">
            <w:pPr>
              <w:spacing w:line="240" w:lineRule="auto"/>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10</w:t>
            </w:r>
          </w:p>
        </w:tc>
        <w:tc>
          <w:tcPr>
            <w:tcW w:w="744" w:type="dxa"/>
            <w:vMerge w:val="continue"/>
            <w:tcBorders>
              <w:tl2br w:val="nil"/>
              <w:tr2bl w:val="nil"/>
            </w:tcBorders>
            <w:noWrap w:val="0"/>
            <w:vAlign w:val="center"/>
          </w:tcPr>
          <w:p w14:paraId="21E70496">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48058FEB">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我单位不存在项目负责人或者主要技术人员不是本单位人员的“提供虚假资料”违法行为。</w:t>
            </w:r>
          </w:p>
        </w:tc>
        <w:tc>
          <w:tcPr>
            <w:tcW w:w="692" w:type="dxa"/>
            <w:tcBorders>
              <w:tl2br w:val="nil"/>
              <w:tr2bl w:val="nil"/>
            </w:tcBorders>
            <w:noWrap/>
            <w:vAlign w:val="center"/>
          </w:tcPr>
          <w:p w14:paraId="65ADA12A">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299FF352">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5CF52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41C7232">
            <w:pPr>
              <w:spacing w:line="240" w:lineRule="auto"/>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11</w:t>
            </w:r>
          </w:p>
        </w:tc>
        <w:tc>
          <w:tcPr>
            <w:tcW w:w="744" w:type="dxa"/>
            <w:vMerge w:val="continue"/>
            <w:tcBorders>
              <w:tl2br w:val="nil"/>
              <w:tr2bl w:val="nil"/>
            </w:tcBorders>
            <w:noWrap w:val="0"/>
            <w:vAlign w:val="center"/>
          </w:tcPr>
          <w:p w14:paraId="6F6BCF53">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5D966887">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w:t>
            </w:r>
            <w:r>
              <w:rPr>
                <w:rFonts w:hint="eastAsia" w:ascii="宋体" w:hAnsi="宋体" w:cs="宋体"/>
                <w:color w:val="auto"/>
                <w:sz w:val="22"/>
                <w:szCs w:val="28"/>
                <w:highlight w:val="none"/>
                <w:lang w:val="en-US" w:eastAsia="zh-CN"/>
              </w:rPr>
              <w:t>遴选响应</w:t>
            </w:r>
            <w:r>
              <w:rPr>
                <w:rFonts w:hint="eastAsia" w:ascii="宋体" w:hAnsi="宋体" w:eastAsia="宋体" w:cs="宋体"/>
                <w:color w:val="auto"/>
                <w:sz w:val="22"/>
                <w:szCs w:val="28"/>
                <w:highlight w:val="none"/>
                <w:lang w:val="en-US" w:eastAsia="zh-CN"/>
              </w:rPr>
              <w:t>保证金（根据</w:t>
            </w:r>
            <w:r>
              <w:rPr>
                <w:rFonts w:hint="eastAsia" w:ascii="宋体" w:hAnsi="宋体" w:cs="宋体"/>
                <w:color w:val="auto"/>
                <w:sz w:val="22"/>
                <w:szCs w:val="28"/>
                <w:highlight w:val="none"/>
                <w:lang w:val="en-US" w:eastAsia="zh-CN"/>
              </w:rPr>
              <w:t>遴选文件</w:t>
            </w:r>
            <w:r>
              <w:rPr>
                <w:rFonts w:hint="eastAsia" w:ascii="宋体" w:hAnsi="宋体" w:eastAsia="宋体" w:cs="宋体"/>
                <w:color w:val="auto"/>
                <w:sz w:val="22"/>
                <w:szCs w:val="28"/>
                <w:highlight w:val="none"/>
                <w:lang w:val="en-US" w:eastAsia="zh-CN"/>
              </w:rPr>
              <w:t>要求提交）不是从我单位基本账户转出的“提供虚假资料”违法行为。</w:t>
            </w:r>
          </w:p>
        </w:tc>
        <w:tc>
          <w:tcPr>
            <w:tcW w:w="692" w:type="dxa"/>
            <w:tcBorders>
              <w:tl2br w:val="nil"/>
              <w:tr2bl w:val="nil"/>
            </w:tcBorders>
            <w:noWrap/>
            <w:vAlign w:val="center"/>
          </w:tcPr>
          <w:p w14:paraId="6B92935D">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6F1CF522">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F52B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43A46F54">
            <w:pPr>
              <w:spacing w:line="240" w:lineRule="auto"/>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12</w:t>
            </w:r>
          </w:p>
        </w:tc>
        <w:tc>
          <w:tcPr>
            <w:tcW w:w="744" w:type="dxa"/>
            <w:vMerge w:val="restart"/>
            <w:tcBorders>
              <w:tl2br w:val="nil"/>
              <w:tr2bl w:val="nil"/>
            </w:tcBorders>
            <w:noWrap w:val="0"/>
            <w:vAlign w:val="center"/>
          </w:tcPr>
          <w:p w14:paraId="201EAAED">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关联关系及其他情形</w:t>
            </w:r>
          </w:p>
        </w:tc>
        <w:tc>
          <w:tcPr>
            <w:tcW w:w="11002" w:type="dxa"/>
            <w:tcBorders>
              <w:tl2br w:val="nil"/>
              <w:tr2bl w:val="nil"/>
            </w:tcBorders>
            <w:noWrap w:val="0"/>
            <w:vAlign w:val="center"/>
          </w:tcPr>
          <w:p w14:paraId="2D62C4C7">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我单位严格管理本单位的电子秘钥及电子营业执照，不委托或出借给第三方（人）使用和管理。</w:t>
            </w:r>
          </w:p>
        </w:tc>
        <w:tc>
          <w:tcPr>
            <w:tcW w:w="692" w:type="dxa"/>
            <w:tcBorders>
              <w:tl2br w:val="nil"/>
              <w:tr2bl w:val="nil"/>
            </w:tcBorders>
            <w:noWrap/>
            <w:vAlign w:val="center"/>
          </w:tcPr>
          <w:p w14:paraId="3EE1F82C">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496D3B0B">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5C45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05E2555C">
            <w:pPr>
              <w:spacing w:line="240" w:lineRule="auto"/>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13</w:t>
            </w:r>
          </w:p>
        </w:tc>
        <w:tc>
          <w:tcPr>
            <w:tcW w:w="744" w:type="dxa"/>
            <w:vMerge w:val="continue"/>
            <w:tcBorders>
              <w:tl2br w:val="nil"/>
              <w:tr2bl w:val="nil"/>
            </w:tcBorders>
            <w:noWrap w:val="0"/>
            <w:vAlign w:val="center"/>
          </w:tcPr>
          <w:p w14:paraId="732488C8">
            <w:pPr>
              <w:spacing w:line="240" w:lineRule="auto"/>
              <w:jc w:val="center"/>
              <w:rPr>
                <w:rFonts w:hint="eastAsia" w:ascii="宋体" w:hAnsi="宋体" w:eastAsia="宋体" w:cs="宋体"/>
                <w:color w:val="auto"/>
                <w:sz w:val="22"/>
                <w:szCs w:val="28"/>
                <w:highlight w:val="none"/>
                <w:lang w:val="en-US" w:eastAsia="zh-CN"/>
              </w:rPr>
            </w:pPr>
          </w:p>
        </w:tc>
        <w:tc>
          <w:tcPr>
            <w:tcW w:w="11002" w:type="dxa"/>
            <w:tcBorders>
              <w:tl2br w:val="nil"/>
              <w:tr2bl w:val="nil"/>
            </w:tcBorders>
            <w:noWrap w:val="0"/>
            <w:vAlign w:val="center"/>
          </w:tcPr>
          <w:p w14:paraId="17EB8BFD">
            <w:pPr>
              <w:spacing w:line="240" w:lineRule="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我单位不使用公共电脑设备或公共网络编制、上传</w:t>
            </w:r>
            <w:r>
              <w:rPr>
                <w:rFonts w:hint="eastAsia" w:ascii="宋体" w:hAnsi="宋体" w:cs="宋体"/>
                <w:color w:val="auto"/>
                <w:sz w:val="22"/>
                <w:szCs w:val="28"/>
                <w:highlight w:val="none"/>
                <w:lang w:val="en-US" w:eastAsia="zh-CN"/>
              </w:rPr>
              <w:t>遴选响应文件</w:t>
            </w:r>
            <w:r>
              <w:rPr>
                <w:rFonts w:hint="eastAsia" w:ascii="宋体" w:hAnsi="宋体" w:eastAsia="宋体" w:cs="宋体"/>
                <w:color w:val="auto"/>
                <w:sz w:val="22"/>
                <w:szCs w:val="28"/>
                <w:highlight w:val="none"/>
                <w:lang w:val="en-US" w:eastAsia="zh-CN"/>
              </w:rPr>
              <w:t>。</w:t>
            </w:r>
          </w:p>
        </w:tc>
        <w:tc>
          <w:tcPr>
            <w:tcW w:w="692" w:type="dxa"/>
            <w:tcBorders>
              <w:tl2br w:val="nil"/>
              <w:tr2bl w:val="nil"/>
            </w:tcBorders>
            <w:noWrap/>
            <w:vAlign w:val="center"/>
          </w:tcPr>
          <w:p w14:paraId="0611962F">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4E88E95C">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60E50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D99CFF7">
            <w:pPr>
              <w:spacing w:line="240" w:lineRule="auto"/>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14</w:t>
            </w:r>
          </w:p>
        </w:tc>
        <w:tc>
          <w:tcPr>
            <w:tcW w:w="744" w:type="dxa"/>
            <w:vMerge w:val="continue"/>
            <w:tcBorders>
              <w:tl2br w:val="nil"/>
              <w:tr2bl w:val="nil"/>
            </w:tcBorders>
            <w:noWrap w:val="0"/>
            <w:vAlign w:val="center"/>
          </w:tcPr>
          <w:p w14:paraId="3C217665">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7A4BC93F">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我单位与其他供应商在参与本项目时，不存在单位负责人为同一人或直接控股、管理关系的行为。</w:t>
            </w:r>
          </w:p>
        </w:tc>
        <w:tc>
          <w:tcPr>
            <w:tcW w:w="692" w:type="dxa"/>
            <w:tcBorders>
              <w:tl2br w:val="nil"/>
              <w:tr2bl w:val="nil"/>
            </w:tcBorders>
            <w:noWrap/>
            <w:vAlign w:val="center"/>
          </w:tcPr>
          <w:p w14:paraId="6A86D1AC">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503307F3">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bl>
    <w:p w14:paraId="1DC4E37D">
      <w:pPr>
        <w:widowControl w:val="0"/>
        <w:numPr>
          <w:ilvl w:val="0"/>
          <w:numId w:val="0"/>
        </w:numPr>
        <w:ind w:leftChars="0"/>
        <w:jc w:val="both"/>
        <w:outlineLvl w:val="1"/>
        <w:rPr>
          <w:rFonts w:hint="eastAsia" w:cs="宋体" w:asciiTheme="majorEastAsia" w:hAnsiTheme="majorEastAsia" w:eastAsiaTheme="majorEastAsia"/>
          <w:kern w:val="2"/>
          <w:sz w:val="30"/>
          <w:szCs w:val="30"/>
          <w:lang w:val="en-US" w:eastAsia="zh-CN" w:bidi="ar-SA"/>
        </w:rPr>
        <w:sectPr>
          <w:pgSz w:w="16838" w:h="11906" w:orient="landscape"/>
          <w:pgMar w:top="1440" w:right="1440" w:bottom="1286"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tbl>
      <w:tblPr>
        <w:tblStyle w:val="39"/>
        <w:tblW w:w="137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744"/>
        <w:gridCol w:w="11002"/>
        <w:gridCol w:w="692"/>
        <w:gridCol w:w="693"/>
      </w:tblGrid>
      <w:tr w14:paraId="51B4F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8" w:hRule="atLeast"/>
        </w:trPr>
        <w:tc>
          <w:tcPr>
            <w:tcW w:w="660" w:type="dxa"/>
            <w:tcBorders>
              <w:tl2br w:val="nil"/>
              <w:tr2bl w:val="nil"/>
            </w:tcBorders>
            <w:noWrap/>
            <w:vAlign w:val="center"/>
          </w:tcPr>
          <w:p w14:paraId="55206D20">
            <w:pPr>
              <w:spacing w:line="240" w:lineRule="auto"/>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15</w:t>
            </w:r>
          </w:p>
        </w:tc>
        <w:tc>
          <w:tcPr>
            <w:tcW w:w="744" w:type="dxa"/>
            <w:vMerge w:val="restart"/>
            <w:tcBorders>
              <w:tl2br w:val="nil"/>
              <w:tr2bl w:val="nil"/>
            </w:tcBorders>
            <w:noWrap w:val="0"/>
            <w:vAlign w:val="center"/>
          </w:tcPr>
          <w:p w14:paraId="58124DE1">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2868A9F">
            <w:pPr>
              <w:spacing w:line="240" w:lineRule="auto"/>
              <w:rPr>
                <w:rFonts w:hint="eastAsia" w:ascii="宋体" w:hAnsi="宋体" w:eastAsia="宋体" w:cs="宋体"/>
                <w:color w:val="auto"/>
                <w:sz w:val="22"/>
                <w:szCs w:val="28"/>
                <w:highlight w:val="none"/>
              </w:rPr>
            </w:pPr>
            <w:r>
              <w:rPr>
                <w:rFonts w:hint="eastAsia" w:ascii="宋体" w:hAnsi="宋体" w:eastAsia="宋体" w:cs="宋体"/>
                <w:b w:val="0"/>
                <w:bCs w:val="0"/>
                <w:color w:val="auto"/>
                <w:sz w:val="22"/>
                <w:szCs w:val="28"/>
                <w:highlight w:val="none"/>
                <w:lang w:val="en-US" w:eastAsia="zh-CN"/>
              </w:rPr>
              <w:t>我单位在参与本项目（单一来源采购项目除外）时，不存在同时为本项目提供整体设计、规范编制或者项目管理、监理、检测等服务的行为。</w:t>
            </w:r>
          </w:p>
        </w:tc>
        <w:tc>
          <w:tcPr>
            <w:tcW w:w="692" w:type="dxa"/>
            <w:tcBorders>
              <w:tl2br w:val="nil"/>
              <w:tr2bl w:val="nil"/>
            </w:tcBorders>
            <w:noWrap/>
            <w:vAlign w:val="center"/>
          </w:tcPr>
          <w:p w14:paraId="7E281193">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CE3FDA6">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2300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7E5FB06">
            <w:pPr>
              <w:spacing w:line="240" w:lineRule="auto"/>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16</w:t>
            </w:r>
          </w:p>
        </w:tc>
        <w:tc>
          <w:tcPr>
            <w:tcW w:w="744" w:type="dxa"/>
            <w:vMerge w:val="continue"/>
            <w:tcBorders>
              <w:left w:val="single" w:color="000000" w:sz="4" w:space="0"/>
              <w:bottom w:val="nil"/>
              <w:right w:val="single" w:color="000000" w:sz="4" w:space="0"/>
              <w:tl2br w:val="nil"/>
              <w:tr2bl w:val="nil"/>
            </w:tcBorders>
            <w:noWrap w:val="0"/>
            <w:vAlign w:val="center"/>
          </w:tcPr>
          <w:p w14:paraId="5FA702B7">
            <w:pPr>
              <w:spacing w:line="240" w:lineRule="auto"/>
              <w:rPr>
                <w:rFonts w:hint="eastAsia" w:ascii="宋体" w:hAnsi="宋体" w:eastAsia="宋体" w:cs="宋体"/>
                <w:color w:val="auto"/>
                <w:sz w:val="22"/>
                <w:szCs w:val="28"/>
                <w:highlight w:val="none"/>
              </w:rPr>
            </w:pPr>
          </w:p>
        </w:tc>
        <w:tc>
          <w:tcPr>
            <w:tcW w:w="110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D6054A">
            <w:pPr>
              <w:spacing w:line="240" w:lineRule="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b w:val="0"/>
                <w:bCs w:val="0"/>
                <w:color w:val="auto"/>
                <w:sz w:val="22"/>
                <w:szCs w:val="28"/>
                <w:highlight w:val="none"/>
                <w:lang w:val="en-US" w:eastAsia="zh-CN"/>
              </w:rPr>
              <w:t>我单位在本项目中，□是□否 委托第三方（人）代为办理或从生产厂家、代理商等第三方（人）间接取得</w:t>
            </w:r>
            <w:r>
              <w:rPr>
                <w:rFonts w:hint="eastAsia" w:ascii="宋体" w:hAnsi="宋体" w:cs="宋体"/>
                <w:b w:val="0"/>
                <w:bCs w:val="0"/>
                <w:color w:val="auto"/>
                <w:sz w:val="22"/>
                <w:szCs w:val="28"/>
                <w:highlight w:val="none"/>
                <w:lang w:val="en-US" w:eastAsia="zh-CN"/>
              </w:rPr>
              <w:t>遴选响应文件</w:t>
            </w:r>
            <w:r>
              <w:rPr>
                <w:rFonts w:hint="eastAsia" w:ascii="宋体" w:hAnsi="宋体" w:eastAsia="宋体" w:cs="宋体"/>
                <w:b w:val="0"/>
                <w:bCs w:val="0"/>
                <w:color w:val="auto"/>
                <w:sz w:val="22"/>
                <w:szCs w:val="28"/>
                <w:highlight w:val="none"/>
                <w:lang w:val="en-US" w:eastAsia="zh-CN"/>
              </w:rPr>
              <w:t>涉及的检验检测报告、证书、证明等材料。</w:t>
            </w:r>
          </w:p>
        </w:tc>
        <w:tc>
          <w:tcPr>
            <w:tcW w:w="69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B3087A1">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A6203BB">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3DE09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791" w:type="dxa"/>
            <w:gridSpan w:val="5"/>
            <w:tcBorders>
              <w:tl2br w:val="nil"/>
              <w:tr2bl w:val="nil"/>
            </w:tcBorders>
            <w:noWrap/>
            <w:vAlign w:val="center"/>
          </w:tcPr>
          <w:p w14:paraId="4B8359C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若第16项选择“是”，则供应商需要填写：</w:t>
            </w:r>
          </w:p>
          <w:p w14:paraId="1BA4A93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①</w:t>
            </w:r>
            <w:r>
              <w:rPr>
                <w:rFonts w:hint="eastAsia" w:ascii="宋体" w:hAnsi="宋体" w:eastAsia="宋体" w:cs="宋体"/>
                <w:b w:val="0"/>
                <w:bCs w:val="0"/>
                <w:color w:val="auto"/>
                <w:sz w:val="22"/>
                <w:szCs w:val="28"/>
                <w:highlight w:val="none"/>
                <w:lang w:val="en-US" w:eastAsia="zh-CN"/>
              </w:rPr>
              <w:t>相关</w:t>
            </w:r>
            <w:r>
              <w:rPr>
                <w:rFonts w:hint="eastAsia" w:ascii="宋体" w:hAnsi="宋体" w:eastAsia="宋体" w:cs="宋体"/>
                <w:color w:val="auto"/>
                <w:sz w:val="22"/>
                <w:szCs w:val="28"/>
                <w:highlight w:val="none"/>
                <w:lang w:val="en-US" w:eastAsia="zh-CN"/>
              </w:rPr>
              <w:t>材料类型（必填）（包括检验检测报告、学历证书、职称证书、社保证明、合同业绩、其他等，以下拉列表显示）；</w:t>
            </w:r>
          </w:p>
          <w:p w14:paraId="1763443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b w:val="0"/>
                <w:bCs w:val="0"/>
                <w:color w:val="auto"/>
                <w:sz w:val="22"/>
                <w:szCs w:val="28"/>
                <w:highlight w:val="none"/>
                <w:lang w:val="en-US" w:eastAsia="zh-CN"/>
              </w:rPr>
              <w:t>②相关材料的名称（必填）（按材料类型填写，不同类型的需分别填写）；</w:t>
            </w:r>
          </w:p>
          <w:p w14:paraId="04339F0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③相关材料出具单位（必填）（</w:t>
            </w:r>
            <w:r>
              <w:rPr>
                <w:rFonts w:hint="eastAsia" w:ascii="宋体" w:hAnsi="宋体" w:eastAsia="宋体" w:cs="宋体"/>
                <w:b w:val="0"/>
                <w:bCs w:val="0"/>
                <w:color w:val="auto"/>
                <w:sz w:val="22"/>
                <w:szCs w:val="28"/>
                <w:highlight w:val="none"/>
                <w:lang w:val="en-US" w:eastAsia="zh-CN"/>
              </w:rPr>
              <w:t>按材料类型填写，出具单位即为相关</w:t>
            </w:r>
            <w:r>
              <w:rPr>
                <w:rFonts w:hint="eastAsia" w:ascii="宋体" w:hAnsi="宋体" w:eastAsia="宋体" w:cs="宋体"/>
                <w:color w:val="auto"/>
                <w:sz w:val="22"/>
                <w:szCs w:val="28"/>
                <w:highlight w:val="none"/>
                <w:lang w:val="en-US" w:eastAsia="zh-CN"/>
              </w:rPr>
              <w:t>材料的落款单位）；</w:t>
            </w:r>
          </w:p>
          <w:p w14:paraId="49536C5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④是否向材料出具单位核实材料真实性（必填）（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以下拉列表显示“是”和“否”）；</w:t>
            </w:r>
          </w:p>
          <w:p w14:paraId="0D4B9073">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⑤第三方（人）的基本信息（必填），（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以下拉列表显示“单位”和“个人”，其中，“单位”需填写单位全称、统一信用代码、联系人及电话，“</w:t>
            </w:r>
            <w:r>
              <w:rPr>
                <w:rFonts w:hint="eastAsia" w:ascii="宋体" w:hAnsi="宋体" w:eastAsia="宋体" w:cs="宋体"/>
                <w:b w:val="0"/>
                <w:bCs w:val="0"/>
                <w:color w:val="auto"/>
                <w:sz w:val="22"/>
                <w:szCs w:val="28"/>
                <w:highlight w:val="none"/>
                <w:lang w:val="en-US" w:eastAsia="zh-CN"/>
              </w:rPr>
              <w:t>个人”需填写个人姓名、联系方式）；</w:t>
            </w:r>
          </w:p>
          <w:p w14:paraId="5C88110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⑥相关材料的编号（选填）（</w:t>
            </w:r>
            <w:r>
              <w:rPr>
                <w:rFonts w:hint="eastAsia" w:ascii="宋体" w:hAnsi="宋体" w:eastAsia="宋体" w:cs="宋体"/>
                <w:b w:val="0"/>
                <w:bCs w:val="0"/>
                <w:color w:val="auto"/>
                <w:sz w:val="22"/>
                <w:szCs w:val="28"/>
                <w:highlight w:val="none"/>
                <w:lang w:val="en-US" w:eastAsia="zh-CN"/>
              </w:rPr>
              <w:t>按材料类型填写）；</w:t>
            </w:r>
          </w:p>
          <w:p w14:paraId="606ECE7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lang w:val="en-US" w:eastAsia="zh-CN"/>
              </w:rPr>
              <w:t>⑦相关材料出具时间（选填）（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w:t>
            </w:r>
          </w:p>
        </w:tc>
      </w:tr>
    </w:tbl>
    <w:p w14:paraId="65CAB433">
      <w:pPr>
        <w:widowControl w:val="0"/>
        <w:numPr>
          <w:ilvl w:val="0"/>
          <w:numId w:val="0"/>
        </w:numPr>
        <w:ind w:leftChars="0"/>
        <w:jc w:val="both"/>
        <w:outlineLvl w:val="1"/>
        <w:rPr>
          <w:rFonts w:hint="eastAsia" w:cs="宋体" w:asciiTheme="majorEastAsia" w:hAnsiTheme="majorEastAsia" w:eastAsiaTheme="majorEastAsia"/>
          <w:kern w:val="2"/>
          <w:sz w:val="30"/>
          <w:szCs w:val="30"/>
          <w:lang w:val="en-US" w:eastAsia="zh-CN" w:bidi="ar-SA"/>
        </w:rPr>
        <w:sectPr>
          <w:pgSz w:w="16838" w:h="11906" w:orient="landscape"/>
          <w:pgMar w:top="1440" w:right="1440" w:bottom="1286"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081D8845">
      <w:pPr>
        <w:pStyle w:val="3"/>
        <w:numPr>
          <w:ilvl w:val="0"/>
          <w:numId w:val="0"/>
        </w:numPr>
        <w:spacing w:line="240" w:lineRule="auto"/>
        <w:jc w:val="center"/>
        <w:rPr>
          <w:rFonts w:hint="eastAsia" w:asciiTheme="majorEastAsia" w:hAnsiTheme="majorEastAsia" w:eastAsiaTheme="majorEastAsia"/>
          <w:sz w:val="30"/>
          <w:szCs w:val="30"/>
        </w:rPr>
      </w:pPr>
      <w:bookmarkStart w:id="59" w:name="_Toc2638"/>
      <w:bookmarkStart w:id="60" w:name="_Toc14198"/>
      <w:r>
        <w:rPr>
          <w:rFonts w:hint="eastAsia" w:cs="Times New Roman" w:asciiTheme="majorEastAsia" w:hAnsiTheme="majorEastAsia" w:eastAsiaTheme="majorEastAsia"/>
          <w:b/>
          <w:bCs/>
          <w:kern w:val="2"/>
          <w:sz w:val="30"/>
          <w:szCs w:val="30"/>
          <w:lang w:val="en-US" w:eastAsia="zh-CN" w:bidi="ar-SA"/>
        </w:rPr>
        <w:t>（四）</w:t>
      </w:r>
      <w:r>
        <w:rPr>
          <w:rFonts w:hint="eastAsia" w:asciiTheme="majorEastAsia" w:hAnsiTheme="majorEastAsia" w:eastAsiaTheme="majorEastAsia"/>
          <w:sz w:val="30"/>
          <w:szCs w:val="30"/>
        </w:rPr>
        <w:t>营业</w:t>
      </w:r>
      <w:r>
        <w:rPr>
          <w:rFonts w:hint="eastAsia" w:cs="宋体" w:asciiTheme="majorEastAsia" w:hAnsiTheme="majorEastAsia" w:eastAsiaTheme="majorEastAsia"/>
          <w:sz w:val="30"/>
          <w:szCs w:val="30"/>
        </w:rPr>
        <w:t>执照等</w:t>
      </w:r>
      <w:r>
        <w:rPr>
          <w:rFonts w:hint="eastAsia" w:asciiTheme="majorEastAsia" w:hAnsiTheme="majorEastAsia" w:eastAsiaTheme="majorEastAsia"/>
          <w:sz w:val="30"/>
          <w:szCs w:val="30"/>
        </w:rPr>
        <w:t>资质文件</w:t>
      </w:r>
      <w:bookmarkEnd w:id="59"/>
      <w:bookmarkEnd w:id="60"/>
    </w:p>
    <w:p w14:paraId="02FC19E5">
      <w:pPr>
        <w:rPr>
          <w:rFonts w:hint="eastAsia" w:asciiTheme="majorEastAsia" w:hAnsiTheme="majorEastAsia" w:eastAsiaTheme="majorEastAsia"/>
          <w:sz w:val="30"/>
          <w:szCs w:val="30"/>
        </w:rPr>
      </w:pPr>
    </w:p>
    <w:p w14:paraId="78A12EDD">
      <w:pPr>
        <w:rPr>
          <w:rFonts w:hint="eastAsia" w:asciiTheme="majorEastAsia" w:hAnsiTheme="majorEastAsia" w:eastAsiaTheme="majorEastAsia"/>
          <w:sz w:val="30"/>
          <w:szCs w:val="30"/>
        </w:rPr>
      </w:pPr>
    </w:p>
    <w:p w14:paraId="46C95F5F">
      <w:pPr>
        <w:rPr>
          <w:rFonts w:hint="eastAsia" w:asciiTheme="majorEastAsia" w:hAnsiTheme="majorEastAsia" w:eastAsiaTheme="majorEastAsia"/>
          <w:sz w:val="30"/>
          <w:szCs w:val="30"/>
        </w:rPr>
      </w:pPr>
    </w:p>
    <w:p w14:paraId="02C977AC">
      <w:pPr>
        <w:rPr>
          <w:rFonts w:hint="eastAsia" w:asciiTheme="majorEastAsia" w:hAnsiTheme="majorEastAsia" w:eastAsiaTheme="majorEastAsia"/>
          <w:sz w:val="30"/>
          <w:szCs w:val="30"/>
        </w:rPr>
      </w:pPr>
    </w:p>
    <w:p w14:paraId="208D98B0">
      <w:pPr>
        <w:rPr>
          <w:rFonts w:hint="eastAsia" w:asciiTheme="majorEastAsia" w:hAnsiTheme="majorEastAsia" w:eastAsiaTheme="majorEastAsia"/>
          <w:sz w:val="30"/>
          <w:szCs w:val="30"/>
        </w:rPr>
      </w:pPr>
    </w:p>
    <w:p w14:paraId="15FF5EE9">
      <w:pPr>
        <w:rPr>
          <w:rFonts w:hint="eastAsia" w:asciiTheme="majorEastAsia" w:hAnsiTheme="majorEastAsia" w:eastAsiaTheme="majorEastAsia"/>
          <w:sz w:val="30"/>
          <w:szCs w:val="30"/>
        </w:rPr>
      </w:pPr>
    </w:p>
    <w:p w14:paraId="7D760F25">
      <w:pPr>
        <w:rPr>
          <w:rFonts w:hint="eastAsia" w:asciiTheme="majorEastAsia" w:hAnsiTheme="majorEastAsia" w:eastAsiaTheme="majorEastAsia"/>
          <w:sz w:val="30"/>
          <w:szCs w:val="30"/>
        </w:rPr>
      </w:pPr>
    </w:p>
    <w:p w14:paraId="3742D97E">
      <w:pPr>
        <w:rPr>
          <w:rFonts w:hint="eastAsia" w:asciiTheme="majorEastAsia" w:hAnsiTheme="majorEastAsia" w:eastAsiaTheme="majorEastAsia"/>
          <w:sz w:val="30"/>
          <w:szCs w:val="30"/>
        </w:rPr>
      </w:pPr>
    </w:p>
    <w:p w14:paraId="15D455B1">
      <w:pPr>
        <w:rPr>
          <w:rFonts w:hint="eastAsia" w:asciiTheme="majorEastAsia" w:hAnsiTheme="majorEastAsia" w:eastAsiaTheme="majorEastAsia"/>
          <w:sz w:val="30"/>
          <w:szCs w:val="30"/>
        </w:rPr>
      </w:pPr>
    </w:p>
    <w:p w14:paraId="4141263D">
      <w:pPr>
        <w:rPr>
          <w:rFonts w:hint="eastAsia" w:asciiTheme="majorEastAsia" w:hAnsiTheme="majorEastAsia" w:eastAsiaTheme="majorEastAsia"/>
          <w:sz w:val="30"/>
          <w:szCs w:val="30"/>
        </w:rPr>
      </w:pPr>
    </w:p>
    <w:p w14:paraId="3C8ED826">
      <w:pPr>
        <w:rPr>
          <w:rFonts w:hint="eastAsia" w:asciiTheme="majorEastAsia" w:hAnsiTheme="majorEastAsia" w:eastAsiaTheme="majorEastAsia"/>
          <w:sz w:val="30"/>
          <w:szCs w:val="30"/>
        </w:rPr>
      </w:pPr>
    </w:p>
    <w:p w14:paraId="049C6168">
      <w:pPr>
        <w:rPr>
          <w:rFonts w:hint="eastAsia" w:asciiTheme="majorEastAsia" w:hAnsiTheme="majorEastAsia" w:eastAsiaTheme="majorEastAsia"/>
          <w:sz w:val="30"/>
          <w:szCs w:val="30"/>
        </w:rPr>
      </w:pPr>
    </w:p>
    <w:p w14:paraId="4682EE56">
      <w:pPr>
        <w:rPr>
          <w:rFonts w:hint="eastAsia" w:asciiTheme="majorEastAsia" w:hAnsiTheme="majorEastAsia" w:eastAsiaTheme="majorEastAsia"/>
          <w:sz w:val="30"/>
          <w:szCs w:val="30"/>
        </w:rPr>
      </w:pPr>
    </w:p>
    <w:p w14:paraId="077B39F4">
      <w:pPr>
        <w:rPr>
          <w:rFonts w:hint="eastAsia" w:asciiTheme="majorEastAsia" w:hAnsiTheme="majorEastAsia" w:eastAsiaTheme="majorEastAsia"/>
          <w:sz w:val="30"/>
          <w:szCs w:val="30"/>
        </w:rPr>
      </w:pPr>
    </w:p>
    <w:p w14:paraId="62A398C2">
      <w:pPr>
        <w:rPr>
          <w:rFonts w:hint="eastAsia" w:asciiTheme="majorEastAsia" w:hAnsiTheme="majorEastAsia" w:eastAsiaTheme="majorEastAsia"/>
          <w:sz w:val="30"/>
          <w:szCs w:val="30"/>
        </w:rPr>
      </w:pPr>
    </w:p>
    <w:p w14:paraId="09C1D075">
      <w:pPr>
        <w:rPr>
          <w:rFonts w:hint="eastAsia" w:asciiTheme="majorEastAsia" w:hAnsiTheme="majorEastAsia" w:eastAsiaTheme="majorEastAsia"/>
          <w:sz w:val="30"/>
          <w:szCs w:val="30"/>
        </w:rPr>
      </w:pPr>
    </w:p>
    <w:p w14:paraId="66E83C2D">
      <w:pPr>
        <w:rPr>
          <w:rFonts w:hint="eastAsia" w:asciiTheme="majorEastAsia" w:hAnsiTheme="majorEastAsia" w:eastAsiaTheme="majorEastAsia"/>
          <w:sz w:val="30"/>
          <w:szCs w:val="30"/>
        </w:rPr>
      </w:pPr>
    </w:p>
    <w:p w14:paraId="7DF4844F">
      <w:pPr>
        <w:rPr>
          <w:rFonts w:hint="eastAsia" w:asciiTheme="majorEastAsia" w:hAnsiTheme="majorEastAsia" w:eastAsiaTheme="majorEastAsia"/>
          <w:sz w:val="30"/>
          <w:szCs w:val="30"/>
        </w:rPr>
      </w:pPr>
    </w:p>
    <w:p w14:paraId="33D64F57">
      <w:pPr>
        <w:rPr>
          <w:rFonts w:hint="eastAsia" w:asciiTheme="majorEastAsia" w:hAnsiTheme="majorEastAsia" w:eastAsiaTheme="majorEastAsia"/>
          <w:sz w:val="30"/>
          <w:szCs w:val="30"/>
        </w:rPr>
      </w:pPr>
    </w:p>
    <w:p w14:paraId="7753062C">
      <w:pPr>
        <w:rPr>
          <w:rFonts w:hint="eastAsia" w:asciiTheme="majorEastAsia" w:hAnsiTheme="majorEastAsia" w:eastAsiaTheme="majorEastAsia"/>
          <w:sz w:val="30"/>
          <w:szCs w:val="30"/>
        </w:rPr>
      </w:pPr>
    </w:p>
    <w:p w14:paraId="7A181F20">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left="420" w:leftChars="0" w:hanging="420" w:firstLineChars="0"/>
        <w:jc w:val="center"/>
        <w:textAlignment w:val="auto"/>
        <w:outlineLvl w:val="1"/>
        <w:rPr>
          <w:rFonts w:hint="eastAsia" w:cs="Times New Roman" w:asciiTheme="majorEastAsia" w:hAnsiTheme="majorEastAsia" w:eastAsiaTheme="majorEastAsia"/>
          <w:b/>
          <w:bCs/>
          <w:kern w:val="2"/>
          <w:sz w:val="30"/>
          <w:szCs w:val="30"/>
          <w:lang w:val="en-US" w:eastAsia="zh-CN" w:bidi="ar-SA"/>
        </w:rPr>
      </w:pPr>
      <w:bookmarkStart w:id="61" w:name="_Toc32311"/>
      <w:bookmarkStart w:id="62" w:name="_Toc11079"/>
      <w:r>
        <w:rPr>
          <w:rFonts w:hint="eastAsia" w:cs="Times New Roman" w:asciiTheme="majorEastAsia" w:hAnsiTheme="majorEastAsia" w:eastAsiaTheme="majorEastAsia"/>
          <w:b/>
          <w:bCs/>
          <w:kern w:val="2"/>
          <w:sz w:val="30"/>
          <w:szCs w:val="30"/>
          <w:lang w:val="en-US" w:eastAsia="zh-CN" w:bidi="ar-SA"/>
        </w:rPr>
        <w:t>（五）诚信及信用信息证明</w:t>
      </w:r>
      <w:bookmarkEnd w:id="61"/>
      <w:bookmarkEnd w:id="62"/>
    </w:p>
    <w:p w14:paraId="3560B71D">
      <w:pPr>
        <w:keepNext w:val="0"/>
        <w:keepLines w:val="0"/>
        <w:pageBreakBefore w:val="0"/>
        <w:widowControl/>
        <w:kinsoku/>
        <w:wordWrap/>
        <w:overflowPunct/>
        <w:topLinePunct w:val="0"/>
        <w:autoSpaceDE/>
        <w:autoSpaceDN/>
        <w:bidi w:val="0"/>
        <w:adjustRightInd/>
        <w:snapToGrid/>
        <w:spacing w:beforeLines="0" w:afterLines="0" w:line="480" w:lineRule="exact"/>
        <w:jc w:val="left"/>
        <w:textAlignment w:val="auto"/>
        <w:rPr>
          <w:rFonts w:hint="eastAsia" w:cs="宋体" w:asciiTheme="majorEastAsia" w:hAnsiTheme="majorEastAsia" w:eastAsiaTheme="majorEastAsia"/>
          <w:kern w:val="2"/>
          <w:sz w:val="28"/>
          <w:szCs w:val="28"/>
          <w:lang w:val="en-US" w:eastAsia="zh-CN" w:bidi="ar-SA"/>
        </w:rPr>
      </w:pPr>
      <w:r>
        <w:rPr>
          <w:rFonts w:hint="eastAsia" w:cs="宋体" w:asciiTheme="majorEastAsia" w:hAnsiTheme="majorEastAsia" w:eastAsiaTheme="majorEastAsia"/>
          <w:kern w:val="2"/>
          <w:sz w:val="28"/>
          <w:szCs w:val="28"/>
          <w:lang w:val="en-US" w:eastAsia="zh-CN" w:bidi="ar-SA"/>
        </w:rPr>
        <w:t>1.遴选响应方需提供中国政府采购网（</w:t>
      </w:r>
      <w:r>
        <w:rPr>
          <w:rFonts w:hint="eastAsia" w:cs="宋体" w:asciiTheme="majorEastAsia" w:hAnsiTheme="majorEastAsia" w:eastAsiaTheme="majorEastAsia"/>
          <w:kern w:val="2"/>
          <w:sz w:val="28"/>
          <w:szCs w:val="28"/>
          <w:lang w:val="en-US" w:eastAsia="zh-CN" w:bidi="ar-SA"/>
        </w:rPr>
        <w:fldChar w:fldCharType="begin"/>
      </w:r>
      <w:r>
        <w:rPr>
          <w:rFonts w:hint="eastAsia" w:cs="宋体" w:asciiTheme="majorEastAsia" w:hAnsiTheme="majorEastAsia" w:eastAsiaTheme="majorEastAsia"/>
          <w:kern w:val="2"/>
          <w:sz w:val="28"/>
          <w:szCs w:val="28"/>
          <w:lang w:val="en-US" w:eastAsia="zh-CN" w:bidi="ar-SA"/>
        </w:rPr>
        <w:instrText xml:space="preserve"> HYPERLINK "http://www.ccgp.gov.cn/search/cr/" </w:instrText>
      </w:r>
      <w:r>
        <w:rPr>
          <w:rFonts w:hint="eastAsia" w:cs="宋体" w:asciiTheme="majorEastAsia" w:hAnsiTheme="majorEastAsia" w:eastAsiaTheme="majorEastAsia"/>
          <w:kern w:val="2"/>
          <w:sz w:val="28"/>
          <w:szCs w:val="28"/>
          <w:lang w:val="en-US" w:eastAsia="zh-CN" w:bidi="ar-SA"/>
        </w:rPr>
        <w:fldChar w:fldCharType="separate"/>
      </w:r>
      <w:r>
        <w:rPr>
          <w:rFonts w:hint="eastAsia" w:cs="宋体" w:asciiTheme="majorEastAsia" w:hAnsiTheme="majorEastAsia" w:eastAsiaTheme="majorEastAsia"/>
          <w:kern w:val="2"/>
          <w:sz w:val="28"/>
          <w:szCs w:val="28"/>
          <w:lang w:val="en-US" w:eastAsia="zh-CN" w:bidi="ar-SA"/>
        </w:rPr>
        <w:t>http://www.ccgp.gov.cn/search/cr/</w:t>
      </w:r>
      <w:r>
        <w:rPr>
          <w:rFonts w:hint="eastAsia" w:cs="宋体" w:asciiTheme="majorEastAsia" w:hAnsiTheme="majorEastAsia" w:eastAsiaTheme="majorEastAsia"/>
          <w:kern w:val="2"/>
          <w:sz w:val="28"/>
          <w:szCs w:val="28"/>
          <w:lang w:val="en-US" w:eastAsia="zh-CN" w:bidi="ar-SA"/>
        </w:rPr>
        <w:fldChar w:fldCharType="end"/>
      </w:r>
      <w:r>
        <w:rPr>
          <w:rFonts w:hint="eastAsia" w:cs="宋体" w:asciiTheme="majorEastAsia" w:hAnsiTheme="majorEastAsia" w:eastAsiaTheme="majorEastAsia"/>
          <w:kern w:val="2"/>
          <w:sz w:val="28"/>
          <w:szCs w:val="28"/>
          <w:lang w:val="en-US" w:eastAsia="zh-CN" w:bidi="ar-SA"/>
        </w:rPr>
        <w:t>）、深圳市政府采购监管网（</w:t>
      </w:r>
      <w:r>
        <w:rPr>
          <w:rFonts w:hint="eastAsia" w:cs="宋体" w:asciiTheme="majorEastAsia" w:hAnsiTheme="majorEastAsia" w:eastAsiaTheme="majorEastAsia"/>
          <w:kern w:val="2"/>
          <w:sz w:val="28"/>
          <w:szCs w:val="28"/>
          <w:lang w:val="en-US" w:eastAsia="zh-CN" w:bidi="ar-SA"/>
        </w:rPr>
        <w:fldChar w:fldCharType="begin"/>
      </w:r>
      <w:r>
        <w:rPr>
          <w:rFonts w:hint="eastAsia" w:cs="宋体" w:asciiTheme="majorEastAsia" w:hAnsiTheme="majorEastAsia" w:eastAsiaTheme="majorEastAsia"/>
          <w:kern w:val="2"/>
          <w:sz w:val="28"/>
          <w:szCs w:val="28"/>
          <w:lang w:val="en-US" w:eastAsia="zh-CN" w:bidi="ar-SA"/>
        </w:rPr>
        <w:instrText xml:space="preserve"> HYPERLINK "http://zfcg.sz.gov.cn/cgjg/cxda/index.html" </w:instrText>
      </w:r>
      <w:r>
        <w:rPr>
          <w:rFonts w:hint="eastAsia" w:cs="宋体" w:asciiTheme="majorEastAsia" w:hAnsiTheme="majorEastAsia" w:eastAsiaTheme="majorEastAsia"/>
          <w:kern w:val="2"/>
          <w:sz w:val="28"/>
          <w:szCs w:val="28"/>
          <w:lang w:val="en-US" w:eastAsia="zh-CN" w:bidi="ar-SA"/>
        </w:rPr>
        <w:fldChar w:fldCharType="separate"/>
      </w:r>
      <w:r>
        <w:rPr>
          <w:rFonts w:hint="eastAsia" w:cs="宋体" w:asciiTheme="majorEastAsia" w:hAnsiTheme="majorEastAsia" w:eastAsiaTheme="majorEastAsia"/>
          <w:kern w:val="2"/>
          <w:sz w:val="28"/>
          <w:szCs w:val="28"/>
          <w:lang w:val="en-US" w:eastAsia="zh-CN" w:bidi="ar-SA"/>
        </w:rPr>
        <w:t>http://zfcg.sz.gov.cn/cgjg/cxda/index.html</w:t>
      </w:r>
      <w:r>
        <w:rPr>
          <w:rFonts w:hint="eastAsia" w:cs="宋体" w:asciiTheme="majorEastAsia" w:hAnsiTheme="majorEastAsia" w:eastAsiaTheme="majorEastAsia"/>
          <w:kern w:val="2"/>
          <w:sz w:val="28"/>
          <w:szCs w:val="28"/>
          <w:lang w:val="en-US" w:eastAsia="zh-CN" w:bidi="ar-SA"/>
        </w:rPr>
        <w:fldChar w:fldCharType="end"/>
      </w:r>
      <w:r>
        <w:rPr>
          <w:rFonts w:hint="eastAsia" w:cs="宋体" w:asciiTheme="majorEastAsia" w:hAnsiTheme="majorEastAsia" w:eastAsiaTheme="majorEastAsia"/>
          <w:kern w:val="2"/>
          <w:sz w:val="28"/>
          <w:szCs w:val="28"/>
          <w:lang w:val="en-US" w:eastAsia="zh-CN" w:bidi="ar-SA"/>
        </w:rPr>
        <w:t>）的有效截图。</w:t>
      </w:r>
    </w:p>
    <w:p w14:paraId="28E49496">
      <w:pPr>
        <w:keepNext w:val="0"/>
        <w:keepLines w:val="0"/>
        <w:pageBreakBefore w:val="0"/>
        <w:widowControl/>
        <w:kinsoku/>
        <w:wordWrap/>
        <w:overflowPunct/>
        <w:topLinePunct w:val="0"/>
        <w:autoSpaceDE/>
        <w:autoSpaceDN/>
        <w:bidi w:val="0"/>
        <w:adjustRightInd/>
        <w:snapToGrid/>
        <w:spacing w:beforeLines="0" w:afterLines="0" w:line="480" w:lineRule="exact"/>
        <w:jc w:val="left"/>
        <w:textAlignment w:val="auto"/>
        <w:rPr>
          <w:rFonts w:hint="default" w:cs="宋体" w:asciiTheme="majorEastAsia" w:hAnsiTheme="majorEastAsia" w:eastAsiaTheme="majorEastAsia"/>
          <w:kern w:val="2"/>
          <w:sz w:val="28"/>
          <w:szCs w:val="28"/>
          <w:lang w:val="en-US" w:eastAsia="zh-CN" w:bidi="ar-SA"/>
        </w:rPr>
      </w:pPr>
      <w:r>
        <w:rPr>
          <w:rFonts w:hint="eastAsia" w:cs="宋体" w:asciiTheme="majorEastAsia" w:hAnsiTheme="majorEastAsia" w:eastAsiaTheme="majorEastAsia"/>
          <w:kern w:val="2"/>
          <w:sz w:val="28"/>
          <w:szCs w:val="28"/>
          <w:lang w:val="en-US" w:eastAsia="zh-CN" w:bidi="ar-SA"/>
        </w:rPr>
        <w:t>2.遴选响应方需提供国家企业信用信息公示系统（https://www.gsxt.gov.cn/index.html）、机关赋码和事业单位登记管理网（http://www.gjsy.gov.cn/sydwfrxxcx/）、全国社会组织信用信息公示平台（https://xxgs.chinanpo.mca.gov.cn/gsxt/newList）的有效截图。</w:t>
      </w:r>
    </w:p>
    <w:p w14:paraId="69293359">
      <w:pPr>
        <w:numPr>
          <w:ilvl w:val="0"/>
          <w:numId w:val="0"/>
        </w:numPr>
        <w:rPr>
          <w:rFonts w:hint="eastAsia"/>
        </w:rPr>
      </w:pPr>
    </w:p>
    <w:p w14:paraId="538ADD73">
      <w:pPr>
        <w:numPr>
          <w:ilvl w:val="0"/>
          <w:numId w:val="0"/>
        </w:numPr>
        <w:rPr>
          <w:rFonts w:hint="eastAsia"/>
        </w:rPr>
      </w:pPr>
    </w:p>
    <w:p w14:paraId="681A1065">
      <w:pPr>
        <w:numPr>
          <w:ilvl w:val="0"/>
          <w:numId w:val="0"/>
        </w:numPr>
        <w:ind w:leftChars="0"/>
        <w:rPr>
          <w:rFonts w:hint="eastAsia"/>
        </w:rPr>
      </w:pPr>
    </w:p>
    <w:p w14:paraId="00B0E131">
      <w:pPr>
        <w:rPr>
          <w:rFonts w:hint="eastAsia" w:asciiTheme="majorEastAsia" w:hAnsiTheme="majorEastAsia" w:eastAsiaTheme="majorEastAsia"/>
          <w:sz w:val="30"/>
          <w:szCs w:val="30"/>
        </w:rPr>
      </w:pPr>
    </w:p>
    <w:p w14:paraId="152EA20E">
      <w:pPr>
        <w:bidi w:val="0"/>
        <w:jc w:val="left"/>
        <w:rPr>
          <w:rFonts w:hint="default" w:cs="Times New Roman"/>
          <w:kern w:val="2"/>
          <w:sz w:val="21"/>
          <w:szCs w:val="24"/>
          <w:lang w:val="en-US" w:eastAsia="zh-CN" w:bidi="ar-SA"/>
        </w:rPr>
      </w:pPr>
    </w:p>
    <w:p w14:paraId="05BD5317">
      <w:pPr>
        <w:rPr>
          <w:rFonts w:asciiTheme="majorEastAsia" w:hAnsiTheme="majorEastAsia" w:eastAsiaTheme="majorEastAsia"/>
          <w:sz w:val="30"/>
          <w:szCs w:val="30"/>
        </w:rPr>
      </w:pPr>
    </w:p>
    <w:p w14:paraId="75DABE5F">
      <w:pPr>
        <w:rPr>
          <w:rFonts w:asciiTheme="majorEastAsia" w:hAnsiTheme="majorEastAsia" w:eastAsiaTheme="majorEastAsia"/>
          <w:sz w:val="30"/>
          <w:szCs w:val="30"/>
        </w:rPr>
      </w:pPr>
    </w:p>
    <w:p w14:paraId="6C40AAEF">
      <w:pPr>
        <w:rPr>
          <w:rFonts w:asciiTheme="majorEastAsia" w:hAnsiTheme="majorEastAsia" w:eastAsiaTheme="majorEastAsia"/>
          <w:sz w:val="30"/>
          <w:szCs w:val="30"/>
        </w:rPr>
      </w:pPr>
    </w:p>
    <w:p w14:paraId="3F753474">
      <w:pPr>
        <w:rPr>
          <w:rFonts w:asciiTheme="majorEastAsia" w:hAnsiTheme="majorEastAsia" w:eastAsiaTheme="majorEastAsia"/>
          <w:sz w:val="30"/>
          <w:szCs w:val="30"/>
        </w:rPr>
      </w:pPr>
    </w:p>
    <w:p w14:paraId="36191904">
      <w:pPr>
        <w:rPr>
          <w:rFonts w:asciiTheme="majorEastAsia" w:hAnsiTheme="majorEastAsia" w:eastAsiaTheme="majorEastAsia"/>
          <w:sz w:val="30"/>
          <w:szCs w:val="30"/>
        </w:rPr>
      </w:pPr>
    </w:p>
    <w:p w14:paraId="4401581E">
      <w:pPr>
        <w:pStyle w:val="16"/>
        <w:rPr>
          <w:rFonts w:asciiTheme="majorEastAsia" w:hAnsiTheme="majorEastAsia" w:eastAsiaTheme="majorEastAsia"/>
          <w:sz w:val="30"/>
          <w:szCs w:val="30"/>
        </w:rPr>
      </w:pPr>
    </w:p>
    <w:p w14:paraId="7D0176B5">
      <w:pPr>
        <w:pStyle w:val="17"/>
        <w:rPr>
          <w:rFonts w:asciiTheme="majorEastAsia" w:hAnsiTheme="majorEastAsia" w:eastAsiaTheme="majorEastAsia"/>
          <w:sz w:val="30"/>
          <w:szCs w:val="30"/>
        </w:rPr>
      </w:pPr>
    </w:p>
    <w:p w14:paraId="72B9F4A6">
      <w:pPr>
        <w:pStyle w:val="17"/>
        <w:rPr>
          <w:rFonts w:asciiTheme="majorEastAsia" w:hAnsiTheme="majorEastAsia" w:eastAsiaTheme="majorEastAsia"/>
          <w:sz w:val="30"/>
          <w:szCs w:val="30"/>
        </w:rPr>
      </w:pPr>
    </w:p>
    <w:p w14:paraId="31A7F4B5">
      <w:pPr>
        <w:pStyle w:val="17"/>
        <w:rPr>
          <w:rFonts w:asciiTheme="majorEastAsia" w:hAnsiTheme="majorEastAsia" w:eastAsiaTheme="majorEastAsia"/>
          <w:sz w:val="30"/>
          <w:szCs w:val="30"/>
        </w:rPr>
      </w:pPr>
    </w:p>
    <w:p w14:paraId="0872788C">
      <w:pPr>
        <w:pStyle w:val="17"/>
        <w:rPr>
          <w:rFonts w:asciiTheme="majorEastAsia" w:hAnsiTheme="majorEastAsia" w:eastAsiaTheme="majorEastAsia"/>
          <w:sz w:val="30"/>
          <w:szCs w:val="30"/>
        </w:rPr>
      </w:pPr>
    </w:p>
    <w:p w14:paraId="44F639FC">
      <w:pPr>
        <w:pStyle w:val="17"/>
        <w:rPr>
          <w:rFonts w:asciiTheme="majorEastAsia" w:hAnsiTheme="majorEastAsia" w:eastAsiaTheme="majorEastAsia"/>
          <w:sz w:val="30"/>
          <w:szCs w:val="30"/>
        </w:rPr>
      </w:pPr>
    </w:p>
    <w:bookmarkEnd w:id="51"/>
    <w:bookmarkEnd w:id="52"/>
    <w:bookmarkEnd w:id="55"/>
    <w:p w14:paraId="7CC4A323">
      <w:pPr>
        <w:pStyle w:val="3"/>
        <w:numPr>
          <w:ilvl w:val="0"/>
          <w:numId w:val="0"/>
        </w:numPr>
        <w:spacing w:line="240" w:lineRule="auto"/>
        <w:ind w:left="420" w:leftChars="0" w:hanging="420" w:firstLineChars="0"/>
        <w:jc w:val="center"/>
        <w:rPr>
          <w:rFonts w:hint="eastAsia" w:asciiTheme="majorEastAsia" w:hAnsiTheme="majorEastAsia" w:eastAsiaTheme="majorEastAsia"/>
          <w:sz w:val="30"/>
          <w:szCs w:val="30"/>
        </w:rPr>
      </w:pPr>
      <w:bookmarkStart w:id="63" w:name="_Toc11281"/>
      <w:bookmarkStart w:id="64" w:name="_Toc26413"/>
      <w:bookmarkStart w:id="65" w:name="_Toc12322"/>
      <w:bookmarkStart w:id="66" w:name="_Toc2899"/>
      <w:bookmarkStart w:id="67" w:name="_Toc435515295"/>
      <w:bookmarkStart w:id="68" w:name="_Toc435514855"/>
      <w:bookmarkStart w:id="69" w:name="_Toc24650"/>
      <w:bookmarkStart w:id="70" w:name="_Toc275865606"/>
      <w:r>
        <w:rPr>
          <w:rFonts w:hint="eastAsia" w:cs="宋体" w:asciiTheme="majorEastAsia" w:hAnsiTheme="majorEastAsia" w:eastAsiaTheme="majorEastAsia"/>
          <w:kern w:val="2"/>
          <w:sz w:val="30"/>
          <w:szCs w:val="30"/>
          <w:lang w:val="en-US" w:eastAsia="zh-CN" w:bidi="ar-SA"/>
        </w:rPr>
        <w:t>（六）遴选响应单位</w:t>
      </w:r>
      <w:r>
        <w:rPr>
          <w:rFonts w:hint="eastAsia" w:asciiTheme="majorEastAsia" w:hAnsiTheme="majorEastAsia" w:eastAsiaTheme="majorEastAsia"/>
          <w:sz w:val="30"/>
          <w:szCs w:val="30"/>
        </w:rPr>
        <w:t>基本情况表</w:t>
      </w:r>
      <w:bookmarkEnd w:id="63"/>
      <w:bookmarkEnd w:id="64"/>
      <w:bookmarkEnd w:id="65"/>
      <w:bookmarkEnd w:id="66"/>
    </w:p>
    <w:p w14:paraId="16EF2219">
      <w:pPr>
        <w:bidi w:val="0"/>
        <w:rPr>
          <w:rFonts w:hint="default" w:eastAsia="宋体"/>
          <w:u w:val="single"/>
          <w:lang w:val="en-US" w:eastAsia="zh-CN"/>
        </w:rPr>
      </w:pPr>
      <w:r>
        <w:rPr>
          <w:rFonts w:hint="eastAsia"/>
          <w:lang w:val="en-US" w:eastAsia="zh-CN"/>
        </w:rPr>
        <w:t>填表单位：</w:t>
      </w:r>
      <w:r>
        <w:rPr>
          <w:rFonts w:hint="eastAsia"/>
          <w:u w:val="single"/>
          <w:lang w:val="en-US" w:eastAsia="zh-CN"/>
        </w:rPr>
        <w:t xml:space="preserve">           </w:t>
      </w:r>
      <w:r>
        <w:rPr>
          <w:rFonts w:hint="eastAsia"/>
          <w:u w:val="none"/>
          <w:lang w:val="en-US" w:eastAsia="zh-CN"/>
        </w:rPr>
        <w:t xml:space="preserve"> （加盖单位公章）                       填表日期：      年  月  日</w:t>
      </w:r>
    </w:p>
    <w:tbl>
      <w:tblPr>
        <w:tblStyle w:val="40"/>
        <w:tblW w:w="10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2"/>
        <w:gridCol w:w="2380"/>
        <w:gridCol w:w="1205"/>
        <w:gridCol w:w="1583"/>
        <w:gridCol w:w="1583"/>
        <w:gridCol w:w="1892"/>
      </w:tblGrid>
      <w:tr w14:paraId="53CBF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12" w:type="dxa"/>
            <w:vAlign w:val="center"/>
          </w:tcPr>
          <w:p w14:paraId="0E9E01A3">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采购人</w:t>
            </w:r>
          </w:p>
        </w:tc>
        <w:tc>
          <w:tcPr>
            <w:tcW w:w="3585" w:type="dxa"/>
            <w:gridSpan w:val="2"/>
            <w:vAlign w:val="center"/>
          </w:tcPr>
          <w:p w14:paraId="64471A8B">
            <w:pPr>
              <w:bidi w:val="0"/>
              <w:spacing w:line="360" w:lineRule="auto"/>
              <w:jc w:val="center"/>
              <w:rPr>
                <w:rFonts w:hint="eastAsia" w:ascii="宋体" w:hAnsi="宋体" w:eastAsia="宋体" w:cs="宋体"/>
                <w:sz w:val="21"/>
                <w:szCs w:val="21"/>
                <w:vertAlign w:val="baseline"/>
              </w:rPr>
            </w:pPr>
          </w:p>
        </w:tc>
        <w:tc>
          <w:tcPr>
            <w:tcW w:w="3166" w:type="dxa"/>
            <w:gridSpan w:val="2"/>
            <w:vAlign w:val="center"/>
          </w:tcPr>
          <w:p w14:paraId="45A0A5D0">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项目名称</w:t>
            </w:r>
          </w:p>
        </w:tc>
        <w:tc>
          <w:tcPr>
            <w:tcW w:w="1892" w:type="dxa"/>
            <w:vAlign w:val="center"/>
          </w:tcPr>
          <w:p w14:paraId="75601480">
            <w:pPr>
              <w:bidi w:val="0"/>
              <w:spacing w:line="360" w:lineRule="auto"/>
              <w:jc w:val="center"/>
              <w:rPr>
                <w:rFonts w:hint="eastAsia" w:ascii="宋体" w:hAnsi="宋体" w:eastAsia="宋体" w:cs="宋体"/>
                <w:sz w:val="21"/>
                <w:szCs w:val="21"/>
                <w:vertAlign w:val="baseline"/>
              </w:rPr>
            </w:pPr>
          </w:p>
        </w:tc>
      </w:tr>
      <w:tr w14:paraId="717A6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2012" w:type="dxa"/>
            <w:vAlign w:val="center"/>
          </w:tcPr>
          <w:p w14:paraId="45EC77DF">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遴选响应</w:t>
            </w:r>
            <w:r>
              <w:rPr>
                <w:rFonts w:hint="eastAsia" w:ascii="宋体" w:hAnsi="宋体" w:eastAsia="宋体" w:cs="宋体"/>
                <w:sz w:val="21"/>
                <w:szCs w:val="21"/>
                <w:vertAlign w:val="baseline"/>
                <w:lang w:val="en-US" w:eastAsia="zh-CN"/>
              </w:rPr>
              <w:t>供应商</w:t>
            </w:r>
          </w:p>
        </w:tc>
        <w:tc>
          <w:tcPr>
            <w:tcW w:w="3585" w:type="dxa"/>
            <w:gridSpan w:val="2"/>
            <w:vAlign w:val="center"/>
          </w:tcPr>
          <w:p w14:paraId="1AF41A8D">
            <w:pPr>
              <w:bidi w:val="0"/>
              <w:spacing w:line="360" w:lineRule="auto"/>
              <w:jc w:val="center"/>
              <w:rPr>
                <w:rFonts w:hint="eastAsia" w:ascii="宋体" w:hAnsi="宋体" w:eastAsia="宋体" w:cs="宋体"/>
                <w:sz w:val="21"/>
                <w:szCs w:val="21"/>
                <w:vertAlign w:val="baseline"/>
              </w:rPr>
            </w:pPr>
          </w:p>
        </w:tc>
        <w:tc>
          <w:tcPr>
            <w:tcW w:w="3166" w:type="dxa"/>
            <w:gridSpan w:val="2"/>
            <w:vAlign w:val="center"/>
          </w:tcPr>
          <w:p w14:paraId="1B42BE48">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供应商统一社会信用代码</w:t>
            </w:r>
          </w:p>
        </w:tc>
        <w:tc>
          <w:tcPr>
            <w:tcW w:w="1892" w:type="dxa"/>
            <w:vAlign w:val="center"/>
          </w:tcPr>
          <w:p w14:paraId="604DACCA">
            <w:pPr>
              <w:bidi w:val="0"/>
              <w:spacing w:line="360" w:lineRule="auto"/>
              <w:jc w:val="center"/>
              <w:rPr>
                <w:rFonts w:hint="eastAsia" w:ascii="宋体" w:hAnsi="宋体" w:eastAsia="宋体" w:cs="宋体"/>
                <w:sz w:val="21"/>
                <w:szCs w:val="21"/>
                <w:vertAlign w:val="baseline"/>
              </w:rPr>
            </w:pPr>
          </w:p>
        </w:tc>
      </w:tr>
      <w:tr w14:paraId="3DFFE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55" w:type="dxa"/>
            <w:gridSpan w:val="6"/>
            <w:vAlign w:val="center"/>
          </w:tcPr>
          <w:p w14:paraId="30E823A6">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遴选响应</w:t>
            </w:r>
            <w:r>
              <w:rPr>
                <w:rFonts w:hint="eastAsia" w:ascii="宋体" w:hAnsi="宋体" w:eastAsia="宋体" w:cs="宋体"/>
                <w:sz w:val="21"/>
                <w:szCs w:val="21"/>
                <w:vertAlign w:val="baseline"/>
                <w:lang w:val="en-US" w:eastAsia="zh-CN"/>
              </w:rPr>
              <w:t>供应商相关人员情况</w:t>
            </w:r>
          </w:p>
        </w:tc>
      </w:tr>
      <w:tr w14:paraId="463C0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12" w:type="dxa"/>
            <w:vAlign w:val="center"/>
          </w:tcPr>
          <w:p w14:paraId="373F25C3">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2380" w:type="dxa"/>
            <w:vAlign w:val="center"/>
          </w:tcPr>
          <w:p w14:paraId="346A53CE">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职务</w:t>
            </w:r>
          </w:p>
        </w:tc>
        <w:tc>
          <w:tcPr>
            <w:tcW w:w="1205" w:type="dxa"/>
            <w:vAlign w:val="center"/>
          </w:tcPr>
          <w:p w14:paraId="7C4C48BB">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1583" w:type="dxa"/>
            <w:vAlign w:val="center"/>
          </w:tcPr>
          <w:p w14:paraId="39702C57">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身份证号码</w:t>
            </w:r>
          </w:p>
        </w:tc>
        <w:tc>
          <w:tcPr>
            <w:tcW w:w="1583" w:type="dxa"/>
            <w:vAlign w:val="center"/>
          </w:tcPr>
          <w:p w14:paraId="5B3B2D2E">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劳动合同</w:t>
            </w:r>
            <w:r>
              <w:rPr>
                <w:rFonts w:hint="eastAsia" w:ascii="宋体" w:hAnsi="宋体" w:cs="宋体"/>
                <w:sz w:val="21"/>
                <w:szCs w:val="21"/>
                <w:vertAlign w:val="baseline"/>
                <w:lang w:val="en-US" w:eastAsia="zh-CN"/>
              </w:rPr>
              <w:t xml:space="preserve">    </w:t>
            </w:r>
            <w:r>
              <w:rPr>
                <w:rFonts w:hint="eastAsia" w:ascii="宋体" w:hAnsi="宋体" w:eastAsia="宋体" w:cs="宋体"/>
                <w:sz w:val="21"/>
                <w:szCs w:val="21"/>
                <w:vertAlign w:val="baseline"/>
                <w:lang w:val="en-US" w:eastAsia="zh-CN"/>
              </w:rPr>
              <w:t>关系单位</w:t>
            </w:r>
          </w:p>
        </w:tc>
        <w:tc>
          <w:tcPr>
            <w:tcW w:w="1892" w:type="dxa"/>
            <w:vAlign w:val="center"/>
          </w:tcPr>
          <w:p w14:paraId="3629417E">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缴纳社会</w:t>
            </w:r>
          </w:p>
          <w:p w14:paraId="6DC40D51">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保险单位</w:t>
            </w:r>
          </w:p>
        </w:tc>
      </w:tr>
      <w:tr w14:paraId="3217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12" w:type="dxa"/>
            <w:vAlign w:val="center"/>
          </w:tcPr>
          <w:p w14:paraId="5D405B29">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380" w:type="dxa"/>
            <w:vAlign w:val="center"/>
          </w:tcPr>
          <w:p w14:paraId="2A71D688">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法定代表人/单位负责人/主要经营负责人</w:t>
            </w:r>
          </w:p>
        </w:tc>
        <w:tc>
          <w:tcPr>
            <w:tcW w:w="1205" w:type="dxa"/>
            <w:vAlign w:val="center"/>
          </w:tcPr>
          <w:p w14:paraId="6E7A5BB8">
            <w:pPr>
              <w:bidi w:val="0"/>
              <w:spacing w:line="360" w:lineRule="auto"/>
              <w:jc w:val="center"/>
              <w:rPr>
                <w:rFonts w:hint="eastAsia" w:ascii="宋体" w:hAnsi="宋体" w:eastAsia="宋体" w:cs="宋体"/>
                <w:sz w:val="21"/>
                <w:szCs w:val="21"/>
                <w:vertAlign w:val="baseline"/>
              </w:rPr>
            </w:pPr>
          </w:p>
        </w:tc>
        <w:tc>
          <w:tcPr>
            <w:tcW w:w="1583" w:type="dxa"/>
            <w:vAlign w:val="center"/>
          </w:tcPr>
          <w:p w14:paraId="193FE523">
            <w:pPr>
              <w:bidi w:val="0"/>
              <w:spacing w:line="360" w:lineRule="auto"/>
              <w:jc w:val="center"/>
              <w:rPr>
                <w:rFonts w:hint="eastAsia" w:ascii="宋体" w:hAnsi="宋体" w:eastAsia="宋体" w:cs="宋体"/>
                <w:sz w:val="21"/>
                <w:szCs w:val="21"/>
                <w:vertAlign w:val="baseline"/>
              </w:rPr>
            </w:pPr>
          </w:p>
        </w:tc>
        <w:tc>
          <w:tcPr>
            <w:tcW w:w="1583" w:type="dxa"/>
            <w:vAlign w:val="center"/>
          </w:tcPr>
          <w:p w14:paraId="483A26E6">
            <w:pPr>
              <w:bidi w:val="0"/>
              <w:spacing w:line="360" w:lineRule="auto"/>
              <w:jc w:val="center"/>
              <w:rPr>
                <w:rFonts w:hint="eastAsia" w:ascii="宋体" w:hAnsi="宋体" w:eastAsia="宋体" w:cs="宋体"/>
                <w:sz w:val="21"/>
                <w:szCs w:val="21"/>
                <w:vertAlign w:val="baseline"/>
              </w:rPr>
            </w:pPr>
          </w:p>
        </w:tc>
        <w:tc>
          <w:tcPr>
            <w:tcW w:w="1892" w:type="dxa"/>
            <w:vAlign w:val="center"/>
          </w:tcPr>
          <w:p w14:paraId="65FD7B42">
            <w:pPr>
              <w:bidi w:val="0"/>
              <w:spacing w:line="360" w:lineRule="auto"/>
              <w:jc w:val="center"/>
              <w:rPr>
                <w:rFonts w:hint="eastAsia" w:ascii="宋体" w:hAnsi="宋体" w:eastAsia="宋体" w:cs="宋体"/>
                <w:sz w:val="21"/>
                <w:szCs w:val="21"/>
                <w:vertAlign w:val="baseline"/>
              </w:rPr>
            </w:pPr>
          </w:p>
        </w:tc>
      </w:tr>
      <w:tr w14:paraId="022A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12" w:type="dxa"/>
            <w:vAlign w:val="center"/>
          </w:tcPr>
          <w:p w14:paraId="598D9931">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2380" w:type="dxa"/>
            <w:vAlign w:val="center"/>
          </w:tcPr>
          <w:p w14:paraId="7997FEF1">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w:t>
            </w:r>
            <w:r>
              <w:rPr>
                <w:rFonts w:hint="eastAsia" w:ascii="宋体" w:hAnsi="宋体" w:cs="宋体"/>
                <w:sz w:val="21"/>
                <w:szCs w:val="21"/>
                <w:vertAlign w:val="baseline"/>
                <w:lang w:val="en-US" w:eastAsia="zh-CN"/>
              </w:rPr>
              <w:t>遴选响应</w:t>
            </w:r>
            <w:r>
              <w:rPr>
                <w:rFonts w:hint="eastAsia" w:ascii="宋体" w:hAnsi="宋体" w:eastAsia="宋体" w:cs="宋体"/>
                <w:sz w:val="21"/>
                <w:szCs w:val="21"/>
                <w:vertAlign w:val="baseline"/>
                <w:lang w:val="en-US" w:eastAsia="zh-CN"/>
              </w:rPr>
              <w:t>授权代表人</w:t>
            </w:r>
          </w:p>
        </w:tc>
        <w:tc>
          <w:tcPr>
            <w:tcW w:w="1205" w:type="dxa"/>
            <w:vAlign w:val="center"/>
          </w:tcPr>
          <w:p w14:paraId="767793D4">
            <w:pPr>
              <w:bidi w:val="0"/>
              <w:spacing w:line="360" w:lineRule="auto"/>
              <w:jc w:val="center"/>
              <w:rPr>
                <w:rFonts w:hint="eastAsia" w:ascii="宋体" w:hAnsi="宋体" w:eastAsia="宋体" w:cs="宋体"/>
                <w:sz w:val="21"/>
                <w:szCs w:val="21"/>
                <w:vertAlign w:val="baseline"/>
              </w:rPr>
            </w:pPr>
          </w:p>
        </w:tc>
        <w:tc>
          <w:tcPr>
            <w:tcW w:w="1583" w:type="dxa"/>
            <w:vAlign w:val="center"/>
          </w:tcPr>
          <w:p w14:paraId="69F19B57">
            <w:pPr>
              <w:bidi w:val="0"/>
              <w:spacing w:line="360" w:lineRule="auto"/>
              <w:jc w:val="center"/>
              <w:rPr>
                <w:rFonts w:hint="eastAsia" w:ascii="宋体" w:hAnsi="宋体" w:eastAsia="宋体" w:cs="宋体"/>
                <w:sz w:val="21"/>
                <w:szCs w:val="21"/>
                <w:vertAlign w:val="baseline"/>
              </w:rPr>
            </w:pPr>
          </w:p>
        </w:tc>
        <w:tc>
          <w:tcPr>
            <w:tcW w:w="1583" w:type="dxa"/>
            <w:vAlign w:val="center"/>
          </w:tcPr>
          <w:p w14:paraId="2F47493C">
            <w:pPr>
              <w:bidi w:val="0"/>
              <w:spacing w:line="360" w:lineRule="auto"/>
              <w:jc w:val="center"/>
              <w:rPr>
                <w:rFonts w:hint="eastAsia" w:ascii="宋体" w:hAnsi="宋体" w:eastAsia="宋体" w:cs="宋体"/>
                <w:sz w:val="21"/>
                <w:szCs w:val="21"/>
                <w:vertAlign w:val="baseline"/>
              </w:rPr>
            </w:pPr>
          </w:p>
        </w:tc>
        <w:tc>
          <w:tcPr>
            <w:tcW w:w="1892" w:type="dxa"/>
            <w:vAlign w:val="center"/>
          </w:tcPr>
          <w:p w14:paraId="6D911DD1">
            <w:pPr>
              <w:bidi w:val="0"/>
              <w:spacing w:line="360" w:lineRule="auto"/>
              <w:jc w:val="center"/>
              <w:rPr>
                <w:rFonts w:hint="eastAsia" w:ascii="宋体" w:hAnsi="宋体" w:eastAsia="宋体" w:cs="宋体"/>
                <w:sz w:val="21"/>
                <w:szCs w:val="21"/>
                <w:vertAlign w:val="baseline"/>
              </w:rPr>
            </w:pPr>
          </w:p>
        </w:tc>
      </w:tr>
      <w:tr w14:paraId="4BE6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012" w:type="dxa"/>
            <w:vAlign w:val="center"/>
          </w:tcPr>
          <w:p w14:paraId="18ED7805">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2380" w:type="dxa"/>
            <w:vAlign w:val="center"/>
          </w:tcPr>
          <w:p w14:paraId="593D6D8D">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项目负责人</w:t>
            </w:r>
          </w:p>
        </w:tc>
        <w:tc>
          <w:tcPr>
            <w:tcW w:w="1205" w:type="dxa"/>
            <w:vAlign w:val="center"/>
          </w:tcPr>
          <w:p w14:paraId="007C1172">
            <w:pPr>
              <w:bidi w:val="0"/>
              <w:spacing w:line="360" w:lineRule="auto"/>
              <w:jc w:val="center"/>
              <w:rPr>
                <w:rFonts w:hint="eastAsia" w:ascii="宋体" w:hAnsi="宋体" w:eastAsia="宋体" w:cs="宋体"/>
                <w:sz w:val="21"/>
                <w:szCs w:val="21"/>
                <w:vertAlign w:val="baseline"/>
              </w:rPr>
            </w:pPr>
          </w:p>
        </w:tc>
        <w:tc>
          <w:tcPr>
            <w:tcW w:w="1583" w:type="dxa"/>
            <w:vAlign w:val="center"/>
          </w:tcPr>
          <w:p w14:paraId="6C0051F4">
            <w:pPr>
              <w:bidi w:val="0"/>
              <w:spacing w:line="360" w:lineRule="auto"/>
              <w:jc w:val="center"/>
              <w:rPr>
                <w:rFonts w:hint="eastAsia" w:ascii="宋体" w:hAnsi="宋体" w:eastAsia="宋体" w:cs="宋体"/>
                <w:sz w:val="21"/>
                <w:szCs w:val="21"/>
                <w:vertAlign w:val="baseline"/>
              </w:rPr>
            </w:pPr>
          </w:p>
        </w:tc>
        <w:tc>
          <w:tcPr>
            <w:tcW w:w="1583" w:type="dxa"/>
            <w:vAlign w:val="center"/>
          </w:tcPr>
          <w:p w14:paraId="148729EF">
            <w:pPr>
              <w:bidi w:val="0"/>
              <w:spacing w:line="360" w:lineRule="auto"/>
              <w:jc w:val="center"/>
              <w:rPr>
                <w:rFonts w:hint="eastAsia" w:ascii="宋体" w:hAnsi="宋体" w:eastAsia="宋体" w:cs="宋体"/>
                <w:sz w:val="21"/>
                <w:szCs w:val="21"/>
                <w:vertAlign w:val="baseline"/>
              </w:rPr>
            </w:pPr>
          </w:p>
        </w:tc>
        <w:tc>
          <w:tcPr>
            <w:tcW w:w="1892" w:type="dxa"/>
            <w:vAlign w:val="center"/>
          </w:tcPr>
          <w:p w14:paraId="69FE0359">
            <w:pPr>
              <w:bidi w:val="0"/>
              <w:spacing w:line="360" w:lineRule="auto"/>
              <w:jc w:val="center"/>
              <w:rPr>
                <w:rFonts w:hint="eastAsia" w:ascii="宋体" w:hAnsi="宋体" w:eastAsia="宋体" w:cs="宋体"/>
                <w:sz w:val="21"/>
                <w:szCs w:val="21"/>
                <w:vertAlign w:val="baseline"/>
              </w:rPr>
            </w:pPr>
          </w:p>
        </w:tc>
      </w:tr>
      <w:tr w14:paraId="4101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12" w:type="dxa"/>
            <w:vAlign w:val="center"/>
          </w:tcPr>
          <w:p w14:paraId="7732C98C">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2380" w:type="dxa"/>
            <w:vAlign w:val="center"/>
          </w:tcPr>
          <w:p w14:paraId="223622D8">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主要技术人员</w:t>
            </w:r>
          </w:p>
        </w:tc>
        <w:tc>
          <w:tcPr>
            <w:tcW w:w="1205" w:type="dxa"/>
            <w:vAlign w:val="center"/>
          </w:tcPr>
          <w:p w14:paraId="17DEDBF0">
            <w:pPr>
              <w:bidi w:val="0"/>
              <w:spacing w:line="360" w:lineRule="auto"/>
              <w:jc w:val="center"/>
              <w:rPr>
                <w:rFonts w:hint="eastAsia" w:ascii="宋体" w:hAnsi="宋体" w:eastAsia="宋体" w:cs="宋体"/>
                <w:sz w:val="21"/>
                <w:szCs w:val="21"/>
                <w:vertAlign w:val="baseline"/>
              </w:rPr>
            </w:pPr>
          </w:p>
        </w:tc>
        <w:tc>
          <w:tcPr>
            <w:tcW w:w="1583" w:type="dxa"/>
            <w:vAlign w:val="center"/>
          </w:tcPr>
          <w:p w14:paraId="7D102E78">
            <w:pPr>
              <w:bidi w:val="0"/>
              <w:spacing w:line="360" w:lineRule="auto"/>
              <w:jc w:val="center"/>
              <w:rPr>
                <w:rFonts w:hint="eastAsia" w:ascii="宋体" w:hAnsi="宋体" w:eastAsia="宋体" w:cs="宋体"/>
                <w:sz w:val="21"/>
                <w:szCs w:val="21"/>
                <w:vertAlign w:val="baseline"/>
              </w:rPr>
            </w:pPr>
          </w:p>
        </w:tc>
        <w:tc>
          <w:tcPr>
            <w:tcW w:w="1583" w:type="dxa"/>
            <w:vAlign w:val="center"/>
          </w:tcPr>
          <w:p w14:paraId="75A708A7">
            <w:pPr>
              <w:bidi w:val="0"/>
              <w:spacing w:line="360" w:lineRule="auto"/>
              <w:jc w:val="center"/>
              <w:rPr>
                <w:rFonts w:hint="eastAsia" w:ascii="宋体" w:hAnsi="宋体" w:eastAsia="宋体" w:cs="宋体"/>
                <w:sz w:val="21"/>
                <w:szCs w:val="21"/>
                <w:vertAlign w:val="baseline"/>
              </w:rPr>
            </w:pPr>
          </w:p>
        </w:tc>
        <w:tc>
          <w:tcPr>
            <w:tcW w:w="1892" w:type="dxa"/>
            <w:vAlign w:val="center"/>
          </w:tcPr>
          <w:p w14:paraId="450CDBC5">
            <w:pPr>
              <w:bidi w:val="0"/>
              <w:spacing w:line="360" w:lineRule="auto"/>
              <w:jc w:val="center"/>
              <w:rPr>
                <w:rFonts w:hint="eastAsia" w:ascii="宋体" w:hAnsi="宋体" w:eastAsia="宋体" w:cs="宋体"/>
                <w:sz w:val="21"/>
                <w:szCs w:val="21"/>
                <w:vertAlign w:val="baseline"/>
              </w:rPr>
            </w:pPr>
          </w:p>
        </w:tc>
      </w:tr>
      <w:tr w14:paraId="2C184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12" w:type="dxa"/>
            <w:vAlign w:val="center"/>
          </w:tcPr>
          <w:p w14:paraId="77676A10">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2380" w:type="dxa"/>
            <w:vAlign w:val="center"/>
          </w:tcPr>
          <w:p w14:paraId="5C3EEB06">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遴选响应文件</w:t>
            </w:r>
            <w:r>
              <w:rPr>
                <w:rFonts w:hint="eastAsia" w:ascii="宋体" w:hAnsi="宋体" w:eastAsia="宋体" w:cs="宋体"/>
                <w:sz w:val="21"/>
                <w:szCs w:val="21"/>
                <w:vertAlign w:val="baseline"/>
                <w:lang w:val="en-US" w:eastAsia="zh-CN"/>
              </w:rPr>
              <w:t>编制人员</w:t>
            </w:r>
          </w:p>
        </w:tc>
        <w:tc>
          <w:tcPr>
            <w:tcW w:w="1205" w:type="dxa"/>
            <w:vAlign w:val="center"/>
          </w:tcPr>
          <w:p w14:paraId="7C3B831F">
            <w:pPr>
              <w:bidi w:val="0"/>
              <w:spacing w:line="360" w:lineRule="auto"/>
              <w:jc w:val="center"/>
              <w:rPr>
                <w:rFonts w:hint="eastAsia" w:ascii="宋体" w:hAnsi="宋体" w:eastAsia="宋体" w:cs="宋体"/>
                <w:sz w:val="21"/>
                <w:szCs w:val="21"/>
                <w:vertAlign w:val="baseline"/>
              </w:rPr>
            </w:pPr>
          </w:p>
        </w:tc>
        <w:tc>
          <w:tcPr>
            <w:tcW w:w="1583" w:type="dxa"/>
            <w:vAlign w:val="center"/>
          </w:tcPr>
          <w:p w14:paraId="39CE7BCD">
            <w:pPr>
              <w:bidi w:val="0"/>
              <w:spacing w:line="360" w:lineRule="auto"/>
              <w:jc w:val="center"/>
              <w:rPr>
                <w:rFonts w:hint="eastAsia" w:ascii="宋体" w:hAnsi="宋体" w:eastAsia="宋体" w:cs="宋体"/>
                <w:sz w:val="21"/>
                <w:szCs w:val="21"/>
                <w:vertAlign w:val="baseline"/>
              </w:rPr>
            </w:pPr>
          </w:p>
        </w:tc>
        <w:tc>
          <w:tcPr>
            <w:tcW w:w="1583" w:type="dxa"/>
            <w:vAlign w:val="center"/>
          </w:tcPr>
          <w:p w14:paraId="6B629900">
            <w:pPr>
              <w:bidi w:val="0"/>
              <w:spacing w:line="360" w:lineRule="auto"/>
              <w:jc w:val="center"/>
              <w:rPr>
                <w:rFonts w:hint="eastAsia" w:ascii="宋体" w:hAnsi="宋体" w:eastAsia="宋体" w:cs="宋体"/>
                <w:sz w:val="21"/>
                <w:szCs w:val="21"/>
                <w:vertAlign w:val="baseline"/>
              </w:rPr>
            </w:pPr>
          </w:p>
        </w:tc>
        <w:tc>
          <w:tcPr>
            <w:tcW w:w="1892" w:type="dxa"/>
            <w:vAlign w:val="center"/>
          </w:tcPr>
          <w:p w14:paraId="4BC94FC8">
            <w:pPr>
              <w:bidi w:val="0"/>
              <w:spacing w:line="360" w:lineRule="auto"/>
              <w:jc w:val="center"/>
              <w:rPr>
                <w:rFonts w:hint="eastAsia" w:ascii="宋体" w:hAnsi="宋体" w:eastAsia="宋体" w:cs="宋体"/>
                <w:sz w:val="21"/>
                <w:szCs w:val="21"/>
                <w:vertAlign w:val="baseline"/>
              </w:rPr>
            </w:pPr>
          </w:p>
        </w:tc>
      </w:tr>
      <w:tr w14:paraId="4357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55" w:type="dxa"/>
            <w:gridSpan w:val="6"/>
            <w:vAlign w:val="center"/>
          </w:tcPr>
          <w:p w14:paraId="69A32B79">
            <w:pPr>
              <w:bidi w:val="0"/>
              <w:spacing w:line="360" w:lineRule="auto"/>
              <w:jc w:val="left"/>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说明：同一职务有多人担任（如主要技术人员），应分行填写。</w:t>
            </w:r>
          </w:p>
        </w:tc>
      </w:tr>
      <w:tr w14:paraId="26AC9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55" w:type="dxa"/>
            <w:gridSpan w:val="6"/>
            <w:vAlign w:val="center"/>
          </w:tcPr>
          <w:p w14:paraId="6746E5D2">
            <w:pPr>
              <w:bidi w:val="0"/>
              <w:spacing w:line="360" w:lineRule="auto"/>
              <w:jc w:val="center"/>
              <w:rPr>
                <w:rFonts w:hint="eastAsia" w:ascii="宋体" w:hAnsi="宋体" w:eastAsia="宋体" w:cs="宋体"/>
                <w:sz w:val="21"/>
                <w:szCs w:val="21"/>
                <w:vertAlign w:val="baseline"/>
              </w:rPr>
            </w:pPr>
            <w:r>
              <w:rPr>
                <w:rFonts w:hint="eastAsia" w:ascii="宋体" w:hAnsi="宋体" w:cs="宋体"/>
                <w:b/>
                <w:bCs/>
                <w:sz w:val="21"/>
                <w:szCs w:val="21"/>
                <w:vertAlign w:val="baseline"/>
                <w:lang w:eastAsia="zh-CN"/>
              </w:rPr>
              <w:t>遴选响应</w:t>
            </w:r>
            <w:r>
              <w:rPr>
                <w:rFonts w:hint="eastAsia" w:ascii="宋体" w:hAnsi="宋体" w:eastAsia="宋体" w:cs="宋体"/>
                <w:b/>
                <w:bCs/>
                <w:sz w:val="21"/>
                <w:szCs w:val="21"/>
                <w:vertAlign w:val="baseline"/>
              </w:rPr>
              <w:t>供应商关联关系情况</w:t>
            </w:r>
          </w:p>
        </w:tc>
      </w:tr>
      <w:tr w14:paraId="4A44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012" w:type="dxa"/>
            <w:vAlign w:val="center"/>
          </w:tcPr>
          <w:p w14:paraId="75341A74">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3585" w:type="dxa"/>
            <w:gridSpan w:val="2"/>
            <w:vAlign w:val="center"/>
          </w:tcPr>
          <w:p w14:paraId="56B9B2CF">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关联关系类型</w:t>
            </w:r>
          </w:p>
        </w:tc>
        <w:tc>
          <w:tcPr>
            <w:tcW w:w="1583" w:type="dxa"/>
            <w:vAlign w:val="center"/>
          </w:tcPr>
          <w:p w14:paraId="46A24EFC">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关联主体名称</w:t>
            </w:r>
          </w:p>
        </w:tc>
        <w:tc>
          <w:tcPr>
            <w:tcW w:w="3475" w:type="dxa"/>
            <w:gridSpan w:val="2"/>
            <w:vAlign w:val="center"/>
          </w:tcPr>
          <w:p w14:paraId="5E2022A6">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备注</w:t>
            </w:r>
          </w:p>
        </w:tc>
      </w:tr>
      <w:tr w14:paraId="75732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jc w:val="center"/>
        </w:trPr>
        <w:tc>
          <w:tcPr>
            <w:tcW w:w="2012" w:type="dxa"/>
            <w:vAlign w:val="center"/>
          </w:tcPr>
          <w:p w14:paraId="600701E1">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585" w:type="dxa"/>
            <w:gridSpan w:val="2"/>
            <w:vAlign w:val="center"/>
          </w:tcPr>
          <w:p w14:paraId="566EF645">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控股股东</w:t>
            </w:r>
          </w:p>
        </w:tc>
        <w:tc>
          <w:tcPr>
            <w:tcW w:w="1583" w:type="dxa"/>
            <w:vAlign w:val="center"/>
          </w:tcPr>
          <w:p w14:paraId="6992A4CF">
            <w:pPr>
              <w:bidi w:val="0"/>
              <w:spacing w:line="360" w:lineRule="auto"/>
              <w:jc w:val="center"/>
              <w:rPr>
                <w:rFonts w:hint="eastAsia" w:ascii="宋体" w:hAnsi="宋体" w:eastAsia="宋体" w:cs="宋体"/>
                <w:sz w:val="21"/>
                <w:szCs w:val="21"/>
                <w:vertAlign w:val="baseline"/>
              </w:rPr>
            </w:pPr>
          </w:p>
        </w:tc>
        <w:tc>
          <w:tcPr>
            <w:tcW w:w="3475" w:type="dxa"/>
            <w:gridSpan w:val="2"/>
            <w:vAlign w:val="center"/>
          </w:tcPr>
          <w:p w14:paraId="6B2E6F38">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指出资额（或持有股份）占</w:t>
            </w:r>
            <w:r>
              <w:rPr>
                <w:rFonts w:hint="eastAsia" w:ascii="宋体" w:hAnsi="宋体" w:cs="宋体"/>
                <w:sz w:val="21"/>
                <w:szCs w:val="21"/>
                <w:vertAlign w:val="baseline"/>
                <w:lang w:eastAsia="zh-CN"/>
              </w:rPr>
              <w:t>响应</w:t>
            </w:r>
            <w:r>
              <w:rPr>
                <w:rFonts w:hint="eastAsia" w:ascii="宋体" w:hAnsi="宋体" w:eastAsia="宋体" w:cs="宋体"/>
                <w:sz w:val="21"/>
                <w:szCs w:val="21"/>
                <w:vertAlign w:val="baseline"/>
              </w:rPr>
              <w:t>供应商资本总额（或股本总额）50%以上的股东，以及出资额（或持有股份）的比例虽然不足50%，但依其出资额（或持有股份）所享有的表决权已足以对</w:t>
            </w:r>
            <w:r>
              <w:rPr>
                <w:rFonts w:hint="eastAsia" w:ascii="宋体" w:hAnsi="宋体" w:cs="宋体"/>
                <w:sz w:val="21"/>
                <w:szCs w:val="21"/>
                <w:vertAlign w:val="baseline"/>
                <w:lang w:eastAsia="zh-CN"/>
              </w:rPr>
              <w:t>响应</w:t>
            </w:r>
            <w:r>
              <w:rPr>
                <w:rFonts w:hint="eastAsia" w:ascii="宋体" w:hAnsi="宋体" w:eastAsia="宋体" w:cs="宋体"/>
                <w:sz w:val="21"/>
                <w:szCs w:val="21"/>
                <w:vertAlign w:val="baseline"/>
              </w:rPr>
              <w:t>供应商股东会（或股东大会）的决议产生重要影响的股东。</w:t>
            </w:r>
          </w:p>
        </w:tc>
      </w:tr>
      <w:tr w14:paraId="2A445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012" w:type="dxa"/>
            <w:vAlign w:val="center"/>
          </w:tcPr>
          <w:p w14:paraId="0304A5E9">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3585" w:type="dxa"/>
            <w:gridSpan w:val="2"/>
            <w:vAlign w:val="center"/>
          </w:tcPr>
          <w:p w14:paraId="4A83AFC2">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管理关系</w:t>
            </w:r>
          </w:p>
        </w:tc>
        <w:tc>
          <w:tcPr>
            <w:tcW w:w="1583" w:type="dxa"/>
            <w:vAlign w:val="center"/>
          </w:tcPr>
          <w:p w14:paraId="50071E40">
            <w:pPr>
              <w:bidi w:val="0"/>
              <w:spacing w:line="360" w:lineRule="auto"/>
              <w:jc w:val="center"/>
              <w:rPr>
                <w:rFonts w:hint="eastAsia" w:ascii="宋体" w:hAnsi="宋体" w:eastAsia="宋体" w:cs="宋体"/>
                <w:sz w:val="21"/>
                <w:szCs w:val="21"/>
                <w:vertAlign w:val="baseline"/>
              </w:rPr>
            </w:pPr>
          </w:p>
        </w:tc>
        <w:tc>
          <w:tcPr>
            <w:tcW w:w="3475" w:type="dxa"/>
            <w:gridSpan w:val="2"/>
            <w:vAlign w:val="center"/>
          </w:tcPr>
          <w:p w14:paraId="2A7418A5">
            <w:pPr>
              <w:bidi w:val="0"/>
              <w:spacing w:line="360" w:lineRule="auto"/>
              <w:jc w:val="center"/>
              <w:rPr>
                <w:rFonts w:hint="eastAsia" w:ascii="宋体" w:hAnsi="宋体" w:eastAsia="宋体" w:cs="宋体"/>
                <w:sz w:val="21"/>
                <w:szCs w:val="21"/>
                <w:vertAlign w:val="baseline"/>
              </w:rPr>
            </w:pPr>
            <w:r>
              <w:rPr>
                <w:rFonts w:hint="eastAsia" w:cs="方正仿宋_GBK" w:asciiTheme="minorEastAsia" w:hAnsiTheme="minorEastAsia" w:eastAsiaTheme="minorEastAsia"/>
                <w:szCs w:val="21"/>
              </w:rPr>
              <w:t>指对</w:t>
            </w:r>
            <w:r>
              <w:rPr>
                <w:rFonts w:hint="eastAsia" w:cs="方正仿宋_GBK" w:asciiTheme="minorEastAsia" w:hAnsiTheme="minorEastAsia" w:eastAsiaTheme="minorEastAsia"/>
                <w:szCs w:val="21"/>
                <w:lang w:eastAsia="zh-CN"/>
              </w:rPr>
              <w:t>响应</w:t>
            </w:r>
            <w:r>
              <w:rPr>
                <w:rFonts w:hint="eastAsia" w:cs="方正仿宋_GBK" w:asciiTheme="minorEastAsia" w:hAnsiTheme="minorEastAsia" w:eastAsiaTheme="minorEastAsia"/>
                <w:szCs w:val="21"/>
              </w:rPr>
              <w:t>供应商不具有出资持股关系，但对其存在管理关系的主体。</w:t>
            </w:r>
          </w:p>
        </w:tc>
      </w:tr>
      <w:tr w14:paraId="0F6F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55" w:type="dxa"/>
            <w:gridSpan w:val="6"/>
            <w:vAlign w:val="center"/>
          </w:tcPr>
          <w:p w14:paraId="257A4A10">
            <w:pPr>
              <w:bidi w:val="0"/>
              <w:spacing w:line="360" w:lineRule="auto"/>
              <w:jc w:val="left"/>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说明：同一关联关系类型有多个主体的，应分行填写。</w:t>
            </w:r>
          </w:p>
        </w:tc>
      </w:tr>
      <w:bookmarkEnd w:id="67"/>
      <w:bookmarkEnd w:id="68"/>
      <w:bookmarkEnd w:id="69"/>
      <w:bookmarkEnd w:id="70"/>
    </w:tbl>
    <w:p w14:paraId="1183AAF7">
      <w:pPr>
        <w:widowControl/>
        <w:jc w:val="left"/>
        <w:rPr>
          <w:b/>
          <w:sz w:val="24"/>
        </w:rPr>
      </w:pPr>
    </w:p>
    <w:p w14:paraId="76C3BE37">
      <w:pPr>
        <w:pStyle w:val="3"/>
        <w:numPr>
          <w:ilvl w:val="0"/>
          <w:numId w:val="0"/>
        </w:numPr>
        <w:spacing w:line="240" w:lineRule="auto"/>
        <w:ind w:left="420" w:leftChars="0" w:hanging="420" w:firstLineChars="0"/>
        <w:jc w:val="center"/>
        <w:rPr>
          <w:rFonts w:asciiTheme="majorEastAsia" w:hAnsiTheme="majorEastAsia" w:eastAsiaTheme="majorEastAsia"/>
          <w:color w:val="auto"/>
          <w:sz w:val="30"/>
          <w:szCs w:val="30"/>
        </w:rPr>
      </w:pPr>
      <w:bookmarkStart w:id="71" w:name="_承诺函"/>
      <w:bookmarkEnd w:id="71"/>
      <w:bookmarkStart w:id="72" w:name="_Toc2074"/>
      <w:bookmarkStart w:id="73" w:name="_Toc23695"/>
      <w:bookmarkStart w:id="74" w:name="_Toc6583"/>
      <w:bookmarkStart w:id="75" w:name="_Toc12936"/>
      <w:r>
        <w:rPr>
          <w:rFonts w:hint="eastAsia" w:cs="宋体" w:asciiTheme="majorEastAsia" w:hAnsiTheme="majorEastAsia" w:eastAsiaTheme="majorEastAsia"/>
          <w:color w:val="auto"/>
          <w:kern w:val="2"/>
          <w:sz w:val="30"/>
          <w:szCs w:val="30"/>
          <w:lang w:val="en-US" w:eastAsia="zh-CN" w:bidi="ar-SA"/>
        </w:rPr>
        <w:t>（七）</w:t>
      </w:r>
      <w:r>
        <w:rPr>
          <w:rFonts w:hint="eastAsia" w:asciiTheme="majorEastAsia" w:hAnsiTheme="majorEastAsia" w:eastAsiaTheme="majorEastAsia"/>
          <w:sz w:val="30"/>
          <w:szCs w:val="30"/>
        </w:rPr>
        <w:t>符合政府采</w:t>
      </w:r>
      <w:r>
        <w:rPr>
          <w:rFonts w:hint="eastAsia" w:asciiTheme="majorEastAsia" w:hAnsiTheme="majorEastAsia" w:eastAsiaTheme="majorEastAsia"/>
          <w:color w:val="auto"/>
          <w:sz w:val="30"/>
          <w:szCs w:val="30"/>
        </w:rPr>
        <w:t>购优惠政策的证明材料</w:t>
      </w:r>
      <w:bookmarkEnd w:id="72"/>
      <w:bookmarkEnd w:id="73"/>
      <w:bookmarkEnd w:id="74"/>
      <w:bookmarkEnd w:id="75"/>
    </w:p>
    <w:p w14:paraId="02229216">
      <w:pPr>
        <w:spacing w:line="360" w:lineRule="exact"/>
        <w:rPr>
          <w:b/>
          <w:bCs/>
          <w:color w:val="auto"/>
        </w:rPr>
      </w:pPr>
      <w:r>
        <w:rPr>
          <w:rFonts w:hint="eastAsia" w:ascii="黑体" w:hAnsi="宋体" w:eastAsia="黑体"/>
          <w:bCs/>
          <w:color w:val="auto"/>
          <w:szCs w:val="32"/>
        </w:rPr>
        <w:t>备注：该部分内容由供应商根据自身情况提供相关内容，不符合要求的供应商可以不提供。</w:t>
      </w:r>
    </w:p>
    <w:p w14:paraId="5C981CD0">
      <w:pPr>
        <w:pStyle w:val="127"/>
        <w:spacing w:before="120" w:after="120" w:line="276" w:lineRule="auto"/>
        <w:ind w:left="0" w:leftChars="0" w:firstLine="0" w:firstLineChars="0"/>
        <w:rPr>
          <w:rFonts w:hint="eastAsia"/>
          <w:b/>
          <w:color w:val="auto"/>
          <w:sz w:val="24"/>
        </w:rPr>
      </w:pPr>
    </w:p>
    <w:p w14:paraId="4B1D9CBC">
      <w:pPr>
        <w:pStyle w:val="127"/>
        <w:spacing w:before="120" w:after="120" w:line="276" w:lineRule="auto"/>
        <w:ind w:firstLine="482"/>
        <w:rPr>
          <w:rFonts w:hint="eastAsia" w:ascii="宋体" w:hAnsi="宋体" w:eastAsia="宋体" w:cs="宋体"/>
          <w:bCs/>
          <w:color w:val="auto"/>
          <w:kern w:val="0"/>
          <w:sz w:val="24"/>
          <w:szCs w:val="24"/>
          <w:highlight w:val="none"/>
        </w:rPr>
      </w:pPr>
      <w:r>
        <w:rPr>
          <w:rFonts w:hint="eastAsia"/>
          <w:b/>
          <w:color w:val="auto"/>
          <w:sz w:val="24"/>
        </w:rPr>
        <w:t>填写指引：</w:t>
      </w:r>
    </w:p>
    <w:p w14:paraId="7DBF2140">
      <w:pPr>
        <w:spacing w:after="0" w:afterLines="0" w:line="360" w:lineRule="exact"/>
        <w:ind w:right="420" w:rightChars="200" w:firstLine="420" w:firstLineChars="200"/>
        <w:outlineLvl w:val="9"/>
        <w:rPr>
          <w:rFonts w:hint="eastAsia"/>
          <w:color w:val="auto"/>
        </w:rPr>
      </w:pPr>
      <w:r>
        <w:rPr>
          <w:rFonts w:hint="eastAsia"/>
          <w:color w:val="auto"/>
        </w:rPr>
        <w:t>1、该部分内容由</w:t>
      </w:r>
      <w:r>
        <w:rPr>
          <w:rFonts w:hint="eastAsia"/>
          <w:color w:val="auto"/>
          <w:lang w:eastAsia="zh-CN"/>
        </w:rPr>
        <w:t>遴选响应方</w:t>
      </w:r>
      <w:r>
        <w:rPr>
          <w:rFonts w:hint="eastAsia"/>
          <w:color w:val="auto"/>
        </w:rPr>
        <w:t>根据自身实际情况填写，不符合要求的</w:t>
      </w:r>
      <w:r>
        <w:rPr>
          <w:rFonts w:hint="eastAsia"/>
          <w:color w:val="auto"/>
          <w:lang w:eastAsia="zh-CN"/>
        </w:rPr>
        <w:t>遴选响应方</w:t>
      </w:r>
      <w:r>
        <w:rPr>
          <w:rFonts w:hint="eastAsia"/>
          <w:color w:val="auto"/>
        </w:rPr>
        <w:t>可以不填写或直接删除相应的声明函。</w:t>
      </w:r>
      <w:r>
        <w:rPr>
          <w:rFonts w:hint="eastAsia"/>
          <w:color w:val="auto"/>
          <w:lang w:eastAsia="zh-CN"/>
        </w:rPr>
        <w:t>遴选响应方</w:t>
      </w:r>
      <w:r>
        <w:rPr>
          <w:rFonts w:hint="eastAsia"/>
          <w:color w:val="auto"/>
        </w:rPr>
        <w:t>提供的声明函不属实的，属于提供虚假资料谋取</w:t>
      </w:r>
      <w:r>
        <w:rPr>
          <w:rFonts w:hint="eastAsia"/>
          <w:color w:val="auto"/>
          <w:lang w:eastAsia="zh-CN"/>
        </w:rPr>
        <w:t>中选</w:t>
      </w:r>
      <w:r>
        <w:rPr>
          <w:rFonts w:hint="eastAsia"/>
          <w:color w:val="auto"/>
        </w:rPr>
        <w:t>，依照《中华人民共和国政府采购法》等国家有关规定追究相应责任。</w:t>
      </w:r>
    </w:p>
    <w:p w14:paraId="75617E08">
      <w:pPr>
        <w:ind w:right="420" w:rightChars="200" w:firstLine="420" w:firstLineChars="200"/>
        <w:outlineLvl w:val="9"/>
        <w:rPr>
          <w:rFonts w:hint="eastAsia"/>
          <w:color w:val="auto"/>
        </w:rPr>
      </w:pPr>
      <w:r>
        <w:rPr>
          <w:rFonts w:hint="eastAsia"/>
          <w:color w:val="auto"/>
        </w:rPr>
        <w:t>2、该部分内容填写需要参考的相关文件：</w:t>
      </w:r>
    </w:p>
    <w:p w14:paraId="64954CAC">
      <w:pPr>
        <w:ind w:right="420" w:righ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(1)财政部《政府采购促进中小企业发展管理办法》（财库〔2020〕46号）；</w:t>
      </w:r>
    </w:p>
    <w:p w14:paraId="6707DBC9">
      <w:pPr>
        <w:ind w:right="420" w:righ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(2)《工业和信息化部、国家统计局、国家发展和改革委员会、财政部关于印发中小企业划型标准规定的通知》（工信部联企业〔2011〕300 号，以下简称300号文）</w:t>
      </w:r>
      <w:r>
        <w:rPr>
          <w:rFonts w:hint="eastAsia" w:ascii="宋体" w:hAnsi="宋体" w:eastAsia="宋体" w:cs="宋体"/>
          <w:color w:val="auto"/>
          <w:sz w:val="21"/>
          <w:szCs w:val="21"/>
          <w:lang w:eastAsia="zh-CN"/>
        </w:rPr>
        <w:t>；</w:t>
      </w:r>
    </w:p>
    <w:p w14:paraId="694DC4B5">
      <w:pPr>
        <w:ind w:right="420" w:rightChars="20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(3)《统计上大中小微型企业划分办法(2017)》（国统字〔2017〕213 号）</w:t>
      </w:r>
      <w:r>
        <w:rPr>
          <w:rFonts w:hint="eastAsia" w:ascii="宋体" w:hAnsi="宋体" w:eastAsia="宋体" w:cs="宋体"/>
          <w:color w:val="auto"/>
          <w:sz w:val="21"/>
          <w:szCs w:val="21"/>
          <w:lang w:eastAsia="zh-CN"/>
        </w:rPr>
        <w:t>；</w:t>
      </w:r>
    </w:p>
    <w:p w14:paraId="2989B0D2">
      <w:pPr>
        <w:ind w:right="420" w:rightChars="20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(4)《关于促进残疾人就业政府采购政策的通知》（财库〔2017〕141号）</w:t>
      </w:r>
      <w:r>
        <w:rPr>
          <w:rFonts w:hint="eastAsia" w:ascii="宋体" w:hAnsi="宋体" w:eastAsia="宋体" w:cs="宋体"/>
          <w:color w:val="auto"/>
          <w:sz w:val="21"/>
          <w:szCs w:val="21"/>
          <w:lang w:eastAsia="zh-CN"/>
        </w:rPr>
        <w:t>；</w:t>
      </w:r>
    </w:p>
    <w:p w14:paraId="3C13DDC9">
      <w:pPr>
        <w:ind w:right="420" w:rightChars="20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(5)《关于政府采购支持监狱企业发展有关问题的通知》（财库〔2014〕68号）</w:t>
      </w:r>
      <w:r>
        <w:rPr>
          <w:rFonts w:hint="eastAsia" w:ascii="宋体" w:hAnsi="宋体" w:eastAsia="宋体" w:cs="宋体"/>
          <w:color w:val="auto"/>
          <w:sz w:val="21"/>
          <w:szCs w:val="21"/>
          <w:lang w:eastAsia="zh-CN"/>
        </w:rPr>
        <w:t>。</w:t>
      </w:r>
    </w:p>
    <w:p w14:paraId="66F6DBBB">
      <w:pPr>
        <w:spacing w:after="0" w:afterLines="0" w:line="360" w:lineRule="exact"/>
        <w:ind w:right="420" w:rightChars="200" w:firstLine="420" w:firstLineChars="200"/>
        <w:outlineLvl w:val="9"/>
        <w:rPr>
          <w:rFonts w:hint="eastAsia"/>
          <w:color w:val="auto"/>
        </w:rPr>
      </w:pPr>
      <w:r>
        <w:rPr>
          <w:rFonts w:hint="eastAsia"/>
          <w:color w:val="auto"/>
        </w:rPr>
        <w:t>3、请依照提供的格式和内容填写声明函，不要随意变更格式；满足多项优惠政策的</w:t>
      </w:r>
      <w:r>
        <w:rPr>
          <w:rFonts w:hint="eastAsia"/>
          <w:color w:val="auto"/>
          <w:lang w:eastAsia="zh-CN"/>
        </w:rPr>
        <w:t>遴选响应方</w:t>
      </w:r>
      <w:r>
        <w:rPr>
          <w:rFonts w:hint="eastAsia"/>
          <w:color w:val="auto"/>
        </w:rPr>
        <w:t>，不重复享受多项价格扣除政策。</w:t>
      </w:r>
    </w:p>
    <w:p w14:paraId="100CD60A">
      <w:pPr>
        <w:spacing w:after="0" w:afterLines="0" w:line="360" w:lineRule="exact"/>
        <w:ind w:right="420" w:rightChars="200" w:firstLine="420" w:firstLineChars="200"/>
        <w:outlineLvl w:val="9"/>
        <w:rPr>
          <w:rFonts w:hint="eastAsia"/>
          <w:color w:val="auto"/>
        </w:rPr>
      </w:pPr>
      <w:r>
        <w:rPr>
          <w:rFonts w:hint="eastAsia"/>
          <w:color w:val="auto"/>
        </w:rPr>
        <w:t>4、声明函具体填写要求：</w:t>
      </w:r>
    </w:p>
    <w:p w14:paraId="5AB7E822">
      <w:pPr>
        <w:spacing w:after="0" w:afterLines="0" w:line="360" w:lineRule="exact"/>
        <w:ind w:right="420" w:rightChars="200" w:firstLine="420" w:firstLineChars="200"/>
        <w:outlineLvl w:val="9"/>
        <w:rPr>
          <w:rFonts w:hint="eastAsia"/>
          <w:color w:val="auto"/>
        </w:rPr>
      </w:pPr>
      <w:r>
        <w:rPr>
          <w:rFonts w:hint="eastAsia"/>
          <w:color w:val="auto"/>
        </w:rPr>
        <w:t>（1）声明是中小企业须填写《中小企业声明函》的以下内容：</w:t>
      </w:r>
    </w:p>
    <w:p w14:paraId="7741FA94">
      <w:pPr>
        <w:spacing w:after="0" w:afterLines="0" w:line="360" w:lineRule="exact"/>
        <w:ind w:right="420" w:rightChars="200" w:firstLine="420" w:firstLineChars="200"/>
        <w:outlineLvl w:val="9"/>
        <w:rPr>
          <w:rFonts w:hint="eastAsia"/>
          <w:color w:val="auto"/>
        </w:rPr>
      </w:pPr>
      <w:r>
        <w:rPr>
          <w:rFonts w:hint="eastAsia"/>
          <w:color w:val="auto"/>
        </w:rPr>
        <w:t>第一处，在</w:t>
      </w:r>
      <w:r>
        <w:rPr>
          <w:rFonts w:hint="eastAsia"/>
          <w:b/>
          <w:bCs/>
          <w:color w:val="auto"/>
        </w:rPr>
        <w:t>“单位名称”</w:t>
      </w:r>
      <w:r>
        <w:rPr>
          <w:rFonts w:hint="eastAsia"/>
          <w:color w:val="auto"/>
        </w:rPr>
        <w:t>下划线处如实填写</w:t>
      </w:r>
      <w:r>
        <w:rPr>
          <w:rFonts w:hint="eastAsia"/>
          <w:b/>
          <w:bCs/>
          <w:color w:val="auto"/>
        </w:rPr>
        <w:t>采购人名称</w:t>
      </w:r>
      <w:r>
        <w:rPr>
          <w:rFonts w:hint="eastAsia"/>
          <w:color w:val="auto"/>
        </w:rPr>
        <w:t>；</w:t>
      </w:r>
    </w:p>
    <w:p w14:paraId="40D70F64">
      <w:pPr>
        <w:spacing w:after="0" w:afterLines="0" w:line="360" w:lineRule="exact"/>
        <w:ind w:right="420" w:rightChars="200" w:firstLine="420" w:firstLineChars="200"/>
        <w:outlineLvl w:val="9"/>
        <w:rPr>
          <w:rFonts w:hint="eastAsia"/>
          <w:color w:val="auto"/>
        </w:rPr>
      </w:pPr>
      <w:r>
        <w:rPr>
          <w:rFonts w:hint="eastAsia"/>
          <w:color w:val="auto"/>
        </w:rPr>
        <w:t>第二处，在</w:t>
      </w:r>
      <w:r>
        <w:rPr>
          <w:rFonts w:hint="eastAsia"/>
          <w:b/>
          <w:bCs/>
          <w:color w:val="auto"/>
        </w:rPr>
        <w:t>“项目名称”</w:t>
      </w:r>
      <w:r>
        <w:rPr>
          <w:rFonts w:hint="eastAsia"/>
          <w:color w:val="auto"/>
        </w:rPr>
        <w:t>下划线处如实填写采购</w:t>
      </w:r>
      <w:r>
        <w:rPr>
          <w:rFonts w:hint="eastAsia"/>
          <w:b/>
          <w:bCs/>
          <w:color w:val="auto"/>
        </w:rPr>
        <w:t>项目名称（项目名称可在</w:t>
      </w:r>
      <w:r>
        <w:rPr>
          <w:rFonts w:hint="eastAsia"/>
          <w:b/>
          <w:bCs/>
          <w:color w:val="auto"/>
          <w:lang w:val="en-US" w:eastAsia="zh-CN"/>
        </w:rPr>
        <w:t>采购</w:t>
      </w:r>
      <w:r>
        <w:rPr>
          <w:rFonts w:hint="eastAsia"/>
          <w:b/>
          <w:bCs/>
          <w:color w:val="auto"/>
        </w:rPr>
        <w:t>公告处查看）</w:t>
      </w:r>
      <w:r>
        <w:rPr>
          <w:rFonts w:hint="eastAsia"/>
          <w:color w:val="auto"/>
        </w:rPr>
        <w:t>；</w:t>
      </w:r>
    </w:p>
    <w:p w14:paraId="65BD23A0">
      <w:pPr>
        <w:spacing w:after="0" w:afterLines="0" w:line="360" w:lineRule="exact"/>
        <w:ind w:right="420" w:rightChars="200" w:firstLine="420" w:firstLineChars="200"/>
        <w:outlineLvl w:val="9"/>
        <w:rPr>
          <w:rFonts w:hint="eastAsia"/>
          <w:color w:val="auto"/>
        </w:rPr>
      </w:pPr>
      <w:r>
        <w:rPr>
          <w:rFonts w:hint="eastAsia"/>
          <w:color w:val="auto"/>
        </w:rPr>
        <w:t>第三处，在</w:t>
      </w:r>
      <w:r>
        <w:rPr>
          <w:rFonts w:hint="eastAsia"/>
          <w:b/>
          <w:bCs/>
          <w:color w:val="auto"/>
        </w:rPr>
        <w:t>“标的名称”</w:t>
      </w:r>
      <w:r>
        <w:rPr>
          <w:rFonts w:hint="eastAsia"/>
          <w:color w:val="auto"/>
        </w:rPr>
        <w:t>下划线处填写所采购</w:t>
      </w:r>
      <w:r>
        <w:rPr>
          <w:rFonts w:hint="eastAsia"/>
          <w:color w:val="auto"/>
          <w:lang w:val="en-US" w:eastAsia="zh-CN"/>
        </w:rPr>
        <w:t>货物</w:t>
      </w:r>
      <w:r>
        <w:rPr>
          <w:rFonts w:hint="eastAsia"/>
          <w:color w:val="auto"/>
        </w:rPr>
        <w:t>（标的）的具体名称（</w:t>
      </w:r>
      <w:r>
        <w:rPr>
          <w:rFonts w:hint="eastAsia"/>
          <w:b/>
          <w:bCs/>
          <w:color w:val="auto"/>
        </w:rPr>
        <w:t>以</w:t>
      </w:r>
      <w:r>
        <w:rPr>
          <w:rFonts w:hint="eastAsia"/>
          <w:b/>
          <w:bCs/>
          <w:color w:val="auto"/>
          <w:lang w:val="en-US" w:eastAsia="zh-CN"/>
        </w:rPr>
        <w:t>遴选文件中</w:t>
      </w:r>
      <w:r>
        <w:rPr>
          <w:rFonts w:hint="eastAsia" w:ascii="Times New Roman" w:hAnsi="Times New Roman" w:eastAsia="宋体" w:cs="Times New Roman"/>
          <w:b/>
          <w:bCs/>
          <w:color w:val="auto"/>
        </w:rPr>
        <w:t>的“货物名称”一栏为准</w:t>
      </w:r>
      <w:r>
        <w:rPr>
          <w:rFonts w:hint="eastAsia" w:ascii="Times New Roman" w:hAnsi="Times New Roman" w:eastAsia="宋体" w:cs="Times New Roman"/>
          <w:color w:val="auto"/>
        </w:rPr>
        <w:t>）</w:t>
      </w:r>
      <w:r>
        <w:rPr>
          <w:rFonts w:hint="eastAsia"/>
          <w:color w:val="auto"/>
        </w:rPr>
        <w:t>；如果涉及多</w:t>
      </w:r>
      <w:r>
        <w:rPr>
          <w:rFonts w:hint="eastAsia"/>
          <w:color w:val="auto"/>
          <w:lang w:val="en-US" w:eastAsia="zh-CN"/>
        </w:rPr>
        <w:t>项货物</w:t>
      </w:r>
      <w:r>
        <w:rPr>
          <w:rFonts w:hint="eastAsia"/>
          <w:color w:val="auto"/>
        </w:rPr>
        <w:t>（标的）由同一企业制造，“标的名称”下划线处可以如实填写多</w:t>
      </w:r>
      <w:r>
        <w:rPr>
          <w:rFonts w:hint="eastAsia"/>
          <w:color w:val="auto"/>
          <w:lang w:val="en-US" w:eastAsia="zh-CN"/>
        </w:rPr>
        <w:t>项货物</w:t>
      </w:r>
      <w:r>
        <w:rPr>
          <w:rFonts w:hint="eastAsia"/>
          <w:color w:val="auto"/>
        </w:rPr>
        <w:t>；</w:t>
      </w:r>
    </w:p>
    <w:p w14:paraId="10F85C46">
      <w:pPr>
        <w:spacing w:after="0" w:afterLines="0" w:line="360" w:lineRule="exact"/>
        <w:ind w:right="420" w:rightChars="200" w:firstLine="420" w:firstLineChars="200"/>
        <w:outlineLvl w:val="9"/>
        <w:rPr>
          <w:rFonts w:hint="eastAsia"/>
          <w:color w:val="auto"/>
        </w:rPr>
      </w:pPr>
      <w:r>
        <w:rPr>
          <w:rFonts w:hint="eastAsia"/>
          <w:color w:val="auto"/>
        </w:rPr>
        <w:t>第四处，在</w:t>
      </w:r>
      <w:r>
        <w:rPr>
          <w:rFonts w:hint="eastAsia"/>
          <w:b/>
          <w:bCs/>
          <w:color w:val="auto"/>
        </w:rPr>
        <w:t>“</w:t>
      </w:r>
      <w:r>
        <w:rPr>
          <w:rFonts w:hint="eastAsia"/>
          <w:b/>
          <w:bCs/>
          <w:color w:val="auto"/>
          <w:lang w:val="en-US" w:eastAsia="zh-CN"/>
        </w:rPr>
        <w:t>遴选文件</w:t>
      </w:r>
      <w:r>
        <w:rPr>
          <w:rFonts w:hint="eastAsia"/>
          <w:b/>
          <w:bCs/>
          <w:color w:val="auto"/>
        </w:rPr>
        <w:t>中明确的所属行业”</w:t>
      </w:r>
      <w:r>
        <w:rPr>
          <w:rFonts w:hint="eastAsia"/>
          <w:color w:val="auto"/>
        </w:rPr>
        <w:t>下划线处填写采购标的对应的中小企业划分标准所属行业（</w:t>
      </w:r>
      <w:r>
        <w:rPr>
          <w:rFonts w:hint="eastAsia"/>
          <w:b/>
          <w:bCs/>
          <w:color w:val="auto"/>
        </w:rPr>
        <w:t>所属行业可在</w:t>
      </w:r>
      <w:r>
        <w:rPr>
          <w:rFonts w:hint="eastAsia"/>
          <w:b/>
          <w:bCs/>
          <w:color w:val="auto"/>
          <w:lang w:val="en-US" w:eastAsia="zh-CN"/>
        </w:rPr>
        <w:t>遴选文件中</w:t>
      </w:r>
      <w:r>
        <w:rPr>
          <w:rFonts w:hint="eastAsia"/>
          <w:b/>
          <w:bCs/>
          <w:color w:val="auto"/>
        </w:rPr>
        <w:t>查看</w:t>
      </w:r>
      <w:r>
        <w:rPr>
          <w:rFonts w:hint="eastAsia"/>
          <w:color w:val="auto"/>
        </w:rPr>
        <w:t>）；</w:t>
      </w:r>
    </w:p>
    <w:p w14:paraId="117EB2AF">
      <w:pPr>
        <w:spacing w:after="0" w:afterLines="0" w:line="360" w:lineRule="exact"/>
        <w:ind w:right="420" w:rightChars="200" w:firstLine="420" w:firstLineChars="200"/>
        <w:outlineLvl w:val="9"/>
        <w:rPr>
          <w:rFonts w:hint="eastAsia"/>
          <w:color w:val="auto"/>
        </w:rPr>
      </w:pPr>
      <w:r>
        <w:rPr>
          <w:rFonts w:hint="eastAsia"/>
          <w:color w:val="auto"/>
        </w:rPr>
        <w:t>第五处，在</w:t>
      </w:r>
      <w:r>
        <w:rPr>
          <w:rFonts w:hint="eastAsia"/>
          <w:b/>
          <w:bCs/>
          <w:color w:val="auto"/>
        </w:rPr>
        <w:t>“企业名称”</w:t>
      </w:r>
      <w:r>
        <w:rPr>
          <w:rFonts w:hint="eastAsia"/>
          <w:color w:val="auto"/>
        </w:rPr>
        <w:t>下划线处如实填写</w:t>
      </w:r>
      <w:r>
        <w:rPr>
          <w:rFonts w:hint="eastAsia" w:ascii="Times New Roman" w:hAnsi="Times New Roman" w:eastAsia="宋体" w:cs="Times New Roman"/>
          <w:b/>
          <w:bCs/>
          <w:color w:val="auto"/>
          <w:kern w:val="2"/>
          <w:szCs w:val="22"/>
        </w:rPr>
        <w:t>制造商</w:t>
      </w:r>
      <w:r>
        <w:rPr>
          <w:rFonts w:hint="eastAsia"/>
          <w:b/>
          <w:bCs/>
          <w:color w:val="auto"/>
        </w:rPr>
        <w:t>名称</w:t>
      </w:r>
      <w:r>
        <w:rPr>
          <w:rFonts w:hint="eastAsia"/>
          <w:color w:val="auto"/>
        </w:rPr>
        <w:t>；在“从业人员”、“营业收入”、“资产总额”下划线处如实填写从业人员、营业收入、资产总额；在“中型企业、小型企业、微型企业”下划线处如实依照300号文填写相应的企业类型；</w:t>
      </w:r>
      <w:r>
        <w:rPr>
          <w:rFonts w:hint="eastAsia"/>
          <w:b/>
          <w:bCs/>
          <w:color w:val="auto"/>
        </w:rPr>
        <w:t>从业人员、营业收入、资产总额填报上一年度数据，无上一年度数据的新成立企业可以不填报。</w:t>
      </w:r>
      <w:r>
        <w:rPr>
          <w:rFonts w:hint="eastAsia" w:ascii="宋体" w:hAnsi="宋体" w:eastAsia="宋体" w:cs="宋体"/>
          <w:b/>
          <w:bCs/>
          <w:color w:val="auto"/>
          <w:sz w:val="21"/>
          <w:szCs w:val="21"/>
        </w:rPr>
        <w:t>《中小企业声明函》中制造商所属行业应当与</w:t>
      </w:r>
      <w:r>
        <w:rPr>
          <w:rFonts w:hint="eastAsia" w:ascii="宋体" w:hAnsi="宋体" w:cs="宋体"/>
          <w:b/>
          <w:bCs/>
          <w:color w:val="auto"/>
          <w:sz w:val="21"/>
          <w:szCs w:val="21"/>
          <w:lang w:val="en-US" w:eastAsia="zh-CN"/>
        </w:rPr>
        <w:t>遴选文件</w:t>
      </w:r>
      <w:r>
        <w:rPr>
          <w:rFonts w:hint="eastAsia" w:ascii="宋体" w:hAnsi="宋体" w:eastAsia="宋体" w:cs="宋体"/>
          <w:b/>
          <w:bCs/>
          <w:color w:val="auto"/>
          <w:sz w:val="21"/>
          <w:szCs w:val="21"/>
        </w:rPr>
        <w:t>要求的行业相一致，</w:t>
      </w:r>
      <w:r>
        <w:rPr>
          <w:rFonts w:hint="eastAsia" w:ascii="宋体" w:hAnsi="宋体" w:eastAsia="宋体" w:cs="宋体"/>
          <w:color w:val="auto"/>
          <w:sz w:val="21"/>
          <w:szCs w:val="21"/>
        </w:rPr>
        <w:t>供应商如有疑问，可根据《国民经济行业分类》（GB/T 4754-2017），结合《关于印发中小企业划型标准规定的通知》（工信部联企业〔2011〕300号）进行判断。事业单位、社会组织等非企业主体不享受中小企业扶持政策。但事业单位、社会组织等非企业主体提供全部由中小企业制造的货物参加货物采购项目的除外。</w:t>
      </w:r>
    </w:p>
    <w:p w14:paraId="653E128D">
      <w:pPr>
        <w:spacing w:after="0" w:afterLines="0" w:line="360" w:lineRule="exact"/>
        <w:ind w:right="420" w:rightChars="200" w:firstLine="420" w:firstLineChars="200"/>
        <w:outlineLvl w:val="9"/>
        <w:rPr>
          <w:rFonts w:hint="eastAsia"/>
          <w:color w:val="auto"/>
        </w:rPr>
      </w:pPr>
      <w:r>
        <w:rPr>
          <w:rFonts w:hint="eastAsia"/>
          <w:color w:val="auto"/>
        </w:rPr>
        <w:t>（2）声明是残疾人福利性单位须填写《残疾人福利性单位声明函》的相关内容（填写位置的字体已加粗），具体参照以上《中小企业声明函》填写要求执行。</w:t>
      </w:r>
    </w:p>
    <w:p w14:paraId="772E21B9">
      <w:pPr>
        <w:spacing w:after="0" w:afterLines="0" w:line="360" w:lineRule="exact"/>
        <w:ind w:right="420" w:rightChars="200" w:firstLine="420" w:firstLineChars="200"/>
        <w:outlineLvl w:val="9"/>
        <w:rPr>
          <w:rFonts w:hint="eastAsia"/>
          <w:color w:val="auto"/>
        </w:rPr>
      </w:pPr>
      <w:r>
        <w:rPr>
          <w:rFonts w:hint="eastAsia"/>
          <w:color w:val="auto"/>
        </w:rPr>
        <w:t>（3）声明是监狱企业须填写《监狱企业声明函》的相关内容（填写位置的字体已加粗），具体参照以上《中小企业声明函》填写要求执行。</w:t>
      </w:r>
    </w:p>
    <w:p w14:paraId="34F8C19F">
      <w:pPr>
        <w:snapToGrid/>
        <w:spacing w:after="0" w:afterLines="0" w:line="360" w:lineRule="exact"/>
        <w:ind w:right="420" w:rightChars="200" w:firstLine="420" w:firstLineChars="200"/>
        <w:rPr>
          <w:rFonts w:ascii="宋体" w:hAnsi="宋体"/>
          <w:color w:val="auto"/>
          <w:szCs w:val="21"/>
        </w:rPr>
      </w:pPr>
      <w:r>
        <w:rPr>
          <w:rFonts w:hint="eastAsia"/>
          <w:color w:val="auto"/>
        </w:rPr>
        <w:t>5、若本项目属于专门面向中小企业、残疾人福利性单位或监狱企业，则声明函有效性由采购人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w:t>
      </w:r>
      <w:r>
        <w:rPr>
          <w:rFonts w:hint="eastAsia"/>
          <w:color w:val="auto"/>
          <w:lang w:eastAsia="zh-CN"/>
        </w:rPr>
        <w:t>遴选响应</w:t>
      </w:r>
      <w:r>
        <w:rPr>
          <w:rFonts w:hint="eastAsia"/>
          <w:color w:val="auto"/>
        </w:rPr>
        <w:t>无效处理）。</w:t>
      </w:r>
    </w:p>
    <w:p w14:paraId="04C31D22">
      <w:pPr>
        <w:pStyle w:val="16"/>
        <w:rPr>
          <w:color w:val="auto"/>
        </w:rPr>
      </w:pPr>
    </w:p>
    <w:p w14:paraId="04F8DE87">
      <w:pPr>
        <w:spacing w:after="60"/>
        <w:jc w:val="center"/>
        <w:outlineLvl w:val="9"/>
        <w:rPr>
          <w:b/>
          <w:color w:val="auto"/>
        </w:rPr>
      </w:pPr>
      <w:r>
        <w:rPr>
          <w:rFonts w:hint="eastAsia"/>
          <w:b/>
          <w:color w:val="auto"/>
        </w:rPr>
        <w:t>1、中小企业声明函</w:t>
      </w:r>
    </w:p>
    <w:p w14:paraId="260C3881">
      <w:pPr>
        <w:pStyle w:val="16"/>
        <w:spacing w:line="302" w:lineRule="auto"/>
        <w:ind w:right="-51" w:firstLine="412"/>
        <w:outlineLvl w:val="9"/>
        <w:rPr>
          <w:rFonts w:asciiTheme="minorEastAsia" w:hAnsiTheme="minorEastAsia"/>
          <w:color w:val="auto"/>
          <w:szCs w:val="21"/>
        </w:rPr>
      </w:pPr>
      <w:r>
        <w:rPr>
          <w:rFonts w:asciiTheme="minorEastAsia" w:hAnsiTheme="minorEastAsia"/>
          <w:color w:val="auto"/>
          <w:szCs w:val="21"/>
        </w:rPr>
        <w:t>本公司（联合体）郑重声明，根据《政府采购促进中小企业发展管理办法》（财库</w:t>
      </w:r>
      <w:r>
        <w:rPr>
          <w:rFonts w:hint="eastAsia" w:asciiTheme="minorEastAsia" w:hAnsiTheme="minorEastAsia"/>
          <w:color w:val="auto"/>
          <w:szCs w:val="21"/>
        </w:rPr>
        <w:t>﹝</w:t>
      </w:r>
      <w:r>
        <w:rPr>
          <w:rFonts w:asciiTheme="minorEastAsia" w:hAnsiTheme="minorEastAsia"/>
          <w:color w:val="auto"/>
          <w:szCs w:val="21"/>
        </w:rPr>
        <w:t>2020</w:t>
      </w:r>
      <w:r>
        <w:rPr>
          <w:rFonts w:hint="eastAsia" w:asciiTheme="minorEastAsia" w:hAnsiTheme="minorEastAsia"/>
          <w:color w:val="auto"/>
          <w:szCs w:val="21"/>
        </w:rPr>
        <w:t>﹞</w:t>
      </w:r>
      <w:r>
        <w:rPr>
          <w:rFonts w:asciiTheme="minorEastAsia" w:hAnsiTheme="minorEastAsia"/>
          <w:color w:val="auto"/>
          <w:szCs w:val="21"/>
        </w:rPr>
        <w:t>46 号）的规定，本公司（联合体）参加</w:t>
      </w:r>
      <w:r>
        <w:rPr>
          <w:rFonts w:asciiTheme="minorEastAsia" w:hAnsiTheme="minorEastAsia"/>
          <w:color w:val="auto"/>
          <w:szCs w:val="21"/>
          <w:u w:val="single"/>
        </w:rPr>
        <w:t>（单位名称）</w:t>
      </w:r>
      <w:r>
        <w:rPr>
          <w:rFonts w:asciiTheme="minorEastAsia" w:hAnsiTheme="minorEastAsia"/>
          <w:color w:val="auto"/>
          <w:szCs w:val="21"/>
        </w:rPr>
        <w:t>的</w:t>
      </w:r>
      <w:r>
        <w:rPr>
          <w:rFonts w:asciiTheme="minorEastAsia" w:hAnsiTheme="minorEastAsia"/>
          <w:color w:val="auto"/>
          <w:szCs w:val="21"/>
          <w:u w:val="single"/>
        </w:rPr>
        <w:t>（项目名称）</w:t>
      </w:r>
      <w:r>
        <w:rPr>
          <w:rFonts w:asciiTheme="minorEastAsia" w:hAnsiTheme="minorEastAsia"/>
          <w:color w:val="auto"/>
          <w:szCs w:val="21"/>
        </w:rPr>
        <w:t>采购活动，</w:t>
      </w:r>
      <w:r>
        <w:rPr>
          <w:rFonts w:hint="eastAsia" w:asciiTheme="minorEastAsia" w:hAnsiTheme="minorEastAsia"/>
          <w:color w:val="auto"/>
          <w:szCs w:val="21"/>
        </w:rPr>
        <w:t>提供的货物全部由符合政策要求的中小企业制造</w:t>
      </w:r>
      <w:r>
        <w:rPr>
          <w:rFonts w:asciiTheme="minorEastAsia" w:hAnsiTheme="minorEastAsia"/>
          <w:color w:val="auto"/>
          <w:szCs w:val="21"/>
        </w:rPr>
        <w:t>。相关企业（含联合体中的中小企业、签订分包意向协议的中小企业）的具体情况如下：</w:t>
      </w:r>
    </w:p>
    <w:p w14:paraId="2D1BF500">
      <w:pPr>
        <w:pStyle w:val="16"/>
        <w:spacing w:line="302" w:lineRule="auto"/>
        <w:ind w:right="-51" w:firstLine="412"/>
        <w:outlineLvl w:val="9"/>
        <w:rPr>
          <w:rFonts w:asciiTheme="minorEastAsia" w:hAnsiTheme="minorEastAsia"/>
          <w:color w:val="auto"/>
          <w:szCs w:val="21"/>
        </w:rPr>
      </w:pPr>
      <w:r>
        <w:rPr>
          <w:rFonts w:hint="eastAsia" w:asciiTheme="minorEastAsia" w:hAnsiTheme="minorEastAsia"/>
          <w:color w:val="auto"/>
          <w:szCs w:val="21"/>
        </w:rPr>
        <w:t xml:space="preserve">1. </w:t>
      </w:r>
      <w:r>
        <w:rPr>
          <w:rFonts w:asciiTheme="minorEastAsia" w:hAnsiTheme="minorEastAsia"/>
          <w:color w:val="auto"/>
          <w:szCs w:val="21"/>
          <w:u w:val="single"/>
        </w:rPr>
        <w:t>（标的名称）</w:t>
      </w:r>
      <w:r>
        <w:rPr>
          <w:rFonts w:asciiTheme="minorEastAsia" w:hAnsiTheme="minorEastAsia"/>
          <w:color w:val="auto"/>
          <w:szCs w:val="21"/>
        </w:rPr>
        <w:t>，属于</w:t>
      </w:r>
      <w:r>
        <w:rPr>
          <w:rFonts w:asciiTheme="minorEastAsia" w:hAnsiTheme="minorEastAsia"/>
          <w:color w:val="auto"/>
          <w:szCs w:val="21"/>
          <w:u w:val="single"/>
        </w:rPr>
        <w:t>（</w:t>
      </w:r>
      <w:r>
        <w:rPr>
          <w:rFonts w:hint="eastAsia" w:asciiTheme="minorEastAsia" w:hAnsiTheme="minorEastAsia"/>
          <w:color w:val="auto"/>
          <w:szCs w:val="21"/>
          <w:u w:val="single"/>
          <w:lang w:eastAsia="zh-CN"/>
        </w:rPr>
        <w:t>遴选文件</w:t>
      </w:r>
      <w:r>
        <w:rPr>
          <w:rFonts w:asciiTheme="minorEastAsia" w:hAnsiTheme="minorEastAsia"/>
          <w:color w:val="auto"/>
          <w:szCs w:val="21"/>
          <w:u w:val="single"/>
        </w:rPr>
        <w:t>中明确的所属行业）</w:t>
      </w:r>
      <w:r>
        <w:rPr>
          <w:rFonts w:hint="eastAsia" w:asciiTheme="minorEastAsia" w:hAnsiTheme="minorEastAsia"/>
          <w:color w:val="auto"/>
          <w:szCs w:val="21"/>
        </w:rPr>
        <w:t>行业</w:t>
      </w:r>
      <w:r>
        <w:rPr>
          <w:rFonts w:asciiTheme="minorEastAsia" w:hAnsiTheme="minorEastAsia"/>
          <w:color w:val="auto"/>
          <w:szCs w:val="21"/>
        </w:rPr>
        <w:t>；</w:t>
      </w:r>
      <w:r>
        <w:rPr>
          <w:rFonts w:hint="eastAsia" w:asciiTheme="minorEastAsia" w:hAnsiTheme="minorEastAsia"/>
          <w:color w:val="auto"/>
          <w:szCs w:val="21"/>
        </w:rPr>
        <w:t>制造商</w:t>
      </w:r>
      <w:r>
        <w:rPr>
          <w:rFonts w:asciiTheme="minorEastAsia" w:hAnsiTheme="minorEastAsia"/>
          <w:color w:val="auto"/>
          <w:szCs w:val="21"/>
        </w:rPr>
        <w:t>为</w:t>
      </w:r>
      <w:r>
        <w:rPr>
          <w:rFonts w:asciiTheme="minorEastAsia" w:hAnsiTheme="minorEastAsia"/>
          <w:color w:val="auto"/>
          <w:szCs w:val="21"/>
          <w:u w:val="single"/>
        </w:rPr>
        <w:t>（企业名称）</w:t>
      </w:r>
      <w:r>
        <w:rPr>
          <w:rFonts w:asciiTheme="minorEastAsia" w:hAnsiTheme="minorEastAsia"/>
          <w:color w:val="auto"/>
          <w:szCs w:val="21"/>
        </w:rPr>
        <w:t>，从业人员</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asciiTheme="minorEastAsia" w:hAnsiTheme="minorEastAsia"/>
          <w:color w:val="auto"/>
          <w:szCs w:val="21"/>
        </w:rPr>
        <w:t>人，营业收入为</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hint="eastAsia" w:asciiTheme="minorEastAsia" w:hAnsiTheme="minorEastAsia"/>
          <w:color w:val="auto"/>
          <w:szCs w:val="21"/>
          <w:u w:val="single"/>
        </w:rPr>
        <w:t xml:space="preserve">  </w:t>
      </w:r>
      <w:r>
        <w:rPr>
          <w:rFonts w:asciiTheme="minorEastAsia" w:hAnsiTheme="minorEastAsia"/>
          <w:color w:val="auto"/>
          <w:szCs w:val="21"/>
        </w:rPr>
        <w:t>万元，资产总额为</w:t>
      </w:r>
      <w:r>
        <w:rPr>
          <w:rFonts w:hint="eastAsia" w:asciiTheme="minorEastAsia" w:hAnsiTheme="minorEastAsia"/>
          <w:color w:val="auto"/>
          <w:szCs w:val="21"/>
          <w:u w:val="single"/>
        </w:rPr>
        <w:t xml:space="preserve">     </w:t>
      </w:r>
      <w:r>
        <w:rPr>
          <w:rFonts w:asciiTheme="minorEastAsia" w:hAnsiTheme="minorEastAsia"/>
          <w:color w:val="auto"/>
          <w:szCs w:val="21"/>
        </w:rPr>
        <w:t>万元，属于</w:t>
      </w:r>
      <w:r>
        <w:rPr>
          <w:rFonts w:asciiTheme="minorEastAsia" w:hAnsiTheme="minorEastAsia"/>
          <w:color w:val="auto"/>
          <w:szCs w:val="21"/>
          <w:u w:val="single"/>
        </w:rPr>
        <w:t>（中型企业、小型企业、微型企业）</w:t>
      </w:r>
      <w:r>
        <w:rPr>
          <w:rFonts w:asciiTheme="minorEastAsia" w:hAnsiTheme="minorEastAsia"/>
          <w:color w:val="auto"/>
          <w:szCs w:val="21"/>
        </w:rPr>
        <w:t>；</w:t>
      </w:r>
    </w:p>
    <w:p w14:paraId="55E4E598">
      <w:pPr>
        <w:pStyle w:val="16"/>
        <w:spacing w:line="302" w:lineRule="auto"/>
        <w:ind w:right="-51" w:firstLine="412"/>
        <w:outlineLvl w:val="9"/>
        <w:rPr>
          <w:rFonts w:asciiTheme="minorEastAsia" w:hAnsiTheme="minorEastAsia"/>
          <w:color w:val="auto"/>
          <w:szCs w:val="21"/>
        </w:rPr>
      </w:pPr>
      <w:r>
        <w:rPr>
          <w:rFonts w:hint="eastAsia" w:asciiTheme="minorEastAsia" w:hAnsiTheme="minorEastAsia"/>
          <w:color w:val="auto"/>
          <w:szCs w:val="21"/>
        </w:rPr>
        <w:t xml:space="preserve">2. </w:t>
      </w:r>
      <w:r>
        <w:rPr>
          <w:rFonts w:asciiTheme="minorEastAsia" w:hAnsiTheme="minorEastAsia"/>
          <w:color w:val="auto"/>
          <w:szCs w:val="21"/>
          <w:u w:val="single"/>
        </w:rPr>
        <w:t>（标的名称）</w:t>
      </w:r>
      <w:r>
        <w:rPr>
          <w:rFonts w:asciiTheme="minorEastAsia" w:hAnsiTheme="minorEastAsia"/>
          <w:color w:val="auto"/>
          <w:szCs w:val="21"/>
        </w:rPr>
        <w:t>，属于</w:t>
      </w:r>
      <w:r>
        <w:rPr>
          <w:rFonts w:asciiTheme="minorEastAsia" w:hAnsiTheme="minorEastAsia"/>
          <w:color w:val="auto"/>
          <w:szCs w:val="21"/>
          <w:u w:val="single"/>
        </w:rPr>
        <w:t>（</w:t>
      </w:r>
      <w:r>
        <w:rPr>
          <w:rFonts w:hint="eastAsia" w:asciiTheme="minorEastAsia" w:hAnsiTheme="minorEastAsia"/>
          <w:color w:val="auto"/>
          <w:szCs w:val="21"/>
          <w:u w:val="single"/>
          <w:lang w:eastAsia="zh-CN"/>
        </w:rPr>
        <w:t>遴选文件</w:t>
      </w:r>
      <w:r>
        <w:rPr>
          <w:rFonts w:asciiTheme="minorEastAsia" w:hAnsiTheme="minorEastAsia"/>
          <w:color w:val="auto"/>
          <w:szCs w:val="21"/>
          <w:u w:val="single"/>
        </w:rPr>
        <w:t>中明确的所属行业）</w:t>
      </w:r>
      <w:r>
        <w:rPr>
          <w:rFonts w:hint="eastAsia" w:asciiTheme="minorEastAsia" w:hAnsiTheme="minorEastAsia"/>
          <w:color w:val="auto"/>
          <w:szCs w:val="21"/>
        </w:rPr>
        <w:t>行业</w:t>
      </w:r>
      <w:r>
        <w:rPr>
          <w:rFonts w:asciiTheme="minorEastAsia" w:hAnsiTheme="minorEastAsia"/>
          <w:color w:val="auto"/>
          <w:szCs w:val="21"/>
        </w:rPr>
        <w:t>；</w:t>
      </w:r>
      <w:r>
        <w:rPr>
          <w:rFonts w:hint="eastAsia" w:asciiTheme="minorEastAsia" w:hAnsiTheme="minorEastAsia"/>
          <w:color w:val="auto"/>
          <w:szCs w:val="21"/>
        </w:rPr>
        <w:t>制造商</w:t>
      </w:r>
      <w:r>
        <w:rPr>
          <w:rFonts w:asciiTheme="minorEastAsia" w:hAnsiTheme="minorEastAsia"/>
          <w:color w:val="auto"/>
          <w:szCs w:val="21"/>
        </w:rPr>
        <w:t>为</w:t>
      </w:r>
      <w:r>
        <w:rPr>
          <w:rFonts w:asciiTheme="minorEastAsia" w:hAnsiTheme="minorEastAsia"/>
          <w:color w:val="auto"/>
          <w:szCs w:val="21"/>
          <w:u w:val="single"/>
        </w:rPr>
        <w:t>（企业名称）</w:t>
      </w:r>
      <w:r>
        <w:rPr>
          <w:rFonts w:asciiTheme="minorEastAsia" w:hAnsiTheme="minorEastAsia"/>
          <w:color w:val="auto"/>
          <w:szCs w:val="21"/>
        </w:rPr>
        <w:t>，从业人员</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asciiTheme="minorEastAsia" w:hAnsiTheme="minorEastAsia"/>
          <w:color w:val="auto"/>
          <w:szCs w:val="21"/>
        </w:rPr>
        <w:t>人，营业收入为</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hint="eastAsia" w:asciiTheme="minorEastAsia" w:hAnsiTheme="minorEastAsia"/>
          <w:color w:val="auto"/>
          <w:szCs w:val="21"/>
          <w:u w:val="single"/>
        </w:rPr>
        <w:t xml:space="preserve">  </w:t>
      </w:r>
      <w:r>
        <w:rPr>
          <w:rFonts w:asciiTheme="minorEastAsia" w:hAnsiTheme="minorEastAsia"/>
          <w:color w:val="auto"/>
          <w:szCs w:val="21"/>
        </w:rPr>
        <w:t>万元，资产总额为</w:t>
      </w:r>
      <w:r>
        <w:rPr>
          <w:rFonts w:hint="eastAsia" w:asciiTheme="minorEastAsia" w:hAnsiTheme="minorEastAsia"/>
          <w:color w:val="auto"/>
          <w:szCs w:val="21"/>
          <w:u w:val="single"/>
        </w:rPr>
        <w:t xml:space="preserve">     </w:t>
      </w:r>
      <w:r>
        <w:rPr>
          <w:rFonts w:asciiTheme="minorEastAsia" w:hAnsiTheme="minorEastAsia"/>
          <w:color w:val="auto"/>
          <w:szCs w:val="21"/>
        </w:rPr>
        <w:t>万元，属于</w:t>
      </w:r>
      <w:r>
        <w:rPr>
          <w:rFonts w:asciiTheme="minorEastAsia" w:hAnsiTheme="minorEastAsia"/>
          <w:color w:val="auto"/>
          <w:szCs w:val="21"/>
          <w:u w:val="single"/>
        </w:rPr>
        <w:t>（中型企业、小型企业、微型企业）</w:t>
      </w:r>
      <w:r>
        <w:rPr>
          <w:rFonts w:asciiTheme="minorEastAsia" w:hAnsiTheme="minorEastAsia"/>
          <w:color w:val="auto"/>
          <w:szCs w:val="21"/>
        </w:rPr>
        <w:t>；</w:t>
      </w:r>
    </w:p>
    <w:p w14:paraId="21CE4560">
      <w:pPr>
        <w:pStyle w:val="16"/>
        <w:spacing w:before="11"/>
        <w:ind w:right="-51" w:firstLine="424" w:firstLineChars="202"/>
        <w:outlineLvl w:val="9"/>
        <w:rPr>
          <w:rFonts w:asciiTheme="minorEastAsia" w:hAnsiTheme="minorEastAsia"/>
          <w:color w:val="auto"/>
          <w:szCs w:val="21"/>
        </w:rPr>
      </w:pPr>
      <w:r>
        <w:rPr>
          <w:rFonts w:asciiTheme="minorEastAsia" w:hAnsiTheme="minorEastAsia"/>
          <w:color w:val="auto"/>
          <w:szCs w:val="21"/>
        </w:rPr>
        <w:t>……</w:t>
      </w:r>
    </w:p>
    <w:p w14:paraId="0BA2A6F9">
      <w:pPr>
        <w:pStyle w:val="16"/>
        <w:spacing w:before="108" w:line="304" w:lineRule="auto"/>
        <w:ind w:right="-51" w:firstLine="408"/>
        <w:outlineLvl w:val="9"/>
        <w:rPr>
          <w:rFonts w:asciiTheme="minorEastAsia" w:hAnsiTheme="minorEastAsia"/>
          <w:color w:val="auto"/>
          <w:szCs w:val="21"/>
        </w:rPr>
      </w:pPr>
      <w:r>
        <w:rPr>
          <w:rFonts w:asciiTheme="minorEastAsia" w:hAnsiTheme="minorEastAsia"/>
          <w:color w:val="auto"/>
          <w:szCs w:val="21"/>
        </w:rPr>
        <w:t>以上企业，不属于大企业的分支机构，不存在控股股东为大企业的情形，也不存在与大企业的负责人为同一人的情形。</w:t>
      </w:r>
    </w:p>
    <w:p w14:paraId="3BE2077A">
      <w:pPr>
        <w:spacing w:line="360" w:lineRule="exact"/>
        <w:ind w:right="-51" w:firstLine="420" w:firstLineChars="200"/>
        <w:outlineLvl w:val="9"/>
        <w:rPr>
          <w:rFonts w:asciiTheme="minorEastAsia" w:hAnsiTheme="minorEastAsia"/>
          <w:color w:val="auto"/>
          <w:szCs w:val="21"/>
        </w:rPr>
      </w:pPr>
      <w:r>
        <w:rPr>
          <w:rFonts w:asciiTheme="minorEastAsia" w:hAnsiTheme="minorEastAsia"/>
          <w:color w:val="auto"/>
          <w:szCs w:val="21"/>
        </w:rPr>
        <w:t>本企业对上述声明内容的真实性负责。如有虚假，将依法承担相应责任</w:t>
      </w:r>
      <w:r>
        <w:rPr>
          <w:rFonts w:hint="eastAsia" w:asciiTheme="minorEastAsia" w:hAnsiTheme="minorEastAsia"/>
          <w:color w:val="auto"/>
          <w:szCs w:val="21"/>
        </w:rPr>
        <w:t>。</w:t>
      </w:r>
    </w:p>
    <w:p w14:paraId="7A5FADDD">
      <w:pPr>
        <w:spacing w:line="360" w:lineRule="exact"/>
        <w:ind w:right="-51" w:firstLine="420" w:firstLineChars="200"/>
        <w:outlineLvl w:val="9"/>
        <w:rPr>
          <w:rFonts w:asciiTheme="minorEastAsia" w:hAnsiTheme="minorEastAsia"/>
          <w:color w:val="auto"/>
          <w:szCs w:val="21"/>
        </w:rPr>
      </w:pPr>
      <w:r>
        <w:rPr>
          <w:rFonts w:hint="eastAsia" w:asciiTheme="minorEastAsia" w:hAnsiTheme="minorEastAsia"/>
          <w:color w:val="auto"/>
          <w:szCs w:val="21"/>
        </w:rPr>
        <w:t>本企业已知悉《政府采购促进中小企业发展管理办法》（财库〔2020〕46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w:t>
      </w:r>
      <w:r>
        <w:rPr>
          <w:rFonts w:hint="eastAsia" w:asciiTheme="minorEastAsia" w:hAnsiTheme="minorEastAsia"/>
          <w:color w:val="auto"/>
          <w:szCs w:val="21"/>
          <w:lang w:eastAsia="zh-CN"/>
        </w:rPr>
        <w:t>中选</w:t>
      </w:r>
      <w:r>
        <w:rPr>
          <w:rFonts w:hint="eastAsia" w:asciiTheme="minorEastAsia" w:hAnsiTheme="minorEastAsia"/>
          <w:color w:val="auto"/>
          <w:szCs w:val="21"/>
        </w:rPr>
        <w:t>、成交，依照《政府采购法》等政府采购有关法律法规规定追究相应责任。</w:t>
      </w:r>
    </w:p>
    <w:p w14:paraId="5A4D99C7">
      <w:pPr>
        <w:spacing w:line="360" w:lineRule="exact"/>
        <w:ind w:firstLine="420" w:firstLineChars="200"/>
        <w:outlineLvl w:val="9"/>
        <w:rPr>
          <w:rFonts w:asciiTheme="minorEastAsia" w:hAnsiTheme="minorEastAsia"/>
          <w:color w:val="auto"/>
          <w:szCs w:val="21"/>
        </w:rPr>
      </w:pPr>
    </w:p>
    <w:p w14:paraId="16CC9DE2">
      <w:pPr>
        <w:spacing w:line="360" w:lineRule="exact"/>
        <w:jc w:val="right"/>
        <w:outlineLvl w:val="9"/>
        <w:rPr>
          <w:color w:val="auto"/>
        </w:rPr>
      </w:pPr>
      <w:r>
        <w:rPr>
          <w:rFonts w:hint="eastAsia"/>
          <w:color w:val="auto"/>
          <w:szCs w:val="21"/>
        </w:rPr>
        <w:t xml:space="preserve">                             </w:t>
      </w:r>
      <w:r>
        <w:rPr>
          <w:rFonts w:hint="eastAsia"/>
          <w:color w:val="auto"/>
          <w:szCs w:val="21"/>
          <w:lang w:eastAsia="zh-CN"/>
        </w:rPr>
        <w:t>遴选响应方</w:t>
      </w:r>
      <w:r>
        <w:rPr>
          <w:rFonts w:hint="eastAsia"/>
          <w:color w:val="auto"/>
          <w:szCs w:val="21"/>
        </w:rPr>
        <w:t>：</w:t>
      </w:r>
    </w:p>
    <w:p w14:paraId="79996728">
      <w:pPr>
        <w:spacing w:line="360" w:lineRule="exact"/>
        <w:jc w:val="right"/>
        <w:outlineLvl w:val="9"/>
        <w:rPr>
          <w:rFonts w:ascii="宋体" w:hAnsi="宋体"/>
          <w:color w:val="auto"/>
          <w:szCs w:val="21"/>
        </w:rPr>
      </w:pPr>
      <w:r>
        <w:rPr>
          <w:rFonts w:hint="eastAsia" w:ascii="宋体" w:hAnsi="宋体"/>
          <w:color w:val="auto"/>
          <w:szCs w:val="21"/>
        </w:rPr>
        <w:t xml:space="preserve">                                     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1FC5DFF0">
      <w:pPr>
        <w:spacing w:line="360" w:lineRule="exact"/>
        <w:ind w:firstLine="420" w:firstLineChars="200"/>
        <w:outlineLvl w:val="9"/>
        <w:rPr>
          <w:rFonts w:ascii="宋体" w:hAnsi="宋体"/>
          <w:color w:val="auto"/>
          <w:szCs w:val="21"/>
        </w:rPr>
      </w:pPr>
      <w:r>
        <w:rPr>
          <w:rFonts w:hint="eastAsia" w:ascii="宋体" w:hAnsi="宋体"/>
          <w:color w:val="auto"/>
          <w:szCs w:val="21"/>
        </w:rPr>
        <w:t>备注：</w:t>
      </w:r>
    </w:p>
    <w:p w14:paraId="27AD37D7">
      <w:pPr>
        <w:spacing w:line="360" w:lineRule="exact"/>
        <w:ind w:firstLine="420" w:firstLineChars="200"/>
        <w:outlineLvl w:val="9"/>
        <w:rPr>
          <w:rFonts w:ascii="宋体" w:hAnsi="宋体"/>
          <w:color w:val="auto"/>
          <w:szCs w:val="21"/>
        </w:rPr>
      </w:pPr>
      <w:r>
        <w:rPr>
          <w:rFonts w:hint="eastAsia" w:ascii="宋体" w:hAnsi="宋体"/>
          <w:color w:val="auto"/>
          <w:szCs w:val="21"/>
        </w:rPr>
        <w:t>1、填写前请认真阅读《工业和信息化部、国家统计局、国家发展和改革委员会、财政部关于印发中小企业划型标准规定的通知》</w:t>
      </w:r>
      <w:r>
        <w:rPr>
          <w:rFonts w:ascii="宋体" w:hAnsi="宋体"/>
          <w:color w:val="auto"/>
          <w:szCs w:val="21"/>
        </w:rPr>
        <w:t>(</w:t>
      </w:r>
      <w:r>
        <w:rPr>
          <w:rFonts w:hint="eastAsia" w:ascii="宋体" w:hAnsi="宋体"/>
          <w:color w:val="auto"/>
          <w:szCs w:val="21"/>
        </w:rPr>
        <w:t>工信部联企业〔</w:t>
      </w:r>
      <w:r>
        <w:rPr>
          <w:rFonts w:ascii="宋体" w:hAnsi="宋体"/>
          <w:color w:val="auto"/>
          <w:szCs w:val="21"/>
        </w:rPr>
        <w:t>2011</w:t>
      </w:r>
      <w:r>
        <w:rPr>
          <w:rFonts w:hint="eastAsia" w:ascii="宋体" w:hAnsi="宋体"/>
          <w:color w:val="auto"/>
          <w:szCs w:val="21"/>
        </w:rPr>
        <w:t>〕</w:t>
      </w:r>
      <w:r>
        <w:rPr>
          <w:rFonts w:ascii="宋体" w:hAnsi="宋体"/>
          <w:color w:val="auto"/>
          <w:szCs w:val="21"/>
        </w:rPr>
        <w:t>300</w:t>
      </w:r>
      <w:r>
        <w:rPr>
          <w:rFonts w:hint="eastAsia" w:ascii="宋体" w:hAnsi="宋体"/>
          <w:color w:val="auto"/>
          <w:szCs w:val="21"/>
        </w:rPr>
        <w:t>号</w:t>
      </w:r>
      <w:r>
        <w:rPr>
          <w:rFonts w:ascii="宋体" w:hAnsi="宋体"/>
          <w:color w:val="auto"/>
          <w:szCs w:val="21"/>
        </w:rPr>
        <w:t>)</w:t>
      </w:r>
      <w:r>
        <w:rPr>
          <w:rFonts w:hint="eastAsia" w:ascii="宋体" w:hAnsi="宋体"/>
          <w:color w:val="auto"/>
          <w:szCs w:val="21"/>
        </w:rPr>
        <w:t>和《财政部 工业和信息化部关于印发《政府采购促进中小企业发展管理办法》的通知》</w:t>
      </w:r>
      <w:r>
        <w:rPr>
          <w:rFonts w:ascii="宋体" w:hAnsi="宋体"/>
          <w:color w:val="auto"/>
          <w:szCs w:val="21"/>
        </w:rPr>
        <w:t>(</w:t>
      </w:r>
      <w:r>
        <w:rPr>
          <w:rFonts w:hint="eastAsia" w:ascii="宋体" w:hAnsi="宋体"/>
          <w:color w:val="auto"/>
          <w:szCs w:val="21"/>
        </w:rPr>
        <w:t>财库〔2020〕46号</w:t>
      </w:r>
      <w:r>
        <w:rPr>
          <w:rFonts w:ascii="宋体" w:hAnsi="宋体"/>
          <w:color w:val="auto"/>
          <w:szCs w:val="21"/>
        </w:rPr>
        <w:t>)</w:t>
      </w:r>
      <w:r>
        <w:rPr>
          <w:rFonts w:hint="eastAsia" w:ascii="宋体" w:hAnsi="宋体"/>
          <w:color w:val="auto"/>
          <w:szCs w:val="21"/>
        </w:rPr>
        <w:t>相关规定。如不符合前述相关规定所确定的</w:t>
      </w:r>
      <w:r>
        <w:rPr>
          <w:rFonts w:hint="eastAsia" w:ascii="宋体" w:hAnsi="宋体"/>
          <w:b/>
          <w:color w:val="auto"/>
          <w:szCs w:val="21"/>
        </w:rPr>
        <w:t>小型和微型企业</w:t>
      </w:r>
      <w:r>
        <w:rPr>
          <w:rFonts w:hint="eastAsia" w:ascii="宋体" w:hAnsi="宋体"/>
          <w:color w:val="auto"/>
          <w:szCs w:val="21"/>
        </w:rPr>
        <w:t>，则不需要在</w:t>
      </w:r>
      <w:r>
        <w:rPr>
          <w:rFonts w:hint="eastAsia" w:ascii="宋体" w:hAnsi="宋体"/>
          <w:color w:val="auto"/>
          <w:szCs w:val="21"/>
          <w:lang w:eastAsia="zh-CN"/>
        </w:rPr>
        <w:t>遴选响应文件</w:t>
      </w:r>
      <w:r>
        <w:rPr>
          <w:rFonts w:hint="eastAsia" w:ascii="宋体" w:hAnsi="宋体"/>
          <w:color w:val="auto"/>
          <w:szCs w:val="21"/>
        </w:rPr>
        <w:t>中提供本《中小企业声明函》；若符合前述相关规定所确定的小型和微型企业，在</w:t>
      </w:r>
      <w:r>
        <w:rPr>
          <w:rFonts w:hint="eastAsia" w:ascii="宋体" w:hAnsi="宋体"/>
          <w:color w:val="auto"/>
          <w:szCs w:val="21"/>
          <w:lang w:eastAsia="zh-CN"/>
        </w:rPr>
        <w:t>遴选响应文件</w:t>
      </w:r>
      <w:r>
        <w:rPr>
          <w:rFonts w:hint="eastAsia" w:ascii="宋体" w:hAnsi="宋体"/>
          <w:color w:val="auto"/>
          <w:szCs w:val="21"/>
        </w:rPr>
        <w:t>中没有提供本《中小企业声明函》，视为在本项目中放弃政府采购政策扶持，不进行价格扣除。</w:t>
      </w:r>
    </w:p>
    <w:p w14:paraId="185F43C9">
      <w:pPr>
        <w:spacing w:line="360" w:lineRule="exact"/>
        <w:ind w:firstLine="420" w:firstLineChars="200"/>
        <w:outlineLvl w:val="9"/>
        <w:rPr>
          <w:rFonts w:ascii="宋体" w:hAnsi="宋体"/>
          <w:color w:val="auto"/>
          <w:szCs w:val="21"/>
        </w:rPr>
      </w:pPr>
      <w:r>
        <w:rPr>
          <w:rFonts w:hint="eastAsia" w:ascii="宋体" w:hAnsi="宋体"/>
          <w:color w:val="auto"/>
          <w:szCs w:val="21"/>
        </w:rPr>
        <w:t>2、从业人员、营业收入、资产总额填报上一年度数据，无上一年度数据的新成立企业可不填报。</w:t>
      </w:r>
    </w:p>
    <w:p w14:paraId="57A7B0AD">
      <w:pPr>
        <w:spacing w:line="360" w:lineRule="exact"/>
        <w:ind w:firstLine="420" w:firstLineChars="200"/>
        <w:outlineLvl w:val="9"/>
        <w:rPr>
          <w:rFonts w:ascii="宋体" w:hAnsi="宋体"/>
          <w:color w:val="auto"/>
          <w:szCs w:val="21"/>
        </w:rPr>
      </w:pPr>
      <w:r>
        <w:rPr>
          <w:rFonts w:hint="eastAsia" w:ascii="宋体" w:hAnsi="宋体"/>
          <w:color w:val="auto"/>
          <w:szCs w:val="21"/>
        </w:rPr>
        <w:t>3、供应商提供的货物既有中小企业制造货物，也有大型企业制造货物的，不享受中小企业扶持政策。</w:t>
      </w:r>
    </w:p>
    <w:p w14:paraId="5CFDC2F7">
      <w:pPr>
        <w:spacing w:after="60" w:line="360" w:lineRule="exact"/>
        <w:jc w:val="center"/>
        <w:outlineLvl w:val="9"/>
        <w:rPr>
          <w:b/>
          <w:color w:val="auto"/>
        </w:rPr>
      </w:pPr>
      <w:r>
        <w:rPr>
          <w:rFonts w:hint="eastAsia"/>
          <w:b/>
          <w:color w:val="auto"/>
        </w:rPr>
        <w:t>2、监狱企业声明函</w:t>
      </w:r>
    </w:p>
    <w:p w14:paraId="5BCD263D">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本单位郑重声明，根据《关于政府采购支持监狱企业发展有关问题的通知》（财库〔</w:t>
      </w:r>
      <w:r>
        <w:rPr>
          <w:rFonts w:ascii="宋体" w:hAnsi="宋体"/>
          <w:color w:val="auto"/>
          <w:szCs w:val="21"/>
        </w:rPr>
        <w:t>2014</w:t>
      </w:r>
      <w:r>
        <w:rPr>
          <w:rFonts w:hint="eastAsia" w:ascii="宋体" w:hAnsi="宋体"/>
          <w:color w:val="auto"/>
          <w:szCs w:val="21"/>
        </w:rPr>
        <w:t>〕</w:t>
      </w:r>
      <w:r>
        <w:rPr>
          <w:rFonts w:ascii="宋体" w:hAnsi="宋体"/>
          <w:color w:val="auto"/>
          <w:szCs w:val="21"/>
        </w:rPr>
        <w:t>68</w:t>
      </w:r>
      <w:r>
        <w:rPr>
          <w:rFonts w:hint="eastAsia" w:ascii="宋体" w:hAnsi="宋体"/>
          <w:color w:val="auto"/>
          <w:szCs w:val="21"/>
        </w:rPr>
        <w:t>号）的规定，本单位为符合条件的监狱企业。</w:t>
      </w:r>
    </w:p>
    <w:p w14:paraId="06AEB3D5">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本单位对上述声明的真实性负责。如有虚假，将依法承担相应责任。</w:t>
      </w:r>
    </w:p>
    <w:p w14:paraId="4CB4EBE4">
      <w:pPr>
        <w:spacing w:line="360" w:lineRule="exact"/>
        <w:outlineLvl w:val="9"/>
        <w:rPr>
          <w:color w:val="auto"/>
        </w:rPr>
      </w:pPr>
      <w:r>
        <w:rPr>
          <w:rFonts w:hint="eastAsia"/>
          <w:color w:val="auto"/>
          <w:szCs w:val="21"/>
          <w:lang w:eastAsia="zh-CN"/>
        </w:rPr>
        <w:t>遴选响应方</w:t>
      </w:r>
      <w:r>
        <w:rPr>
          <w:rFonts w:hint="eastAsia"/>
          <w:color w:val="auto"/>
          <w:szCs w:val="21"/>
        </w:rPr>
        <w:t>：</w:t>
      </w:r>
    </w:p>
    <w:p w14:paraId="50AE583F">
      <w:pPr>
        <w:spacing w:line="360" w:lineRule="exact"/>
        <w:outlineLvl w:val="9"/>
        <w:rPr>
          <w:rFonts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5D009A09">
      <w:pPr>
        <w:spacing w:line="360" w:lineRule="exact"/>
        <w:outlineLvl w:val="9"/>
        <w:rPr>
          <w:rFonts w:ascii="宋体"/>
          <w:b/>
          <w:color w:val="auto"/>
          <w:szCs w:val="21"/>
        </w:rPr>
      </w:pPr>
      <w:r>
        <w:rPr>
          <w:rFonts w:hint="eastAsia" w:ascii="宋体" w:hAnsi="宋体"/>
          <w:color w:val="auto"/>
          <w:szCs w:val="21"/>
        </w:rPr>
        <w:t xml:space="preserve">                                    </w:t>
      </w:r>
    </w:p>
    <w:p w14:paraId="674A5FF5">
      <w:pPr>
        <w:spacing w:after="60" w:line="360" w:lineRule="exact"/>
        <w:ind w:firstLine="422" w:firstLineChars="200"/>
        <w:outlineLvl w:val="9"/>
        <w:rPr>
          <w:rFonts w:ascii="宋体" w:hAnsi="宋体"/>
          <w:b/>
          <w:color w:val="auto"/>
          <w:szCs w:val="21"/>
        </w:rPr>
      </w:pPr>
      <w:r>
        <w:rPr>
          <w:rFonts w:hint="eastAsia" w:ascii="宋体" w:hAnsi="宋体"/>
          <w:b/>
          <w:color w:val="auto"/>
          <w:szCs w:val="21"/>
        </w:rPr>
        <w:t>附：省级以上监狱管理局、戒毒管理局（含新疆生产建设兵团）出具的监狱企业证明文件。</w:t>
      </w:r>
    </w:p>
    <w:p w14:paraId="3703EB32">
      <w:pPr>
        <w:spacing w:line="360" w:lineRule="exact"/>
        <w:ind w:firstLine="424" w:firstLineChars="202"/>
        <w:outlineLvl w:val="9"/>
        <w:rPr>
          <w:rFonts w:ascii="宋体" w:hAnsi="宋体"/>
          <w:color w:val="auto"/>
          <w:szCs w:val="21"/>
        </w:rPr>
      </w:pPr>
      <w:r>
        <w:rPr>
          <w:rFonts w:hint="eastAsia" w:ascii="宋体" w:hAnsi="宋体"/>
          <w:color w:val="auto"/>
          <w:szCs w:val="21"/>
        </w:rPr>
        <w:t>备注：填写前请认真阅读《财政部 司法部关于政府采购支持监狱企业发展有关问题的通知》（财库〔</w:t>
      </w:r>
      <w:r>
        <w:rPr>
          <w:rFonts w:ascii="宋体" w:hAnsi="宋体"/>
          <w:color w:val="auto"/>
          <w:szCs w:val="21"/>
        </w:rPr>
        <w:t>2014</w:t>
      </w:r>
      <w:r>
        <w:rPr>
          <w:rFonts w:hint="eastAsia" w:ascii="宋体" w:hAnsi="宋体"/>
          <w:color w:val="auto"/>
          <w:szCs w:val="21"/>
        </w:rPr>
        <w:t>〕</w:t>
      </w:r>
      <w:r>
        <w:rPr>
          <w:rFonts w:ascii="宋体" w:hAnsi="宋体"/>
          <w:color w:val="auto"/>
          <w:szCs w:val="21"/>
        </w:rPr>
        <w:t>68</w:t>
      </w:r>
      <w:r>
        <w:rPr>
          <w:rFonts w:hint="eastAsia" w:ascii="宋体" w:hAnsi="宋体"/>
          <w:color w:val="auto"/>
          <w:szCs w:val="21"/>
        </w:rPr>
        <w:t>号）相关规定。如不符合前述相关规定所确定的监狱企业，则不需要在</w:t>
      </w:r>
      <w:r>
        <w:rPr>
          <w:rFonts w:hint="eastAsia" w:ascii="宋体" w:hAnsi="宋体"/>
          <w:color w:val="auto"/>
          <w:szCs w:val="21"/>
          <w:lang w:eastAsia="zh-CN"/>
        </w:rPr>
        <w:t>遴选响应文件</w:t>
      </w:r>
      <w:r>
        <w:rPr>
          <w:rFonts w:hint="eastAsia" w:ascii="宋体" w:hAnsi="宋体"/>
          <w:color w:val="auto"/>
          <w:szCs w:val="21"/>
        </w:rPr>
        <w:t>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01353735">
      <w:pPr>
        <w:spacing w:after="60" w:line="360" w:lineRule="exact"/>
        <w:ind w:firstLine="420" w:firstLineChars="200"/>
        <w:outlineLvl w:val="9"/>
        <w:rPr>
          <w:rFonts w:ascii="宋体" w:hAnsi="宋体"/>
          <w:color w:val="auto"/>
          <w:szCs w:val="21"/>
        </w:rPr>
      </w:pPr>
      <w:r>
        <w:rPr>
          <w:rFonts w:hint="eastAsia" w:ascii="宋体" w:hAnsi="宋体"/>
          <w:color w:val="auto"/>
          <w:szCs w:val="21"/>
        </w:rPr>
        <w:t xml:space="preserve">                                     </w:t>
      </w:r>
    </w:p>
    <w:p w14:paraId="4B289F80">
      <w:pPr>
        <w:spacing w:after="60" w:line="360" w:lineRule="exact"/>
        <w:jc w:val="center"/>
        <w:outlineLvl w:val="9"/>
        <w:rPr>
          <w:b/>
          <w:bCs/>
          <w:color w:val="auto"/>
        </w:rPr>
      </w:pPr>
      <w:r>
        <w:rPr>
          <w:rFonts w:hint="eastAsia"/>
          <w:b/>
          <w:color w:val="auto"/>
        </w:rPr>
        <w:t>3、残疾人福利性单位声明函</w:t>
      </w:r>
    </w:p>
    <w:p w14:paraId="62A1F375">
      <w:pPr>
        <w:spacing w:line="360" w:lineRule="exact"/>
        <w:ind w:firstLine="420" w:firstLineChars="200"/>
        <w:outlineLvl w:val="9"/>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olor w:val="auto"/>
          <w:szCs w:val="21"/>
          <w:u w:val="single"/>
        </w:rPr>
        <w:t xml:space="preserve">    </w:t>
      </w:r>
      <w:r>
        <w:rPr>
          <w:rFonts w:hint="eastAsia" w:ascii="宋体" w:hAnsi="宋体"/>
          <w:color w:val="auto"/>
          <w:szCs w:val="21"/>
        </w:rPr>
        <w:t>单位的</w:t>
      </w:r>
      <w:r>
        <w:rPr>
          <w:rFonts w:hint="eastAsia" w:ascii="宋体" w:hAnsi="宋体"/>
          <w:color w:val="auto"/>
          <w:szCs w:val="21"/>
          <w:u w:val="single"/>
        </w:rPr>
        <w:t xml:space="preserve">            </w:t>
      </w:r>
      <w:r>
        <w:rPr>
          <w:rFonts w:hint="eastAsia" w:ascii="宋体" w:hAnsi="宋体"/>
          <w:color w:val="auto"/>
          <w:szCs w:val="21"/>
        </w:rPr>
        <w:t>项目采购活动提供本单位制造的货物，或者提供其他残疾人福利性单位制造的货物（不包括使用非残疾人福利性单位注册商标的货物）。</w:t>
      </w:r>
    </w:p>
    <w:p w14:paraId="6298693E">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本单位对上述声明的真实性负责。如有虚假，将依法承担相应责任。</w:t>
      </w:r>
    </w:p>
    <w:p w14:paraId="00507B23">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本单位知悉《关于促进残疾人就业政府采购政策的通知》（财库〔2017〕141 号）的规定，承诺提供的声明函内容是真实的，如提供声明函内容不实，则依法追究相关法律责任。</w:t>
      </w:r>
    </w:p>
    <w:p w14:paraId="312D2F0C">
      <w:pPr>
        <w:spacing w:line="360" w:lineRule="exact"/>
        <w:outlineLvl w:val="9"/>
        <w:rPr>
          <w:color w:val="auto"/>
        </w:rPr>
      </w:pPr>
      <w:r>
        <w:rPr>
          <w:rFonts w:hint="eastAsia"/>
          <w:color w:val="auto"/>
          <w:szCs w:val="21"/>
          <w:lang w:eastAsia="zh-CN"/>
        </w:rPr>
        <w:t>遴选响应方</w:t>
      </w:r>
      <w:r>
        <w:rPr>
          <w:rFonts w:hint="eastAsia"/>
          <w:color w:val="auto"/>
          <w:szCs w:val="21"/>
        </w:rPr>
        <w:t>：</w:t>
      </w:r>
    </w:p>
    <w:p w14:paraId="7EC4C1ED">
      <w:pPr>
        <w:spacing w:line="360" w:lineRule="exact"/>
        <w:outlineLvl w:val="9"/>
        <w:rPr>
          <w:rFonts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5E8CB70A">
      <w:pPr>
        <w:pStyle w:val="16"/>
        <w:outlineLvl w:val="9"/>
        <w:rPr>
          <w:color w:val="auto"/>
        </w:rPr>
      </w:pPr>
    </w:p>
    <w:p w14:paraId="0888B786">
      <w:pPr>
        <w:spacing w:line="360" w:lineRule="exact"/>
        <w:ind w:firstLine="424" w:firstLineChars="202"/>
        <w:outlineLvl w:val="9"/>
        <w:rPr>
          <w:rFonts w:ascii="宋体" w:hAnsi="宋体"/>
          <w:color w:val="auto"/>
          <w:szCs w:val="21"/>
        </w:rPr>
      </w:pPr>
      <w:r>
        <w:rPr>
          <w:rFonts w:hint="eastAsia" w:ascii="宋体" w:hAnsi="宋体"/>
          <w:color w:val="auto"/>
          <w:szCs w:val="21"/>
        </w:rPr>
        <w:t>备注：填写前请认真阅读《财政部 民政部 中国残疾人联合会关于促进残疾人就业政府采购政策的通知》</w:t>
      </w:r>
      <w:r>
        <w:rPr>
          <w:rFonts w:ascii="宋体" w:hAnsi="宋体"/>
          <w:color w:val="auto"/>
          <w:szCs w:val="21"/>
        </w:rPr>
        <w:t>(</w:t>
      </w:r>
      <w:r>
        <w:rPr>
          <w:rFonts w:hint="eastAsia" w:ascii="宋体" w:hAnsi="宋体"/>
          <w:color w:val="auto"/>
          <w:szCs w:val="21"/>
        </w:rPr>
        <w:t>财库〔2017〕141号</w:t>
      </w:r>
      <w:r>
        <w:rPr>
          <w:rFonts w:ascii="宋体" w:hAnsi="宋体"/>
          <w:color w:val="auto"/>
          <w:szCs w:val="21"/>
        </w:rPr>
        <w:t>)</w:t>
      </w:r>
      <w:r>
        <w:rPr>
          <w:rFonts w:hint="eastAsia" w:ascii="宋体" w:hAnsi="宋体"/>
          <w:color w:val="auto"/>
          <w:szCs w:val="21"/>
        </w:rPr>
        <w:t>相关规定。如不符合前述相关规定所确定的残疾人福利性单位，则不需要在</w:t>
      </w:r>
      <w:r>
        <w:rPr>
          <w:rFonts w:hint="eastAsia" w:ascii="宋体" w:hAnsi="宋体"/>
          <w:color w:val="auto"/>
          <w:szCs w:val="21"/>
          <w:lang w:eastAsia="zh-CN"/>
        </w:rPr>
        <w:t>遴选响应文件</w:t>
      </w:r>
      <w:r>
        <w:rPr>
          <w:rFonts w:hint="eastAsia" w:ascii="宋体" w:hAnsi="宋体"/>
          <w:color w:val="auto"/>
          <w:szCs w:val="21"/>
        </w:rPr>
        <w:t>中提供本《残疾人福利性单位声明函》；若符合前述相关规定所确定的残疾人福利性单位，但在</w:t>
      </w:r>
      <w:r>
        <w:rPr>
          <w:rFonts w:hint="eastAsia" w:ascii="宋体" w:hAnsi="宋体"/>
          <w:color w:val="auto"/>
          <w:szCs w:val="21"/>
          <w:lang w:eastAsia="zh-CN"/>
        </w:rPr>
        <w:t>遴选响应文件</w:t>
      </w:r>
      <w:r>
        <w:rPr>
          <w:rFonts w:hint="eastAsia" w:ascii="宋体" w:hAnsi="宋体"/>
          <w:color w:val="auto"/>
          <w:szCs w:val="21"/>
        </w:rPr>
        <w:t xml:space="preserve">中没有提供本《残疾人福利性单位声明函》，视为在本项目中放弃政府采购政策扶持，不进行价格扣除。                                              </w:t>
      </w:r>
    </w:p>
    <w:p w14:paraId="3533FC00">
      <w:pPr>
        <w:rPr>
          <w:color w:val="auto"/>
        </w:rPr>
      </w:pPr>
      <w:r>
        <w:rPr>
          <w:color w:val="auto"/>
        </w:rPr>
        <w:br w:type="page"/>
      </w:r>
    </w:p>
    <w:p w14:paraId="406BD766">
      <w:pPr>
        <w:pStyle w:val="3"/>
        <w:numPr>
          <w:ilvl w:val="0"/>
          <w:numId w:val="0"/>
        </w:numPr>
        <w:spacing w:line="240" w:lineRule="auto"/>
        <w:ind w:left="420" w:leftChars="0" w:hanging="420" w:firstLineChars="0"/>
        <w:jc w:val="center"/>
        <w:rPr>
          <w:rFonts w:asciiTheme="majorEastAsia" w:hAnsiTheme="majorEastAsia" w:eastAsiaTheme="majorEastAsia"/>
          <w:sz w:val="30"/>
          <w:szCs w:val="30"/>
        </w:rPr>
      </w:pPr>
      <w:bookmarkStart w:id="76" w:name="_Toc29901"/>
      <w:bookmarkStart w:id="77" w:name="_Toc8245"/>
      <w:bookmarkStart w:id="78" w:name="_Toc29642"/>
      <w:bookmarkStart w:id="79" w:name="_Toc15516"/>
      <w:r>
        <w:rPr>
          <w:rFonts w:hint="eastAsia" w:cs="宋体" w:asciiTheme="majorEastAsia" w:hAnsiTheme="majorEastAsia" w:eastAsiaTheme="majorEastAsia"/>
          <w:kern w:val="2"/>
          <w:sz w:val="30"/>
          <w:szCs w:val="30"/>
          <w:lang w:val="en-US" w:eastAsia="zh-CN" w:bidi="ar-SA"/>
        </w:rPr>
        <w:t>（八）</w:t>
      </w:r>
      <w:r>
        <w:rPr>
          <w:rFonts w:hint="eastAsia" w:asciiTheme="majorEastAsia" w:hAnsiTheme="majorEastAsia" w:eastAsiaTheme="majorEastAsia"/>
          <w:sz w:val="30"/>
          <w:szCs w:val="30"/>
        </w:rPr>
        <w:t>报价表</w:t>
      </w:r>
      <w:bookmarkEnd w:id="76"/>
      <w:bookmarkEnd w:id="77"/>
      <w:bookmarkEnd w:id="78"/>
      <w:bookmarkEnd w:id="79"/>
    </w:p>
    <w:tbl>
      <w:tblPr>
        <w:tblStyle w:val="39"/>
        <w:tblW w:w="88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38"/>
        <w:gridCol w:w="2385"/>
        <w:gridCol w:w="3774"/>
      </w:tblGrid>
      <w:tr w14:paraId="1F687B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738" w:type="dxa"/>
            <w:tcBorders>
              <w:top w:val="single" w:color="auto" w:sz="12" w:space="0"/>
              <w:bottom w:val="single" w:color="auto" w:sz="12" w:space="0"/>
            </w:tcBorders>
            <w:shd w:val="clear" w:color="auto" w:fill="EEECE1"/>
            <w:vAlign w:val="center"/>
          </w:tcPr>
          <w:p w14:paraId="12F100D1">
            <w:pPr>
              <w:jc w:val="center"/>
              <w:rPr>
                <w:rFonts w:hint="default" w:ascii="宋体" w:eastAsia="宋体"/>
                <w:b/>
                <w:color w:val="auto"/>
                <w:szCs w:val="21"/>
                <w:lang w:val="en-US" w:eastAsia="zh-CN"/>
              </w:rPr>
            </w:pPr>
            <w:r>
              <w:rPr>
                <w:rFonts w:hint="eastAsia" w:ascii="宋体"/>
                <w:b/>
                <w:color w:val="auto"/>
                <w:szCs w:val="21"/>
                <w:lang w:val="en-US" w:eastAsia="zh-CN"/>
              </w:rPr>
              <w:t>采购编号</w:t>
            </w:r>
          </w:p>
        </w:tc>
        <w:tc>
          <w:tcPr>
            <w:tcW w:w="2385" w:type="dxa"/>
            <w:tcBorders>
              <w:top w:val="single" w:color="auto" w:sz="12" w:space="0"/>
              <w:bottom w:val="single" w:color="auto" w:sz="12" w:space="0"/>
            </w:tcBorders>
            <w:shd w:val="clear" w:color="auto" w:fill="EEECE1"/>
            <w:vAlign w:val="center"/>
          </w:tcPr>
          <w:p w14:paraId="7DF2F416">
            <w:pPr>
              <w:jc w:val="center"/>
              <w:rPr>
                <w:rFonts w:hint="default" w:ascii="宋体" w:eastAsia="宋体" w:hAnsiTheme="minorHAnsi" w:cstheme="minorBidi"/>
                <w:b/>
                <w:color w:val="auto"/>
                <w:kern w:val="2"/>
                <w:sz w:val="21"/>
                <w:szCs w:val="21"/>
                <w:lang w:val="en-US" w:eastAsia="zh-CN" w:bidi="ar-SA"/>
              </w:rPr>
            </w:pPr>
            <w:r>
              <w:rPr>
                <w:rFonts w:hint="eastAsia" w:ascii="宋体"/>
                <w:b/>
                <w:color w:val="auto"/>
                <w:szCs w:val="21"/>
                <w:lang w:val="en-US" w:eastAsia="zh-CN"/>
              </w:rPr>
              <w:t>采购名称</w:t>
            </w:r>
          </w:p>
        </w:tc>
        <w:tc>
          <w:tcPr>
            <w:tcW w:w="3774" w:type="dxa"/>
            <w:tcBorders>
              <w:top w:val="single" w:color="auto" w:sz="12" w:space="0"/>
              <w:bottom w:val="single" w:color="auto" w:sz="12" w:space="0"/>
            </w:tcBorders>
            <w:shd w:val="clear" w:color="auto" w:fill="EEECE1"/>
            <w:vAlign w:val="center"/>
          </w:tcPr>
          <w:p w14:paraId="21427E9E">
            <w:pPr>
              <w:jc w:val="center"/>
              <w:rPr>
                <w:rFonts w:hint="eastAsia" w:ascii="宋体" w:hAnsiTheme="minorHAnsi" w:eastAsiaTheme="minorEastAsia" w:cstheme="minorBidi"/>
                <w:b/>
                <w:color w:val="auto"/>
                <w:kern w:val="2"/>
                <w:sz w:val="21"/>
                <w:szCs w:val="21"/>
                <w:lang w:val="en-US" w:eastAsia="zh-CN" w:bidi="ar-SA"/>
              </w:rPr>
            </w:pPr>
            <w:r>
              <w:rPr>
                <w:rFonts w:hint="eastAsia" w:ascii="宋体" w:hAnsi="Times New Roman" w:cs="Times New Roman"/>
                <w:b/>
                <w:color w:val="auto"/>
                <w:szCs w:val="21"/>
                <w:lang w:val="en-US" w:eastAsia="zh-CN"/>
              </w:rPr>
              <w:t>SPD管理平台医用物资供应商服务费</w:t>
            </w:r>
          </w:p>
        </w:tc>
      </w:tr>
      <w:tr w14:paraId="090F9B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53" w:hRule="atLeast"/>
          <w:jc w:val="center"/>
        </w:trPr>
        <w:tc>
          <w:tcPr>
            <w:tcW w:w="2738" w:type="dxa"/>
            <w:tcBorders>
              <w:top w:val="single" w:color="auto" w:sz="12" w:space="0"/>
              <w:bottom w:val="single" w:color="auto" w:sz="12" w:space="0"/>
            </w:tcBorders>
            <w:vAlign w:val="center"/>
          </w:tcPr>
          <w:p w14:paraId="27FCC3BF">
            <w:pPr>
              <w:adjustRightInd w:val="0"/>
              <w:snapToGrid w:val="0"/>
              <w:jc w:val="center"/>
              <w:rPr>
                <w:rFonts w:hint="eastAsia" w:ascii="宋体" w:hAnsi="宋体" w:eastAsia="宋体" w:cs="宋体"/>
                <w:snapToGrid/>
                <w:color w:val="auto"/>
                <w:spacing w:val="0"/>
                <w:kern w:val="2"/>
                <w:sz w:val="21"/>
                <w:szCs w:val="24"/>
                <w:lang w:val="en-US" w:eastAsia="zh-CN" w:bidi="ar-SA"/>
              </w:rPr>
            </w:pPr>
          </w:p>
        </w:tc>
        <w:tc>
          <w:tcPr>
            <w:tcW w:w="2385" w:type="dxa"/>
            <w:tcBorders>
              <w:top w:val="single" w:color="auto" w:sz="12" w:space="0"/>
              <w:bottom w:val="single" w:color="auto" w:sz="12" w:space="0"/>
            </w:tcBorders>
            <w:vAlign w:val="center"/>
          </w:tcPr>
          <w:p w14:paraId="431C6EDD">
            <w:pPr>
              <w:adjustRightInd w:val="0"/>
              <w:snapToGrid w:val="0"/>
              <w:jc w:val="center"/>
              <w:rPr>
                <w:rFonts w:hint="default" w:ascii="宋体" w:hAnsi="宋体" w:eastAsia="宋体" w:cs="宋体"/>
                <w:snapToGrid/>
                <w:color w:val="auto"/>
                <w:spacing w:val="0"/>
                <w:kern w:val="2"/>
                <w:sz w:val="21"/>
                <w:szCs w:val="24"/>
                <w:lang w:val="en-US" w:eastAsia="zh-CN" w:bidi="ar-SA"/>
              </w:rPr>
            </w:pPr>
          </w:p>
        </w:tc>
        <w:tc>
          <w:tcPr>
            <w:tcW w:w="3774" w:type="dxa"/>
            <w:tcBorders>
              <w:top w:val="single" w:color="auto" w:sz="12" w:space="0"/>
              <w:bottom w:val="single" w:color="auto" w:sz="12" w:space="0"/>
            </w:tcBorders>
            <w:vAlign w:val="center"/>
          </w:tcPr>
          <w:p w14:paraId="6885F932">
            <w:pPr>
              <w:pStyle w:val="77"/>
              <w:spacing w:line="240" w:lineRule="auto"/>
              <w:rPr>
                <w:rFonts w:ascii="宋体"/>
                <w:bCs/>
                <w:color w:val="auto"/>
                <w:szCs w:val="21"/>
                <w:u w:val="single"/>
              </w:rPr>
            </w:pPr>
          </w:p>
        </w:tc>
      </w:tr>
    </w:tbl>
    <w:p w14:paraId="0A85468E">
      <w:pPr>
        <w:spacing w:line="360" w:lineRule="auto"/>
        <w:rPr>
          <w:rFonts w:hint="eastAsia"/>
          <w:b/>
          <w:bCs/>
          <w:sz w:val="24"/>
          <w:lang w:val="en-US" w:eastAsia="zh-CN"/>
        </w:rPr>
      </w:pPr>
    </w:p>
    <w:p w14:paraId="26D688AF">
      <w:pPr>
        <w:spacing w:line="360" w:lineRule="auto"/>
        <w:rPr>
          <w:rFonts w:hint="eastAsia"/>
          <w:b/>
          <w:bCs/>
          <w:sz w:val="24"/>
          <w:lang w:val="en-US" w:eastAsia="zh-CN"/>
        </w:rPr>
      </w:pPr>
    </w:p>
    <w:p w14:paraId="599AE3DB">
      <w:pPr>
        <w:spacing w:line="360" w:lineRule="auto"/>
        <w:rPr>
          <w:rFonts w:hint="default"/>
          <w:b/>
          <w:bCs/>
          <w:highlight w:val="lightGray"/>
          <w:u w:val="single"/>
          <w:lang w:val="en-US"/>
        </w:rPr>
      </w:pPr>
      <w:r>
        <w:rPr>
          <w:rFonts w:hint="eastAsia"/>
          <w:b/>
          <w:bCs/>
          <w:sz w:val="24"/>
          <w:lang w:val="en-US" w:eastAsia="zh-CN"/>
        </w:rPr>
        <w:t>遴选响应方签字：</w:t>
      </w:r>
      <w:r>
        <w:rPr>
          <w:rFonts w:hint="eastAsia"/>
          <w:b/>
          <w:bCs/>
          <w:sz w:val="24"/>
          <w:u w:val="single"/>
          <w:lang w:val="en-US" w:eastAsia="zh-CN"/>
        </w:rPr>
        <w:t xml:space="preserve">                     </w:t>
      </w:r>
    </w:p>
    <w:p w14:paraId="73B46FEC">
      <w:pPr>
        <w:spacing w:line="360" w:lineRule="auto"/>
        <w:rPr>
          <w:sz w:val="24"/>
        </w:rPr>
      </w:pPr>
      <w:r>
        <w:rPr>
          <w:rFonts w:hint="eastAsia"/>
          <w:b/>
          <w:bCs/>
          <w:sz w:val="24"/>
          <w:lang w:eastAsia="zh-CN"/>
        </w:rPr>
        <w:t>遴选响应方</w:t>
      </w:r>
      <w:r>
        <w:rPr>
          <w:rFonts w:hint="eastAsia"/>
          <w:b/>
          <w:bCs/>
          <w:sz w:val="24"/>
        </w:rPr>
        <w:t>单位名称：</w:t>
      </w:r>
      <w:r>
        <w:rPr>
          <w:rFonts w:hint="eastAsia" w:ascii="Times New Roman" w:hAnsi="Times New Roman" w:cs="Times New Roman"/>
          <w:b/>
          <w:bCs/>
          <w:sz w:val="24"/>
          <w:u w:val="single"/>
          <w:lang w:val="en-US" w:eastAsia="zh-CN"/>
        </w:rPr>
        <w:t xml:space="preserve">                             </w:t>
      </w:r>
    </w:p>
    <w:p w14:paraId="7AE07D80">
      <w:pPr>
        <w:spacing w:line="360" w:lineRule="auto"/>
        <w:outlineLvl w:val="9"/>
        <w:rPr>
          <w:rFonts w:hint="eastAsia"/>
          <w:b/>
          <w:sz w:val="24"/>
        </w:rPr>
      </w:pPr>
      <w:r>
        <w:rPr>
          <w:rFonts w:hint="eastAsia"/>
          <w:b/>
          <w:sz w:val="24"/>
        </w:rPr>
        <w:t>（此处加盖</w:t>
      </w:r>
      <w:r>
        <w:rPr>
          <w:rFonts w:hint="eastAsia"/>
          <w:b/>
          <w:sz w:val="24"/>
          <w:lang w:eastAsia="zh-CN"/>
        </w:rPr>
        <w:t>遴选响应方</w:t>
      </w:r>
      <w:r>
        <w:rPr>
          <w:rFonts w:hint="eastAsia"/>
          <w:b/>
          <w:sz w:val="24"/>
        </w:rPr>
        <w:t>单位公章）</w:t>
      </w:r>
    </w:p>
    <w:p w14:paraId="7D974DDB">
      <w:pPr>
        <w:spacing w:line="360" w:lineRule="auto"/>
        <w:rPr>
          <w:rFonts w:hint="eastAsia"/>
          <w:b/>
          <w:bCs/>
          <w:sz w:val="24"/>
        </w:rPr>
      </w:pPr>
      <w:r>
        <w:rPr>
          <w:rFonts w:hint="eastAsia"/>
          <w:b/>
          <w:bCs/>
          <w:sz w:val="24"/>
        </w:rPr>
        <w:t>日期：       年     月    日</w:t>
      </w:r>
    </w:p>
    <w:p w14:paraId="3E729C9D">
      <w:pPr>
        <w:pStyle w:val="16"/>
        <w:rPr>
          <w:rFonts w:hint="default"/>
          <w:lang w:val="en-US" w:eastAsia="zh-CN"/>
        </w:rPr>
      </w:pPr>
    </w:p>
    <w:p w14:paraId="29AA90E5">
      <w:pPr>
        <w:spacing w:line="400" w:lineRule="exact"/>
        <w:rPr>
          <w:rFonts w:ascii="宋体" w:hAnsi="宋体"/>
          <w:szCs w:val="21"/>
        </w:rPr>
      </w:pPr>
      <w:r>
        <w:rPr>
          <w:rFonts w:hint="eastAsia" w:ascii="宋体" w:hAnsi="宋体"/>
          <w:szCs w:val="21"/>
        </w:rPr>
        <w:t>备注：</w:t>
      </w:r>
    </w:p>
    <w:p w14:paraId="0226C8E6">
      <w:pPr>
        <w:numPr>
          <w:ilvl w:val="1"/>
          <w:numId w:val="9"/>
        </w:numPr>
        <w:tabs>
          <w:tab w:val="left" w:pos="360"/>
          <w:tab w:val="left" w:pos="840"/>
          <w:tab w:val="clear" w:pos="1620"/>
        </w:tabs>
        <w:snapToGrid w:val="0"/>
        <w:spacing w:line="360" w:lineRule="auto"/>
        <w:ind w:left="360"/>
      </w:pPr>
      <w:r>
        <w:rPr>
          <w:rFonts w:hint="eastAsia"/>
        </w:rPr>
        <w:t>除</w:t>
      </w:r>
      <w:r>
        <w:rPr>
          <w:rFonts w:hint="eastAsia"/>
          <w:lang w:val="en-US" w:eastAsia="zh-CN"/>
        </w:rPr>
        <w:t>遴选文件</w:t>
      </w:r>
      <w:r>
        <w:rPr>
          <w:rFonts w:hint="eastAsia"/>
        </w:rPr>
        <w:t>另有规定外，</w:t>
      </w:r>
      <w:r>
        <w:rPr>
          <w:rFonts w:hint="eastAsia"/>
          <w:lang w:eastAsia="zh-CN"/>
        </w:rPr>
        <w:t>遴选响应文件</w:t>
      </w:r>
      <w:r>
        <w:rPr>
          <w:rFonts w:hint="eastAsia"/>
        </w:rPr>
        <w:t>内不得含有任何对本报价进行价格折扣的说明或资料，否则为无效</w:t>
      </w:r>
      <w:r>
        <w:rPr>
          <w:rFonts w:hint="eastAsia"/>
          <w:lang w:eastAsia="zh-CN"/>
        </w:rPr>
        <w:t>遴选响应</w:t>
      </w:r>
      <w:r>
        <w:rPr>
          <w:rFonts w:hint="eastAsia"/>
        </w:rPr>
        <w:t>。</w:t>
      </w:r>
    </w:p>
    <w:p w14:paraId="63A99683">
      <w:pPr>
        <w:numPr>
          <w:ilvl w:val="1"/>
          <w:numId w:val="9"/>
        </w:numPr>
        <w:tabs>
          <w:tab w:val="left" w:pos="360"/>
          <w:tab w:val="left" w:pos="840"/>
          <w:tab w:val="clear" w:pos="1620"/>
        </w:tabs>
        <w:snapToGrid w:val="0"/>
        <w:spacing w:line="360" w:lineRule="auto"/>
        <w:ind w:left="360"/>
      </w:pPr>
      <w:r>
        <w:rPr>
          <w:rFonts w:hint="eastAsia" w:asciiTheme="majorEastAsia" w:hAnsiTheme="majorEastAsia" w:eastAsiaTheme="majorEastAsia" w:cstheme="majorEastAsia"/>
          <w:color w:val="auto"/>
          <w:kern w:val="2"/>
          <w:sz w:val="21"/>
          <w:szCs w:val="21"/>
          <w:highlight w:val="none"/>
          <w:lang w:val="en-US" w:eastAsia="zh-CN" w:bidi="ar-SA"/>
        </w:rPr>
        <w:t>SPD管理平台医用物资供应商服务费超过其物资供应总额的2 %</w:t>
      </w:r>
      <w:r>
        <w:rPr>
          <w:rFonts w:hint="eastAsia"/>
          <w:lang w:val="en-US" w:eastAsia="zh-CN"/>
        </w:rPr>
        <w:t>，为无效遴选响应</w:t>
      </w:r>
      <w:r>
        <w:rPr>
          <w:rFonts w:hint="eastAsia"/>
        </w:rPr>
        <w:t>。</w:t>
      </w:r>
    </w:p>
    <w:p w14:paraId="2B15EBBF">
      <w:pPr>
        <w:numPr>
          <w:ilvl w:val="1"/>
          <w:numId w:val="9"/>
        </w:numPr>
        <w:tabs>
          <w:tab w:val="left" w:pos="360"/>
          <w:tab w:val="left" w:pos="840"/>
          <w:tab w:val="clear" w:pos="1620"/>
        </w:tabs>
        <w:snapToGrid w:val="0"/>
        <w:spacing w:line="360" w:lineRule="auto"/>
        <w:ind w:left="360"/>
      </w:pPr>
      <w:r>
        <w:rPr>
          <w:rFonts w:hint="eastAsia" w:ascii="宋体" w:hAnsi="宋体" w:cs="宋体"/>
          <w:szCs w:val="21"/>
          <w:highlight w:val="none"/>
          <w:lang w:eastAsia="zh-CN"/>
        </w:rPr>
        <w:t>遴选响应方</w:t>
      </w:r>
      <w:r>
        <w:rPr>
          <w:rFonts w:hint="eastAsia" w:ascii="宋体" w:hAnsi="宋体" w:eastAsia="宋体" w:cs="宋体"/>
          <w:szCs w:val="21"/>
          <w:highlight w:val="none"/>
        </w:rPr>
        <w:t>须按要求填写所有信息，不得随意更改本表格式。</w:t>
      </w:r>
    </w:p>
    <w:p w14:paraId="6497BC59">
      <w:pPr>
        <w:numPr>
          <w:ilvl w:val="1"/>
          <w:numId w:val="9"/>
        </w:numPr>
        <w:tabs>
          <w:tab w:val="left" w:pos="360"/>
          <w:tab w:val="left" w:pos="840"/>
          <w:tab w:val="clear" w:pos="1620"/>
        </w:tabs>
        <w:snapToGrid w:val="0"/>
        <w:spacing w:line="360" w:lineRule="auto"/>
        <w:ind w:left="360"/>
      </w:pPr>
      <w:r>
        <w:rPr>
          <w:rFonts w:hint="eastAsia" w:ascii="宋体" w:hAnsi="宋体" w:eastAsia="宋体" w:cs="宋体"/>
          <w:szCs w:val="21"/>
          <w:highlight w:val="none"/>
        </w:rPr>
        <w:t>此表是</w:t>
      </w:r>
      <w:r>
        <w:rPr>
          <w:rFonts w:hint="eastAsia" w:ascii="宋体" w:hAnsi="宋体" w:cs="宋体"/>
          <w:szCs w:val="21"/>
          <w:highlight w:val="none"/>
          <w:lang w:eastAsia="zh-CN"/>
        </w:rPr>
        <w:t>遴选响应文件</w:t>
      </w:r>
      <w:r>
        <w:rPr>
          <w:rFonts w:hint="eastAsia" w:ascii="宋体" w:hAnsi="宋体" w:eastAsia="宋体" w:cs="宋体"/>
          <w:szCs w:val="21"/>
          <w:highlight w:val="none"/>
        </w:rPr>
        <w:t>的必要文件，是</w:t>
      </w:r>
      <w:r>
        <w:rPr>
          <w:rFonts w:hint="eastAsia" w:ascii="宋体" w:hAnsi="宋体" w:cs="宋体"/>
          <w:szCs w:val="21"/>
          <w:highlight w:val="none"/>
          <w:lang w:eastAsia="zh-CN"/>
        </w:rPr>
        <w:t>遴选响应文件</w:t>
      </w:r>
      <w:r>
        <w:rPr>
          <w:rFonts w:hint="eastAsia" w:ascii="宋体" w:hAnsi="宋体" w:eastAsia="宋体" w:cs="宋体"/>
          <w:szCs w:val="21"/>
          <w:highlight w:val="none"/>
        </w:rPr>
        <w:t>的组成部分，封装在一个信封中，作为唱标之用。</w:t>
      </w:r>
    </w:p>
    <w:p w14:paraId="3DCB839C">
      <w:pPr>
        <w:pStyle w:val="16"/>
        <w:rPr>
          <w:rFonts w:hint="default" w:ascii="宋体" w:hAnsi="宋体" w:eastAsiaTheme="minorEastAsia" w:cstheme="minorBidi"/>
          <w:kern w:val="2"/>
          <w:sz w:val="21"/>
          <w:szCs w:val="24"/>
          <w:lang w:val="en-US" w:eastAsia="zh-CN" w:bidi="ar-SA"/>
        </w:rPr>
      </w:pPr>
    </w:p>
    <w:p w14:paraId="66F6DEE1">
      <w:pPr>
        <w:rPr>
          <w:rFonts w:hint="eastAsia" w:ascii="宋体" w:hAnsi="宋体"/>
        </w:rPr>
      </w:pPr>
      <w:r>
        <w:rPr>
          <w:rFonts w:hint="eastAsia" w:ascii="宋体" w:hAnsi="宋体"/>
        </w:rPr>
        <w:br w:type="page"/>
      </w:r>
    </w:p>
    <w:p w14:paraId="51884ACB">
      <w:pPr>
        <w:pStyle w:val="3"/>
        <w:numPr>
          <w:ilvl w:val="0"/>
          <w:numId w:val="0"/>
        </w:numPr>
        <w:spacing w:line="240" w:lineRule="auto"/>
        <w:ind w:left="420" w:leftChars="0" w:hanging="420" w:firstLineChars="0"/>
        <w:jc w:val="center"/>
        <w:rPr>
          <w:rFonts w:hint="eastAsia" w:asciiTheme="majorEastAsia" w:hAnsiTheme="majorEastAsia" w:eastAsiaTheme="majorEastAsia"/>
          <w:sz w:val="30"/>
          <w:szCs w:val="30"/>
        </w:rPr>
      </w:pPr>
      <w:bookmarkStart w:id="80" w:name="_Toc7343"/>
      <w:bookmarkStart w:id="81" w:name="_Toc28513"/>
      <w:bookmarkStart w:id="82" w:name="_Toc24434"/>
      <w:bookmarkStart w:id="83" w:name="_Toc9447"/>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九</w:t>
      </w:r>
      <w:r>
        <w:rPr>
          <w:rFonts w:hint="eastAsia" w:asciiTheme="majorEastAsia" w:hAnsiTheme="majorEastAsia" w:eastAsiaTheme="majorEastAsia"/>
          <w:sz w:val="30"/>
          <w:szCs w:val="30"/>
          <w:lang w:eastAsia="zh-CN"/>
        </w:rPr>
        <w:t>）遴选响应</w:t>
      </w:r>
      <w:r>
        <w:rPr>
          <w:rFonts w:hint="eastAsia" w:asciiTheme="majorEastAsia" w:hAnsiTheme="majorEastAsia" w:eastAsiaTheme="majorEastAsia"/>
          <w:sz w:val="30"/>
          <w:szCs w:val="30"/>
        </w:rPr>
        <w:t>函</w:t>
      </w:r>
      <w:bookmarkEnd w:id="80"/>
      <w:bookmarkEnd w:id="81"/>
      <w:bookmarkEnd w:id="82"/>
      <w:bookmarkEnd w:id="83"/>
    </w:p>
    <w:p w14:paraId="4F6C8FF7">
      <w:pPr>
        <w:spacing w:line="360" w:lineRule="auto"/>
        <w:ind w:left="105" w:leftChars="50" w:firstLine="2"/>
        <w:rPr>
          <w:rFonts w:hint="default" w:ascii="宋体" w:hAnsi="宋体" w:eastAsiaTheme="minorEastAsia"/>
          <w:b/>
          <w:lang w:val="en-US" w:eastAsia="zh-CN"/>
        </w:rPr>
      </w:pPr>
      <w:r>
        <w:rPr>
          <w:rFonts w:hint="eastAsia" w:ascii="宋体" w:hAnsi="宋体"/>
          <w:b/>
        </w:rPr>
        <w:t>致：</w:t>
      </w:r>
      <w:r>
        <w:rPr>
          <w:rFonts w:hint="eastAsia" w:ascii="宋体" w:hAnsi="宋体"/>
          <w:b/>
          <w:lang w:val="en-US" w:eastAsia="zh-CN"/>
        </w:rPr>
        <w:t>深圳市福田区第二人民医院</w:t>
      </w:r>
    </w:p>
    <w:p w14:paraId="3D608F84">
      <w:pPr>
        <w:spacing w:line="360" w:lineRule="auto"/>
        <w:ind w:left="105" w:leftChars="50" w:firstLine="373" w:firstLineChars="178"/>
        <w:rPr>
          <w:rFonts w:ascii="宋体" w:hAnsi="宋体"/>
        </w:rPr>
      </w:pPr>
      <w:r>
        <w:rPr>
          <w:rFonts w:hint="eastAsia" w:ascii="宋体" w:hAnsi="宋体"/>
        </w:rPr>
        <w:t>我方确认收到贵方</w:t>
      </w:r>
      <w:r>
        <w:rPr>
          <w:rFonts w:hint="eastAsia" w:ascii="宋体" w:hAnsi="宋体"/>
          <w:kern w:val="28"/>
          <w:u w:val="single"/>
        </w:rPr>
        <w:t xml:space="preserve">                   </w:t>
      </w:r>
      <w:r>
        <w:rPr>
          <w:rFonts w:hint="eastAsia" w:ascii="宋体" w:hAnsi="宋体"/>
          <w:kern w:val="28"/>
        </w:rPr>
        <w:t>采购</w:t>
      </w:r>
      <w:r>
        <w:rPr>
          <w:rFonts w:hint="eastAsia" w:ascii="宋体" w:hAnsi="宋体"/>
        </w:rPr>
        <w:t>货物及相关服务的</w:t>
      </w:r>
      <w:r>
        <w:rPr>
          <w:rFonts w:hint="eastAsia" w:ascii="宋体" w:hAnsi="宋体"/>
          <w:lang w:val="en-US" w:eastAsia="zh-CN"/>
        </w:rPr>
        <w:t>遴选文件</w:t>
      </w:r>
      <w:r>
        <w:rPr>
          <w:rFonts w:hint="eastAsia" w:ascii="宋体" w:hAnsi="宋体"/>
        </w:rPr>
        <w:t>（项目编号：</w:t>
      </w:r>
      <w:r>
        <w:rPr>
          <w:rFonts w:hint="eastAsia" w:ascii="宋体" w:hAnsi="宋体"/>
          <w:lang w:val="en-US" w:eastAsia="zh-CN"/>
        </w:rPr>
        <w:t xml:space="preserve"> </w:t>
      </w:r>
      <w:r>
        <w:rPr>
          <w:rFonts w:hint="eastAsia" w:ascii="宋体" w:hAnsi="宋体"/>
          <w:u w:val="single"/>
          <w:lang w:val="en-US" w:eastAsia="zh-CN"/>
        </w:rPr>
        <w:t xml:space="preserve">                   </w:t>
      </w:r>
      <w:r>
        <w:rPr>
          <w:rFonts w:hint="eastAsia" w:ascii="宋体" w:hAnsi="宋体"/>
        </w:rPr>
        <w:t>），</w:t>
      </w:r>
      <w:r>
        <w:rPr>
          <w:rFonts w:hint="eastAsia" w:ascii="宋体" w:hAnsi="宋体"/>
          <w:u w:val="single"/>
        </w:rPr>
        <w:t xml:space="preserve"> (</w:t>
      </w:r>
      <w:r>
        <w:rPr>
          <w:rFonts w:hint="eastAsia" w:ascii="宋体" w:hAnsi="宋体"/>
          <w:u w:val="single"/>
          <w:lang w:eastAsia="zh-CN"/>
        </w:rPr>
        <w:t>遴选响应方</w:t>
      </w:r>
      <w:r>
        <w:rPr>
          <w:rFonts w:hint="eastAsia" w:ascii="宋体" w:hAnsi="宋体"/>
          <w:u w:val="single"/>
        </w:rPr>
        <w:t>名称、地址)</w:t>
      </w:r>
      <w:r>
        <w:rPr>
          <w:rFonts w:hint="eastAsia" w:ascii="宋体" w:hAnsi="宋体"/>
        </w:rPr>
        <w:t>作为</w:t>
      </w:r>
      <w:r>
        <w:rPr>
          <w:rFonts w:hint="eastAsia" w:ascii="宋体" w:hAnsi="宋体"/>
          <w:lang w:eastAsia="zh-CN"/>
        </w:rPr>
        <w:t>遴选响应方</w:t>
      </w:r>
      <w:r>
        <w:rPr>
          <w:rFonts w:hint="eastAsia" w:ascii="宋体" w:hAnsi="宋体"/>
        </w:rPr>
        <w:t>已正式授权</w:t>
      </w:r>
      <w:r>
        <w:rPr>
          <w:rFonts w:hint="eastAsia" w:ascii="宋体" w:hAnsi="宋体"/>
          <w:u w:val="single"/>
        </w:rPr>
        <w:t xml:space="preserve"> (被</w:t>
      </w:r>
      <w:r>
        <w:rPr>
          <w:rFonts w:hint="eastAsia" w:ascii="宋体" w:hAnsi="宋体"/>
          <w:u w:val="single"/>
          <w:lang w:eastAsia="zh-CN"/>
        </w:rPr>
        <w:t>遴选响应方</w:t>
      </w:r>
      <w:r>
        <w:rPr>
          <w:rFonts w:hint="eastAsia" w:ascii="宋体" w:hAnsi="宋体"/>
          <w:u w:val="single"/>
        </w:rPr>
        <w:t>授权代表全名、职务)</w:t>
      </w:r>
      <w:r>
        <w:rPr>
          <w:rFonts w:hint="eastAsia" w:ascii="宋体" w:hAnsi="宋体"/>
        </w:rPr>
        <w:t>为我方签名代表，签名代表在此声明并同意：</w:t>
      </w:r>
    </w:p>
    <w:p w14:paraId="72162EEE">
      <w:pPr>
        <w:numPr>
          <w:ilvl w:val="0"/>
          <w:numId w:val="10"/>
        </w:numPr>
        <w:tabs>
          <w:tab w:val="clear" w:pos="780"/>
        </w:tabs>
        <w:snapToGrid w:val="0"/>
        <w:spacing w:line="360" w:lineRule="auto"/>
        <w:ind w:left="426"/>
        <w:rPr>
          <w:rFonts w:ascii="宋体" w:hAnsi="宋体"/>
          <w:b/>
        </w:rPr>
      </w:pPr>
      <w:r>
        <w:rPr>
          <w:rFonts w:hint="eastAsia" w:ascii="宋体" w:hAnsi="宋体"/>
          <w:b/>
        </w:rPr>
        <w:t>我单位愿意遵守</w:t>
      </w:r>
      <w:r>
        <w:rPr>
          <w:rFonts w:hint="eastAsia" w:ascii="宋体" w:hAnsi="宋体"/>
          <w:b/>
          <w:lang w:val="en-US" w:eastAsia="zh-CN"/>
        </w:rPr>
        <w:t>遴选文件</w:t>
      </w:r>
      <w:r>
        <w:rPr>
          <w:rFonts w:hint="eastAsia" w:ascii="宋体" w:hAnsi="宋体"/>
          <w:b/>
        </w:rPr>
        <w:t>的各项规定，自愿参加</w:t>
      </w:r>
      <w:r>
        <w:rPr>
          <w:rFonts w:hint="eastAsia" w:ascii="宋体" w:hAnsi="宋体"/>
          <w:b/>
          <w:lang w:eastAsia="zh-CN"/>
        </w:rPr>
        <w:t>遴选响应</w:t>
      </w:r>
      <w:r>
        <w:rPr>
          <w:rFonts w:hint="eastAsia" w:ascii="宋体" w:hAnsi="宋体"/>
          <w:b/>
        </w:rPr>
        <w:t>，并已清楚</w:t>
      </w:r>
      <w:r>
        <w:rPr>
          <w:rFonts w:hint="eastAsia" w:ascii="宋体" w:hAnsi="宋体"/>
          <w:b/>
          <w:lang w:val="en-US" w:eastAsia="zh-CN"/>
        </w:rPr>
        <w:t>遴选文件</w:t>
      </w:r>
      <w:r>
        <w:rPr>
          <w:rFonts w:hint="eastAsia" w:ascii="宋体" w:hAnsi="宋体"/>
          <w:b/>
        </w:rPr>
        <w:t>的要求及有关文件规定，并严格按照</w:t>
      </w:r>
      <w:r>
        <w:rPr>
          <w:rFonts w:hint="eastAsia" w:ascii="宋体" w:hAnsi="宋体"/>
          <w:b/>
          <w:lang w:val="en-US" w:eastAsia="zh-CN"/>
        </w:rPr>
        <w:t>遴选文件</w:t>
      </w:r>
      <w:r>
        <w:rPr>
          <w:rFonts w:hint="eastAsia" w:ascii="宋体" w:hAnsi="宋体"/>
          <w:b/>
        </w:rPr>
        <w:t>的规定履行全部责任和义务。</w:t>
      </w:r>
    </w:p>
    <w:p w14:paraId="628A2847">
      <w:pPr>
        <w:numPr>
          <w:ilvl w:val="0"/>
          <w:numId w:val="10"/>
        </w:numPr>
        <w:tabs>
          <w:tab w:val="clear" w:pos="780"/>
        </w:tabs>
        <w:snapToGrid w:val="0"/>
        <w:spacing w:line="360" w:lineRule="auto"/>
        <w:ind w:left="426"/>
        <w:rPr>
          <w:rFonts w:ascii="宋体" w:hAnsi="宋体"/>
          <w:b/>
        </w:rPr>
      </w:pPr>
      <w:r>
        <w:rPr>
          <w:rFonts w:hint="eastAsia" w:ascii="宋体" w:hAnsi="宋体"/>
          <w:b/>
        </w:rPr>
        <w:t>我们同意本</w:t>
      </w:r>
      <w:r>
        <w:rPr>
          <w:rFonts w:hint="eastAsia" w:ascii="宋体" w:hAnsi="宋体"/>
          <w:b/>
          <w:lang w:eastAsia="zh-CN"/>
        </w:rPr>
        <w:t>遴选响应文件</w:t>
      </w:r>
      <w:r>
        <w:rPr>
          <w:rFonts w:hint="eastAsia" w:ascii="宋体" w:hAnsi="宋体"/>
          <w:b/>
        </w:rPr>
        <w:t>的</w:t>
      </w:r>
      <w:r>
        <w:rPr>
          <w:rFonts w:hint="eastAsia" w:ascii="宋体" w:hAnsi="宋体"/>
          <w:b/>
          <w:lang w:eastAsia="zh-CN"/>
        </w:rPr>
        <w:t>遴选响应</w:t>
      </w:r>
      <w:r>
        <w:rPr>
          <w:rFonts w:hint="eastAsia" w:ascii="宋体" w:hAnsi="宋体"/>
          <w:b/>
        </w:rPr>
        <w:t>有效期从提交</w:t>
      </w:r>
      <w:r>
        <w:rPr>
          <w:rFonts w:hint="eastAsia" w:ascii="宋体" w:hAnsi="宋体"/>
          <w:b/>
          <w:lang w:eastAsia="zh-CN"/>
        </w:rPr>
        <w:t>遴选响应文件</w:t>
      </w:r>
      <w:r>
        <w:rPr>
          <w:rFonts w:hint="eastAsia" w:ascii="宋体" w:hAnsi="宋体"/>
          <w:b/>
        </w:rPr>
        <w:t>的截止之日起</w:t>
      </w:r>
      <w:r>
        <w:rPr>
          <w:rFonts w:hint="eastAsia" w:ascii="宋体" w:hAnsi="宋体"/>
          <w:b/>
          <w:u w:val="single"/>
        </w:rPr>
        <w:t>90</w:t>
      </w:r>
      <w:r>
        <w:rPr>
          <w:rFonts w:hint="eastAsia" w:ascii="宋体" w:hAnsi="宋体"/>
          <w:b/>
        </w:rPr>
        <w:t>日历日内有效。</w:t>
      </w:r>
    </w:p>
    <w:p w14:paraId="78A9D3C3">
      <w:pPr>
        <w:numPr>
          <w:ilvl w:val="0"/>
          <w:numId w:val="10"/>
        </w:numPr>
        <w:tabs>
          <w:tab w:val="clear" w:pos="780"/>
        </w:tabs>
        <w:snapToGrid w:val="0"/>
        <w:spacing w:line="360" w:lineRule="auto"/>
        <w:ind w:left="426"/>
        <w:rPr>
          <w:rFonts w:ascii="宋体" w:hAnsi="宋体"/>
          <w:b/>
        </w:rPr>
      </w:pPr>
      <w:r>
        <w:rPr>
          <w:rFonts w:hint="eastAsia" w:ascii="宋体" w:hAnsi="宋体"/>
          <w:b/>
        </w:rPr>
        <w:t>我们承诺从本项目</w:t>
      </w:r>
      <w:r>
        <w:rPr>
          <w:rFonts w:hint="eastAsia" w:ascii="宋体" w:hAnsi="宋体"/>
          <w:b/>
          <w:lang w:eastAsia="zh-CN"/>
        </w:rPr>
        <w:t>遴选响应</w:t>
      </w:r>
      <w:r>
        <w:rPr>
          <w:rFonts w:hint="eastAsia" w:ascii="宋体" w:hAnsi="宋体"/>
          <w:b/>
        </w:rPr>
        <w:t>截止时间起，本</w:t>
      </w:r>
      <w:r>
        <w:rPr>
          <w:rFonts w:hint="eastAsia" w:ascii="宋体" w:hAnsi="宋体"/>
          <w:b/>
          <w:lang w:eastAsia="zh-CN"/>
        </w:rPr>
        <w:t>遴选响应</w:t>
      </w:r>
      <w:r>
        <w:rPr>
          <w:rFonts w:hint="eastAsia" w:ascii="宋体" w:hAnsi="宋体"/>
          <w:b/>
        </w:rPr>
        <w:t>始终有效且不予撤销已递交的</w:t>
      </w:r>
      <w:r>
        <w:rPr>
          <w:rFonts w:hint="eastAsia" w:ascii="宋体" w:hAnsi="宋体"/>
          <w:b/>
          <w:lang w:eastAsia="zh-CN"/>
        </w:rPr>
        <w:t>遴选响应文件</w:t>
      </w:r>
      <w:r>
        <w:rPr>
          <w:rFonts w:hint="eastAsia" w:ascii="宋体" w:hAnsi="宋体"/>
          <w:b/>
        </w:rPr>
        <w:t>。</w:t>
      </w:r>
    </w:p>
    <w:p w14:paraId="539CB16A">
      <w:pPr>
        <w:numPr>
          <w:ilvl w:val="0"/>
          <w:numId w:val="10"/>
        </w:numPr>
        <w:tabs>
          <w:tab w:val="clear" w:pos="780"/>
        </w:tabs>
        <w:snapToGrid w:val="0"/>
        <w:spacing w:line="360" w:lineRule="auto"/>
        <w:ind w:left="426"/>
        <w:rPr>
          <w:rFonts w:ascii="宋体" w:hAnsi="宋体"/>
          <w:b/>
        </w:rPr>
      </w:pPr>
      <w:r>
        <w:rPr>
          <w:rFonts w:hint="eastAsia" w:ascii="宋体" w:hAnsi="宋体"/>
          <w:b/>
        </w:rPr>
        <w:t>我单位已经详细地阅读并完全明白了全部</w:t>
      </w:r>
      <w:r>
        <w:rPr>
          <w:rFonts w:hint="eastAsia" w:ascii="宋体" w:hAnsi="宋体"/>
          <w:b/>
          <w:lang w:val="en-US" w:eastAsia="zh-CN"/>
        </w:rPr>
        <w:t>遴选文件</w:t>
      </w:r>
      <w:r>
        <w:rPr>
          <w:rFonts w:hint="eastAsia" w:ascii="宋体" w:hAnsi="宋体"/>
          <w:b/>
        </w:rPr>
        <w:t>及附件，包括澄清（如有）及参考文件，我单位完全理解本</w:t>
      </w:r>
      <w:r>
        <w:rPr>
          <w:rFonts w:hint="eastAsia" w:ascii="宋体" w:hAnsi="宋体"/>
          <w:b/>
          <w:lang w:val="en-US" w:eastAsia="zh-CN"/>
        </w:rPr>
        <w:t>遴选文件</w:t>
      </w:r>
      <w:r>
        <w:rPr>
          <w:rFonts w:hint="eastAsia" w:ascii="宋体" w:hAnsi="宋体"/>
          <w:b/>
        </w:rPr>
        <w:t>的要求，</w:t>
      </w:r>
      <w:r>
        <w:rPr>
          <w:rFonts w:hint="eastAsia" w:ascii="宋体"/>
          <w:b/>
        </w:rPr>
        <w:t>我单位同意放弃对</w:t>
      </w:r>
      <w:r>
        <w:rPr>
          <w:rFonts w:hint="eastAsia" w:ascii="宋体" w:hAnsi="宋体"/>
          <w:b/>
          <w:lang w:val="en-US" w:eastAsia="zh-CN"/>
        </w:rPr>
        <w:t>遴选文件</w:t>
      </w:r>
      <w:r>
        <w:rPr>
          <w:rFonts w:hint="eastAsia" w:ascii="宋体"/>
          <w:b/>
        </w:rPr>
        <w:t>提出不明或误解的一切权力</w:t>
      </w:r>
      <w:r>
        <w:rPr>
          <w:rFonts w:hint="eastAsia" w:ascii="宋体" w:hAnsi="宋体"/>
          <w:b/>
        </w:rPr>
        <w:t>。</w:t>
      </w:r>
    </w:p>
    <w:p w14:paraId="6B072C5B">
      <w:pPr>
        <w:numPr>
          <w:ilvl w:val="0"/>
          <w:numId w:val="10"/>
        </w:numPr>
        <w:tabs>
          <w:tab w:val="clear" w:pos="780"/>
        </w:tabs>
        <w:snapToGrid w:val="0"/>
        <w:spacing w:line="360" w:lineRule="auto"/>
        <w:ind w:left="426"/>
        <w:rPr>
          <w:rFonts w:ascii="宋体" w:hAnsi="宋体"/>
          <w:b/>
        </w:rPr>
      </w:pPr>
      <w:r>
        <w:rPr>
          <w:rFonts w:hint="eastAsia" w:ascii="宋体" w:hAnsi="宋体"/>
          <w:b/>
        </w:rPr>
        <w:t>我单位同意提供</w:t>
      </w:r>
      <w:r>
        <w:rPr>
          <w:rFonts w:hint="eastAsia" w:ascii="宋体" w:hAnsi="宋体" w:cs="宋体"/>
          <w:b/>
          <w:szCs w:val="21"/>
        </w:rPr>
        <w:t>采购人</w:t>
      </w:r>
      <w:r>
        <w:rPr>
          <w:rFonts w:hint="eastAsia" w:ascii="宋体" w:hAnsi="宋体"/>
          <w:b/>
        </w:rPr>
        <w:t>与</w:t>
      </w:r>
      <w:r>
        <w:rPr>
          <w:rFonts w:hint="eastAsia" w:ascii="宋体" w:hAnsi="宋体"/>
          <w:b/>
          <w:lang w:eastAsia="zh-CN"/>
        </w:rPr>
        <w:t>评审</w:t>
      </w:r>
      <w:r>
        <w:rPr>
          <w:rFonts w:hint="eastAsia" w:ascii="宋体" w:hAnsi="宋体"/>
          <w:b/>
        </w:rPr>
        <w:t>委员会要求的有关</w:t>
      </w:r>
      <w:r>
        <w:rPr>
          <w:rFonts w:hint="eastAsia" w:ascii="宋体" w:hAnsi="宋体"/>
          <w:b/>
          <w:lang w:eastAsia="zh-CN"/>
        </w:rPr>
        <w:t>遴选响应</w:t>
      </w:r>
      <w:r>
        <w:rPr>
          <w:rFonts w:hint="eastAsia" w:ascii="宋体" w:hAnsi="宋体"/>
          <w:b/>
        </w:rPr>
        <w:t>的一切数据或资料。</w:t>
      </w:r>
    </w:p>
    <w:p w14:paraId="0FD5B310">
      <w:pPr>
        <w:numPr>
          <w:ilvl w:val="0"/>
          <w:numId w:val="10"/>
        </w:numPr>
        <w:tabs>
          <w:tab w:val="clear" w:pos="780"/>
        </w:tabs>
        <w:snapToGrid w:val="0"/>
        <w:spacing w:line="360" w:lineRule="auto"/>
        <w:ind w:left="426"/>
        <w:rPr>
          <w:rFonts w:ascii="宋体" w:hAnsi="宋体"/>
          <w:b/>
        </w:rPr>
      </w:pPr>
      <w:r>
        <w:rPr>
          <w:rFonts w:hint="eastAsia" w:ascii="宋体" w:hAnsi="宋体"/>
          <w:b/>
        </w:rPr>
        <w:t>我单位理解</w:t>
      </w:r>
      <w:r>
        <w:rPr>
          <w:rFonts w:hint="eastAsia" w:ascii="宋体" w:hAnsi="宋体" w:cs="宋体"/>
          <w:b/>
          <w:szCs w:val="21"/>
        </w:rPr>
        <w:t>采购人</w:t>
      </w:r>
      <w:r>
        <w:rPr>
          <w:rFonts w:hint="eastAsia" w:ascii="宋体" w:hAnsi="宋体"/>
          <w:b/>
        </w:rPr>
        <w:t>与</w:t>
      </w:r>
      <w:r>
        <w:rPr>
          <w:rFonts w:hint="eastAsia" w:ascii="宋体" w:hAnsi="宋体"/>
          <w:b/>
          <w:lang w:eastAsia="zh-CN"/>
        </w:rPr>
        <w:t>评审</w:t>
      </w:r>
      <w:r>
        <w:rPr>
          <w:rFonts w:hint="eastAsia" w:ascii="宋体" w:hAnsi="宋体"/>
          <w:b/>
        </w:rPr>
        <w:t>委员会并无义务必须接受最低报价的</w:t>
      </w:r>
      <w:r>
        <w:rPr>
          <w:rFonts w:hint="eastAsia" w:ascii="宋体" w:hAnsi="宋体"/>
          <w:b/>
          <w:lang w:eastAsia="zh-CN"/>
        </w:rPr>
        <w:t>遴选响应</w:t>
      </w:r>
      <w:r>
        <w:rPr>
          <w:rFonts w:hint="eastAsia" w:ascii="宋体" w:hAnsi="宋体"/>
          <w:b/>
        </w:rPr>
        <w:t>或其它任何</w:t>
      </w:r>
      <w:r>
        <w:rPr>
          <w:rFonts w:hint="eastAsia" w:ascii="宋体" w:hAnsi="宋体"/>
          <w:b/>
          <w:lang w:eastAsia="zh-CN"/>
        </w:rPr>
        <w:t>遴选响应</w:t>
      </w:r>
      <w:r>
        <w:rPr>
          <w:rFonts w:hint="eastAsia" w:ascii="宋体" w:hAnsi="宋体"/>
          <w:b/>
        </w:rPr>
        <w:t>，完全理解拒绝迟到的任何</w:t>
      </w:r>
      <w:r>
        <w:rPr>
          <w:rFonts w:hint="eastAsia" w:ascii="宋体" w:hAnsi="宋体"/>
          <w:b/>
          <w:lang w:eastAsia="zh-CN"/>
        </w:rPr>
        <w:t>遴选响应</w:t>
      </w:r>
      <w:r>
        <w:rPr>
          <w:rFonts w:hint="eastAsia" w:ascii="宋体" w:hAnsi="宋体"/>
          <w:b/>
        </w:rPr>
        <w:t>和最低</w:t>
      </w:r>
      <w:r>
        <w:rPr>
          <w:rFonts w:hint="eastAsia" w:ascii="宋体" w:hAnsi="宋体"/>
          <w:b/>
          <w:lang w:eastAsia="zh-CN"/>
        </w:rPr>
        <w:t>遴选响应</w:t>
      </w:r>
      <w:r>
        <w:rPr>
          <w:rFonts w:hint="eastAsia" w:ascii="宋体" w:hAnsi="宋体"/>
          <w:b/>
        </w:rPr>
        <w:t>报价不是被授予</w:t>
      </w:r>
      <w:r>
        <w:rPr>
          <w:rFonts w:hint="eastAsia" w:ascii="宋体" w:hAnsi="宋体"/>
          <w:b/>
          <w:lang w:eastAsia="zh-CN"/>
        </w:rPr>
        <w:t>中选</w:t>
      </w:r>
      <w:r>
        <w:rPr>
          <w:rFonts w:hint="eastAsia" w:ascii="宋体" w:hAnsi="宋体"/>
          <w:b/>
        </w:rPr>
        <w:t>的唯一条件。</w:t>
      </w:r>
    </w:p>
    <w:p w14:paraId="2BDE4B1F">
      <w:pPr>
        <w:numPr>
          <w:ilvl w:val="0"/>
          <w:numId w:val="10"/>
        </w:numPr>
        <w:tabs>
          <w:tab w:val="clear" w:pos="780"/>
        </w:tabs>
        <w:snapToGrid w:val="0"/>
        <w:spacing w:line="360" w:lineRule="auto"/>
        <w:ind w:left="426"/>
        <w:rPr>
          <w:rFonts w:ascii="宋体" w:hAnsi="宋体"/>
          <w:b/>
        </w:rPr>
      </w:pPr>
      <w:r>
        <w:rPr>
          <w:rFonts w:hint="eastAsia" w:ascii="宋体" w:hAnsi="宋体"/>
          <w:b/>
        </w:rPr>
        <w:t>如果我单位未对</w:t>
      </w:r>
      <w:r>
        <w:rPr>
          <w:rFonts w:hint="eastAsia" w:ascii="宋体" w:hAnsi="宋体"/>
          <w:b/>
          <w:lang w:val="en-US" w:eastAsia="zh-CN"/>
        </w:rPr>
        <w:t>遴选文件</w:t>
      </w:r>
      <w:r>
        <w:rPr>
          <w:rFonts w:hint="eastAsia" w:ascii="宋体" w:hAnsi="宋体"/>
          <w:b/>
        </w:rPr>
        <w:t>全部要求作出实质性</w:t>
      </w:r>
      <w:r>
        <w:rPr>
          <w:rFonts w:hint="eastAsia" w:ascii="宋体" w:hAnsi="宋体"/>
          <w:b/>
          <w:lang w:eastAsia="zh-CN"/>
        </w:rPr>
        <w:t>遴选响应</w:t>
      </w:r>
      <w:r>
        <w:rPr>
          <w:rFonts w:hint="eastAsia" w:ascii="宋体" w:hAnsi="宋体"/>
          <w:b/>
        </w:rPr>
        <w:t>，则完全同意并接受按无效</w:t>
      </w:r>
      <w:r>
        <w:rPr>
          <w:rFonts w:hint="eastAsia" w:ascii="宋体" w:hAnsi="宋体"/>
          <w:b/>
          <w:lang w:eastAsia="zh-CN"/>
        </w:rPr>
        <w:t>遴选响应</w:t>
      </w:r>
      <w:r>
        <w:rPr>
          <w:rFonts w:hint="eastAsia" w:ascii="宋体" w:hAnsi="宋体"/>
          <w:b/>
        </w:rPr>
        <w:t xml:space="preserve">处理。 </w:t>
      </w:r>
    </w:p>
    <w:p w14:paraId="4E34F74F">
      <w:pPr>
        <w:numPr>
          <w:ilvl w:val="0"/>
          <w:numId w:val="10"/>
        </w:numPr>
        <w:tabs>
          <w:tab w:val="clear" w:pos="780"/>
        </w:tabs>
        <w:snapToGrid w:val="0"/>
        <w:spacing w:line="360" w:lineRule="auto"/>
        <w:ind w:left="426"/>
        <w:rPr>
          <w:rFonts w:ascii="宋体" w:hAnsi="宋体"/>
          <w:b/>
        </w:rPr>
      </w:pPr>
      <w:r>
        <w:rPr>
          <w:rFonts w:hint="eastAsia" w:ascii="宋体" w:hAnsi="宋体"/>
          <w:b/>
        </w:rPr>
        <w:t>我单位已认真核实了</w:t>
      </w:r>
      <w:r>
        <w:rPr>
          <w:rFonts w:hint="eastAsia" w:ascii="宋体" w:hAnsi="宋体"/>
          <w:b/>
          <w:lang w:eastAsia="zh-CN"/>
        </w:rPr>
        <w:t>遴选响应文件</w:t>
      </w:r>
      <w:r>
        <w:rPr>
          <w:rFonts w:hint="eastAsia" w:ascii="宋体" w:hAnsi="宋体"/>
          <w:b/>
        </w:rPr>
        <w:t>的全部资料，所有资料均为真实资料。我单位对</w:t>
      </w:r>
      <w:r>
        <w:rPr>
          <w:rFonts w:hint="eastAsia" w:ascii="宋体" w:hAnsi="宋体"/>
          <w:b/>
          <w:lang w:eastAsia="zh-CN"/>
        </w:rPr>
        <w:t>遴选响应文件</w:t>
      </w:r>
      <w:r>
        <w:rPr>
          <w:rFonts w:hint="eastAsia" w:ascii="宋体" w:hAnsi="宋体"/>
          <w:b/>
        </w:rPr>
        <w:t>中全部</w:t>
      </w:r>
      <w:r>
        <w:rPr>
          <w:rFonts w:hint="eastAsia" w:ascii="宋体" w:hAnsi="宋体"/>
          <w:b/>
          <w:lang w:eastAsia="zh-CN"/>
        </w:rPr>
        <w:t>遴选响应</w:t>
      </w:r>
      <w:r>
        <w:rPr>
          <w:rFonts w:hint="eastAsia" w:ascii="宋体" w:hAnsi="宋体"/>
          <w:b/>
        </w:rPr>
        <w:t>资料的真实性负责，如被证实我单位的</w:t>
      </w:r>
      <w:r>
        <w:rPr>
          <w:rFonts w:hint="eastAsia" w:ascii="宋体" w:hAnsi="宋体"/>
          <w:b/>
          <w:lang w:eastAsia="zh-CN"/>
        </w:rPr>
        <w:t>遴选响应文件</w:t>
      </w:r>
      <w:r>
        <w:rPr>
          <w:rFonts w:hint="eastAsia" w:ascii="宋体" w:hAnsi="宋体"/>
          <w:b/>
        </w:rPr>
        <w:t>中存在虚假资料的，则视为我单位隐瞒真实情况、提供虚假资料，我单位愿意接受主管部门作出的行政处罚。</w:t>
      </w:r>
    </w:p>
    <w:p w14:paraId="239B7B50">
      <w:pPr>
        <w:numPr>
          <w:ilvl w:val="0"/>
          <w:numId w:val="10"/>
        </w:numPr>
        <w:tabs>
          <w:tab w:val="clear" w:pos="780"/>
        </w:tabs>
        <w:snapToGrid w:val="0"/>
        <w:spacing w:line="360" w:lineRule="auto"/>
        <w:ind w:left="426"/>
        <w:rPr>
          <w:rFonts w:ascii="宋体" w:hAnsi="宋体"/>
          <w:b/>
        </w:rPr>
      </w:pPr>
      <w:r>
        <w:rPr>
          <w:rFonts w:hint="eastAsia" w:ascii="宋体" w:hAnsi="宋体"/>
          <w:b/>
        </w:rPr>
        <w:t>如果我单位提供的声明或承诺不真实，则完全同意认定为我司提供虚假材料，并同意作相应处理。</w:t>
      </w:r>
    </w:p>
    <w:p w14:paraId="4C1AC611">
      <w:pPr>
        <w:numPr>
          <w:ilvl w:val="0"/>
          <w:numId w:val="10"/>
        </w:numPr>
        <w:tabs>
          <w:tab w:val="clear" w:pos="780"/>
        </w:tabs>
        <w:snapToGrid w:val="0"/>
        <w:spacing w:line="360" w:lineRule="auto"/>
        <w:ind w:left="426"/>
        <w:rPr>
          <w:rFonts w:ascii="宋体" w:hAnsi="宋体"/>
          <w:b/>
        </w:rPr>
      </w:pPr>
      <w:r>
        <w:rPr>
          <w:rFonts w:hint="eastAsia" w:ascii="宋体" w:hAnsi="宋体"/>
          <w:b/>
        </w:rPr>
        <w:t>我单位是依法注册的法人，在法律、财务及运作上完全独立于本项目采购人、用户单位（如有）。</w:t>
      </w:r>
    </w:p>
    <w:p w14:paraId="1F18F6C0">
      <w:pPr>
        <w:numPr>
          <w:ilvl w:val="0"/>
          <w:numId w:val="10"/>
        </w:numPr>
        <w:tabs>
          <w:tab w:val="clear" w:pos="780"/>
        </w:tabs>
        <w:snapToGrid w:val="0"/>
        <w:spacing w:line="360" w:lineRule="auto"/>
        <w:ind w:left="426"/>
        <w:outlineLvl w:val="9"/>
        <w:rPr>
          <w:rFonts w:ascii="宋体" w:hAnsi="宋体"/>
          <w:b/>
        </w:rPr>
      </w:pPr>
      <w:r>
        <w:rPr>
          <w:rFonts w:hint="eastAsia" w:ascii="宋体" w:hAnsi="宋体"/>
          <w:b/>
        </w:rPr>
        <w:t>所有有关本次</w:t>
      </w:r>
      <w:r>
        <w:rPr>
          <w:rFonts w:hint="eastAsia" w:ascii="宋体" w:hAnsi="宋体"/>
          <w:b/>
          <w:lang w:eastAsia="zh-CN"/>
        </w:rPr>
        <w:t>遴选响应</w:t>
      </w:r>
      <w:r>
        <w:rPr>
          <w:rFonts w:hint="eastAsia" w:ascii="宋体" w:hAnsi="宋体"/>
          <w:b/>
        </w:rPr>
        <w:t>的函电请寄：</w:t>
      </w:r>
      <w:r>
        <w:rPr>
          <w:rFonts w:hint="eastAsia" w:ascii="宋体" w:hAnsi="宋体"/>
          <w:b/>
          <w:u w:val="single"/>
        </w:rPr>
        <w:t xml:space="preserve">  （</w:t>
      </w:r>
      <w:r>
        <w:rPr>
          <w:rFonts w:hint="eastAsia" w:ascii="宋体" w:hAnsi="宋体"/>
          <w:b/>
          <w:u w:val="single"/>
          <w:lang w:eastAsia="zh-CN"/>
        </w:rPr>
        <w:t>遴选响应方</w:t>
      </w:r>
      <w:r>
        <w:rPr>
          <w:rFonts w:hint="eastAsia" w:ascii="宋体" w:hAnsi="宋体"/>
          <w:b/>
          <w:u w:val="single"/>
        </w:rPr>
        <w:t xml:space="preserve">地址）   </w:t>
      </w:r>
    </w:p>
    <w:p w14:paraId="47161A4E">
      <w:pPr>
        <w:numPr>
          <w:ilvl w:val="0"/>
          <w:numId w:val="0"/>
        </w:numPr>
        <w:snapToGrid w:val="0"/>
        <w:spacing w:line="360" w:lineRule="auto"/>
        <w:ind w:left="66" w:leftChars="0"/>
        <w:rPr>
          <w:rFonts w:hint="eastAsia" w:ascii="宋体" w:hAnsi="宋体"/>
          <w:b/>
        </w:rPr>
      </w:pPr>
    </w:p>
    <w:p w14:paraId="12626E67">
      <w:pPr>
        <w:numPr>
          <w:ilvl w:val="0"/>
          <w:numId w:val="0"/>
        </w:numPr>
        <w:snapToGrid w:val="0"/>
        <w:spacing w:line="360" w:lineRule="auto"/>
        <w:ind w:left="66" w:leftChars="0"/>
        <w:rPr>
          <w:rFonts w:hint="eastAsia" w:ascii="宋体" w:hAnsi="宋体"/>
          <w:b/>
        </w:rPr>
      </w:pPr>
      <w:r>
        <w:rPr>
          <w:rFonts w:hint="eastAsia" w:ascii="宋体" w:hAnsi="宋体"/>
          <w:b/>
        </w:rPr>
        <w:t>备注：</w:t>
      </w:r>
    </w:p>
    <w:p w14:paraId="117E2E10">
      <w:pPr>
        <w:numPr>
          <w:ilvl w:val="0"/>
          <w:numId w:val="0"/>
        </w:numPr>
        <w:snapToGrid w:val="0"/>
        <w:spacing w:line="360" w:lineRule="auto"/>
        <w:ind w:left="66" w:leftChars="0"/>
        <w:rPr>
          <w:rFonts w:hint="eastAsia" w:ascii="宋体" w:hAnsi="宋体"/>
          <w:b/>
        </w:rPr>
      </w:pPr>
      <w:r>
        <w:rPr>
          <w:rFonts w:hint="eastAsia" w:ascii="宋体" w:hAnsi="宋体"/>
          <w:b/>
        </w:rPr>
        <w:t>1、</w:t>
      </w:r>
      <w:r>
        <w:rPr>
          <w:rFonts w:hint="eastAsia" w:ascii="宋体" w:hAnsi="宋体"/>
          <w:b/>
          <w:lang w:eastAsia="zh-CN"/>
        </w:rPr>
        <w:t>遴选响应</w:t>
      </w:r>
      <w:r>
        <w:rPr>
          <w:rFonts w:hint="eastAsia" w:ascii="宋体" w:hAnsi="宋体"/>
          <w:b/>
        </w:rPr>
        <w:t>函中承诺的</w:t>
      </w:r>
      <w:r>
        <w:rPr>
          <w:rFonts w:hint="eastAsia" w:ascii="宋体" w:hAnsi="宋体"/>
          <w:b/>
          <w:lang w:eastAsia="zh-CN"/>
        </w:rPr>
        <w:t>遴选响应</w:t>
      </w:r>
      <w:r>
        <w:rPr>
          <w:rFonts w:hint="eastAsia" w:ascii="宋体" w:hAnsi="宋体"/>
          <w:b/>
        </w:rPr>
        <w:t>有效期应当不少于</w:t>
      </w:r>
      <w:r>
        <w:rPr>
          <w:rFonts w:hint="eastAsia" w:ascii="宋体" w:hAnsi="宋体"/>
          <w:b/>
          <w:lang w:val="en-US" w:eastAsia="zh-CN"/>
        </w:rPr>
        <w:t>遴选文件</w:t>
      </w:r>
      <w:r>
        <w:rPr>
          <w:rFonts w:hint="eastAsia" w:ascii="宋体" w:hAnsi="宋体"/>
          <w:b/>
        </w:rPr>
        <w:t>中载明的</w:t>
      </w:r>
      <w:r>
        <w:rPr>
          <w:rFonts w:hint="eastAsia" w:ascii="宋体" w:hAnsi="宋体"/>
          <w:b/>
          <w:lang w:eastAsia="zh-CN"/>
        </w:rPr>
        <w:t>遴选响应</w:t>
      </w:r>
      <w:r>
        <w:rPr>
          <w:rFonts w:hint="eastAsia" w:ascii="宋体" w:hAnsi="宋体"/>
          <w:b/>
        </w:rPr>
        <w:t>有效期，否则视为无效</w:t>
      </w:r>
      <w:r>
        <w:rPr>
          <w:rFonts w:hint="eastAsia" w:ascii="宋体" w:hAnsi="宋体"/>
          <w:b/>
          <w:lang w:eastAsia="zh-CN"/>
        </w:rPr>
        <w:t>遴选响应</w:t>
      </w:r>
      <w:r>
        <w:rPr>
          <w:rFonts w:hint="eastAsia" w:ascii="宋体" w:hAnsi="宋体"/>
          <w:b/>
        </w:rPr>
        <w:t>。</w:t>
      </w:r>
    </w:p>
    <w:p w14:paraId="681BA045">
      <w:pPr>
        <w:numPr>
          <w:ilvl w:val="0"/>
          <w:numId w:val="0"/>
        </w:numPr>
        <w:snapToGrid w:val="0"/>
        <w:spacing w:line="360" w:lineRule="auto"/>
        <w:ind w:left="66" w:leftChars="0"/>
        <w:rPr>
          <w:rFonts w:hint="eastAsia" w:ascii="宋体" w:hAnsi="宋体"/>
          <w:b/>
        </w:rPr>
      </w:pPr>
      <w:r>
        <w:rPr>
          <w:rFonts w:hint="eastAsia" w:ascii="宋体" w:hAnsi="宋体"/>
          <w:b/>
        </w:rPr>
        <w:t>2、除</w:t>
      </w:r>
      <w:r>
        <w:rPr>
          <w:rFonts w:hint="eastAsia" w:ascii="宋体" w:hAnsi="宋体"/>
          <w:b/>
          <w:lang w:eastAsia="zh-CN"/>
        </w:rPr>
        <w:t>遴选响应</w:t>
      </w:r>
      <w:r>
        <w:rPr>
          <w:rFonts w:hint="eastAsia" w:ascii="宋体" w:hAnsi="宋体"/>
          <w:b/>
        </w:rPr>
        <w:t>有效期承诺的时间外，本</w:t>
      </w:r>
      <w:r>
        <w:rPr>
          <w:rFonts w:hint="eastAsia" w:ascii="宋体" w:hAnsi="宋体"/>
          <w:b/>
          <w:lang w:eastAsia="zh-CN"/>
        </w:rPr>
        <w:t>遴选响应</w:t>
      </w:r>
      <w:r>
        <w:rPr>
          <w:rFonts w:hint="eastAsia" w:ascii="宋体" w:hAnsi="宋体"/>
          <w:b/>
        </w:rPr>
        <w:t>函内容不得擅自删改，否则视为无效</w:t>
      </w:r>
      <w:r>
        <w:rPr>
          <w:rFonts w:hint="eastAsia" w:ascii="宋体" w:hAnsi="宋体"/>
          <w:b/>
          <w:lang w:eastAsia="zh-CN"/>
        </w:rPr>
        <w:t>遴选响应</w:t>
      </w:r>
      <w:r>
        <w:rPr>
          <w:rFonts w:hint="eastAsia" w:ascii="宋体" w:hAnsi="宋体"/>
          <w:b/>
        </w:rPr>
        <w:t xml:space="preserve">。 </w:t>
      </w:r>
    </w:p>
    <w:p w14:paraId="25611BD8">
      <w:pPr>
        <w:autoSpaceDE w:val="0"/>
        <w:autoSpaceDN w:val="0"/>
        <w:adjustRightInd w:val="0"/>
        <w:spacing w:line="360" w:lineRule="auto"/>
        <w:rPr>
          <w:rFonts w:ascii="宋体" w:hAnsi="宋体"/>
          <w:b/>
        </w:rPr>
      </w:pPr>
    </w:p>
    <w:p w14:paraId="71C7008C">
      <w:pPr>
        <w:spacing w:line="360" w:lineRule="auto"/>
        <w:rPr>
          <w:sz w:val="24"/>
        </w:rPr>
      </w:pPr>
      <w:r>
        <w:rPr>
          <w:rFonts w:hint="eastAsia"/>
          <w:b/>
          <w:bCs/>
          <w:sz w:val="24"/>
          <w:lang w:eastAsia="zh-CN"/>
        </w:rPr>
        <w:t>遴选响应方</w:t>
      </w:r>
      <w:r>
        <w:rPr>
          <w:rFonts w:hint="eastAsia"/>
          <w:b/>
          <w:bCs/>
          <w:sz w:val="24"/>
        </w:rPr>
        <w:t>单位名称：</w:t>
      </w:r>
      <w:r>
        <w:rPr>
          <w:rFonts w:hint="eastAsia"/>
          <w:sz w:val="24"/>
          <w:u w:val="single"/>
        </w:rPr>
        <w:t xml:space="preserve">                            </w:t>
      </w:r>
      <w:r>
        <w:rPr>
          <w:rFonts w:hint="eastAsia"/>
          <w:sz w:val="24"/>
        </w:rPr>
        <w:t xml:space="preserve"> </w:t>
      </w:r>
    </w:p>
    <w:p w14:paraId="3A0C8083">
      <w:pPr>
        <w:spacing w:line="360" w:lineRule="auto"/>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54F1B277">
      <w:pPr>
        <w:spacing w:line="360" w:lineRule="auto"/>
        <w:outlineLvl w:val="9"/>
        <w:rPr>
          <w:sz w:val="24"/>
        </w:rPr>
      </w:pPr>
      <w:bookmarkStart w:id="84" w:name="_Toc631"/>
      <w:r>
        <w:rPr>
          <w:rFonts w:hint="eastAsia"/>
          <w:b/>
          <w:sz w:val="24"/>
        </w:rPr>
        <w:t>（此处加盖</w:t>
      </w:r>
      <w:r>
        <w:rPr>
          <w:rFonts w:hint="eastAsia"/>
          <w:b/>
          <w:sz w:val="24"/>
          <w:lang w:eastAsia="zh-CN"/>
        </w:rPr>
        <w:t>遴选响应方</w:t>
      </w:r>
      <w:r>
        <w:rPr>
          <w:rFonts w:hint="eastAsia"/>
          <w:b/>
          <w:sz w:val="24"/>
        </w:rPr>
        <w:t>单位公章）</w:t>
      </w:r>
      <w:bookmarkEnd w:id="84"/>
    </w:p>
    <w:p w14:paraId="273868D5">
      <w:pPr>
        <w:adjustRightInd w:val="0"/>
        <w:snapToGrid w:val="0"/>
        <w:spacing w:line="360" w:lineRule="auto"/>
        <w:rPr>
          <w:rFonts w:ascii="黑体" w:eastAsia="黑体"/>
          <w:b/>
          <w:bCs/>
          <w:sz w:val="24"/>
        </w:rPr>
        <w:sectPr>
          <w:pgSz w:w="11906" w:h="16838"/>
          <w:pgMar w:top="1440" w:right="1286" w:bottom="144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BC64CD1">
      <w:pPr>
        <w:pStyle w:val="3"/>
        <w:numPr>
          <w:ilvl w:val="0"/>
          <w:numId w:val="0"/>
        </w:numPr>
        <w:spacing w:line="240" w:lineRule="auto"/>
        <w:ind w:left="420" w:leftChars="0" w:hanging="420" w:firstLineChars="0"/>
        <w:jc w:val="center"/>
        <w:rPr>
          <w:rFonts w:asciiTheme="majorEastAsia" w:hAnsiTheme="majorEastAsia" w:eastAsiaTheme="majorEastAsia"/>
          <w:sz w:val="30"/>
          <w:szCs w:val="30"/>
        </w:rPr>
      </w:pPr>
      <w:bookmarkStart w:id="85" w:name="_Toc18789"/>
      <w:bookmarkStart w:id="86" w:name="_Toc4649"/>
      <w:bookmarkStart w:id="87" w:name="_Toc6802"/>
      <w:bookmarkStart w:id="88" w:name="_Toc7805"/>
      <w:r>
        <w:rPr>
          <w:rFonts w:hint="eastAsia" w:cs="宋体" w:asciiTheme="majorEastAsia" w:hAnsiTheme="majorEastAsia" w:eastAsiaTheme="majorEastAsia"/>
          <w:kern w:val="2"/>
          <w:sz w:val="30"/>
          <w:szCs w:val="30"/>
          <w:lang w:val="en-US" w:eastAsia="zh-CN" w:bidi="ar-SA"/>
        </w:rPr>
        <w:t>（十）</w:t>
      </w:r>
      <w:r>
        <w:rPr>
          <w:rFonts w:hint="eastAsia" w:asciiTheme="majorEastAsia" w:hAnsiTheme="majorEastAsia" w:eastAsiaTheme="majorEastAsia"/>
          <w:sz w:val="30"/>
          <w:szCs w:val="30"/>
          <w:lang w:eastAsia="zh-CN"/>
        </w:rPr>
        <w:t>遴选响应方</w:t>
      </w:r>
      <w:r>
        <w:rPr>
          <w:rFonts w:hint="eastAsia" w:asciiTheme="majorEastAsia" w:hAnsiTheme="majorEastAsia" w:eastAsiaTheme="majorEastAsia"/>
          <w:sz w:val="30"/>
          <w:szCs w:val="30"/>
        </w:rPr>
        <w:t>资格声明函</w:t>
      </w:r>
      <w:bookmarkEnd w:id="85"/>
      <w:bookmarkEnd w:id="86"/>
      <w:bookmarkEnd w:id="87"/>
      <w:bookmarkEnd w:id="88"/>
    </w:p>
    <w:p w14:paraId="0438D9BD">
      <w:pPr>
        <w:spacing w:line="360" w:lineRule="auto"/>
        <w:rPr>
          <w:rFonts w:hint="default" w:ascii="宋体" w:hAnsi="宋体" w:eastAsiaTheme="minorEastAsia"/>
          <w:color w:val="auto"/>
          <w:szCs w:val="21"/>
          <w:highlight w:val="none"/>
          <w:lang w:val="en-US" w:eastAsia="zh-CN"/>
        </w:rPr>
      </w:pPr>
      <w:r>
        <w:rPr>
          <w:rFonts w:hint="eastAsia" w:ascii="宋体" w:hAnsi="宋体"/>
          <w:szCs w:val="21"/>
        </w:rPr>
        <w:t>致：</w:t>
      </w:r>
      <w:r>
        <w:rPr>
          <w:rFonts w:hint="eastAsia" w:ascii="宋体" w:hAnsi="宋体"/>
          <w:szCs w:val="21"/>
          <w:lang w:val="en-US" w:eastAsia="zh-CN"/>
        </w:rPr>
        <w:t>深圳市福田区第二人民医院</w:t>
      </w:r>
    </w:p>
    <w:p w14:paraId="4C254893">
      <w:pPr>
        <w:pStyle w:val="115"/>
        <w:snapToGrid w:val="0"/>
        <w:spacing w:before="156" w:beforeLines="50" w:line="360" w:lineRule="auto"/>
        <w:ind w:left="630" w:leftChars="300" w:firstLine="210" w:firstLineChars="100"/>
        <w:rPr>
          <w:rFonts w:ascii="宋体" w:hAnsi="宋体"/>
          <w:color w:val="auto"/>
          <w:highlight w:val="none"/>
        </w:rPr>
      </w:pPr>
      <w:r>
        <w:rPr>
          <w:rFonts w:hint="eastAsia" w:ascii="宋体" w:hAnsi="宋体"/>
          <w:color w:val="auto"/>
          <w:highlight w:val="none"/>
        </w:rPr>
        <w:t>关于贵</w:t>
      </w:r>
      <w:r>
        <w:rPr>
          <w:rFonts w:hint="eastAsia" w:ascii="宋体" w:hAnsi="宋体"/>
          <w:color w:val="auto"/>
          <w:highlight w:val="none"/>
          <w:lang w:val="en-US" w:eastAsia="zh-CN"/>
        </w:rPr>
        <w:t>单位</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项目（项目编号：</w:t>
      </w:r>
      <w:r>
        <w:rPr>
          <w:rFonts w:hint="eastAsia" w:ascii="宋体" w:hAnsi="宋体"/>
          <w:color w:val="auto"/>
          <w:highlight w:val="none"/>
          <w:u w:val="single"/>
          <w:lang w:val="en-US" w:eastAsia="zh-CN"/>
        </w:rPr>
        <w:t xml:space="preserve">                 </w:t>
      </w:r>
      <w:r>
        <w:rPr>
          <w:rFonts w:hint="eastAsia" w:ascii="宋体" w:hAnsi="宋体"/>
          <w:color w:val="auto"/>
          <w:highlight w:val="none"/>
        </w:rPr>
        <w:t>）</w:t>
      </w:r>
      <w:r>
        <w:rPr>
          <w:rFonts w:hint="eastAsia" w:ascii="宋体" w:hAnsi="宋体"/>
          <w:color w:val="auto"/>
          <w:highlight w:val="none"/>
          <w:lang w:val="en-US" w:eastAsia="zh-CN"/>
        </w:rPr>
        <w:t>遴选</w:t>
      </w:r>
      <w:r>
        <w:rPr>
          <w:rFonts w:hint="eastAsia" w:ascii="宋体" w:hAnsi="宋体"/>
          <w:color w:val="auto"/>
          <w:highlight w:val="none"/>
        </w:rPr>
        <w:t>，本公司</w:t>
      </w:r>
      <w:r>
        <w:rPr>
          <w:rFonts w:hint="eastAsia" w:ascii="宋体" w:hAnsi="宋体"/>
          <w:color w:val="auto"/>
          <w:highlight w:val="none"/>
          <w:u w:val="single"/>
          <w:lang w:val="en-US" w:eastAsia="zh-CN"/>
        </w:rPr>
        <w:t xml:space="preserve">        </w:t>
      </w:r>
      <w:r>
        <w:rPr>
          <w:rFonts w:hint="eastAsia" w:ascii="宋体" w:hAnsi="宋体"/>
          <w:color w:val="auto"/>
          <w:highlight w:val="none"/>
        </w:rPr>
        <w:t>（企业）</w:t>
      </w:r>
      <w:r>
        <w:rPr>
          <w:rFonts w:hint="eastAsia" w:ascii="宋体" w:hAnsi="宋体"/>
          <w:color w:val="auto"/>
          <w:highlight w:val="none"/>
          <w:u w:val="single"/>
          <w:lang w:val="en-US" w:eastAsia="zh-CN"/>
        </w:rPr>
        <w:t xml:space="preserve">                 </w:t>
      </w:r>
      <w:r>
        <w:rPr>
          <w:rFonts w:hint="eastAsia" w:ascii="宋体" w:hAnsi="宋体"/>
          <w:color w:val="auto"/>
          <w:highlight w:val="none"/>
        </w:rPr>
        <w:t>愿意参加</w:t>
      </w:r>
      <w:r>
        <w:rPr>
          <w:rFonts w:hint="eastAsia" w:ascii="宋体" w:hAnsi="宋体"/>
          <w:color w:val="auto"/>
          <w:highlight w:val="none"/>
          <w:lang w:eastAsia="zh-CN"/>
        </w:rPr>
        <w:t>遴选响应</w:t>
      </w:r>
      <w:r>
        <w:rPr>
          <w:rFonts w:hint="eastAsia" w:ascii="宋体" w:hAnsi="宋体"/>
          <w:color w:val="auto"/>
          <w:highlight w:val="none"/>
        </w:rPr>
        <w:t>，并声明：</w:t>
      </w:r>
    </w:p>
    <w:p w14:paraId="179ACA93">
      <w:pPr>
        <w:numPr>
          <w:ilvl w:val="0"/>
          <w:numId w:val="11"/>
        </w:numPr>
        <w:spacing w:line="360" w:lineRule="auto"/>
        <w:ind w:right="-815" w:firstLineChars="200"/>
        <w:rPr>
          <w:rFonts w:ascii="宋体" w:hAnsi="宋体"/>
          <w:szCs w:val="21"/>
        </w:rPr>
      </w:pPr>
      <w:r>
        <w:rPr>
          <w:rFonts w:hint="eastAsia" w:ascii="宋体" w:hAnsi="宋体"/>
          <w:color w:val="auto"/>
          <w:szCs w:val="21"/>
          <w:highlight w:val="none"/>
        </w:rPr>
        <w:t>我公司</w:t>
      </w:r>
      <w:r>
        <w:rPr>
          <w:rFonts w:hint="eastAsia" w:asciiTheme="minorEastAsia" w:hAnsiTheme="minorEastAsia" w:eastAsiaTheme="minorEastAsia"/>
          <w:bCs/>
          <w:color w:val="auto"/>
          <w:szCs w:val="21"/>
          <w:highlight w:val="none"/>
        </w:rPr>
        <w:t>具备</w:t>
      </w:r>
      <w:r>
        <w:rPr>
          <w:rFonts w:hint="eastAsia" w:ascii="宋体" w:hAnsi="宋体"/>
          <w:bCs/>
          <w:color w:val="auto"/>
          <w:szCs w:val="20"/>
          <w:highlight w:val="none"/>
        </w:rPr>
        <w:t>《中华人民共和国政府</w:t>
      </w:r>
      <w:r>
        <w:rPr>
          <w:rFonts w:hint="eastAsia" w:ascii="宋体" w:hAnsi="宋体"/>
          <w:bCs/>
          <w:szCs w:val="20"/>
        </w:rPr>
        <w:t>采购法》</w:t>
      </w:r>
      <w:r>
        <w:rPr>
          <w:rFonts w:hint="eastAsia" w:asciiTheme="minorEastAsia" w:hAnsiTheme="minorEastAsia" w:eastAsiaTheme="minorEastAsia"/>
          <w:bCs/>
          <w:szCs w:val="21"/>
        </w:rPr>
        <w:t>第二十二条规定的条件：</w:t>
      </w:r>
    </w:p>
    <w:p w14:paraId="6871E880">
      <w:pPr>
        <w:spacing w:line="360" w:lineRule="auto"/>
        <w:ind w:firstLine="420" w:firstLineChars="200"/>
        <w:rPr>
          <w:rFonts w:ascii="宋体" w:hAnsi="宋体"/>
          <w:szCs w:val="21"/>
        </w:rPr>
      </w:pPr>
      <w:r>
        <w:rPr>
          <w:rFonts w:hint="eastAsia" w:ascii="宋体" w:hAnsi="宋体"/>
          <w:szCs w:val="21"/>
        </w:rPr>
        <w:t>1.具有独立承担民事责任的能力；</w:t>
      </w:r>
    </w:p>
    <w:p w14:paraId="4E1E005F">
      <w:pPr>
        <w:spacing w:line="360" w:lineRule="auto"/>
        <w:ind w:firstLine="420" w:firstLineChars="200"/>
        <w:rPr>
          <w:rFonts w:ascii="宋体" w:hAnsi="宋体"/>
          <w:szCs w:val="21"/>
        </w:rPr>
      </w:pPr>
      <w:r>
        <w:rPr>
          <w:rFonts w:hint="eastAsia" w:ascii="宋体" w:hAnsi="宋体"/>
          <w:szCs w:val="21"/>
        </w:rPr>
        <w:t>2.具有良好的商业信誉和健全的财务会计制度；</w:t>
      </w:r>
    </w:p>
    <w:p w14:paraId="752880AF">
      <w:pPr>
        <w:spacing w:line="360" w:lineRule="auto"/>
        <w:ind w:firstLine="420" w:firstLineChars="200"/>
        <w:rPr>
          <w:rFonts w:ascii="宋体" w:hAnsi="宋体"/>
          <w:szCs w:val="21"/>
        </w:rPr>
      </w:pPr>
      <w:r>
        <w:rPr>
          <w:rFonts w:hint="eastAsia" w:ascii="宋体" w:hAnsi="宋体"/>
          <w:szCs w:val="21"/>
        </w:rPr>
        <w:t>3.具有履行合同所必需的设备和专业技术能力；</w:t>
      </w:r>
    </w:p>
    <w:p w14:paraId="57028112">
      <w:pPr>
        <w:spacing w:line="360" w:lineRule="auto"/>
        <w:ind w:firstLine="420" w:firstLineChars="200"/>
        <w:rPr>
          <w:rFonts w:ascii="宋体" w:hAnsi="宋体"/>
          <w:szCs w:val="21"/>
        </w:rPr>
      </w:pPr>
      <w:r>
        <w:rPr>
          <w:rFonts w:hint="eastAsia" w:ascii="宋体" w:hAnsi="宋体"/>
          <w:szCs w:val="21"/>
        </w:rPr>
        <w:t>4.有依法缴纳税收和社会保障资金的良好记录；</w:t>
      </w:r>
    </w:p>
    <w:p w14:paraId="33F25E51">
      <w:pPr>
        <w:spacing w:line="360" w:lineRule="auto"/>
        <w:ind w:firstLine="420" w:firstLineChars="200"/>
        <w:rPr>
          <w:rFonts w:ascii="宋体" w:hAnsi="宋体"/>
          <w:szCs w:val="21"/>
        </w:rPr>
      </w:pPr>
      <w:r>
        <w:rPr>
          <w:rFonts w:hint="eastAsia" w:ascii="宋体" w:hAnsi="宋体"/>
          <w:szCs w:val="21"/>
        </w:rPr>
        <w:t>5.参加政府采购活动前三年内，在经营活动中没有重大违法记录；</w:t>
      </w:r>
    </w:p>
    <w:p w14:paraId="658056BA">
      <w:pPr>
        <w:spacing w:line="360" w:lineRule="auto"/>
        <w:ind w:firstLine="420" w:firstLineChars="200"/>
        <w:rPr>
          <w:rFonts w:ascii="宋体" w:hAnsi="宋体"/>
          <w:szCs w:val="21"/>
        </w:rPr>
      </w:pPr>
      <w:r>
        <w:rPr>
          <w:rFonts w:hint="eastAsia" w:ascii="宋体" w:hAnsi="宋体"/>
          <w:szCs w:val="21"/>
        </w:rPr>
        <w:t>6.法律、行政法规规定的其他条件。</w:t>
      </w:r>
    </w:p>
    <w:p w14:paraId="7C9E9009">
      <w:pPr>
        <w:numPr>
          <w:ilvl w:val="0"/>
          <w:numId w:val="11"/>
        </w:numPr>
        <w:spacing w:line="360" w:lineRule="auto"/>
        <w:ind w:right="-815" w:firstLineChars="200"/>
        <w:outlineLvl w:val="9"/>
        <w:rPr>
          <w:rFonts w:ascii="宋体" w:hAnsi="宋体"/>
          <w:szCs w:val="21"/>
        </w:rPr>
      </w:pPr>
      <w:r>
        <w:rPr>
          <w:rFonts w:hint="eastAsia" w:ascii="宋体" w:hAnsi="宋体"/>
          <w:szCs w:val="21"/>
        </w:rPr>
        <w:t>我公司对本</w:t>
      </w:r>
      <w:r>
        <w:rPr>
          <w:rFonts w:hint="eastAsia" w:ascii="宋体" w:hAnsi="宋体"/>
          <w:szCs w:val="21"/>
          <w:lang w:val="en-US" w:eastAsia="zh-CN"/>
        </w:rPr>
        <w:t>遴选</w:t>
      </w:r>
      <w:r>
        <w:rPr>
          <w:rFonts w:hint="eastAsia" w:ascii="宋体" w:hAnsi="宋体"/>
          <w:szCs w:val="21"/>
        </w:rPr>
        <w:t>项目所提供的货物或服务未侵犯知识产权。</w:t>
      </w:r>
    </w:p>
    <w:p w14:paraId="6CC207C4">
      <w:pPr>
        <w:numPr>
          <w:ilvl w:val="0"/>
          <w:numId w:val="11"/>
        </w:numPr>
        <w:spacing w:line="360" w:lineRule="auto"/>
        <w:ind w:right="-815" w:firstLineChars="200"/>
        <w:rPr>
          <w:rFonts w:ascii="宋体" w:hAnsi="宋体"/>
          <w:szCs w:val="21"/>
        </w:rPr>
      </w:pPr>
      <w:r>
        <w:rPr>
          <w:rFonts w:hint="eastAsia" w:ascii="宋体" w:hAnsi="宋体"/>
          <w:szCs w:val="21"/>
        </w:rPr>
        <w:t>我公司保证采购人拥有所投产品完整的所有权，不以保护知识产权或技术保密的名义对所有权和使用权进行任何限制。</w:t>
      </w:r>
    </w:p>
    <w:p w14:paraId="34D1D2EB">
      <w:pPr>
        <w:numPr>
          <w:ilvl w:val="0"/>
          <w:numId w:val="11"/>
        </w:numPr>
        <w:spacing w:line="360" w:lineRule="auto"/>
        <w:ind w:right="-815" w:firstLineChars="200"/>
        <w:rPr>
          <w:rFonts w:ascii="宋体" w:hAnsi="宋体"/>
          <w:color w:val="auto"/>
          <w:szCs w:val="21"/>
          <w:highlight w:val="none"/>
        </w:rPr>
      </w:pPr>
      <w:r>
        <w:rPr>
          <w:rFonts w:hint="eastAsia" w:ascii="宋体" w:hAnsi="宋体"/>
          <w:szCs w:val="21"/>
        </w:rPr>
        <w:t>我公司参与该项目</w:t>
      </w:r>
      <w:r>
        <w:rPr>
          <w:rFonts w:hint="eastAsia" w:ascii="宋体" w:hAnsi="宋体"/>
          <w:szCs w:val="21"/>
          <w:lang w:val="en-US" w:eastAsia="zh-CN"/>
        </w:rPr>
        <w:t>遴选响应</w:t>
      </w:r>
      <w:r>
        <w:rPr>
          <w:rFonts w:hint="eastAsia" w:ascii="宋体" w:hAnsi="宋体"/>
          <w:szCs w:val="21"/>
        </w:rPr>
        <w:t>，严格遵守政府采购相关法律，</w:t>
      </w:r>
      <w:r>
        <w:rPr>
          <w:rFonts w:hint="eastAsia" w:ascii="宋体" w:hAnsi="宋体"/>
          <w:szCs w:val="21"/>
          <w:lang w:eastAsia="zh-CN"/>
        </w:rPr>
        <w:t>遴选响应</w:t>
      </w:r>
      <w:r>
        <w:rPr>
          <w:rFonts w:hint="eastAsia" w:ascii="宋体" w:hAnsi="宋体"/>
          <w:szCs w:val="21"/>
        </w:rPr>
        <w:t>做到诚实，不造假，不围标、串标、陪标。我公司已清楚，如违反上述要求，其</w:t>
      </w:r>
      <w:r>
        <w:rPr>
          <w:rFonts w:hint="eastAsia" w:ascii="宋体" w:hAnsi="宋体"/>
          <w:szCs w:val="21"/>
          <w:lang w:eastAsia="zh-CN"/>
        </w:rPr>
        <w:t>遴选响应</w:t>
      </w:r>
      <w:r>
        <w:rPr>
          <w:rFonts w:hint="eastAsia" w:ascii="宋体" w:hAnsi="宋体"/>
          <w:szCs w:val="21"/>
        </w:rPr>
        <w:t>将作废，被列入不良记录名单并在网上曝光，同时将被提请政府采购</w:t>
      </w:r>
      <w:r>
        <w:rPr>
          <w:rFonts w:hint="eastAsia" w:ascii="宋体" w:hAnsi="宋体"/>
          <w:color w:val="auto"/>
          <w:szCs w:val="21"/>
          <w:highlight w:val="none"/>
        </w:rPr>
        <w:t>监督管理部门给予一定年限内禁止参与政府采购活动或其他处罚。</w:t>
      </w:r>
    </w:p>
    <w:p w14:paraId="403D998D">
      <w:pPr>
        <w:numPr>
          <w:ilvl w:val="0"/>
          <w:numId w:val="11"/>
        </w:numPr>
        <w:spacing w:line="360" w:lineRule="auto"/>
        <w:ind w:right="-815" w:firstLineChars="200"/>
        <w:rPr>
          <w:rFonts w:ascii="宋体" w:hAnsi="宋体"/>
          <w:color w:val="auto"/>
          <w:szCs w:val="21"/>
          <w:highlight w:val="none"/>
        </w:rPr>
      </w:pPr>
      <w:r>
        <w:rPr>
          <w:rFonts w:hint="eastAsia" w:ascii="宋体" w:hAnsi="宋体"/>
          <w:color w:val="auto"/>
          <w:szCs w:val="21"/>
          <w:highlight w:val="none"/>
        </w:rPr>
        <w:t>如果</w:t>
      </w:r>
      <w:r>
        <w:rPr>
          <w:rFonts w:hint="eastAsia" w:ascii="宋体" w:hAnsi="宋体"/>
          <w:color w:val="auto"/>
          <w:szCs w:val="21"/>
          <w:highlight w:val="none"/>
          <w:lang w:eastAsia="zh-CN"/>
        </w:rPr>
        <w:t>中选</w:t>
      </w:r>
      <w:r>
        <w:rPr>
          <w:rFonts w:hint="eastAsia" w:ascii="宋体" w:hAnsi="宋体"/>
          <w:color w:val="auto"/>
          <w:szCs w:val="21"/>
          <w:highlight w:val="none"/>
        </w:rPr>
        <w:t>，做到守信，不偷工减料，依照本项目</w:t>
      </w:r>
      <w:r>
        <w:rPr>
          <w:rFonts w:hint="eastAsia" w:ascii="宋体" w:hAnsi="宋体"/>
          <w:color w:val="auto"/>
          <w:szCs w:val="21"/>
          <w:highlight w:val="none"/>
          <w:lang w:val="en-US" w:eastAsia="zh-CN"/>
        </w:rPr>
        <w:t>遴选文件</w:t>
      </w:r>
      <w:r>
        <w:rPr>
          <w:rFonts w:hint="eastAsia" w:ascii="宋体" w:hAnsi="宋体"/>
          <w:color w:val="auto"/>
          <w:szCs w:val="21"/>
          <w:highlight w:val="none"/>
        </w:rPr>
        <w:t>需求内容、签署的采购合同及本公司在</w:t>
      </w:r>
      <w:r>
        <w:rPr>
          <w:rFonts w:hint="eastAsia" w:ascii="宋体" w:hAnsi="宋体"/>
          <w:color w:val="auto"/>
          <w:szCs w:val="21"/>
          <w:highlight w:val="none"/>
          <w:lang w:eastAsia="zh-CN"/>
        </w:rPr>
        <w:t>遴选响应</w:t>
      </w:r>
      <w:r>
        <w:rPr>
          <w:rFonts w:hint="eastAsia" w:ascii="宋体" w:hAnsi="宋体"/>
          <w:color w:val="auto"/>
          <w:szCs w:val="21"/>
          <w:highlight w:val="none"/>
        </w:rPr>
        <w:t>中所作的一切承诺履约。项目验收达到全部指标合格，力争优良。</w:t>
      </w:r>
    </w:p>
    <w:p w14:paraId="30EADCCC">
      <w:pPr>
        <w:numPr>
          <w:ilvl w:val="0"/>
          <w:numId w:val="11"/>
        </w:numPr>
        <w:spacing w:line="360" w:lineRule="auto"/>
        <w:ind w:right="-815" w:firstLineChars="200"/>
        <w:rPr>
          <w:bCs/>
          <w:szCs w:val="21"/>
        </w:rPr>
      </w:pPr>
      <w:r>
        <w:rPr>
          <w:rFonts w:hint="eastAsia"/>
          <w:bCs/>
          <w:color w:val="auto"/>
          <w:szCs w:val="21"/>
          <w:highlight w:val="none"/>
        </w:rPr>
        <w:t>根据《</w:t>
      </w:r>
      <w:r>
        <w:rPr>
          <w:rFonts w:hint="eastAsia"/>
          <w:bCs/>
          <w:szCs w:val="21"/>
        </w:rPr>
        <w:t>中华人民共和国政府采购法实施条例》的规定，本公司（企业）如为采购项目（包组）提供整体设计、规范编制或者项目管理、监理、检测等服务的供应商，不再参加该采购项目的其他采购活动</w:t>
      </w:r>
      <w:r>
        <w:rPr>
          <w:rFonts w:hint="eastAsia"/>
          <w:bCs/>
          <w:szCs w:val="21"/>
          <w:lang w:eastAsia="zh-CN"/>
        </w:rPr>
        <w:t>。</w:t>
      </w:r>
    </w:p>
    <w:p w14:paraId="4101CCE1">
      <w:pPr>
        <w:numPr>
          <w:ilvl w:val="0"/>
          <w:numId w:val="11"/>
        </w:numPr>
        <w:spacing w:line="360" w:lineRule="auto"/>
        <w:ind w:right="-815" w:firstLineChars="200"/>
        <w:rPr>
          <w:rFonts w:ascii="宋体" w:hAnsi="宋体"/>
        </w:rPr>
      </w:pPr>
      <w:r>
        <w:rPr>
          <w:rFonts w:hint="eastAsia" w:ascii="宋体" w:hAnsi="宋体"/>
        </w:rPr>
        <w:t>本公司（企业）的法定代表人或单位负责人与本项目其他</w:t>
      </w:r>
      <w:r>
        <w:rPr>
          <w:rFonts w:hint="eastAsia" w:ascii="宋体" w:hAnsi="宋体"/>
          <w:lang w:eastAsia="zh-CN"/>
        </w:rPr>
        <w:t>遴选响应方</w:t>
      </w:r>
      <w:r>
        <w:rPr>
          <w:rFonts w:hint="eastAsia" w:ascii="宋体" w:hAnsi="宋体"/>
        </w:rPr>
        <w:t>的法定代表人或单位负责人不为同一人且与其他</w:t>
      </w:r>
      <w:r>
        <w:rPr>
          <w:rFonts w:hint="eastAsia" w:ascii="宋体" w:hAnsi="宋体"/>
          <w:lang w:eastAsia="zh-CN"/>
        </w:rPr>
        <w:t>遴选响应方</w:t>
      </w:r>
      <w:r>
        <w:rPr>
          <w:rFonts w:hint="eastAsia" w:ascii="宋体" w:hAnsi="宋体"/>
        </w:rPr>
        <w:t>之间不存在直接控股、管理关系。</w:t>
      </w:r>
    </w:p>
    <w:p w14:paraId="079C0FFE">
      <w:pPr>
        <w:numPr>
          <w:ilvl w:val="0"/>
          <w:numId w:val="11"/>
        </w:numPr>
        <w:spacing w:line="360" w:lineRule="auto"/>
        <w:ind w:right="-815" w:firstLineChars="200"/>
        <w:rPr>
          <w:rFonts w:ascii="宋体" w:hAnsi="宋体"/>
          <w:szCs w:val="21"/>
        </w:rPr>
      </w:pPr>
      <w:r>
        <w:rPr>
          <w:rFonts w:hint="eastAsia" w:ascii="宋体" w:hAnsi="宋体"/>
        </w:rPr>
        <w:t>本公司（企业）承诺在本次</w:t>
      </w:r>
      <w:r>
        <w:rPr>
          <w:rFonts w:hint="eastAsia" w:ascii="宋体" w:hAnsi="宋体"/>
          <w:lang w:val="en-US" w:eastAsia="zh-CN"/>
        </w:rPr>
        <w:t>遴选</w:t>
      </w:r>
      <w:r>
        <w:rPr>
          <w:rFonts w:hint="eastAsia" w:ascii="宋体" w:hAnsi="宋体"/>
        </w:rPr>
        <w:t>活动中，如有违法、违规、弄虚作假行为，所造成的损失、不良后果及法律责任，一律由我公司（企业）承担。</w:t>
      </w:r>
    </w:p>
    <w:p w14:paraId="776B9E12">
      <w:pPr>
        <w:numPr>
          <w:ilvl w:val="0"/>
          <w:numId w:val="11"/>
        </w:numPr>
        <w:spacing w:line="360" w:lineRule="auto"/>
        <w:ind w:right="-815" w:firstLineChars="200"/>
        <w:rPr>
          <w:rFonts w:ascii="宋体" w:hAnsi="宋体"/>
          <w:szCs w:val="21"/>
        </w:rPr>
      </w:pPr>
      <w:r>
        <w:rPr>
          <w:rFonts w:hint="eastAsia" w:ascii="宋体" w:hAnsi="宋体"/>
          <w:szCs w:val="21"/>
        </w:rPr>
        <w:t>在参与</w:t>
      </w:r>
      <w:r>
        <w:rPr>
          <w:rFonts w:hint="eastAsia" w:ascii="宋体" w:hAnsi="宋体"/>
        </w:rPr>
        <w:t>本次</w:t>
      </w:r>
      <w:r>
        <w:rPr>
          <w:rFonts w:hint="eastAsia" w:ascii="宋体" w:hAnsi="宋体"/>
          <w:lang w:val="en-US" w:eastAsia="zh-CN"/>
        </w:rPr>
        <w:t>遴选</w:t>
      </w:r>
      <w:r>
        <w:rPr>
          <w:rFonts w:hint="eastAsia" w:ascii="宋体" w:hAnsi="宋体"/>
        </w:rPr>
        <w:t>活动中</w:t>
      </w:r>
      <w:r>
        <w:rPr>
          <w:rFonts w:hint="eastAsia" w:ascii="宋体" w:hAnsi="宋体"/>
          <w:szCs w:val="21"/>
          <w:lang w:eastAsia="zh-CN"/>
        </w:rPr>
        <w:t>遴选响应</w:t>
      </w:r>
      <w:r>
        <w:rPr>
          <w:rFonts w:hint="eastAsia" w:ascii="宋体" w:hAnsi="宋体"/>
          <w:szCs w:val="21"/>
        </w:rPr>
        <w:t>截止日前三年内，在我公司的经营活动中没有存在重大违法记录，即我公司没有受到刑事处罚或者责令停产停业、吊销许可证或者执照、较大数额罚款等行政处罚。</w:t>
      </w:r>
    </w:p>
    <w:p w14:paraId="734A4238">
      <w:pPr>
        <w:numPr>
          <w:ilvl w:val="0"/>
          <w:numId w:val="11"/>
        </w:numPr>
        <w:spacing w:line="360" w:lineRule="auto"/>
        <w:ind w:right="-815" w:firstLineChars="200"/>
        <w:rPr>
          <w:rFonts w:ascii="宋体" w:hAnsi="宋体"/>
          <w:color w:val="auto"/>
          <w:szCs w:val="21"/>
        </w:rPr>
      </w:pPr>
      <w:r>
        <w:rPr>
          <w:rFonts w:hint="eastAsia"/>
          <w:szCs w:val="21"/>
        </w:rPr>
        <w:t>在参与</w:t>
      </w:r>
      <w:r>
        <w:rPr>
          <w:rFonts w:hint="eastAsia" w:ascii="宋体" w:hAnsi="宋体"/>
        </w:rPr>
        <w:t>本次</w:t>
      </w:r>
      <w:r>
        <w:rPr>
          <w:rFonts w:hint="eastAsia" w:ascii="宋体" w:hAnsi="宋体"/>
          <w:lang w:val="en-US" w:eastAsia="zh-CN"/>
        </w:rPr>
        <w:t>遴选</w:t>
      </w:r>
      <w:r>
        <w:rPr>
          <w:rFonts w:hint="eastAsia" w:ascii="宋体" w:hAnsi="宋体"/>
        </w:rPr>
        <w:t>活动中</w:t>
      </w:r>
      <w:r>
        <w:rPr>
          <w:rFonts w:hint="eastAsia"/>
          <w:szCs w:val="21"/>
        </w:rPr>
        <w:t>，我公司不存在被政府主管部门禁止参与政府采购活动的情形，即我公</w:t>
      </w:r>
      <w:r>
        <w:rPr>
          <w:rFonts w:hint="eastAsia"/>
          <w:color w:val="auto"/>
          <w:szCs w:val="21"/>
        </w:rPr>
        <w:t>司不存在还处于被禁止参与政府采购活动的期限内情形。</w:t>
      </w:r>
    </w:p>
    <w:p w14:paraId="0E0E3185">
      <w:pPr>
        <w:numPr>
          <w:ilvl w:val="0"/>
          <w:numId w:val="11"/>
        </w:numPr>
        <w:spacing w:line="360" w:lineRule="auto"/>
        <w:ind w:right="-815" w:firstLineChars="200"/>
        <w:rPr>
          <w:rFonts w:ascii="宋体" w:hAnsi="宋体"/>
          <w:color w:val="auto"/>
          <w:szCs w:val="21"/>
        </w:rPr>
      </w:pPr>
      <w:r>
        <w:rPr>
          <w:rFonts w:hint="eastAsia" w:ascii="宋体" w:hAnsi="宋体"/>
          <w:color w:val="auto"/>
          <w:szCs w:val="21"/>
        </w:rPr>
        <w:t>参与本项目采购活动时未被列入失信被执行人、税收违法黑名单、政府采购严重违法失信行为记录名单</w:t>
      </w:r>
    </w:p>
    <w:p w14:paraId="17840CCA">
      <w:pPr>
        <w:spacing w:line="360" w:lineRule="auto"/>
        <w:ind w:firstLine="420" w:firstLineChars="200"/>
        <w:rPr>
          <w:rFonts w:ascii="宋体" w:hAnsi="宋体"/>
          <w:color w:val="auto"/>
          <w:szCs w:val="21"/>
        </w:rPr>
      </w:pPr>
      <w:r>
        <w:rPr>
          <w:rFonts w:hint="eastAsia" w:ascii="宋体" w:hAnsi="宋体"/>
          <w:color w:val="auto"/>
          <w:szCs w:val="21"/>
        </w:rPr>
        <w:t>以上承诺，如有违反，愿依照国家相关法律处理，并承担由此给采购人带来的损失。</w:t>
      </w:r>
    </w:p>
    <w:p w14:paraId="2CE6399B">
      <w:pPr>
        <w:autoSpaceDE w:val="0"/>
        <w:autoSpaceDN w:val="0"/>
        <w:adjustRightInd w:val="0"/>
        <w:spacing w:line="360" w:lineRule="auto"/>
        <w:rPr>
          <w:rFonts w:ascii="宋体" w:hAnsi="宋体"/>
          <w:b/>
          <w:color w:val="auto"/>
          <w:sz w:val="24"/>
        </w:rPr>
      </w:pPr>
      <w:r>
        <w:rPr>
          <w:rFonts w:hint="eastAsia" w:ascii="宋体" w:hAnsi="宋体"/>
          <w:b/>
          <w:color w:val="auto"/>
          <w:sz w:val="24"/>
        </w:rPr>
        <w:t>备注：1.本声明函必须提供且内容不得擅自删改，否则视为无效</w:t>
      </w:r>
      <w:r>
        <w:rPr>
          <w:rFonts w:hint="eastAsia" w:ascii="宋体" w:hAnsi="宋体"/>
          <w:b/>
          <w:color w:val="auto"/>
          <w:sz w:val="24"/>
          <w:lang w:eastAsia="zh-CN"/>
        </w:rPr>
        <w:t>遴选响应</w:t>
      </w:r>
      <w:r>
        <w:rPr>
          <w:rFonts w:hint="eastAsia" w:ascii="宋体" w:hAnsi="宋体"/>
          <w:b/>
          <w:color w:val="auto"/>
          <w:sz w:val="24"/>
        </w:rPr>
        <w:t>。</w:t>
      </w:r>
    </w:p>
    <w:p w14:paraId="14801788">
      <w:pPr>
        <w:snapToGrid w:val="0"/>
        <w:spacing w:line="360" w:lineRule="auto"/>
        <w:ind w:firstLine="723" w:firstLineChars="300"/>
        <w:outlineLvl w:val="9"/>
        <w:rPr>
          <w:rFonts w:ascii="宋体" w:hAnsi="宋体"/>
          <w:b/>
          <w:sz w:val="24"/>
        </w:rPr>
      </w:pPr>
      <w:r>
        <w:rPr>
          <w:rFonts w:hint="eastAsia" w:ascii="宋体" w:hAnsi="宋体"/>
          <w:b/>
          <w:sz w:val="24"/>
        </w:rPr>
        <w:t>2. 本声明函如有虚假或与事实不符的，作无效</w:t>
      </w:r>
      <w:r>
        <w:rPr>
          <w:rFonts w:hint="eastAsia" w:ascii="宋体" w:hAnsi="宋体"/>
          <w:b/>
          <w:sz w:val="24"/>
          <w:lang w:eastAsia="zh-CN"/>
        </w:rPr>
        <w:t>遴选响应</w:t>
      </w:r>
      <w:r>
        <w:rPr>
          <w:rFonts w:hint="eastAsia" w:ascii="宋体" w:hAnsi="宋体"/>
          <w:b/>
          <w:sz w:val="24"/>
        </w:rPr>
        <w:t>处理。</w:t>
      </w:r>
    </w:p>
    <w:p w14:paraId="69DC41FE">
      <w:pPr>
        <w:spacing w:line="360" w:lineRule="auto"/>
        <w:ind w:firstLine="480" w:firstLineChars="200"/>
        <w:rPr>
          <w:rFonts w:ascii="宋体" w:hAnsi="宋体"/>
          <w:sz w:val="24"/>
        </w:rPr>
      </w:pPr>
    </w:p>
    <w:p w14:paraId="071D140E">
      <w:pPr>
        <w:spacing w:line="360" w:lineRule="auto"/>
        <w:ind w:firstLine="420"/>
        <w:rPr>
          <w:color w:val="000000" w:themeColor="text1"/>
          <w:sz w:val="24"/>
          <w14:textFill>
            <w14:solidFill>
              <w14:schemeClr w14:val="tx1"/>
            </w14:solidFill>
          </w14:textFill>
        </w:rPr>
      </w:pPr>
      <w:r>
        <w:rPr>
          <w:rFonts w:hint="eastAsia"/>
          <w:b/>
          <w:bCs/>
          <w:color w:val="000000" w:themeColor="text1"/>
          <w:sz w:val="24"/>
          <w:lang w:eastAsia="zh-CN"/>
          <w14:textFill>
            <w14:solidFill>
              <w14:schemeClr w14:val="tx1"/>
            </w14:solidFill>
          </w14:textFill>
        </w:rPr>
        <w:t>遴选响应方</w:t>
      </w:r>
      <w:r>
        <w:rPr>
          <w:rFonts w:hint="eastAsia"/>
          <w:b/>
          <w:bCs/>
          <w:color w:val="000000" w:themeColor="text1"/>
          <w:sz w:val="24"/>
          <w14:textFill>
            <w14:solidFill>
              <w14:schemeClr w14:val="tx1"/>
            </w14:solidFill>
          </w14:textFill>
        </w:rPr>
        <w:t>单位名称：</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　　　　　　　</w:t>
      </w:r>
    </w:p>
    <w:p w14:paraId="275EBD85">
      <w:pPr>
        <w:spacing w:line="360" w:lineRule="auto"/>
        <w:ind w:firstLine="420"/>
        <w:rPr>
          <w:rFonts w:ascii="宋体" w:hAnsi="宋体"/>
          <w:b/>
          <w:bCs/>
          <w:sz w:val="24"/>
        </w:rPr>
      </w:pPr>
      <w:r>
        <w:rPr>
          <w:rFonts w:hint="eastAsia"/>
          <w:b/>
          <w:bCs/>
          <w:color w:val="000000" w:themeColor="text1"/>
          <w:sz w:val="24"/>
          <w14:textFill>
            <w14:solidFill>
              <w14:schemeClr w14:val="tx1"/>
            </w14:solidFill>
          </w14:textFill>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022C1E85">
      <w:pPr>
        <w:spacing w:line="360" w:lineRule="auto"/>
        <w:ind w:firstLine="241" w:firstLineChars="100"/>
        <w:outlineLvl w:val="9"/>
        <w:rPr>
          <w:b/>
          <w:sz w:val="24"/>
        </w:rPr>
      </w:pPr>
      <w:bookmarkStart w:id="89" w:name="_Toc30045"/>
      <w:r>
        <w:rPr>
          <w:rFonts w:hint="eastAsia"/>
          <w:b/>
          <w:sz w:val="24"/>
        </w:rPr>
        <w:t>（此处加盖</w:t>
      </w:r>
      <w:r>
        <w:rPr>
          <w:rFonts w:hint="eastAsia"/>
          <w:b/>
          <w:sz w:val="24"/>
          <w:lang w:eastAsia="zh-CN"/>
        </w:rPr>
        <w:t>遴选响应方</w:t>
      </w:r>
      <w:r>
        <w:rPr>
          <w:rFonts w:hint="eastAsia"/>
          <w:b/>
          <w:sz w:val="24"/>
        </w:rPr>
        <w:t>单位公章）</w:t>
      </w:r>
      <w:bookmarkEnd w:id="89"/>
    </w:p>
    <w:p w14:paraId="17A361F3">
      <w:pPr>
        <w:rPr>
          <w:rFonts w:hint="eastAsia" w:ascii="宋体" w:hAnsi="宋体"/>
        </w:rPr>
      </w:pPr>
    </w:p>
    <w:p w14:paraId="420D1D38">
      <w:pPr>
        <w:rPr>
          <w:rFonts w:hint="eastAsia" w:ascii="宋体" w:hAnsi="宋体"/>
        </w:rPr>
      </w:pPr>
    </w:p>
    <w:p w14:paraId="73D5124D">
      <w:pPr>
        <w:rPr>
          <w:rFonts w:hint="eastAsia" w:ascii="宋体" w:hAnsi="宋体"/>
        </w:rPr>
      </w:pPr>
    </w:p>
    <w:p w14:paraId="17C9FCA1">
      <w:pPr>
        <w:rPr>
          <w:rFonts w:hint="eastAsia" w:ascii="宋体" w:hAnsi="宋体"/>
        </w:rPr>
      </w:pPr>
    </w:p>
    <w:p w14:paraId="3CC0AE7D">
      <w:pPr>
        <w:rPr>
          <w:rFonts w:hint="eastAsia" w:ascii="宋体" w:hAnsi="宋体"/>
        </w:rPr>
      </w:pPr>
    </w:p>
    <w:p w14:paraId="5CF55F2E">
      <w:pPr>
        <w:rPr>
          <w:rFonts w:hint="eastAsia" w:ascii="宋体" w:hAnsi="宋体"/>
        </w:rPr>
      </w:pPr>
    </w:p>
    <w:p w14:paraId="21CD8638">
      <w:pPr>
        <w:rPr>
          <w:rFonts w:hint="eastAsia" w:ascii="宋体" w:hAnsi="宋体"/>
        </w:rPr>
      </w:pPr>
    </w:p>
    <w:p w14:paraId="496BDC31">
      <w:pPr>
        <w:rPr>
          <w:rFonts w:hint="eastAsia" w:ascii="宋体" w:hAnsi="宋体"/>
        </w:rPr>
      </w:pPr>
    </w:p>
    <w:p w14:paraId="538265FD">
      <w:pPr>
        <w:rPr>
          <w:rFonts w:hint="eastAsia" w:ascii="宋体" w:hAnsi="宋体"/>
        </w:rPr>
      </w:pPr>
    </w:p>
    <w:p w14:paraId="2DD8CBE4">
      <w:pPr>
        <w:rPr>
          <w:rFonts w:hint="eastAsia" w:ascii="宋体" w:hAnsi="宋体"/>
        </w:rPr>
      </w:pPr>
    </w:p>
    <w:p w14:paraId="68BF5B4F">
      <w:pPr>
        <w:rPr>
          <w:rFonts w:hint="eastAsia" w:ascii="宋体" w:hAnsi="宋体"/>
        </w:rPr>
      </w:pPr>
    </w:p>
    <w:p w14:paraId="3B67FA2F">
      <w:pPr>
        <w:rPr>
          <w:rFonts w:hint="eastAsia" w:ascii="宋体" w:hAnsi="宋体"/>
        </w:rPr>
      </w:pPr>
    </w:p>
    <w:p w14:paraId="405C026A">
      <w:pPr>
        <w:rPr>
          <w:rFonts w:hint="eastAsia" w:ascii="宋体" w:hAnsi="宋体"/>
        </w:rPr>
      </w:pPr>
    </w:p>
    <w:p w14:paraId="293CE55B">
      <w:pPr>
        <w:rPr>
          <w:rFonts w:hint="eastAsia" w:ascii="宋体" w:hAnsi="宋体"/>
        </w:rPr>
      </w:pPr>
    </w:p>
    <w:p w14:paraId="7D726E2E">
      <w:pPr>
        <w:rPr>
          <w:rFonts w:hint="eastAsia" w:ascii="宋体" w:hAnsi="宋体"/>
        </w:rPr>
      </w:pPr>
    </w:p>
    <w:p w14:paraId="60533B9D">
      <w:pPr>
        <w:rPr>
          <w:rFonts w:hint="eastAsia" w:ascii="宋体" w:hAnsi="宋体"/>
          <w:lang w:val="en-US" w:eastAsia="zh-CN"/>
        </w:rPr>
      </w:pPr>
    </w:p>
    <w:p w14:paraId="18F31325">
      <w:pPr>
        <w:rPr>
          <w:rFonts w:hint="eastAsia" w:ascii="宋体" w:hAnsi="宋体"/>
          <w:lang w:val="en-US" w:eastAsia="zh-CN"/>
        </w:rPr>
      </w:pPr>
    </w:p>
    <w:p w14:paraId="1A7D8647">
      <w:pPr>
        <w:rPr>
          <w:rFonts w:hint="eastAsia" w:ascii="宋体" w:hAnsi="宋体"/>
          <w:lang w:val="en-US" w:eastAsia="zh-CN"/>
        </w:rPr>
      </w:pPr>
    </w:p>
    <w:p w14:paraId="65458382">
      <w:pPr>
        <w:rPr>
          <w:rFonts w:hint="eastAsia" w:ascii="宋体" w:hAnsi="宋体"/>
          <w:lang w:val="en-US" w:eastAsia="zh-CN"/>
        </w:rPr>
      </w:pPr>
    </w:p>
    <w:p w14:paraId="34E85938">
      <w:pPr>
        <w:rPr>
          <w:rFonts w:hint="eastAsia" w:ascii="宋体" w:hAnsi="宋体"/>
          <w:lang w:val="en-US" w:eastAsia="zh-CN"/>
        </w:rPr>
      </w:pPr>
    </w:p>
    <w:p w14:paraId="187E2917">
      <w:pPr>
        <w:rPr>
          <w:rFonts w:hint="eastAsia" w:ascii="宋体" w:hAnsi="宋体"/>
          <w:lang w:val="en-US" w:eastAsia="zh-CN"/>
        </w:rPr>
      </w:pPr>
    </w:p>
    <w:p w14:paraId="2CDB337B">
      <w:pPr>
        <w:rPr>
          <w:rFonts w:hint="eastAsia" w:ascii="宋体" w:hAnsi="宋体"/>
          <w:lang w:val="en-US" w:eastAsia="zh-CN"/>
        </w:rPr>
      </w:pPr>
    </w:p>
    <w:p w14:paraId="00C86C93">
      <w:pPr>
        <w:rPr>
          <w:rFonts w:hint="eastAsia" w:ascii="宋体" w:hAnsi="宋体"/>
          <w:lang w:val="en-US" w:eastAsia="zh-CN"/>
        </w:rPr>
      </w:pPr>
    </w:p>
    <w:p w14:paraId="7B6703BE">
      <w:pPr>
        <w:rPr>
          <w:rFonts w:hint="eastAsia" w:ascii="宋体" w:hAnsi="宋体"/>
          <w:lang w:val="en-US" w:eastAsia="zh-CN"/>
        </w:rPr>
      </w:pPr>
    </w:p>
    <w:p w14:paraId="1816A569">
      <w:pPr>
        <w:rPr>
          <w:rFonts w:hint="default" w:ascii="宋体" w:hAnsi="宋体"/>
          <w:lang w:val="en-US" w:eastAsia="zh-CN"/>
        </w:rPr>
      </w:pPr>
    </w:p>
    <w:p w14:paraId="7D1AB4D2">
      <w:pPr>
        <w:pStyle w:val="3"/>
        <w:numPr>
          <w:ilvl w:val="0"/>
          <w:numId w:val="12"/>
        </w:numPr>
        <w:spacing w:line="240" w:lineRule="auto"/>
        <w:ind w:left="420" w:leftChars="0" w:hanging="420" w:firstLineChars="0"/>
        <w:jc w:val="center"/>
        <w:rPr>
          <w:rFonts w:hint="eastAsia" w:cs="宋体" w:asciiTheme="majorEastAsia" w:hAnsiTheme="majorEastAsia" w:eastAsiaTheme="majorEastAsia"/>
          <w:kern w:val="2"/>
          <w:sz w:val="30"/>
          <w:szCs w:val="30"/>
          <w:lang w:val="en-US" w:eastAsia="zh-CN" w:bidi="ar-SA"/>
        </w:rPr>
      </w:pPr>
      <w:bookmarkStart w:id="90" w:name="_Toc30233"/>
      <w:bookmarkStart w:id="91" w:name="_Toc9956"/>
      <w:bookmarkStart w:id="92" w:name="_Toc435515308"/>
      <w:bookmarkStart w:id="93" w:name="_Toc435514868"/>
      <w:bookmarkStart w:id="94" w:name="_Toc8619"/>
      <w:r>
        <w:rPr>
          <w:rFonts w:hint="eastAsia" w:cs="宋体" w:asciiTheme="majorEastAsia" w:hAnsiTheme="majorEastAsia" w:eastAsiaTheme="majorEastAsia"/>
          <w:kern w:val="2"/>
          <w:sz w:val="30"/>
          <w:szCs w:val="30"/>
          <w:lang w:val="en-US" w:eastAsia="zh-CN" w:bidi="ar-SA"/>
        </w:rPr>
        <w:t>政府采购违法行为风险知悉确认书</w:t>
      </w:r>
      <w:bookmarkEnd w:id="90"/>
      <w:bookmarkEnd w:id="91"/>
    </w:p>
    <w:p w14:paraId="20E114A7">
      <w:pPr>
        <w:spacing w:before="0" w:beforeLines="0" w:after="157" w:afterLines="50" w:line="360" w:lineRule="exact"/>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eastAsia="zh-CN"/>
        </w:rPr>
        <w:t>我</w:t>
      </w:r>
      <w:r>
        <w:rPr>
          <w:rFonts w:hint="eastAsia" w:ascii="宋体" w:hAnsi="宋体" w:eastAsia="宋体" w:cs="宋体"/>
          <w:b/>
          <w:bCs/>
          <w:color w:val="auto"/>
          <w:sz w:val="24"/>
          <w:szCs w:val="24"/>
          <w:highlight w:val="none"/>
          <w:lang w:val="en-US" w:eastAsia="zh-CN"/>
        </w:rPr>
        <w:t>单位</w:t>
      </w:r>
      <w:r>
        <w:rPr>
          <w:rFonts w:hint="eastAsia" w:ascii="宋体" w:hAnsi="宋体" w:eastAsia="宋体" w:cs="宋体"/>
          <w:b/>
          <w:bCs/>
          <w:color w:val="auto"/>
          <w:sz w:val="24"/>
          <w:highlight w:val="none"/>
        </w:rPr>
        <w:t>在</w:t>
      </w:r>
      <w:r>
        <w:rPr>
          <w:rFonts w:hint="eastAsia" w:ascii="宋体" w:hAnsi="宋体" w:cs="宋体"/>
          <w:b/>
          <w:bCs/>
          <w:color w:val="auto"/>
          <w:sz w:val="24"/>
          <w:highlight w:val="none"/>
          <w:lang w:eastAsia="zh-CN"/>
        </w:rPr>
        <w:t>遴选响应</w:t>
      </w:r>
      <w:r>
        <w:rPr>
          <w:rFonts w:hint="eastAsia" w:ascii="宋体" w:hAnsi="宋体" w:eastAsia="宋体" w:cs="宋体"/>
          <w:b/>
          <w:bCs/>
          <w:color w:val="auto"/>
          <w:sz w:val="24"/>
          <w:highlight w:val="none"/>
        </w:rPr>
        <w:t>前已充分知悉以下情形为参与政府采购活动时的重大风险事项，并承诺已对下述风险提示事项重点排查，</w:t>
      </w:r>
      <w:r>
        <w:rPr>
          <w:rFonts w:hint="eastAsia" w:ascii="宋体" w:hAnsi="宋体" w:eastAsia="宋体" w:cs="宋体"/>
          <w:b/>
          <w:bCs/>
          <w:color w:val="auto"/>
          <w:sz w:val="24"/>
          <w:highlight w:val="none"/>
          <w:lang w:val="en-US" w:eastAsia="zh-CN"/>
        </w:rPr>
        <w:t>若存在下述情况，我单位愿意依法承担被记入供应商诚信档案、罚款、取消参与政府采购资格等处罚；构成犯罪的，依法承担刑事责任。</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8085"/>
      </w:tblGrid>
      <w:tr w14:paraId="3D833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711" w:type="dxa"/>
            <w:noWrap w:val="0"/>
            <w:vAlign w:val="top"/>
          </w:tcPr>
          <w:p w14:paraId="4BB599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8085" w:type="dxa"/>
            <w:noWrap w:val="0"/>
            <w:vAlign w:val="top"/>
          </w:tcPr>
          <w:p w14:paraId="3C32FF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供应商参与</w:t>
            </w:r>
            <w:r>
              <w:rPr>
                <w:rFonts w:hint="eastAsia" w:ascii="宋体" w:hAnsi="宋体" w:cs="宋体"/>
                <w:b/>
                <w:bCs/>
                <w:color w:val="auto"/>
                <w:sz w:val="24"/>
                <w:szCs w:val="24"/>
                <w:highlight w:val="none"/>
                <w:lang w:val="en-US" w:eastAsia="zh-CN"/>
              </w:rPr>
              <w:t>遴选响应</w:t>
            </w:r>
            <w:r>
              <w:rPr>
                <w:rFonts w:hint="eastAsia" w:ascii="宋体" w:hAnsi="宋体" w:eastAsia="宋体" w:cs="宋体"/>
                <w:b/>
                <w:bCs/>
                <w:color w:val="auto"/>
                <w:sz w:val="24"/>
                <w:szCs w:val="24"/>
                <w:highlight w:val="none"/>
                <w:lang w:val="en-US" w:eastAsia="zh-CN"/>
              </w:rPr>
              <w:t>禁止情形</w:t>
            </w:r>
          </w:p>
        </w:tc>
      </w:tr>
      <w:tr w14:paraId="5BE77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center"/>
          </w:tcPr>
          <w:p w14:paraId="5C259D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8085" w:type="dxa"/>
            <w:noWrap w:val="0"/>
            <w:vAlign w:val="center"/>
          </w:tcPr>
          <w:p w14:paraId="3B0FAFA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与其他</w:t>
            </w:r>
            <w:r>
              <w:rPr>
                <w:rFonts w:hint="eastAsia" w:ascii="宋体" w:hAnsi="宋体" w:cs="宋体"/>
                <w:color w:val="auto"/>
                <w:sz w:val="24"/>
                <w:szCs w:val="24"/>
                <w:highlight w:val="none"/>
                <w:lang w:val="en-US" w:eastAsia="zh-CN"/>
              </w:rPr>
              <w:t>遴选响应</w:t>
            </w:r>
            <w:r>
              <w:rPr>
                <w:rFonts w:hint="eastAsia" w:ascii="宋体" w:hAnsi="宋体" w:eastAsia="宋体" w:cs="宋体"/>
                <w:color w:val="auto"/>
                <w:sz w:val="24"/>
                <w:szCs w:val="24"/>
                <w:highlight w:val="none"/>
                <w:lang w:val="en-US" w:eastAsia="zh-CN"/>
              </w:rPr>
              <w:t>供应商的法定代表人、主要经营负责人、</w:t>
            </w:r>
            <w:r>
              <w:rPr>
                <w:rFonts w:hint="eastAsia" w:ascii="宋体" w:hAnsi="宋体" w:cs="宋体"/>
                <w:color w:val="auto"/>
                <w:sz w:val="24"/>
                <w:szCs w:val="24"/>
                <w:highlight w:val="none"/>
                <w:lang w:val="en-US" w:eastAsia="zh-CN"/>
              </w:rPr>
              <w:t>遴选响应</w:t>
            </w:r>
            <w:r>
              <w:rPr>
                <w:rFonts w:hint="eastAsia" w:ascii="宋体" w:hAnsi="宋体" w:eastAsia="宋体" w:cs="宋体"/>
                <w:color w:val="auto"/>
                <w:sz w:val="24"/>
                <w:szCs w:val="24"/>
                <w:highlight w:val="none"/>
                <w:lang w:val="en-US" w:eastAsia="zh-CN"/>
              </w:rPr>
              <w:t>授权代表人、项目负责人、主要技术人员为</w:t>
            </w:r>
            <w:r>
              <w:rPr>
                <w:rFonts w:hint="eastAsia" w:ascii="宋体" w:hAnsi="宋体" w:eastAsia="宋体" w:cs="宋体"/>
                <w:b/>
                <w:bCs/>
                <w:color w:val="auto"/>
                <w:sz w:val="24"/>
                <w:szCs w:val="24"/>
                <w:highlight w:val="none"/>
                <w:lang w:val="en-US" w:eastAsia="zh-CN"/>
              </w:rPr>
              <w:t>同一人、属同一单位或者在同一单位缴纳社会保险</w:t>
            </w:r>
            <w:r>
              <w:rPr>
                <w:rFonts w:hint="eastAsia" w:ascii="宋体" w:hAnsi="宋体" w:eastAsia="宋体" w:cs="宋体"/>
                <w:color w:val="auto"/>
                <w:sz w:val="24"/>
                <w:szCs w:val="24"/>
                <w:highlight w:val="none"/>
                <w:lang w:val="en-US" w:eastAsia="zh-CN"/>
              </w:rPr>
              <w:t>。</w:t>
            </w:r>
          </w:p>
        </w:tc>
      </w:tr>
      <w:tr w14:paraId="417A5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noWrap w:val="0"/>
            <w:vAlign w:val="center"/>
          </w:tcPr>
          <w:p w14:paraId="1E0948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8085" w:type="dxa"/>
            <w:noWrap w:val="0"/>
            <w:vAlign w:val="center"/>
          </w:tcPr>
          <w:p w14:paraId="6261DBA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参与本项目政府采购活动时，与其他</w:t>
            </w:r>
            <w:r>
              <w:rPr>
                <w:rFonts w:hint="eastAsia" w:ascii="宋体" w:hAnsi="宋体" w:cs="宋体"/>
                <w:color w:val="auto"/>
                <w:sz w:val="24"/>
                <w:szCs w:val="24"/>
                <w:highlight w:val="none"/>
                <w:lang w:val="en-US" w:eastAsia="zh-CN"/>
              </w:rPr>
              <w:t>遴选响应</w:t>
            </w:r>
            <w:r>
              <w:rPr>
                <w:rFonts w:hint="eastAsia" w:ascii="宋体" w:hAnsi="宋体" w:eastAsia="宋体" w:cs="宋体"/>
                <w:color w:val="auto"/>
                <w:sz w:val="24"/>
                <w:szCs w:val="24"/>
                <w:highlight w:val="none"/>
                <w:lang w:val="en-US" w:eastAsia="zh-CN"/>
              </w:rPr>
              <w:t>供应商存在单位负责人为</w:t>
            </w:r>
            <w:r>
              <w:rPr>
                <w:rFonts w:hint="eastAsia" w:ascii="宋体" w:hAnsi="宋体" w:eastAsia="宋体" w:cs="宋体"/>
                <w:b/>
                <w:bCs/>
                <w:color w:val="auto"/>
                <w:sz w:val="24"/>
                <w:szCs w:val="24"/>
                <w:highlight w:val="none"/>
                <w:lang w:val="en-US" w:eastAsia="zh-CN"/>
              </w:rPr>
              <w:t>同一人或直接控股、管理关系</w:t>
            </w:r>
            <w:r>
              <w:rPr>
                <w:rFonts w:hint="eastAsia" w:ascii="宋体" w:hAnsi="宋体" w:eastAsia="宋体" w:cs="宋体"/>
                <w:color w:val="auto"/>
                <w:sz w:val="24"/>
                <w:szCs w:val="24"/>
                <w:highlight w:val="none"/>
                <w:lang w:val="en-US" w:eastAsia="zh-CN"/>
              </w:rPr>
              <w:t>。</w:t>
            </w:r>
          </w:p>
        </w:tc>
      </w:tr>
      <w:tr w14:paraId="7D5EE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center"/>
          </w:tcPr>
          <w:p w14:paraId="141F78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8085" w:type="dxa"/>
            <w:noWrap w:val="0"/>
            <w:vAlign w:val="center"/>
          </w:tcPr>
          <w:p w14:paraId="3CDD8AD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与其他</w:t>
            </w:r>
            <w:r>
              <w:rPr>
                <w:rFonts w:hint="eastAsia" w:ascii="宋体" w:hAnsi="宋体" w:cs="宋体"/>
                <w:color w:val="auto"/>
                <w:sz w:val="24"/>
                <w:szCs w:val="24"/>
                <w:highlight w:val="none"/>
                <w:lang w:val="en-US" w:eastAsia="zh-CN"/>
              </w:rPr>
              <w:t>遴选响应</w:t>
            </w:r>
            <w:r>
              <w:rPr>
                <w:rFonts w:hint="eastAsia" w:ascii="宋体" w:hAnsi="宋体" w:eastAsia="宋体" w:cs="宋体"/>
                <w:color w:val="auto"/>
                <w:sz w:val="24"/>
                <w:szCs w:val="24"/>
                <w:highlight w:val="none"/>
                <w:lang w:val="en-US" w:eastAsia="zh-CN"/>
              </w:rPr>
              <w:t>供应商的</w:t>
            </w:r>
            <w:r>
              <w:rPr>
                <w:rFonts w:hint="eastAsia" w:ascii="宋体" w:hAnsi="宋体" w:cs="宋体"/>
                <w:color w:val="auto"/>
                <w:sz w:val="24"/>
                <w:szCs w:val="24"/>
                <w:highlight w:val="none"/>
                <w:lang w:val="en-US" w:eastAsia="zh-CN"/>
              </w:rPr>
              <w:t>遴选响应文件</w:t>
            </w:r>
            <w:r>
              <w:rPr>
                <w:rFonts w:hint="eastAsia" w:ascii="宋体" w:hAnsi="宋体" w:eastAsia="宋体" w:cs="宋体"/>
                <w:color w:val="auto"/>
                <w:sz w:val="24"/>
                <w:szCs w:val="24"/>
                <w:highlight w:val="none"/>
                <w:lang w:val="en-US" w:eastAsia="zh-CN"/>
              </w:rPr>
              <w:t>或部分</w:t>
            </w:r>
            <w:r>
              <w:rPr>
                <w:rFonts w:hint="eastAsia" w:ascii="宋体" w:hAnsi="宋体" w:cs="宋体"/>
                <w:color w:val="auto"/>
                <w:sz w:val="24"/>
                <w:szCs w:val="24"/>
                <w:highlight w:val="none"/>
                <w:lang w:val="en-US" w:eastAsia="zh-CN"/>
              </w:rPr>
              <w:t>遴选响应文件</w:t>
            </w:r>
            <w:r>
              <w:rPr>
                <w:rFonts w:hint="eastAsia" w:ascii="宋体" w:hAnsi="宋体" w:eastAsia="宋体" w:cs="宋体"/>
                <w:b/>
                <w:bCs/>
                <w:color w:val="auto"/>
                <w:sz w:val="24"/>
                <w:szCs w:val="24"/>
                <w:highlight w:val="none"/>
                <w:lang w:val="en-US" w:eastAsia="zh-CN"/>
              </w:rPr>
              <w:t>相互混装或存在非正常一致</w:t>
            </w:r>
            <w:r>
              <w:rPr>
                <w:rFonts w:hint="eastAsia" w:ascii="宋体" w:hAnsi="宋体" w:eastAsia="宋体" w:cs="宋体"/>
                <w:color w:val="auto"/>
                <w:sz w:val="24"/>
                <w:szCs w:val="24"/>
                <w:highlight w:val="none"/>
                <w:lang w:val="en-US" w:eastAsia="zh-CN"/>
              </w:rPr>
              <w:t>。</w:t>
            </w:r>
          </w:p>
        </w:tc>
      </w:tr>
      <w:tr w14:paraId="01531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noWrap w:val="0"/>
            <w:vAlign w:val="center"/>
          </w:tcPr>
          <w:p w14:paraId="5395EF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8085" w:type="dxa"/>
            <w:noWrap w:val="0"/>
            <w:vAlign w:val="center"/>
          </w:tcPr>
          <w:p w14:paraId="54725C9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w:t>
            </w:r>
            <w:r>
              <w:rPr>
                <w:rFonts w:hint="eastAsia" w:ascii="宋体" w:hAnsi="宋体" w:eastAsia="宋体" w:cs="宋体"/>
                <w:b/>
                <w:bCs/>
                <w:color w:val="auto"/>
                <w:sz w:val="24"/>
                <w:szCs w:val="24"/>
                <w:highlight w:val="none"/>
                <w:lang w:val="en-US" w:eastAsia="zh-CN"/>
              </w:rPr>
              <w:t>未经出具机构核实</w:t>
            </w:r>
            <w:r>
              <w:rPr>
                <w:rFonts w:hint="eastAsia" w:ascii="宋体" w:hAnsi="宋体" w:eastAsia="宋体" w:cs="宋体"/>
                <w:color w:val="auto"/>
                <w:sz w:val="24"/>
                <w:szCs w:val="24"/>
                <w:highlight w:val="none"/>
                <w:lang w:val="en-US" w:eastAsia="zh-CN"/>
              </w:rPr>
              <w:t>的虚假的检验检测报告、业绩材料、社保缴纳证明、学历学位证书、职称认证证书等材料。</w:t>
            </w:r>
          </w:p>
        </w:tc>
      </w:tr>
    </w:tbl>
    <w:p w14:paraId="5947B219">
      <w:pPr>
        <w:spacing w:before="157" w:beforeLines="50" w:line="38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一、</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已充分知悉“隐瞒真实情况，提供虚假资料”的法定情形，包括但不限于：</w:t>
      </w:r>
    </w:p>
    <w:p w14:paraId="7228650E">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（一）通过转让或者租借等方式从其他单位获取资格或者资质证书</w:t>
      </w:r>
      <w:r>
        <w:rPr>
          <w:rFonts w:hint="eastAsia" w:ascii="宋体" w:hAnsi="宋体" w:cs="宋体"/>
          <w:color w:val="auto"/>
          <w:highlight w:val="none"/>
          <w:lang w:eastAsia="zh-CN"/>
        </w:rPr>
        <w:t>遴选响应</w:t>
      </w:r>
      <w:r>
        <w:rPr>
          <w:rFonts w:hint="eastAsia" w:ascii="宋体" w:hAnsi="宋体" w:eastAsia="宋体" w:cs="宋体"/>
          <w:color w:val="auto"/>
          <w:highlight w:val="none"/>
        </w:rPr>
        <w:t>的。</w:t>
      </w:r>
    </w:p>
    <w:p w14:paraId="17D34ED0">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（二）由其他单位或者其他单位负责人在</w:t>
      </w:r>
      <w:r>
        <w:rPr>
          <w:rFonts w:hint="eastAsia" w:ascii="宋体" w:hAnsi="宋体" w:cs="宋体"/>
          <w:color w:val="auto"/>
          <w:highlight w:val="none"/>
          <w:lang w:eastAsia="zh-CN"/>
        </w:rPr>
        <w:t>遴选响应</w:t>
      </w:r>
      <w:r>
        <w:rPr>
          <w:rFonts w:hint="eastAsia" w:ascii="宋体" w:hAnsi="宋体" w:eastAsia="宋体" w:cs="宋体"/>
          <w:color w:val="auto"/>
          <w:highlight w:val="none"/>
        </w:rPr>
        <w:t>供应商编制的</w:t>
      </w:r>
      <w:r>
        <w:rPr>
          <w:rFonts w:hint="eastAsia" w:ascii="宋体" w:hAnsi="宋体" w:cs="宋体"/>
          <w:color w:val="auto"/>
          <w:highlight w:val="none"/>
          <w:lang w:eastAsia="zh-CN"/>
        </w:rPr>
        <w:t>遴选响应文件</w:t>
      </w:r>
      <w:r>
        <w:rPr>
          <w:rFonts w:hint="eastAsia" w:ascii="宋体" w:hAnsi="宋体" w:eastAsia="宋体" w:cs="宋体"/>
          <w:color w:val="auto"/>
          <w:highlight w:val="none"/>
        </w:rPr>
        <w:t>上加盖印章或者签字的。</w:t>
      </w:r>
    </w:p>
    <w:p w14:paraId="69668DEE">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（三）项目负责人或者主要技术人员不是本单位人员的。</w:t>
      </w:r>
    </w:p>
    <w:p w14:paraId="598519CE">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cs="宋体"/>
          <w:color w:val="auto"/>
          <w:highlight w:val="none"/>
          <w:lang w:eastAsia="zh-CN"/>
        </w:rPr>
        <w:t>遴选响应</w:t>
      </w:r>
      <w:r>
        <w:rPr>
          <w:rFonts w:hint="eastAsia" w:ascii="宋体" w:hAnsi="宋体" w:eastAsia="宋体" w:cs="宋体"/>
          <w:color w:val="auto"/>
          <w:highlight w:val="none"/>
        </w:rPr>
        <w:t>保证金不是从</w:t>
      </w:r>
      <w:r>
        <w:rPr>
          <w:rFonts w:hint="eastAsia" w:ascii="宋体" w:hAnsi="宋体" w:cs="宋体"/>
          <w:color w:val="auto"/>
          <w:highlight w:val="none"/>
          <w:lang w:eastAsia="zh-CN"/>
        </w:rPr>
        <w:t>遴选响应</w:t>
      </w:r>
      <w:r>
        <w:rPr>
          <w:rFonts w:hint="eastAsia" w:ascii="宋体" w:hAnsi="宋体" w:eastAsia="宋体" w:cs="宋体"/>
          <w:color w:val="auto"/>
          <w:highlight w:val="none"/>
        </w:rPr>
        <w:t>供应商基本账户转出的。</w:t>
      </w:r>
    </w:p>
    <w:p w14:paraId="1F469B7D">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（五）其他隐瞒真实情况、提供虚假资料的行为。</w:t>
      </w:r>
    </w:p>
    <w:p w14:paraId="357F0084">
      <w:pPr>
        <w:spacing w:beforeLines="0" w:line="38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二、</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已充分知悉“与其他采购参加人串通</w:t>
      </w:r>
      <w:r>
        <w:rPr>
          <w:rFonts w:hint="eastAsia" w:ascii="宋体" w:hAnsi="宋体" w:cs="宋体"/>
          <w:b/>
          <w:color w:val="auto"/>
          <w:highlight w:val="none"/>
          <w:lang w:eastAsia="zh-CN"/>
        </w:rPr>
        <w:t>遴选响应</w:t>
      </w:r>
      <w:r>
        <w:rPr>
          <w:rFonts w:hint="eastAsia" w:ascii="宋体" w:hAnsi="宋体" w:eastAsia="宋体" w:cs="宋体"/>
          <w:b/>
          <w:color w:val="auto"/>
          <w:highlight w:val="none"/>
        </w:rPr>
        <w:t>”的法定情形，包括但不限于：</w:t>
      </w:r>
    </w:p>
    <w:p w14:paraId="49D8EFC2">
      <w:pPr>
        <w:spacing w:beforeLines="0" w:line="380" w:lineRule="exact"/>
        <w:ind w:firstLine="420" w:firstLineChars="200"/>
        <w:outlineLvl w:val="9"/>
        <w:rPr>
          <w:rFonts w:hint="eastAsia" w:ascii="宋体" w:hAnsi="宋体" w:eastAsia="宋体" w:cs="宋体"/>
          <w:color w:val="auto"/>
          <w:highlight w:val="none"/>
        </w:rPr>
      </w:pPr>
      <w:bookmarkStart w:id="95" w:name="_Toc4416"/>
      <w:r>
        <w:rPr>
          <w:rFonts w:hint="eastAsia" w:ascii="宋体" w:hAnsi="宋体" w:eastAsia="宋体" w:cs="宋体"/>
          <w:color w:val="auto"/>
          <w:highlight w:val="none"/>
        </w:rPr>
        <w:t>（一）</w:t>
      </w:r>
      <w:r>
        <w:rPr>
          <w:rFonts w:hint="eastAsia" w:ascii="宋体" w:hAnsi="宋体" w:cs="宋体"/>
          <w:color w:val="auto"/>
          <w:highlight w:val="none"/>
          <w:lang w:eastAsia="zh-CN"/>
        </w:rPr>
        <w:t>遴选响应</w:t>
      </w:r>
      <w:r>
        <w:rPr>
          <w:rFonts w:hint="eastAsia" w:ascii="宋体" w:hAnsi="宋体" w:eastAsia="宋体" w:cs="宋体"/>
          <w:color w:val="auto"/>
          <w:highlight w:val="none"/>
        </w:rPr>
        <w:t>供应商之间相互约定给予未</w:t>
      </w:r>
      <w:r>
        <w:rPr>
          <w:rFonts w:hint="eastAsia" w:ascii="宋体" w:hAnsi="宋体" w:cs="宋体"/>
          <w:color w:val="auto"/>
          <w:highlight w:val="none"/>
          <w:lang w:eastAsia="zh-CN"/>
        </w:rPr>
        <w:t>中选</w:t>
      </w:r>
      <w:r>
        <w:rPr>
          <w:rFonts w:hint="eastAsia" w:ascii="宋体" w:hAnsi="宋体" w:eastAsia="宋体" w:cs="宋体"/>
          <w:color w:val="auto"/>
          <w:highlight w:val="none"/>
        </w:rPr>
        <w:t>的供应商利益补偿。</w:t>
      </w:r>
      <w:bookmarkEnd w:id="95"/>
    </w:p>
    <w:p w14:paraId="21A233C2">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（二）不同</w:t>
      </w:r>
      <w:r>
        <w:rPr>
          <w:rFonts w:hint="eastAsia" w:ascii="宋体" w:hAnsi="宋体" w:cs="宋体"/>
          <w:color w:val="auto"/>
          <w:highlight w:val="none"/>
          <w:lang w:eastAsia="zh-CN"/>
        </w:rPr>
        <w:t>遴选响应</w:t>
      </w:r>
      <w:r>
        <w:rPr>
          <w:rFonts w:hint="eastAsia" w:ascii="宋体" w:hAnsi="宋体" w:eastAsia="宋体" w:cs="宋体"/>
          <w:color w:val="auto"/>
          <w:highlight w:val="none"/>
        </w:rPr>
        <w:t>供应商的法定代表人、主要经营负责人、项目</w:t>
      </w:r>
      <w:r>
        <w:rPr>
          <w:rFonts w:hint="eastAsia" w:ascii="宋体" w:hAnsi="宋体" w:cs="宋体"/>
          <w:color w:val="auto"/>
          <w:highlight w:val="none"/>
          <w:lang w:eastAsia="zh-CN"/>
        </w:rPr>
        <w:t>遴选响应</w:t>
      </w:r>
      <w:r>
        <w:rPr>
          <w:rFonts w:hint="eastAsia" w:ascii="宋体" w:hAnsi="宋体" w:eastAsia="宋体" w:cs="宋体"/>
          <w:color w:val="auto"/>
          <w:highlight w:val="none"/>
        </w:rPr>
        <w:t>授权代表人、项目负责人、主要技术人员为同一人、属同一单位或者在同一单位缴纳社会保险。</w:t>
      </w:r>
    </w:p>
    <w:p w14:paraId="7818E9A2">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（三）不同</w:t>
      </w:r>
      <w:r>
        <w:rPr>
          <w:rFonts w:hint="eastAsia" w:ascii="宋体" w:hAnsi="宋体" w:cs="宋体"/>
          <w:color w:val="auto"/>
          <w:highlight w:val="none"/>
          <w:lang w:eastAsia="zh-CN"/>
        </w:rPr>
        <w:t>遴选响应</w:t>
      </w:r>
      <w:r>
        <w:rPr>
          <w:rFonts w:hint="eastAsia" w:ascii="宋体" w:hAnsi="宋体" w:eastAsia="宋体" w:cs="宋体"/>
          <w:color w:val="auto"/>
          <w:highlight w:val="none"/>
        </w:rPr>
        <w:t>供应商的</w:t>
      </w:r>
      <w:r>
        <w:rPr>
          <w:rFonts w:hint="eastAsia" w:ascii="宋体" w:hAnsi="宋体" w:cs="宋体"/>
          <w:color w:val="auto"/>
          <w:highlight w:val="none"/>
          <w:lang w:eastAsia="zh-CN"/>
        </w:rPr>
        <w:t>遴选响应文件</w:t>
      </w:r>
      <w:r>
        <w:rPr>
          <w:rFonts w:hint="eastAsia" w:ascii="宋体" w:hAnsi="宋体" w:eastAsia="宋体" w:cs="宋体"/>
          <w:color w:val="auto"/>
          <w:highlight w:val="none"/>
        </w:rPr>
        <w:t>由同一单位或者同一人编制，或者由同一人分阶段参与编制的。</w:t>
      </w:r>
    </w:p>
    <w:p w14:paraId="0786DCD3">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（四）不同</w:t>
      </w:r>
      <w:r>
        <w:rPr>
          <w:rFonts w:hint="eastAsia" w:ascii="宋体" w:hAnsi="宋体" w:cs="宋体"/>
          <w:color w:val="auto"/>
          <w:highlight w:val="none"/>
          <w:lang w:eastAsia="zh-CN"/>
        </w:rPr>
        <w:t>遴选响应</w:t>
      </w:r>
      <w:r>
        <w:rPr>
          <w:rFonts w:hint="eastAsia" w:ascii="宋体" w:hAnsi="宋体" w:eastAsia="宋体" w:cs="宋体"/>
          <w:color w:val="auto"/>
          <w:highlight w:val="none"/>
        </w:rPr>
        <w:t>供应商的</w:t>
      </w:r>
      <w:r>
        <w:rPr>
          <w:rFonts w:hint="eastAsia" w:ascii="宋体" w:hAnsi="宋体" w:cs="宋体"/>
          <w:color w:val="auto"/>
          <w:highlight w:val="none"/>
          <w:lang w:eastAsia="zh-CN"/>
        </w:rPr>
        <w:t>遴选响应文件</w:t>
      </w:r>
      <w:r>
        <w:rPr>
          <w:rFonts w:hint="eastAsia" w:ascii="宋体" w:hAnsi="宋体" w:eastAsia="宋体" w:cs="宋体"/>
          <w:color w:val="auto"/>
          <w:highlight w:val="none"/>
        </w:rPr>
        <w:t>或部分</w:t>
      </w:r>
      <w:r>
        <w:rPr>
          <w:rFonts w:hint="eastAsia" w:ascii="宋体" w:hAnsi="宋体" w:cs="宋体"/>
          <w:color w:val="auto"/>
          <w:highlight w:val="none"/>
          <w:lang w:eastAsia="zh-CN"/>
        </w:rPr>
        <w:t>遴选响应文件</w:t>
      </w:r>
      <w:r>
        <w:rPr>
          <w:rFonts w:hint="eastAsia" w:ascii="宋体" w:hAnsi="宋体" w:eastAsia="宋体" w:cs="宋体"/>
          <w:color w:val="auto"/>
          <w:highlight w:val="none"/>
        </w:rPr>
        <w:t>相互混装。</w:t>
      </w:r>
    </w:p>
    <w:p w14:paraId="7BDDC56B">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（五）不同</w:t>
      </w:r>
      <w:r>
        <w:rPr>
          <w:rFonts w:hint="eastAsia" w:ascii="宋体" w:hAnsi="宋体" w:cs="宋体"/>
          <w:color w:val="auto"/>
          <w:highlight w:val="none"/>
          <w:lang w:eastAsia="zh-CN"/>
        </w:rPr>
        <w:t>遴选响应</w:t>
      </w:r>
      <w:r>
        <w:rPr>
          <w:rFonts w:hint="eastAsia" w:ascii="宋体" w:hAnsi="宋体" w:eastAsia="宋体" w:cs="宋体"/>
          <w:color w:val="auto"/>
          <w:highlight w:val="none"/>
        </w:rPr>
        <w:t>供应商的</w:t>
      </w:r>
      <w:r>
        <w:rPr>
          <w:rFonts w:hint="eastAsia" w:ascii="宋体" w:hAnsi="宋体" w:cs="宋体"/>
          <w:color w:val="auto"/>
          <w:highlight w:val="none"/>
          <w:lang w:eastAsia="zh-CN"/>
        </w:rPr>
        <w:t>遴选响应文件</w:t>
      </w:r>
      <w:r>
        <w:rPr>
          <w:rFonts w:hint="eastAsia" w:ascii="宋体" w:hAnsi="宋体" w:eastAsia="宋体" w:cs="宋体"/>
          <w:color w:val="auto"/>
          <w:highlight w:val="none"/>
        </w:rPr>
        <w:t>内容存在非正常一致。</w:t>
      </w:r>
    </w:p>
    <w:p w14:paraId="3213BA6B">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（六）由同一单位工作人员为两家以上（含两家）供应商进行同一项</w:t>
      </w:r>
      <w:r>
        <w:rPr>
          <w:rFonts w:hint="eastAsia" w:ascii="宋体" w:hAnsi="宋体" w:cs="宋体"/>
          <w:color w:val="auto"/>
          <w:highlight w:val="none"/>
          <w:lang w:eastAsia="zh-CN"/>
        </w:rPr>
        <w:t>遴选响应</w:t>
      </w:r>
      <w:r>
        <w:rPr>
          <w:rFonts w:hint="eastAsia" w:ascii="宋体" w:hAnsi="宋体" w:eastAsia="宋体" w:cs="宋体"/>
          <w:color w:val="auto"/>
          <w:highlight w:val="none"/>
        </w:rPr>
        <w:t>活动的。</w:t>
      </w:r>
    </w:p>
    <w:p w14:paraId="2D578AD8">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（七）不同</w:t>
      </w:r>
      <w:r>
        <w:rPr>
          <w:rFonts w:hint="eastAsia" w:ascii="宋体" w:hAnsi="宋体" w:cs="宋体"/>
          <w:color w:val="auto"/>
          <w:highlight w:val="none"/>
          <w:lang w:eastAsia="zh-CN"/>
        </w:rPr>
        <w:t>遴选响应方</w:t>
      </w:r>
      <w:r>
        <w:rPr>
          <w:rFonts w:hint="eastAsia" w:ascii="宋体" w:hAnsi="宋体" w:eastAsia="宋体" w:cs="宋体"/>
          <w:color w:val="auto"/>
          <w:highlight w:val="none"/>
        </w:rPr>
        <w:t>的</w:t>
      </w:r>
      <w:r>
        <w:rPr>
          <w:rFonts w:hint="eastAsia" w:ascii="宋体" w:hAnsi="宋体" w:cs="宋体"/>
          <w:color w:val="auto"/>
          <w:highlight w:val="none"/>
          <w:lang w:eastAsia="zh-CN"/>
        </w:rPr>
        <w:t>遴选响应</w:t>
      </w:r>
      <w:r>
        <w:rPr>
          <w:rFonts w:hint="eastAsia" w:ascii="宋体" w:hAnsi="宋体" w:eastAsia="宋体" w:cs="宋体"/>
          <w:color w:val="auto"/>
          <w:highlight w:val="none"/>
        </w:rPr>
        <w:t>报价呈规律性差异。</w:t>
      </w:r>
    </w:p>
    <w:p w14:paraId="1B067A2A">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（八）不同</w:t>
      </w:r>
      <w:r>
        <w:rPr>
          <w:rFonts w:hint="eastAsia" w:ascii="宋体" w:hAnsi="宋体" w:cs="宋体"/>
          <w:color w:val="auto"/>
          <w:highlight w:val="none"/>
          <w:lang w:eastAsia="zh-CN"/>
        </w:rPr>
        <w:t>遴选响应方</w:t>
      </w:r>
      <w:r>
        <w:rPr>
          <w:rFonts w:hint="eastAsia" w:ascii="宋体" w:hAnsi="宋体" w:eastAsia="宋体" w:cs="宋体"/>
          <w:color w:val="auto"/>
          <w:highlight w:val="none"/>
        </w:rPr>
        <w:t>的</w:t>
      </w:r>
      <w:r>
        <w:rPr>
          <w:rFonts w:hint="eastAsia" w:ascii="宋体" w:hAnsi="宋体" w:cs="宋体"/>
          <w:color w:val="auto"/>
          <w:highlight w:val="none"/>
          <w:lang w:eastAsia="zh-CN"/>
        </w:rPr>
        <w:t>遴选响应</w:t>
      </w:r>
      <w:r>
        <w:rPr>
          <w:rFonts w:hint="eastAsia" w:ascii="宋体" w:hAnsi="宋体" w:eastAsia="宋体" w:cs="宋体"/>
          <w:color w:val="auto"/>
          <w:highlight w:val="none"/>
        </w:rPr>
        <w:t>保证金从同一单位或者个人的账户转出。</w:t>
      </w:r>
    </w:p>
    <w:p w14:paraId="38137543">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（九）主管部门依照法律、法规认定的其他情形。</w:t>
      </w:r>
    </w:p>
    <w:p w14:paraId="30797EF1">
      <w:pPr>
        <w:spacing w:beforeLines="0" w:line="34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三、</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已充分知悉下列情形</w:t>
      </w:r>
      <w:r>
        <w:rPr>
          <w:rFonts w:hint="eastAsia" w:ascii="宋体" w:hAnsi="宋体" w:eastAsia="宋体" w:cs="宋体"/>
          <w:b/>
          <w:color w:val="auto"/>
          <w:highlight w:val="none"/>
          <w:lang w:eastAsia="zh-CN"/>
        </w:rPr>
        <w:t>存在</w:t>
      </w:r>
      <w:r>
        <w:rPr>
          <w:rFonts w:hint="eastAsia" w:ascii="宋体" w:hAnsi="宋体" w:eastAsia="宋体" w:cs="宋体"/>
          <w:b/>
          <w:color w:val="auto"/>
          <w:highlight w:val="none"/>
        </w:rPr>
        <w:t>法律风险，在</w:t>
      </w:r>
      <w:r>
        <w:rPr>
          <w:rFonts w:hint="eastAsia" w:ascii="宋体" w:hAnsi="宋体" w:cs="宋体"/>
          <w:b/>
          <w:color w:val="auto"/>
          <w:highlight w:val="none"/>
          <w:lang w:eastAsia="zh-CN"/>
        </w:rPr>
        <w:t>遴选响应</w:t>
      </w:r>
      <w:r>
        <w:rPr>
          <w:rFonts w:hint="eastAsia" w:ascii="宋体" w:hAnsi="宋体" w:eastAsia="宋体" w:cs="宋体"/>
          <w:b/>
          <w:color w:val="auto"/>
          <w:highlight w:val="none"/>
        </w:rPr>
        <w:t>前已对相关风险事项进行排查。</w:t>
      </w:r>
    </w:p>
    <w:p w14:paraId="0E381613">
      <w:pPr>
        <w:spacing w:beforeLines="0" w:line="340" w:lineRule="exact"/>
        <w:ind w:firstLine="420" w:firstLineChars="200"/>
        <w:rPr>
          <w:rFonts w:hint="eastAsia" w:ascii="宋体" w:hAnsi="宋体" w:eastAsia="宋体" w:cs="宋体"/>
          <w:b/>
          <w:color w:val="auto"/>
          <w:highlight w:val="none"/>
        </w:rPr>
      </w:pPr>
      <w:r>
        <w:rPr>
          <w:rFonts w:hint="eastAsia" w:ascii="宋体" w:hAnsi="宋体" w:eastAsia="宋体" w:cs="宋体"/>
          <w:color w:val="auto"/>
          <w:highlight w:val="none"/>
        </w:rPr>
        <w:t>（一）对于从其他主体获取的</w:t>
      </w:r>
      <w:r>
        <w:rPr>
          <w:rFonts w:hint="eastAsia" w:ascii="宋体" w:hAnsi="宋体" w:cs="宋体"/>
          <w:color w:val="auto"/>
          <w:highlight w:val="none"/>
          <w:lang w:eastAsia="zh-CN"/>
        </w:rPr>
        <w:t>遴选响应</w:t>
      </w:r>
      <w:r>
        <w:rPr>
          <w:rFonts w:hint="eastAsia" w:ascii="宋体" w:hAnsi="宋体" w:eastAsia="宋体" w:cs="宋体"/>
          <w:color w:val="auto"/>
          <w:highlight w:val="none"/>
        </w:rPr>
        <w:t>资料，</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应审慎核查，确保</w:t>
      </w:r>
      <w:r>
        <w:rPr>
          <w:rFonts w:hint="eastAsia" w:ascii="宋体" w:hAnsi="宋体" w:eastAsia="宋体" w:cs="宋体"/>
          <w:color w:val="auto"/>
          <w:highlight w:val="none"/>
          <w:lang w:eastAsia="zh-CN"/>
        </w:rPr>
        <w:t>其</w:t>
      </w:r>
      <w:r>
        <w:rPr>
          <w:rFonts w:hint="eastAsia" w:ascii="宋体" w:hAnsi="宋体" w:eastAsia="宋体" w:cs="宋体"/>
          <w:color w:val="auto"/>
          <w:highlight w:val="none"/>
        </w:rPr>
        <w:t>真实性。</w:t>
      </w:r>
      <w:r>
        <w:rPr>
          <w:rFonts w:hint="eastAsia" w:ascii="宋体" w:hAnsi="宋体" w:eastAsia="宋体" w:cs="宋体"/>
          <w:b/>
          <w:color w:val="auto"/>
          <w:highlight w:val="none"/>
        </w:rPr>
        <w:t>如主管部门查实</w:t>
      </w:r>
      <w:r>
        <w:rPr>
          <w:rFonts w:hint="eastAsia" w:ascii="宋体" w:hAnsi="宋体" w:cs="宋体"/>
          <w:b/>
          <w:color w:val="auto"/>
          <w:highlight w:val="none"/>
          <w:lang w:eastAsia="zh-CN"/>
        </w:rPr>
        <w:t>遴选响应文件</w:t>
      </w:r>
      <w:r>
        <w:rPr>
          <w:rFonts w:hint="eastAsia" w:ascii="宋体" w:hAnsi="宋体" w:eastAsia="宋体" w:cs="宋体"/>
          <w:b/>
          <w:color w:val="auto"/>
          <w:highlight w:val="none"/>
        </w:rPr>
        <w:t>中存在虚假资料的，无论相关资料是否由第三方或本公司员工提供，均不影响主管部门对供应商存在“隐瞒真实情况，提供虚假资料”违法行为的认定。</w:t>
      </w:r>
    </w:p>
    <w:p w14:paraId="09BD4587">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（二）对于涉及国家机关出具的公文、证件、证明材料等文件，一旦涉嫌虚假，经查实，主管部门将依法从严处理，并移送有关部门追究法律责任；涉嫌犯罪的，移送司法机关</w:t>
      </w:r>
      <w:r>
        <w:rPr>
          <w:rFonts w:hint="eastAsia" w:ascii="宋体" w:hAnsi="宋体" w:eastAsia="宋体" w:cs="宋体"/>
          <w:color w:val="auto"/>
          <w:highlight w:val="none"/>
          <w:lang w:eastAsia="zh-CN"/>
        </w:rPr>
        <w:t>处理</w:t>
      </w:r>
      <w:r>
        <w:rPr>
          <w:rFonts w:hint="eastAsia" w:ascii="宋体" w:hAnsi="宋体" w:eastAsia="宋体" w:cs="宋体"/>
          <w:color w:val="auto"/>
          <w:highlight w:val="none"/>
        </w:rPr>
        <w:t>。</w:t>
      </w:r>
    </w:p>
    <w:p w14:paraId="419A2B43">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对</w:t>
      </w:r>
      <w:r>
        <w:rPr>
          <w:rFonts w:hint="eastAsia" w:ascii="宋体" w:hAnsi="宋体" w:cs="宋体"/>
          <w:color w:val="auto"/>
          <w:highlight w:val="none"/>
          <w:lang w:eastAsia="zh-CN"/>
        </w:rPr>
        <w:t>遴选响应</w:t>
      </w:r>
      <w:r>
        <w:rPr>
          <w:rFonts w:hint="eastAsia" w:ascii="宋体" w:hAnsi="宋体" w:eastAsia="宋体" w:cs="宋体"/>
          <w:color w:val="auto"/>
          <w:highlight w:val="none"/>
        </w:rPr>
        <w:t>电子密钥</w:t>
      </w:r>
      <w:r>
        <w:rPr>
          <w:rFonts w:hint="eastAsia" w:ascii="宋体" w:hAnsi="宋体" w:eastAsia="宋体" w:cs="宋体"/>
          <w:color w:val="auto"/>
          <w:highlight w:val="none"/>
          <w:lang w:eastAsia="zh-CN"/>
        </w:rPr>
        <w:t>或</w:t>
      </w:r>
      <w:r>
        <w:rPr>
          <w:rFonts w:hint="eastAsia" w:ascii="宋体" w:hAnsi="宋体" w:eastAsia="宋体" w:cs="宋体"/>
          <w:color w:val="auto"/>
          <w:highlight w:val="none"/>
          <w:lang w:val="en-US" w:eastAsia="zh-CN"/>
        </w:rPr>
        <w:t>电子营业执照</w:t>
      </w:r>
      <w:r>
        <w:rPr>
          <w:rFonts w:hint="eastAsia" w:ascii="宋体" w:hAnsi="宋体" w:eastAsia="宋体" w:cs="宋体"/>
          <w:color w:val="auto"/>
          <w:highlight w:val="none"/>
        </w:rPr>
        <w:t>负有妥善保管、及时变更和续期等主体责任</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使用电子密钥</w:t>
      </w:r>
      <w:r>
        <w:rPr>
          <w:rFonts w:hint="eastAsia" w:ascii="宋体" w:hAnsi="宋体" w:eastAsia="宋体" w:cs="宋体"/>
          <w:color w:val="auto"/>
          <w:highlight w:val="none"/>
          <w:lang w:eastAsia="zh-CN"/>
        </w:rPr>
        <w:t>或</w:t>
      </w:r>
      <w:r>
        <w:rPr>
          <w:rFonts w:hint="eastAsia" w:ascii="宋体" w:hAnsi="宋体" w:eastAsia="宋体" w:cs="宋体"/>
          <w:color w:val="auto"/>
          <w:highlight w:val="none"/>
          <w:lang w:val="en-US" w:eastAsia="zh-CN"/>
        </w:rPr>
        <w:t>电子营业执照</w:t>
      </w:r>
      <w:r>
        <w:rPr>
          <w:rFonts w:hint="eastAsia" w:ascii="宋体" w:hAnsi="宋体" w:eastAsia="宋体" w:cs="宋体"/>
          <w:color w:val="auto"/>
          <w:highlight w:val="none"/>
        </w:rPr>
        <w:t>在深圳政府采购网站进行的活动，均具有法律效力，须承担相应的法律后果。</w:t>
      </w:r>
      <w:r>
        <w:rPr>
          <w:rFonts w:hint="eastAsia" w:ascii="宋体" w:hAnsi="宋体" w:eastAsia="宋体" w:cs="宋体"/>
          <w:color w:val="auto"/>
          <w:highlight w:val="none"/>
          <w:lang w:eastAsia="zh-CN"/>
        </w:rPr>
        <w:t>若</w:t>
      </w:r>
      <w:r>
        <w:rPr>
          <w:rFonts w:hint="eastAsia" w:ascii="宋体" w:hAnsi="宋体" w:eastAsia="宋体" w:cs="宋体"/>
          <w:b/>
          <w:bCs/>
          <w:color w:val="auto"/>
          <w:highlight w:val="none"/>
        </w:rPr>
        <w:t>擅自将</w:t>
      </w:r>
      <w:r>
        <w:rPr>
          <w:rFonts w:hint="eastAsia" w:ascii="宋体" w:hAnsi="宋体" w:cs="宋体"/>
          <w:b/>
          <w:bCs/>
          <w:color w:val="auto"/>
          <w:highlight w:val="none"/>
          <w:lang w:eastAsia="zh-CN"/>
        </w:rPr>
        <w:t>遴选响应</w:t>
      </w:r>
      <w:r>
        <w:rPr>
          <w:rFonts w:hint="eastAsia" w:ascii="宋体" w:hAnsi="宋体" w:eastAsia="宋体" w:cs="宋体"/>
          <w:b/>
          <w:bCs/>
          <w:color w:val="auto"/>
          <w:highlight w:val="none"/>
        </w:rPr>
        <w:t>密钥</w:t>
      </w:r>
      <w:r>
        <w:rPr>
          <w:rFonts w:hint="eastAsia" w:ascii="宋体" w:hAnsi="宋体" w:eastAsia="宋体" w:cs="宋体"/>
          <w:b/>
          <w:bCs/>
          <w:color w:val="auto"/>
          <w:highlight w:val="none"/>
          <w:lang w:eastAsia="zh-CN"/>
        </w:rPr>
        <w:t>或</w:t>
      </w:r>
      <w:r>
        <w:rPr>
          <w:rFonts w:hint="eastAsia" w:ascii="宋体" w:hAnsi="宋体" w:eastAsia="宋体" w:cs="宋体"/>
          <w:b/>
          <w:bCs/>
          <w:color w:val="auto"/>
          <w:highlight w:val="none"/>
          <w:lang w:val="en-US" w:eastAsia="zh-CN"/>
        </w:rPr>
        <w:t>电子营业执照</w:t>
      </w:r>
      <w:r>
        <w:rPr>
          <w:rFonts w:hint="eastAsia" w:ascii="宋体" w:hAnsi="宋体" w:eastAsia="宋体" w:cs="宋体"/>
          <w:b/>
          <w:bCs/>
          <w:color w:val="auto"/>
          <w:highlight w:val="none"/>
        </w:rPr>
        <w:t>出借他人使用所造成的法律后果，由</w:t>
      </w:r>
      <w:r>
        <w:rPr>
          <w:rFonts w:hint="eastAsia" w:ascii="宋体" w:hAnsi="宋体" w:eastAsia="宋体" w:cs="宋体"/>
          <w:b/>
          <w:bCs/>
          <w:color w:val="auto"/>
          <w:highlight w:val="none"/>
          <w:lang w:eastAsia="zh-CN"/>
        </w:rPr>
        <w:t>我</w:t>
      </w:r>
      <w:r>
        <w:rPr>
          <w:rFonts w:hint="eastAsia" w:ascii="宋体" w:hAnsi="宋体" w:eastAsia="宋体" w:cs="宋体"/>
          <w:b/>
          <w:bCs/>
          <w:color w:val="auto"/>
          <w:highlight w:val="none"/>
          <w:lang w:val="en-US" w:eastAsia="zh-CN"/>
        </w:rPr>
        <w:t>单位</w:t>
      </w:r>
      <w:r>
        <w:rPr>
          <w:rFonts w:hint="eastAsia" w:ascii="宋体" w:hAnsi="宋体" w:eastAsia="宋体" w:cs="宋体"/>
          <w:b/>
          <w:bCs/>
          <w:color w:val="auto"/>
          <w:highlight w:val="none"/>
        </w:rPr>
        <w:t>自行承担</w:t>
      </w:r>
      <w:r>
        <w:rPr>
          <w:rFonts w:hint="eastAsia" w:ascii="宋体" w:hAnsi="宋体" w:eastAsia="宋体" w:cs="宋体"/>
          <w:color w:val="auto"/>
          <w:highlight w:val="none"/>
        </w:rPr>
        <w:t>。</w:t>
      </w:r>
    </w:p>
    <w:p w14:paraId="7A943B34">
      <w:pPr>
        <w:spacing w:beforeLines="0" w:line="340" w:lineRule="exact"/>
        <w:ind w:firstLine="422" w:firstLineChars="200"/>
        <w:outlineLvl w:val="9"/>
        <w:rPr>
          <w:rFonts w:hint="eastAsia" w:ascii="宋体" w:hAnsi="宋体" w:eastAsia="宋体" w:cs="宋体"/>
          <w:b/>
          <w:color w:val="auto"/>
          <w:highlight w:val="none"/>
        </w:rPr>
      </w:pPr>
      <w:r>
        <w:rPr>
          <w:rFonts w:hint="eastAsia" w:ascii="宋体" w:hAnsi="宋体" w:eastAsia="宋体" w:cs="宋体"/>
          <w:b/>
          <w:color w:val="auto"/>
          <w:highlight w:val="none"/>
        </w:rPr>
        <w:t>四、</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已充分知悉政府采购违法、违规行为的法律后果。</w:t>
      </w:r>
    </w:p>
    <w:p w14:paraId="6B9D35C5">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经查实，若</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43606CC4">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以下文字请</w:t>
      </w:r>
      <w:r>
        <w:rPr>
          <w:rFonts w:hint="eastAsia" w:ascii="宋体" w:hAnsi="宋体" w:cs="宋体"/>
          <w:color w:val="auto"/>
          <w:highlight w:val="none"/>
          <w:lang w:eastAsia="zh-CN"/>
        </w:rPr>
        <w:t>遴选响应</w:t>
      </w:r>
      <w:r>
        <w:rPr>
          <w:rFonts w:hint="eastAsia" w:ascii="宋体" w:hAnsi="宋体" w:eastAsia="宋体" w:cs="宋体"/>
          <w:color w:val="auto"/>
          <w:highlight w:val="none"/>
        </w:rPr>
        <w:t>供应商抄写并确认：“</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已仔细阅读《政府采购违法行为风险知悉确认书》，充分知悉违法行为的法律后果，并承诺将严谨、诚信、依法依规参与政府采购活动”。</w:t>
      </w:r>
    </w:p>
    <w:tbl>
      <w:tblPr>
        <w:tblStyle w:val="128"/>
        <w:tblW w:w="8529"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5059F224">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8529" w:type="dxa"/>
            <w:tcBorders>
              <w:top w:val="nil"/>
              <w:left w:val="nil"/>
              <w:bottom w:val="single" w:color="000000" w:sz="8" w:space="0"/>
              <w:right w:val="nil"/>
            </w:tcBorders>
            <w:noWrap w:val="0"/>
            <w:vAlign w:val="top"/>
          </w:tcPr>
          <w:p w14:paraId="51BCFE1D">
            <w:pPr>
              <w:autoSpaceDE w:val="0"/>
              <w:autoSpaceDN w:val="0"/>
              <w:spacing w:beforeLines="0" w:line="340" w:lineRule="exact"/>
              <w:ind w:firstLine="1866"/>
              <w:jc w:val="both"/>
              <w:rPr>
                <w:rFonts w:hint="eastAsia" w:ascii="宋体" w:hAnsi="宋体" w:eastAsia="宋体" w:cs="宋体"/>
                <w:color w:val="auto"/>
                <w:spacing w:val="-4"/>
                <w:kern w:val="0"/>
                <w:szCs w:val="21"/>
                <w:highlight w:val="none"/>
              </w:rPr>
            </w:pPr>
          </w:p>
        </w:tc>
      </w:tr>
      <w:tr w14:paraId="1583ECA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op w:val="single" w:color="000000" w:sz="8" w:space="0"/>
              <w:left w:val="nil"/>
              <w:bottom w:val="single" w:color="000000" w:sz="8" w:space="0"/>
              <w:right w:val="nil"/>
            </w:tcBorders>
            <w:noWrap w:val="0"/>
            <w:vAlign w:val="top"/>
          </w:tcPr>
          <w:p w14:paraId="16EF46E3">
            <w:pPr>
              <w:autoSpaceDE w:val="0"/>
              <w:autoSpaceDN w:val="0"/>
              <w:spacing w:beforeLines="0" w:line="340" w:lineRule="exact"/>
              <w:ind w:firstLine="1866"/>
              <w:jc w:val="both"/>
              <w:rPr>
                <w:rFonts w:hint="eastAsia" w:ascii="宋体" w:hAnsi="宋体" w:eastAsia="宋体" w:cs="宋体"/>
                <w:color w:val="auto"/>
                <w:spacing w:val="-4"/>
                <w:kern w:val="0"/>
                <w:szCs w:val="21"/>
                <w:highlight w:val="none"/>
              </w:rPr>
            </w:pPr>
          </w:p>
        </w:tc>
      </w:tr>
      <w:tr w14:paraId="39A2AE3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op w:val="single" w:color="000000" w:sz="8" w:space="0"/>
              <w:left w:val="nil"/>
              <w:bottom w:val="single" w:color="000000" w:sz="8" w:space="0"/>
              <w:right w:val="nil"/>
            </w:tcBorders>
            <w:noWrap w:val="0"/>
            <w:vAlign w:val="top"/>
          </w:tcPr>
          <w:p w14:paraId="662C21C4">
            <w:pPr>
              <w:autoSpaceDE w:val="0"/>
              <w:autoSpaceDN w:val="0"/>
              <w:spacing w:beforeLines="0" w:line="340" w:lineRule="exact"/>
              <w:ind w:firstLine="1866"/>
              <w:jc w:val="both"/>
              <w:rPr>
                <w:rFonts w:hint="eastAsia" w:ascii="宋体" w:hAnsi="宋体" w:eastAsia="宋体" w:cs="宋体"/>
                <w:color w:val="auto"/>
                <w:spacing w:val="-4"/>
                <w:kern w:val="0"/>
                <w:szCs w:val="21"/>
                <w:highlight w:val="none"/>
              </w:rPr>
            </w:pPr>
          </w:p>
        </w:tc>
      </w:tr>
      <w:tr w14:paraId="50033A5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op w:val="single" w:color="000000" w:sz="8" w:space="0"/>
              <w:left w:val="nil"/>
              <w:bottom w:val="single" w:color="auto" w:sz="8" w:space="0"/>
              <w:right w:val="nil"/>
            </w:tcBorders>
            <w:noWrap w:val="0"/>
            <w:vAlign w:val="top"/>
          </w:tcPr>
          <w:p w14:paraId="63B196E4">
            <w:pPr>
              <w:autoSpaceDE w:val="0"/>
              <w:autoSpaceDN w:val="0"/>
              <w:spacing w:beforeLines="0" w:line="340" w:lineRule="exact"/>
              <w:ind w:firstLine="1866"/>
              <w:jc w:val="both"/>
              <w:rPr>
                <w:rFonts w:hint="eastAsia" w:ascii="宋体" w:hAnsi="宋体" w:eastAsia="宋体" w:cs="宋体"/>
                <w:color w:val="auto"/>
                <w:spacing w:val="-4"/>
                <w:kern w:val="0"/>
                <w:szCs w:val="21"/>
                <w:highlight w:val="none"/>
              </w:rPr>
            </w:pPr>
          </w:p>
        </w:tc>
      </w:tr>
    </w:tbl>
    <w:p w14:paraId="3C2B44B7">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rPr>
      </w:pPr>
    </w:p>
    <w:p w14:paraId="01B014E9">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lang w:eastAsia="zh-CN"/>
        </w:rPr>
        <w:t>单位</w:t>
      </w:r>
      <w:r>
        <w:rPr>
          <w:rFonts w:hint="eastAsia" w:ascii="宋体" w:hAnsi="宋体" w:eastAsia="宋体" w:cs="宋体"/>
          <w:color w:val="auto"/>
          <w:spacing w:val="-4"/>
          <w:kern w:val="0"/>
          <w:szCs w:val="21"/>
          <w:highlight w:val="none"/>
        </w:rPr>
        <w:t>负责人签名：</w:t>
      </w:r>
      <w:r>
        <w:rPr>
          <w:rFonts w:hint="eastAsia" w:ascii="宋体" w:hAnsi="宋体" w:eastAsia="宋体" w:cs="宋体"/>
          <w:color w:val="auto"/>
          <w:spacing w:val="-4"/>
          <w:kern w:val="0"/>
          <w:szCs w:val="21"/>
          <w:highlight w:val="none"/>
          <w:u w:val="single"/>
        </w:rPr>
        <w:t xml:space="preserve">              </w:t>
      </w:r>
    </w:p>
    <w:p w14:paraId="6E788663">
      <w:pPr>
        <w:widowControl/>
        <w:wordWrap w:val="0"/>
        <w:autoSpaceDE w:val="0"/>
        <w:autoSpaceDN w:val="0"/>
        <w:spacing w:beforeLines="0" w:line="340" w:lineRule="exact"/>
        <w:ind w:right="808" w:firstLine="404" w:firstLineChars="200"/>
        <w:jc w:val="center"/>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lang w:val="en-US" w:eastAsia="zh-CN"/>
        </w:rPr>
        <w:t xml:space="preserve">                                 </w:t>
      </w:r>
      <w:r>
        <w:rPr>
          <w:rFonts w:hint="eastAsia" w:ascii="宋体" w:hAnsi="宋体" w:eastAsia="宋体" w:cs="宋体"/>
          <w:color w:val="auto"/>
          <w:spacing w:val="-4"/>
          <w:kern w:val="0"/>
          <w:szCs w:val="21"/>
          <w:highlight w:val="none"/>
          <w:lang w:eastAsia="zh-CN"/>
        </w:rPr>
        <w:t>（加盖</w:t>
      </w:r>
      <w:r>
        <w:rPr>
          <w:rFonts w:hint="eastAsia" w:ascii="宋体" w:hAnsi="宋体" w:eastAsia="宋体" w:cs="宋体"/>
          <w:color w:val="auto"/>
          <w:spacing w:val="-4"/>
          <w:kern w:val="0"/>
          <w:szCs w:val="21"/>
          <w:highlight w:val="none"/>
        </w:rPr>
        <w:t>公章</w:t>
      </w:r>
      <w:r>
        <w:rPr>
          <w:rFonts w:hint="eastAsia" w:ascii="宋体" w:hAnsi="宋体" w:eastAsia="宋体" w:cs="宋体"/>
          <w:color w:val="auto"/>
          <w:spacing w:val="-4"/>
          <w:kern w:val="0"/>
          <w:szCs w:val="21"/>
          <w:highlight w:val="none"/>
          <w:lang w:eastAsia="zh-CN"/>
        </w:rPr>
        <w:t>）</w:t>
      </w:r>
    </w:p>
    <w:p w14:paraId="1301C0DE">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rPr>
        <w:t xml:space="preserve">     日期：</w:t>
      </w:r>
      <w:r>
        <w:rPr>
          <w:rFonts w:hint="eastAsia" w:ascii="宋体" w:hAnsi="宋体" w:eastAsia="宋体" w:cs="宋体"/>
          <w:color w:val="auto"/>
          <w:spacing w:val="-4"/>
          <w:kern w:val="0"/>
          <w:szCs w:val="21"/>
          <w:highlight w:val="none"/>
          <w:u w:val="single"/>
        </w:rPr>
        <w:t xml:space="preserve">              </w:t>
      </w:r>
    </w:p>
    <w:p w14:paraId="5AEC774D">
      <w:pPr>
        <w:numPr>
          <w:ilvl w:val="0"/>
          <w:numId w:val="0"/>
        </w:numPr>
      </w:pPr>
    </w:p>
    <w:p w14:paraId="17F7D727">
      <w:pPr>
        <w:pStyle w:val="16"/>
      </w:pPr>
    </w:p>
    <w:p w14:paraId="4535DC64">
      <w:pPr>
        <w:pStyle w:val="17"/>
      </w:pPr>
    </w:p>
    <w:p w14:paraId="6F2D89E6">
      <w:pPr>
        <w:pStyle w:val="17"/>
      </w:pPr>
    </w:p>
    <w:p w14:paraId="15F82E52">
      <w:pPr>
        <w:pStyle w:val="17"/>
      </w:pPr>
    </w:p>
    <w:p w14:paraId="757796CF">
      <w:pPr>
        <w:pStyle w:val="17"/>
      </w:pPr>
    </w:p>
    <w:p w14:paraId="0A3B0780">
      <w:pPr>
        <w:pStyle w:val="17"/>
      </w:pPr>
    </w:p>
    <w:p w14:paraId="7787D2D5">
      <w:pPr>
        <w:pStyle w:val="17"/>
      </w:pPr>
    </w:p>
    <w:p w14:paraId="103D2A37">
      <w:pPr>
        <w:pStyle w:val="17"/>
      </w:pPr>
    </w:p>
    <w:p w14:paraId="29734597">
      <w:pPr>
        <w:pStyle w:val="17"/>
      </w:pPr>
    </w:p>
    <w:p w14:paraId="79EAB563">
      <w:pPr>
        <w:pStyle w:val="17"/>
      </w:pPr>
    </w:p>
    <w:p w14:paraId="0EE23BF3">
      <w:pPr>
        <w:pStyle w:val="17"/>
      </w:pPr>
    </w:p>
    <w:p w14:paraId="0341924E">
      <w:pPr>
        <w:pStyle w:val="3"/>
        <w:numPr>
          <w:ilvl w:val="0"/>
          <w:numId w:val="0"/>
        </w:numPr>
        <w:spacing w:line="240" w:lineRule="auto"/>
        <w:jc w:val="center"/>
        <w:rPr>
          <w:rFonts w:asciiTheme="majorEastAsia" w:hAnsiTheme="majorEastAsia" w:eastAsiaTheme="majorEastAsia"/>
          <w:sz w:val="30"/>
          <w:szCs w:val="30"/>
        </w:rPr>
      </w:pPr>
      <w:bookmarkStart w:id="96" w:name="_Toc24374"/>
      <w:bookmarkStart w:id="97" w:name="_Toc17461"/>
      <w:bookmarkStart w:id="98" w:name="_Toc13737"/>
      <w:r>
        <w:rPr>
          <w:rFonts w:hint="eastAsia" w:cs="宋体" w:asciiTheme="majorEastAsia" w:hAnsiTheme="majorEastAsia" w:eastAsiaTheme="majorEastAsia"/>
          <w:kern w:val="2"/>
          <w:sz w:val="30"/>
          <w:szCs w:val="30"/>
          <w:lang w:val="en-US" w:eastAsia="zh-CN" w:bidi="ar-SA"/>
        </w:rPr>
        <w:t>（十二）</w:t>
      </w:r>
      <w:r>
        <w:rPr>
          <w:rFonts w:hint="eastAsia" w:asciiTheme="majorEastAsia" w:hAnsiTheme="majorEastAsia" w:eastAsiaTheme="majorEastAsia"/>
          <w:sz w:val="30"/>
          <w:szCs w:val="30"/>
        </w:rPr>
        <w:t>法定代表人授权委托书</w:t>
      </w:r>
      <w:bookmarkEnd w:id="96"/>
      <w:bookmarkEnd w:id="97"/>
      <w:bookmarkEnd w:id="98"/>
    </w:p>
    <w:p w14:paraId="370662EE">
      <w:pPr>
        <w:pStyle w:val="21"/>
        <w:spacing w:line="360" w:lineRule="auto"/>
        <w:ind w:firstLine="420" w:firstLineChars="200"/>
      </w:pPr>
      <w:r>
        <w:rPr>
          <w:rFonts w:hint="eastAsia"/>
        </w:rPr>
        <w:t>本授权委托书声明：注册于</w:t>
      </w:r>
      <w:r>
        <w:rPr>
          <w:rFonts w:hint="eastAsia"/>
          <w:u w:val="single"/>
        </w:rPr>
        <w:t xml:space="preserve"> （</w:t>
      </w:r>
      <w:r>
        <w:rPr>
          <w:rFonts w:hint="eastAsia"/>
          <w:u w:val="single"/>
          <w:lang w:eastAsia="zh-CN"/>
        </w:rPr>
        <w:t>遴选响应方</w:t>
      </w:r>
      <w:r>
        <w:rPr>
          <w:rFonts w:hint="eastAsia"/>
          <w:u w:val="single"/>
        </w:rPr>
        <w:t xml:space="preserve">地址）  </w:t>
      </w:r>
      <w:r>
        <w:rPr>
          <w:rFonts w:hint="eastAsia"/>
        </w:rPr>
        <w:t>的</w:t>
      </w:r>
      <w:r>
        <w:rPr>
          <w:rFonts w:hint="eastAsia"/>
          <w:u w:val="single"/>
        </w:rPr>
        <w:t xml:space="preserve">  （</w:t>
      </w:r>
      <w:r>
        <w:rPr>
          <w:rFonts w:hint="eastAsia"/>
          <w:u w:val="single"/>
          <w:lang w:eastAsia="zh-CN"/>
        </w:rPr>
        <w:t>遴选响应方</w:t>
      </w:r>
      <w:r>
        <w:rPr>
          <w:rFonts w:hint="eastAsia"/>
          <w:u w:val="single"/>
        </w:rPr>
        <w:t xml:space="preserve">名称）    </w:t>
      </w:r>
      <w:r>
        <w:rPr>
          <w:rFonts w:hint="eastAsia"/>
        </w:rPr>
        <w:t>由</w:t>
      </w:r>
      <w:r>
        <w:rPr>
          <w:rFonts w:hint="eastAsia"/>
          <w:u w:val="single"/>
        </w:rPr>
        <w:t>（法定代表人姓名、职务）</w:t>
      </w:r>
      <w:r>
        <w:rPr>
          <w:rFonts w:hint="eastAsia"/>
        </w:rPr>
        <w:t>在此授权</w:t>
      </w:r>
      <w:r>
        <w:rPr>
          <w:rFonts w:hint="eastAsia"/>
          <w:u w:val="single"/>
        </w:rPr>
        <w:t>（被授权人姓名、职务、联系电话）</w:t>
      </w:r>
      <w:r>
        <w:rPr>
          <w:rFonts w:hint="eastAsia"/>
        </w:rPr>
        <w:t>作为我公司的合法代理人，就</w:t>
      </w:r>
      <w:r>
        <w:rPr>
          <w:rFonts w:hint="eastAsia"/>
          <w:u w:val="single"/>
        </w:rPr>
        <w:t>（项目名称、项目编号</w:t>
      </w:r>
      <w:r>
        <w:rPr>
          <w:rFonts w:hint="eastAsia"/>
        </w:rPr>
        <w:t>）的</w:t>
      </w:r>
      <w:r>
        <w:rPr>
          <w:rFonts w:hint="eastAsia"/>
          <w:lang w:eastAsia="zh-CN"/>
        </w:rPr>
        <w:t>遴选响应</w:t>
      </w:r>
      <w:r>
        <w:rPr>
          <w:rFonts w:hint="eastAsia"/>
        </w:rPr>
        <w:t>活动，合同的签订、执行、完成和售后服务，作为</w:t>
      </w:r>
      <w:r>
        <w:rPr>
          <w:rFonts w:hint="eastAsia"/>
          <w:lang w:eastAsia="zh-CN"/>
        </w:rPr>
        <w:t>遴选响应方</w:t>
      </w:r>
      <w:r>
        <w:rPr>
          <w:rFonts w:hint="eastAsia"/>
        </w:rPr>
        <w:t>代表以我方的名义处理一切与之有关的事务。</w:t>
      </w:r>
    </w:p>
    <w:p w14:paraId="1EFA1462">
      <w:pPr>
        <w:pStyle w:val="21"/>
        <w:spacing w:line="360" w:lineRule="auto"/>
        <w:ind w:firstLine="420" w:firstLineChars="200"/>
      </w:pPr>
      <w:r>
        <w:rPr>
          <w:rFonts w:hint="eastAsia"/>
        </w:rPr>
        <w:t>被授权人（</w:t>
      </w:r>
      <w:r>
        <w:rPr>
          <w:rFonts w:hint="eastAsia"/>
          <w:lang w:eastAsia="zh-CN"/>
        </w:rPr>
        <w:t>遴选响应方</w:t>
      </w:r>
      <w:r>
        <w:rPr>
          <w:rFonts w:hint="eastAsia"/>
        </w:rPr>
        <w:t>授权代表）无转委托权限。</w:t>
      </w:r>
    </w:p>
    <w:p w14:paraId="229CECAE">
      <w:pPr>
        <w:spacing w:line="360" w:lineRule="auto"/>
        <w:ind w:firstLine="420" w:firstLineChars="200"/>
        <w:rPr>
          <w:rFonts w:ascii="宋体"/>
        </w:rPr>
      </w:pPr>
      <w:r>
        <w:rPr>
          <w:rFonts w:hint="eastAsia" w:ascii="宋体"/>
        </w:rPr>
        <w:t>本授权书自盖章之日起生效，特此声明。</w:t>
      </w:r>
    </w:p>
    <w:p w14:paraId="5244625C">
      <w:pPr>
        <w:spacing w:line="360" w:lineRule="auto"/>
        <w:rPr>
          <w:rFonts w:ascii="宋体"/>
          <w:b/>
        </w:rPr>
      </w:pPr>
      <w:r>
        <w:rPr>
          <w:rFonts w:hint="eastAsia" w:ascii="宋体"/>
          <w:b/>
        </w:rPr>
        <w:t>随附《法定代表人证明书》</w:t>
      </w:r>
    </w:p>
    <w:p w14:paraId="17AFD6D1">
      <w:pPr>
        <w:spacing w:line="360" w:lineRule="auto"/>
        <w:rPr>
          <w:rFonts w:ascii="宋体"/>
        </w:rPr>
      </w:pPr>
    </w:p>
    <w:p w14:paraId="42683177">
      <w:pPr>
        <w:spacing w:line="360" w:lineRule="auto"/>
        <w:rPr>
          <w:sz w:val="24"/>
        </w:rPr>
      </w:pPr>
      <w:r>
        <w:rPr>
          <w:rFonts w:hint="eastAsia"/>
          <w:b/>
          <w:bCs/>
          <w:sz w:val="24"/>
          <w:lang w:eastAsia="zh-CN"/>
        </w:rPr>
        <w:t>遴选响应方</w:t>
      </w:r>
      <w:r>
        <w:rPr>
          <w:rFonts w:hint="eastAsia"/>
          <w:b/>
          <w:bCs/>
          <w:sz w:val="24"/>
        </w:rPr>
        <w:t>单位名称：</w:t>
      </w:r>
      <w:r>
        <w:rPr>
          <w:rFonts w:hint="eastAsia"/>
          <w:sz w:val="24"/>
          <w:u w:val="single"/>
        </w:rPr>
        <w:t xml:space="preserve">                            </w:t>
      </w:r>
      <w:r>
        <w:rPr>
          <w:rFonts w:hint="eastAsia"/>
          <w:sz w:val="24"/>
        </w:rPr>
        <w:t xml:space="preserve"> </w:t>
      </w:r>
      <w:r>
        <w:rPr>
          <w:rFonts w:hint="eastAsia"/>
          <w:b/>
          <w:sz w:val="24"/>
        </w:rPr>
        <w:t>（此处加盖</w:t>
      </w:r>
      <w:r>
        <w:rPr>
          <w:rFonts w:hint="eastAsia"/>
          <w:b/>
          <w:sz w:val="24"/>
          <w:lang w:eastAsia="zh-CN"/>
        </w:rPr>
        <w:t>遴选响应方</w:t>
      </w:r>
      <w:r>
        <w:rPr>
          <w:rFonts w:hint="eastAsia"/>
          <w:b/>
          <w:sz w:val="24"/>
        </w:rPr>
        <w:t>单位公章）</w:t>
      </w:r>
    </w:p>
    <w:p w14:paraId="5530BC06">
      <w:pPr>
        <w:spacing w:line="360" w:lineRule="auto"/>
        <w:rPr>
          <w:rFonts w:ascii="宋体" w:hAnsi="宋体"/>
          <w:b/>
          <w:bCs/>
          <w:sz w:val="24"/>
        </w:rPr>
      </w:pPr>
    </w:p>
    <w:p w14:paraId="4B6D7552">
      <w:pPr>
        <w:spacing w:line="360" w:lineRule="auto"/>
        <w:outlineLvl w:val="9"/>
        <w:rPr>
          <w:rFonts w:ascii="宋体" w:hAnsi="宋体"/>
          <w:b/>
          <w:bCs/>
          <w:sz w:val="24"/>
          <w:u w:val="single"/>
        </w:rPr>
      </w:pPr>
      <w:r>
        <w:rPr>
          <w:rFonts w:hint="eastAsia" w:ascii="宋体" w:hAnsi="宋体"/>
          <w:b/>
          <w:bCs/>
          <w:sz w:val="24"/>
        </w:rPr>
        <w:t>法定代表人：</w:t>
      </w:r>
      <w:r>
        <w:rPr>
          <w:rFonts w:hint="eastAsia" w:ascii="宋体" w:hAnsi="宋体"/>
          <w:b/>
          <w:bCs/>
          <w:sz w:val="24"/>
          <w:u w:val="single"/>
        </w:rPr>
        <w:t xml:space="preserve"> </w:t>
      </w:r>
      <w:r>
        <w:rPr>
          <w:rFonts w:ascii="宋体" w:hAnsi="宋体"/>
          <w:b/>
          <w:bCs/>
          <w:sz w:val="24"/>
          <w:u w:val="single"/>
        </w:rPr>
        <w:t xml:space="preserve">               </w:t>
      </w:r>
      <w:r>
        <w:rPr>
          <w:rFonts w:hint="eastAsia" w:ascii="宋体" w:hAnsi="宋体"/>
          <w:b/>
          <w:bCs/>
          <w:sz w:val="24"/>
        </w:rPr>
        <w:t>（签字或盖法人章）</w:t>
      </w:r>
    </w:p>
    <w:p w14:paraId="790B0907">
      <w:pPr>
        <w:spacing w:line="360" w:lineRule="auto"/>
        <w:rPr>
          <w:rFonts w:ascii="宋体" w:hAnsi="宋体"/>
          <w:b/>
          <w:bCs/>
          <w:sz w:val="24"/>
        </w:rPr>
      </w:pPr>
    </w:p>
    <w:p w14:paraId="25CCEA57">
      <w:pPr>
        <w:spacing w:line="360" w:lineRule="auto"/>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34CF772C">
      <w:pPr>
        <w:spacing w:line="360" w:lineRule="auto"/>
        <w:rPr>
          <w:sz w:val="24"/>
        </w:rPr>
      </w:pPr>
    </w:p>
    <w:p w14:paraId="643C0ED2">
      <w:pPr>
        <w:tabs>
          <w:tab w:val="left" w:pos="3780"/>
        </w:tabs>
        <w:spacing w:line="360" w:lineRule="auto"/>
        <w:rPr>
          <w:rFonts w:ascii="宋体" w:hAnsi="宋体"/>
          <w:b/>
          <w:bCs/>
          <w:sz w:val="24"/>
        </w:rPr>
      </w:pPr>
    </w:p>
    <w:p w14:paraId="59EC3AEA">
      <w:pPr>
        <w:tabs>
          <w:tab w:val="left" w:pos="3780"/>
        </w:tabs>
        <w:spacing w:line="360" w:lineRule="auto"/>
        <w:rPr>
          <w:rFonts w:ascii="宋体" w:hAnsi="宋体"/>
          <w:b/>
          <w:bCs/>
          <w:sz w:val="24"/>
        </w:rPr>
      </w:pPr>
      <w:r>
        <w:rPr>
          <w:rFonts w:hint="eastAsia" w:ascii="宋体" w:hAnsi="宋体"/>
          <w:b/>
          <w:bCs/>
          <w:sz w:val="24"/>
        </w:rPr>
        <w:t>提供被授权人（授权代表）居民身份证（正反面）复印件：</w:t>
      </w:r>
    </w:p>
    <w:p w14:paraId="1BFED23E">
      <w:pPr>
        <w:pStyle w:val="16"/>
        <w:rPr>
          <w:rFonts w:ascii="宋体" w:hAnsi="宋体"/>
          <w:b/>
          <w:bCs/>
          <w:sz w:val="24"/>
        </w:rPr>
      </w:pPr>
    </w:p>
    <w:p w14:paraId="4141BBAF">
      <w:pPr>
        <w:spacing w:line="360" w:lineRule="auto"/>
        <w:ind w:left="1159" w:leftChars="552" w:firstLine="2261"/>
        <w:rPr>
          <w:rFonts w:ascii="宋体"/>
        </w:rPr>
      </w:pPr>
    </w:p>
    <w:p w14:paraId="28503B75">
      <w:pPr>
        <w:rPr>
          <w:rFonts w:hint="eastAsia" w:asciiTheme="majorEastAsia" w:hAnsiTheme="majorEastAsia" w:eastAsiaTheme="majorEastAsia"/>
          <w:sz w:val="30"/>
          <w:szCs w:val="30"/>
        </w:rPr>
      </w:pPr>
    </w:p>
    <w:p w14:paraId="1ED2E5A9">
      <w:pPr>
        <w:rPr>
          <w:rFonts w:hint="eastAsia" w:asciiTheme="majorEastAsia" w:hAnsiTheme="majorEastAsia" w:eastAsiaTheme="majorEastAsia"/>
          <w:sz w:val="30"/>
          <w:szCs w:val="30"/>
        </w:rPr>
      </w:pPr>
    </w:p>
    <w:p w14:paraId="1408F60B">
      <w:pPr>
        <w:rPr>
          <w:rFonts w:hint="eastAsia" w:asciiTheme="majorEastAsia" w:hAnsiTheme="majorEastAsia" w:eastAsiaTheme="majorEastAsia"/>
          <w:sz w:val="30"/>
          <w:szCs w:val="30"/>
        </w:rPr>
      </w:pPr>
    </w:p>
    <w:p w14:paraId="1C9ABA59">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备注：如参加遴选时需另外单独提供法定代表人证明书或者法人代表授权委托书。</w:t>
      </w:r>
    </w:p>
    <w:p w14:paraId="3B5DFBA8">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温馨提示:为避免出现《深圳经济特区政府采购条例实施细则》第七十五条第二项所列情形，请遴选响应供应商核实你单位法定代表人、本项目遴选响应授权代表人、项目负责人(如有)、主要技术人员(如有)等是否在你公司缴纳社会保险。”</w:t>
      </w:r>
    </w:p>
    <w:p w14:paraId="58DA94AD">
      <w:pPr>
        <w:jc w:val="center"/>
        <w:outlineLvl w:val="1"/>
        <w:rPr>
          <w:rFonts w:hint="eastAsia" w:asciiTheme="majorEastAsia" w:hAnsiTheme="majorEastAsia" w:eastAsiaTheme="majorEastAsia"/>
          <w:sz w:val="30"/>
          <w:szCs w:val="30"/>
        </w:rPr>
      </w:pPr>
      <w:r>
        <w:rPr>
          <w:rFonts w:hint="eastAsia" w:asciiTheme="majorEastAsia" w:hAnsiTheme="majorEastAsia" w:eastAsiaTheme="majorEastAsia"/>
          <w:sz w:val="30"/>
          <w:szCs w:val="30"/>
        </w:rPr>
        <w:br w:type="page"/>
      </w:r>
      <w:bookmarkStart w:id="99" w:name="_Toc26822"/>
      <w:r>
        <w:rPr>
          <w:rFonts w:hint="eastAsia" w:cs="宋体" w:asciiTheme="majorEastAsia" w:hAnsiTheme="majorEastAsia" w:eastAsiaTheme="majorEastAsia"/>
          <w:b/>
          <w:bCs/>
          <w:kern w:val="2"/>
          <w:sz w:val="30"/>
          <w:szCs w:val="30"/>
          <w:lang w:val="en-US" w:eastAsia="zh-CN" w:bidi="ar-SA"/>
        </w:rPr>
        <w:t>（十三）提供被授权人（授权代表）的近一个月社保证明</w:t>
      </w:r>
      <w:bookmarkEnd w:id="99"/>
    </w:p>
    <w:p w14:paraId="43566094">
      <w:pPr>
        <w:spacing w:line="360" w:lineRule="auto"/>
        <w:ind w:firstLine="422" w:firstLineChars="200"/>
        <w:rPr>
          <w:rFonts w:hint="eastAsia" w:ascii="宋体" w:hAnsi="宋体" w:eastAsia="宋体" w:cs="宋体"/>
          <w:b/>
          <w:bCs w:val="0"/>
          <w:color w:val="auto"/>
          <w:kern w:val="0"/>
          <w:sz w:val="21"/>
          <w:szCs w:val="21"/>
          <w:highlight w:val="none"/>
          <w:lang w:eastAsia="zh-CN"/>
        </w:rPr>
      </w:pPr>
      <w:r>
        <w:rPr>
          <w:rFonts w:hint="eastAsia" w:ascii="宋体" w:hAnsi="宋体" w:eastAsia="宋体" w:cs="宋体"/>
          <w:b/>
          <w:bCs w:val="0"/>
          <w:kern w:val="0"/>
          <w:sz w:val="21"/>
          <w:szCs w:val="21"/>
          <w:highlight w:val="none"/>
          <w:lang w:val="en-US" w:eastAsia="zh-CN"/>
        </w:rPr>
        <w:t>1、</w:t>
      </w:r>
      <w:r>
        <w:rPr>
          <w:rFonts w:hint="eastAsia" w:ascii="宋体" w:hAnsi="宋体" w:eastAsia="宋体" w:cs="宋体"/>
          <w:b/>
          <w:bCs w:val="0"/>
          <w:kern w:val="0"/>
          <w:sz w:val="21"/>
          <w:szCs w:val="21"/>
          <w:highlight w:val="none"/>
        </w:rPr>
        <w:t>须提供被授权人（授权代表）</w:t>
      </w:r>
      <w:r>
        <w:rPr>
          <w:rFonts w:hint="eastAsia" w:ascii="宋体" w:hAnsi="宋体" w:cs="宋体"/>
          <w:b/>
          <w:bCs w:val="0"/>
          <w:kern w:val="0"/>
          <w:sz w:val="21"/>
          <w:szCs w:val="21"/>
          <w:highlight w:val="none"/>
          <w:lang w:val="en-US" w:eastAsia="zh-CN"/>
        </w:rPr>
        <w:t>遴选响应</w:t>
      </w:r>
      <w:r>
        <w:rPr>
          <w:rFonts w:hint="eastAsia" w:ascii="宋体" w:hAnsi="宋体" w:eastAsia="宋体" w:cs="宋体"/>
          <w:b/>
          <w:bCs w:val="0"/>
          <w:kern w:val="0"/>
          <w:sz w:val="21"/>
          <w:szCs w:val="21"/>
          <w:highlight w:val="none"/>
          <w:lang w:val="en-US" w:eastAsia="zh-CN"/>
        </w:rPr>
        <w:t>截止前近一个月（由于社保部门原因最近一个月的社保证明无法提供的可往前顺延一个月）的社保证明；如</w:t>
      </w:r>
      <w:r>
        <w:rPr>
          <w:rFonts w:hint="eastAsia" w:ascii="宋体" w:hAnsi="宋体" w:cs="宋体"/>
          <w:b/>
          <w:bCs w:val="0"/>
          <w:kern w:val="0"/>
          <w:sz w:val="21"/>
          <w:szCs w:val="21"/>
          <w:highlight w:val="none"/>
          <w:lang w:val="en-US" w:eastAsia="zh-CN"/>
        </w:rPr>
        <w:t>遴选响应方</w:t>
      </w:r>
      <w:r>
        <w:rPr>
          <w:rFonts w:hint="eastAsia" w:ascii="宋体" w:hAnsi="宋体" w:eastAsia="宋体" w:cs="宋体"/>
          <w:b/>
          <w:bCs w:val="0"/>
          <w:kern w:val="0"/>
          <w:sz w:val="21"/>
          <w:szCs w:val="21"/>
          <w:highlight w:val="none"/>
          <w:lang w:val="en-US" w:eastAsia="zh-CN"/>
        </w:rPr>
        <w:t>为新成立企</w:t>
      </w:r>
      <w:r>
        <w:rPr>
          <w:rFonts w:hint="eastAsia" w:ascii="宋体" w:hAnsi="宋体" w:eastAsia="宋体" w:cs="宋体"/>
          <w:b/>
          <w:bCs w:val="0"/>
          <w:color w:val="auto"/>
          <w:kern w:val="0"/>
          <w:sz w:val="21"/>
          <w:szCs w:val="21"/>
          <w:highlight w:val="none"/>
          <w:lang w:val="en-US" w:eastAsia="zh-CN"/>
        </w:rPr>
        <w:t>业且成立时间不足一个月可提供加盖公章的情况说明或者证明材料亦视为符合（格式自拟）</w:t>
      </w:r>
      <w:r>
        <w:rPr>
          <w:rFonts w:hint="eastAsia" w:ascii="宋体" w:hAnsi="宋体" w:eastAsia="宋体" w:cs="宋体"/>
          <w:b/>
          <w:bCs w:val="0"/>
          <w:color w:val="auto"/>
          <w:kern w:val="0"/>
          <w:sz w:val="21"/>
          <w:szCs w:val="21"/>
          <w:highlight w:val="none"/>
        </w:rPr>
        <w:t>。如依法不需要缴纳社会保险费的，应提供相应文件证明其依法不需要缴纳社会保险费</w:t>
      </w:r>
      <w:r>
        <w:rPr>
          <w:rFonts w:hint="eastAsia" w:ascii="宋体" w:hAnsi="宋体" w:eastAsia="宋体" w:cs="宋体"/>
          <w:b/>
          <w:bCs w:val="0"/>
          <w:color w:val="auto"/>
          <w:kern w:val="0"/>
          <w:sz w:val="21"/>
          <w:szCs w:val="21"/>
          <w:highlight w:val="none"/>
          <w:lang w:eastAsia="zh-CN"/>
        </w:rPr>
        <w:t>。</w:t>
      </w:r>
    </w:p>
    <w:p w14:paraId="132E6EE5">
      <w:pPr>
        <w:spacing w:line="360" w:lineRule="auto"/>
        <w:ind w:firstLine="422" w:firstLineChars="200"/>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
          <w:bCs w:val="0"/>
          <w:color w:val="auto"/>
          <w:kern w:val="0"/>
          <w:sz w:val="21"/>
          <w:szCs w:val="21"/>
          <w:highlight w:val="none"/>
          <w:lang w:val="en-US" w:eastAsia="zh-CN"/>
        </w:rPr>
        <w:t>“温馨提示:为避免出现《深圳经济特区政府采购条例实施细则》第七十五条第二项所列情形，请</w:t>
      </w:r>
      <w:r>
        <w:rPr>
          <w:rFonts w:hint="eastAsia" w:ascii="宋体" w:hAnsi="宋体" w:cs="宋体"/>
          <w:b/>
          <w:bCs w:val="0"/>
          <w:color w:val="auto"/>
          <w:kern w:val="0"/>
          <w:sz w:val="21"/>
          <w:szCs w:val="21"/>
          <w:highlight w:val="none"/>
          <w:lang w:val="en-US" w:eastAsia="zh-CN"/>
        </w:rPr>
        <w:t>遴选响应</w:t>
      </w:r>
      <w:r>
        <w:rPr>
          <w:rFonts w:hint="eastAsia" w:ascii="宋体" w:hAnsi="宋体" w:eastAsia="宋体" w:cs="宋体"/>
          <w:b/>
          <w:bCs w:val="0"/>
          <w:color w:val="auto"/>
          <w:kern w:val="0"/>
          <w:sz w:val="21"/>
          <w:szCs w:val="21"/>
          <w:highlight w:val="none"/>
          <w:lang w:val="en-US" w:eastAsia="zh-CN"/>
        </w:rPr>
        <w:t>供应商核实你单位法定代表人、本项目</w:t>
      </w:r>
      <w:r>
        <w:rPr>
          <w:rFonts w:hint="eastAsia" w:ascii="宋体" w:hAnsi="宋体" w:cs="宋体"/>
          <w:b/>
          <w:bCs w:val="0"/>
          <w:color w:val="auto"/>
          <w:kern w:val="0"/>
          <w:sz w:val="21"/>
          <w:szCs w:val="21"/>
          <w:highlight w:val="none"/>
          <w:lang w:val="en-US" w:eastAsia="zh-CN"/>
        </w:rPr>
        <w:t>遴选响应</w:t>
      </w:r>
      <w:r>
        <w:rPr>
          <w:rFonts w:hint="eastAsia" w:ascii="宋体" w:hAnsi="宋体" w:eastAsia="宋体" w:cs="宋体"/>
          <w:b/>
          <w:bCs w:val="0"/>
          <w:color w:val="auto"/>
          <w:kern w:val="0"/>
          <w:sz w:val="21"/>
          <w:szCs w:val="21"/>
          <w:highlight w:val="none"/>
          <w:lang w:val="en-US" w:eastAsia="zh-CN"/>
        </w:rPr>
        <w:t>授权代表人、项目负责人(如有)、主要技术人员(如有)等是否在你公司缴纳社会保险。”</w:t>
      </w:r>
    </w:p>
    <w:p w14:paraId="6A21BE2A">
      <w:pPr>
        <w:spacing w:line="360" w:lineRule="auto"/>
        <w:jc w:val="center"/>
        <w:rPr>
          <w:rFonts w:hint="eastAsia" w:ascii="宋体" w:hAnsi="宋体" w:eastAsia="宋体" w:cs="宋体"/>
          <w:bCs/>
          <w:color w:val="auto"/>
          <w:sz w:val="21"/>
          <w:szCs w:val="21"/>
        </w:rPr>
      </w:pPr>
    </w:p>
    <w:p w14:paraId="2D656D82">
      <w:pPr>
        <w:rPr>
          <w:rFonts w:hint="eastAsia" w:asciiTheme="majorEastAsia" w:hAnsiTheme="majorEastAsia" w:eastAsiaTheme="majorEastAsia"/>
          <w:sz w:val="30"/>
          <w:szCs w:val="30"/>
        </w:rPr>
      </w:pPr>
    </w:p>
    <w:p w14:paraId="2B8D3952">
      <w:pPr>
        <w:rPr>
          <w:rFonts w:hint="eastAsia" w:asciiTheme="majorEastAsia" w:hAnsiTheme="majorEastAsia" w:eastAsiaTheme="majorEastAsia"/>
          <w:sz w:val="30"/>
          <w:szCs w:val="30"/>
        </w:rPr>
      </w:pPr>
    </w:p>
    <w:p w14:paraId="758137D2">
      <w:pPr>
        <w:rPr>
          <w:rFonts w:hint="eastAsia" w:asciiTheme="majorEastAsia" w:hAnsiTheme="majorEastAsia" w:eastAsiaTheme="majorEastAsia"/>
          <w:sz w:val="30"/>
          <w:szCs w:val="30"/>
        </w:rPr>
      </w:pPr>
    </w:p>
    <w:p w14:paraId="0A868D03">
      <w:pPr>
        <w:rPr>
          <w:rFonts w:hint="eastAsia" w:asciiTheme="majorEastAsia" w:hAnsiTheme="majorEastAsia" w:eastAsiaTheme="majorEastAsia"/>
          <w:sz w:val="30"/>
          <w:szCs w:val="30"/>
        </w:rPr>
      </w:pPr>
    </w:p>
    <w:p w14:paraId="155D4994">
      <w:pPr>
        <w:rPr>
          <w:rFonts w:hint="eastAsia" w:asciiTheme="majorEastAsia" w:hAnsiTheme="majorEastAsia" w:eastAsiaTheme="majorEastAsia"/>
          <w:sz w:val="30"/>
          <w:szCs w:val="30"/>
        </w:rPr>
      </w:pPr>
    </w:p>
    <w:p w14:paraId="4245B289">
      <w:pPr>
        <w:rPr>
          <w:rFonts w:hint="eastAsia" w:asciiTheme="majorEastAsia" w:hAnsiTheme="majorEastAsia" w:eastAsiaTheme="majorEastAsia"/>
          <w:sz w:val="30"/>
          <w:szCs w:val="30"/>
        </w:rPr>
      </w:pPr>
    </w:p>
    <w:p w14:paraId="3251D9A6">
      <w:pPr>
        <w:rPr>
          <w:rFonts w:hint="eastAsia" w:asciiTheme="majorEastAsia" w:hAnsiTheme="majorEastAsia" w:eastAsiaTheme="majorEastAsia"/>
          <w:sz w:val="30"/>
          <w:szCs w:val="30"/>
        </w:rPr>
      </w:pPr>
    </w:p>
    <w:p w14:paraId="2B726643">
      <w:pPr>
        <w:rPr>
          <w:rFonts w:hint="eastAsia" w:asciiTheme="majorEastAsia" w:hAnsiTheme="majorEastAsia" w:eastAsiaTheme="majorEastAsia"/>
          <w:sz w:val="30"/>
          <w:szCs w:val="30"/>
        </w:rPr>
      </w:pPr>
    </w:p>
    <w:p w14:paraId="7C33AB8F">
      <w:pPr>
        <w:rPr>
          <w:rFonts w:hint="eastAsia" w:asciiTheme="majorEastAsia" w:hAnsiTheme="majorEastAsia" w:eastAsiaTheme="majorEastAsia"/>
          <w:sz w:val="30"/>
          <w:szCs w:val="30"/>
        </w:rPr>
      </w:pPr>
    </w:p>
    <w:p w14:paraId="6E321331">
      <w:pPr>
        <w:rPr>
          <w:rFonts w:hint="eastAsia" w:asciiTheme="majorEastAsia" w:hAnsiTheme="majorEastAsia" w:eastAsiaTheme="majorEastAsia"/>
          <w:sz w:val="30"/>
          <w:szCs w:val="30"/>
        </w:rPr>
      </w:pPr>
    </w:p>
    <w:p w14:paraId="258381DA">
      <w:pPr>
        <w:rPr>
          <w:rFonts w:hint="eastAsia" w:asciiTheme="majorEastAsia" w:hAnsiTheme="majorEastAsia" w:eastAsiaTheme="majorEastAsia"/>
          <w:sz w:val="30"/>
          <w:szCs w:val="30"/>
        </w:rPr>
      </w:pPr>
    </w:p>
    <w:p w14:paraId="682C0990">
      <w:pPr>
        <w:rPr>
          <w:rFonts w:hint="eastAsia" w:asciiTheme="majorEastAsia" w:hAnsiTheme="majorEastAsia" w:eastAsiaTheme="majorEastAsia"/>
          <w:sz w:val="30"/>
          <w:szCs w:val="30"/>
        </w:rPr>
      </w:pPr>
    </w:p>
    <w:p w14:paraId="2107DA01">
      <w:pPr>
        <w:rPr>
          <w:rFonts w:hint="eastAsia" w:asciiTheme="majorEastAsia" w:hAnsiTheme="majorEastAsia" w:eastAsiaTheme="majorEastAsia"/>
          <w:sz w:val="30"/>
          <w:szCs w:val="30"/>
        </w:rPr>
      </w:pPr>
    </w:p>
    <w:p w14:paraId="03F88C36">
      <w:pPr>
        <w:rPr>
          <w:rFonts w:hint="eastAsia" w:asciiTheme="majorEastAsia" w:hAnsiTheme="majorEastAsia" w:eastAsiaTheme="majorEastAsia"/>
          <w:sz w:val="30"/>
          <w:szCs w:val="30"/>
        </w:rPr>
      </w:pPr>
    </w:p>
    <w:p w14:paraId="3E49C87F">
      <w:pPr>
        <w:jc w:val="center"/>
        <w:outlineLvl w:val="1"/>
        <w:rPr>
          <w:rFonts w:hint="eastAsia" w:cs="宋体" w:asciiTheme="majorEastAsia" w:hAnsiTheme="majorEastAsia" w:eastAsiaTheme="majorEastAsia"/>
          <w:b/>
          <w:bCs/>
          <w:kern w:val="2"/>
          <w:sz w:val="30"/>
          <w:szCs w:val="30"/>
          <w:lang w:val="en-US" w:eastAsia="zh-CN" w:bidi="ar-SA"/>
        </w:rPr>
      </w:pPr>
    </w:p>
    <w:p w14:paraId="0F269047">
      <w:pPr>
        <w:jc w:val="center"/>
        <w:outlineLvl w:val="1"/>
        <w:rPr>
          <w:rFonts w:hint="eastAsia" w:cs="宋体" w:asciiTheme="majorEastAsia" w:hAnsiTheme="majorEastAsia" w:eastAsiaTheme="majorEastAsia"/>
          <w:b/>
          <w:bCs/>
          <w:kern w:val="2"/>
          <w:sz w:val="30"/>
          <w:szCs w:val="30"/>
          <w:lang w:val="en-US" w:eastAsia="zh-CN" w:bidi="ar-SA"/>
        </w:rPr>
      </w:pPr>
      <w:bookmarkStart w:id="100" w:name="_Toc27575"/>
      <w:r>
        <w:rPr>
          <w:rFonts w:hint="eastAsia" w:cs="宋体" w:asciiTheme="majorEastAsia" w:hAnsiTheme="majorEastAsia" w:eastAsiaTheme="majorEastAsia"/>
          <w:b/>
          <w:bCs/>
          <w:kern w:val="2"/>
          <w:sz w:val="30"/>
          <w:szCs w:val="30"/>
          <w:lang w:val="en-US" w:eastAsia="zh-CN" w:bidi="ar-SA"/>
        </w:rPr>
        <w:t>（十四）法定代表人证明书</w:t>
      </w:r>
      <w:bookmarkEnd w:id="100"/>
    </w:p>
    <w:p w14:paraId="10DB026D">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hint="eastAsia" w:ascii="宋体" w:hAnsi="宋体"/>
          <w:u w:val="single"/>
        </w:rPr>
        <w:t xml:space="preserve">       </w:t>
      </w:r>
      <w:r>
        <w:rPr>
          <w:rFonts w:hint="eastAsia" w:ascii="宋体" w:hAnsi="宋体"/>
        </w:rPr>
        <w:t>职务，为法定代表人，特此证明。</w:t>
      </w:r>
    </w:p>
    <w:p w14:paraId="545F726F">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w:t>
      </w:r>
      <w:r>
        <w:rPr>
          <w:rFonts w:hint="eastAsia" w:ascii="宋体" w:hAnsi="宋体"/>
          <w:lang w:eastAsia="zh-CN"/>
        </w:rPr>
        <w:t>遴选响应文件中选</w:t>
      </w:r>
      <w:r>
        <w:rPr>
          <w:rFonts w:hint="eastAsia" w:ascii="宋体" w:hAnsi="宋体"/>
        </w:rPr>
        <w:t>注的</w:t>
      </w:r>
      <w:r>
        <w:rPr>
          <w:rFonts w:hint="eastAsia" w:ascii="宋体" w:hAnsi="宋体"/>
          <w:lang w:eastAsia="zh-CN"/>
        </w:rPr>
        <w:t>遴选响应</w:t>
      </w:r>
      <w:r>
        <w:rPr>
          <w:rFonts w:hint="eastAsia" w:ascii="宋体" w:hAnsi="宋体"/>
        </w:rPr>
        <w:t>有效期相同。</w:t>
      </w:r>
    </w:p>
    <w:p w14:paraId="3A5B1083">
      <w:pPr>
        <w:spacing w:line="480" w:lineRule="auto"/>
        <w:ind w:firstLine="420" w:firstLineChars="200"/>
        <w:rPr>
          <w:rFonts w:ascii="宋体" w:hAnsi="宋体"/>
        </w:rPr>
      </w:pPr>
      <w:r>
        <w:rPr>
          <w:rFonts w:hint="eastAsia" w:ascii="宋体" w:hAnsi="宋体"/>
        </w:rPr>
        <w:t>附：</w:t>
      </w:r>
    </w:p>
    <w:p w14:paraId="094CCE93">
      <w:pPr>
        <w:spacing w:line="480" w:lineRule="auto"/>
        <w:ind w:firstLine="840" w:firstLineChars="400"/>
        <w:rPr>
          <w:rFonts w:ascii="宋体" w:hAnsi="宋体"/>
        </w:rPr>
      </w:pPr>
      <w:r>
        <w:rPr>
          <w:rFonts w:hint="eastAsia" w:ascii="宋体" w:hAnsi="宋体"/>
        </w:rPr>
        <w:t>经济性质：</w:t>
      </w:r>
    </w:p>
    <w:p w14:paraId="21066B73">
      <w:pPr>
        <w:spacing w:line="480" w:lineRule="auto"/>
        <w:ind w:firstLine="840" w:firstLineChars="400"/>
        <w:rPr>
          <w:rFonts w:ascii="宋体" w:hAnsi="宋体"/>
        </w:rPr>
      </w:pPr>
      <w:r>
        <w:rPr>
          <w:rFonts w:hint="eastAsia" w:ascii="宋体" w:hAnsi="宋体"/>
        </w:rPr>
        <w:t>主营（产）：</w:t>
      </w:r>
    </w:p>
    <w:p w14:paraId="5108E1F9">
      <w:pPr>
        <w:spacing w:line="480" w:lineRule="auto"/>
        <w:ind w:firstLine="840" w:firstLineChars="400"/>
        <w:rPr>
          <w:rFonts w:ascii="宋体" w:hAnsi="宋体"/>
        </w:rPr>
      </w:pPr>
      <w:r>
        <w:rPr>
          <w:rFonts w:hint="eastAsia" w:ascii="宋体" w:hAnsi="宋体"/>
        </w:rPr>
        <w:t>兼营（产）：</w:t>
      </w:r>
    </w:p>
    <w:p w14:paraId="6420AA8C">
      <w:pPr>
        <w:spacing w:line="500" w:lineRule="exact"/>
        <w:rPr>
          <w:rFonts w:ascii="宋体"/>
          <w:b/>
          <w:bCs/>
        </w:rPr>
      </w:pPr>
    </w:p>
    <w:p w14:paraId="04B93DC1">
      <w:pPr>
        <w:spacing w:line="360" w:lineRule="auto"/>
        <w:rPr>
          <w:sz w:val="24"/>
        </w:rPr>
      </w:pPr>
      <w:r>
        <w:rPr>
          <w:rFonts w:hint="eastAsia"/>
          <w:b/>
          <w:bCs/>
          <w:sz w:val="24"/>
          <w:lang w:eastAsia="zh-CN"/>
        </w:rPr>
        <w:t>遴选响应方</w:t>
      </w:r>
      <w:r>
        <w:rPr>
          <w:rFonts w:hint="eastAsia"/>
          <w:b/>
          <w:bCs/>
          <w:sz w:val="24"/>
        </w:rPr>
        <w:t>单位名称：</w:t>
      </w:r>
      <w:r>
        <w:rPr>
          <w:rFonts w:hint="eastAsia"/>
          <w:sz w:val="24"/>
          <w:u w:val="single"/>
        </w:rPr>
        <w:t xml:space="preserve">                            </w:t>
      </w:r>
      <w:r>
        <w:rPr>
          <w:rFonts w:hint="eastAsia"/>
          <w:sz w:val="24"/>
        </w:rPr>
        <w:t xml:space="preserve"> </w:t>
      </w:r>
    </w:p>
    <w:p w14:paraId="6E3A383E">
      <w:pPr>
        <w:spacing w:line="360" w:lineRule="auto"/>
        <w:rPr>
          <w:rFonts w:ascii="宋体" w:hAnsi="宋体"/>
          <w:b/>
          <w:bCs/>
          <w:sz w:val="24"/>
        </w:rPr>
      </w:pPr>
      <w:r>
        <w:rPr>
          <w:rFonts w:hint="eastAsia" w:ascii="宋体" w:hAnsi="宋体"/>
          <w:b/>
          <w:bCs/>
          <w:sz w:val="24"/>
        </w:rPr>
        <w:t>签发日期：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359A0989">
      <w:pPr>
        <w:spacing w:line="360" w:lineRule="auto"/>
        <w:outlineLvl w:val="9"/>
        <w:rPr>
          <w:sz w:val="24"/>
        </w:rPr>
      </w:pPr>
      <w:r>
        <w:rPr>
          <w:rFonts w:hint="eastAsia"/>
          <w:b/>
          <w:sz w:val="24"/>
        </w:rPr>
        <w:t>（此处加盖</w:t>
      </w:r>
      <w:r>
        <w:rPr>
          <w:rFonts w:hint="eastAsia"/>
          <w:b/>
          <w:sz w:val="24"/>
          <w:lang w:eastAsia="zh-CN"/>
        </w:rPr>
        <w:t>遴选响应方</w:t>
      </w:r>
      <w:r>
        <w:rPr>
          <w:rFonts w:hint="eastAsia"/>
          <w:b/>
          <w:sz w:val="24"/>
        </w:rPr>
        <w:t>单位公章）</w:t>
      </w:r>
    </w:p>
    <w:p w14:paraId="69DA4CAD">
      <w:pPr>
        <w:spacing w:line="500" w:lineRule="exact"/>
        <w:rPr>
          <w:rFonts w:ascii="宋体" w:hAnsi="宋体"/>
        </w:rPr>
      </w:pPr>
    </w:p>
    <w:p w14:paraId="7E4C39B3">
      <w:pPr>
        <w:spacing w:line="360" w:lineRule="auto"/>
        <w:rPr>
          <w:b/>
          <w:sz w:val="24"/>
        </w:rPr>
      </w:pPr>
      <w:r>
        <w:rPr>
          <w:rFonts w:hint="eastAsia"/>
          <w:b/>
          <w:sz w:val="24"/>
        </w:rPr>
        <w:t>提供法定代表人居民身份证（正反面）复印件：</w:t>
      </w:r>
    </w:p>
    <w:p w14:paraId="3BE6D689">
      <w:pPr>
        <w:rPr>
          <w:rFonts w:hint="eastAsia" w:asciiTheme="majorEastAsia" w:hAnsiTheme="majorEastAsia" w:eastAsiaTheme="majorEastAsia"/>
          <w:sz w:val="30"/>
          <w:szCs w:val="30"/>
        </w:rPr>
      </w:pPr>
    </w:p>
    <w:p w14:paraId="5BA87A63">
      <w:pPr>
        <w:rPr>
          <w:rFonts w:hint="eastAsia" w:asciiTheme="majorEastAsia" w:hAnsiTheme="majorEastAsia" w:eastAsiaTheme="majorEastAsia"/>
          <w:sz w:val="30"/>
          <w:szCs w:val="30"/>
        </w:rPr>
      </w:pPr>
    </w:p>
    <w:p w14:paraId="4D316A8A">
      <w:pPr>
        <w:rPr>
          <w:rFonts w:hint="eastAsia" w:asciiTheme="majorEastAsia" w:hAnsiTheme="majorEastAsia" w:eastAsiaTheme="majorEastAsia"/>
          <w:sz w:val="30"/>
          <w:szCs w:val="30"/>
        </w:rPr>
      </w:pPr>
    </w:p>
    <w:p w14:paraId="567E3FE6">
      <w:pPr>
        <w:rPr>
          <w:rFonts w:hint="eastAsia" w:asciiTheme="majorEastAsia" w:hAnsiTheme="majorEastAsia" w:eastAsiaTheme="majorEastAsia"/>
          <w:sz w:val="30"/>
          <w:szCs w:val="30"/>
        </w:rPr>
      </w:pPr>
    </w:p>
    <w:p w14:paraId="501EB77F">
      <w:pPr>
        <w:spacing w:line="50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备注：如参加遴选时需另外单独提供法定代表人证明书或者法人代表授权委托书。</w:t>
      </w:r>
    </w:p>
    <w:p w14:paraId="27E34131">
      <w:pPr>
        <w:spacing w:line="50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温馨提示:为避免出现《深圳经济特区政府采购条例实施细则》第七十五条第二项所列情形，请遴选响应供应商核实你单位法定代表人、本项目遴选响应授权代表人、项目负责人(如有)、主要技术人员(如有)等是否在你公司缴纳社会保险。”</w:t>
      </w:r>
    </w:p>
    <w:p w14:paraId="7840CD5D">
      <w:pPr>
        <w:rPr>
          <w:rFonts w:hint="eastAsia" w:asciiTheme="majorEastAsia" w:hAnsiTheme="majorEastAsia" w:eastAsiaTheme="majorEastAsia"/>
          <w:sz w:val="30"/>
          <w:szCs w:val="30"/>
        </w:rPr>
      </w:pPr>
    </w:p>
    <w:p w14:paraId="3688E1EC">
      <w:pPr>
        <w:rPr>
          <w:rFonts w:hint="eastAsia" w:asciiTheme="majorEastAsia" w:hAnsiTheme="majorEastAsia" w:eastAsiaTheme="majorEastAsia"/>
          <w:sz w:val="30"/>
          <w:szCs w:val="30"/>
        </w:rPr>
      </w:pPr>
    </w:p>
    <w:p w14:paraId="47771E40">
      <w:pPr>
        <w:jc w:val="center"/>
        <w:outlineLvl w:val="1"/>
        <w:rPr>
          <w:rFonts w:hint="eastAsia" w:cs="宋体" w:asciiTheme="majorEastAsia" w:hAnsiTheme="majorEastAsia" w:eastAsiaTheme="majorEastAsia"/>
          <w:b/>
          <w:bCs/>
          <w:kern w:val="2"/>
          <w:sz w:val="30"/>
          <w:szCs w:val="30"/>
          <w:lang w:val="en-US" w:eastAsia="zh-CN" w:bidi="ar-SA"/>
        </w:rPr>
      </w:pPr>
    </w:p>
    <w:p w14:paraId="5700184D">
      <w:pPr>
        <w:jc w:val="center"/>
        <w:outlineLvl w:val="1"/>
        <w:rPr>
          <w:rFonts w:hint="eastAsia" w:cs="宋体" w:asciiTheme="majorEastAsia" w:hAnsiTheme="majorEastAsia" w:eastAsiaTheme="majorEastAsia"/>
          <w:b/>
          <w:bCs/>
          <w:kern w:val="2"/>
          <w:sz w:val="30"/>
          <w:szCs w:val="30"/>
          <w:lang w:val="en-US" w:eastAsia="zh-CN" w:bidi="ar-SA"/>
        </w:rPr>
      </w:pPr>
      <w:bookmarkStart w:id="101" w:name="_Toc7783"/>
      <w:r>
        <w:rPr>
          <w:rFonts w:hint="eastAsia" w:cs="宋体" w:asciiTheme="majorEastAsia" w:hAnsiTheme="majorEastAsia" w:eastAsiaTheme="majorEastAsia"/>
          <w:b/>
          <w:bCs/>
          <w:kern w:val="2"/>
          <w:sz w:val="30"/>
          <w:szCs w:val="30"/>
          <w:lang w:val="en-US" w:eastAsia="zh-CN" w:bidi="ar-SA"/>
        </w:rPr>
        <w:t>（十五）提供法定代表人近一个月的社会保险证明</w:t>
      </w:r>
      <w:bookmarkEnd w:id="101"/>
    </w:p>
    <w:p w14:paraId="6B910234">
      <w:pPr>
        <w:spacing w:line="500" w:lineRule="exact"/>
        <w:rPr>
          <w:rFonts w:hint="eastAsia" w:ascii="宋体" w:hAnsi="宋体"/>
        </w:rPr>
      </w:pPr>
      <w:r>
        <w:rPr>
          <w:rFonts w:hint="eastAsia" w:ascii="宋体" w:hAnsi="宋体"/>
        </w:rPr>
        <w:t>注：如新成立公司或退休人员无法提供社保证明的，应提供说明函（格式自拟），说明相关情况。若因为社保部门原因无法提供的，需提供劳动合同及社保部门官方通知证明(或官网公告截图)。</w:t>
      </w:r>
    </w:p>
    <w:p w14:paraId="664FB936">
      <w:pPr>
        <w:spacing w:line="500" w:lineRule="exact"/>
        <w:rPr>
          <w:rFonts w:hint="eastAsia" w:ascii="宋体" w:hAnsi="宋体" w:eastAsia="宋体"/>
          <w:lang w:val="en-US" w:eastAsia="zh-CN"/>
        </w:rPr>
      </w:pPr>
    </w:p>
    <w:p w14:paraId="18D0F5E9">
      <w:pPr>
        <w:spacing w:line="500" w:lineRule="exact"/>
        <w:rPr>
          <w:rFonts w:hint="eastAsia" w:ascii="宋体" w:hAnsi="宋体" w:eastAsia="宋体"/>
          <w:lang w:val="en-US" w:eastAsia="zh-CN"/>
        </w:rPr>
      </w:pPr>
    </w:p>
    <w:p w14:paraId="1C55113C">
      <w:pPr>
        <w:spacing w:line="50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温馨提示:为避免出现《深圳经济特区政府采购条例实施细则》第七十五条第二项所列情形，请遴选响应供应商核实你单位法定代表人、本项目遴选响应授权代表人、项目负责人(如有)、主要技术人员(如有)等是否在你公司缴纳社会保险。”</w:t>
      </w:r>
    </w:p>
    <w:p w14:paraId="27B1CA42">
      <w:pPr>
        <w:rPr>
          <w:rFonts w:hint="eastAsia" w:asciiTheme="majorEastAsia" w:hAnsiTheme="majorEastAsia" w:eastAsiaTheme="majorEastAsia"/>
          <w:sz w:val="30"/>
          <w:szCs w:val="30"/>
        </w:rPr>
      </w:pPr>
    </w:p>
    <w:p w14:paraId="5DAA0970">
      <w:pPr>
        <w:rPr>
          <w:rFonts w:hint="eastAsia" w:asciiTheme="majorEastAsia" w:hAnsiTheme="majorEastAsia" w:eastAsiaTheme="majorEastAsia"/>
          <w:sz w:val="30"/>
          <w:szCs w:val="30"/>
        </w:rPr>
      </w:pPr>
    </w:p>
    <w:p w14:paraId="747EB400">
      <w:pPr>
        <w:rPr>
          <w:rFonts w:hint="eastAsia" w:asciiTheme="majorEastAsia" w:hAnsiTheme="majorEastAsia" w:eastAsiaTheme="majorEastAsia"/>
          <w:sz w:val="30"/>
          <w:szCs w:val="30"/>
        </w:rPr>
      </w:pPr>
    </w:p>
    <w:p w14:paraId="11B14B71">
      <w:pPr>
        <w:rPr>
          <w:rFonts w:hint="eastAsia" w:asciiTheme="majorEastAsia" w:hAnsiTheme="majorEastAsia" w:eastAsiaTheme="majorEastAsia"/>
          <w:sz w:val="30"/>
          <w:szCs w:val="30"/>
        </w:rPr>
      </w:pPr>
    </w:p>
    <w:p w14:paraId="0C56F5F5">
      <w:pPr>
        <w:rPr>
          <w:rFonts w:hint="eastAsia" w:asciiTheme="majorEastAsia" w:hAnsiTheme="majorEastAsia" w:eastAsiaTheme="majorEastAsia"/>
          <w:sz w:val="30"/>
          <w:szCs w:val="30"/>
        </w:rPr>
      </w:pPr>
    </w:p>
    <w:p w14:paraId="594F72EF">
      <w:pPr>
        <w:rPr>
          <w:rFonts w:hint="eastAsia" w:asciiTheme="majorEastAsia" w:hAnsiTheme="majorEastAsia" w:eastAsiaTheme="majorEastAsia"/>
          <w:sz w:val="30"/>
          <w:szCs w:val="30"/>
        </w:rPr>
      </w:pPr>
    </w:p>
    <w:p w14:paraId="486D8CCF">
      <w:pPr>
        <w:rPr>
          <w:rFonts w:hint="eastAsia" w:asciiTheme="majorEastAsia" w:hAnsiTheme="majorEastAsia" w:eastAsiaTheme="majorEastAsia"/>
          <w:sz w:val="30"/>
          <w:szCs w:val="30"/>
        </w:rPr>
      </w:pPr>
    </w:p>
    <w:p w14:paraId="4623C613">
      <w:pPr>
        <w:rPr>
          <w:rFonts w:hint="eastAsia" w:asciiTheme="majorEastAsia" w:hAnsiTheme="majorEastAsia" w:eastAsiaTheme="majorEastAsia"/>
          <w:sz w:val="30"/>
          <w:szCs w:val="30"/>
        </w:rPr>
      </w:pPr>
    </w:p>
    <w:p w14:paraId="244EA0BE">
      <w:pPr>
        <w:rPr>
          <w:rFonts w:hint="eastAsia" w:asciiTheme="majorEastAsia" w:hAnsiTheme="majorEastAsia" w:eastAsiaTheme="majorEastAsia"/>
          <w:sz w:val="30"/>
          <w:szCs w:val="30"/>
        </w:rPr>
      </w:pPr>
    </w:p>
    <w:p w14:paraId="5CDCD20C">
      <w:pPr>
        <w:rPr>
          <w:rFonts w:hint="eastAsia" w:asciiTheme="majorEastAsia" w:hAnsiTheme="majorEastAsia" w:eastAsiaTheme="majorEastAsia"/>
          <w:sz w:val="30"/>
          <w:szCs w:val="30"/>
        </w:rPr>
      </w:pPr>
    </w:p>
    <w:p w14:paraId="29845083">
      <w:pPr>
        <w:rPr>
          <w:rFonts w:hint="eastAsia" w:asciiTheme="majorEastAsia" w:hAnsiTheme="majorEastAsia" w:eastAsiaTheme="majorEastAsia"/>
          <w:sz w:val="30"/>
          <w:szCs w:val="30"/>
        </w:rPr>
      </w:pPr>
    </w:p>
    <w:p w14:paraId="2E79162E">
      <w:pPr>
        <w:rPr>
          <w:rFonts w:hint="eastAsia" w:asciiTheme="majorEastAsia" w:hAnsiTheme="majorEastAsia" w:eastAsiaTheme="majorEastAsia"/>
          <w:sz w:val="30"/>
          <w:szCs w:val="30"/>
        </w:rPr>
      </w:pPr>
    </w:p>
    <w:p w14:paraId="357BFAA8">
      <w:pPr>
        <w:rPr>
          <w:rFonts w:hint="eastAsia" w:asciiTheme="majorEastAsia" w:hAnsiTheme="majorEastAsia" w:eastAsiaTheme="majorEastAsia"/>
          <w:sz w:val="30"/>
          <w:szCs w:val="30"/>
        </w:rPr>
      </w:pPr>
    </w:p>
    <w:p w14:paraId="63D977BC">
      <w:pPr>
        <w:rPr>
          <w:rFonts w:hint="eastAsia" w:asciiTheme="majorEastAsia" w:hAnsiTheme="majorEastAsia" w:eastAsiaTheme="majorEastAsia"/>
          <w:sz w:val="30"/>
          <w:szCs w:val="30"/>
        </w:rPr>
      </w:pPr>
    </w:p>
    <w:p w14:paraId="75F0F9E0">
      <w:pPr>
        <w:rPr>
          <w:rFonts w:hint="eastAsia" w:asciiTheme="majorEastAsia" w:hAnsiTheme="majorEastAsia" w:eastAsiaTheme="majorEastAsia"/>
          <w:sz w:val="30"/>
          <w:szCs w:val="30"/>
        </w:rPr>
      </w:pPr>
    </w:p>
    <w:p w14:paraId="08381A76">
      <w:pPr>
        <w:jc w:val="center"/>
        <w:outlineLvl w:val="1"/>
        <w:rPr>
          <w:rFonts w:hint="eastAsia" w:cs="宋体" w:asciiTheme="majorEastAsia" w:hAnsiTheme="majorEastAsia" w:eastAsiaTheme="majorEastAsia"/>
          <w:b/>
          <w:bCs/>
          <w:kern w:val="2"/>
          <w:sz w:val="30"/>
          <w:szCs w:val="30"/>
          <w:lang w:val="en-US" w:eastAsia="zh-CN" w:bidi="ar-SA"/>
        </w:rPr>
      </w:pPr>
      <w:bookmarkStart w:id="102" w:name="_Toc27521"/>
      <w:r>
        <w:rPr>
          <w:rFonts w:hint="eastAsia" w:cs="宋体" w:asciiTheme="majorEastAsia" w:hAnsiTheme="majorEastAsia" w:eastAsiaTheme="majorEastAsia"/>
          <w:b/>
          <w:bCs/>
          <w:kern w:val="2"/>
          <w:sz w:val="30"/>
          <w:szCs w:val="30"/>
          <w:lang w:val="en-US" w:eastAsia="zh-CN" w:bidi="ar-SA"/>
        </w:rPr>
        <w:t>（十六）提供主要经营负责人、项目负责人、主要技术人员近一个月的社会保险证明</w:t>
      </w:r>
      <w:bookmarkEnd w:id="102"/>
    </w:p>
    <w:p w14:paraId="61B8CC9E">
      <w:pPr>
        <w:rPr>
          <w:rFonts w:ascii="宋体" w:hAnsi="宋体"/>
          <w:b/>
          <w:bCs/>
          <w:color w:val="auto"/>
          <w:sz w:val="24"/>
        </w:rPr>
      </w:pPr>
      <w:r>
        <w:rPr>
          <w:rFonts w:hint="eastAsia" w:ascii="宋体" w:hAnsi="宋体"/>
          <w:b/>
          <w:bCs/>
          <w:color w:val="auto"/>
          <w:sz w:val="24"/>
        </w:rPr>
        <w:t>提供</w:t>
      </w:r>
      <w:r>
        <w:rPr>
          <w:rFonts w:hint="eastAsia"/>
          <w:b/>
          <w:color w:val="auto"/>
          <w:sz w:val="24"/>
        </w:rPr>
        <w:t>主要经营负责</w:t>
      </w:r>
      <w:r>
        <w:rPr>
          <w:rFonts w:hint="eastAsia" w:ascii="宋体" w:hAnsi="宋体"/>
          <w:b/>
          <w:bCs/>
          <w:color w:val="auto"/>
          <w:sz w:val="24"/>
        </w:rPr>
        <w:t>人近一个月的社保证明：</w:t>
      </w:r>
    </w:p>
    <w:p w14:paraId="27ED38D3">
      <w:pPr>
        <w:rPr>
          <w:rFonts w:ascii="宋体" w:hAnsi="宋体"/>
          <w:b/>
          <w:bCs/>
          <w:color w:val="auto"/>
          <w:sz w:val="24"/>
        </w:rPr>
      </w:pPr>
    </w:p>
    <w:p w14:paraId="09E53859">
      <w:pPr>
        <w:rPr>
          <w:rFonts w:hint="default" w:ascii="宋体" w:hAnsi="宋体" w:eastAsiaTheme="minorEastAsia"/>
          <w:b/>
          <w:bCs/>
          <w:color w:val="auto"/>
          <w:sz w:val="24"/>
          <w:lang w:val="en-US" w:eastAsia="zh-CN"/>
        </w:rPr>
      </w:pPr>
    </w:p>
    <w:p w14:paraId="49FF4FE8">
      <w:pPr>
        <w:rPr>
          <w:rFonts w:hint="default" w:ascii="宋体" w:hAnsi="宋体" w:eastAsiaTheme="minorEastAsia"/>
          <w:b/>
          <w:bCs/>
          <w:color w:val="auto"/>
          <w:sz w:val="24"/>
          <w:lang w:val="en-US" w:eastAsia="zh-CN"/>
        </w:rPr>
      </w:pPr>
    </w:p>
    <w:p w14:paraId="7F124D75">
      <w:pPr>
        <w:rPr>
          <w:rFonts w:hint="default" w:ascii="宋体" w:hAnsi="宋体" w:eastAsiaTheme="minorEastAsia"/>
          <w:b/>
          <w:bCs/>
          <w:color w:val="auto"/>
          <w:sz w:val="24"/>
          <w:lang w:val="en-US" w:eastAsia="zh-CN"/>
        </w:rPr>
      </w:pPr>
    </w:p>
    <w:p w14:paraId="4095FE86">
      <w:pPr>
        <w:rPr>
          <w:rFonts w:hint="default" w:ascii="宋体" w:hAnsi="宋体" w:eastAsiaTheme="minorEastAsia"/>
          <w:b/>
          <w:bCs/>
          <w:color w:val="auto"/>
          <w:sz w:val="24"/>
          <w:lang w:val="en-US" w:eastAsia="zh-CN"/>
        </w:rPr>
      </w:pPr>
    </w:p>
    <w:p w14:paraId="4192DBC3">
      <w:pPr>
        <w:rPr>
          <w:rFonts w:hint="default" w:ascii="宋体" w:hAnsi="宋体" w:eastAsiaTheme="minorEastAsia"/>
          <w:b/>
          <w:bCs/>
          <w:color w:val="auto"/>
          <w:sz w:val="24"/>
          <w:lang w:val="en-US" w:eastAsia="zh-CN"/>
        </w:rPr>
      </w:pPr>
    </w:p>
    <w:p w14:paraId="4C34C49B">
      <w:pPr>
        <w:rPr>
          <w:rFonts w:ascii="宋体" w:hAnsi="宋体"/>
          <w:b/>
          <w:bCs/>
          <w:color w:val="auto"/>
          <w:sz w:val="24"/>
        </w:rPr>
      </w:pPr>
    </w:p>
    <w:p w14:paraId="577058F5">
      <w:pPr>
        <w:rPr>
          <w:rFonts w:ascii="宋体" w:hAnsi="宋体"/>
          <w:b/>
          <w:bCs/>
          <w:color w:val="auto"/>
          <w:sz w:val="24"/>
        </w:rPr>
      </w:pPr>
      <w:r>
        <w:rPr>
          <w:rFonts w:hint="eastAsia" w:ascii="宋体" w:hAnsi="宋体"/>
          <w:b/>
          <w:bCs/>
          <w:color w:val="auto"/>
          <w:sz w:val="24"/>
        </w:rPr>
        <w:t>提供项目负责人近一个月的社保证明（如有）：</w:t>
      </w:r>
    </w:p>
    <w:p w14:paraId="5B6DCD77">
      <w:pPr>
        <w:spacing w:line="500" w:lineRule="exact"/>
        <w:rPr>
          <w:rFonts w:ascii="宋体" w:hAnsi="宋体"/>
          <w:color w:val="auto"/>
        </w:rPr>
      </w:pPr>
    </w:p>
    <w:p w14:paraId="48EC87A6">
      <w:pPr>
        <w:spacing w:line="500" w:lineRule="exact"/>
        <w:rPr>
          <w:rFonts w:ascii="宋体" w:hAnsi="宋体"/>
          <w:color w:val="auto"/>
        </w:rPr>
      </w:pPr>
    </w:p>
    <w:p w14:paraId="6C35D625">
      <w:pPr>
        <w:spacing w:line="500" w:lineRule="exact"/>
        <w:rPr>
          <w:rFonts w:ascii="宋体" w:hAnsi="宋体"/>
          <w:color w:val="auto"/>
        </w:rPr>
      </w:pPr>
    </w:p>
    <w:p w14:paraId="7BE7BAE5">
      <w:pPr>
        <w:spacing w:line="500" w:lineRule="exact"/>
        <w:rPr>
          <w:rFonts w:ascii="宋体" w:hAnsi="宋体"/>
          <w:color w:val="auto"/>
        </w:rPr>
      </w:pPr>
    </w:p>
    <w:p w14:paraId="6C31E7DA">
      <w:pPr>
        <w:spacing w:line="500" w:lineRule="exact"/>
        <w:rPr>
          <w:rFonts w:ascii="宋体" w:hAnsi="宋体"/>
          <w:color w:val="auto"/>
        </w:rPr>
      </w:pPr>
    </w:p>
    <w:p w14:paraId="3F74C128">
      <w:pPr>
        <w:rPr>
          <w:color w:val="auto"/>
        </w:rPr>
      </w:pPr>
      <w:r>
        <w:rPr>
          <w:rFonts w:hint="eastAsia" w:ascii="宋体" w:hAnsi="宋体"/>
          <w:b/>
          <w:bCs/>
          <w:color w:val="auto"/>
          <w:sz w:val="24"/>
        </w:rPr>
        <w:t>提供主要技术人员近一个月的社保证明（如有）：</w:t>
      </w:r>
    </w:p>
    <w:p w14:paraId="5A56D19F">
      <w:pPr>
        <w:spacing w:line="500" w:lineRule="exact"/>
        <w:rPr>
          <w:rFonts w:ascii="宋体" w:hAnsi="宋体"/>
        </w:rPr>
      </w:pPr>
    </w:p>
    <w:p w14:paraId="4F7995E2">
      <w:pPr>
        <w:spacing w:line="500" w:lineRule="exact"/>
        <w:rPr>
          <w:rFonts w:ascii="宋体" w:hAnsi="宋体"/>
        </w:rPr>
      </w:pPr>
    </w:p>
    <w:p w14:paraId="26EABF6C">
      <w:pPr>
        <w:spacing w:line="500" w:lineRule="exact"/>
        <w:rPr>
          <w:rFonts w:ascii="宋体" w:hAnsi="宋体"/>
        </w:rPr>
      </w:pPr>
    </w:p>
    <w:p w14:paraId="08168E69">
      <w:pPr>
        <w:spacing w:line="500" w:lineRule="exact"/>
        <w:rPr>
          <w:rFonts w:ascii="宋体" w:hAnsi="宋体"/>
        </w:rPr>
      </w:pPr>
    </w:p>
    <w:p w14:paraId="49D4E83B">
      <w:pPr>
        <w:pStyle w:val="16"/>
        <w:rPr>
          <w:rFonts w:hint="eastAsia" w:ascii="宋体" w:hAnsi="宋体"/>
        </w:rPr>
      </w:pPr>
      <w:r>
        <w:rPr>
          <w:rFonts w:hint="eastAsia" w:ascii="宋体" w:hAnsi="宋体"/>
        </w:rPr>
        <w:t>注：如新成立公司或退休人员无法提供社保证明的，应提供说明函（格式自拟），说明相关情况。若因为社保部门原因无法提供的，需提供劳动合同及社保部门官方通知证明(或官网公告截图)。如本项目未安排项目</w:t>
      </w:r>
      <w:r>
        <w:rPr>
          <w:rFonts w:hint="eastAsia" w:ascii="宋体" w:hAnsi="宋体"/>
          <w:lang w:eastAsia="zh-CN"/>
        </w:rPr>
        <w:t>遴选响应</w:t>
      </w:r>
      <w:r>
        <w:rPr>
          <w:rFonts w:hint="eastAsia" w:ascii="宋体" w:hAnsi="宋体"/>
        </w:rPr>
        <w:t>授权代表人、项目负责人、主要技术人员的，无需提供项目</w:t>
      </w:r>
      <w:r>
        <w:rPr>
          <w:rFonts w:hint="eastAsia" w:ascii="宋体" w:hAnsi="宋体"/>
          <w:lang w:eastAsia="zh-CN"/>
        </w:rPr>
        <w:t>遴选响应</w:t>
      </w:r>
      <w:r>
        <w:rPr>
          <w:rFonts w:hint="eastAsia" w:ascii="宋体" w:hAnsi="宋体"/>
        </w:rPr>
        <w:t>授权代表人、项目负责人、主要技术人员的社保。</w:t>
      </w:r>
    </w:p>
    <w:p w14:paraId="2E30CC8D">
      <w:pPr>
        <w:spacing w:line="500" w:lineRule="exact"/>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en-US" w:eastAsia="zh-CN" w:bidi="ar-SA"/>
        </w:rPr>
        <w:t>“温馨提示:为避免出现《深圳经济特区政府采购条例实施细则》第七十五条第二项所列情形，请遴选响应供应商核实你单位法定代表人、本项目遴选响应授权代表人、项目负责人(如有)、主要技术人员(如有)等是否在你公司缴纳社会保险。”</w:t>
      </w:r>
    </w:p>
    <w:p w14:paraId="61B308BB">
      <w:pPr>
        <w:rPr>
          <w:rFonts w:hint="eastAsia" w:asciiTheme="majorEastAsia" w:hAnsiTheme="majorEastAsia" w:eastAsiaTheme="majorEastAsia"/>
          <w:sz w:val="30"/>
          <w:szCs w:val="30"/>
        </w:rPr>
      </w:pPr>
    </w:p>
    <w:bookmarkEnd w:id="92"/>
    <w:bookmarkEnd w:id="93"/>
    <w:bookmarkEnd w:id="94"/>
    <w:p w14:paraId="435B9DA2">
      <w:pPr>
        <w:widowControl/>
        <w:jc w:val="center"/>
        <w:rPr>
          <w:rFonts w:hint="eastAsia" w:cs="Times New Roman" w:asciiTheme="majorEastAsia" w:hAnsiTheme="majorEastAsia" w:eastAsiaTheme="majorEastAsia"/>
          <w:b/>
          <w:bCs/>
          <w:kern w:val="2"/>
          <w:sz w:val="30"/>
          <w:szCs w:val="30"/>
          <w:lang w:val="en-US" w:eastAsia="zh-CN" w:bidi="ar-SA"/>
        </w:rPr>
      </w:pPr>
      <w:bookmarkStart w:id="103" w:name="_Toc173553195"/>
      <w:bookmarkStart w:id="104" w:name="_Toc435515318"/>
      <w:bookmarkStart w:id="105" w:name="_Toc275865626"/>
      <w:bookmarkStart w:id="106" w:name="_Toc24015580"/>
      <w:bookmarkStart w:id="107" w:name="_Toc435514878"/>
      <w:bookmarkStart w:id="108" w:name="_Toc23178"/>
    </w:p>
    <w:p w14:paraId="56C04F66">
      <w:pPr>
        <w:widowControl/>
        <w:jc w:val="center"/>
        <w:rPr>
          <w:rFonts w:hint="eastAsia" w:cs="Times New Roman" w:asciiTheme="majorEastAsia" w:hAnsiTheme="majorEastAsia" w:eastAsiaTheme="majorEastAsia"/>
          <w:b/>
          <w:bCs/>
          <w:kern w:val="2"/>
          <w:sz w:val="30"/>
          <w:szCs w:val="30"/>
          <w:lang w:val="en-US" w:eastAsia="zh-CN" w:bidi="ar-SA"/>
        </w:rPr>
      </w:pPr>
    </w:p>
    <w:p w14:paraId="46ED6EE9">
      <w:pPr>
        <w:pStyle w:val="3"/>
        <w:numPr>
          <w:ilvl w:val="0"/>
          <w:numId w:val="0"/>
        </w:numPr>
        <w:spacing w:line="240" w:lineRule="auto"/>
        <w:ind w:left="420" w:leftChars="0" w:hanging="420" w:firstLineChars="0"/>
        <w:jc w:val="center"/>
        <w:rPr>
          <w:rFonts w:asciiTheme="majorEastAsia" w:hAnsiTheme="majorEastAsia" w:eastAsiaTheme="majorEastAsia"/>
          <w:sz w:val="30"/>
          <w:szCs w:val="30"/>
        </w:rPr>
      </w:pPr>
      <w:bookmarkStart w:id="109" w:name="_Toc15614"/>
      <w:bookmarkStart w:id="110" w:name="_Toc19879"/>
      <w:bookmarkStart w:id="111" w:name="_Toc109893898"/>
      <w:r>
        <w:rPr>
          <w:rFonts w:hint="eastAsia" w:cs="Times New Roman" w:asciiTheme="majorEastAsia" w:hAnsiTheme="majorEastAsia" w:eastAsiaTheme="majorEastAsia"/>
          <w:b/>
          <w:bCs/>
          <w:kern w:val="2"/>
          <w:sz w:val="30"/>
          <w:szCs w:val="30"/>
          <w:lang w:val="en-US" w:eastAsia="zh-CN" w:bidi="ar-SA"/>
        </w:rPr>
        <w:t>（十七）</w:t>
      </w:r>
      <w:r>
        <w:rPr>
          <w:rFonts w:hint="eastAsia" w:asciiTheme="majorEastAsia" w:hAnsiTheme="majorEastAsia" w:eastAsiaTheme="majorEastAsia"/>
          <w:sz w:val="30"/>
          <w:szCs w:val="30"/>
        </w:rPr>
        <w:t>用户需求书条款</w:t>
      </w:r>
      <w:r>
        <w:rPr>
          <w:rFonts w:hint="eastAsia" w:asciiTheme="majorEastAsia" w:hAnsiTheme="majorEastAsia" w:eastAsiaTheme="majorEastAsia"/>
          <w:sz w:val="30"/>
          <w:szCs w:val="30"/>
          <w:lang w:eastAsia="zh-CN"/>
        </w:rPr>
        <w:t>遴选响应</w:t>
      </w:r>
      <w:r>
        <w:rPr>
          <w:rFonts w:hint="eastAsia" w:asciiTheme="majorEastAsia" w:hAnsiTheme="majorEastAsia" w:eastAsiaTheme="majorEastAsia"/>
          <w:sz w:val="30"/>
          <w:szCs w:val="30"/>
        </w:rPr>
        <w:t>一览表</w:t>
      </w:r>
      <w:bookmarkEnd w:id="109"/>
      <w:bookmarkEnd w:id="110"/>
      <w:bookmarkEnd w:id="111"/>
    </w:p>
    <w:p w14:paraId="1DC4CB58">
      <w:pPr>
        <w:spacing w:line="400" w:lineRule="exact"/>
        <w:rPr>
          <w:rFonts w:ascii="宋体" w:hAnsi="宋体"/>
        </w:rPr>
      </w:pPr>
      <w:r>
        <w:rPr>
          <w:rFonts w:hint="eastAsia" w:ascii="宋体" w:hAnsi="宋体"/>
        </w:rPr>
        <w:t>说明：</w:t>
      </w:r>
      <w:r>
        <w:rPr>
          <w:rFonts w:hint="eastAsia" w:ascii="宋体" w:hAnsi="宋体"/>
          <w:lang w:eastAsia="zh-CN"/>
        </w:rPr>
        <w:t>遴选响应方</w:t>
      </w:r>
      <w:r>
        <w:rPr>
          <w:rFonts w:hint="eastAsia" w:ascii="宋体" w:hAnsi="宋体"/>
        </w:rPr>
        <w:t>必须对应</w:t>
      </w:r>
      <w:r>
        <w:rPr>
          <w:rFonts w:hint="eastAsia" w:ascii="宋体" w:hAnsi="宋体"/>
          <w:lang w:val="en-US" w:eastAsia="zh-CN"/>
        </w:rPr>
        <w:t>遴选文件</w:t>
      </w:r>
      <w:r>
        <w:rPr>
          <w:rFonts w:hint="eastAsia" w:ascii="宋体" w:hAnsi="宋体"/>
        </w:rPr>
        <w:t>条款逐条应答并按要求填写下表。</w:t>
      </w:r>
    </w:p>
    <w:tbl>
      <w:tblPr>
        <w:tblStyle w:val="39"/>
        <w:tblW w:w="10779" w:type="dxa"/>
        <w:tblInd w:w="-114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378"/>
        <w:gridCol w:w="3378"/>
        <w:gridCol w:w="1768"/>
        <w:gridCol w:w="1409"/>
      </w:tblGrid>
      <w:tr w14:paraId="397D4B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46" w:type="dxa"/>
            <w:shd w:val="clear" w:color="auto" w:fill="EAF1DD" w:themeFill="accent3" w:themeFillTint="33"/>
            <w:vAlign w:val="center"/>
          </w:tcPr>
          <w:p w14:paraId="21B9BB9F">
            <w:pPr>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3378" w:type="dxa"/>
            <w:shd w:val="clear" w:color="auto" w:fill="EAF1DD" w:themeFill="accent3" w:themeFillTint="33"/>
            <w:vAlign w:val="center"/>
          </w:tcPr>
          <w:p w14:paraId="6D5F95A1">
            <w:pPr>
              <w:jc w:val="center"/>
              <w:rPr>
                <w:rFonts w:asciiTheme="minorEastAsia" w:hAnsiTheme="minorEastAsia" w:eastAsiaTheme="minorEastAsia"/>
                <w:szCs w:val="21"/>
              </w:rPr>
            </w:pPr>
            <w:r>
              <w:rPr>
                <w:rFonts w:hint="eastAsia" w:asciiTheme="minorEastAsia" w:hAnsiTheme="minorEastAsia" w:eastAsiaTheme="minorEastAsia"/>
                <w:szCs w:val="21"/>
                <w:lang w:val="en-US" w:eastAsia="zh-CN"/>
              </w:rPr>
              <w:t>遴选</w:t>
            </w:r>
            <w:r>
              <w:rPr>
                <w:rFonts w:hint="eastAsia" w:asciiTheme="minorEastAsia" w:hAnsiTheme="minorEastAsia" w:eastAsiaTheme="minorEastAsia"/>
                <w:szCs w:val="21"/>
              </w:rPr>
              <w:t>条款</w:t>
            </w:r>
          </w:p>
        </w:tc>
        <w:tc>
          <w:tcPr>
            <w:tcW w:w="3378" w:type="dxa"/>
            <w:shd w:val="clear" w:color="auto" w:fill="EAF1DD" w:themeFill="accent3" w:themeFillTint="33"/>
            <w:vAlign w:val="center"/>
          </w:tcPr>
          <w:p w14:paraId="06FC3DA6">
            <w:pPr>
              <w:jc w:val="center"/>
              <w:rPr>
                <w:rFonts w:asciiTheme="minorEastAsia" w:hAnsiTheme="minorEastAsia" w:eastAsiaTheme="minorEastAsia"/>
                <w:szCs w:val="21"/>
              </w:rPr>
            </w:pPr>
            <w:r>
              <w:rPr>
                <w:rFonts w:hint="eastAsia" w:asciiTheme="minorEastAsia" w:hAnsiTheme="minorEastAsia" w:eastAsiaTheme="minorEastAsia"/>
                <w:szCs w:val="21"/>
                <w:lang w:eastAsia="zh-CN"/>
              </w:rPr>
              <w:t>遴选响应</w:t>
            </w:r>
            <w:r>
              <w:rPr>
                <w:rFonts w:hint="eastAsia" w:asciiTheme="minorEastAsia" w:hAnsiTheme="minorEastAsia" w:eastAsiaTheme="minorEastAsia"/>
                <w:szCs w:val="21"/>
              </w:rPr>
              <w:t>条款</w:t>
            </w:r>
          </w:p>
        </w:tc>
        <w:tc>
          <w:tcPr>
            <w:tcW w:w="1768" w:type="dxa"/>
            <w:shd w:val="clear" w:color="auto" w:fill="EAF1DD" w:themeFill="accent3" w:themeFillTint="33"/>
            <w:vAlign w:val="center"/>
          </w:tcPr>
          <w:p w14:paraId="15D5BC09">
            <w:pPr>
              <w:jc w:val="center"/>
              <w:rPr>
                <w:rFonts w:asciiTheme="minorEastAsia" w:hAnsiTheme="minorEastAsia" w:eastAsiaTheme="minorEastAsia"/>
                <w:szCs w:val="21"/>
              </w:rPr>
            </w:pPr>
            <w:r>
              <w:rPr>
                <w:rFonts w:hint="eastAsia" w:asciiTheme="minorEastAsia" w:hAnsiTheme="minorEastAsia" w:eastAsiaTheme="minorEastAsia"/>
                <w:szCs w:val="21"/>
              </w:rPr>
              <w:t>偏离情况</w:t>
            </w:r>
          </w:p>
        </w:tc>
        <w:tc>
          <w:tcPr>
            <w:tcW w:w="1409" w:type="dxa"/>
            <w:shd w:val="clear" w:color="auto" w:fill="EAF1DD" w:themeFill="accent3" w:themeFillTint="33"/>
            <w:vAlign w:val="center"/>
          </w:tcPr>
          <w:p w14:paraId="3DC1429D">
            <w:pPr>
              <w:jc w:val="center"/>
              <w:rPr>
                <w:rFonts w:hint="eastAsia" w:eastAsiaTheme="minorEastAsia"/>
                <w:lang w:val="en-US" w:eastAsia="zh-CN"/>
              </w:rPr>
            </w:pPr>
            <w:r>
              <w:rPr>
                <w:rFonts w:hint="eastAsia" w:asciiTheme="minorEastAsia" w:hAnsiTheme="minorEastAsia" w:eastAsiaTheme="minorEastAsia"/>
                <w:szCs w:val="21"/>
              </w:rPr>
              <w:t>说明</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对应页码</w:t>
            </w:r>
            <w:r>
              <w:rPr>
                <w:rFonts w:hint="eastAsia" w:asciiTheme="minorEastAsia" w:hAnsiTheme="minorEastAsia" w:eastAsiaTheme="minorEastAsia"/>
                <w:szCs w:val="21"/>
                <w:lang w:eastAsia="zh-CN"/>
              </w:rPr>
              <w:t>）</w:t>
            </w:r>
          </w:p>
        </w:tc>
      </w:tr>
      <w:tr w14:paraId="6D7F7C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0779" w:type="dxa"/>
            <w:gridSpan w:val="5"/>
            <w:vAlign w:val="center"/>
          </w:tcPr>
          <w:p w14:paraId="16B3097B">
            <w:pPr>
              <w:jc w:val="center"/>
              <w:rPr>
                <w:rFonts w:asciiTheme="minorEastAsia" w:hAnsiTheme="minorEastAsia"/>
                <w:szCs w:val="21"/>
              </w:rPr>
            </w:pPr>
            <w:r>
              <w:rPr>
                <w:rFonts w:hint="eastAsia" w:asciiTheme="minorEastAsia" w:hAnsiTheme="minorEastAsia" w:eastAsiaTheme="minorEastAsia"/>
                <w:szCs w:val="21"/>
              </w:rPr>
              <w:t>（一）</w:t>
            </w:r>
            <w:r>
              <w:rPr>
                <w:rFonts w:hint="eastAsia"/>
              </w:rPr>
              <w:t>带“</w:t>
            </w:r>
            <w:r>
              <w:rPr>
                <w:rFonts w:hint="eastAsia" w:ascii="宋体"/>
                <w:b/>
                <w:bCs/>
                <w:szCs w:val="20"/>
              </w:rPr>
              <w:t>★</w:t>
            </w:r>
            <w:r>
              <w:rPr>
                <w:rFonts w:hint="eastAsia"/>
              </w:rPr>
              <w:t>”的</w:t>
            </w:r>
            <w:r>
              <w:rPr>
                <w:rFonts w:hint="eastAsia" w:ascii="宋体" w:hAnsi="宋体"/>
              </w:rPr>
              <w:t>实质性条款（</w:t>
            </w:r>
            <w:r>
              <w:rPr>
                <w:rFonts w:hint="eastAsia" w:asciiTheme="minorEastAsia" w:hAnsiTheme="minorEastAsia" w:eastAsiaTheme="minorEastAsia"/>
                <w:szCs w:val="21"/>
              </w:rPr>
              <w:t>有任何一条负偏离则导致无效</w:t>
            </w:r>
            <w:r>
              <w:rPr>
                <w:rFonts w:hint="eastAsia" w:asciiTheme="minorEastAsia" w:hAnsiTheme="minorEastAsia" w:eastAsiaTheme="minorEastAsia"/>
                <w:szCs w:val="21"/>
                <w:lang w:eastAsia="zh-CN"/>
              </w:rPr>
              <w:t>遴选响应</w:t>
            </w:r>
            <w:r>
              <w:rPr>
                <w:rFonts w:hint="eastAsia" w:ascii="宋体" w:hAnsi="宋体"/>
              </w:rPr>
              <w:t>）</w:t>
            </w:r>
          </w:p>
        </w:tc>
      </w:tr>
      <w:tr w14:paraId="7AFDC7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46" w:type="dxa"/>
            <w:vAlign w:val="center"/>
          </w:tcPr>
          <w:p w14:paraId="4ECFFD19">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3378" w:type="dxa"/>
            <w:vAlign w:val="center"/>
          </w:tcPr>
          <w:p w14:paraId="1C2D763C">
            <w:pPr>
              <w:rPr>
                <w:rFonts w:asciiTheme="minorEastAsia" w:hAnsiTheme="minorEastAsia" w:eastAsiaTheme="minorEastAsia"/>
                <w:b/>
                <w:bCs/>
                <w:szCs w:val="21"/>
              </w:rPr>
            </w:pPr>
            <w:r>
              <w:rPr>
                <w:rFonts w:hint="eastAsia" w:asciiTheme="minorEastAsia" w:hAnsiTheme="minorEastAsia" w:eastAsiaTheme="minorEastAsia"/>
                <w:b/>
                <w:bCs/>
                <w:szCs w:val="21"/>
              </w:rPr>
              <w:t xml:space="preserve">第三章 用户需求书 </w:t>
            </w:r>
          </w:p>
          <w:p w14:paraId="171DA095">
            <w:pPr>
              <w:rPr>
                <w:rFonts w:asciiTheme="minorEastAsia" w:hAnsiTheme="minorEastAsia" w:eastAsiaTheme="minorEastAsia"/>
                <w:szCs w:val="21"/>
              </w:rPr>
            </w:pPr>
            <w:r>
              <w:rPr>
                <w:rFonts w:hint="eastAsia" w:asciiTheme="minorEastAsia" w:hAnsiTheme="minorEastAsia" w:eastAsiaTheme="minorEastAsia"/>
                <w:b/>
                <w:bCs/>
                <w:szCs w:val="21"/>
              </w:rPr>
              <w:t>一、</w:t>
            </w:r>
            <w:r>
              <w:rPr>
                <w:rFonts w:hint="eastAsia" w:asciiTheme="minorEastAsia" w:hAnsiTheme="minorEastAsia" w:eastAsiaTheme="minorEastAsia"/>
                <w:b/>
                <w:bCs/>
                <w:szCs w:val="21"/>
              </w:rPr>
              <w:tab/>
            </w:r>
            <w:r>
              <w:rPr>
                <w:rFonts w:hint="eastAsia" w:asciiTheme="minorEastAsia" w:hAnsiTheme="minorEastAsia" w:eastAsiaTheme="minorEastAsia"/>
                <w:b/>
                <w:bCs/>
                <w:szCs w:val="21"/>
              </w:rPr>
              <w:t>项目采购标的清单：</w:t>
            </w:r>
            <w:r>
              <w:rPr>
                <w:rFonts w:hint="eastAsia" w:asciiTheme="minorEastAsia" w:hAnsiTheme="minorEastAsia" w:eastAsiaTheme="minorEastAsia"/>
                <w:szCs w:val="21"/>
              </w:rPr>
              <w:t xml:space="preserve">服务期 </w:t>
            </w:r>
            <w:r>
              <w:rPr>
                <w:rFonts w:hint="eastAsia" w:cs="Times New Roman" w:asciiTheme="minorEastAsia" w:hAnsiTheme="minorEastAsia" w:eastAsiaTheme="minorEastAsia"/>
                <w:b/>
                <w:bCs/>
                <w:szCs w:val="21"/>
              </w:rPr>
              <w:t>★</w:t>
            </w:r>
            <w:r>
              <w:rPr>
                <w:rFonts w:hint="eastAsia" w:ascii="宋体" w:hAnsi="宋体" w:eastAsia="宋体" w:cs="宋体"/>
                <w:bCs/>
                <w:color w:val="auto"/>
                <w:kern w:val="2"/>
                <w:sz w:val="21"/>
                <w:szCs w:val="20"/>
                <w:highlight w:val="none"/>
                <w:lang w:val="en-US" w:eastAsia="zh-CN" w:bidi="ar-SA"/>
              </w:rPr>
              <w:t>项目为长期服务类项目，第一年为本次采购服务期限，采购人可根据项目需要和</w:t>
            </w:r>
            <w:r>
              <w:rPr>
                <w:rFonts w:hint="eastAsia" w:ascii="宋体" w:hAnsi="宋体" w:cs="宋体"/>
                <w:bCs/>
                <w:color w:val="auto"/>
                <w:kern w:val="2"/>
                <w:sz w:val="21"/>
                <w:szCs w:val="20"/>
                <w:highlight w:val="none"/>
                <w:lang w:val="en-US" w:eastAsia="zh-CN" w:bidi="ar-SA"/>
              </w:rPr>
              <w:t>中选方</w:t>
            </w:r>
            <w:r>
              <w:rPr>
                <w:rFonts w:hint="eastAsia" w:ascii="宋体" w:hAnsi="宋体" w:eastAsia="宋体" w:cs="宋体"/>
                <w:bCs/>
                <w:color w:val="auto"/>
                <w:kern w:val="2"/>
                <w:sz w:val="21"/>
                <w:szCs w:val="20"/>
                <w:highlight w:val="none"/>
                <w:lang w:val="en-US" w:eastAsia="zh-CN" w:bidi="ar-SA"/>
              </w:rPr>
              <w:t>的履约情况确定合同期限是否延长，但最长累计不超过三年。如合同执行期间与国家医改新政策或规定不符，则经双方协商一致后做相应的调整或合同中止，在此之前已完成的合同内容及费用等双方各自承担，所造成的损失，双方互不追究责任。</w:t>
            </w:r>
          </w:p>
        </w:tc>
        <w:tc>
          <w:tcPr>
            <w:tcW w:w="3378" w:type="dxa"/>
            <w:vAlign w:val="center"/>
          </w:tcPr>
          <w:p w14:paraId="66A6443A">
            <w:pPr>
              <w:rPr>
                <w:rFonts w:asciiTheme="minorEastAsia" w:hAnsiTheme="minorEastAsia" w:eastAsiaTheme="minorEastAsia"/>
                <w:szCs w:val="21"/>
              </w:rPr>
            </w:pPr>
          </w:p>
        </w:tc>
        <w:tc>
          <w:tcPr>
            <w:tcW w:w="1768" w:type="dxa"/>
            <w:vAlign w:val="center"/>
          </w:tcPr>
          <w:p w14:paraId="13944595">
            <w:pPr>
              <w:rPr>
                <w:rFonts w:asciiTheme="minorEastAsia" w:hAnsiTheme="minorEastAsia" w:eastAsiaTheme="minorEastAsia"/>
                <w:szCs w:val="21"/>
              </w:rPr>
            </w:pPr>
          </w:p>
        </w:tc>
        <w:tc>
          <w:tcPr>
            <w:tcW w:w="1409" w:type="dxa"/>
            <w:vAlign w:val="center"/>
          </w:tcPr>
          <w:p w14:paraId="3A3E16CF">
            <w:pPr>
              <w:rPr>
                <w:rFonts w:asciiTheme="minorEastAsia" w:hAnsiTheme="minorEastAsia" w:eastAsiaTheme="minorEastAsia"/>
                <w:szCs w:val="21"/>
              </w:rPr>
            </w:pPr>
          </w:p>
        </w:tc>
      </w:tr>
      <w:tr w14:paraId="33D578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74CB6032">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3378" w:type="dxa"/>
            <w:vAlign w:val="center"/>
          </w:tcPr>
          <w:p w14:paraId="393649D6">
            <w:pPr>
              <w:rPr>
                <w:rFonts w:asciiTheme="minorEastAsia" w:hAnsiTheme="minorEastAsia" w:eastAsiaTheme="minorEastAsia"/>
                <w:b/>
                <w:bCs/>
                <w:szCs w:val="21"/>
              </w:rPr>
            </w:pPr>
            <w:r>
              <w:rPr>
                <w:rFonts w:hint="eastAsia" w:asciiTheme="minorEastAsia" w:hAnsiTheme="minorEastAsia" w:eastAsiaTheme="minorEastAsia"/>
                <w:b/>
                <w:bCs/>
                <w:szCs w:val="21"/>
              </w:rPr>
              <w:t xml:space="preserve">第三章 用户需求书 </w:t>
            </w:r>
          </w:p>
          <w:p w14:paraId="313465E2">
            <w:pPr>
              <w:pStyle w:val="21"/>
              <w:numPr>
                <w:ilvl w:val="0"/>
                <w:numId w:val="0"/>
              </w:numPr>
              <w:tabs>
                <w:tab w:val="left" w:pos="540"/>
              </w:tabs>
              <w:adjustRightInd w:val="0"/>
              <w:snapToGrid w:val="0"/>
              <w:spacing w:line="360" w:lineRule="auto"/>
              <w:ind w:left="420" w:leftChars="0" w:hanging="420" w:firstLineChars="0"/>
              <w:rPr>
                <w:rFonts w:hAnsi="宋体"/>
                <w:b/>
                <w:color w:val="auto"/>
              </w:rPr>
            </w:pPr>
            <w:r>
              <w:rPr>
                <w:rFonts w:hint="eastAsia" w:hAnsi="宋体"/>
                <w:b/>
                <w:color w:val="auto"/>
              </w:rPr>
              <w:t>★商务要求：</w:t>
            </w:r>
          </w:p>
          <w:p w14:paraId="5B131A3E">
            <w:pPr>
              <w:numPr>
                <w:ilvl w:val="0"/>
                <w:numId w:val="0"/>
              </w:numPr>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lang w:val="en-US" w:eastAsia="zh-CN" w:bidi="ar-SA"/>
              </w:rPr>
              <w:t>1、</w:t>
            </w:r>
            <w:r>
              <w:rPr>
                <w:rFonts w:hint="eastAsia" w:ascii="宋体" w:hAnsi="宋体" w:eastAsia="宋体" w:cs="宋体"/>
                <w:bCs/>
                <w:color w:val="auto"/>
                <w:kern w:val="2"/>
                <w:sz w:val="21"/>
                <w:szCs w:val="20"/>
                <w:highlight w:val="none"/>
                <w:lang w:val="en-US" w:eastAsia="zh-CN" w:bidi="ar-SA"/>
              </w:rPr>
              <w:t>概述</w:t>
            </w:r>
            <w:r>
              <w:rPr>
                <w:rFonts w:hint="eastAsia" w:ascii="宋体" w:hAnsi="宋体" w:cs="宋体"/>
                <w:bCs/>
                <w:color w:val="auto"/>
                <w:kern w:val="2"/>
                <w:sz w:val="21"/>
                <w:szCs w:val="20"/>
                <w:highlight w:val="none"/>
                <w:lang w:val="en-US" w:eastAsia="zh-CN" w:bidi="ar-SA"/>
              </w:rPr>
              <w:t>：</w:t>
            </w:r>
            <w:r>
              <w:rPr>
                <w:rFonts w:hint="eastAsia" w:ascii="宋体" w:hAnsi="宋体" w:eastAsia="宋体" w:cs="宋体"/>
                <w:bCs/>
                <w:color w:val="auto"/>
                <w:kern w:val="2"/>
                <w:sz w:val="21"/>
                <w:szCs w:val="20"/>
                <w:highlight w:val="none"/>
                <w:lang w:val="en-US" w:eastAsia="zh-CN" w:bidi="ar-SA"/>
              </w:rPr>
              <w:t>我院医用耗材供应链精细化管理（SPD）服务于2025年8月31日到期，现拟招一家服务商（</w:t>
            </w:r>
            <w:r>
              <w:rPr>
                <w:rFonts w:hint="eastAsia" w:ascii="宋体" w:hAnsi="宋体" w:cs="宋体"/>
                <w:bCs/>
                <w:color w:val="auto"/>
                <w:kern w:val="2"/>
                <w:sz w:val="21"/>
                <w:szCs w:val="20"/>
                <w:highlight w:val="none"/>
                <w:lang w:val="en-US" w:eastAsia="zh-CN" w:bidi="ar-SA"/>
              </w:rPr>
              <w:t>中选方</w:t>
            </w:r>
            <w:r>
              <w:rPr>
                <w:rFonts w:hint="eastAsia" w:ascii="宋体" w:hAnsi="宋体" w:eastAsia="宋体" w:cs="宋体"/>
                <w:bCs/>
                <w:color w:val="auto"/>
                <w:kern w:val="2"/>
                <w:sz w:val="21"/>
                <w:szCs w:val="20"/>
                <w:highlight w:val="none"/>
                <w:lang w:val="en-US" w:eastAsia="zh-CN" w:bidi="ar-SA"/>
              </w:rPr>
              <w:t>）提供医用物资SPD院内物流管理服务（包含SPD项目相关软件、一、二级库硬件、运营服务人员等相关配套）。</w:t>
            </w:r>
          </w:p>
          <w:p w14:paraId="040915C6">
            <w:pPr>
              <w:numPr>
                <w:ilvl w:val="0"/>
                <w:numId w:val="0"/>
              </w:numPr>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lang w:val="en-US" w:eastAsia="zh-CN" w:bidi="ar-SA"/>
              </w:rPr>
              <w:t>2、</w:t>
            </w:r>
            <w:r>
              <w:rPr>
                <w:rFonts w:hint="eastAsia" w:ascii="宋体" w:hAnsi="宋体" w:eastAsia="宋体" w:cs="宋体"/>
                <w:bCs/>
                <w:color w:val="auto"/>
                <w:kern w:val="2"/>
                <w:sz w:val="21"/>
                <w:szCs w:val="20"/>
                <w:highlight w:val="none"/>
                <w:lang w:val="en-US" w:eastAsia="zh-CN" w:bidi="ar-SA"/>
              </w:rPr>
              <w:t xml:space="preserve">服务范围品类：医用耗材、检验试剂等含跟踪和追溯的全流程管理。服务范围：采购人所属各科室、社康等。 </w:t>
            </w:r>
          </w:p>
          <w:p w14:paraId="4E9F1B77">
            <w:pPr>
              <w:numPr>
                <w:ilvl w:val="0"/>
                <w:numId w:val="0"/>
              </w:numPr>
              <w:rPr>
                <w:rFonts w:hint="default"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3、项目目标：符合国家医改和医保控费等政策的需求，确保</w:t>
            </w:r>
            <w:r>
              <w:rPr>
                <w:rFonts w:hint="eastAsia" w:ascii="宋体" w:hAnsi="宋体" w:cs="宋体"/>
                <w:bCs/>
                <w:color w:val="auto"/>
                <w:kern w:val="2"/>
                <w:sz w:val="21"/>
                <w:szCs w:val="20"/>
                <w:highlight w:val="none"/>
                <w:lang w:val="en-US" w:eastAsia="zh-CN" w:bidi="ar-SA"/>
              </w:rPr>
              <w:t>采购人</w:t>
            </w:r>
            <w:r>
              <w:rPr>
                <w:rFonts w:hint="eastAsia" w:ascii="宋体" w:hAnsi="宋体" w:eastAsia="宋体" w:cs="宋体"/>
                <w:bCs/>
                <w:color w:val="auto"/>
                <w:kern w:val="2"/>
                <w:sz w:val="21"/>
                <w:szCs w:val="20"/>
                <w:highlight w:val="none"/>
                <w:lang w:val="en-US" w:eastAsia="zh-CN" w:bidi="ar-SA"/>
              </w:rPr>
              <w:t>及病人利益不受损失。实行“普通耗材出库结算”、“高值耗材消耗结算”，减少采购人医用耗材的损耗。利用互联网和物联网等技术手段，提高采购人医用耗材精细化和智能化的院内物流运行效率。搭建信息系统，联通SPD与院内相关信息管理系统、深圳市医用耗材阳光平台、深圳市医保物价平台等，实现采购人医用耗材的全程信息化管理。服务商（</w:t>
            </w:r>
            <w:r>
              <w:rPr>
                <w:rFonts w:hint="eastAsia" w:ascii="宋体" w:hAnsi="宋体" w:cs="宋体"/>
                <w:bCs/>
                <w:color w:val="auto"/>
                <w:kern w:val="2"/>
                <w:sz w:val="21"/>
                <w:szCs w:val="20"/>
                <w:highlight w:val="none"/>
                <w:lang w:val="en-US" w:eastAsia="zh-CN" w:bidi="ar-SA"/>
              </w:rPr>
              <w:t>中选方</w:t>
            </w:r>
            <w:r>
              <w:rPr>
                <w:rFonts w:hint="eastAsia" w:ascii="宋体" w:hAnsi="宋体" w:eastAsia="宋体" w:cs="宋体"/>
                <w:bCs/>
                <w:color w:val="auto"/>
                <w:kern w:val="2"/>
                <w:sz w:val="21"/>
                <w:szCs w:val="20"/>
                <w:highlight w:val="none"/>
                <w:lang w:val="en-US" w:eastAsia="zh-CN" w:bidi="ar-SA"/>
              </w:rPr>
              <w:t>）负责采购人信息系统端口连接的安装工作及费用（包含信息系统方的接口开发费），采购人协助配合沟通。</w:t>
            </w:r>
          </w:p>
          <w:p w14:paraId="05E7E310">
            <w:pPr>
              <w:numPr>
                <w:ilvl w:val="0"/>
                <w:numId w:val="0"/>
              </w:numPr>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实现采购人医用耗材智能全闭环和全称追溯管理。</w:t>
            </w:r>
          </w:p>
          <w:p w14:paraId="2AF6F5C6">
            <w:pPr>
              <w:numPr>
                <w:ilvl w:val="0"/>
                <w:numId w:val="0"/>
              </w:numPr>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lang w:val="en-US" w:eastAsia="zh-CN" w:bidi="ar-SA"/>
              </w:rPr>
              <w:t>4、</w:t>
            </w:r>
            <w:r>
              <w:rPr>
                <w:rFonts w:hint="eastAsia" w:ascii="宋体" w:hAnsi="宋体" w:eastAsia="宋体" w:cs="宋体"/>
                <w:bCs/>
                <w:color w:val="auto"/>
                <w:kern w:val="2"/>
                <w:sz w:val="21"/>
                <w:szCs w:val="20"/>
                <w:highlight w:val="none"/>
                <w:lang w:val="en-US" w:eastAsia="zh-CN" w:bidi="ar-SA"/>
              </w:rPr>
              <w:t>服务团队：服务商在院内配备不少于6人的医用耗材精细化管理项目运维和物流服务团队。</w:t>
            </w:r>
          </w:p>
          <w:p w14:paraId="37185390">
            <w:pPr>
              <w:numPr>
                <w:ilvl w:val="0"/>
                <w:numId w:val="0"/>
              </w:numPr>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lang w:val="en-US" w:eastAsia="zh-CN" w:bidi="ar-SA"/>
              </w:rPr>
              <w:t>5、</w:t>
            </w:r>
            <w:r>
              <w:rPr>
                <w:rFonts w:hint="eastAsia" w:ascii="宋体" w:hAnsi="宋体" w:eastAsia="宋体" w:cs="宋体"/>
                <w:bCs/>
                <w:color w:val="auto"/>
                <w:kern w:val="2"/>
                <w:sz w:val="21"/>
                <w:szCs w:val="20"/>
                <w:highlight w:val="none"/>
                <w:lang w:val="en-US" w:eastAsia="zh-CN" w:bidi="ar-SA"/>
              </w:rPr>
              <w:t>结算方式：医院不承担此项目所有费用，服务商（</w:t>
            </w:r>
            <w:r>
              <w:rPr>
                <w:rFonts w:hint="eastAsia" w:ascii="宋体" w:hAnsi="宋体" w:cs="宋体"/>
                <w:bCs/>
                <w:color w:val="auto"/>
                <w:kern w:val="2"/>
                <w:sz w:val="21"/>
                <w:szCs w:val="20"/>
                <w:highlight w:val="none"/>
                <w:lang w:val="en-US" w:eastAsia="zh-CN" w:bidi="ar-SA"/>
              </w:rPr>
              <w:t>中选方</w:t>
            </w:r>
            <w:r>
              <w:rPr>
                <w:rFonts w:hint="eastAsia" w:ascii="宋体" w:hAnsi="宋体" w:eastAsia="宋体" w:cs="宋体"/>
                <w:bCs/>
                <w:color w:val="auto"/>
                <w:kern w:val="2"/>
                <w:sz w:val="21"/>
                <w:szCs w:val="20"/>
                <w:highlight w:val="none"/>
                <w:lang w:val="en-US" w:eastAsia="zh-CN" w:bidi="ar-SA"/>
              </w:rPr>
              <w:t>）应自行负责其服务团队的办公用品等费用，向SPD管理平台的医用物资供应商按季度收取SPD服务费，以维持项目正常运营。服务费的金额不得超过其物资供应总额的 2 %，即医用物资供应商季度与医院结算发票金额×</w:t>
            </w:r>
            <w:r>
              <w:rPr>
                <w:rFonts w:hint="eastAsia" w:ascii="宋体" w:hAnsi="宋体" w:cs="宋体"/>
                <w:bCs/>
                <w:color w:val="auto"/>
                <w:kern w:val="2"/>
                <w:sz w:val="21"/>
                <w:szCs w:val="20"/>
                <w:highlight w:val="none"/>
                <w:lang w:val="en-US" w:eastAsia="zh-CN" w:bidi="ar-SA"/>
              </w:rPr>
              <w:t>中选</w:t>
            </w:r>
            <w:r>
              <w:rPr>
                <w:rFonts w:hint="eastAsia" w:ascii="宋体" w:hAnsi="宋体" w:eastAsia="宋体" w:cs="宋体"/>
                <w:bCs/>
                <w:color w:val="auto"/>
                <w:kern w:val="2"/>
                <w:sz w:val="21"/>
                <w:szCs w:val="20"/>
                <w:highlight w:val="none"/>
                <w:lang w:val="en-US" w:eastAsia="zh-CN" w:bidi="ar-SA"/>
              </w:rPr>
              <w:t>服务费率。</w:t>
            </w:r>
          </w:p>
          <w:p w14:paraId="72B4360A">
            <w:pPr>
              <w:pStyle w:val="16"/>
              <w:numPr>
                <w:ilvl w:val="0"/>
                <w:numId w:val="0"/>
              </w:numPr>
              <w:ind w:left="0" w:leftChars="0" w:firstLine="0" w:firstLineChars="0"/>
              <w:rPr>
                <w:rFonts w:hint="eastAsia" w:ascii="宋体" w:hAnsi="宋体" w:eastAsia="宋体" w:cs="宋体"/>
                <w:b/>
                <w:bCs w:val="0"/>
                <w:color w:val="FF0000"/>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6、软件与设备配置：设有规范化的医用耗材库。普通科室门诊（或病区）、社康配备手持智能终端点管理医用耗材。提供医用耗材SPD管理软件和供应商平台，软件系统和智能设备与余元其它系统可实现信息共享。使用信息化和物联网技术，实现科室医用耗材库存实时监控和主导补货，高值医用耗材全程可追溯管理。服务期系统需要部署在医院内的数据中心机房，且</w:t>
            </w:r>
            <w:r>
              <w:rPr>
                <w:rFonts w:hint="eastAsia" w:ascii="宋体" w:hAnsi="宋体" w:cs="宋体"/>
                <w:bCs/>
                <w:color w:val="auto"/>
                <w:kern w:val="2"/>
                <w:sz w:val="21"/>
                <w:szCs w:val="20"/>
                <w:highlight w:val="none"/>
                <w:lang w:val="en-US" w:eastAsia="zh-CN" w:bidi="ar-SA"/>
              </w:rPr>
              <w:t>遴选响应方</w:t>
            </w:r>
            <w:r>
              <w:rPr>
                <w:rFonts w:hint="eastAsia" w:ascii="宋体" w:hAnsi="宋体" w:eastAsia="宋体" w:cs="宋体"/>
                <w:bCs/>
                <w:color w:val="auto"/>
                <w:kern w:val="2"/>
                <w:sz w:val="21"/>
                <w:szCs w:val="20"/>
                <w:highlight w:val="none"/>
                <w:lang w:val="en-US" w:eastAsia="zh-CN" w:bidi="ar-SA"/>
              </w:rPr>
              <w:t>提供至少2台服务器。可匹配医院各系统，有足够的服务器空间，数据归医院所有，信息安全需</w:t>
            </w:r>
            <w:r>
              <w:rPr>
                <w:rFonts w:hint="eastAsia" w:ascii="宋体" w:hAnsi="宋体" w:cs="宋体"/>
                <w:bCs/>
                <w:color w:val="auto"/>
                <w:kern w:val="2"/>
                <w:sz w:val="21"/>
                <w:szCs w:val="20"/>
                <w:highlight w:val="none"/>
                <w:lang w:val="en-US" w:eastAsia="zh-CN" w:bidi="ar-SA"/>
              </w:rPr>
              <w:t>中选方</w:t>
            </w:r>
            <w:r>
              <w:rPr>
                <w:rFonts w:hint="eastAsia" w:ascii="宋体" w:hAnsi="宋体" w:eastAsia="宋体" w:cs="宋体"/>
                <w:bCs/>
                <w:color w:val="auto"/>
                <w:kern w:val="2"/>
                <w:sz w:val="21"/>
                <w:szCs w:val="20"/>
                <w:highlight w:val="none"/>
                <w:lang w:val="en-US" w:eastAsia="zh-CN" w:bidi="ar-SA"/>
              </w:rPr>
              <w:t>负责，上线前做好信息安全监测，有权威安全监测报告并与医院签订信息安全保密协议。合作期届满或合同中止之日，</w:t>
            </w:r>
            <w:r>
              <w:rPr>
                <w:rFonts w:hint="eastAsia" w:ascii="宋体" w:hAnsi="宋体" w:cs="宋体"/>
                <w:bCs/>
                <w:color w:val="auto"/>
                <w:kern w:val="2"/>
                <w:sz w:val="21"/>
                <w:szCs w:val="20"/>
                <w:highlight w:val="none"/>
                <w:lang w:val="en-US" w:eastAsia="zh-CN" w:bidi="ar-SA"/>
              </w:rPr>
              <w:t>中选方</w:t>
            </w:r>
            <w:r>
              <w:rPr>
                <w:rFonts w:hint="eastAsia" w:ascii="宋体" w:hAnsi="宋体" w:eastAsia="宋体" w:cs="宋体"/>
                <w:bCs/>
                <w:color w:val="auto"/>
                <w:kern w:val="2"/>
                <w:sz w:val="21"/>
                <w:szCs w:val="20"/>
                <w:highlight w:val="none"/>
                <w:lang w:val="en-US" w:eastAsia="zh-CN" w:bidi="ar-SA"/>
              </w:rPr>
              <w:t>应无偿移交平台管理系统（含硬件）给采购人，保证历史数据完整，并和采购人或后期服务商完成对接，不得向采购人提出任何的折旧费，补偿费等。</w:t>
            </w:r>
            <w:r>
              <w:rPr>
                <w:rFonts w:hint="eastAsia" w:ascii="宋体" w:hAnsi="宋体" w:eastAsia="宋体" w:cs="宋体"/>
                <w:b/>
                <w:bCs w:val="0"/>
                <w:color w:val="FF0000"/>
                <w:kern w:val="2"/>
                <w:sz w:val="21"/>
                <w:szCs w:val="20"/>
                <w:highlight w:val="none"/>
                <w:lang w:val="en-US" w:eastAsia="zh-CN" w:bidi="ar-SA"/>
              </w:rPr>
              <w:t>（需提供承诺函）</w:t>
            </w:r>
          </w:p>
          <w:p w14:paraId="6D62E29C">
            <w:pPr>
              <w:pStyle w:val="16"/>
              <w:numPr>
                <w:ilvl w:val="0"/>
                <w:numId w:val="0"/>
              </w:numPr>
              <w:ind w:leftChars="0"/>
              <w:rPr>
                <w:rFonts w:hint="eastAsia" w:eastAsia="宋体"/>
                <w:lang w:val="en-US" w:eastAsia="zh-CN"/>
              </w:rPr>
            </w:pPr>
            <w:r>
              <w:rPr>
                <w:rFonts w:hint="eastAsia" w:ascii="宋体" w:hAnsi="宋体" w:eastAsia="宋体" w:cs="宋体"/>
                <w:bCs/>
                <w:color w:val="auto"/>
                <w:kern w:val="2"/>
                <w:sz w:val="21"/>
                <w:szCs w:val="20"/>
                <w:highlight w:val="none"/>
                <w:lang w:val="en-US" w:eastAsia="zh-CN" w:bidi="ar-SA"/>
              </w:rPr>
              <w:t>7、其它：</w:t>
            </w:r>
            <w:r>
              <w:rPr>
                <w:rFonts w:hint="eastAsia" w:ascii="宋体" w:hAnsi="宋体" w:cs="宋体"/>
                <w:bCs/>
                <w:color w:val="auto"/>
                <w:kern w:val="2"/>
                <w:sz w:val="21"/>
                <w:szCs w:val="20"/>
                <w:highlight w:val="none"/>
                <w:lang w:val="en-US" w:eastAsia="zh-CN" w:bidi="ar-SA"/>
              </w:rPr>
              <w:t>遴选响应方</w:t>
            </w:r>
            <w:r>
              <w:rPr>
                <w:rFonts w:hint="eastAsia" w:ascii="宋体" w:hAnsi="宋体" w:eastAsia="宋体" w:cs="宋体"/>
                <w:bCs/>
                <w:color w:val="auto"/>
                <w:kern w:val="2"/>
                <w:sz w:val="21"/>
                <w:szCs w:val="20"/>
                <w:highlight w:val="none"/>
                <w:lang w:val="en-US" w:eastAsia="zh-CN" w:bidi="ar-SA"/>
              </w:rPr>
              <w:t>须专业提供院内医用物资物流服务工作，</w:t>
            </w:r>
            <w:r>
              <w:rPr>
                <w:rFonts w:hint="eastAsia" w:ascii="宋体" w:hAnsi="宋体" w:cs="宋体"/>
                <w:bCs/>
                <w:color w:val="auto"/>
                <w:kern w:val="2"/>
                <w:sz w:val="21"/>
                <w:szCs w:val="20"/>
                <w:highlight w:val="none"/>
                <w:lang w:val="zh-CN" w:eastAsia="zh-CN" w:bidi="ar-SA"/>
              </w:rPr>
              <w:t>中选</w:t>
            </w:r>
            <w:r>
              <w:rPr>
                <w:rFonts w:hint="eastAsia" w:ascii="宋体" w:hAnsi="宋体" w:eastAsia="宋体" w:cs="宋体"/>
                <w:bCs/>
                <w:color w:val="auto"/>
                <w:kern w:val="2"/>
                <w:sz w:val="21"/>
                <w:szCs w:val="20"/>
                <w:highlight w:val="none"/>
                <w:lang w:val="zh-CN" w:eastAsia="zh-CN" w:bidi="ar-SA"/>
              </w:rPr>
              <w:t>后</w:t>
            </w:r>
            <w:r>
              <w:rPr>
                <w:rFonts w:hint="eastAsia" w:ascii="宋体" w:hAnsi="宋体" w:cs="宋体"/>
                <w:bCs/>
                <w:color w:val="auto"/>
                <w:kern w:val="2"/>
                <w:sz w:val="21"/>
                <w:szCs w:val="20"/>
                <w:highlight w:val="none"/>
                <w:lang w:val="zh-CN" w:eastAsia="zh-CN" w:bidi="ar-SA"/>
              </w:rPr>
              <w:t>中选方</w:t>
            </w:r>
            <w:r>
              <w:rPr>
                <w:rFonts w:hint="eastAsia" w:ascii="宋体" w:hAnsi="宋体" w:eastAsia="宋体" w:cs="宋体"/>
                <w:bCs/>
                <w:color w:val="auto"/>
                <w:kern w:val="2"/>
                <w:sz w:val="21"/>
                <w:szCs w:val="20"/>
                <w:highlight w:val="none"/>
                <w:lang w:val="zh-CN" w:eastAsia="zh-CN" w:bidi="ar-SA"/>
              </w:rPr>
              <w:t>不得</w:t>
            </w:r>
            <w:r>
              <w:rPr>
                <w:rFonts w:hint="eastAsia" w:ascii="宋体" w:hAnsi="宋体" w:eastAsia="宋体" w:cs="宋体"/>
                <w:bCs/>
                <w:color w:val="auto"/>
                <w:kern w:val="2"/>
                <w:sz w:val="21"/>
                <w:szCs w:val="20"/>
                <w:highlight w:val="none"/>
                <w:lang w:val="en-US" w:eastAsia="zh-CN" w:bidi="ar-SA"/>
              </w:rPr>
              <w:t>参与本</w:t>
            </w:r>
            <w:r>
              <w:rPr>
                <w:rFonts w:hint="eastAsia" w:ascii="宋体" w:hAnsi="宋体" w:eastAsia="宋体" w:cs="宋体"/>
                <w:bCs/>
                <w:color w:val="auto"/>
                <w:kern w:val="2"/>
                <w:sz w:val="21"/>
                <w:szCs w:val="20"/>
                <w:highlight w:val="none"/>
                <w:lang w:val="zh-CN" w:eastAsia="zh-CN" w:bidi="ar-SA"/>
              </w:rPr>
              <w:t>院医用耗材、检验试剂、药品、</w:t>
            </w:r>
            <w:r>
              <w:rPr>
                <w:rFonts w:hint="eastAsia" w:ascii="宋体" w:hAnsi="宋体" w:eastAsia="宋体" w:cs="宋体"/>
                <w:bCs/>
                <w:color w:val="auto"/>
                <w:kern w:val="2"/>
                <w:sz w:val="21"/>
                <w:szCs w:val="20"/>
                <w:highlight w:val="none"/>
                <w:lang w:val="en-US" w:eastAsia="zh-CN" w:bidi="ar-SA"/>
              </w:rPr>
              <w:t>医疗</w:t>
            </w:r>
            <w:r>
              <w:rPr>
                <w:rFonts w:hint="eastAsia" w:ascii="宋体" w:hAnsi="宋体" w:eastAsia="宋体" w:cs="宋体"/>
                <w:bCs/>
                <w:color w:val="auto"/>
                <w:kern w:val="2"/>
                <w:sz w:val="21"/>
                <w:szCs w:val="20"/>
                <w:highlight w:val="none"/>
                <w:lang w:val="zh-CN" w:eastAsia="zh-CN" w:bidi="ar-SA"/>
              </w:rPr>
              <w:t>设备</w:t>
            </w:r>
            <w:r>
              <w:rPr>
                <w:rFonts w:hint="eastAsia" w:ascii="宋体" w:hAnsi="宋体" w:eastAsia="宋体" w:cs="宋体"/>
                <w:bCs/>
                <w:color w:val="auto"/>
                <w:kern w:val="2"/>
                <w:sz w:val="21"/>
                <w:szCs w:val="20"/>
                <w:highlight w:val="none"/>
                <w:lang w:val="en-US" w:eastAsia="zh-CN" w:bidi="ar-SA"/>
              </w:rPr>
              <w:t>等</w:t>
            </w:r>
            <w:r>
              <w:rPr>
                <w:rFonts w:hint="eastAsia" w:ascii="宋体" w:hAnsi="宋体" w:eastAsia="宋体" w:cs="宋体"/>
                <w:bCs/>
                <w:color w:val="auto"/>
                <w:kern w:val="2"/>
                <w:sz w:val="21"/>
                <w:szCs w:val="20"/>
                <w:highlight w:val="none"/>
                <w:lang w:val="zh-CN" w:eastAsia="zh-CN" w:bidi="ar-SA"/>
              </w:rPr>
              <w:t>销售业务往来。</w:t>
            </w:r>
            <w:r>
              <w:rPr>
                <w:rFonts w:hint="eastAsia" w:ascii="宋体" w:hAnsi="宋体" w:eastAsia="宋体" w:cs="宋体"/>
                <w:b/>
                <w:bCs w:val="0"/>
                <w:color w:val="FF0000"/>
                <w:kern w:val="2"/>
                <w:sz w:val="21"/>
                <w:szCs w:val="20"/>
                <w:highlight w:val="none"/>
                <w:lang w:val="zh-CN" w:eastAsia="zh-CN" w:bidi="ar-SA"/>
              </w:rPr>
              <w:t>（需提供承诺函）</w:t>
            </w:r>
          </w:p>
        </w:tc>
        <w:tc>
          <w:tcPr>
            <w:tcW w:w="3378" w:type="dxa"/>
            <w:vAlign w:val="center"/>
          </w:tcPr>
          <w:p w14:paraId="6B94F889">
            <w:pPr>
              <w:rPr>
                <w:rFonts w:asciiTheme="minorEastAsia" w:hAnsiTheme="minorEastAsia" w:eastAsiaTheme="minorEastAsia"/>
                <w:szCs w:val="21"/>
              </w:rPr>
            </w:pPr>
          </w:p>
        </w:tc>
        <w:tc>
          <w:tcPr>
            <w:tcW w:w="1768" w:type="dxa"/>
            <w:vAlign w:val="center"/>
          </w:tcPr>
          <w:p w14:paraId="4D0F9508">
            <w:pPr>
              <w:rPr>
                <w:rFonts w:asciiTheme="minorEastAsia" w:hAnsiTheme="minorEastAsia" w:eastAsiaTheme="minorEastAsia"/>
                <w:szCs w:val="21"/>
              </w:rPr>
            </w:pPr>
          </w:p>
        </w:tc>
        <w:tc>
          <w:tcPr>
            <w:tcW w:w="1409" w:type="dxa"/>
            <w:vAlign w:val="center"/>
          </w:tcPr>
          <w:p w14:paraId="69D53815">
            <w:pPr>
              <w:rPr>
                <w:rFonts w:asciiTheme="minorEastAsia" w:hAnsiTheme="minorEastAsia" w:eastAsiaTheme="minorEastAsia"/>
                <w:szCs w:val="21"/>
              </w:rPr>
            </w:pPr>
          </w:p>
        </w:tc>
      </w:tr>
      <w:tr w14:paraId="45D17C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0779" w:type="dxa"/>
            <w:gridSpan w:val="5"/>
            <w:vAlign w:val="center"/>
          </w:tcPr>
          <w:p w14:paraId="3DD23F41">
            <w:pPr>
              <w:jc w:val="center"/>
              <w:rPr>
                <w:rFonts w:asciiTheme="minorEastAsia" w:hAnsiTheme="minorEastAsia" w:eastAsiaTheme="minorEastAsia"/>
                <w:szCs w:val="21"/>
              </w:rPr>
            </w:pPr>
            <w:r>
              <w:rPr>
                <w:rFonts w:hint="eastAsia" w:asciiTheme="minorEastAsia" w:hAnsiTheme="minorEastAsia" w:eastAsiaTheme="minorEastAsia"/>
                <w:szCs w:val="21"/>
              </w:rPr>
              <w:t>（二）</w:t>
            </w:r>
            <w:r>
              <w:rPr>
                <w:rFonts w:hint="eastAsia"/>
              </w:rPr>
              <w:t>带“▲”的重要条款</w:t>
            </w:r>
          </w:p>
        </w:tc>
      </w:tr>
      <w:tr w14:paraId="1EAA6B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46" w:type="dxa"/>
            <w:vAlign w:val="center"/>
          </w:tcPr>
          <w:p w14:paraId="10A6E211">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3378" w:type="dxa"/>
            <w:vAlign w:val="center"/>
          </w:tcPr>
          <w:p w14:paraId="6D3B54C7">
            <w:pPr>
              <w:rPr>
                <w:rFonts w:asciiTheme="minorEastAsia" w:hAnsiTheme="minorEastAsia" w:eastAsiaTheme="minorEastAsia"/>
                <w:szCs w:val="21"/>
              </w:rPr>
            </w:pPr>
            <w:r>
              <w:rPr>
                <w:rFonts w:hint="eastAsia" w:ascii="宋体" w:hAnsi="宋体" w:eastAsia="宋体" w:cs="宋体"/>
                <w:bCs/>
                <w:color w:val="auto"/>
                <w:kern w:val="2"/>
                <w:sz w:val="21"/>
                <w:szCs w:val="20"/>
                <w:highlight w:val="none"/>
                <w:lang w:val="en-US" w:eastAsia="zh-CN" w:bidi="ar-SA"/>
              </w:rPr>
              <w:t>▲5.6支持各二级消耗点集采产品使用量管控并能按周期进行预警；</w:t>
            </w:r>
          </w:p>
        </w:tc>
        <w:tc>
          <w:tcPr>
            <w:tcW w:w="3378" w:type="dxa"/>
            <w:vAlign w:val="center"/>
          </w:tcPr>
          <w:p w14:paraId="183055C0">
            <w:pPr>
              <w:rPr>
                <w:rFonts w:asciiTheme="minorEastAsia" w:hAnsiTheme="minorEastAsia" w:eastAsiaTheme="minorEastAsia"/>
                <w:szCs w:val="21"/>
              </w:rPr>
            </w:pPr>
          </w:p>
        </w:tc>
        <w:tc>
          <w:tcPr>
            <w:tcW w:w="1768" w:type="dxa"/>
            <w:vAlign w:val="center"/>
          </w:tcPr>
          <w:p w14:paraId="1156592E">
            <w:pPr>
              <w:rPr>
                <w:rFonts w:asciiTheme="minorEastAsia" w:hAnsiTheme="minorEastAsia" w:eastAsiaTheme="minorEastAsia"/>
                <w:szCs w:val="21"/>
              </w:rPr>
            </w:pPr>
          </w:p>
        </w:tc>
        <w:tc>
          <w:tcPr>
            <w:tcW w:w="1409" w:type="dxa"/>
            <w:vAlign w:val="center"/>
          </w:tcPr>
          <w:p w14:paraId="38A7F68E">
            <w:pPr>
              <w:rPr>
                <w:rFonts w:asciiTheme="minorEastAsia" w:hAnsiTheme="minorEastAsia" w:eastAsiaTheme="minorEastAsia"/>
                <w:szCs w:val="21"/>
              </w:rPr>
            </w:pPr>
          </w:p>
        </w:tc>
      </w:tr>
      <w:tr w14:paraId="4092C1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46" w:type="dxa"/>
            <w:vAlign w:val="center"/>
          </w:tcPr>
          <w:p w14:paraId="0AFBEBE6">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3378" w:type="dxa"/>
            <w:vAlign w:val="center"/>
          </w:tcPr>
          <w:p w14:paraId="28811713">
            <w:pPr>
              <w:pStyle w:val="21"/>
              <w:spacing w:line="240" w:lineRule="auto"/>
              <w:rPr>
                <w:rFonts w:asciiTheme="minorEastAsia" w:hAnsiTheme="minorEastAsia" w:eastAsiaTheme="minorEastAsia"/>
                <w:szCs w:val="21"/>
              </w:rPr>
            </w:pPr>
            <w:r>
              <w:rPr>
                <w:rFonts w:hint="eastAsia" w:ascii="宋体" w:hAnsi="宋体" w:eastAsia="宋体" w:cs="宋体"/>
                <w:bCs/>
                <w:color w:val="auto"/>
                <w:kern w:val="2"/>
                <w:sz w:val="21"/>
                <w:szCs w:val="20"/>
                <w:highlight w:val="none"/>
                <w:lang w:val="en-US" w:eastAsia="zh-CN" w:bidi="ar-SA"/>
              </w:rPr>
              <w:t>▲7.4项目管理主要人员须具有5年以上综合性等级二甲级别及以上的医院SPD项目管理经验且熟悉服务范围内物资管理的相关法律、法规；</w:t>
            </w:r>
            <w:r>
              <w:rPr>
                <w:rFonts w:hint="eastAsia" w:ascii="宋体" w:hAnsi="宋体" w:eastAsia="宋体" w:cs="宋体"/>
                <w:b/>
                <w:bCs w:val="0"/>
                <w:color w:val="FF0000"/>
                <w:kern w:val="2"/>
                <w:sz w:val="21"/>
                <w:szCs w:val="20"/>
                <w:highlight w:val="none"/>
                <w:lang w:val="en-US" w:eastAsia="zh-CN" w:bidi="ar-SA"/>
              </w:rPr>
              <w:t>（提供相关证明材料，包括但不限于社保缴纳证明、公积金缴纳证明等)</w:t>
            </w:r>
          </w:p>
        </w:tc>
        <w:tc>
          <w:tcPr>
            <w:tcW w:w="3378" w:type="dxa"/>
            <w:vAlign w:val="center"/>
          </w:tcPr>
          <w:p w14:paraId="6C646C02">
            <w:pPr>
              <w:rPr>
                <w:rFonts w:asciiTheme="minorEastAsia" w:hAnsiTheme="minorEastAsia" w:eastAsiaTheme="minorEastAsia"/>
                <w:szCs w:val="21"/>
              </w:rPr>
            </w:pPr>
          </w:p>
        </w:tc>
        <w:tc>
          <w:tcPr>
            <w:tcW w:w="1768" w:type="dxa"/>
            <w:vAlign w:val="center"/>
          </w:tcPr>
          <w:p w14:paraId="639075BF">
            <w:pPr>
              <w:rPr>
                <w:rFonts w:asciiTheme="minorEastAsia" w:hAnsiTheme="minorEastAsia" w:eastAsiaTheme="minorEastAsia"/>
                <w:szCs w:val="21"/>
              </w:rPr>
            </w:pPr>
          </w:p>
        </w:tc>
        <w:tc>
          <w:tcPr>
            <w:tcW w:w="1409" w:type="dxa"/>
            <w:vAlign w:val="center"/>
          </w:tcPr>
          <w:p w14:paraId="38020551">
            <w:pPr>
              <w:rPr>
                <w:rFonts w:asciiTheme="minorEastAsia" w:hAnsiTheme="minorEastAsia" w:eastAsiaTheme="minorEastAsia"/>
                <w:szCs w:val="21"/>
              </w:rPr>
            </w:pPr>
          </w:p>
        </w:tc>
      </w:tr>
      <w:tr w14:paraId="5A6192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591A0E3B">
            <w:pPr>
              <w:jc w:val="center"/>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3</w:t>
            </w:r>
          </w:p>
        </w:tc>
        <w:tc>
          <w:tcPr>
            <w:tcW w:w="3378" w:type="dxa"/>
            <w:vAlign w:val="center"/>
          </w:tcPr>
          <w:p w14:paraId="57A0CCBE">
            <w:pPr>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▲7.5系统驻场运维人员须具备5年以上系统管理和维护综合性等级二甲级别及以上的医院SPD管理系统经验；</w:t>
            </w:r>
            <w:r>
              <w:rPr>
                <w:rFonts w:hint="eastAsia" w:ascii="宋体" w:hAnsi="宋体" w:eastAsia="宋体" w:cs="宋体"/>
                <w:b/>
                <w:bCs w:val="0"/>
                <w:color w:val="FF0000"/>
                <w:kern w:val="2"/>
                <w:sz w:val="21"/>
                <w:szCs w:val="20"/>
                <w:highlight w:val="none"/>
                <w:lang w:val="en-US" w:eastAsia="zh-CN" w:bidi="ar-SA"/>
              </w:rPr>
              <w:t>（提供相关证明包括但不限于社保缴纳证明、公积金缴纳证明等)</w:t>
            </w:r>
          </w:p>
        </w:tc>
        <w:tc>
          <w:tcPr>
            <w:tcW w:w="3378" w:type="dxa"/>
            <w:vAlign w:val="center"/>
          </w:tcPr>
          <w:p w14:paraId="4EDB70A9">
            <w:pPr>
              <w:rPr>
                <w:rFonts w:asciiTheme="minorEastAsia" w:hAnsiTheme="minorEastAsia" w:eastAsiaTheme="minorEastAsia"/>
                <w:szCs w:val="21"/>
              </w:rPr>
            </w:pPr>
          </w:p>
        </w:tc>
        <w:tc>
          <w:tcPr>
            <w:tcW w:w="1768" w:type="dxa"/>
            <w:vAlign w:val="center"/>
          </w:tcPr>
          <w:p w14:paraId="537DE2DA">
            <w:pPr>
              <w:rPr>
                <w:rFonts w:asciiTheme="minorEastAsia" w:hAnsiTheme="minorEastAsia" w:eastAsiaTheme="minorEastAsia"/>
                <w:szCs w:val="21"/>
              </w:rPr>
            </w:pPr>
          </w:p>
        </w:tc>
        <w:tc>
          <w:tcPr>
            <w:tcW w:w="1409" w:type="dxa"/>
            <w:vAlign w:val="center"/>
          </w:tcPr>
          <w:p w14:paraId="1F74AEC6">
            <w:pPr>
              <w:rPr>
                <w:rFonts w:asciiTheme="minorEastAsia" w:hAnsiTheme="minorEastAsia" w:eastAsiaTheme="minorEastAsia"/>
                <w:szCs w:val="21"/>
              </w:rPr>
            </w:pPr>
          </w:p>
        </w:tc>
      </w:tr>
      <w:tr w14:paraId="1FA7DB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202EF9D7">
            <w:pPr>
              <w:jc w:val="center"/>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4</w:t>
            </w:r>
          </w:p>
        </w:tc>
        <w:tc>
          <w:tcPr>
            <w:tcW w:w="3378" w:type="dxa"/>
            <w:vAlign w:val="center"/>
          </w:tcPr>
          <w:p w14:paraId="37311520">
            <w:pPr>
              <w:pStyle w:val="21"/>
              <w:spacing w:line="240" w:lineRule="auto"/>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▲8、服务商应当主动接受医院日常监督管理服务工作的考核</w:t>
            </w:r>
            <w:r>
              <w:rPr>
                <w:rFonts w:hint="eastAsia" w:ascii="宋体" w:hAnsi="宋体" w:eastAsia="宋体" w:cs="宋体"/>
                <w:b/>
                <w:bCs w:val="0"/>
                <w:color w:val="FF0000"/>
                <w:kern w:val="2"/>
                <w:sz w:val="21"/>
                <w:szCs w:val="20"/>
                <w:highlight w:val="none"/>
                <w:lang w:val="en-US" w:eastAsia="zh-CN" w:bidi="ar-SA"/>
              </w:rPr>
              <w:t>（需提供具体监督考核方案）</w:t>
            </w:r>
            <w:r>
              <w:rPr>
                <w:rFonts w:hint="eastAsia" w:ascii="宋体" w:hAnsi="宋体" w:eastAsia="宋体" w:cs="宋体"/>
                <w:bCs/>
                <w:color w:val="auto"/>
                <w:kern w:val="2"/>
                <w:sz w:val="21"/>
                <w:szCs w:val="20"/>
                <w:highlight w:val="none"/>
                <w:lang w:val="en-US" w:eastAsia="zh-CN" w:bidi="ar-SA"/>
              </w:rPr>
              <w:t>。</w:t>
            </w:r>
          </w:p>
        </w:tc>
        <w:tc>
          <w:tcPr>
            <w:tcW w:w="3378" w:type="dxa"/>
            <w:vAlign w:val="center"/>
          </w:tcPr>
          <w:p w14:paraId="79B80EEB">
            <w:pPr>
              <w:rPr>
                <w:rFonts w:asciiTheme="minorEastAsia" w:hAnsiTheme="minorEastAsia" w:eastAsiaTheme="minorEastAsia"/>
                <w:szCs w:val="21"/>
              </w:rPr>
            </w:pPr>
          </w:p>
        </w:tc>
        <w:tc>
          <w:tcPr>
            <w:tcW w:w="1768" w:type="dxa"/>
            <w:vAlign w:val="center"/>
          </w:tcPr>
          <w:p w14:paraId="1DCF451E">
            <w:pPr>
              <w:rPr>
                <w:rFonts w:asciiTheme="minorEastAsia" w:hAnsiTheme="minorEastAsia" w:eastAsiaTheme="minorEastAsia"/>
                <w:szCs w:val="21"/>
              </w:rPr>
            </w:pPr>
          </w:p>
        </w:tc>
        <w:tc>
          <w:tcPr>
            <w:tcW w:w="1409" w:type="dxa"/>
            <w:vAlign w:val="center"/>
          </w:tcPr>
          <w:p w14:paraId="79DFE383">
            <w:pPr>
              <w:rPr>
                <w:rFonts w:asciiTheme="minorEastAsia" w:hAnsiTheme="minorEastAsia" w:eastAsiaTheme="minorEastAsia"/>
                <w:szCs w:val="21"/>
              </w:rPr>
            </w:pPr>
          </w:p>
        </w:tc>
      </w:tr>
      <w:tr w14:paraId="17D8B0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117A3D1E">
            <w:pPr>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w:t>
            </w:r>
          </w:p>
        </w:tc>
        <w:tc>
          <w:tcPr>
            <w:tcW w:w="3378" w:type="dxa"/>
            <w:vAlign w:val="center"/>
          </w:tcPr>
          <w:p w14:paraId="4FC54334">
            <w:pPr>
              <w:rPr>
                <w:rFonts w:hint="default" w:asciiTheme="minorEastAsia" w:hAnsiTheme="minorEastAsia" w:eastAsiaTheme="minorEastAsia"/>
                <w:szCs w:val="21"/>
                <w:lang w:val="en-US"/>
              </w:rPr>
            </w:pPr>
            <w:r>
              <w:rPr>
                <w:rFonts w:hint="eastAsia" w:ascii="宋体" w:hAnsi="宋体" w:eastAsia="宋体" w:cs="宋体"/>
                <w:bCs/>
                <w:color w:val="auto"/>
                <w:kern w:val="2"/>
                <w:sz w:val="21"/>
                <w:szCs w:val="20"/>
                <w:highlight w:val="none"/>
                <w:lang w:val="en-US" w:eastAsia="zh-CN" w:bidi="ar-SA"/>
              </w:rPr>
              <w:t>▲14.1.6.3支持智能化自动批量读取，智能柜≥600个标签扫描准确率≥99.99%；</w:t>
            </w:r>
            <w:r>
              <w:rPr>
                <w:rFonts w:hint="eastAsia" w:ascii="宋体" w:hAnsi="宋体" w:eastAsia="宋体" w:cs="宋体"/>
                <w:b/>
                <w:bCs w:val="0"/>
                <w:color w:val="FF0000"/>
                <w:kern w:val="2"/>
                <w:sz w:val="21"/>
                <w:szCs w:val="20"/>
                <w:highlight w:val="none"/>
                <w:lang w:val="en-US" w:eastAsia="zh-CN" w:bidi="ar-SA"/>
              </w:rPr>
              <w:t>（需提供第三方检测报告）</w:t>
            </w:r>
          </w:p>
        </w:tc>
        <w:tc>
          <w:tcPr>
            <w:tcW w:w="3378" w:type="dxa"/>
            <w:vAlign w:val="center"/>
          </w:tcPr>
          <w:p w14:paraId="0A237DB7">
            <w:pPr>
              <w:rPr>
                <w:rFonts w:asciiTheme="minorEastAsia" w:hAnsiTheme="minorEastAsia" w:eastAsiaTheme="minorEastAsia"/>
                <w:szCs w:val="21"/>
              </w:rPr>
            </w:pPr>
          </w:p>
        </w:tc>
        <w:tc>
          <w:tcPr>
            <w:tcW w:w="1768" w:type="dxa"/>
            <w:vAlign w:val="center"/>
          </w:tcPr>
          <w:p w14:paraId="1A96881E">
            <w:pPr>
              <w:rPr>
                <w:rFonts w:asciiTheme="minorEastAsia" w:hAnsiTheme="minorEastAsia" w:eastAsiaTheme="minorEastAsia"/>
                <w:szCs w:val="21"/>
              </w:rPr>
            </w:pPr>
          </w:p>
        </w:tc>
        <w:tc>
          <w:tcPr>
            <w:tcW w:w="1409" w:type="dxa"/>
            <w:vAlign w:val="center"/>
          </w:tcPr>
          <w:p w14:paraId="6225A011">
            <w:pPr>
              <w:rPr>
                <w:rFonts w:asciiTheme="minorEastAsia" w:hAnsiTheme="minorEastAsia" w:eastAsiaTheme="minorEastAsia"/>
                <w:szCs w:val="21"/>
              </w:rPr>
            </w:pPr>
          </w:p>
        </w:tc>
      </w:tr>
      <w:tr w14:paraId="6B0BED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01CAE30C">
            <w:pPr>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w:t>
            </w:r>
          </w:p>
        </w:tc>
        <w:tc>
          <w:tcPr>
            <w:tcW w:w="3378" w:type="dxa"/>
            <w:vAlign w:val="center"/>
          </w:tcPr>
          <w:p w14:paraId="500CDF9C">
            <w:pPr>
              <w:rPr>
                <w:rFonts w:asciiTheme="minorEastAsia" w:hAnsiTheme="minorEastAsia" w:eastAsiaTheme="minorEastAsia"/>
                <w:szCs w:val="21"/>
              </w:rPr>
            </w:pPr>
            <w:r>
              <w:rPr>
                <w:rFonts w:hint="eastAsia" w:ascii="宋体" w:hAnsi="宋体" w:eastAsia="宋体" w:cs="宋体"/>
                <w:bCs/>
                <w:color w:val="auto"/>
                <w:kern w:val="2"/>
                <w:sz w:val="21"/>
                <w:szCs w:val="20"/>
                <w:highlight w:val="none"/>
                <w:lang w:val="en-US" w:eastAsia="zh-CN" w:bidi="ar-SA"/>
              </w:rPr>
              <w:t>▲14.1.6.6</w:t>
            </w:r>
            <w:r>
              <w:rPr>
                <w:rFonts w:hint="eastAsia" w:ascii="宋体" w:hAnsi="宋体" w:cs="宋体"/>
                <w:bCs/>
                <w:color w:val="auto"/>
                <w:kern w:val="2"/>
                <w:sz w:val="21"/>
                <w:szCs w:val="20"/>
                <w:highlight w:val="none"/>
                <w:lang w:val="en-US" w:eastAsia="zh-CN" w:bidi="ar-SA"/>
              </w:rPr>
              <w:t xml:space="preserve"> </w:t>
            </w:r>
            <w:r>
              <w:rPr>
                <w:rFonts w:hint="eastAsia" w:ascii="宋体" w:hAnsi="宋体" w:eastAsia="宋体" w:cs="宋体"/>
                <w:bCs/>
                <w:color w:val="auto"/>
                <w:kern w:val="2"/>
                <w:sz w:val="21"/>
                <w:szCs w:val="20"/>
                <w:highlight w:val="none"/>
                <w:lang w:val="en-US" w:eastAsia="zh-CN" w:bidi="ar-SA"/>
              </w:rPr>
              <w:t>支持人员权限安全管理，支持指纹/指静脉识别、RFID 刷卡器、密码、人脸识别；</w:t>
            </w:r>
            <w:r>
              <w:rPr>
                <w:rFonts w:hint="eastAsia" w:ascii="宋体" w:hAnsi="宋体" w:eastAsia="宋体" w:cs="宋体"/>
                <w:b/>
                <w:bCs w:val="0"/>
                <w:color w:val="FF0000"/>
                <w:kern w:val="2"/>
                <w:sz w:val="21"/>
                <w:szCs w:val="20"/>
                <w:highlight w:val="none"/>
                <w:lang w:val="en-US" w:eastAsia="zh-CN" w:bidi="ar-SA"/>
              </w:rPr>
              <w:t>（需提供产品彩页或其它证明材料）</w:t>
            </w:r>
          </w:p>
        </w:tc>
        <w:tc>
          <w:tcPr>
            <w:tcW w:w="3378" w:type="dxa"/>
            <w:vAlign w:val="center"/>
          </w:tcPr>
          <w:p w14:paraId="62ECDE09">
            <w:pPr>
              <w:rPr>
                <w:rFonts w:asciiTheme="minorEastAsia" w:hAnsiTheme="minorEastAsia" w:eastAsiaTheme="minorEastAsia"/>
                <w:szCs w:val="21"/>
              </w:rPr>
            </w:pPr>
          </w:p>
        </w:tc>
        <w:tc>
          <w:tcPr>
            <w:tcW w:w="1768" w:type="dxa"/>
            <w:vAlign w:val="center"/>
          </w:tcPr>
          <w:p w14:paraId="0AE12B6B">
            <w:pPr>
              <w:rPr>
                <w:rFonts w:asciiTheme="minorEastAsia" w:hAnsiTheme="minorEastAsia" w:eastAsiaTheme="minorEastAsia"/>
                <w:szCs w:val="21"/>
              </w:rPr>
            </w:pPr>
          </w:p>
        </w:tc>
        <w:tc>
          <w:tcPr>
            <w:tcW w:w="1409" w:type="dxa"/>
            <w:vAlign w:val="center"/>
          </w:tcPr>
          <w:p w14:paraId="2BC25823">
            <w:pPr>
              <w:rPr>
                <w:rFonts w:asciiTheme="minorEastAsia" w:hAnsiTheme="minorEastAsia" w:eastAsiaTheme="minorEastAsia"/>
                <w:szCs w:val="21"/>
              </w:rPr>
            </w:pPr>
          </w:p>
        </w:tc>
      </w:tr>
      <w:tr w14:paraId="6DF70E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569D2455">
            <w:pPr>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w:t>
            </w:r>
          </w:p>
        </w:tc>
        <w:tc>
          <w:tcPr>
            <w:tcW w:w="3378" w:type="dxa"/>
            <w:vAlign w:val="center"/>
          </w:tcPr>
          <w:p w14:paraId="7A26E1FA">
            <w:pPr>
              <w:rPr>
                <w:rFonts w:asciiTheme="minorEastAsia" w:hAnsiTheme="minorEastAsia" w:eastAsiaTheme="minorEastAsia"/>
                <w:szCs w:val="21"/>
              </w:rPr>
            </w:pPr>
            <w:r>
              <w:rPr>
                <w:rFonts w:hint="eastAsia" w:ascii="宋体" w:hAnsi="宋体" w:eastAsia="宋体" w:cs="宋体"/>
                <w:bCs/>
                <w:color w:val="auto"/>
                <w:kern w:val="2"/>
                <w:sz w:val="21"/>
                <w:szCs w:val="20"/>
                <w:highlight w:val="none"/>
                <w:lang w:val="en-US" w:eastAsia="zh-CN" w:bidi="ar-SA"/>
              </w:rPr>
              <w:t>▲14.1.6.9 RFID识别速度为600个标签用时≤3秒；</w:t>
            </w:r>
            <w:r>
              <w:rPr>
                <w:rFonts w:hint="eastAsia" w:ascii="宋体" w:hAnsi="宋体" w:eastAsia="宋体" w:cs="宋体"/>
                <w:b/>
                <w:bCs w:val="0"/>
                <w:color w:val="FF0000"/>
                <w:kern w:val="2"/>
                <w:sz w:val="21"/>
                <w:szCs w:val="20"/>
                <w:highlight w:val="none"/>
                <w:lang w:val="en-US" w:eastAsia="zh-CN" w:bidi="ar-SA"/>
              </w:rPr>
              <w:t>（需提供第三方检测报告）</w:t>
            </w:r>
          </w:p>
        </w:tc>
        <w:tc>
          <w:tcPr>
            <w:tcW w:w="3378" w:type="dxa"/>
            <w:vAlign w:val="center"/>
          </w:tcPr>
          <w:p w14:paraId="07756F95">
            <w:pPr>
              <w:rPr>
                <w:rFonts w:asciiTheme="minorEastAsia" w:hAnsiTheme="minorEastAsia" w:eastAsiaTheme="minorEastAsia"/>
                <w:szCs w:val="21"/>
              </w:rPr>
            </w:pPr>
          </w:p>
        </w:tc>
        <w:tc>
          <w:tcPr>
            <w:tcW w:w="1768" w:type="dxa"/>
            <w:vAlign w:val="center"/>
          </w:tcPr>
          <w:p w14:paraId="5FEC1A3E">
            <w:pPr>
              <w:rPr>
                <w:rFonts w:asciiTheme="minorEastAsia" w:hAnsiTheme="minorEastAsia" w:eastAsiaTheme="minorEastAsia"/>
                <w:szCs w:val="21"/>
              </w:rPr>
            </w:pPr>
          </w:p>
        </w:tc>
        <w:tc>
          <w:tcPr>
            <w:tcW w:w="1409" w:type="dxa"/>
            <w:vAlign w:val="center"/>
          </w:tcPr>
          <w:p w14:paraId="0643E05A">
            <w:pPr>
              <w:rPr>
                <w:rFonts w:asciiTheme="minorEastAsia" w:hAnsiTheme="minorEastAsia" w:eastAsiaTheme="minorEastAsia"/>
                <w:szCs w:val="21"/>
              </w:rPr>
            </w:pPr>
          </w:p>
        </w:tc>
      </w:tr>
      <w:tr w14:paraId="034539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3191C37A">
            <w:pPr>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w:t>
            </w:r>
          </w:p>
        </w:tc>
        <w:tc>
          <w:tcPr>
            <w:tcW w:w="3378" w:type="dxa"/>
            <w:vAlign w:val="center"/>
          </w:tcPr>
          <w:p w14:paraId="0CB4FAC9">
            <w:pPr>
              <w:pStyle w:val="21"/>
              <w:spacing w:line="240" w:lineRule="auto"/>
              <w:rPr>
                <w:rFonts w:asciiTheme="minorEastAsia" w:hAnsiTheme="minorEastAsia" w:eastAsiaTheme="minorEastAsia"/>
                <w:szCs w:val="21"/>
              </w:rPr>
            </w:pPr>
            <w:r>
              <w:rPr>
                <w:rFonts w:hint="eastAsia" w:ascii="宋体" w:hAnsi="宋体" w:eastAsia="宋体" w:cs="宋体"/>
                <w:bCs/>
                <w:color w:val="auto"/>
                <w:kern w:val="2"/>
                <w:sz w:val="21"/>
                <w:szCs w:val="20"/>
                <w:highlight w:val="none"/>
                <w:lang w:val="en-US" w:eastAsia="zh-CN" w:bidi="ar-SA"/>
              </w:rPr>
              <w:t>▲14.2在现有科室库的基础上进行改造，满足科室现有场地的安装及承重。新设科室，按医院需求配置相关设施，其他未尽事宜，按医院要求落实。</w:t>
            </w:r>
            <w:r>
              <w:rPr>
                <w:rFonts w:hint="eastAsia" w:ascii="宋体" w:hAnsi="宋体" w:eastAsia="宋体" w:cs="宋体"/>
                <w:b/>
                <w:bCs w:val="0"/>
                <w:color w:val="FF0000"/>
                <w:kern w:val="2"/>
                <w:sz w:val="21"/>
                <w:szCs w:val="20"/>
                <w:highlight w:val="none"/>
                <w:lang w:val="en-US" w:eastAsia="zh-CN" w:bidi="ar-SA"/>
              </w:rPr>
              <w:t>（需提供承诺函）</w:t>
            </w:r>
          </w:p>
        </w:tc>
        <w:tc>
          <w:tcPr>
            <w:tcW w:w="3378" w:type="dxa"/>
            <w:vAlign w:val="center"/>
          </w:tcPr>
          <w:p w14:paraId="1645AF2E">
            <w:pPr>
              <w:rPr>
                <w:rFonts w:asciiTheme="minorEastAsia" w:hAnsiTheme="minorEastAsia" w:eastAsiaTheme="minorEastAsia"/>
                <w:szCs w:val="21"/>
              </w:rPr>
            </w:pPr>
          </w:p>
        </w:tc>
        <w:tc>
          <w:tcPr>
            <w:tcW w:w="1768" w:type="dxa"/>
            <w:vAlign w:val="center"/>
          </w:tcPr>
          <w:p w14:paraId="47DE3950">
            <w:pPr>
              <w:rPr>
                <w:rFonts w:asciiTheme="minorEastAsia" w:hAnsiTheme="minorEastAsia" w:eastAsiaTheme="minorEastAsia"/>
                <w:szCs w:val="21"/>
              </w:rPr>
            </w:pPr>
          </w:p>
        </w:tc>
        <w:tc>
          <w:tcPr>
            <w:tcW w:w="1409" w:type="dxa"/>
            <w:vAlign w:val="center"/>
          </w:tcPr>
          <w:p w14:paraId="30F40EDF">
            <w:pPr>
              <w:rPr>
                <w:rFonts w:asciiTheme="minorEastAsia" w:hAnsiTheme="minorEastAsia" w:eastAsiaTheme="minorEastAsia"/>
                <w:szCs w:val="21"/>
              </w:rPr>
            </w:pPr>
          </w:p>
        </w:tc>
      </w:tr>
      <w:tr w14:paraId="5235C0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296E9A62">
            <w:pPr>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w:t>
            </w:r>
          </w:p>
        </w:tc>
        <w:tc>
          <w:tcPr>
            <w:tcW w:w="3378" w:type="dxa"/>
            <w:vAlign w:val="center"/>
          </w:tcPr>
          <w:p w14:paraId="0970C499">
            <w:pPr>
              <w:pStyle w:val="21"/>
              <w:spacing w:line="240" w:lineRule="auto"/>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 xml:space="preserve">▲15.1供应采购协同商务管理平台 </w:t>
            </w:r>
          </w:p>
          <w:p w14:paraId="675AB723">
            <w:pPr>
              <w:pStyle w:val="21"/>
              <w:spacing w:line="240" w:lineRule="auto"/>
              <w:rPr>
                <w:rFonts w:asciiTheme="minorEastAsia" w:hAnsiTheme="minorEastAsia" w:eastAsiaTheme="minorEastAsia"/>
                <w:szCs w:val="21"/>
              </w:rPr>
            </w:pPr>
            <w:r>
              <w:rPr>
                <w:rFonts w:hint="eastAsia" w:ascii="宋体" w:hAnsi="宋体" w:eastAsia="宋体" w:cs="宋体"/>
                <w:bCs/>
                <w:color w:val="auto"/>
                <w:kern w:val="2"/>
                <w:sz w:val="21"/>
                <w:szCs w:val="20"/>
                <w:highlight w:val="none"/>
                <w:lang w:val="en-US" w:eastAsia="zh-CN" w:bidi="ar-SA"/>
              </w:rPr>
              <w:t>实现院内物资采购计划的自动推送和供应商配送单制作，通过标准化接口向院内 SPD 端、智能硬件设备端，提供标准信息数据，通过数据脱敏，确保信息安全，保证院外供应商数据及院内业务信息数据统一规范标准化，隔离外部可能出现的信息攻击，达到院内外信息互通统一管理。</w:t>
            </w:r>
            <w:r>
              <w:rPr>
                <w:rFonts w:hint="eastAsia" w:hAnsi="宋体" w:eastAsia="宋体" w:cs="宋体"/>
                <w:b/>
                <w:bCs w:val="0"/>
                <w:color w:val="FF0000"/>
                <w:kern w:val="2"/>
                <w:sz w:val="21"/>
                <w:szCs w:val="20"/>
                <w:highlight w:val="none"/>
                <w:lang w:val="en-US" w:eastAsia="zh-CN" w:bidi="ar-SA"/>
              </w:rPr>
              <w:t>需</w:t>
            </w:r>
            <w:r>
              <w:rPr>
                <w:rFonts w:hint="eastAsia" w:ascii="宋体" w:hAnsi="宋体" w:eastAsia="宋体" w:cs="宋体"/>
                <w:b/>
                <w:bCs w:val="0"/>
                <w:color w:val="FF0000"/>
                <w:kern w:val="2"/>
                <w:sz w:val="21"/>
                <w:szCs w:val="20"/>
                <w:highlight w:val="none"/>
                <w:lang w:val="en-US" w:eastAsia="zh-CN" w:bidi="ar-SA"/>
              </w:rPr>
              <w:t>满足本</w:t>
            </w:r>
            <w:r>
              <w:rPr>
                <w:rFonts w:hint="eastAsia" w:hAnsi="宋体" w:eastAsia="宋体" w:cs="宋体"/>
                <w:b/>
                <w:bCs w:val="0"/>
                <w:color w:val="FF0000"/>
                <w:kern w:val="2"/>
                <w:sz w:val="21"/>
                <w:szCs w:val="20"/>
                <w:highlight w:val="none"/>
                <w:lang w:val="en-US" w:eastAsia="zh-CN" w:bidi="ar-SA"/>
              </w:rPr>
              <w:t>条款所有</w:t>
            </w:r>
            <w:r>
              <w:rPr>
                <w:rFonts w:hint="eastAsia" w:ascii="宋体" w:hAnsi="宋体" w:eastAsia="宋体" w:cs="宋体"/>
                <w:b/>
                <w:bCs w:val="0"/>
                <w:color w:val="FF0000"/>
                <w:kern w:val="2"/>
                <w:sz w:val="21"/>
                <w:szCs w:val="20"/>
                <w:highlight w:val="none"/>
                <w:lang w:val="zh-CN" w:eastAsia="zh-CN" w:bidi="ar-SA"/>
              </w:rPr>
              <w:t>子功能</w:t>
            </w:r>
            <w:r>
              <w:rPr>
                <w:rFonts w:hint="eastAsia" w:hAnsi="宋体" w:eastAsia="宋体" w:cs="宋体"/>
                <w:b/>
                <w:bCs w:val="0"/>
                <w:color w:val="FF0000"/>
                <w:kern w:val="2"/>
                <w:sz w:val="21"/>
                <w:szCs w:val="20"/>
                <w:highlight w:val="none"/>
                <w:lang w:val="zh-CN" w:eastAsia="zh-CN" w:bidi="ar-SA"/>
              </w:rPr>
              <w:t>。</w:t>
            </w:r>
          </w:p>
        </w:tc>
        <w:tc>
          <w:tcPr>
            <w:tcW w:w="3378" w:type="dxa"/>
            <w:vAlign w:val="center"/>
          </w:tcPr>
          <w:p w14:paraId="7299676C">
            <w:pPr>
              <w:rPr>
                <w:rFonts w:asciiTheme="minorEastAsia" w:hAnsiTheme="minorEastAsia" w:eastAsiaTheme="minorEastAsia"/>
                <w:szCs w:val="21"/>
              </w:rPr>
            </w:pPr>
          </w:p>
        </w:tc>
        <w:tc>
          <w:tcPr>
            <w:tcW w:w="1768" w:type="dxa"/>
            <w:vAlign w:val="center"/>
          </w:tcPr>
          <w:p w14:paraId="5915556C">
            <w:pPr>
              <w:rPr>
                <w:rFonts w:asciiTheme="minorEastAsia" w:hAnsiTheme="minorEastAsia" w:eastAsiaTheme="minorEastAsia"/>
                <w:szCs w:val="21"/>
              </w:rPr>
            </w:pPr>
          </w:p>
        </w:tc>
        <w:tc>
          <w:tcPr>
            <w:tcW w:w="1409" w:type="dxa"/>
            <w:vAlign w:val="center"/>
          </w:tcPr>
          <w:p w14:paraId="71D3A2C4">
            <w:pPr>
              <w:rPr>
                <w:rFonts w:asciiTheme="minorEastAsia" w:hAnsiTheme="minorEastAsia" w:eastAsiaTheme="minorEastAsia"/>
                <w:szCs w:val="21"/>
              </w:rPr>
            </w:pPr>
          </w:p>
        </w:tc>
      </w:tr>
      <w:tr w14:paraId="666F77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5E923F67">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w:t>
            </w:r>
          </w:p>
        </w:tc>
        <w:tc>
          <w:tcPr>
            <w:tcW w:w="3378" w:type="dxa"/>
            <w:vAlign w:val="center"/>
          </w:tcPr>
          <w:p w14:paraId="5693E870">
            <w:pPr>
              <w:pStyle w:val="21"/>
              <w:spacing w:line="240" w:lineRule="auto"/>
              <w:rPr>
                <w:rFonts w:asciiTheme="minorEastAsia" w:hAnsiTheme="minorEastAsia" w:eastAsiaTheme="minorEastAsia"/>
                <w:szCs w:val="21"/>
              </w:rPr>
            </w:pPr>
            <w:r>
              <w:rPr>
                <w:rFonts w:hint="eastAsia" w:ascii="宋体" w:hAnsi="宋体" w:eastAsia="宋体" w:cs="宋体"/>
                <w:bCs/>
                <w:color w:val="auto"/>
                <w:kern w:val="2"/>
                <w:sz w:val="21"/>
                <w:szCs w:val="20"/>
                <w:highlight w:val="none"/>
                <w:lang w:val="en-US" w:eastAsia="zh-CN" w:bidi="ar-SA"/>
              </w:rPr>
              <w:t>▲15.2 院内物流精益化管理平台，中心库实现集中化运营服务，包括协助医用物资品规品种的信息化准入标准建设，医用物资院内统一赋码，常备物资统一仓储，以及院内物资配送等工作内容；为临床科室提供二级库精细化管理，包括二级库补货、拣选、库存、效期预警、盘点、消耗结算等工作。</w:t>
            </w:r>
            <w:r>
              <w:rPr>
                <w:rFonts w:hint="eastAsia" w:ascii="宋体" w:hAnsi="宋体" w:eastAsia="宋体" w:cs="宋体"/>
                <w:b/>
                <w:bCs w:val="0"/>
                <w:color w:val="FF0000"/>
                <w:kern w:val="2"/>
                <w:sz w:val="21"/>
                <w:szCs w:val="20"/>
                <w:highlight w:val="none"/>
                <w:lang w:val="en-US" w:eastAsia="zh-CN" w:bidi="ar-SA"/>
              </w:rPr>
              <w:t>需满足本条款所有</w:t>
            </w:r>
            <w:r>
              <w:rPr>
                <w:rFonts w:hint="eastAsia" w:ascii="宋体" w:hAnsi="宋体" w:eastAsia="宋体" w:cs="宋体"/>
                <w:b/>
                <w:bCs w:val="0"/>
                <w:color w:val="FF0000"/>
                <w:kern w:val="2"/>
                <w:sz w:val="21"/>
                <w:szCs w:val="20"/>
                <w:highlight w:val="none"/>
                <w:lang w:val="zh-CN" w:eastAsia="zh-CN" w:bidi="ar-SA"/>
              </w:rPr>
              <w:t>子功能（</w:t>
            </w:r>
            <w:r>
              <w:rPr>
                <w:rFonts w:hint="eastAsia" w:ascii="宋体" w:hAnsi="宋体" w:eastAsia="宋体" w:cs="宋体"/>
                <w:b/>
                <w:bCs w:val="0"/>
                <w:color w:val="FF0000"/>
                <w:kern w:val="2"/>
                <w:sz w:val="21"/>
                <w:szCs w:val="20"/>
                <w:highlight w:val="none"/>
                <w:lang w:val="en-US" w:eastAsia="zh-CN" w:bidi="ar-SA"/>
              </w:rPr>
              <w:t>基础模块、中心库模块、科室库管理、手术室管理模块</w:t>
            </w:r>
            <w:r>
              <w:rPr>
                <w:rFonts w:hint="eastAsia" w:ascii="宋体" w:hAnsi="宋体" w:eastAsia="宋体" w:cs="宋体"/>
                <w:b/>
                <w:bCs w:val="0"/>
                <w:color w:val="FF0000"/>
                <w:kern w:val="2"/>
                <w:sz w:val="21"/>
                <w:szCs w:val="20"/>
                <w:highlight w:val="none"/>
                <w:lang w:val="zh-CN" w:eastAsia="zh-CN" w:bidi="ar-SA"/>
              </w:rPr>
              <w:t>）。</w:t>
            </w:r>
          </w:p>
        </w:tc>
        <w:tc>
          <w:tcPr>
            <w:tcW w:w="3378" w:type="dxa"/>
            <w:vAlign w:val="center"/>
          </w:tcPr>
          <w:p w14:paraId="593B39A6">
            <w:pPr>
              <w:rPr>
                <w:rFonts w:asciiTheme="minorEastAsia" w:hAnsiTheme="minorEastAsia" w:eastAsiaTheme="minorEastAsia"/>
                <w:szCs w:val="21"/>
              </w:rPr>
            </w:pPr>
          </w:p>
        </w:tc>
        <w:tc>
          <w:tcPr>
            <w:tcW w:w="1768" w:type="dxa"/>
            <w:vAlign w:val="center"/>
          </w:tcPr>
          <w:p w14:paraId="7EAF350F">
            <w:pPr>
              <w:rPr>
                <w:rFonts w:asciiTheme="minorEastAsia" w:hAnsiTheme="minorEastAsia" w:eastAsiaTheme="minorEastAsia"/>
                <w:szCs w:val="21"/>
              </w:rPr>
            </w:pPr>
          </w:p>
        </w:tc>
        <w:tc>
          <w:tcPr>
            <w:tcW w:w="1409" w:type="dxa"/>
            <w:vAlign w:val="center"/>
          </w:tcPr>
          <w:p w14:paraId="509E5AC2">
            <w:pPr>
              <w:rPr>
                <w:rFonts w:asciiTheme="minorEastAsia" w:hAnsiTheme="minorEastAsia" w:eastAsiaTheme="minorEastAsia"/>
                <w:szCs w:val="21"/>
              </w:rPr>
            </w:pPr>
          </w:p>
        </w:tc>
      </w:tr>
      <w:tr w14:paraId="44B829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779" w:type="dxa"/>
            <w:gridSpan w:val="5"/>
            <w:vAlign w:val="center"/>
          </w:tcPr>
          <w:p w14:paraId="6C48ECFA">
            <w:pPr>
              <w:jc w:val="center"/>
              <w:rPr>
                <w:rFonts w:asciiTheme="minorEastAsia" w:hAnsiTheme="minorEastAsia" w:eastAsiaTheme="minorEastAsia"/>
                <w:szCs w:val="21"/>
              </w:rPr>
            </w:pPr>
            <w:r>
              <w:rPr>
                <w:rFonts w:hint="eastAsia" w:asciiTheme="minorEastAsia" w:hAnsiTheme="minorEastAsia" w:eastAsiaTheme="minorEastAsia"/>
                <w:szCs w:val="21"/>
              </w:rPr>
              <w:t>（三）其他条款</w:t>
            </w:r>
          </w:p>
        </w:tc>
      </w:tr>
      <w:tr w14:paraId="60BA95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68176FAF">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3378" w:type="dxa"/>
            <w:vAlign w:val="center"/>
          </w:tcPr>
          <w:p w14:paraId="66246E6E">
            <w:pPr>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1、</w:t>
            </w:r>
            <w:r>
              <w:rPr>
                <w:rFonts w:hint="eastAsia" w:ascii="宋体" w:hAnsi="宋体" w:cs="宋体"/>
                <w:bCs/>
                <w:color w:val="auto"/>
                <w:kern w:val="2"/>
                <w:sz w:val="21"/>
                <w:szCs w:val="20"/>
                <w:highlight w:val="none"/>
                <w:lang w:val="en-US" w:eastAsia="zh-CN" w:bidi="ar-SA"/>
              </w:rPr>
              <w:t>中选方</w:t>
            </w:r>
            <w:r>
              <w:rPr>
                <w:rFonts w:hint="eastAsia" w:ascii="宋体" w:hAnsi="宋体" w:eastAsia="宋体" w:cs="宋体"/>
                <w:bCs/>
                <w:color w:val="auto"/>
                <w:kern w:val="2"/>
                <w:sz w:val="21"/>
                <w:szCs w:val="20"/>
                <w:highlight w:val="none"/>
                <w:lang w:val="en-US" w:eastAsia="zh-CN" w:bidi="ar-SA"/>
              </w:rPr>
              <w:t xml:space="preserve">要为医院构建一套医用物资智能化管理模式，有具体的管理办法、制度、标准流程，能够形成高效运营的管理体系。 </w:t>
            </w:r>
          </w:p>
        </w:tc>
        <w:tc>
          <w:tcPr>
            <w:tcW w:w="3378" w:type="dxa"/>
            <w:vAlign w:val="center"/>
          </w:tcPr>
          <w:p w14:paraId="1EAD5458">
            <w:pPr>
              <w:rPr>
                <w:rFonts w:asciiTheme="minorEastAsia" w:hAnsiTheme="minorEastAsia" w:eastAsiaTheme="minorEastAsia"/>
                <w:szCs w:val="21"/>
              </w:rPr>
            </w:pPr>
          </w:p>
        </w:tc>
        <w:tc>
          <w:tcPr>
            <w:tcW w:w="1768" w:type="dxa"/>
            <w:vAlign w:val="center"/>
          </w:tcPr>
          <w:p w14:paraId="7A897A66">
            <w:pPr>
              <w:rPr>
                <w:rFonts w:asciiTheme="minorEastAsia" w:hAnsiTheme="minorEastAsia" w:eastAsiaTheme="minorEastAsia"/>
                <w:szCs w:val="21"/>
              </w:rPr>
            </w:pPr>
          </w:p>
        </w:tc>
        <w:tc>
          <w:tcPr>
            <w:tcW w:w="1409" w:type="dxa"/>
            <w:vAlign w:val="center"/>
          </w:tcPr>
          <w:p w14:paraId="0729915F">
            <w:pPr>
              <w:rPr>
                <w:rFonts w:asciiTheme="minorEastAsia" w:hAnsiTheme="minorEastAsia" w:eastAsiaTheme="minorEastAsia"/>
                <w:szCs w:val="21"/>
              </w:rPr>
            </w:pPr>
          </w:p>
        </w:tc>
      </w:tr>
      <w:tr w14:paraId="448F2E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46" w:type="dxa"/>
            <w:vAlign w:val="center"/>
          </w:tcPr>
          <w:p w14:paraId="711173FF">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3378" w:type="dxa"/>
            <w:vAlign w:val="center"/>
          </w:tcPr>
          <w:p w14:paraId="0319F27E">
            <w:pPr>
              <w:pStyle w:val="21"/>
              <w:spacing w:line="240" w:lineRule="auto"/>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2、</w:t>
            </w:r>
            <w:r>
              <w:rPr>
                <w:rFonts w:hint="eastAsia" w:hAnsi="宋体" w:eastAsia="宋体" w:cs="宋体"/>
                <w:bCs/>
                <w:color w:val="auto"/>
                <w:kern w:val="2"/>
                <w:sz w:val="21"/>
                <w:szCs w:val="20"/>
                <w:highlight w:val="none"/>
                <w:lang w:val="en-US" w:eastAsia="zh-CN" w:bidi="ar-SA"/>
              </w:rPr>
              <w:t>中选方</w:t>
            </w:r>
            <w:r>
              <w:rPr>
                <w:rFonts w:hint="eastAsia" w:ascii="宋体" w:hAnsi="宋体" w:eastAsia="宋体" w:cs="宋体"/>
                <w:bCs/>
                <w:color w:val="auto"/>
                <w:kern w:val="2"/>
                <w:sz w:val="21"/>
                <w:szCs w:val="20"/>
                <w:highlight w:val="none"/>
                <w:lang w:val="en-US" w:eastAsia="zh-CN" w:bidi="ar-SA"/>
              </w:rPr>
              <w:t xml:space="preserve">要为医院搭建一套满足医院实际管理需求的医用物资智能化物流信息化管理平台，该平台能够与医院的 HIS 等系统实现无缝连接。 </w:t>
            </w:r>
          </w:p>
        </w:tc>
        <w:tc>
          <w:tcPr>
            <w:tcW w:w="3378" w:type="dxa"/>
            <w:vAlign w:val="center"/>
          </w:tcPr>
          <w:p w14:paraId="0860E128">
            <w:pPr>
              <w:rPr>
                <w:rFonts w:asciiTheme="minorEastAsia" w:hAnsiTheme="minorEastAsia" w:eastAsiaTheme="minorEastAsia"/>
                <w:szCs w:val="21"/>
              </w:rPr>
            </w:pPr>
          </w:p>
        </w:tc>
        <w:tc>
          <w:tcPr>
            <w:tcW w:w="1768" w:type="dxa"/>
            <w:vAlign w:val="center"/>
          </w:tcPr>
          <w:p w14:paraId="07AA60B3">
            <w:pPr>
              <w:rPr>
                <w:rFonts w:asciiTheme="minorEastAsia" w:hAnsiTheme="minorEastAsia" w:eastAsiaTheme="minorEastAsia"/>
                <w:szCs w:val="21"/>
              </w:rPr>
            </w:pPr>
          </w:p>
        </w:tc>
        <w:tc>
          <w:tcPr>
            <w:tcW w:w="1409" w:type="dxa"/>
            <w:vAlign w:val="center"/>
          </w:tcPr>
          <w:p w14:paraId="2E4C6A1A">
            <w:pPr>
              <w:rPr>
                <w:rFonts w:asciiTheme="minorEastAsia" w:hAnsiTheme="minorEastAsia" w:eastAsiaTheme="minorEastAsia"/>
                <w:szCs w:val="21"/>
              </w:rPr>
            </w:pPr>
          </w:p>
        </w:tc>
      </w:tr>
      <w:tr w14:paraId="3646D1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43F11FE9">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3</w:t>
            </w:r>
          </w:p>
        </w:tc>
        <w:tc>
          <w:tcPr>
            <w:tcW w:w="3378" w:type="dxa"/>
            <w:vAlign w:val="center"/>
          </w:tcPr>
          <w:p w14:paraId="6EBACCC6">
            <w:pPr>
              <w:pStyle w:val="21"/>
              <w:spacing w:line="240" w:lineRule="auto"/>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3、</w:t>
            </w:r>
            <w:r>
              <w:rPr>
                <w:rFonts w:hint="eastAsia" w:hAnsi="宋体" w:eastAsia="宋体" w:cs="宋体"/>
                <w:bCs/>
                <w:color w:val="auto"/>
                <w:kern w:val="2"/>
                <w:sz w:val="21"/>
                <w:szCs w:val="20"/>
                <w:highlight w:val="none"/>
                <w:lang w:val="en-US" w:eastAsia="zh-CN" w:bidi="ar-SA"/>
              </w:rPr>
              <w:t>中选方</w:t>
            </w:r>
            <w:r>
              <w:rPr>
                <w:rFonts w:hint="eastAsia" w:ascii="宋体" w:hAnsi="宋体" w:eastAsia="宋体" w:cs="宋体"/>
                <w:bCs/>
                <w:color w:val="auto"/>
                <w:kern w:val="2"/>
                <w:sz w:val="21"/>
                <w:szCs w:val="20"/>
                <w:highlight w:val="none"/>
                <w:lang w:val="en-US" w:eastAsia="zh-CN" w:bidi="ar-SA"/>
              </w:rPr>
              <w:t xml:space="preserve">要承担医院中心库改造费用和运营费用，配置相应的信息及物流设施设备，使其能够满足智能化模式的有效运行（具备电脑、打印机、手持 PDA 等系统终端设备及配套定制类货架、库内拣货车、周转箱、下送箱等物流作业工具及相应配套的消耗品如打印纸、RFID标签等）。 </w:t>
            </w:r>
          </w:p>
        </w:tc>
        <w:tc>
          <w:tcPr>
            <w:tcW w:w="3378" w:type="dxa"/>
            <w:vAlign w:val="center"/>
          </w:tcPr>
          <w:p w14:paraId="10BA46BB">
            <w:pPr>
              <w:rPr>
                <w:rFonts w:asciiTheme="minorEastAsia" w:hAnsiTheme="minorEastAsia" w:eastAsiaTheme="minorEastAsia"/>
                <w:szCs w:val="21"/>
              </w:rPr>
            </w:pPr>
          </w:p>
        </w:tc>
        <w:tc>
          <w:tcPr>
            <w:tcW w:w="1768" w:type="dxa"/>
            <w:vAlign w:val="center"/>
          </w:tcPr>
          <w:p w14:paraId="553821F0">
            <w:pPr>
              <w:rPr>
                <w:rFonts w:asciiTheme="minorEastAsia" w:hAnsiTheme="minorEastAsia" w:eastAsiaTheme="minorEastAsia"/>
                <w:szCs w:val="21"/>
              </w:rPr>
            </w:pPr>
          </w:p>
        </w:tc>
        <w:tc>
          <w:tcPr>
            <w:tcW w:w="1409" w:type="dxa"/>
            <w:vAlign w:val="center"/>
          </w:tcPr>
          <w:p w14:paraId="657AE241">
            <w:pPr>
              <w:rPr>
                <w:rFonts w:asciiTheme="minorEastAsia" w:hAnsiTheme="minorEastAsia" w:eastAsiaTheme="minorEastAsia"/>
                <w:szCs w:val="21"/>
              </w:rPr>
            </w:pPr>
          </w:p>
        </w:tc>
      </w:tr>
      <w:tr w14:paraId="7CD4FD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vAlign w:val="center"/>
          </w:tcPr>
          <w:p w14:paraId="3A3F68A3">
            <w:pPr>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4</w:t>
            </w:r>
          </w:p>
        </w:tc>
        <w:tc>
          <w:tcPr>
            <w:tcW w:w="3378" w:type="dxa"/>
            <w:vAlign w:val="center"/>
          </w:tcPr>
          <w:p w14:paraId="70F82BEF">
            <w:pPr>
              <w:pStyle w:val="21"/>
              <w:spacing w:line="240" w:lineRule="auto"/>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4、</w:t>
            </w:r>
            <w:r>
              <w:rPr>
                <w:rFonts w:hint="eastAsia" w:hAnsi="宋体" w:eastAsia="宋体" w:cs="宋体"/>
                <w:bCs/>
                <w:color w:val="auto"/>
                <w:kern w:val="2"/>
                <w:sz w:val="21"/>
                <w:szCs w:val="20"/>
                <w:highlight w:val="none"/>
                <w:lang w:val="en-US" w:eastAsia="zh-CN" w:bidi="ar-SA"/>
              </w:rPr>
              <w:t>中选方</w:t>
            </w:r>
            <w:r>
              <w:rPr>
                <w:rFonts w:hint="eastAsia" w:ascii="宋体" w:hAnsi="宋体" w:eastAsia="宋体" w:cs="宋体"/>
                <w:bCs/>
                <w:color w:val="auto"/>
                <w:kern w:val="2"/>
                <w:sz w:val="21"/>
                <w:szCs w:val="20"/>
                <w:highlight w:val="none"/>
                <w:lang w:val="en-US" w:eastAsia="zh-CN" w:bidi="ar-SA"/>
              </w:rPr>
              <w:t xml:space="preserve">要承担医院各级消耗点包括临床科室、内镜室、手术室、介入导管室（后期如有）等站点的建设费用，使其能够满足智能化模式的有效运行（根据医院要求，二级库房内要具有壁挂式扫码一体机、库位隔板、货架等）。 </w:t>
            </w:r>
          </w:p>
        </w:tc>
        <w:tc>
          <w:tcPr>
            <w:tcW w:w="3378" w:type="dxa"/>
            <w:vAlign w:val="center"/>
          </w:tcPr>
          <w:p w14:paraId="26138D6B">
            <w:pPr>
              <w:rPr>
                <w:rFonts w:asciiTheme="minorEastAsia" w:hAnsiTheme="minorEastAsia" w:eastAsiaTheme="minorEastAsia"/>
                <w:szCs w:val="21"/>
              </w:rPr>
            </w:pPr>
          </w:p>
        </w:tc>
        <w:tc>
          <w:tcPr>
            <w:tcW w:w="1768" w:type="dxa"/>
            <w:vAlign w:val="center"/>
          </w:tcPr>
          <w:p w14:paraId="21E8424E">
            <w:pPr>
              <w:rPr>
                <w:rFonts w:asciiTheme="minorEastAsia" w:hAnsiTheme="minorEastAsia" w:eastAsiaTheme="minorEastAsia"/>
                <w:szCs w:val="21"/>
              </w:rPr>
            </w:pPr>
          </w:p>
        </w:tc>
        <w:tc>
          <w:tcPr>
            <w:tcW w:w="1409" w:type="dxa"/>
            <w:vAlign w:val="center"/>
          </w:tcPr>
          <w:p w14:paraId="1FCB78CC">
            <w:pPr>
              <w:rPr>
                <w:rFonts w:asciiTheme="minorEastAsia" w:hAnsiTheme="minorEastAsia" w:eastAsiaTheme="minorEastAsia"/>
                <w:szCs w:val="21"/>
              </w:rPr>
            </w:pPr>
          </w:p>
        </w:tc>
      </w:tr>
      <w:tr w14:paraId="4F48BA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5BDD31AB">
            <w:pPr>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w:t>
            </w:r>
          </w:p>
        </w:tc>
        <w:tc>
          <w:tcPr>
            <w:tcW w:w="3378" w:type="dxa"/>
            <w:vAlign w:val="center"/>
          </w:tcPr>
          <w:p w14:paraId="7E9ABB12">
            <w:pPr>
              <w:rPr>
                <w:rFonts w:hint="eastAsia" w:ascii="宋体" w:hAnsi="宋体" w:eastAsia="宋体" w:cs="宋体"/>
                <w:bCs/>
                <w:color w:val="auto"/>
                <w:kern w:val="2"/>
                <w:sz w:val="21"/>
                <w:szCs w:val="20"/>
                <w:highlight w:val="none"/>
                <w:lang w:val="en-US" w:eastAsia="zh-CN" w:bidi="ar-SA"/>
              </w:rPr>
            </w:pPr>
            <w:r>
              <w:rPr>
                <w:rFonts w:hint="eastAsia" w:ascii="宋体" w:hAnsi="宋体" w:cs="宋体"/>
                <w:bCs/>
                <w:color w:val="auto"/>
                <w:kern w:val="2"/>
                <w:sz w:val="21"/>
                <w:szCs w:val="20"/>
                <w:highlight w:val="none"/>
                <w:lang w:val="en-US" w:eastAsia="zh-CN" w:bidi="ar-SA"/>
              </w:rPr>
              <w:t>5、</w:t>
            </w:r>
            <w:r>
              <w:rPr>
                <w:rFonts w:hint="eastAsia" w:ascii="宋体" w:hAnsi="宋体" w:eastAsia="宋体" w:cs="宋体"/>
                <w:bCs/>
                <w:color w:val="auto"/>
                <w:kern w:val="2"/>
                <w:sz w:val="21"/>
                <w:szCs w:val="20"/>
                <w:highlight w:val="none"/>
                <w:lang w:val="en-US" w:eastAsia="zh-CN" w:bidi="ar-SA"/>
              </w:rPr>
              <w:t>软件系统使用面向对象语言开发，支持二次开发，可按照</w:t>
            </w:r>
            <w:r>
              <w:rPr>
                <w:rFonts w:hint="eastAsia" w:ascii="宋体" w:hAnsi="宋体" w:cs="宋体"/>
                <w:bCs/>
                <w:color w:val="auto"/>
                <w:kern w:val="2"/>
                <w:sz w:val="21"/>
                <w:szCs w:val="20"/>
                <w:highlight w:val="none"/>
                <w:lang w:val="en-US" w:eastAsia="zh-CN" w:bidi="ar-SA"/>
              </w:rPr>
              <w:t>采购人</w:t>
            </w:r>
            <w:r>
              <w:rPr>
                <w:rFonts w:hint="eastAsia" w:ascii="宋体" w:hAnsi="宋体" w:eastAsia="宋体" w:cs="宋体"/>
                <w:bCs/>
                <w:color w:val="auto"/>
                <w:kern w:val="2"/>
                <w:sz w:val="21"/>
                <w:szCs w:val="20"/>
                <w:highlight w:val="none"/>
                <w:lang w:val="en-US" w:eastAsia="zh-CN" w:bidi="ar-SA"/>
              </w:rPr>
              <w:t>的需求进行定制开发及优化，与其他系统的接口支持 WebService、RESTfull、可界面定义接口字段及系统类型方式，支持实时和异步实现各系统间数据同步与互动，数据传输效率高，基于事物处理，保证数据一致性</w:t>
            </w:r>
            <w:r>
              <w:rPr>
                <w:rFonts w:hint="eastAsia" w:ascii="宋体" w:hAnsi="宋体" w:cs="宋体"/>
                <w:bCs/>
                <w:color w:val="auto"/>
                <w:kern w:val="2"/>
                <w:sz w:val="21"/>
                <w:szCs w:val="20"/>
                <w:highlight w:val="none"/>
                <w:lang w:val="en-US" w:eastAsia="zh-CN" w:bidi="ar-SA"/>
              </w:rPr>
              <w:t>；</w:t>
            </w:r>
          </w:p>
        </w:tc>
        <w:tc>
          <w:tcPr>
            <w:tcW w:w="3378" w:type="dxa"/>
            <w:vAlign w:val="center"/>
          </w:tcPr>
          <w:p w14:paraId="39630EB0">
            <w:pPr>
              <w:rPr>
                <w:rFonts w:asciiTheme="minorEastAsia" w:hAnsiTheme="minorEastAsia" w:eastAsiaTheme="minorEastAsia"/>
                <w:szCs w:val="21"/>
              </w:rPr>
            </w:pPr>
          </w:p>
        </w:tc>
        <w:tc>
          <w:tcPr>
            <w:tcW w:w="1768" w:type="dxa"/>
            <w:vAlign w:val="center"/>
          </w:tcPr>
          <w:p w14:paraId="4E96B64B">
            <w:pPr>
              <w:rPr>
                <w:rFonts w:asciiTheme="minorEastAsia" w:hAnsiTheme="minorEastAsia" w:eastAsiaTheme="minorEastAsia"/>
                <w:szCs w:val="21"/>
              </w:rPr>
            </w:pPr>
          </w:p>
        </w:tc>
        <w:tc>
          <w:tcPr>
            <w:tcW w:w="1409" w:type="dxa"/>
            <w:vAlign w:val="center"/>
          </w:tcPr>
          <w:p w14:paraId="19865574">
            <w:pPr>
              <w:rPr>
                <w:rFonts w:asciiTheme="minorEastAsia" w:hAnsiTheme="minorEastAsia" w:eastAsiaTheme="minorEastAsia"/>
                <w:szCs w:val="21"/>
              </w:rPr>
            </w:pPr>
          </w:p>
        </w:tc>
      </w:tr>
      <w:tr w14:paraId="3DDFF2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3B5C684A">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w:t>
            </w:r>
          </w:p>
        </w:tc>
        <w:tc>
          <w:tcPr>
            <w:tcW w:w="3378" w:type="dxa"/>
            <w:vAlign w:val="center"/>
          </w:tcPr>
          <w:p w14:paraId="22AEEF98">
            <w:pPr>
              <w:pStyle w:val="21"/>
              <w:spacing w:line="240" w:lineRule="auto"/>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5.1支持通用的 Windows、UNIX、Linux 操作系统；</w:t>
            </w:r>
          </w:p>
        </w:tc>
        <w:tc>
          <w:tcPr>
            <w:tcW w:w="3378" w:type="dxa"/>
            <w:vAlign w:val="center"/>
          </w:tcPr>
          <w:p w14:paraId="17C2E55C">
            <w:pPr>
              <w:rPr>
                <w:rFonts w:asciiTheme="minorEastAsia" w:hAnsiTheme="minorEastAsia" w:eastAsiaTheme="minorEastAsia"/>
                <w:szCs w:val="21"/>
              </w:rPr>
            </w:pPr>
          </w:p>
        </w:tc>
        <w:tc>
          <w:tcPr>
            <w:tcW w:w="1768" w:type="dxa"/>
            <w:vAlign w:val="center"/>
          </w:tcPr>
          <w:p w14:paraId="22F704E8">
            <w:pPr>
              <w:rPr>
                <w:rFonts w:asciiTheme="minorEastAsia" w:hAnsiTheme="minorEastAsia" w:eastAsiaTheme="minorEastAsia"/>
                <w:szCs w:val="21"/>
              </w:rPr>
            </w:pPr>
          </w:p>
        </w:tc>
        <w:tc>
          <w:tcPr>
            <w:tcW w:w="1409" w:type="dxa"/>
            <w:vAlign w:val="center"/>
          </w:tcPr>
          <w:p w14:paraId="78C6961C">
            <w:pPr>
              <w:rPr>
                <w:rFonts w:asciiTheme="minorEastAsia" w:hAnsiTheme="minorEastAsia" w:eastAsiaTheme="minorEastAsia"/>
                <w:szCs w:val="21"/>
              </w:rPr>
            </w:pPr>
          </w:p>
        </w:tc>
      </w:tr>
      <w:tr w14:paraId="1B2706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5A01E61D">
            <w:pPr>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w:t>
            </w:r>
          </w:p>
        </w:tc>
        <w:tc>
          <w:tcPr>
            <w:tcW w:w="3378" w:type="dxa"/>
            <w:vAlign w:val="center"/>
          </w:tcPr>
          <w:p w14:paraId="7826D441">
            <w:pPr>
              <w:pStyle w:val="21"/>
              <w:spacing w:line="240" w:lineRule="auto"/>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5.2支持 Oracle 19C版本的数据库管理软件；</w:t>
            </w:r>
          </w:p>
        </w:tc>
        <w:tc>
          <w:tcPr>
            <w:tcW w:w="3378" w:type="dxa"/>
            <w:vAlign w:val="center"/>
          </w:tcPr>
          <w:p w14:paraId="680B1662">
            <w:pPr>
              <w:rPr>
                <w:rFonts w:asciiTheme="minorEastAsia" w:hAnsiTheme="minorEastAsia" w:eastAsiaTheme="minorEastAsia"/>
                <w:szCs w:val="21"/>
              </w:rPr>
            </w:pPr>
          </w:p>
        </w:tc>
        <w:tc>
          <w:tcPr>
            <w:tcW w:w="1768" w:type="dxa"/>
            <w:vAlign w:val="center"/>
          </w:tcPr>
          <w:p w14:paraId="6D6E6574">
            <w:pPr>
              <w:rPr>
                <w:rFonts w:asciiTheme="minorEastAsia" w:hAnsiTheme="minorEastAsia" w:eastAsiaTheme="minorEastAsia"/>
                <w:szCs w:val="21"/>
              </w:rPr>
            </w:pPr>
          </w:p>
        </w:tc>
        <w:tc>
          <w:tcPr>
            <w:tcW w:w="1409" w:type="dxa"/>
            <w:vAlign w:val="center"/>
          </w:tcPr>
          <w:p w14:paraId="36A5A28A">
            <w:pPr>
              <w:rPr>
                <w:rFonts w:asciiTheme="minorEastAsia" w:hAnsiTheme="minorEastAsia" w:eastAsiaTheme="minorEastAsia"/>
                <w:szCs w:val="21"/>
              </w:rPr>
            </w:pPr>
          </w:p>
        </w:tc>
      </w:tr>
      <w:tr w14:paraId="6B5FC8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5F4DA153">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w:t>
            </w:r>
          </w:p>
        </w:tc>
        <w:tc>
          <w:tcPr>
            <w:tcW w:w="3378" w:type="dxa"/>
            <w:vAlign w:val="center"/>
          </w:tcPr>
          <w:p w14:paraId="26413A8E">
            <w:pPr>
              <w:pStyle w:val="21"/>
              <w:spacing w:line="240" w:lineRule="auto"/>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5.3支持 PDA手持终端操作，实现 PDA 手持终端扫描数据与院内物流系统数据进行实时交互；</w:t>
            </w:r>
          </w:p>
        </w:tc>
        <w:tc>
          <w:tcPr>
            <w:tcW w:w="3378" w:type="dxa"/>
            <w:vAlign w:val="center"/>
          </w:tcPr>
          <w:p w14:paraId="17E17377">
            <w:pPr>
              <w:rPr>
                <w:rFonts w:asciiTheme="minorEastAsia" w:hAnsiTheme="minorEastAsia" w:eastAsiaTheme="minorEastAsia"/>
                <w:szCs w:val="21"/>
              </w:rPr>
            </w:pPr>
          </w:p>
        </w:tc>
        <w:tc>
          <w:tcPr>
            <w:tcW w:w="1768" w:type="dxa"/>
            <w:vAlign w:val="center"/>
          </w:tcPr>
          <w:p w14:paraId="00C8DA82">
            <w:pPr>
              <w:rPr>
                <w:rFonts w:asciiTheme="minorEastAsia" w:hAnsiTheme="minorEastAsia" w:eastAsiaTheme="minorEastAsia"/>
                <w:szCs w:val="21"/>
              </w:rPr>
            </w:pPr>
          </w:p>
        </w:tc>
        <w:tc>
          <w:tcPr>
            <w:tcW w:w="1409" w:type="dxa"/>
            <w:vAlign w:val="center"/>
          </w:tcPr>
          <w:p w14:paraId="2428E8CD">
            <w:pPr>
              <w:rPr>
                <w:rFonts w:asciiTheme="minorEastAsia" w:hAnsiTheme="minorEastAsia" w:eastAsiaTheme="minorEastAsia"/>
                <w:szCs w:val="21"/>
              </w:rPr>
            </w:pPr>
          </w:p>
        </w:tc>
      </w:tr>
      <w:tr w14:paraId="6EFE9B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408990CC">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w:t>
            </w:r>
          </w:p>
        </w:tc>
        <w:tc>
          <w:tcPr>
            <w:tcW w:w="3378" w:type="dxa"/>
            <w:vAlign w:val="center"/>
          </w:tcPr>
          <w:p w14:paraId="1E4108FB">
            <w:pPr>
              <w:pStyle w:val="21"/>
              <w:spacing w:line="240" w:lineRule="auto"/>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 xml:space="preserve">5.4提供手机APP，支持供应商及医院端应用，实现移动端数据管理； </w:t>
            </w:r>
          </w:p>
        </w:tc>
        <w:tc>
          <w:tcPr>
            <w:tcW w:w="3378" w:type="dxa"/>
            <w:vAlign w:val="center"/>
          </w:tcPr>
          <w:p w14:paraId="1CDB4FDD">
            <w:pPr>
              <w:rPr>
                <w:rFonts w:asciiTheme="minorEastAsia" w:hAnsiTheme="minorEastAsia" w:eastAsiaTheme="minorEastAsia"/>
                <w:szCs w:val="21"/>
              </w:rPr>
            </w:pPr>
          </w:p>
        </w:tc>
        <w:tc>
          <w:tcPr>
            <w:tcW w:w="1768" w:type="dxa"/>
            <w:vAlign w:val="center"/>
          </w:tcPr>
          <w:p w14:paraId="5C6C6D7E">
            <w:pPr>
              <w:rPr>
                <w:rFonts w:asciiTheme="minorEastAsia" w:hAnsiTheme="minorEastAsia" w:eastAsiaTheme="minorEastAsia"/>
                <w:szCs w:val="21"/>
              </w:rPr>
            </w:pPr>
          </w:p>
        </w:tc>
        <w:tc>
          <w:tcPr>
            <w:tcW w:w="1409" w:type="dxa"/>
            <w:vAlign w:val="center"/>
          </w:tcPr>
          <w:p w14:paraId="089536BF">
            <w:pPr>
              <w:rPr>
                <w:rFonts w:asciiTheme="minorEastAsia" w:hAnsiTheme="minorEastAsia" w:eastAsiaTheme="minorEastAsia"/>
                <w:szCs w:val="21"/>
              </w:rPr>
            </w:pPr>
          </w:p>
        </w:tc>
      </w:tr>
      <w:tr w14:paraId="3CFF00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6427E6A8">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w:t>
            </w:r>
          </w:p>
        </w:tc>
        <w:tc>
          <w:tcPr>
            <w:tcW w:w="3378" w:type="dxa"/>
            <w:vAlign w:val="center"/>
          </w:tcPr>
          <w:p w14:paraId="5FE805CB">
            <w:pPr>
              <w:jc w:val="left"/>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5.5支持订单短信提醒；</w:t>
            </w:r>
          </w:p>
        </w:tc>
        <w:tc>
          <w:tcPr>
            <w:tcW w:w="3378" w:type="dxa"/>
            <w:vAlign w:val="center"/>
          </w:tcPr>
          <w:p w14:paraId="6D852FC4">
            <w:pPr>
              <w:rPr>
                <w:rFonts w:asciiTheme="minorEastAsia" w:hAnsiTheme="minorEastAsia" w:eastAsiaTheme="minorEastAsia"/>
                <w:szCs w:val="21"/>
              </w:rPr>
            </w:pPr>
          </w:p>
        </w:tc>
        <w:tc>
          <w:tcPr>
            <w:tcW w:w="1768" w:type="dxa"/>
            <w:vAlign w:val="center"/>
          </w:tcPr>
          <w:p w14:paraId="7071A103">
            <w:pPr>
              <w:rPr>
                <w:rFonts w:asciiTheme="minorEastAsia" w:hAnsiTheme="minorEastAsia" w:eastAsiaTheme="minorEastAsia"/>
                <w:szCs w:val="21"/>
              </w:rPr>
            </w:pPr>
          </w:p>
        </w:tc>
        <w:tc>
          <w:tcPr>
            <w:tcW w:w="1409" w:type="dxa"/>
            <w:vAlign w:val="center"/>
          </w:tcPr>
          <w:p w14:paraId="68CCB41D">
            <w:pPr>
              <w:rPr>
                <w:rFonts w:asciiTheme="minorEastAsia" w:hAnsiTheme="minorEastAsia" w:eastAsiaTheme="minorEastAsia"/>
                <w:szCs w:val="21"/>
              </w:rPr>
            </w:pPr>
          </w:p>
        </w:tc>
      </w:tr>
      <w:tr w14:paraId="061D2D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36039CB9">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11</w:t>
            </w:r>
          </w:p>
        </w:tc>
        <w:tc>
          <w:tcPr>
            <w:tcW w:w="3378" w:type="dxa"/>
            <w:vAlign w:val="center"/>
          </w:tcPr>
          <w:p w14:paraId="50F45441">
            <w:pPr>
              <w:jc w:val="left"/>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 xml:space="preserve">6.1支持与采购人医院现有应用集成平台的数据集成； </w:t>
            </w:r>
          </w:p>
        </w:tc>
        <w:tc>
          <w:tcPr>
            <w:tcW w:w="3378" w:type="dxa"/>
            <w:vAlign w:val="center"/>
          </w:tcPr>
          <w:p w14:paraId="61FF4647">
            <w:pPr>
              <w:rPr>
                <w:rFonts w:asciiTheme="minorEastAsia" w:hAnsiTheme="minorEastAsia" w:eastAsiaTheme="minorEastAsia"/>
                <w:szCs w:val="21"/>
              </w:rPr>
            </w:pPr>
          </w:p>
        </w:tc>
        <w:tc>
          <w:tcPr>
            <w:tcW w:w="1768" w:type="dxa"/>
            <w:vAlign w:val="center"/>
          </w:tcPr>
          <w:p w14:paraId="2DBE4DA4">
            <w:pPr>
              <w:rPr>
                <w:rFonts w:asciiTheme="minorEastAsia" w:hAnsiTheme="minorEastAsia" w:eastAsiaTheme="minorEastAsia"/>
                <w:szCs w:val="21"/>
              </w:rPr>
            </w:pPr>
          </w:p>
        </w:tc>
        <w:tc>
          <w:tcPr>
            <w:tcW w:w="1409" w:type="dxa"/>
            <w:vAlign w:val="center"/>
          </w:tcPr>
          <w:p w14:paraId="6AB6948F">
            <w:pPr>
              <w:rPr>
                <w:rFonts w:asciiTheme="minorEastAsia" w:hAnsiTheme="minorEastAsia" w:eastAsiaTheme="minorEastAsia"/>
                <w:szCs w:val="21"/>
              </w:rPr>
            </w:pPr>
          </w:p>
        </w:tc>
      </w:tr>
      <w:tr w14:paraId="080675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03F52B7B">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12</w:t>
            </w:r>
          </w:p>
        </w:tc>
        <w:tc>
          <w:tcPr>
            <w:tcW w:w="3378" w:type="dxa"/>
            <w:vAlign w:val="center"/>
          </w:tcPr>
          <w:p w14:paraId="7BECC8FD">
            <w:pPr>
              <w:jc w:val="left"/>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6</w:t>
            </w:r>
            <w:r>
              <w:rPr>
                <w:rFonts w:hint="eastAsia" w:ascii="宋体" w:hAnsi="宋体" w:eastAsia="宋体" w:cs="宋体"/>
                <w:bCs/>
                <w:color w:val="auto"/>
                <w:kern w:val="2"/>
                <w:sz w:val="21"/>
                <w:szCs w:val="20"/>
                <w:highlight w:val="none"/>
                <w:lang w:val="en-US" w:eastAsia="zh-CN" w:bidi="ar-SA"/>
              </w:rPr>
              <w:t>.2支持与</w:t>
            </w:r>
            <w:r>
              <w:rPr>
                <w:rFonts w:hint="eastAsia" w:ascii="宋体" w:hAnsi="宋体" w:cs="宋体"/>
                <w:bCs/>
                <w:color w:val="auto"/>
                <w:kern w:val="2"/>
                <w:sz w:val="21"/>
                <w:szCs w:val="20"/>
                <w:highlight w:val="none"/>
                <w:lang w:val="en-US" w:eastAsia="zh-CN" w:bidi="ar-SA"/>
              </w:rPr>
              <w:t>采购人</w:t>
            </w:r>
            <w:r>
              <w:rPr>
                <w:rFonts w:hint="eastAsia" w:ascii="宋体" w:hAnsi="宋体" w:eastAsia="宋体" w:cs="宋体"/>
                <w:bCs/>
                <w:color w:val="auto"/>
                <w:kern w:val="2"/>
                <w:sz w:val="21"/>
                <w:szCs w:val="20"/>
                <w:highlight w:val="none"/>
                <w:lang w:val="en-US" w:eastAsia="zh-CN" w:bidi="ar-SA"/>
              </w:rPr>
              <w:t>医院指定的系统完成医院字典主数据的同步接口；</w:t>
            </w:r>
            <w:r>
              <w:rPr>
                <w:rFonts w:hint="eastAsia" w:cs="Times New Roman" w:asciiTheme="minorEastAsia" w:hAnsiTheme="minorEastAsia" w:eastAsiaTheme="minorEastAsia"/>
                <w:szCs w:val="21"/>
                <w:lang w:val="en-US" w:eastAsia="zh-CN"/>
              </w:rPr>
              <w:t xml:space="preserve"> </w:t>
            </w:r>
          </w:p>
        </w:tc>
        <w:tc>
          <w:tcPr>
            <w:tcW w:w="3378" w:type="dxa"/>
            <w:vAlign w:val="center"/>
          </w:tcPr>
          <w:p w14:paraId="7DC8CAE6">
            <w:pPr>
              <w:rPr>
                <w:rFonts w:asciiTheme="minorEastAsia" w:hAnsiTheme="minorEastAsia" w:eastAsiaTheme="minorEastAsia"/>
                <w:szCs w:val="21"/>
              </w:rPr>
            </w:pPr>
          </w:p>
        </w:tc>
        <w:tc>
          <w:tcPr>
            <w:tcW w:w="1768" w:type="dxa"/>
            <w:vAlign w:val="center"/>
          </w:tcPr>
          <w:p w14:paraId="1CA5AAF4">
            <w:pPr>
              <w:rPr>
                <w:rFonts w:asciiTheme="minorEastAsia" w:hAnsiTheme="minorEastAsia" w:eastAsiaTheme="minorEastAsia"/>
                <w:szCs w:val="21"/>
              </w:rPr>
            </w:pPr>
          </w:p>
        </w:tc>
        <w:tc>
          <w:tcPr>
            <w:tcW w:w="1409" w:type="dxa"/>
            <w:vAlign w:val="center"/>
          </w:tcPr>
          <w:p w14:paraId="0D3170F1">
            <w:pPr>
              <w:rPr>
                <w:rFonts w:asciiTheme="minorEastAsia" w:hAnsiTheme="minorEastAsia" w:eastAsiaTheme="minorEastAsia"/>
                <w:szCs w:val="21"/>
              </w:rPr>
            </w:pPr>
          </w:p>
        </w:tc>
      </w:tr>
      <w:tr w14:paraId="4B63DA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1FA37288">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13</w:t>
            </w:r>
          </w:p>
        </w:tc>
        <w:tc>
          <w:tcPr>
            <w:tcW w:w="3378" w:type="dxa"/>
            <w:vAlign w:val="center"/>
          </w:tcPr>
          <w:p w14:paraId="253F5BAA">
            <w:pPr>
              <w:pStyle w:val="21"/>
              <w:spacing w:line="240" w:lineRule="auto"/>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6.3支持 HIS系统实现对接；</w:t>
            </w:r>
          </w:p>
        </w:tc>
        <w:tc>
          <w:tcPr>
            <w:tcW w:w="3378" w:type="dxa"/>
            <w:vAlign w:val="center"/>
          </w:tcPr>
          <w:p w14:paraId="56699278">
            <w:pPr>
              <w:rPr>
                <w:rFonts w:asciiTheme="minorEastAsia" w:hAnsiTheme="minorEastAsia" w:eastAsiaTheme="minorEastAsia"/>
                <w:szCs w:val="21"/>
              </w:rPr>
            </w:pPr>
          </w:p>
        </w:tc>
        <w:tc>
          <w:tcPr>
            <w:tcW w:w="1768" w:type="dxa"/>
            <w:vAlign w:val="center"/>
          </w:tcPr>
          <w:p w14:paraId="69D1F72C">
            <w:pPr>
              <w:rPr>
                <w:rFonts w:asciiTheme="minorEastAsia" w:hAnsiTheme="minorEastAsia" w:eastAsiaTheme="minorEastAsia"/>
                <w:szCs w:val="21"/>
              </w:rPr>
            </w:pPr>
          </w:p>
        </w:tc>
        <w:tc>
          <w:tcPr>
            <w:tcW w:w="1409" w:type="dxa"/>
            <w:vAlign w:val="center"/>
          </w:tcPr>
          <w:p w14:paraId="6BE02BB5">
            <w:pPr>
              <w:rPr>
                <w:rFonts w:asciiTheme="minorEastAsia" w:hAnsiTheme="minorEastAsia" w:eastAsiaTheme="minorEastAsia"/>
                <w:szCs w:val="21"/>
              </w:rPr>
            </w:pPr>
          </w:p>
        </w:tc>
      </w:tr>
      <w:tr w14:paraId="5FCC0A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0E07CBFA">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14</w:t>
            </w:r>
          </w:p>
        </w:tc>
        <w:tc>
          <w:tcPr>
            <w:tcW w:w="3378" w:type="dxa"/>
            <w:vAlign w:val="center"/>
          </w:tcPr>
          <w:p w14:paraId="06666134">
            <w:pPr>
              <w:pStyle w:val="21"/>
              <w:spacing w:line="240" w:lineRule="auto"/>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6.4能够实现财务对接，满足</w:t>
            </w:r>
            <w:r>
              <w:rPr>
                <w:rFonts w:hint="eastAsia" w:hAnsi="宋体" w:eastAsia="宋体" w:cs="宋体"/>
                <w:bCs/>
                <w:color w:val="auto"/>
                <w:kern w:val="2"/>
                <w:sz w:val="21"/>
                <w:szCs w:val="20"/>
                <w:highlight w:val="none"/>
                <w:lang w:val="en-US" w:eastAsia="zh-CN" w:bidi="ar-SA"/>
              </w:rPr>
              <w:t>采购人</w:t>
            </w:r>
            <w:r>
              <w:rPr>
                <w:rFonts w:hint="eastAsia" w:ascii="宋体" w:hAnsi="宋体" w:eastAsia="宋体" w:cs="宋体"/>
                <w:bCs/>
                <w:color w:val="auto"/>
                <w:kern w:val="2"/>
                <w:sz w:val="21"/>
                <w:szCs w:val="20"/>
                <w:highlight w:val="none"/>
                <w:lang w:val="en-US" w:eastAsia="zh-CN" w:bidi="ar-SA"/>
              </w:rPr>
              <w:t xml:space="preserve">医院财务部门财务需求；根据医院要求，能够通过接口开发等方式实现医院内部物资管理功能； </w:t>
            </w:r>
          </w:p>
        </w:tc>
        <w:tc>
          <w:tcPr>
            <w:tcW w:w="3378" w:type="dxa"/>
            <w:vAlign w:val="center"/>
          </w:tcPr>
          <w:p w14:paraId="5A431FE5">
            <w:pPr>
              <w:rPr>
                <w:rFonts w:asciiTheme="minorEastAsia" w:hAnsiTheme="minorEastAsia" w:eastAsiaTheme="minorEastAsia"/>
                <w:szCs w:val="21"/>
              </w:rPr>
            </w:pPr>
          </w:p>
        </w:tc>
        <w:tc>
          <w:tcPr>
            <w:tcW w:w="1768" w:type="dxa"/>
            <w:vAlign w:val="center"/>
          </w:tcPr>
          <w:p w14:paraId="2C56FE47">
            <w:pPr>
              <w:rPr>
                <w:rFonts w:asciiTheme="minorEastAsia" w:hAnsiTheme="minorEastAsia" w:eastAsiaTheme="minorEastAsia"/>
                <w:szCs w:val="21"/>
              </w:rPr>
            </w:pPr>
          </w:p>
        </w:tc>
        <w:tc>
          <w:tcPr>
            <w:tcW w:w="1409" w:type="dxa"/>
            <w:vAlign w:val="center"/>
          </w:tcPr>
          <w:p w14:paraId="4FBF5E53">
            <w:pPr>
              <w:rPr>
                <w:rFonts w:asciiTheme="minorEastAsia" w:hAnsiTheme="minorEastAsia" w:eastAsiaTheme="minorEastAsia"/>
                <w:szCs w:val="21"/>
              </w:rPr>
            </w:pPr>
          </w:p>
        </w:tc>
      </w:tr>
      <w:tr w14:paraId="6DD4C4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40F923E6">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15</w:t>
            </w:r>
          </w:p>
        </w:tc>
        <w:tc>
          <w:tcPr>
            <w:tcW w:w="3378" w:type="dxa"/>
            <w:vAlign w:val="center"/>
          </w:tcPr>
          <w:p w14:paraId="65A914E8">
            <w:pPr>
              <w:jc w:val="left"/>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6.5技术上能够实现与省、市集中采购平台系统对接，实现下单、到货数据、结算数据对接；</w:t>
            </w:r>
          </w:p>
        </w:tc>
        <w:tc>
          <w:tcPr>
            <w:tcW w:w="3378" w:type="dxa"/>
            <w:vAlign w:val="center"/>
          </w:tcPr>
          <w:p w14:paraId="1A15D31E">
            <w:pPr>
              <w:rPr>
                <w:rFonts w:asciiTheme="minorEastAsia" w:hAnsiTheme="minorEastAsia" w:eastAsiaTheme="minorEastAsia"/>
                <w:szCs w:val="21"/>
              </w:rPr>
            </w:pPr>
          </w:p>
        </w:tc>
        <w:tc>
          <w:tcPr>
            <w:tcW w:w="1768" w:type="dxa"/>
            <w:vAlign w:val="center"/>
          </w:tcPr>
          <w:p w14:paraId="722F91F2">
            <w:pPr>
              <w:rPr>
                <w:rFonts w:asciiTheme="minorEastAsia" w:hAnsiTheme="minorEastAsia" w:eastAsiaTheme="minorEastAsia"/>
                <w:szCs w:val="21"/>
              </w:rPr>
            </w:pPr>
          </w:p>
        </w:tc>
        <w:tc>
          <w:tcPr>
            <w:tcW w:w="1409" w:type="dxa"/>
            <w:vAlign w:val="center"/>
          </w:tcPr>
          <w:p w14:paraId="786DF40C">
            <w:pPr>
              <w:rPr>
                <w:rFonts w:asciiTheme="minorEastAsia" w:hAnsiTheme="minorEastAsia" w:eastAsiaTheme="minorEastAsia"/>
                <w:szCs w:val="21"/>
              </w:rPr>
            </w:pPr>
          </w:p>
        </w:tc>
      </w:tr>
      <w:tr w14:paraId="495CB5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478CD60C">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16</w:t>
            </w:r>
          </w:p>
        </w:tc>
        <w:tc>
          <w:tcPr>
            <w:tcW w:w="3378" w:type="dxa"/>
            <w:vAlign w:val="center"/>
          </w:tcPr>
          <w:p w14:paraId="6E5BCA06">
            <w:pPr>
              <w:pStyle w:val="21"/>
              <w:spacing w:line="240" w:lineRule="auto"/>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 xml:space="preserve">6.6为实现方案中描述的功能而与其它系统间的数据对接； </w:t>
            </w:r>
          </w:p>
        </w:tc>
        <w:tc>
          <w:tcPr>
            <w:tcW w:w="3378" w:type="dxa"/>
            <w:vAlign w:val="center"/>
          </w:tcPr>
          <w:p w14:paraId="723FD41F">
            <w:pPr>
              <w:rPr>
                <w:rFonts w:asciiTheme="minorEastAsia" w:hAnsiTheme="minorEastAsia" w:eastAsiaTheme="minorEastAsia"/>
                <w:szCs w:val="21"/>
              </w:rPr>
            </w:pPr>
          </w:p>
        </w:tc>
        <w:tc>
          <w:tcPr>
            <w:tcW w:w="1768" w:type="dxa"/>
            <w:vAlign w:val="center"/>
          </w:tcPr>
          <w:p w14:paraId="25DAF374">
            <w:pPr>
              <w:rPr>
                <w:rFonts w:asciiTheme="minorEastAsia" w:hAnsiTheme="minorEastAsia" w:eastAsiaTheme="minorEastAsia"/>
                <w:szCs w:val="21"/>
              </w:rPr>
            </w:pPr>
          </w:p>
        </w:tc>
        <w:tc>
          <w:tcPr>
            <w:tcW w:w="1409" w:type="dxa"/>
            <w:vAlign w:val="center"/>
          </w:tcPr>
          <w:p w14:paraId="5D9460EB">
            <w:pPr>
              <w:rPr>
                <w:rFonts w:asciiTheme="minorEastAsia" w:hAnsiTheme="minorEastAsia" w:eastAsiaTheme="minorEastAsia"/>
                <w:szCs w:val="21"/>
              </w:rPr>
            </w:pPr>
          </w:p>
        </w:tc>
      </w:tr>
      <w:tr w14:paraId="4076FC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63307C53">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17</w:t>
            </w:r>
          </w:p>
        </w:tc>
        <w:tc>
          <w:tcPr>
            <w:tcW w:w="3378" w:type="dxa"/>
            <w:vAlign w:val="center"/>
          </w:tcPr>
          <w:p w14:paraId="3BF859CD">
            <w:pPr>
              <w:jc w:val="left"/>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7、</w:t>
            </w:r>
            <w:r>
              <w:rPr>
                <w:rFonts w:hint="eastAsia" w:ascii="宋体" w:hAnsi="宋体" w:cs="宋体"/>
                <w:bCs/>
                <w:color w:val="auto"/>
                <w:kern w:val="2"/>
                <w:sz w:val="21"/>
                <w:szCs w:val="20"/>
                <w:highlight w:val="none"/>
                <w:lang w:val="en-US" w:eastAsia="zh-CN" w:bidi="ar-SA"/>
              </w:rPr>
              <w:t>中选方</w:t>
            </w:r>
            <w:r>
              <w:rPr>
                <w:rFonts w:hint="eastAsia" w:ascii="宋体" w:hAnsi="宋体" w:eastAsia="宋体" w:cs="宋体"/>
                <w:bCs/>
                <w:color w:val="auto"/>
                <w:kern w:val="2"/>
                <w:sz w:val="21"/>
                <w:szCs w:val="20"/>
                <w:highlight w:val="none"/>
                <w:lang w:val="en-US" w:eastAsia="zh-CN" w:bidi="ar-SA"/>
              </w:rPr>
              <w:t>只能为</w:t>
            </w:r>
            <w:r>
              <w:rPr>
                <w:rFonts w:hint="eastAsia" w:ascii="宋体" w:hAnsi="宋体" w:cs="宋体"/>
                <w:bCs/>
                <w:color w:val="auto"/>
                <w:kern w:val="2"/>
                <w:sz w:val="21"/>
                <w:szCs w:val="20"/>
                <w:highlight w:val="none"/>
                <w:lang w:val="en-US" w:eastAsia="zh-CN" w:bidi="ar-SA"/>
              </w:rPr>
              <w:t>采购人</w:t>
            </w:r>
            <w:r>
              <w:rPr>
                <w:rFonts w:hint="eastAsia" w:ascii="宋体" w:hAnsi="宋体" w:eastAsia="宋体" w:cs="宋体"/>
                <w:bCs/>
                <w:color w:val="auto"/>
                <w:kern w:val="2"/>
                <w:sz w:val="21"/>
                <w:szCs w:val="20"/>
                <w:highlight w:val="none"/>
                <w:lang w:val="en-US" w:eastAsia="zh-CN" w:bidi="ar-SA"/>
              </w:rPr>
              <w:t>医院物流管理提供院内物流服务，保障医院医用物资的智能采购和院内物流服务，派驻人员的工作主要包括运营管理、院内物流配送服务、技术运维及相关人员操作培训等。</w:t>
            </w:r>
          </w:p>
        </w:tc>
        <w:tc>
          <w:tcPr>
            <w:tcW w:w="3378" w:type="dxa"/>
            <w:vAlign w:val="center"/>
          </w:tcPr>
          <w:p w14:paraId="5D528E49">
            <w:pPr>
              <w:rPr>
                <w:rFonts w:asciiTheme="minorEastAsia" w:hAnsiTheme="minorEastAsia" w:eastAsiaTheme="minorEastAsia"/>
                <w:szCs w:val="21"/>
              </w:rPr>
            </w:pPr>
          </w:p>
        </w:tc>
        <w:tc>
          <w:tcPr>
            <w:tcW w:w="1768" w:type="dxa"/>
            <w:vAlign w:val="center"/>
          </w:tcPr>
          <w:p w14:paraId="135D67B2">
            <w:pPr>
              <w:rPr>
                <w:rFonts w:asciiTheme="minorEastAsia" w:hAnsiTheme="minorEastAsia" w:eastAsiaTheme="minorEastAsia"/>
                <w:szCs w:val="21"/>
              </w:rPr>
            </w:pPr>
          </w:p>
        </w:tc>
        <w:tc>
          <w:tcPr>
            <w:tcW w:w="1409" w:type="dxa"/>
            <w:vAlign w:val="center"/>
          </w:tcPr>
          <w:p w14:paraId="76F7039E">
            <w:pPr>
              <w:rPr>
                <w:rFonts w:asciiTheme="minorEastAsia" w:hAnsiTheme="minorEastAsia" w:eastAsiaTheme="minorEastAsia"/>
                <w:szCs w:val="21"/>
              </w:rPr>
            </w:pPr>
          </w:p>
        </w:tc>
      </w:tr>
      <w:tr w14:paraId="79AECE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1EFC79CE">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18</w:t>
            </w:r>
          </w:p>
        </w:tc>
        <w:tc>
          <w:tcPr>
            <w:tcW w:w="3378" w:type="dxa"/>
            <w:vAlign w:val="center"/>
          </w:tcPr>
          <w:p w14:paraId="2E46B17A">
            <w:pPr>
              <w:pStyle w:val="21"/>
              <w:spacing w:line="240" w:lineRule="auto"/>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7.1驻场运营团队人数不少于 6人；</w:t>
            </w:r>
          </w:p>
        </w:tc>
        <w:tc>
          <w:tcPr>
            <w:tcW w:w="3378" w:type="dxa"/>
            <w:vAlign w:val="center"/>
          </w:tcPr>
          <w:p w14:paraId="69C82EA4">
            <w:pPr>
              <w:rPr>
                <w:rFonts w:asciiTheme="minorEastAsia" w:hAnsiTheme="minorEastAsia" w:eastAsiaTheme="minorEastAsia"/>
                <w:szCs w:val="21"/>
              </w:rPr>
            </w:pPr>
          </w:p>
        </w:tc>
        <w:tc>
          <w:tcPr>
            <w:tcW w:w="1768" w:type="dxa"/>
            <w:vAlign w:val="center"/>
          </w:tcPr>
          <w:p w14:paraId="73572298">
            <w:pPr>
              <w:rPr>
                <w:rFonts w:asciiTheme="minorEastAsia" w:hAnsiTheme="minorEastAsia" w:eastAsiaTheme="minorEastAsia"/>
                <w:szCs w:val="21"/>
              </w:rPr>
            </w:pPr>
          </w:p>
        </w:tc>
        <w:tc>
          <w:tcPr>
            <w:tcW w:w="1409" w:type="dxa"/>
            <w:vAlign w:val="center"/>
          </w:tcPr>
          <w:p w14:paraId="78FA6306">
            <w:pPr>
              <w:rPr>
                <w:rFonts w:asciiTheme="minorEastAsia" w:hAnsiTheme="minorEastAsia" w:eastAsiaTheme="minorEastAsia"/>
                <w:szCs w:val="21"/>
              </w:rPr>
            </w:pPr>
          </w:p>
        </w:tc>
      </w:tr>
      <w:tr w14:paraId="3FE2E8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337A2E96">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19</w:t>
            </w:r>
          </w:p>
        </w:tc>
        <w:tc>
          <w:tcPr>
            <w:tcW w:w="3378" w:type="dxa"/>
            <w:vAlign w:val="center"/>
          </w:tcPr>
          <w:p w14:paraId="632EE7C6">
            <w:pPr>
              <w:pStyle w:val="21"/>
              <w:spacing w:line="240" w:lineRule="auto"/>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7.2具备应急事务处理能力，承诺7×24小时有专人听班，接到医院应急需求0.5小时</w:t>
            </w:r>
            <w:r>
              <w:rPr>
                <w:rFonts w:hint="eastAsia" w:hAnsi="宋体" w:eastAsia="宋体" w:cs="宋体"/>
                <w:bCs/>
                <w:color w:val="auto"/>
                <w:kern w:val="2"/>
                <w:sz w:val="21"/>
                <w:szCs w:val="20"/>
                <w:highlight w:val="none"/>
                <w:lang w:val="en-US" w:eastAsia="zh-CN" w:bidi="ar-SA"/>
              </w:rPr>
              <w:t>遴选响应</w:t>
            </w:r>
            <w:r>
              <w:rPr>
                <w:rFonts w:hint="eastAsia" w:ascii="宋体" w:hAnsi="宋体" w:eastAsia="宋体" w:cs="宋体"/>
                <w:bCs/>
                <w:color w:val="auto"/>
                <w:kern w:val="2"/>
                <w:sz w:val="21"/>
                <w:szCs w:val="20"/>
                <w:highlight w:val="none"/>
                <w:lang w:val="en-US" w:eastAsia="zh-CN" w:bidi="ar-SA"/>
              </w:rPr>
              <w:t>，1小时到达现场；</w:t>
            </w:r>
          </w:p>
        </w:tc>
        <w:tc>
          <w:tcPr>
            <w:tcW w:w="3378" w:type="dxa"/>
            <w:vAlign w:val="center"/>
          </w:tcPr>
          <w:p w14:paraId="23AD0820">
            <w:pPr>
              <w:rPr>
                <w:rFonts w:asciiTheme="minorEastAsia" w:hAnsiTheme="minorEastAsia" w:eastAsiaTheme="minorEastAsia"/>
                <w:szCs w:val="21"/>
              </w:rPr>
            </w:pPr>
          </w:p>
        </w:tc>
        <w:tc>
          <w:tcPr>
            <w:tcW w:w="1768" w:type="dxa"/>
            <w:vAlign w:val="center"/>
          </w:tcPr>
          <w:p w14:paraId="4324EC93">
            <w:pPr>
              <w:rPr>
                <w:rFonts w:asciiTheme="minorEastAsia" w:hAnsiTheme="minorEastAsia" w:eastAsiaTheme="minorEastAsia"/>
                <w:szCs w:val="21"/>
              </w:rPr>
            </w:pPr>
          </w:p>
        </w:tc>
        <w:tc>
          <w:tcPr>
            <w:tcW w:w="1409" w:type="dxa"/>
            <w:vAlign w:val="center"/>
          </w:tcPr>
          <w:p w14:paraId="550421CF">
            <w:pPr>
              <w:rPr>
                <w:rFonts w:asciiTheme="minorEastAsia" w:hAnsiTheme="minorEastAsia" w:eastAsiaTheme="minorEastAsia"/>
                <w:szCs w:val="21"/>
              </w:rPr>
            </w:pPr>
          </w:p>
        </w:tc>
      </w:tr>
      <w:tr w14:paraId="6B9DCE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22C9CDEB">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20</w:t>
            </w:r>
          </w:p>
        </w:tc>
        <w:tc>
          <w:tcPr>
            <w:tcW w:w="3378" w:type="dxa"/>
            <w:vAlign w:val="center"/>
          </w:tcPr>
          <w:p w14:paraId="2BF65185">
            <w:pPr>
              <w:pStyle w:val="21"/>
              <w:spacing w:line="240" w:lineRule="auto"/>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7.3项目运营期间，若遇到国家医用物资相关政策调整（例如国家统一耗材条码等），应无条件根据国家政策作出相应的调整和优化且需按医院要求的内容，规定的时间范围内完成；</w:t>
            </w:r>
          </w:p>
        </w:tc>
        <w:tc>
          <w:tcPr>
            <w:tcW w:w="3378" w:type="dxa"/>
            <w:vAlign w:val="center"/>
          </w:tcPr>
          <w:p w14:paraId="55E50B00">
            <w:pPr>
              <w:rPr>
                <w:rFonts w:asciiTheme="minorEastAsia" w:hAnsiTheme="minorEastAsia" w:eastAsiaTheme="minorEastAsia"/>
                <w:szCs w:val="21"/>
              </w:rPr>
            </w:pPr>
          </w:p>
        </w:tc>
        <w:tc>
          <w:tcPr>
            <w:tcW w:w="1768" w:type="dxa"/>
            <w:vAlign w:val="center"/>
          </w:tcPr>
          <w:p w14:paraId="1C75E054">
            <w:pPr>
              <w:rPr>
                <w:rFonts w:asciiTheme="minorEastAsia" w:hAnsiTheme="minorEastAsia" w:eastAsiaTheme="minorEastAsia"/>
                <w:szCs w:val="21"/>
              </w:rPr>
            </w:pPr>
          </w:p>
        </w:tc>
        <w:tc>
          <w:tcPr>
            <w:tcW w:w="1409" w:type="dxa"/>
            <w:vAlign w:val="center"/>
          </w:tcPr>
          <w:p w14:paraId="2EE10B35">
            <w:pPr>
              <w:rPr>
                <w:rFonts w:asciiTheme="minorEastAsia" w:hAnsiTheme="minorEastAsia" w:eastAsiaTheme="minorEastAsia"/>
                <w:szCs w:val="21"/>
              </w:rPr>
            </w:pPr>
          </w:p>
        </w:tc>
      </w:tr>
      <w:tr w14:paraId="028BD6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7C59A74E">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21</w:t>
            </w:r>
          </w:p>
        </w:tc>
        <w:tc>
          <w:tcPr>
            <w:tcW w:w="3378" w:type="dxa"/>
            <w:vAlign w:val="center"/>
          </w:tcPr>
          <w:p w14:paraId="06C30B9F">
            <w:pPr>
              <w:pStyle w:val="21"/>
              <w:spacing w:line="240" w:lineRule="auto"/>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7.6投入项目人员、组织架构、分类及数量应能满足项目需求；</w:t>
            </w:r>
          </w:p>
        </w:tc>
        <w:tc>
          <w:tcPr>
            <w:tcW w:w="3378" w:type="dxa"/>
            <w:vAlign w:val="center"/>
          </w:tcPr>
          <w:p w14:paraId="697983ED">
            <w:pPr>
              <w:rPr>
                <w:rFonts w:asciiTheme="minorEastAsia" w:hAnsiTheme="minorEastAsia" w:eastAsiaTheme="minorEastAsia"/>
                <w:szCs w:val="21"/>
              </w:rPr>
            </w:pPr>
          </w:p>
        </w:tc>
        <w:tc>
          <w:tcPr>
            <w:tcW w:w="1768" w:type="dxa"/>
            <w:vAlign w:val="center"/>
          </w:tcPr>
          <w:p w14:paraId="405FF92F">
            <w:pPr>
              <w:rPr>
                <w:rFonts w:asciiTheme="minorEastAsia" w:hAnsiTheme="minorEastAsia" w:eastAsiaTheme="minorEastAsia"/>
                <w:szCs w:val="21"/>
              </w:rPr>
            </w:pPr>
          </w:p>
        </w:tc>
        <w:tc>
          <w:tcPr>
            <w:tcW w:w="1409" w:type="dxa"/>
            <w:vAlign w:val="center"/>
          </w:tcPr>
          <w:p w14:paraId="2EC9CB9E">
            <w:pPr>
              <w:rPr>
                <w:rFonts w:asciiTheme="minorEastAsia" w:hAnsiTheme="minorEastAsia" w:eastAsiaTheme="minorEastAsia"/>
                <w:szCs w:val="21"/>
              </w:rPr>
            </w:pPr>
          </w:p>
        </w:tc>
      </w:tr>
      <w:tr w14:paraId="47BC36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36CEEC88">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22</w:t>
            </w:r>
          </w:p>
        </w:tc>
        <w:tc>
          <w:tcPr>
            <w:tcW w:w="3378" w:type="dxa"/>
            <w:vAlign w:val="center"/>
          </w:tcPr>
          <w:p w14:paraId="6A9637D8">
            <w:pPr>
              <w:jc w:val="left"/>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9、</w:t>
            </w:r>
            <w:r>
              <w:rPr>
                <w:rFonts w:hint="eastAsia" w:ascii="宋体" w:hAnsi="宋体" w:cs="宋体"/>
                <w:bCs/>
                <w:color w:val="auto"/>
                <w:kern w:val="2"/>
                <w:sz w:val="21"/>
                <w:szCs w:val="20"/>
                <w:highlight w:val="none"/>
                <w:lang w:val="en-US" w:eastAsia="zh-CN" w:bidi="ar-SA"/>
              </w:rPr>
              <w:t>中选方</w:t>
            </w:r>
            <w:r>
              <w:rPr>
                <w:rFonts w:hint="eastAsia" w:ascii="宋体" w:hAnsi="宋体" w:eastAsia="宋体" w:cs="宋体"/>
                <w:bCs/>
                <w:color w:val="auto"/>
                <w:kern w:val="2"/>
                <w:sz w:val="21"/>
                <w:szCs w:val="20"/>
                <w:highlight w:val="none"/>
                <w:lang w:val="en-US" w:eastAsia="zh-CN" w:bidi="ar-SA"/>
              </w:rPr>
              <w:t>负责</w:t>
            </w:r>
            <w:r>
              <w:rPr>
                <w:rFonts w:hint="eastAsia" w:ascii="宋体" w:hAnsi="宋体" w:cs="宋体"/>
                <w:bCs/>
                <w:color w:val="auto"/>
                <w:kern w:val="2"/>
                <w:sz w:val="21"/>
                <w:szCs w:val="20"/>
                <w:highlight w:val="none"/>
                <w:lang w:val="en-US" w:eastAsia="zh-CN" w:bidi="ar-SA"/>
              </w:rPr>
              <w:t>采购人</w:t>
            </w:r>
            <w:r>
              <w:rPr>
                <w:rFonts w:hint="eastAsia" w:ascii="宋体" w:hAnsi="宋体" w:eastAsia="宋体" w:cs="宋体"/>
                <w:bCs/>
                <w:color w:val="auto"/>
                <w:kern w:val="2"/>
                <w:sz w:val="21"/>
                <w:szCs w:val="20"/>
                <w:highlight w:val="none"/>
                <w:lang w:val="en-US" w:eastAsia="zh-CN" w:bidi="ar-SA"/>
              </w:rPr>
              <w:t>医院相关部门负责制定的医用物资供应目录下的所有医用物资的院内物流管理工作。</w:t>
            </w:r>
          </w:p>
        </w:tc>
        <w:tc>
          <w:tcPr>
            <w:tcW w:w="3378" w:type="dxa"/>
            <w:vAlign w:val="center"/>
          </w:tcPr>
          <w:p w14:paraId="070EB6A3">
            <w:pPr>
              <w:rPr>
                <w:rFonts w:asciiTheme="minorEastAsia" w:hAnsiTheme="minorEastAsia" w:eastAsiaTheme="minorEastAsia"/>
                <w:szCs w:val="21"/>
              </w:rPr>
            </w:pPr>
          </w:p>
        </w:tc>
        <w:tc>
          <w:tcPr>
            <w:tcW w:w="1768" w:type="dxa"/>
            <w:vAlign w:val="center"/>
          </w:tcPr>
          <w:p w14:paraId="479864F8">
            <w:pPr>
              <w:rPr>
                <w:rFonts w:asciiTheme="minorEastAsia" w:hAnsiTheme="minorEastAsia" w:eastAsiaTheme="minorEastAsia"/>
                <w:szCs w:val="21"/>
              </w:rPr>
            </w:pPr>
          </w:p>
        </w:tc>
        <w:tc>
          <w:tcPr>
            <w:tcW w:w="1409" w:type="dxa"/>
            <w:vAlign w:val="center"/>
          </w:tcPr>
          <w:p w14:paraId="57E5D9B1">
            <w:pPr>
              <w:rPr>
                <w:rFonts w:asciiTheme="minorEastAsia" w:hAnsiTheme="minorEastAsia" w:eastAsiaTheme="minorEastAsia"/>
                <w:szCs w:val="21"/>
              </w:rPr>
            </w:pPr>
          </w:p>
        </w:tc>
      </w:tr>
      <w:tr w14:paraId="0A507A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4DF0E7BB">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23</w:t>
            </w:r>
          </w:p>
        </w:tc>
        <w:tc>
          <w:tcPr>
            <w:tcW w:w="3378" w:type="dxa"/>
            <w:vAlign w:val="center"/>
          </w:tcPr>
          <w:p w14:paraId="463CEA4A">
            <w:pPr>
              <w:jc w:val="left"/>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10、</w:t>
            </w:r>
            <w:r>
              <w:rPr>
                <w:rFonts w:hint="eastAsia" w:ascii="宋体" w:hAnsi="宋体" w:cs="宋体"/>
                <w:bCs/>
                <w:color w:val="auto"/>
                <w:kern w:val="2"/>
                <w:sz w:val="21"/>
                <w:szCs w:val="20"/>
                <w:highlight w:val="none"/>
                <w:lang w:val="en-US" w:eastAsia="zh-CN" w:bidi="ar-SA"/>
              </w:rPr>
              <w:t>中选方</w:t>
            </w:r>
            <w:r>
              <w:rPr>
                <w:rFonts w:hint="eastAsia" w:ascii="宋体" w:hAnsi="宋体" w:eastAsia="宋体" w:cs="宋体"/>
                <w:bCs/>
                <w:color w:val="auto"/>
                <w:kern w:val="2"/>
                <w:sz w:val="21"/>
                <w:szCs w:val="20"/>
                <w:highlight w:val="none"/>
                <w:lang w:val="en-US" w:eastAsia="zh-CN" w:bidi="ar-SA"/>
              </w:rPr>
              <w:t>负责协助医院医用物资在院内使用后结算。根据医院业务需求和要求，协助备货、配送至中心库、配送至医院各消耗点和提供包括但不限于院内各级库房的协验、仓储和养护等协助服务环节。</w:t>
            </w:r>
          </w:p>
        </w:tc>
        <w:tc>
          <w:tcPr>
            <w:tcW w:w="3378" w:type="dxa"/>
            <w:vAlign w:val="center"/>
          </w:tcPr>
          <w:p w14:paraId="0EA604F8">
            <w:pPr>
              <w:rPr>
                <w:rFonts w:asciiTheme="minorEastAsia" w:hAnsiTheme="minorEastAsia" w:eastAsiaTheme="minorEastAsia"/>
                <w:szCs w:val="21"/>
              </w:rPr>
            </w:pPr>
          </w:p>
        </w:tc>
        <w:tc>
          <w:tcPr>
            <w:tcW w:w="1768" w:type="dxa"/>
            <w:vAlign w:val="center"/>
          </w:tcPr>
          <w:p w14:paraId="7C315A9A">
            <w:pPr>
              <w:rPr>
                <w:rFonts w:asciiTheme="minorEastAsia" w:hAnsiTheme="minorEastAsia" w:eastAsiaTheme="minorEastAsia"/>
                <w:szCs w:val="21"/>
              </w:rPr>
            </w:pPr>
          </w:p>
        </w:tc>
        <w:tc>
          <w:tcPr>
            <w:tcW w:w="1409" w:type="dxa"/>
            <w:vAlign w:val="center"/>
          </w:tcPr>
          <w:p w14:paraId="6907ECE1">
            <w:pPr>
              <w:rPr>
                <w:rFonts w:asciiTheme="minorEastAsia" w:hAnsiTheme="minorEastAsia" w:eastAsiaTheme="minorEastAsia"/>
                <w:szCs w:val="21"/>
              </w:rPr>
            </w:pPr>
          </w:p>
        </w:tc>
      </w:tr>
      <w:tr w14:paraId="01E95C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6437BD27">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24</w:t>
            </w:r>
          </w:p>
        </w:tc>
        <w:tc>
          <w:tcPr>
            <w:tcW w:w="3378" w:type="dxa"/>
            <w:vAlign w:val="center"/>
          </w:tcPr>
          <w:p w14:paraId="3A147D4C">
            <w:pPr>
              <w:pStyle w:val="21"/>
              <w:spacing w:line="240" w:lineRule="auto"/>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 xml:space="preserve">11、医用物资院内物流管理服务工作主要包括协助医院完成医用物资的计划汇总、采购订单发送、赋码、验收、入库、上架、拣货、加工及推送等各项服务。 </w:t>
            </w:r>
          </w:p>
        </w:tc>
        <w:tc>
          <w:tcPr>
            <w:tcW w:w="3378" w:type="dxa"/>
            <w:vAlign w:val="center"/>
          </w:tcPr>
          <w:p w14:paraId="4C458DAA">
            <w:pPr>
              <w:rPr>
                <w:rFonts w:asciiTheme="minorEastAsia" w:hAnsiTheme="minorEastAsia" w:eastAsiaTheme="minorEastAsia"/>
                <w:szCs w:val="21"/>
              </w:rPr>
            </w:pPr>
          </w:p>
        </w:tc>
        <w:tc>
          <w:tcPr>
            <w:tcW w:w="1768" w:type="dxa"/>
            <w:vAlign w:val="center"/>
          </w:tcPr>
          <w:p w14:paraId="291D84CB">
            <w:pPr>
              <w:rPr>
                <w:rFonts w:asciiTheme="minorEastAsia" w:hAnsiTheme="minorEastAsia" w:eastAsiaTheme="minorEastAsia"/>
                <w:szCs w:val="21"/>
              </w:rPr>
            </w:pPr>
          </w:p>
        </w:tc>
        <w:tc>
          <w:tcPr>
            <w:tcW w:w="1409" w:type="dxa"/>
            <w:vAlign w:val="center"/>
          </w:tcPr>
          <w:p w14:paraId="7139B93A">
            <w:pPr>
              <w:rPr>
                <w:rFonts w:asciiTheme="minorEastAsia" w:hAnsiTheme="minorEastAsia" w:eastAsiaTheme="minorEastAsia"/>
                <w:szCs w:val="21"/>
              </w:rPr>
            </w:pPr>
          </w:p>
        </w:tc>
      </w:tr>
      <w:tr w14:paraId="72C058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5C9C3665">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25</w:t>
            </w:r>
          </w:p>
        </w:tc>
        <w:tc>
          <w:tcPr>
            <w:tcW w:w="3378" w:type="dxa"/>
            <w:vAlign w:val="center"/>
          </w:tcPr>
          <w:p w14:paraId="7715A87C">
            <w:pPr>
              <w:jc w:val="left"/>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12、</w:t>
            </w:r>
            <w:r>
              <w:rPr>
                <w:rFonts w:hint="eastAsia" w:ascii="宋体" w:hAnsi="宋体" w:cs="宋体"/>
                <w:bCs/>
                <w:color w:val="auto"/>
                <w:kern w:val="2"/>
                <w:sz w:val="21"/>
                <w:szCs w:val="20"/>
                <w:highlight w:val="none"/>
                <w:lang w:val="en-US" w:eastAsia="zh-CN" w:bidi="ar-SA"/>
              </w:rPr>
              <w:t>中选方</w:t>
            </w:r>
            <w:r>
              <w:rPr>
                <w:rFonts w:hint="eastAsia" w:ascii="宋体" w:hAnsi="宋体" w:eastAsia="宋体" w:cs="宋体"/>
                <w:bCs/>
                <w:color w:val="auto"/>
                <w:kern w:val="2"/>
                <w:sz w:val="21"/>
                <w:szCs w:val="20"/>
                <w:highlight w:val="none"/>
                <w:lang w:val="en-US" w:eastAsia="zh-CN" w:bidi="ar-SA"/>
              </w:rPr>
              <w:t>具有完善的服务质量保证体系和制度，把好服务质量关，承诺对</w:t>
            </w:r>
            <w:r>
              <w:rPr>
                <w:rFonts w:hint="eastAsia" w:ascii="宋体" w:hAnsi="宋体" w:cs="宋体"/>
                <w:bCs/>
                <w:color w:val="auto"/>
                <w:kern w:val="2"/>
                <w:sz w:val="21"/>
                <w:szCs w:val="20"/>
                <w:highlight w:val="none"/>
                <w:lang w:val="en-US" w:eastAsia="zh-CN" w:bidi="ar-SA"/>
              </w:rPr>
              <w:t>采购人</w:t>
            </w:r>
            <w:r>
              <w:rPr>
                <w:rFonts w:hint="eastAsia" w:ascii="宋体" w:hAnsi="宋体" w:eastAsia="宋体" w:cs="宋体"/>
                <w:bCs/>
                <w:color w:val="auto"/>
                <w:kern w:val="2"/>
                <w:sz w:val="21"/>
                <w:szCs w:val="20"/>
                <w:highlight w:val="none"/>
                <w:lang w:val="en-US" w:eastAsia="zh-CN" w:bidi="ar-SA"/>
              </w:rPr>
              <w:t>医院的服务质量负全责，如因院内物流服务质量出现问题，给</w:t>
            </w:r>
            <w:r>
              <w:rPr>
                <w:rFonts w:hint="eastAsia" w:ascii="宋体" w:hAnsi="宋体" w:cs="宋体"/>
                <w:bCs/>
                <w:color w:val="auto"/>
                <w:kern w:val="2"/>
                <w:sz w:val="21"/>
                <w:szCs w:val="20"/>
                <w:highlight w:val="none"/>
                <w:lang w:val="en-US" w:eastAsia="zh-CN" w:bidi="ar-SA"/>
              </w:rPr>
              <w:t>采购人</w:t>
            </w:r>
            <w:r>
              <w:rPr>
                <w:rFonts w:hint="eastAsia" w:ascii="宋体" w:hAnsi="宋体" w:eastAsia="宋体" w:cs="宋体"/>
                <w:bCs/>
                <w:color w:val="auto"/>
                <w:kern w:val="2"/>
                <w:sz w:val="21"/>
                <w:szCs w:val="20"/>
                <w:highlight w:val="none"/>
                <w:lang w:val="en-US" w:eastAsia="zh-CN" w:bidi="ar-SA"/>
              </w:rPr>
              <w:t>医院造成纠纷和经济损失由</w:t>
            </w:r>
            <w:r>
              <w:rPr>
                <w:rFonts w:hint="eastAsia" w:ascii="宋体" w:hAnsi="宋体" w:cs="宋体"/>
                <w:bCs/>
                <w:color w:val="auto"/>
                <w:kern w:val="2"/>
                <w:sz w:val="21"/>
                <w:szCs w:val="20"/>
                <w:highlight w:val="none"/>
                <w:lang w:val="en-US" w:eastAsia="zh-CN" w:bidi="ar-SA"/>
              </w:rPr>
              <w:t>中选方</w:t>
            </w:r>
            <w:r>
              <w:rPr>
                <w:rFonts w:hint="eastAsia" w:ascii="宋体" w:hAnsi="宋体" w:eastAsia="宋体" w:cs="宋体"/>
                <w:bCs/>
                <w:color w:val="auto"/>
                <w:kern w:val="2"/>
                <w:sz w:val="21"/>
                <w:szCs w:val="20"/>
                <w:highlight w:val="none"/>
                <w:lang w:val="en-US" w:eastAsia="zh-CN" w:bidi="ar-SA"/>
              </w:rPr>
              <w:t>承担全部责任。</w:t>
            </w:r>
          </w:p>
        </w:tc>
        <w:tc>
          <w:tcPr>
            <w:tcW w:w="3378" w:type="dxa"/>
            <w:vAlign w:val="center"/>
          </w:tcPr>
          <w:p w14:paraId="688AB489">
            <w:pPr>
              <w:rPr>
                <w:rFonts w:asciiTheme="minorEastAsia" w:hAnsiTheme="minorEastAsia" w:eastAsiaTheme="minorEastAsia"/>
                <w:szCs w:val="21"/>
              </w:rPr>
            </w:pPr>
          </w:p>
        </w:tc>
        <w:tc>
          <w:tcPr>
            <w:tcW w:w="1768" w:type="dxa"/>
            <w:vAlign w:val="center"/>
          </w:tcPr>
          <w:p w14:paraId="4243CD75">
            <w:pPr>
              <w:rPr>
                <w:rFonts w:asciiTheme="minorEastAsia" w:hAnsiTheme="minorEastAsia" w:eastAsiaTheme="minorEastAsia"/>
                <w:szCs w:val="21"/>
              </w:rPr>
            </w:pPr>
          </w:p>
        </w:tc>
        <w:tc>
          <w:tcPr>
            <w:tcW w:w="1409" w:type="dxa"/>
            <w:vAlign w:val="center"/>
          </w:tcPr>
          <w:p w14:paraId="3770171A">
            <w:pPr>
              <w:rPr>
                <w:rFonts w:asciiTheme="minorEastAsia" w:hAnsiTheme="minorEastAsia" w:eastAsiaTheme="minorEastAsia"/>
                <w:szCs w:val="21"/>
              </w:rPr>
            </w:pPr>
          </w:p>
        </w:tc>
      </w:tr>
      <w:tr w14:paraId="3D5481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6D0C3E3A">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26</w:t>
            </w:r>
          </w:p>
        </w:tc>
        <w:tc>
          <w:tcPr>
            <w:tcW w:w="3378" w:type="dxa"/>
            <w:vAlign w:val="center"/>
          </w:tcPr>
          <w:p w14:paraId="1ACED250">
            <w:pPr>
              <w:pStyle w:val="21"/>
              <w:spacing w:line="240" w:lineRule="auto"/>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 xml:space="preserve">13.1 平台模式：以医用物资智能化管理系统及院内物资配送为核心，与本地集采平台系统互联互通，通过对医院中心库（一级库）集中化管理，临床科室（二级库）精细化管理，实现多维度、可视化数据分析及监管的服务管理平台说明及运营管理方案。 </w:t>
            </w:r>
          </w:p>
        </w:tc>
        <w:tc>
          <w:tcPr>
            <w:tcW w:w="3378" w:type="dxa"/>
            <w:vAlign w:val="center"/>
          </w:tcPr>
          <w:p w14:paraId="0828A3B6">
            <w:pPr>
              <w:rPr>
                <w:rFonts w:asciiTheme="minorEastAsia" w:hAnsiTheme="minorEastAsia" w:eastAsiaTheme="minorEastAsia"/>
                <w:szCs w:val="21"/>
              </w:rPr>
            </w:pPr>
          </w:p>
        </w:tc>
        <w:tc>
          <w:tcPr>
            <w:tcW w:w="1768" w:type="dxa"/>
            <w:vAlign w:val="center"/>
          </w:tcPr>
          <w:p w14:paraId="2B7AC162">
            <w:pPr>
              <w:rPr>
                <w:rFonts w:asciiTheme="minorEastAsia" w:hAnsiTheme="minorEastAsia" w:eastAsiaTheme="minorEastAsia"/>
                <w:szCs w:val="21"/>
              </w:rPr>
            </w:pPr>
          </w:p>
        </w:tc>
        <w:tc>
          <w:tcPr>
            <w:tcW w:w="1409" w:type="dxa"/>
            <w:vAlign w:val="center"/>
          </w:tcPr>
          <w:p w14:paraId="5AC11852">
            <w:pPr>
              <w:rPr>
                <w:rFonts w:asciiTheme="minorEastAsia" w:hAnsiTheme="minorEastAsia" w:eastAsiaTheme="minorEastAsia"/>
                <w:szCs w:val="21"/>
              </w:rPr>
            </w:pPr>
          </w:p>
        </w:tc>
      </w:tr>
      <w:tr w14:paraId="7337F0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vAlign w:val="center"/>
          </w:tcPr>
          <w:p w14:paraId="4379D30A">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27</w:t>
            </w:r>
          </w:p>
        </w:tc>
        <w:tc>
          <w:tcPr>
            <w:tcW w:w="3378" w:type="dxa"/>
            <w:vAlign w:val="center"/>
          </w:tcPr>
          <w:p w14:paraId="174EA7A8">
            <w:pPr>
              <w:pStyle w:val="21"/>
              <w:spacing w:line="240" w:lineRule="auto"/>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13.2 结算模式：医院与医用物资供应商以临床实际使用消耗数据作为结算依据，按月结算，定期结付，实现医院“零库存资金”占用。</w:t>
            </w:r>
          </w:p>
        </w:tc>
        <w:tc>
          <w:tcPr>
            <w:tcW w:w="3378" w:type="dxa"/>
            <w:vAlign w:val="center"/>
          </w:tcPr>
          <w:p w14:paraId="5AD6FAAF">
            <w:pPr>
              <w:rPr>
                <w:rFonts w:asciiTheme="minorEastAsia" w:hAnsiTheme="minorEastAsia" w:eastAsiaTheme="minorEastAsia"/>
                <w:szCs w:val="21"/>
              </w:rPr>
            </w:pPr>
          </w:p>
        </w:tc>
        <w:tc>
          <w:tcPr>
            <w:tcW w:w="1768" w:type="dxa"/>
            <w:vAlign w:val="center"/>
          </w:tcPr>
          <w:p w14:paraId="3668B9A5">
            <w:pPr>
              <w:rPr>
                <w:rFonts w:asciiTheme="minorEastAsia" w:hAnsiTheme="minorEastAsia" w:eastAsiaTheme="minorEastAsia"/>
                <w:szCs w:val="21"/>
              </w:rPr>
            </w:pPr>
          </w:p>
        </w:tc>
        <w:tc>
          <w:tcPr>
            <w:tcW w:w="1409" w:type="dxa"/>
            <w:vAlign w:val="center"/>
          </w:tcPr>
          <w:p w14:paraId="2C6FFA3A">
            <w:pPr>
              <w:rPr>
                <w:rFonts w:asciiTheme="minorEastAsia" w:hAnsiTheme="minorEastAsia" w:eastAsiaTheme="minorEastAsia"/>
                <w:szCs w:val="21"/>
              </w:rPr>
            </w:pPr>
          </w:p>
        </w:tc>
      </w:tr>
      <w:tr w14:paraId="647D8D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799E12A1">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28</w:t>
            </w:r>
          </w:p>
        </w:tc>
        <w:tc>
          <w:tcPr>
            <w:tcW w:w="3378" w:type="dxa"/>
            <w:vAlign w:val="center"/>
          </w:tcPr>
          <w:p w14:paraId="2C1BA35C">
            <w:pPr>
              <w:pStyle w:val="21"/>
              <w:spacing w:line="240" w:lineRule="auto"/>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13.3 服务模式：专业的第三方运营团队实现院内物流精细化管理服务模式，按时保质的完成</w:t>
            </w:r>
            <w:r>
              <w:rPr>
                <w:rFonts w:hint="eastAsia" w:hAnsi="宋体" w:eastAsia="宋体" w:cs="宋体"/>
                <w:bCs/>
                <w:color w:val="auto"/>
                <w:kern w:val="2"/>
                <w:sz w:val="21"/>
                <w:szCs w:val="20"/>
                <w:highlight w:val="none"/>
                <w:lang w:val="en-US" w:eastAsia="zh-CN" w:bidi="ar-SA"/>
              </w:rPr>
              <w:t>采购人</w:t>
            </w:r>
            <w:r>
              <w:rPr>
                <w:rFonts w:hint="eastAsia" w:ascii="宋体" w:hAnsi="宋体" w:eastAsia="宋体" w:cs="宋体"/>
                <w:bCs/>
                <w:color w:val="auto"/>
                <w:kern w:val="2"/>
                <w:sz w:val="21"/>
                <w:szCs w:val="20"/>
                <w:highlight w:val="none"/>
                <w:lang w:val="en-US" w:eastAsia="zh-CN" w:bidi="ar-SA"/>
              </w:rPr>
              <w:t>院内物流各环节工作，对医用物资的整个供应环节中采购、验收、拣货、加工、下送、使用、结算进行全程监管。</w:t>
            </w:r>
          </w:p>
        </w:tc>
        <w:tc>
          <w:tcPr>
            <w:tcW w:w="3378" w:type="dxa"/>
            <w:vAlign w:val="center"/>
          </w:tcPr>
          <w:p w14:paraId="7AF571B3">
            <w:pPr>
              <w:rPr>
                <w:rFonts w:asciiTheme="minorEastAsia" w:hAnsiTheme="minorEastAsia" w:eastAsiaTheme="minorEastAsia"/>
                <w:szCs w:val="21"/>
              </w:rPr>
            </w:pPr>
          </w:p>
        </w:tc>
        <w:tc>
          <w:tcPr>
            <w:tcW w:w="1768" w:type="dxa"/>
            <w:vAlign w:val="center"/>
          </w:tcPr>
          <w:p w14:paraId="39550F95">
            <w:pPr>
              <w:rPr>
                <w:rFonts w:asciiTheme="minorEastAsia" w:hAnsiTheme="minorEastAsia" w:eastAsiaTheme="minorEastAsia"/>
                <w:szCs w:val="21"/>
              </w:rPr>
            </w:pPr>
          </w:p>
        </w:tc>
        <w:tc>
          <w:tcPr>
            <w:tcW w:w="1409" w:type="dxa"/>
            <w:vAlign w:val="center"/>
          </w:tcPr>
          <w:p w14:paraId="344BCBD9">
            <w:pPr>
              <w:rPr>
                <w:rFonts w:asciiTheme="minorEastAsia" w:hAnsiTheme="minorEastAsia" w:eastAsiaTheme="minorEastAsia"/>
                <w:szCs w:val="21"/>
              </w:rPr>
            </w:pPr>
          </w:p>
        </w:tc>
      </w:tr>
      <w:tr w14:paraId="79ED97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5D9647CA">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29</w:t>
            </w:r>
          </w:p>
        </w:tc>
        <w:tc>
          <w:tcPr>
            <w:tcW w:w="3378" w:type="dxa"/>
            <w:vAlign w:val="center"/>
          </w:tcPr>
          <w:p w14:paraId="775910B2">
            <w:pPr>
              <w:pStyle w:val="21"/>
              <w:spacing w:line="240" w:lineRule="auto"/>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 xml:space="preserve">13.4 </w:t>
            </w:r>
            <w:r>
              <w:rPr>
                <w:rFonts w:hint="eastAsia" w:hAnsi="宋体" w:eastAsia="宋体" w:cs="宋体"/>
                <w:bCs/>
                <w:color w:val="auto"/>
                <w:kern w:val="2"/>
                <w:sz w:val="21"/>
                <w:szCs w:val="20"/>
                <w:highlight w:val="none"/>
                <w:lang w:val="en-US" w:eastAsia="zh-CN" w:bidi="ar-SA"/>
              </w:rPr>
              <w:t>中选方</w:t>
            </w:r>
            <w:r>
              <w:rPr>
                <w:rFonts w:hint="eastAsia" w:ascii="宋体" w:hAnsi="宋体" w:eastAsia="宋体" w:cs="宋体"/>
                <w:bCs/>
                <w:color w:val="auto"/>
                <w:kern w:val="2"/>
                <w:sz w:val="21"/>
                <w:szCs w:val="20"/>
                <w:highlight w:val="none"/>
                <w:lang w:val="en-US" w:eastAsia="zh-CN" w:bidi="ar-SA"/>
              </w:rPr>
              <w:t>承担SPD平台的建设和合同期运营管理费用，包括但不限于SPD院内物流管理系统及相关配套硬件、软硬件维护、配送人员。</w:t>
            </w:r>
          </w:p>
        </w:tc>
        <w:tc>
          <w:tcPr>
            <w:tcW w:w="3378" w:type="dxa"/>
            <w:vAlign w:val="center"/>
          </w:tcPr>
          <w:p w14:paraId="11D12C39">
            <w:pPr>
              <w:rPr>
                <w:rFonts w:asciiTheme="minorEastAsia" w:hAnsiTheme="minorEastAsia" w:eastAsiaTheme="minorEastAsia"/>
                <w:szCs w:val="21"/>
              </w:rPr>
            </w:pPr>
          </w:p>
        </w:tc>
        <w:tc>
          <w:tcPr>
            <w:tcW w:w="1768" w:type="dxa"/>
            <w:vAlign w:val="center"/>
          </w:tcPr>
          <w:p w14:paraId="4B974CD2">
            <w:pPr>
              <w:rPr>
                <w:rFonts w:asciiTheme="minorEastAsia" w:hAnsiTheme="minorEastAsia" w:eastAsiaTheme="minorEastAsia"/>
                <w:szCs w:val="21"/>
              </w:rPr>
            </w:pPr>
          </w:p>
        </w:tc>
        <w:tc>
          <w:tcPr>
            <w:tcW w:w="1409" w:type="dxa"/>
            <w:vAlign w:val="center"/>
          </w:tcPr>
          <w:p w14:paraId="30C4A229">
            <w:pPr>
              <w:rPr>
                <w:rFonts w:asciiTheme="minorEastAsia" w:hAnsiTheme="minorEastAsia" w:eastAsiaTheme="minorEastAsia"/>
                <w:szCs w:val="21"/>
              </w:rPr>
            </w:pPr>
          </w:p>
        </w:tc>
      </w:tr>
      <w:tr w14:paraId="216A27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2819A611">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30</w:t>
            </w:r>
          </w:p>
        </w:tc>
        <w:tc>
          <w:tcPr>
            <w:tcW w:w="3378" w:type="dxa"/>
            <w:vAlign w:val="center"/>
          </w:tcPr>
          <w:p w14:paraId="48999BDF">
            <w:pPr>
              <w:pStyle w:val="21"/>
              <w:spacing w:line="240" w:lineRule="auto"/>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 xml:space="preserve">13.5 合同期内，如遇国家相关政策调整或与国家相关规定相抵触，按国家相关政策和规定执行。 </w:t>
            </w:r>
          </w:p>
        </w:tc>
        <w:tc>
          <w:tcPr>
            <w:tcW w:w="3378" w:type="dxa"/>
            <w:vAlign w:val="center"/>
          </w:tcPr>
          <w:p w14:paraId="7F2C7F5A">
            <w:pPr>
              <w:rPr>
                <w:rFonts w:asciiTheme="minorEastAsia" w:hAnsiTheme="minorEastAsia" w:eastAsiaTheme="minorEastAsia"/>
                <w:szCs w:val="21"/>
              </w:rPr>
            </w:pPr>
          </w:p>
        </w:tc>
        <w:tc>
          <w:tcPr>
            <w:tcW w:w="1768" w:type="dxa"/>
            <w:vAlign w:val="center"/>
          </w:tcPr>
          <w:p w14:paraId="0F9F8237">
            <w:pPr>
              <w:rPr>
                <w:rFonts w:asciiTheme="minorEastAsia" w:hAnsiTheme="minorEastAsia" w:eastAsiaTheme="minorEastAsia"/>
                <w:szCs w:val="21"/>
              </w:rPr>
            </w:pPr>
          </w:p>
        </w:tc>
        <w:tc>
          <w:tcPr>
            <w:tcW w:w="1409" w:type="dxa"/>
            <w:vAlign w:val="center"/>
          </w:tcPr>
          <w:p w14:paraId="197B158D">
            <w:pPr>
              <w:rPr>
                <w:rFonts w:asciiTheme="minorEastAsia" w:hAnsiTheme="minorEastAsia" w:eastAsiaTheme="minorEastAsia"/>
                <w:szCs w:val="21"/>
              </w:rPr>
            </w:pPr>
          </w:p>
        </w:tc>
      </w:tr>
      <w:tr w14:paraId="4DB6B7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28A1D41C">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31</w:t>
            </w:r>
          </w:p>
        </w:tc>
        <w:tc>
          <w:tcPr>
            <w:tcW w:w="3378" w:type="dxa"/>
            <w:vAlign w:val="center"/>
          </w:tcPr>
          <w:p w14:paraId="124B4148">
            <w:pPr>
              <w:pStyle w:val="21"/>
              <w:spacing w:line="240" w:lineRule="auto"/>
              <w:rPr>
                <w:rFonts w:hint="default" w:asciiTheme="minorEastAsia" w:hAnsiTheme="minorEastAsia" w:eastAsiaTheme="minorEastAsia"/>
                <w:szCs w:val="21"/>
                <w:lang w:val="en-US"/>
              </w:rPr>
            </w:pPr>
            <w:r>
              <w:rPr>
                <w:rFonts w:hint="eastAsia" w:ascii="宋体" w:hAnsi="宋体" w:eastAsia="宋体" w:cs="宋体"/>
                <w:bCs/>
                <w:color w:val="auto"/>
                <w:kern w:val="2"/>
                <w:sz w:val="21"/>
                <w:szCs w:val="20"/>
                <w:highlight w:val="none"/>
                <w:lang w:val="en-US" w:eastAsia="zh-CN" w:bidi="ar-SA"/>
              </w:rPr>
              <w:t>14.1.1</w:t>
            </w:r>
            <w:r>
              <w:rPr>
                <w:rFonts w:hint="eastAsia" w:hAnsi="宋体" w:eastAsia="宋体" w:cs="宋体"/>
                <w:bCs/>
                <w:color w:val="auto"/>
                <w:kern w:val="2"/>
                <w:sz w:val="21"/>
                <w:szCs w:val="20"/>
                <w:highlight w:val="none"/>
                <w:lang w:val="en-US" w:eastAsia="zh-CN" w:bidi="ar-SA"/>
              </w:rPr>
              <w:t xml:space="preserve"> </w:t>
            </w:r>
            <w:r>
              <w:rPr>
                <w:rFonts w:hint="eastAsia" w:ascii="宋体" w:hAnsi="宋体" w:eastAsia="宋体" w:cs="宋体"/>
                <w:bCs/>
                <w:color w:val="auto"/>
                <w:kern w:val="2"/>
                <w:sz w:val="21"/>
                <w:szCs w:val="20"/>
                <w:highlight w:val="none"/>
                <w:lang w:val="en-US" w:eastAsia="zh-CN" w:bidi="ar-SA"/>
              </w:rPr>
              <w:t>需满足</w:t>
            </w:r>
            <w:r>
              <w:rPr>
                <w:rFonts w:hint="eastAsia" w:hAnsi="宋体" w:eastAsia="宋体" w:cs="宋体"/>
                <w:bCs/>
                <w:color w:val="auto"/>
                <w:kern w:val="2"/>
                <w:sz w:val="21"/>
                <w:szCs w:val="20"/>
                <w:highlight w:val="none"/>
                <w:lang w:val="en-US" w:eastAsia="zh-CN" w:bidi="ar-SA"/>
              </w:rPr>
              <w:t>技术要求中，</w:t>
            </w:r>
            <w:r>
              <w:rPr>
                <w:rFonts w:hint="eastAsia" w:ascii="宋体" w:hAnsi="宋体" w:eastAsia="宋体" w:cs="宋体"/>
                <w:bCs/>
                <w:color w:val="auto"/>
                <w:kern w:val="2"/>
                <w:sz w:val="21"/>
                <w:szCs w:val="20"/>
                <w:highlight w:val="none"/>
                <w:lang w:val="en-US" w:eastAsia="zh-CN" w:bidi="ar-SA"/>
              </w:rPr>
              <w:t>服务器硬件配置参数要求，数量≥</w:t>
            </w:r>
            <w:r>
              <w:rPr>
                <w:rFonts w:hint="eastAsia" w:hAnsi="宋体" w:eastAsia="宋体" w:cs="宋体"/>
                <w:bCs/>
                <w:color w:val="auto"/>
                <w:kern w:val="2"/>
                <w:sz w:val="21"/>
                <w:szCs w:val="20"/>
                <w:highlight w:val="none"/>
                <w:lang w:val="en-US" w:eastAsia="zh-CN" w:bidi="ar-SA"/>
              </w:rPr>
              <w:t>2</w:t>
            </w:r>
            <w:r>
              <w:rPr>
                <w:rFonts w:hint="eastAsia" w:ascii="宋体" w:hAnsi="宋体" w:eastAsia="宋体" w:cs="宋体"/>
                <w:bCs/>
                <w:color w:val="auto"/>
                <w:kern w:val="2"/>
                <w:sz w:val="21"/>
                <w:szCs w:val="20"/>
                <w:highlight w:val="none"/>
                <w:lang w:val="en-US" w:eastAsia="zh-CN" w:bidi="ar-SA"/>
              </w:rPr>
              <w:t>台；</w:t>
            </w:r>
          </w:p>
        </w:tc>
        <w:tc>
          <w:tcPr>
            <w:tcW w:w="3378" w:type="dxa"/>
            <w:vAlign w:val="center"/>
          </w:tcPr>
          <w:p w14:paraId="45BC009C">
            <w:pPr>
              <w:rPr>
                <w:rFonts w:asciiTheme="minorEastAsia" w:hAnsiTheme="minorEastAsia" w:eastAsiaTheme="minorEastAsia"/>
                <w:szCs w:val="21"/>
              </w:rPr>
            </w:pPr>
          </w:p>
        </w:tc>
        <w:tc>
          <w:tcPr>
            <w:tcW w:w="1768" w:type="dxa"/>
            <w:vAlign w:val="center"/>
          </w:tcPr>
          <w:p w14:paraId="32FC5FC5">
            <w:pPr>
              <w:rPr>
                <w:rFonts w:asciiTheme="minorEastAsia" w:hAnsiTheme="minorEastAsia" w:eastAsiaTheme="minorEastAsia"/>
                <w:szCs w:val="21"/>
              </w:rPr>
            </w:pPr>
          </w:p>
        </w:tc>
        <w:tc>
          <w:tcPr>
            <w:tcW w:w="1409" w:type="dxa"/>
            <w:vAlign w:val="center"/>
          </w:tcPr>
          <w:p w14:paraId="0A45EFCF">
            <w:pPr>
              <w:rPr>
                <w:rFonts w:asciiTheme="minorEastAsia" w:hAnsiTheme="minorEastAsia" w:eastAsiaTheme="minorEastAsia"/>
                <w:szCs w:val="21"/>
              </w:rPr>
            </w:pPr>
          </w:p>
        </w:tc>
      </w:tr>
      <w:tr w14:paraId="6AC50D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57557C08">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32</w:t>
            </w:r>
          </w:p>
        </w:tc>
        <w:tc>
          <w:tcPr>
            <w:tcW w:w="3378" w:type="dxa"/>
            <w:vAlign w:val="center"/>
          </w:tcPr>
          <w:p w14:paraId="39D7315E">
            <w:pPr>
              <w:rPr>
                <w:rFonts w:hint="default" w:asciiTheme="minorEastAsia" w:hAnsiTheme="minorEastAsia" w:eastAsiaTheme="minorEastAsia"/>
                <w:szCs w:val="21"/>
                <w:lang w:val="en-US"/>
              </w:rPr>
            </w:pPr>
            <w:r>
              <w:rPr>
                <w:rFonts w:hint="eastAsia" w:ascii="宋体" w:hAnsi="宋体" w:eastAsia="宋体" w:cs="宋体"/>
                <w:bCs/>
                <w:color w:val="auto"/>
                <w:kern w:val="2"/>
                <w:sz w:val="21"/>
                <w:szCs w:val="20"/>
                <w:highlight w:val="none"/>
                <w:lang w:val="en-US" w:eastAsia="zh-CN" w:bidi="ar-SA"/>
              </w:rPr>
              <w:t>14.1.2</w:t>
            </w:r>
            <w:r>
              <w:rPr>
                <w:rFonts w:hint="eastAsia" w:ascii="宋体" w:hAnsi="宋体" w:cs="宋体"/>
                <w:bCs/>
                <w:color w:val="auto"/>
                <w:kern w:val="2"/>
                <w:sz w:val="21"/>
                <w:szCs w:val="20"/>
                <w:highlight w:val="none"/>
                <w:lang w:val="en-US" w:eastAsia="zh-CN" w:bidi="ar-SA"/>
              </w:rPr>
              <w:t xml:space="preserve"> </w:t>
            </w:r>
            <w:r>
              <w:rPr>
                <w:rFonts w:hint="eastAsia" w:ascii="宋体" w:hAnsi="宋体" w:eastAsia="宋体" w:cs="宋体"/>
                <w:bCs/>
                <w:color w:val="auto"/>
                <w:kern w:val="2"/>
                <w:sz w:val="21"/>
                <w:szCs w:val="20"/>
                <w:highlight w:val="none"/>
                <w:lang w:val="en-US" w:eastAsia="zh-CN" w:bidi="ar-SA"/>
              </w:rPr>
              <w:t>需满足</w:t>
            </w:r>
            <w:r>
              <w:rPr>
                <w:rFonts w:hint="eastAsia" w:hAnsi="宋体" w:eastAsia="宋体" w:cs="宋体"/>
                <w:bCs/>
                <w:color w:val="auto"/>
                <w:kern w:val="2"/>
                <w:sz w:val="21"/>
                <w:szCs w:val="20"/>
                <w:highlight w:val="none"/>
                <w:lang w:val="en-US" w:eastAsia="zh-CN" w:bidi="ar-SA"/>
              </w:rPr>
              <w:t>技术要求中，</w:t>
            </w:r>
            <w:r>
              <w:rPr>
                <w:rFonts w:hint="eastAsia" w:ascii="宋体" w:hAnsi="宋体" w:eastAsia="宋体" w:cs="宋体"/>
                <w:bCs/>
                <w:color w:val="auto"/>
                <w:kern w:val="2"/>
                <w:sz w:val="21"/>
                <w:szCs w:val="20"/>
                <w:highlight w:val="none"/>
                <w:lang w:val="en-US" w:eastAsia="zh-CN" w:bidi="ar-SA"/>
              </w:rPr>
              <w:t>存储硬件配置参数要求，数量≥</w:t>
            </w:r>
            <w:r>
              <w:rPr>
                <w:rFonts w:hint="eastAsia" w:ascii="宋体" w:hAnsi="宋体" w:cs="宋体"/>
                <w:bCs/>
                <w:color w:val="auto"/>
                <w:kern w:val="2"/>
                <w:sz w:val="21"/>
                <w:szCs w:val="20"/>
                <w:highlight w:val="none"/>
                <w:lang w:val="en-US" w:eastAsia="zh-CN" w:bidi="ar-SA"/>
              </w:rPr>
              <w:t>1</w:t>
            </w:r>
            <w:r>
              <w:rPr>
                <w:rFonts w:hint="eastAsia" w:ascii="宋体" w:hAnsi="宋体" w:eastAsia="宋体" w:cs="宋体"/>
                <w:bCs/>
                <w:color w:val="auto"/>
                <w:kern w:val="2"/>
                <w:sz w:val="21"/>
                <w:szCs w:val="20"/>
                <w:highlight w:val="none"/>
                <w:lang w:val="en-US" w:eastAsia="zh-CN" w:bidi="ar-SA"/>
              </w:rPr>
              <w:t>台；</w:t>
            </w:r>
          </w:p>
        </w:tc>
        <w:tc>
          <w:tcPr>
            <w:tcW w:w="3378" w:type="dxa"/>
            <w:vAlign w:val="center"/>
          </w:tcPr>
          <w:p w14:paraId="40BF8917">
            <w:pPr>
              <w:rPr>
                <w:rFonts w:asciiTheme="minorEastAsia" w:hAnsiTheme="minorEastAsia" w:eastAsiaTheme="minorEastAsia"/>
                <w:szCs w:val="21"/>
              </w:rPr>
            </w:pPr>
          </w:p>
        </w:tc>
        <w:tc>
          <w:tcPr>
            <w:tcW w:w="1768" w:type="dxa"/>
            <w:vAlign w:val="center"/>
          </w:tcPr>
          <w:p w14:paraId="2D1D843A">
            <w:pPr>
              <w:rPr>
                <w:rFonts w:asciiTheme="minorEastAsia" w:hAnsiTheme="minorEastAsia" w:eastAsiaTheme="minorEastAsia"/>
                <w:szCs w:val="21"/>
              </w:rPr>
            </w:pPr>
          </w:p>
        </w:tc>
        <w:tc>
          <w:tcPr>
            <w:tcW w:w="1409" w:type="dxa"/>
            <w:vAlign w:val="center"/>
          </w:tcPr>
          <w:p w14:paraId="11562EBA">
            <w:pPr>
              <w:rPr>
                <w:rFonts w:asciiTheme="minorEastAsia" w:hAnsiTheme="minorEastAsia" w:eastAsiaTheme="minorEastAsia"/>
                <w:szCs w:val="21"/>
              </w:rPr>
            </w:pPr>
          </w:p>
        </w:tc>
      </w:tr>
      <w:tr w14:paraId="0B2C5C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41D26A3F">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33</w:t>
            </w:r>
          </w:p>
        </w:tc>
        <w:tc>
          <w:tcPr>
            <w:tcW w:w="3378" w:type="dxa"/>
            <w:vAlign w:val="center"/>
          </w:tcPr>
          <w:p w14:paraId="46D8B2A7">
            <w:pPr>
              <w:rPr>
                <w:rFonts w:hint="default" w:asciiTheme="minorEastAsia" w:hAnsiTheme="minorEastAsia" w:eastAsiaTheme="minorEastAsia"/>
                <w:szCs w:val="21"/>
                <w:lang w:val="en-US"/>
              </w:rPr>
            </w:pPr>
            <w:r>
              <w:rPr>
                <w:rFonts w:hint="eastAsia" w:ascii="宋体" w:hAnsi="宋体" w:eastAsia="宋体" w:cs="宋体"/>
                <w:bCs/>
                <w:color w:val="auto"/>
                <w:kern w:val="2"/>
                <w:sz w:val="21"/>
                <w:szCs w:val="20"/>
                <w:highlight w:val="none"/>
                <w:lang w:val="en-US" w:eastAsia="zh-CN" w:bidi="ar-SA"/>
              </w:rPr>
              <w:t>14.1.</w:t>
            </w:r>
            <w:r>
              <w:rPr>
                <w:rFonts w:hint="eastAsia" w:ascii="宋体" w:hAnsi="宋体" w:cs="宋体"/>
                <w:bCs/>
                <w:color w:val="auto"/>
                <w:kern w:val="2"/>
                <w:sz w:val="21"/>
                <w:szCs w:val="20"/>
                <w:highlight w:val="none"/>
                <w:lang w:val="en-US" w:eastAsia="zh-CN" w:bidi="ar-SA"/>
              </w:rPr>
              <w:t xml:space="preserve">3 </w:t>
            </w:r>
            <w:r>
              <w:rPr>
                <w:rFonts w:hint="eastAsia" w:ascii="宋体" w:hAnsi="宋体" w:eastAsia="宋体" w:cs="宋体"/>
                <w:bCs/>
                <w:color w:val="auto"/>
                <w:kern w:val="2"/>
                <w:sz w:val="21"/>
                <w:szCs w:val="20"/>
                <w:highlight w:val="none"/>
                <w:lang w:val="en-US" w:eastAsia="zh-CN" w:bidi="ar-SA"/>
              </w:rPr>
              <w:t>需满足技术要求中，光纤交换机硬件配置参数要求，数量≥</w:t>
            </w:r>
            <w:r>
              <w:rPr>
                <w:rFonts w:hint="eastAsia" w:ascii="宋体" w:hAnsi="宋体" w:cs="宋体"/>
                <w:bCs/>
                <w:color w:val="auto"/>
                <w:kern w:val="2"/>
                <w:sz w:val="21"/>
                <w:szCs w:val="20"/>
                <w:highlight w:val="none"/>
                <w:lang w:val="en-US" w:eastAsia="zh-CN" w:bidi="ar-SA"/>
              </w:rPr>
              <w:t>1</w:t>
            </w:r>
            <w:r>
              <w:rPr>
                <w:rFonts w:hint="eastAsia" w:ascii="宋体" w:hAnsi="宋体" w:eastAsia="宋体" w:cs="宋体"/>
                <w:bCs/>
                <w:color w:val="auto"/>
                <w:kern w:val="2"/>
                <w:sz w:val="21"/>
                <w:szCs w:val="20"/>
                <w:highlight w:val="none"/>
                <w:lang w:val="en-US" w:eastAsia="zh-CN" w:bidi="ar-SA"/>
              </w:rPr>
              <w:t>台</w:t>
            </w:r>
            <w:r>
              <w:rPr>
                <w:rFonts w:hint="eastAsia" w:hAnsi="宋体" w:eastAsia="宋体" w:cs="宋体"/>
                <w:bCs/>
                <w:color w:val="auto"/>
                <w:kern w:val="2"/>
                <w:sz w:val="21"/>
                <w:szCs w:val="20"/>
                <w:highlight w:val="none"/>
                <w:lang w:val="en-US" w:eastAsia="zh-CN" w:bidi="ar-SA"/>
              </w:rPr>
              <w:t>；</w:t>
            </w:r>
          </w:p>
        </w:tc>
        <w:tc>
          <w:tcPr>
            <w:tcW w:w="3378" w:type="dxa"/>
            <w:vAlign w:val="center"/>
          </w:tcPr>
          <w:p w14:paraId="65D1525B">
            <w:pPr>
              <w:rPr>
                <w:rFonts w:asciiTheme="minorEastAsia" w:hAnsiTheme="minorEastAsia" w:eastAsiaTheme="minorEastAsia"/>
                <w:szCs w:val="21"/>
              </w:rPr>
            </w:pPr>
          </w:p>
        </w:tc>
        <w:tc>
          <w:tcPr>
            <w:tcW w:w="1768" w:type="dxa"/>
            <w:vAlign w:val="center"/>
          </w:tcPr>
          <w:p w14:paraId="0B609205">
            <w:pPr>
              <w:rPr>
                <w:rFonts w:asciiTheme="minorEastAsia" w:hAnsiTheme="minorEastAsia" w:eastAsiaTheme="minorEastAsia"/>
                <w:szCs w:val="21"/>
              </w:rPr>
            </w:pPr>
          </w:p>
        </w:tc>
        <w:tc>
          <w:tcPr>
            <w:tcW w:w="1409" w:type="dxa"/>
            <w:vAlign w:val="center"/>
          </w:tcPr>
          <w:p w14:paraId="4BAB0AC3">
            <w:pPr>
              <w:rPr>
                <w:rFonts w:asciiTheme="minorEastAsia" w:hAnsiTheme="minorEastAsia" w:eastAsiaTheme="minorEastAsia"/>
                <w:szCs w:val="21"/>
              </w:rPr>
            </w:pPr>
          </w:p>
        </w:tc>
      </w:tr>
      <w:tr w14:paraId="2ACF16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26CB6210">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34</w:t>
            </w:r>
          </w:p>
        </w:tc>
        <w:tc>
          <w:tcPr>
            <w:tcW w:w="3378" w:type="dxa"/>
            <w:vAlign w:val="center"/>
          </w:tcPr>
          <w:p w14:paraId="6924DDA6">
            <w:pPr>
              <w:rPr>
                <w:rFonts w:hint="default" w:asciiTheme="minorEastAsia" w:hAnsiTheme="minorEastAsia" w:eastAsiaTheme="minorEastAsia"/>
                <w:szCs w:val="21"/>
                <w:lang w:val="en-US"/>
              </w:rPr>
            </w:pPr>
            <w:r>
              <w:rPr>
                <w:rFonts w:hint="eastAsia" w:ascii="宋体" w:hAnsi="宋体" w:eastAsia="宋体" w:cs="宋体"/>
                <w:bCs/>
                <w:color w:val="auto"/>
                <w:kern w:val="2"/>
                <w:sz w:val="21"/>
                <w:szCs w:val="20"/>
                <w:highlight w:val="none"/>
                <w:lang w:val="en-US" w:eastAsia="zh-CN" w:bidi="ar-SA"/>
              </w:rPr>
              <w:t>14.1.</w:t>
            </w:r>
            <w:r>
              <w:rPr>
                <w:rFonts w:hint="eastAsia" w:ascii="宋体" w:hAnsi="宋体" w:cs="宋体"/>
                <w:bCs/>
                <w:color w:val="auto"/>
                <w:kern w:val="2"/>
                <w:sz w:val="21"/>
                <w:szCs w:val="20"/>
                <w:highlight w:val="none"/>
                <w:lang w:val="en-US" w:eastAsia="zh-CN" w:bidi="ar-SA"/>
              </w:rPr>
              <w:t>4</w:t>
            </w:r>
            <w:r>
              <w:rPr>
                <w:rFonts w:hint="eastAsia" w:ascii="宋体" w:hAnsi="宋体" w:eastAsia="宋体" w:cs="宋体"/>
                <w:bCs/>
                <w:color w:val="auto"/>
                <w:kern w:val="2"/>
                <w:sz w:val="21"/>
                <w:szCs w:val="20"/>
                <w:highlight w:val="none"/>
                <w:lang w:val="en-US" w:eastAsia="zh-CN" w:bidi="ar-SA"/>
              </w:rPr>
              <w:t xml:space="preserve"> 需满足技术要求中，扫码一体机硬件配置参数要求，</w:t>
            </w:r>
            <w:r>
              <w:rPr>
                <w:rFonts w:hint="eastAsia" w:ascii="宋体" w:hAnsi="宋体" w:cs="宋体"/>
                <w:bCs/>
                <w:color w:val="auto"/>
                <w:kern w:val="2"/>
                <w:sz w:val="21"/>
                <w:szCs w:val="20"/>
                <w:highlight w:val="none"/>
                <w:lang w:val="en-US" w:eastAsia="zh-CN" w:bidi="ar-SA"/>
              </w:rPr>
              <w:t>按需配备；</w:t>
            </w:r>
          </w:p>
        </w:tc>
        <w:tc>
          <w:tcPr>
            <w:tcW w:w="3378" w:type="dxa"/>
            <w:vAlign w:val="center"/>
          </w:tcPr>
          <w:p w14:paraId="38C5194F">
            <w:pPr>
              <w:rPr>
                <w:rFonts w:asciiTheme="minorEastAsia" w:hAnsiTheme="minorEastAsia" w:eastAsiaTheme="minorEastAsia"/>
                <w:szCs w:val="21"/>
              </w:rPr>
            </w:pPr>
          </w:p>
        </w:tc>
        <w:tc>
          <w:tcPr>
            <w:tcW w:w="1768" w:type="dxa"/>
            <w:vAlign w:val="center"/>
          </w:tcPr>
          <w:p w14:paraId="3A6D0B66">
            <w:pPr>
              <w:rPr>
                <w:rFonts w:asciiTheme="minorEastAsia" w:hAnsiTheme="minorEastAsia" w:eastAsiaTheme="minorEastAsia"/>
                <w:szCs w:val="21"/>
              </w:rPr>
            </w:pPr>
          </w:p>
        </w:tc>
        <w:tc>
          <w:tcPr>
            <w:tcW w:w="1409" w:type="dxa"/>
            <w:vAlign w:val="center"/>
          </w:tcPr>
          <w:p w14:paraId="549853C1">
            <w:pPr>
              <w:rPr>
                <w:rFonts w:asciiTheme="minorEastAsia" w:hAnsiTheme="minorEastAsia" w:eastAsiaTheme="minorEastAsia"/>
                <w:szCs w:val="21"/>
              </w:rPr>
            </w:pPr>
          </w:p>
        </w:tc>
      </w:tr>
      <w:tr w14:paraId="728310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4783DB51">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35</w:t>
            </w:r>
          </w:p>
        </w:tc>
        <w:tc>
          <w:tcPr>
            <w:tcW w:w="3378" w:type="dxa"/>
            <w:vAlign w:val="center"/>
          </w:tcPr>
          <w:p w14:paraId="6F3363BA">
            <w:pPr>
              <w:rPr>
                <w:rFonts w:hint="default" w:asciiTheme="minorEastAsia" w:hAnsiTheme="minorEastAsia" w:eastAsiaTheme="minorEastAsia"/>
                <w:szCs w:val="21"/>
                <w:lang w:val="en-US"/>
              </w:rPr>
            </w:pPr>
            <w:r>
              <w:rPr>
                <w:rFonts w:hint="eastAsia" w:ascii="宋体" w:hAnsi="宋体" w:eastAsia="宋体" w:cs="宋体"/>
                <w:bCs/>
                <w:color w:val="auto"/>
                <w:kern w:val="2"/>
                <w:sz w:val="21"/>
                <w:szCs w:val="20"/>
                <w:highlight w:val="none"/>
                <w:lang w:val="en-US" w:eastAsia="zh-CN" w:bidi="ar-SA"/>
              </w:rPr>
              <w:t>14.1.5 需满足技术要求中，手持PDA 硬件配置参数要求，</w:t>
            </w:r>
            <w:r>
              <w:rPr>
                <w:rFonts w:hint="eastAsia" w:ascii="宋体" w:hAnsi="宋体" w:cs="宋体"/>
                <w:bCs/>
                <w:color w:val="auto"/>
                <w:kern w:val="2"/>
                <w:sz w:val="21"/>
                <w:szCs w:val="20"/>
                <w:highlight w:val="none"/>
                <w:lang w:val="en-US" w:eastAsia="zh-CN" w:bidi="ar-SA"/>
              </w:rPr>
              <w:t>按需配备；</w:t>
            </w:r>
          </w:p>
        </w:tc>
        <w:tc>
          <w:tcPr>
            <w:tcW w:w="3378" w:type="dxa"/>
            <w:vAlign w:val="center"/>
          </w:tcPr>
          <w:p w14:paraId="778A52DE">
            <w:pPr>
              <w:rPr>
                <w:rFonts w:asciiTheme="minorEastAsia" w:hAnsiTheme="minorEastAsia" w:eastAsiaTheme="minorEastAsia"/>
                <w:szCs w:val="21"/>
              </w:rPr>
            </w:pPr>
          </w:p>
        </w:tc>
        <w:tc>
          <w:tcPr>
            <w:tcW w:w="1768" w:type="dxa"/>
            <w:vAlign w:val="center"/>
          </w:tcPr>
          <w:p w14:paraId="132FC490">
            <w:pPr>
              <w:rPr>
                <w:rFonts w:asciiTheme="minorEastAsia" w:hAnsiTheme="minorEastAsia" w:eastAsiaTheme="minorEastAsia"/>
                <w:szCs w:val="21"/>
              </w:rPr>
            </w:pPr>
          </w:p>
        </w:tc>
        <w:tc>
          <w:tcPr>
            <w:tcW w:w="1409" w:type="dxa"/>
            <w:vAlign w:val="center"/>
          </w:tcPr>
          <w:p w14:paraId="120464DB">
            <w:pPr>
              <w:rPr>
                <w:rFonts w:asciiTheme="minorEastAsia" w:hAnsiTheme="minorEastAsia" w:eastAsiaTheme="minorEastAsia"/>
                <w:szCs w:val="21"/>
              </w:rPr>
            </w:pPr>
          </w:p>
        </w:tc>
      </w:tr>
      <w:tr w14:paraId="177608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846" w:type="dxa"/>
            <w:vAlign w:val="center"/>
          </w:tcPr>
          <w:p w14:paraId="65F3AB78">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36</w:t>
            </w:r>
          </w:p>
        </w:tc>
        <w:tc>
          <w:tcPr>
            <w:tcW w:w="3378" w:type="dxa"/>
            <w:vAlign w:val="center"/>
          </w:tcPr>
          <w:p w14:paraId="10EF7165">
            <w:pPr>
              <w:rPr>
                <w:rFonts w:hint="default" w:asciiTheme="minorEastAsia" w:hAnsiTheme="minorEastAsia" w:eastAsiaTheme="minorEastAsia"/>
                <w:szCs w:val="21"/>
                <w:lang w:val="en-US"/>
              </w:rPr>
            </w:pPr>
            <w:r>
              <w:rPr>
                <w:rFonts w:hint="eastAsia" w:ascii="宋体" w:hAnsi="宋体" w:eastAsia="宋体" w:cs="宋体"/>
                <w:bCs/>
                <w:color w:val="auto"/>
                <w:kern w:val="2"/>
                <w:sz w:val="21"/>
                <w:szCs w:val="20"/>
                <w:highlight w:val="none"/>
                <w:lang w:val="en-US" w:eastAsia="zh-CN" w:bidi="ar-SA"/>
              </w:rPr>
              <w:t>14.1.6.1 高值耗材智能柜：主柜尺寸参照≥930mm（宽）*600mm(深)*1930mm(高)，副柜尺寸参照≥675mm（宽）*600mm(深)*1930mm(高)；</w:t>
            </w:r>
          </w:p>
        </w:tc>
        <w:tc>
          <w:tcPr>
            <w:tcW w:w="3378" w:type="dxa"/>
            <w:vAlign w:val="center"/>
          </w:tcPr>
          <w:p w14:paraId="21C91ED8">
            <w:pPr>
              <w:rPr>
                <w:rFonts w:asciiTheme="minorEastAsia" w:hAnsiTheme="minorEastAsia" w:eastAsiaTheme="minorEastAsia"/>
                <w:szCs w:val="21"/>
              </w:rPr>
            </w:pPr>
          </w:p>
        </w:tc>
        <w:tc>
          <w:tcPr>
            <w:tcW w:w="1768" w:type="dxa"/>
            <w:vAlign w:val="center"/>
          </w:tcPr>
          <w:p w14:paraId="24234082">
            <w:pPr>
              <w:rPr>
                <w:rFonts w:asciiTheme="minorEastAsia" w:hAnsiTheme="minorEastAsia" w:eastAsiaTheme="minorEastAsia"/>
                <w:szCs w:val="21"/>
              </w:rPr>
            </w:pPr>
          </w:p>
        </w:tc>
        <w:tc>
          <w:tcPr>
            <w:tcW w:w="1409" w:type="dxa"/>
            <w:vAlign w:val="center"/>
          </w:tcPr>
          <w:p w14:paraId="52A0A541">
            <w:pPr>
              <w:rPr>
                <w:rFonts w:asciiTheme="minorEastAsia" w:hAnsiTheme="minorEastAsia" w:eastAsiaTheme="minorEastAsia"/>
                <w:szCs w:val="21"/>
              </w:rPr>
            </w:pPr>
          </w:p>
        </w:tc>
      </w:tr>
      <w:tr w14:paraId="23164B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74E74047">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37</w:t>
            </w:r>
          </w:p>
        </w:tc>
        <w:tc>
          <w:tcPr>
            <w:tcW w:w="3378" w:type="dxa"/>
            <w:vAlign w:val="center"/>
          </w:tcPr>
          <w:p w14:paraId="63B08F39">
            <w:pPr>
              <w:rPr>
                <w:rFonts w:hint="default" w:asciiTheme="minorEastAsia" w:hAnsiTheme="minorEastAsia" w:eastAsiaTheme="minorEastAsia"/>
                <w:szCs w:val="21"/>
                <w:lang w:val="en-US"/>
              </w:rPr>
            </w:pPr>
            <w:r>
              <w:rPr>
                <w:rFonts w:hint="eastAsia" w:ascii="宋体" w:hAnsi="宋体" w:eastAsia="宋体" w:cs="宋体"/>
                <w:bCs/>
                <w:color w:val="auto"/>
                <w:kern w:val="2"/>
                <w:sz w:val="21"/>
                <w:szCs w:val="20"/>
                <w:highlight w:val="none"/>
                <w:lang w:val="en-US" w:eastAsia="zh-CN" w:bidi="ar-SA"/>
              </w:rPr>
              <w:t>14.1.6.2 高值耗材智能柜</w:t>
            </w:r>
            <w:r>
              <w:rPr>
                <w:rFonts w:hint="eastAsia" w:ascii="宋体" w:hAnsi="宋体" w:cs="宋体"/>
                <w:bCs/>
                <w:color w:val="auto"/>
                <w:kern w:val="2"/>
                <w:sz w:val="21"/>
                <w:szCs w:val="20"/>
                <w:highlight w:val="none"/>
                <w:lang w:val="en-US" w:eastAsia="zh-CN" w:bidi="ar-SA"/>
              </w:rPr>
              <w:t>：</w:t>
            </w:r>
            <w:r>
              <w:rPr>
                <w:rFonts w:hint="eastAsia" w:ascii="宋体" w:hAnsi="宋体" w:eastAsia="宋体" w:cs="宋体"/>
                <w:bCs/>
                <w:color w:val="auto"/>
                <w:kern w:val="2"/>
                <w:sz w:val="21"/>
                <w:szCs w:val="20"/>
                <w:highlight w:val="none"/>
                <w:lang w:val="en-US" w:eastAsia="zh-CN" w:bidi="ar-SA"/>
              </w:rPr>
              <w:t>RFID标签符合标准：ISO 18000-6C；识读频率：860MHZ～960MHZ；</w:t>
            </w:r>
          </w:p>
        </w:tc>
        <w:tc>
          <w:tcPr>
            <w:tcW w:w="3378" w:type="dxa"/>
            <w:vAlign w:val="center"/>
          </w:tcPr>
          <w:p w14:paraId="25035EDF">
            <w:pPr>
              <w:rPr>
                <w:rFonts w:asciiTheme="minorEastAsia" w:hAnsiTheme="minorEastAsia" w:eastAsiaTheme="minorEastAsia"/>
                <w:szCs w:val="21"/>
              </w:rPr>
            </w:pPr>
          </w:p>
        </w:tc>
        <w:tc>
          <w:tcPr>
            <w:tcW w:w="1768" w:type="dxa"/>
            <w:vAlign w:val="center"/>
          </w:tcPr>
          <w:p w14:paraId="6EC30A79">
            <w:pPr>
              <w:rPr>
                <w:rFonts w:asciiTheme="minorEastAsia" w:hAnsiTheme="minorEastAsia" w:eastAsiaTheme="minorEastAsia"/>
                <w:szCs w:val="21"/>
              </w:rPr>
            </w:pPr>
          </w:p>
        </w:tc>
        <w:tc>
          <w:tcPr>
            <w:tcW w:w="1409" w:type="dxa"/>
            <w:vAlign w:val="center"/>
          </w:tcPr>
          <w:p w14:paraId="2A5C8AEB">
            <w:pPr>
              <w:rPr>
                <w:rFonts w:asciiTheme="minorEastAsia" w:hAnsiTheme="minorEastAsia" w:eastAsiaTheme="minorEastAsia"/>
                <w:szCs w:val="21"/>
              </w:rPr>
            </w:pPr>
          </w:p>
        </w:tc>
      </w:tr>
      <w:tr w14:paraId="4543DC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0E50814A">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38</w:t>
            </w:r>
          </w:p>
        </w:tc>
        <w:tc>
          <w:tcPr>
            <w:tcW w:w="3378" w:type="dxa"/>
            <w:vAlign w:val="center"/>
          </w:tcPr>
          <w:p w14:paraId="2830E8ED">
            <w:pPr>
              <w:numPr>
                <w:ilvl w:val="0"/>
                <w:numId w:val="0"/>
              </w:numPr>
              <w:snapToGrid w:val="0"/>
              <w:spacing w:line="240" w:lineRule="auto"/>
              <w:rPr>
                <w:rFonts w:hint="default" w:asciiTheme="minorEastAsia" w:hAnsiTheme="minorEastAsia" w:eastAsiaTheme="minorEastAsia"/>
                <w:szCs w:val="21"/>
                <w:lang w:val="en-US"/>
              </w:rPr>
            </w:pPr>
            <w:r>
              <w:rPr>
                <w:rFonts w:hint="eastAsia" w:ascii="宋体" w:hAnsi="宋体" w:eastAsia="宋体" w:cs="宋体"/>
                <w:bCs/>
                <w:color w:val="auto"/>
                <w:kern w:val="2"/>
                <w:sz w:val="21"/>
                <w:szCs w:val="20"/>
                <w:highlight w:val="none"/>
                <w:lang w:val="en-US" w:eastAsia="zh-CN" w:bidi="ar-SA"/>
              </w:rPr>
              <w:t>14.1.6.4 高值耗材智能柜：具有货品出入库自动追踪管理功能；</w:t>
            </w:r>
          </w:p>
        </w:tc>
        <w:tc>
          <w:tcPr>
            <w:tcW w:w="3378" w:type="dxa"/>
            <w:vAlign w:val="center"/>
          </w:tcPr>
          <w:p w14:paraId="3A167AC5">
            <w:pPr>
              <w:rPr>
                <w:rFonts w:asciiTheme="minorEastAsia" w:hAnsiTheme="minorEastAsia" w:eastAsiaTheme="minorEastAsia"/>
                <w:szCs w:val="21"/>
              </w:rPr>
            </w:pPr>
          </w:p>
        </w:tc>
        <w:tc>
          <w:tcPr>
            <w:tcW w:w="1768" w:type="dxa"/>
            <w:vAlign w:val="center"/>
          </w:tcPr>
          <w:p w14:paraId="638ED3B0">
            <w:pPr>
              <w:rPr>
                <w:rFonts w:asciiTheme="minorEastAsia" w:hAnsiTheme="minorEastAsia" w:eastAsiaTheme="minorEastAsia"/>
                <w:szCs w:val="21"/>
              </w:rPr>
            </w:pPr>
          </w:p>
        </w:tc>
        <w:tc>
          <w:tcPr>
            <w:tcW w:w="1409" w:type="dxa"/>
            <w:vAlign w:val="center"/>
          </w:tcPr>
          <w:p w14:paraId="114BEA54">
            <w:pPr>
              <w:rPr>
                <w:rFonts w:asciiTheme="minorEastAsia" w:hAnsiTheme="minorEastAsia" w:eastAsiaTheme="minorEastAsia"/>
                <w:szCs w:val="21"/>
              </w:rPr>
            </w:pPr>
          </w:p>
        </w:tc>
      </w:tr>
      <w:tr w14:paraId="2CF47B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228CD58A">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39</w:t>
            </w:r>
          </w:p>
        </w:tc>
        <w:tc>
          <w:tcPr>
            <w:tcW w:w="3378" w:type="dxa"/>
            <w:vAlign w:val="center"/>
          </w:tcPr>
          <w:p w14:paraId="1DB31BAB">
            <w:pPr>
              <w:rPr>
                <w:rFonts w:hint="default"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14.1.6.5 高值耗材智能柜：具有库存自动盘点和预警功能；</w:t>
            </w:r>
          </w:p>
        </w:tc>
        <w:tc>
          <w:tcPr>
            <w:tcW w:w="3378" w:type="dxa"/>
            <w:vAlign w:val="center"/>
          </w:tcPr>
          <w:p w14:paraId="4DA4B4DC">
            <w:pPr>
              <w:rPr>
                <w:rFonts w:asciiTheme="minorEastAsia" w:hAnsiTheme="minorEastAsia" w:eastAsiaTheme="minorEastAsia"/>
                <w:szCs w:val="21"/>
              </w:rPr>
            </w:pPr>
          </w:p>
        </w:tc>
        <w:tc>
          <w:tcPr>
            <w:tcW w:w="1768" w:type="dxa"/>
            <w:vAlign w:val="center"/>
          </w:tcPr>
          <w:p w14:paraId="7D5D14A4">
            <w:pPr>
              <w:rPr>
                <w:rFonts w:asciiTheme="minorEastAsia" w:hAnsiTheme="minorEastAsia" w:eastAsiaTheme="minorEastAsia"/>
                <w:szCs w:val="21"/>
              </w:rPr>
            </w:pPr>
          </w:p>
        </w:tc>
        <w:tc>
          <w:tcPr>
            <w:tcW w:w="1409" w:type="dxa"/>
            <w:vAlign w:val="center"/>
          </w:tcPr>
          <w:p w14:paraId="3D315CCC">
            <w:pPr>
              <w:rPr>
                <w:rFonts w:asciiTheme="minorEastAsia" w:hAnsiTheme="minorEastAsia" w:eastAsiaTheme="minorEastAsia"/>
                <w:szCs w:val="21"/>
              </w:rPr>
            </w:pPr>
          </w:p>
        </w:tc>
      </w:tr>
      <w:tr w14:paraId="2CFF0F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6F155C8B">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40</w:t>
            </w:r>
          </w:p>
        </w:tc>
        <w:tc>
          <w:tcPr>
            <w:tcW w:w="3378" w:type="dxa"/>
            <w:vAlign w:val="center"/>
          </w:tcPr>
          <w:p w14:paraId="72A65D0F">
            <w:pPr>
              <w:rPr>
                <w:rFonts w:hint="default"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14.1.6.7 高值耗材智能柜：可多台联动，可由一台柜体组合控制多台柜体满足科室使用需求；</w:t>
            </w:r>
          </w:p>
        </w:tc>
        <w:tc>
          <w:tcPr>
            <w:tcW w:w="3378" w:type="dxa"/>
            <w:vAlign w:val="center"/>
          </w:tcPr>
          <w:p w14:paraId="54CE9E5C">
            <w:pPr>
              <w:rPr>
                <w:rFonts w:asciiTheme="minorEastAsia" w:hAnsiTheme="minorEastAsia" w:eastAsiaTheme="minorEastAsia"/>
                <w:szCs w:val="21"/>
              </w:rPr>
            </w:pPr>
          </w:p>
        </w:tc>
        <w:tc>
          <w:tcPr>
            <w:tcW w:w="1768" w:type="dxa"/>
            <w:vAlign w:val="center"/>
          </w:tcPr>
          <w:p w14:paraId="705C22E8">
            <w:pPr>
              <w:rPr>
                <w:rFonts w:asciiTheme="minorEastAsia" w:hAnsiTheme="minorEastAsia" w:eastAsiaTheme="minorEastAsia"/>
                <w:szCs w:val="21"/>
              </w:rPr>
            </w:pPr>
          </w:p>
        </w:tc>
        <w:tc>
          <w:tcPr>
            <w:tcW w:w="1409" w:type="dxa"/>
            <w:vAlign w:val="center"/>
          </w:tcPr>
          <w:p w14:paraId="452F57F0">
            <w:pPr>
              <w:rPr>
                <w:rFonts w:asciiTheme="minorEastAsia" w:hAnsiTheme="minorEastAsia" w:eastAsiaTheme="minorEastAsia"/>
                <w:szCs w:val="21"/>
              </w:rPr>
            </w:pPr>
          </w:p>
        </w:tc>
      </w:tr>
      <w:tr w14:paraId="2623A1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0610E58C">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41</w:t>
            </w:r>
          </w:p>
        </w:tc>
        <w:tc>
          <w:tcPr>
            <w:tcW w:w="3378" w:type="dxa"/>
            <w:vAlign w:val="center"/>
          </w:tcPr>
          <w:p w14:paraId="4D3C8EED">
            <w:pPr>
              <w:rPr>
                <w:rFonts w:hint="default"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14.1.6.8 高值耗材智能柜：必须支持调节内部空间层，方便挂件和摆件随意使用；</w:t>
            </w:r>
          </w:p>
        </w:tc>
        <w:tc>
          <w:tcPr>
            <w:tcW w:w="3378" w:type="dxa"/>
            <w:vAlign w:val="center"/>
          </w:tcPr>
          <w:p w14:paraId="13380D96">
            <w:pPr>
              <w:rPr>
                <w:rFonts w:asciiTheme="minorEastAsia" w:hAnsiTheme="minorEastAsia" w:eastAsiaTheme="minorEastAsia"/>
                <w:szCs w:val="21"/>
              </w:rPr>
            </w:pPr>
          </w:p>
        </w:tc>
        <w:tc>
          <w:tcPr>
            <w:tcW w:w="1768" w:type="dxa"/>
            <w:vAlign w:val="center"/>
          </w:tcPr>
          <w:p w14:paraId="3C6D8D1A">
            <w:pPr>
              <w:rPr>
                <w:rFonts w:asciiTheme="minorEastAsia" w:hAnsiTheme="minorEastAsia" w:eastAsiaTheme="minorEastAsia"/>
                <w:szCs w:val="21"/>
              </w:rPr>
            </w:pPr>
          </w:p>
        </w:tc>
        <w:tc>
          <w:tcPr>
            <w:tcW w:w="1409" w:type="dxa"/>
            <w:vAlign w:val="center"/>
          </w:tcPr>
          <w:p w14:paraId="22DF7903">
            <w:pPr>
              <w:rPr>
                <w:rFonts w:asciiTheme="minorEastAsia" w:hAnsiTheme="minorEastAsia" w:eastAsiaTheme="minorEastAsia"/>
                <w:szCs w:val="21"/>
              </w:rPr>
            </w:pPr>
          </w:p>
        </w:tc>
      </w:tr>
      <w:tr w14:paraId="4F331C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04F3808B">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42</w:t>
            </w:r>
          </w:p>
        </w:tc>
        <w:tc>
          <w:tcPr>
            <w:tcW w:w="3378" w:type="dxa"/>
            <w:vAlign w:val="center"/>
          </w:tcPr>
          <w:p w14:paraId="003B8BE4">
            <w:pPr>
              <w:rPr>
                <w:rFonts w:hint="default"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14.1.6.10 高值耗材智能柜：智能柜门体具备屏蔽信号，以防止取出RFID标签后对剩余标签信号采集产生干扰 ，提供第三方检测报告；</w:t>
            </w:r>
          </w:p>
        </w:tc>
        <w:tc>
          <w:tcPr>
            <w:tcW w:w="3378" w:type="dxa"/>
            <w:vAlign w:val="center"/>
          </w:tcPr>
          <w:p w14:paraId="56C1350E">
            <w:pPr>
              <w:rPr>
                <w:rFonts w:asciiTheme="minorEastAsia" w:hAnsiTheme="minorEastAsia" w:eastAsiaTheme="minorEastAsia"/>
                <w:szCs w:val="21"/>
              </w:rPr>
            </w:pPr>
          </w:p>
        </w:tc>
        <w:tc>
          <w:tcPr>
            <w:tcW w:w="1768" w:type="dxa"/>
            <w:vAlign w:val="center"/>
          </w:tcPr>
          <w:p w14:paraId="59019561">
            <w:pPr>
              <w:rPr>
                <w:rFonts w:asciiTheme="minorEastAsia" w:hAnsiTheme="minorEastAsia" w:eastAsiaTheme="minorEastAsia"/>
                <w:szCs w:val="21"/>
              </w:rPr>
            </w:pPr>
          </w:p>
        </w:tc>
        <w:tc>
          <w:tcPr>
            <w:tcW w:w="1409" w:type="dxa"/>
            <w:vAlign w:val="center"/>
          </w:tcPr>
          <w:p w14:paraId="7E09D662">
            <w:pPr>
              <w:rPr>
                <w:rFonts w:asciiTheme="minorEastAsia" w:hAnsiTheme="minorEastAsia" w:eastAsiaTheme="minorEastAsia"/>
                <w:szCs w:val="21"/>
              </w:rPr>
            </w:pPr>
          </w:p>
        </w:tc>
      </w:tr>
      <w:tr w14:paraId="2CC097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56EAD0A9">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43</w:t>
            </w:r>
          </w:p>
        </w:tc>
        <w:tc>
          <w:tcPr>
            <w:tcW w:w="3378" w:type="dxa"/>
            <w:vAlign w:val="center"/>
          </w:tcPr>
          <w:p w14:paraId="0B2E1410">
            <w:pPr>
              <w:rPr>
                <w:rFonts w:hint="default"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14.1.6.11 高值耗材智能柜：具备RFID定数耗材实时追踪功能，对SPD库房出入库进行追踪；</w:t>
            </w:r>
          </w:p>
        </w:tc>
        <w:tc>
          <w:tcPr>
            <w:tcW w:w="3378" w:type="dxa"/>
            <w:vAlign w:val="center"/>
          </w:tcPr>
          <w:p w14:paraId="75D0B852">
            <w:pPr>
              <w:rPr>
                <w:rFonts w:asciiTheme="minorEastAsia" w:hAnsiTheme="minorEastAsia" w:eastAsiaTheme="minorEastAsia"/>
                <w:szCs w:val="21"/>
              </w:rPr>
            </w:pPr>
          </w:p>
        </w:tc>
        <w:tc>
          <w:tcPr>
            <w:tcW w:w="1768" w:type="dxa"/>
            <w:vAlign w:val="center"/>
          </w:tcPr>
          <w:p w14:paraId="68B1C9C3">
            <w:pPr>
              <w:rPr>
                <w:rFonts w:asciiTheme="minorEastAsia" w:hAnsiTheme="minorEastAsia" w:eastAsiaTheme="minorEastAsia"/>
                <w:szCs w:val="21"/>
              </w:rPr>
            </w:pPr>
          </w:p>
        </w:tc>
        <w:tc>
          <w:tcPr>
            <w:tcW w:w="1409" w:type="dxa"/>
            <w:vAlign w:val="center"/>
          </w:tcPr>
          <w:p w14:paraId="510B6D69">
            <w:pPr>
              <w:rPr>
                <w:rFonts w:asciiTheme="minorEastAsia" w:hAnsiTheme="minorEastAsia" w:eastAsiaTheme="minorEastAsia"/>
                <w:szCs w:val="21"/>
              </w:rPr>
            </w:pPr>
          </w:p>
        </w:tc>
      </w:tr>
      <w:tr w14:paraId="239B96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6566D0EE">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44</w:t>
            </w:r>
          </w:p>
        </w:tc>
        <w:tc>
          <w:tcPr>
            <w:tcW w:w="3378" w:type="dxa"/>
            <w:vAlign w:val="center"/>
          </w:tcPr>
          <w:p w14:paraId="14480451">
            <w:pPr>
              <w:rPr>
                <w:rFonts w:hint="default"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14.1.6.12 高值耗材智能柜：显示模块：≥15寸液晶显示及触摸屏，镶嵌在柜门上，减少空间浪费；</w:t>
            </w:r>
          </w:p>
        </w:tc>
        <w:tc>
          <w:tcPr>
            <w:tcW w:w="3378" w:type="dxa"/>
            <w:vAlign w:val="center"/>
          </w:tcPr>
          <w:p w14:paraId="7B2B33BF">
            <w:pPr>
              <w:rPr>
                <w:rFonts w:asciiTheme="minorEastAsia" w:hAnsiTheme="minorEastAsia" w:eastAsiaTheme="minorEastAsia"/>
                <w:szCs w:val="21"/>
              </w:rPr>
            </w:pPr>
          </w:p>
        </w:tc>
        <w:tc>
          <w:tcPr>
            <w:tcW w:w="1768" w:type="dxa"/>
            <w:vAlign w:val="center"/>
          </w:tcPr>
          <w:p w14:paraId="5CC37967">
            <w:pPr>
              <w:rPr>
                <w:rFonts w:asciiTheme="minorEastAsia" w:hAnsiTheme="minorEastAsia" w:eastAsiaTheme="minorEastAsia"/>
                <w:szCs w:val="21"/>
              </w:rPr>
            </w:pPr>
          </w:p>
        </w:tc>
        <w:tc>
          <w:tcPr>
            <w:tcW w:w="1409" w:type="dxa"/>
            <w:vAlign w:val="center"/>
          </w:tcPr>
          <w:p w14:paraId="4833504D">
            <w:pPr>
              <w:rPr>
                <w:rFonts w:asciiTheme="minorEastAsia" w:hAnsiTheme="minorEastAsia" w:eastAsiaTheme="minorEastAsia"/>
                <w:szCs w:val="21"/>
              </w:rPr>
            </w:pPr>
          </w:p>
        </w:tc>
      </w:tr>
      <w:tr w14:paraId="07698D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752F7E49">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45</w:t>
            </w:r>
          </w:p>
        </w:tc>
        <w:tc>
          <w:tcPr>
            <w:tcW w:w="3378" w:type="dxa"/>
            <w:vAlign w:val="center"/>
          </w:tcPr>
          <w:p w14:paraId="1F4AF60D">
            <w:pPr>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14.1.6.13 高值耗材智能柜：移动及调节特性 : 自带万向轮，同时带有 4 个不锈钢调整脚，柜子可以移动到任意位置，调整脚可任意调节。</w:t>
            </w:r>
          </w:p>
        </w:tc>
        <w:tc>
          <w:tcPr>
            <w:tcW w:w="3378" w:type="dxa"/>
            <w:vAlign w:val="center"/>
          </w:tcPr>
          <w:p w14:paraId="66FAEB27">
            <w:pPr>
              <w:rPr>
                <w:rFonts w:asciiTheme="minorEastAsia" w:hAnsiTheme="minorEastAsia" w:eastAsiaTheme="minorEastAsia"/>
                <w:szCs w:val="21"/>
              </w:rPr>
            </w:pPr>
          </w:p>
        </w:tc>
        <w:tc>
          <w:tcPr>
            <w:tcW w:w="1768" w:type="dxa"/>
            <w:vAlign w:val="center"/>
          </w:tcPr>
          <w:p w14:paraId="627CBFA6">
            <w:pPr>
              <w:rPr>
                <w:rFonts w:asciiTheme="minorEastAsia" w:hAnsiTheme="minorEastAsia" w:eastAsiaTheme="minorEastAsia"/>
                <w:szCs w:val="21"/>
              </w:rPr>
            </w:pPr>
          </w:p>
        </w:tc>
        <w:tc>
          <w:tcPr>
            <w:tcW w:w="1409" w:type="dxa"/>
            <w:vAlign w:val="center"/>
          </w:tcPr>
          <w:p w14:paraId="23F911B1">
            <w:pPr>
              <w:rPr>
                <w:rFonts w:asciiTheme="minorEastAsia" w:hAnsiTheme="minorEastAsia" w:eastAsiaTheme="minorEastAsia"/>
                <w:szCs w:val="21"/>
              </w:rPr>
            </w:pPr>
          </w:p>
        </w:tc>
      </w:tr>
      <w:tr w14:paraId="283BF8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2F0C3810">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46</w:t>
            </w:r>
          </w:p>
        </w:tc>
        <w:tc>
          <w:tcPr>
            <w:tcW w:w="3378" w:type="dxa"/>
            <w:vAlign w:val="center"/>
          </w:tcPr>
          <w:p w14:paraId="68C4935A">
            <w:pPr>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高值耗材智能柜数量按需配备；</w:t>
            </w:r>
          </w:p>
        </w:tc>
        <w:tc>
          <w:tcPr>
            <w:tcW w:w="3378" w:type="dxa"/>
            <w:vAlign w:val="center"/>
          </w:tcPr>
          <w:p w14:paraId="56A64077">
            <w:pPr>
              <w:rPr>
                <w:rFonts w:asciiTheme="minorEastAsia" w:hAnsiTheme="minorEastAsia" w:eastAsiaTheme="minorEastAsia"/>
                <w:szCs w:val="21"/>
              </w:rPr>
            </w:pPr>
          </w:p>
        </w:tc>
        <w:tc>
          <w:tcPr>
            <w:tcW w:w="1768" w:type="dxa"/>
            <w:vAlign w:val="center"/>
          </w:tcPr>
          <w:p w14:paraId="04C60C4D">
            <w:pPr>
              <w:rPr>
                <w:rFonts w:asciiTheme="minorEastAsia" w:hAnsiTheme="minorEastAsia" w:eastAsiaTheme="minorEastAsia"/>
                <w:szCs w:val="21"/>
              </w:rPr>
            </w:pPr>
          </w:p>
        </w:tc>
        <w:tc>
          <w:tcPr>
            <w:tcW w:w="1409" w:type="dxa"/>
            <w:vAlign w:val="center"/>
          </w:tcPr>
          <w:p w14:paraId="4054C9C2">
            <w:pPr>
              <w:rPr>
                <w:rFonts w:asciiTheme="minorEastAsia" w:hAnsiTheme="minorEastAsia" w:eastAsiaTheme="minorEastAsia"/>
                <w:szCs w:val="21"/>
              </w:rPr>
            </w:pPr>
          </w:p>
        </w:tc>
      </w:tr>
      <w:tr w14:paraId="6CDECE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384DB9F3">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47</w:t>
            </w:r>
          </w:p>
        </w:tc>
        <w:tc>
          <w:tcPr>
            <w:tcW w:w="3378" w:type="dxa"/>
            <w:vAlign w:val="center"/>
          </w:tcPr>
          <w:p w14:paraId="7C5D1F8A">
            <w:pPr>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15.3智能柜管理平台</w:t>
            </w:r>
            <w:r>
              <w:rPr>
                <w:rFonts w:hint="eastAsia" w:ascii="宋体" w:hAnsi="宋体" w:cs="宋体"/>
                <w:bCs/>
                <w:color w:val="auto"/>
                <w:kern w:val="2"/>
                <w:sz w:val="21"/>
                <w:szCs w:val="20"/>
                <w:highlight w:val="none"/>
                <w:lang w:val="en-US" w:eastAsia="zh-CN" w:bidi="ar-SA"/>
              </w:rPr>
              <w:t>。</w:t>
            </w:r>
            <w:r>
              <w:rPr>
                <w:rFonts w:hint="eastAsia" w:hAnsi="宋体" w:eastAsia="宋体" w:cs="宋体"/>
                <w:b/>
                <w:bCs w:val="0"/>
                <w:color w:val="FF0000"/>
                <w:kern w:val="2"/>
                <w:sz w:val="21"/>
                <w:szCs w:val="20"/>
                <w:highlight w:val="none"/>
                <w:lang w:val="en-US" w:eastAsia="zh-CN" w:bidi="ar-SA"/>
              </w:rPr>
              <w:t>需</w:t>
            </w:r>
            <w:r>
              <w:rPr>
                <w:rFonts w:hint="eastAsia" w:ascii="宋体" w:hAnsi="宋体" w:eastAsia="宋体" w:cs="宋体"/>
                <w:b/>
                <w:bCs w:val="0"/>
                <w:color w:val="FF0000"/>
                <w:kern w:val="2"/>
                <w:sz w:val="21"/>
                <w:szCs w:val="20"/>
                <w:highlight w:val="none"/>
                <w:lang w:val="en-US" w:eastAsia="zh-CN" w:bidi="ar-SA"/>
              </w:rPr>
              <w:t>满足本</w:t>
            </w:r>
            <w:r>
              <w:rPr>
                <w:rFonts w:hint="eastAsia" w:hAnsi="宋体" w:eastAsia="宋体" w:cs="宋体"/>
                <w:b/>
                <w:bCs w:val="0"/>
                <w:color w:val="FF0000"/>
                <w:kern w:val="2"/>
                <w:sz w:val="21"/>
                <w:szCs w:val="20"/>
                <w:highlight w:val="none"/>
                <w:lang w:val="en-US" w:eastAsia="zh-CN" w:bidi="ar-SA"/>
              </w:rPr>
              <w:t>条款所有</w:t>
            </w:r>
            <w:r>
              <w:rPr>
                <w:rFonts w:hint="eastAsia" w:ascii="宋体" w:hAnsi="宋体" w:eastAsia="宋体" w:cs="宋体"/>
                <w:b/>
                <w:bCs w:val="0"/>
                <w:color w:val="FF0000"/>
                <w:kern w:val="2"/>
                <w:sz w:val="21"/>
                <w:szCs w:val="20"/>
                <w:highlight w:val="none"/>
                <w:lang w:val="zh-CN" w:eastAsia="zh-CN" w:bidi="ar-SA"/>
              </w:rPr>
              <w:t>子功能</w:t>
            </w:r>
            <w:r>
              <w:rPr>
                <w:rFonts w:hint="eastAsia" w:hAnsi="宋体" w:eastAsia="宋体" w:cs="宋体"/>
                <w:b/>
                <w:bCs w:val="0"/>
                <w:color w:val="FF0000"/>
                <w:kern w:val="2"/>
                <w:sz w:val="21"/>
                <w:szCs w:val="20"/>
                <w:highlight w:val="none"/>
                <w:lang w:val="zh-CN" w:eastAsia="zh-CN" w:bidi="ar-SA"/>
              </w:rPr>
              <w:t>。</w:t>
            </w:r>
          </w:p>
        </w:tc>
        <w:tc>
          <w:tcPr>
            <w:tcW w:w="3378" w:type="dxa"/>
            <w:vAlign w:val="center"/>
          </w:tcPr>
          <w:p w14:paraId="70E3C228">
            <w:pPr>
              <w:rPr>
                <w:rFonts w:asciiTheme="minorEastAsia" w:hAnsiTheme="minorEastAsia" w:eastAsiaTheme="minorEastAsia"/>
                <w:szCs w:val="21"/>
              </w:rPr>
            </w:pPr>
          </w:p>
        </w:tc>
        <w:tc>
          <w:tcPr>
            <w:tcW w:w="1768" w:type="dxa"/>
            <w:vAlign w:val="center"/>
          </w:tcPr>
          <w:p w14:paraId="0B853E2F">
            <w:pPr>
              <w:rPr>
                <w:rFonts w:asciiTheme="minorEastAsia" w:hAnsiTheme="minorEastAsia" w:eastAsiaTheme="minorEastAsia"/>
                <w:szCs w:val="21"/>
              </w:rPr>
            </w:pPr>
          </w:p>
        </w:tc>
        <w:tc>
          <w:tcPr>
            <w:tcW w:w="1409" w:type="dxa"/>
            <w:vAlign w:val="center"/>
          </w:tcPr>
          <w:p w14:paraId="7F9B3ACA">
            <w:pPr>
              <w:rPr>
                <w:rFonts w:asciiTheme="minorEastAsia" w:hAnsiTheme="minorEastAsia" w:eastAsiaTheme="minorEastAsia"/>
                <w:szCs w:val="21"/>
              </w:rPr>
            </w:pPr>
          </w:p>
        </w:tc>
      </w:tr>
      <w:tr w14:paraId="4B9B60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68738123">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48</w:t>
            </w:r>
          </w:p>
        </w:tc>
        <w:tc>
          <w:tcPr>
            <w:tcW w:w="3378" w:type="dxa"/>
            <w:vAlign w:val="center"/>
          </w:tcPr>
          <w:p w14:paraId="243F9EF7">
            <w:pPr>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15.4移动终端应用平台，通过 PDA或APP 实现移动业务办公，快速扫码等仓储业务。</w:t>
            </w:r>
            <w:r>
              <w:rPr>
                <w:rFonts w:hint="eastAsia" w:hAnsi="宋体" w:eastAsia="宋体" w:cs="宋体"/>
                <w:b/>
                <w:bCs w:val="0"/>
                <w:color w:val="FF0000"/>
                <w:kern w:val="2"/>
                <w:sz w:val="21"/>
                <w:szCs w:val="20"/>
                <w:highlight w:val="none"/>
                <w:lang w:val="en-US" w:eastAsia="zh-CN" w:bidi="ar-SA"/>
              </w:rPr>
              <w:t>需</w:t>
            </w:r>
            <w:r>
              <w:rPr>
                <w:rFonts w:hint="eastAsia" w:ascii="宋体" w:hAnsi="宋体" w:eastAsia="宋体" w:cs="宋体"/>
                <w:b/>
                <w:bCs w:val="0"/>
                <w:color w:val="FF0000"/>
                <w:kern w:val="2"/>
                <w:sz w:val="21"/>
                <w:szCs w:val="20"/>
                <w:highlight w:val="none"/>
                <w:lang w:val="en-US" w:eastAsia="zh-CN" w:bidi="ar-SA"/>
              </w:rPr>
              <w:t>满足本</w:t>
            </w:r>
            <w:r>
              <w:rPr>
                <w:rFonts w:hint="eastAsia" w:hAnsi="宋体" w:eastAsia="宋体" w:cs="宋体"/>
                <w:b/>
                <w:bCs w:val="0"/>
                <w:color w:val="FF0000"/>
                <w:kern w:val="2"/>
                <w:sz w:val="21"/>
                <w:szCs w:val="20"/>
                <w:highlight w:val="none"/>
                <w:lang w:val="en-US" w:eastAsia="zh-CN" w:bidi="ar-SA"/>
              </w:rPr>
              <w:t>条款所有</w:t>
            </w:r>
            <w:r>
              <w:rPr>
                <w:rFonts w:hint="eastAsia" w:ascii="宋体" w:hAnsi="宋体" w:eastAsia="宋体" w:cs="宋体"/>
                <w:b/>
                <w:bCs w:val="0"/>
                <w:color w:val="FF0000"/>
                <w:kern w:val="2"/>
                <w:sz w:val="21"/>
                <w:szCs w:val="20"/>
                <w:highlight w:val="none"/>
                <w:lang w:val="zh-CN" w:eastAsia="zh-CN" w:bidi="ar-SA"/>
              </w:rPr>
              <w:t>子功能</w:t>
            </w:r>
            <w:r>
              <w:rPr>
                <w:rFonts w:hint="eastAsia" w:hAnsi="宋体" w:eastAsia="宋体" w:cs="宋体"/>
                <w:b/>
                <w:bCs w:val="0"/>
                <w:color w:val="FF0000"/>
                <w:kern w:val="2"/>
                <w:sz w:val="21"/>
                <w:szCs w:val="20"/>
                <w:highlight w:val="none"/>
                <w:lang w:val="zh-CN" w:eastAsia="zh-CN" w:bidi="ar-SA"/>
              </w:rPr>
              <w:t>。</w:t>
            </w:r>
          </w:p>
        </w:tc>
        <w:tc>
          <w:tcPr>
            <w:tcW w:w="3378" w:type="dxa"/>
            <w:vAlign w:val="center"/>
          </w:tcPr>
          <w:p w14:paraId="25B0B38B">
            <w:pPr>
              <w:rPr>
                <w:rFonts w:asciiTheme="minorEastAsia" w:hAnsiTheme="minorEastAsia" w:eastAsiaTheme="minorEastAsia"/>
                <w:szCs w:val="21"/>
              </w:rPr>
            </w:pPr>
          </w:p>
        </w:tc>
        <w:tc>
          <w:tcPr>
            <w:tcW w:w="1768" w:type="dxa"/>
            <w:vAlign w:val="center"/>
          </w:tcPr>
          <w:p w14:paraId="321A31D2">
            <w:pPr>
              <w:rPr>
                <w:rFonts w:asciiTheme="minorEastAsia" w:hAnsiTheme="minorEastAsia" w:eastAsiaTheme="minorEastAsia"/>
                <w:szCs w:val="21"/>
              </w:rPr>
            </w:pPr>
          </w:p>
        </w:tc>
        <w:tc>
          <w:tcPr>
            <w:tcW w:w="1409" w:type="dxa"/>
            <w:vAlign w:val="center"/>
          </w:tcPr>
          <w:p w14:paraId="39596EDD">
            <w:pPr>
              <w:rPr>
                <w:rFonts w:asciiTheme="minorEastAsia" w:hAnsiTheme="minorEastAsia" w:eastAsiaTheme="minorEastAsia"/>
                <w:szCs w:val="21"/>
              </w:rPr>
            </w:pPr>
          </w:p>
        </w:tc>
      </w:tr>
      <w:tr w14:paraId="7408B8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72CB701F">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49</w:t>
            </w:r>
          </w:p>
        </w:tc>
        <w:tc>
          <w:tcPr>
            <w:tcW w:w="3378" w:type="dxa"/>
            <w:vAlign w:val="center"/>
          </w:tcPr>
          <w:p w14:paraId="691FB4DE">
            <w:pPr>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 xml:space="preserve">15.5 事物通知服务平台，通过手机APP或短信实时获取系统消息、审批订单、处理订单等，实现高效的协同办公。 </w:t>
            </w:r>
            <w:r>
              <w:rPr>
                <w:rFonts w:hint="eastAsia" w:hAnsi="宋体" w:eastAsia="宋体" w:cs="宋体"/>
                <w:b/>
                <w:bCs w:val="0"/>
                <w:color w:val="FF0000"/>
                <w:kern w:val="2"/>
                <w:sz w:val="21"/>
                <w:szCs w:val="20"/>
                <w:highlight w:val="none"/>
                <w:lang w:val="en-US" w:eastAsia="zh-CN" w:bidi="ar-SA"/>
              </w:rPr>
              <w:t>需</w:t>
            </w:r>
            <w:r>
              <w:rPr>
                <w:rFonts w:hint="eastAsia" w:ascii="宋体" w:hAnsi="宋体" w:eastAsia="宋体" w:cs="宋体"/>
                <w:b/>
                <w:bCs w:val="0"/>
                <w:color w:val="FF0000"/>
                <w:kern w:val="2"/>
                <w:sz w:val="21"/>
                <w:szCs w:val="20"/>
                <w:highlight w:val="none"/>
                <w:lang w:val="en-US" w:eastAsia="zh-CN" w:bidi="ar-SA"/>
              </w:rPr>
              <w:t>满足本</w:t>
            </w:r>
            <w:r>
              <w:rPr>
                <w:rFonts w:hint="eastAsia" w:hAnsi="宋体" w:eastAsia="宋体" w:cs="宋体"/>
                <w:b/>
                <w:bCs w:val="0"/>
                <w:color w:val="FF0000"/>
                <w:kern w:val="2"/>
                <w:sz w:val="21"/>
                <w:szCs w:val="20"/>
                <w:highlight w:val="none"/>
                <w:lang w:val="en-US" w:eastAsia="zh-CN" w:bidi="ar-SA"/>
              </w:rPr>
              <w:t>条款所有</w:t>
            </w:r>
            <w:r>
              <w:rPr>
                <w:rFonts w:hint="eastAsia" w:ascii="宋体" w:hAnsi="宋体" w:eastAsia="宋体" w:cs="宋体"/>
                <w:b/>
                <w:bCs w:val="0"/>
                <w:color w:val="FF0000"/>
                <w:kern w:val="2"/>
                <w:sz w:val="21"/>
                <w:szCs w:val="20"/>
                <w:highlight w:val="none"/>
                <w:lang w:val="zh-CN" w:eastAsia="zh-CN" w:bidi="ar-SA"/>
              </w:rPr>
              <w:t>子功能</w:t>
            </w:r>
            <w:r>
              <w:rPr>
                <w:rFonts w:hint="eastAsia" w:hAnsi="宋体" w:eastAsia="宋体" w:cs="宋体"/>
                <w:b/>
                <w:bCs w:val="0"/>
                <w:color w:val="FF0000"/>
                <w:kern w:val="2"/>
                <w:sz w:val="21"/>
                <w:szCs w:val="20"/>
                <w:highlight w:val="none"/>
                <w:lang w:val="zh-CN" w:eastAsia="zh-CN" w:bidi="ar-SA"/>
              </w:rPr>
              <w:t>。</w:t>
            </w:r>
          </w:p>
        </w:tc>
        <w:tc>
          <w:tcPr>
            <w:tcW w:w="3378" w:type="dxa"/>
            <w:vAlign w:val="center"/>
          </w:tcPr>
          <w:p w14:paraId="2A601507">
            <w:pPr>
              <w:rPr>
                <w:rFonts w:asciiTheme="minorEastAsia" w:hAnsiTheme="minorEastAsia" w:eastAsiaTheme="minorEastAsia"/>
                <w:szCs w:val="21"/>
              </w:rPr>
            </w:pPr>
          </w:p>
        </w:tc>
        <w:tc>
          <w:tcPr>
            <w:tcW w:w="1768" w:type="dxa"/>
            <w:vAlign w:val="center"/>
          </w:tcPr>
          <w:p w14:paraId="3FF7EC22">
            <w:pPr>
              <w:rPr>
                <w:rFonts w:asciiTheme="minorEastAsia" w:hAnsiTheme="minorEastAsia" w:eastAsiaTheme="minorEastAsia"/>
                <w:szCs w:val="21"/>
              </w:rPr>
            </w:pPr>
          </w:p>
        </w:tc>
        <w:tc>
          <w:tcPr>
            <w:tcW w:w="1409" w:type="dxa"/>
            <w:vAlign w:val="center"/>
          </w:tcPr>
          <w:p w14:paraId="0F0E039E">
            <w:pPr>
              <w:rPr>
                <w:rFonts w:asciiTheme="minorEastAsia" w:hAnsiTheme="minorEastAsia" w:eastAsiaTheme="minorEastAsia"/>
                <w:szCs w:val="21"/>
              </w:rPr>
            </w:pPr>
          </w:p>
        </w:tc>
      </w:tr>
      <w:tr w14:paraId="425958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2F034ECE">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50</w:t>
            </w:r>
          </w:p>
        </w:tc>
        <w:tc>
          <w:tcPr>
            <w:tcW w:w="3378" w:type="dxa"/>
            <w:vAlign w:val="center"/>
          </w:tcPr>
          <w:p w14:paraId="79202D97">
            <w:pPr>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 xml:space="preserve">15.6  BI 数据决策分析平台，为医院提供多维度的可视化数据展示和数据监控；医院不同科室根据实际业务需求自由配置，为医院运营提供可靠的数据支撑。 </w:t>
            </w:r>
            <w:r>
              <w:rPr>
                <w:rFonts w:hint="eastAsia" w:hAnsi="宋体" w:eastAsia="宋体" w:cs="宋体"/>
                <w:b/>
                <w:bCs w:val="0"/>
                <w:color w:val="FF0000"/>
                <w:kern w:val="2"/>
                <w:sz w:val="21"/>
                <w:szCs w:val="20"/>
                <w:highlight w:val="none"/>
                <w:lang w:val="en-US" w:eastAsia="zh-CN" w:bidi="ar-SA"/>
              </w:rPr>
              <w:t>需</w:t>
            </w:r>
            <w:r>
              <w:rPr>
                <w:rFonts w:hint="eastAsia" w:ascii="宋体" w:hAnsi="宋体" w:eastAsia="宋体" w:cs="宋体"/>
                <w:b/>
                <w:bCs w:val="0"/>
                <w:color w:val="FF0000"/>
                <w:kern w:val="2"/>
                <w:sz w:val="21"/>
                <w:szCs w:val="20"/>
                <w:highlight w:val="none"/>
                <w:lang w:val="en-US" w:eastAsia="zh-CN" w:bidi="ar-SA"/>
              </w:rPr>
              <w:t>满足本</w:t>
            </w:r>
            <w:r>
              <w:rPr>
                <w:rFonts w:hint="eastAsia" w:hAnsi="宋体" w:eastAsia="宋体" w:cs="宋体"/>
                <w:b/>
                <w:bCs w:val="0"/>
                <w:color w:val="FF0000"/>
                <w:kern w:val="2"/>
                <w:sz w:val="21"/>
                <w:szCs w:val="20"/>
                <w:highlight w:val="none"/>
                <w:lang w:val="en-US" w:eastAsia="zh-CN" w:bidi="ar-SA"/>
              </w:rPr>
              <w:t>条款所有</w:t>
            </w:r>
            <w:r>
              <w:rPr>
                <w:rFonts w:hint="eastAsia" w:ascii="宋体" w:hAnsi="宋体" w:eastAsia="宋体" w:cs="宋体"/>
                <w:b/>
                <w:bCs w:val="0"/>
                <w:color w:val="FF0000"/>
                <w:kern w:val="2"/>
                <w:sz w:val="21"/>
                <w:szCs w:val="20"/>
                <w:highlight w:val="none"/>
                <w:lang w:val="zh-CN" w:eastAsia="zh-CN" w:bidi="ar-SA"/>
              </w:rPr>
              <w:t>子功能</w:t>
            </w:r>
            <w:r>
              <w:rPr>
                <w:rFonts w:hint="eastAsia" w:hAnsi="宋体" w:eastAsia="宋体" w:cs="宋体"/>
                <w:b/>
                <w:bCs w:val="0"/>
                <w:color w:val="FF0000"/>
                <w:kern w:val="2"/>
                <w:sz w:val="21"/>
                <w:szCs w:val="20"/>
                <w:highlight w:val="none"/>
                <w:lang w:val="zh-CN" w:eastAsia="zh-CN" w:bidi="ar-SA"/>
              </w:rPr>
              <w:t>。</w:t>
            </w:r>
          </w:p>
        </w:tc>
        <w:tc>
          <w:tcPr>
            <w:tcW w:w="3378" w:type="dxa"/>
            <w:vAlign w:val="center"/>
          </w:tcPr>
          <w:p w14:paraId="47A24C94">
            <w:pPr>
              <w:rPr>
                <w:rFonts w:asciiTheme="minorEastAsia" w:hAnsiTheme="minorEastAsia" w:eastAsiaTheme="minorEastAsia"/>
                <w:szCs w:val="21"/>
              </w:rPr>
            </w:pPr>
          </w:p>
        </w:tc>
        <w:tc>
          <w:tcPr>
            <w:tcW w:w="1768" w:type="dxa"/>
            <w:vAlign w:val="center"/>
          </w:tcPr>
          <w:p w14:paraId="63A86069">
            <w:pPr>
              <w:rPr>
                <w:rFonts w:asciiTheme="minorEastAsia" w:hAnsiTheme="minorEastAsia" w:eastAsiaTheme="minorEastAsia"/>
                <w:szCs w:val="21"/>
              </w:rPr>
            </w:pPr>
          </w:p>
        </w:tc>
        <w:tc>
          <w:tcPr>
            <w:tcW w:w="1409" w:type="dxa"/>
            <w:vAlign w:val="center"/>
          </w:tcPr>
          <w:p w14:paraId="6B497336">
            <w:pPr>
              <w:rPr>
                <w:rFonts w:asciiTheme="minorEastAsia" w:hAnsiTheme="minorEastAsia" w:eastAsiaTheme="minorEastAsia"/>
                <w:szCs w:val="21"/>
              </w:rPr>
            </w:pPr>
          </w:p>
        </w:tc>
      </w:tr>
    </w:tbl>
    <w:p w14:paraId="4D894802">
      <w:pPr>
        <w:spacing w:line="360" w:lineRule="auto"/>
        <w:ind w:right="84" w:rightChars="40"/>
        <w:rPr>
          <w:rFonts w:hint="eastAsia" w:ascii="宋体" w:hAnsi="宋体"/>
          <w:szCs w:val="21"/>
        </w:rPr>
      </w:pPr>
    </w:p>
    <w:p w14:paraId="55D829D9">
      <w:pPr>
        <w:spacing w:line="360" w:lineRule="auto"/>
        <w:ind w:right="84" w:rightChars="40"/>
        <w:rPr>
          <w:rFonts w:hint="eastAsia" w:ascii="宋体" w:hAnsi="宋体"/>
          <w:szCs w:val="21"/>
        </w:rPr>
      </w:pPr>
      <w:r>
        <w:rPr>
          <w:rFonts w:hint="eastAsia" w:ascii="宋体" w:hAnsi="宋体"/>
          <w:szCs w:val="21"/>
        </w:rPr>
        <w:t>备注：</w:t>
      </w:r>
      <w:r>
        <w:rPr>
          <w:rFonts w:hint="eastAsia" w:ascii="宋体" w:hAnsi="宋体"/>
          <w:szCs w:val="21"/>
          <w:lang w:eastAsia="zh-CN"/>
        </w:rPr>
        <w:t>遴选响应方</w:t>
      </w:r>
      <w:r>
        <w:rPr>
          <w:rFonts w:hint="eastAsia" w:ascii="宋体" w:hAnsi="宋体"/>
          <w:szCs w:val="21"/>
        </w:rPr>
        <w:t>必须按</w:t>
      </w:r>
      <w:r>
        <w:rPr>
          <w:rFonts w:hint="eastAsia" w:ascii="宋体" w:hAnsi="宋体"/>
          <w:szCs w:val="21"/>
          <w:lang w:val="en-US" w:eastAsia="zh-CN"/>
        </w:rPr>
        <w:t>遴选文件</w:t>
      </w:r>
      <w:r>
        <w:rPr>
          <w:rFonts w:hint="eastAsia" w:ascii="宋体" w:hAnsi="宋体"/>
          <w:szCs w:val="21"/>
        </w:rPr>
        <w:t>要求附相关证明文件，如未提供的视为负偏离。</w:t>
      </w:r>
    </w:p>
    <w:p w14:paraId="20FFBA02">
      <w:pPr>
        <w:spacing w:line="360" w:lineRule="auto"/>
        <w:ind w:right="84" w:rightChars="4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eastAsia="宋体" w:cs="Times New Roman"/>
          <w:kern w:val="2"/>
          <w:sz w:val="21"/>
          <w:szCs w:val="21"/>
          <w:lang w:val="en-US" w:eastAsia="zh-CN" w:bidi="ar-SA"/>
        </w:rPr>
        <w:t>用户</w:t>
      </w:r>
      <w:r>
        <w:rPr>
          <w:rFonts w:hint="eastAsia" w:ascii="宋体" w:hAnsi="宋体"/>
          <w:szCs w:val="21"/>
          <w:lang w:val="en-US" w:eastAsia="zh-CN"/>
        </w:rPr>
        <w:t>需求书条款遴选响应一览表已对应评分细则，请根据该表的内容进行填写，不得增项漏项，否则以无效响应处理。</w:t>
      </w:r>
    </w:p>
    <w:p w14:paraId="6EFD39B6">
      <w:pPr>
        <w:spacing w:line="360" w:lineRule="auto"/>
        <w:ind w:right="84" w:rightChars="40"/>
        <w:rPr>
          <w:rFonts w:hint="default" w:ascii="宋体" w:hAnsi="宋体"/>
          <w:szCs w:val="21"/>
          <w:lang w:val="en-US" w:eastAsia="zh-CN"/>
        </w:rPr>
      </w:pPr>
      <w:r>
        <w:rPr>
          <w:rFonts w:hint="eastAsia" w:ascii="宋体" w:hAnsi="宋体"/>
          <w:szCs w:val="21"/>
          <w:lang w:val="en-US" w:eastAsia="zh-CN"/>
        </w:rPr>
        <w:t xml:space="preserve">    </w:t>
      </w:r>
    </w:p>
    <w:p w14:paraId="28F41697">
      <w:pPr>
        <w:pStyle w:val="17"/>
        <w:rPr>
          <w:rFonts w:hint="default"/>
          <w:lang w:val="en-US" w:eastAsia="zh-CN"/>
        </w:rPr>
      </w:pPr>
    </w:p>
    <w:p w14:paraId="481017E8">
      <w:pPr>
        <w:widowControl/>
        <w:jc w:val="center"/>
        <w:rPr>
          <w:rFonts w:hint="eastAsia" w:cs="Times New Roman" w:asciiTheme="majorEastAsia" w:hAnsiTheme="majorEastAsia" w:eastAsiaTheme="majorEastAsia"/>
          <w:b/>
          <w:bCs/>
          <w:kern w:val="2"/>
          <w:sz w:val="30"/>
          <w:szCs w:val="30"/>
          <w:lang w:val="en-US" w:eastAsia="zh-CN" w:bidi="ar-SA"/>
        </w:rPr>
      </w:pPr>
      <w:bookmarkStart w:id="112" w:name="_Toc12169"/>
    </w:p>
    <w:p w14:paraId="451040B1">
      <w:pPr>
        <w:widowControl/>
        <w:jc w:val="center"/>
        <w:outlineLvl w:val="1"/>
        <w:rPr>
          <w:rFonts w:hint="eastAsia" w:cs="Times New Roman" w:asciiTheme="majorEastAsia" w:hAnsiTheme="majorEastAsia" w:eastAsiaTheme="majorEastAsia"/>
          <w:b/>
          <w:bCs/>
          <w:kern w:val="2"/>
          <w:sz w:val="30"/>
          <w:szCs w:val="30"/>
          <w:lang w:val="en-US" w:eastAsia="zh-CN" w:bidi="ar-SA"/>
        </w:rPr>
      </w:pPr>
      <w:bookmarkStart w:id="113" w:name="_Toc8202"/>
      <w:r>
        <w:rPr>
          <w:rFonts w:hint="eastAsia" w:cs="Times New Roman" w:asciiTheme="majorEastAsia" w:hAnsiTheme="majorEastAsia" w:eastAsiaTheme="majorEastAsia"/>
          <w:b/>
          <w:bCs/>
          <w:kern w:val="2"/>
          <w:sz w:val="30"/>
          <w:szCs w:val="30"/>
          <w:lang w:val="en-US" w:eastAsia="zh-CN" w:bidi="ar-SA"/>
        </w:rPr>
        <w:t>（十八）</w:t>
      </w:r>
      <w:bookmarkEnd w:id="112"/>
      <w:r>
        <w:rPr>
          <w:rFonts w:hint="eastAsia" w:cs="Times New Roman" w:asciiTheme="majorEastAsia" w:hAnsiTheme="majorEastAsia" w:eastAsiaTheme="majorEastAsia"/>
          <w:b/>
          <w:bCs/>
          <w:kern w:val="2"/>
          <w:sz w:val="30"/>
          <w:szCs w:val="30"/>
          <w:lang w:val="en-US" w:eastAsia="zh-CN" w:bidi="ar-SA"/>
        </w:rPr>
        <w:t>医用耗材智慧管理服务平台建设方案（格式自拟）</w:t>
      </w:r>
      <w:bookmarkEnd w:id="113"/>
    </w:p>
    <w:p w14:paraId="3E2F3DBD">
      <w:pPr>
        <w:widowControl/>
        <w:jc w:val="center"/>
        <w:rPr>
          <w:rFonts w:hint="eastAsia" w:cs="Times New Roman" w:asciiTheme="majorEastAsia" w:hAnsiTheme="majorEastAsia" w:eastAsiaTheme="majorEastAsia"/>
          <w:b/>
          <w:bCs/>
          <w:kern w:val="2"/>
          <w:sz w:val="30"/>
          <w:szCs w:val="30"/>
          <w:lang w:val="en-US" w:eastAsia="zh-CN" w:bidi="ar-SA"/>
        </w:rPr>
      </w:pPr>
    </w:p>
    <w:p w14:paraId="17A45CC5">
      <w:pPr>
        <w:widowControl/>
        <w:jc w:val="center"/>
        <w:rPr>
          <w:rFonts w:hint="eastAsia" w:cs="Times New Roman" w:asciiTheme="majorEastAsia" w:hAnsiTheme="majorEastAsia" w:eastAsiaTheme="majorEastAsia"/>
          <w:b/>
          <w:bCs/>
          <w:kern w:val="2"/>
          <w:sz w:val="30"/>
          <w:szCs w:val="30"/>
          <w:lang w:val="en-US" w:eastAsia="zh-CN" w:bidi="ar-SA"/>
        </w:rPr>
      </w:pPr>
    </w:p>
    <w:p w14:paraId="39CF9FB2">
      <w:pPr>
        <w:widowControl/>
        <w:jc w:val="center"/>
        <w:rPr>
          <w:rFonts w:hint="eastAsia" w:cs="Times New Roman" w:asciiTheme="majorEastAsia" w:hAnsiTheme="majorEastAsia" w:eastAsiaTheme="majorEastAsia"/>
          <w:b/>
          <w:bCs/>
          <w:kern w:val="2"/>
          <w:sz w:val="30"/>
          <w:szCs w:val="30"/>
          <w:lang w:val="en-US" w:eastAsia="zh-CN" w:bidi="ar-SA"/>
        </w:rPr>
      </w:pPr>
    </w:p>
    <w:p w14:paraId="270B0C4B">
      <w:pPr>
        <w:widowControl/>
        <w:jc w:val="center"/>
        <w:rPr>
          <w:rFonts w:hint="eastAsia" w:cs="Times New Roman" w:asciiTheme="majorEastAsia" w:hAnsiTheme="majorEastAsia" w:eastAsiaTheme="majorEastAsia"/>
          <w:b/>
          <w:bCs/>
          <w:kern w:val="2"/>
          <w:sz w:val="30"/>
          <w:szCs w:val="30"/>
          <w:lang w:val="en-US" w:eastAsia="zh-CN" w:bidi="ar-SA"/>
        </w:rPr>
      </w:pPr>
    </w:p>
    <w:p w14:paraId="61786E31">
      <w:pPr>
        <w:widowControl/>
        <w:jc w:val="center"/>
        <w:rPr>
          <w:rFonts w:hint="eastAsia" w:cs="Times New Roman" w:asciiTheme="majorEastAsia" w:hAnsiTheme="majorEastAsia" w:eastAsiaTheme="majorEastAsia"/>
          <w:b/>
          <w:bCs/>
          <w:kern w:val="2"/>
          <w:sz w:val="30"/>
          <w:szCs w:val="30"/>
          <w:lang w:val="en-US" w:eastAsia="zh-CN" w:bidi="ar-SA"/>
        </w:rPr>
      </w:pPr>
    </w:p>
    <w:p w14:paraId="62FC2E99">
      <w:pPr>
        <w:widowControl/>
        <w:jc w:val="center"/>
        <w:rPr>
          <w:rFonts w:hint="eastAsia" w:cs="Times New Roman" w:asciiTheme="majorEastAsia" w:hAnsiTheme="majorEastAsia" w:eastAsiaTheme="majorEastAsia"/>
          <w:b/>
          <w:bCs/>
          <w:kern w:val="2"/>
          <w:sz w:val="30"/>
          <w:szCs w:val="30"/>
          <w:lang w:val="en-US" w:eastAsia="zh-CN" w:bidi="ar-SA"/>
        </w:rPr>
      </w:pPr>
    </w:p>
    <w:p w14:paraId="7682B2FE">
      <w:pPr>
        <w:widowControl/>
        <w:jc w:val="center"/>
        <w:rPr>
          <w:rFonts w:hint="eastAsia" w:cs="Times New Roman" w:asciiTheme="majorEastAsia" w:hAnsiTheme="majorEastAsia" w:eastAsiaTheme="majorEastAsia"/>
          <w:b/>
          <w:bCs/>
          <w:kern w:val="2"/>
          <w:sz w:val="30"/>
          <w:szCs w:val="30"/>
          <w:lang w:val="en-US" w:eastAsia="zh-CN" w:bidi="ar-SA"/>
        </w:rPr>
      </w:pPr>
    </w:p>
    <w:p w14:paraId="72AD9D53">
      <w:pPr>
        <w:widowControl/>
        <w:jc w:val="center"/>
        <w:rPr>
          <w:rFonts w:hint="eastAsia" w:cs="Times New Roman" w:asciiTheme="majorEastAsia" w:hAnsiTheme="majorEastAsia" w:eastAsiaTheme="majorEastAsia"/>
          <w:b/>
          <w:bCs/>
          <w:kern w:val="2"/>
          <w:sz w:val="30"/>
          <w:szCs w:val="30"/>
          <w:lang w:val="en-US" w:eastAsia="zh-CN" w:bidi="ar-SA"/>
        </w:rPr>
      </w:pPr>
    </w:p>
    <w:p w14:paraId="3326657C">
      <w:pPr>
        <w:widowControl/>
        <w:jc w:val="center"/>
        <w:rPr>
          <w:rFonts w:hint="eastAsia" w:cs="Times New Roman" w:asciiTheme="majorEastAsia" w:hAnsiTheme="majorEastAsia" w:eastAsiaTheme="majorEastAsia"/>
          <w:b/>
          <w:bCs/>
          <w:kern w:val="2"/>
          <w:sz w:val="30"/>
          <w:szCs w:val="30"/>
          <w:lang w:val="en-US" w:eastAsia="zh-CN" w:bidi="ar-SA"/>
        </w:rPr>
      </w:pPr>
    </w:p>
    <w:p w14:paraId="34F6E619">
      <w:pPr>
        <w:widowControl/>
        <w:jc w:val="center"/>
        <w:rPr>
          <w:rFonts w:hint="eastAsia" w:cs="Times New Roman" w:asciiTheme="majorEastAsia" w:hAnsiTheme="majorEastAsia" w:eastAsiaTheme="majorEastAsia"/>
          <w:b/>
          <w:bCs/>
          <w:kern w:val="2"/>
          <w:sz w:val="30"/>
          <w:szCs w:val="30"/>
          <w:lang w:val="en-US" w:eastAsia="zh-CN" w:bidi="ar-SA"/>
        </w:rPr>
      </w:pPr>
    </w:p>
    <w:p w14:paraId="1D953617">
      <w:pPr>
        <w:widowControl/>
        <w:jc w:val="center"/>
        <w:rPr>
          <w:rFonts w:hint="eastAsia" w:cs="Times New Roman" w:asciiTheme="majorEastAsia" w:hAnsiTheme="majorEastAsia" w:eastAsiaTheme="majorEastAsia"/>
          <w:b/>
          <w:bCs/>
          <w:kern w:val="2"/>
          <w:sz w:val="30"/>
          <w:szCs w:val="30"/>
          <w:lang w:val="en-US" w:eastAsia="zh-CN" w:bidi="ar-SA"/>
        </w:rPr>
      </w:pPr>
    </w:p>
    <w:p w14:paraId="2A82BEE5">
      <w:pPr>
        <w:widowControl/>
        <w:jc w:val="center"/>
        <w:rPr>
          <w:rFonts w:hint="eastAsia" w:cs="Times New Roman" w:asciiTheme="majorEastAsia" w:hAnsiTheme="majorEastAsia" w:eastAsiaTheme="majorEastAsia"/>
          <w:b/>
          <w:bCs/>
          <w:kern w:val="2"/>
          <w:sz w:val="30"/>
          <w:szCs w:val="30"/>
          <w:lang w:val="en-US" w:eastAsia="zh-CN" w:bidi="ar-SA"/>
        </w:rPr>
      </w:pPr>
    </w:p>
    <w:p w14:paraId="5CC4D896">
      <w:pPr>
        <w:widowControl/>
        <w:jc w:val="center"/>
        <w:rPr>
          <w:rFonts w:hint="eastAsia" w:cs="Times New Roman" w:asciiTheme="majorEastAsia" w:hAnsiTheme="majorEastAsia" w:eastAsiaTheme="majorEastAsia"/>
          <w:b/>
          <w:bCs/>
          <w:kern w:val="2"/>
          <w:sz w:val="30"/>
          <w:szCs w:val="30"/>
          <w:lang w:val="en-US" w:eastAsia="zh-CN" w:bidi="ar-SA"/>
        </w:rPr>
      </w:pPr>
    </w:p>
    <w:p w14:paraId="6A47224C">
      <w:pPr>
        <w:widowControl/>
        <w:jc w:val="center"/>
        <w:rPr>
          <w:rFonts w:hint="eastAsia" w:cs="Times New Roman" w:asciiTheme="majorEastAsia" w:hAnsiTheme="majorEastAsia" w:eastAsiaTheme="majorEastAsia"/>
          <w:b/>
          <w:bCs/>
          <w:kern w:val="2"/>
          <w:sz w:val="30"/>
          <w:szCs w:val="30"/>
          <w:lang w:val="en-US" w:eastAsia="zh-CN" w:bidi="ar-SA"/>
        </w:rPr>
      </w:pPr>
    </w:p>
    <w:p w14:paraId="1533410D">
      <w:pPr>
        <w:widowControl/>
        <w:jc w:val="center"/>
        <w:rPr>
          <w:rFonts w:hint="eastAsia" w:cs="Times New Roman" w:asciiTheme="majorEastAsia" w:hAnsiTheme="majorEastAsia" w:eastAsiaTheme="majorEastAsia"/>
          <w:b/>
          <w:bCs/>
          <w:kern w:val="2"/>
          <w:sz w:val="30"/>
          <w:szCs w:val="30"/>
          <w:lang w:val="en-US" w:eastAsia="zh-CN" w:bidi="ar-SA"/>
        </w:rPr>
      </w:pPr>
    </w:p>
    <w:p w14:paraId="5E028F1A">
      <w:pPr>
        <w:widowControl/>
        <w:jc w:val="center"/>
        <w:rPr>
          <w:rFonts w:hint="eastAsia" w:cs="Times New Roman" w:asciiTheme="majorEastAsia" w:hAnsiTheme="majorEastAsia" w:eastAsiaTheme="majorEastAsia"/>
          <w:b/>
          <w:bCs/>
          <w:kern w:val="2"/>
          <w:sz w:val="30"/>
          <w:szCs w:val="30"/>
          <w:lang w:val="en-US" w:eastAsia="zh-CN" w:bidi="ar-SA"/>
        </w:rPr>
      </w:pPr>
    </w:p>
    <w:p w14:paraId="38656F42">
      <w:pPr>
        <w:widowControl/>
        <w:jc w:val="center"/>
        <w:rPr>
          <w:rFonts w:hint="eastAsia" w:cs="Times New Roman" w:asciiTheme="majorEastAsia" w:hAnsiTheme="majorEastAsia" w:eastAsiaTheme="majorEastAsia"/>
          <w:b/>
          <w:bCs/>
          <w:kern w:val="2"/>
          <w:sz w:val="30"/>
          <w:szCs w:val="30"/>
          <w:lang w:val="en-US" w:eastAsia="zh-CN" w:bidi="ar-SA"/>
        </w:rPr>
      </w:pPr>
    </w:p>
    <w:p w14:paraId="6E237817">
      <w:pPr>
        <w:widowControl/>
        <w:jc w:val="center"/>
        <w:rPr>
          <w:rFonts w:hint="eastAsia" w:cs="Times New Roman" w:asciiTheme="majorEastAsia" w:hAnsiTheme="majorEastAsia" w:eastAsiaTheme="majorEastAsia"/>
          <w:b/>
          <w:bCs/>
          <w:kern w:val="2"/>
          <w:sz w:val="30"/>
          <w:szCs w:val="30"/>
          <w:lang w:val="en-US" w:eastAsia="zh-CN" w:bidi="ar-SA"/>
        </w:rPr>
      </w:pPr>
    </w:p>
    <w:p w14:paraId="3833D5F0">
      <w:pPr>
        <w:widowControl/>
        <w:jc w:val="center"/>
        <w:rPr>
          <w:rFonts w:hint="eastAsia" w:cs="Times New Roman" w:asciiTheme="majorEastAsia" w:hAnsiTheme="majorEastAsia" w:eastAsiaTheme="majorEastAsia"/>
          <w:b/>
          <w:bCs/>
          <w:kern w:val="2"/>
          <w:sz w:val="30"/>
          <w:szCs w:val="30"/>
          <w:lang w:val="en-US" w:eastAsia="zh-CN" w:bidi="ar-SA"/>
        </w:rPr>
      </w:pPr>
    </w:p>
    <w:p w14:paraId="0A3DB79E">
      <w:pPr>
        <w:widowControl/>
        <w:jc w:val="center"/>
        <w:rPr>
          <w:rFonts w:hint="eastAsia" w:cs="Times New Roman" w:asciiTheme="majorEastAsia" w:hAnsiTheme="majorEastAsia" w:eastAsiaTheme="majorEastAsia"/>
          <w:b/>
          <w:bCs/>
          <w:kern w:val="2"/>
          <w:sz w:val="30"/>
          <w:szCs w:val="30"/>
          <w:lang w:val="en-US" w:eastAsia="zh-CN" w:bidi="ar-SA"/>
        </w:rPr>
      </w:pPr>
    </w:p>
    <w:p w14:paraId="0EA203F9">
      <w:pPr>
        <w:widowControl/>
        <w:jc w:val="both"/>
        <w:rPr>
          <w:rFonts w:hint="default" w:cs="Times New Roman" w:asciiTheme="majorEastAsia" w:hAnsiTheme="majorEastAsia" w:eastAsiaTheme="majorEastAsia"/>
          <w:b/>
          <w:bCs/>
          <w:kern w:val="2"/>
          <w:sz w:val="30"/>
          <w:szCs w:val="30"/>
          <w:lang w:val="en-US" w:eastAsia="zh-CN" w:bidi="ar-SA"/>
        </w:rPr>
      </w:pPr>
    </w:p>
    <w:p w14:paraId="760CDC57">
      <w:pPr>
        <w:widowControl/>
        <w:jc w:val="center"/>
        <w:outlineLvl w:val="1"/>
        <w:rPr>
          <w:rFonts w:hint="eastAsia" w:cs="Times New Roman" w:asciiTheme="majorEastAsia" w:hAnsiTheme="majorEastAsia" w:eastAsiaTheme="majorEastAsia"/>
          <w:b/>
          <w:bCs/>
          <w:kern w:val="2"/>
          <w:sz w:val="30"/>
          <w:szCs w:val="30"/>
          <w:lang w:val="en-US" w:eastAsia="zh-CN" w:bidi="ar-SA"/>
        </w:rPr>
      </w:pPr>
      <w:bookmarkStart w:id="114" w:name="_Toc32465"/>
      <w:r>
        <w:rPr>
          <w:rFonts w:hint="eastAsia" w:cs="Times New Roman" w:asciiTheme="majorEastAsia" w:hAnsiTheme="majorEastAsia" w:eastAsiaTheme="majorEastAsia"/>
          <w:b/>
          <w:bCs/>
          <w:kern w:val="2"/>
          <w:sz w:val="30"/>
          <w:szCs w:val="30"/>
          <w:lang w:val="en-US" w:eastAsia="zh-CN" w:bidi="ar-SA"/>
        </w:rPr>
        <w:t>（十九）项目实施方案（格式自拟）</w:t>
      </w:r>
      <w:bookmarkEnd w:id="114"/>
    </w:p>
    <w:p w14:paraId="2B732EF9">
      <w:pPr>
        <w:widowControl/>
        <w:jc w:val="center"/>
        <w:rPr>
          <w:rFonts w:hint="eastAsia" w:cs="Times New Roman" w:asciiTheme="majorEastAsia" w:hAnsiTheme="majorEastAsia" w:eastAsiaTheme="majorEastAsia"/>
          <w:b/>
          <w:bCs/>
          <w:kern w:val="2"/>
          <w:sz w:val="30"/>
          <w:szCs w:val="30"/>
          <w:lang w:val="en-US" w:eastAsia="zh-CN" w:bidi="ar-SA"/>
        </w:rPr>
      </w:pPr>
    </w:p>
    <w:p w14:paraId="3D87D463">
      <w:pPr>
        <w:widowControl/>
        <w:jc w:val="center"/>
        <w:rPr>
          <w:rFonts w:hint="eastAsia" w:cs="Times New Roman" w:asciiTheme="majorEastAsia" w:hAnsiTheme="majorEastAsia" w:eastAsiaTheme="majorEastAsia"/>
          <w:b/>
          <w:bCs/>
          <w:kern w:val="2"/>
          <w:sz w:val="30"/>
          <w:szCs w:val="30"/>
          <w:lang w:val="en-US" w:eastAsia="zh-CN" w:bidi="ar-SA"/>
        </w:rPr>
      </w:pPr>
    </w:p>
    <w:p w14:paraId="562E582A">
      <w:pPr>
        <w:widowControl/>
        <w:jc w:val="center"/>
        <w:rPr>
          <w:rFonts w:hint="eastAsia" w:cs="Times New Roman" w:asciiTheme="majorEastAsia" w:hAnsiTheme="majorEastAsia" w:eastAsiaTheme="majorEastAsia"/>
          <w:b/>
          <w:bCs/>
          <w:kern w:val="2"/>
          <w:sz w:val="30"/>
          <w:szCs w:val="30"/>
          <w:lang w:val="en-US" w:eastAsia="zh-CN" w:bidi="ar-SA"/>
        </w:rPr>
      </w:pPr>
    </w:p>
    <w:p w14:paraId="6C8F515A">
      <w:pPr>
        <w:widowControl/>
        <w:jc w:val="center"/>
        <w:rPr>
          <w:rFonts w:hint="eastAsia" w:cs="Times New Roman" w:asciiTheme="majorEastAsia" w:hAnsiTheme="majorEastAsia" w:eastAsiaTheme="majorEastAsia"/>
          <w:b/>
          <w:bCs/>
          <w:kern w:val="2"/>
          <w:sz w:val="30"/>
          <w:szCs w:val="30"/>
          <w:lang w:val="en-US" w:eastAsia="zh-CN" w:bidi="ar-SA"/>
        </w:rPr>
      </w:pPr>
    </w:p>
    <w:p w14:paraId="41B31799">
      <w:pPr>
        <w:widowControl/>
        <w:jc w:val="center"/>
        <w:rPr>
          <w:rFonts w:hint="eastAsia" w:cs="Times New Roman" w:asciiTheme="majorEastAsia" w:hAnsiTheme="majorEastAsia" w:eastAsiaTheme="majorEastAsia"/>
          <w:b/>
          <w:bCs/>
          <w:kern w:val="2"/>
          <w:sz w:val="30"/>
          <w:szCs w:val="30"/>
          <w:lang w:val="en-US" w:eastAsia="zh-CN" w:bidi="ar-SA"/>
        </w:rPr>
      </w:pPr>
    </w:p>
    <w:p w14:paraId="47AA9FA7">
      <w:pPr>
        <w:widowControl/>
        <w:jc w:val="center"/>
        <w:rPr>
          <w:rFonts w:hint="eastAsia" w:cs="Times New Roman" w:asciiTheme="majorEastAsia" w:hAnsiTheme="majorEastAsia" w:eastAsiaTheme="majorEastAsia"/>
          <w:b/>
          <w:bCs/>
          <w:kern w:val="2"/>
          <w:sz w:val="30"/>
          <w:szCs w:val="30"/>
          <w:lang w:val="en-US" w:eastAsia="zh-CN" w:bidi="ar-SA"/>
        </w:rPr>
      </w:pPr>
    </w:p>
    <w:p w14:paraId="78F7956D">
      <w:pPr>
        <w:widowControl/>
        <w:jc w:val="center"/>
        <w:rPr>
          <w:rFonts w:hint="eastAsia" w:cs="Times New Roman" w:asciiTheme="majorEastAsia" w:hAnsiTheme="majorEastAsia" w:eastAsiaTheme="majorEastAsia"/>
          <w:b/>
          <w:bCs/>
          <w:kern w:val="2"/>
          <w:sz w:val="30"/>
          <w:szCs w:val="30"/>
          <w:lang w:val="en-US" w:eastAsia="zh-CN" w:bidi="ar-SA"/>
        </w:rPr>
      </w:pPr>
    </w:p>
    <w:p w14:paraId="1489B146">
      <w:pPr>
        <w:widowControl/>
        <w:jc w:val="center"/>
        <w:rPr>
          <w:rFonts w:hint="eastAsia" w:cs="Times New Roman" w:asciiTheme="majorEastAsia" w:hAnsiTheme="majorEastAsia" w:eastAsiaTheme="majorEastAsia"/>
          <w:b/>
          <w:bCs/>
          <w:kern w:val="2"/>
          <w:sz w:val="30"/>
          <w:szCs w:val="30"/>
          <w:lang w:val="en-US" w:eastAsia="zh-CN" w:bidi="ar-SA"/>
        </w:rPr>
      </w:pPr>
    </w:p>
    <w:p w14:paraId="5F7604FB">
      <w:pPr>
        <w:widowControl/>
        <w:jc w:val="center"/>
        <w:rPr>
          <w:rFonts w:hint="eastAsia" w:cs="Times New Roman" w:asciiTheme="majorEastAsia" w:hAnsiTheme="majorEastAsia" w:eastAsiaTheme="majorEastAsia"/>
          <w:b/>
          <w:bCs/>
          <w:kern w:val="2"/>
          <w:sz w:val="30"/>
          <w:szCs w:val="30"/>
          <w:lang w:val="en-US" w:eastAsia="zh-CN" w:bidi="ar-SA"/>
        </w:rPr>
      </w:pPr>
    </w:p>
    <w:p w14:paraId="4D423512">
      <w:pPr>
        <w:widowControl/>
        <w:jc w:val="center"/>
        <w:rPr>
          <w:rFonts w:hint="eastAsia" w:cs="Times New Roman" w:asciiTheme="majorEastAsia" w:hAnsiTheme="majorEastAsia" w:eastAsiaTheme="majorEastAsia"/>
          <w:b/>
          <w:bCs/>
          <w:kern w:val="2"/>
          <w:sz w:val="30"/>
          <w:szCs w:val="30"/>
          <w:lang w:val="en-US" w:eastAsia="zh-CN" w:bidi="ar-SA"/>
        </w:rPr>
      </w:pPr>
    </w:p>
    <w:p w14:paraId="6302CE77">
      <w:pPr>
        <w:widowControl/>
        <w:jc w:val="center"/>
        <w:rPr>
          <w:rFonts w:hint="eastAsia" w:cs="Times New Roman" w:asciiTheme="majorEastAsia" w:hAnsiTheme="majorEastAsia" w:eastAsiaTheme="majorEastAsia"/>
          <w:b/>
          <w:bCs/>
          <w:kern w:val="2"/>
          <w:sz w:val="30"/>
          <w:szCs w:val="30"/>
          <w:lang w:val="en-US" w:eastAsia="zh-CN" w:bidi="ar-SA"/>
        </w:rPr>
      </w:pPr>
    </w:p>
    <w:p w14:paraId="6491AC25">
      <w:pPr>
        <w:widowControl/>
        <w:jc w:val="center"/>
        <w:rPr>
          <w:rFonts w:hint="eastAsia" w:cs="Times New Roman" w:asciiTheme="majorEastAsia" w:hAnsiTheme="majorEastAsia" w:eastAsiaTheme="majorEastAsia"/>
          <w:b/>
          <w:bCs/>
          <w:kern w:val="2"/>
          <w:sz w:val="30"/>
          <w:szCs w:val="30"/>
          <w:lang w:val="en-US" w:eastAsia="zh-CN" w:bidi="ar-SA"/>
        </w:rPr>
      </w:pPr>
    </w:p>
    <w:p w14:paraId="5FB36A97">
      <w:pPr>
        <w:widowControl/>
        <w:jc w:val="center"/>
        <w:rPr>
          <w:rFonts w:hint="eastAsia" w:cs="Times New Roman" w:asciiTheme="majorEastAsia" w:hAnsiTheme="majorEastAsia" w:eastAsiaTheme="majorEastAsia"/>
          <w:b/>
          <w:bCs/>
          <w:kern w:val="2"/>
          <w:sz w:val="30"/>
          <w:szCs w:val="30"/>
          <w:lang w:val="en-US" w:eastAsia="zh-CN" w:bidi="ar-SA"/>
        </w:rPr>
      </w:pPr>
    </w:p>
    <w:p w14:paraId="788FAE0C">
      <w:pPr>
        <w:widowControl/>
        <w:jc w:val="center"/>
        <w:rPr>
          <w:rFonts w:hint="eastAsia" w:cs="Times New Roman" w:asciiTheme="majorEastAsia" w:hAnsiTheme="majorEastAsia" w:eastAsiaTheme="majorEastAsia"/>
          <w:b/>
          <w:bCs/>
          <w:kern w:val="2"/>
          <w:sz w:val="30"/>
          <w:szCs w:val="30"/>
          <w:lang w:val="en-US" w:eastAsia="zh-CN" w:bidi="ar-SA"/>
        </w:rPr>
      </w:pPr>
    </w:p>
    <w:p w14:paraId="0C1350AC">
      <w:pPr>
        <w:widowControl/>
        <w:jc w:val="center"/>
        <w:rPr>
          <w:rFonts w:hint="eastAsia" w:cs="Times New Roman" w:asciiTheme="majorEastAsia" w:hAnsiTheme="majorEastAsia" w:eastAsiaTheme="majorEastAsia"/>
          <w:b/>
          <w:bCs/>
          <w:kern w:val="2"/>
          <w:sz w:val="30"/>
          <w:szCs w:val="30"/>
          <w:lang w:val="en-US" w:eastAsia="zh-CN" w:bidi="ar-SA"/>
        </w:rPr>
      </w:pPr>
    </w:p>
    <w:p w14:paraId="602C5671">
      <w:pPr>
        <w:widowControl/>
        <w:jc w:val="center"/>
        <w:rPr>
          <w:rFonts w:hint="eastAsia" w:cs="Times New Roman" w:asciiTheme="majorEastAsia" w:hAnsiTheme="majorEastAsia" w:eastAsiaTheme="majorEastAsia"/>
          <w:b/>
          <w:bCs/>
          <w:kern w:val="2"/>
          <w:sz w:val="30"/>
          <w:szCs w:val="30"/>
          <w:lang w:val="en-US" w:eastAsia="zh-CN" w:bidi="ar-SA"/>
        </w:rPr>
      </w:pPr>
    </w:p>
    <w:p w14:paraId="2A20BA00">
      <w:pPr>
        <w:widowControl/>
        <w:jc w:val="center"/>
        <w:rPr>
          <w:rFonts w:hint="eastAsia" w:cs="Times New Roman" w:asciiTheme="majorEastAsia" w:hAnsiTheme="majorEastAsia" w:eastAsiaTheme="majorEastAsia"/>
          <w:b/>
          <w:bCs/>
          <w:kern w:val="2"/>
          <w:sz w:val="30"/>
          <w:szCs w:val="30"/>
          <w:lang w:val="en-US" w:eastAsia="zh-CN" w:bidi="ar-SA"/>
        </w:rPr>
      </w:pPr>
    </w:p>
    <w:p w14:paraId="07AF413E">
      <w:pPr>
        <w:widowControl/>
        <w:jc w:val="center"/>
        <w:rPr>
          <w:rFonts w:hint="eastAsia" w:cs="Times New Roman" w:asciiTheme="majorEastAsia" w:hAnsiTheme="majorEastAsia" w:eastAsiaTheme="majorEastAsia"/>
          <w:b/>
          <w:bCs/>
          <w:kern w:val="2"/>
          <w:sz w:val="30"/>
          <w:szCs w:val="30"/>
          <w:lang w:val="en-US" w:eastAsia="zh-CN" w:bidi="ar-SA"/>
        </w:rPr>
      </w:pPr>
    </w:p>
    <w:p w14:paraId="7530B99B">
      <w:pPr>
        <w:widowControl/>
        <w:jc w:val="center"/>
        <w:rPr>
          <w:rFonts w:hint="eastAsia" w:cs="Times New Roman" w:asciiTheme="majorEastAsia" w:hAnsiTheme="majorEastAsia" w:eastAsiaTheme="majorEastAsia"/>
          <w:b/>
          <w:bCs/>
          <w:kern w:val="2"/>
          <w:sz w:val="30"/>
          <w:szCs w:val="30"/>
          <w:lang w:val="en-US" w:eastAsia="zh-CN" w:bidi="ar-SA"/>
        </w:rPr>
      </w:pPr>
    </w:p>
    <w:p w14:paraId="4F1678A8">
      <w:pPr>
        <w:widowControl/>
        <w:jc w:val="center"/>
        <w:rPr>
          <w:rFonts w:hint="eastAsia" w:cs="Times New Roman" w:asciiTheme="majorEastAsia" w:hAnsiTheme="majorEastAsia" w:eastAsiaTheme="majorEastAsia"/>
          <w:b/>
          <w:bCs/>
          <w:kern w:val="2"/>
          <w:sz w:val="30"/>
          <w:szCs w:val="30"/>
          <w:lang w:val="en-US" w:eastAsia="zh-CN" w:bidi="ar-SA"/>
        </w:rPr>
      </w:pPr>
    </w:p>
    <w:p w14:paraId="5D3C0AFA">
      <w:pPr>
        <w:widowControl/>
        <w:jc w:val="center"/>
        <w:rPr>
          <w:rFonts w:hint="eastAsia" w:cs="Times New Roman" w:asciiTheme="majorEastAsia" w:hAnsiTheme="majorEastAsia" w:eastAsiaTheme="majorEastAsia"/>
          <w:b/>
          <w:bCs/>
          <w:kern w:val="2"/>
          <w:sz w:val="30"/>
          <w:szCs w:val="30"/>
          <w:lang w:val="en-US" w:eastAsia="zh-CN" w:bidi="ar-SA"/>
        </w:rPr>
      </w:pPr>
    </w:p>
    <w:p w14:paraId="48830D20">
      <w:pPr>
        <w:widowControl/>
        <w:jc w:val="center"/>
        <w:outlineLvl w:val="1"/>
        <w:rPr>
          <w:rFonts w:hint="eastAsia" w:cs="Times New Roman" w:asciiTheme="majorEastAsia" w:hAnsiTheme="majorEastAsia" w:eastAsiaTheme="majorEastAsia"/>
          <w:b/>
          <w:bCs/>
          <w:kern w:val="2"/>
          <w:sz w:val="30"/>
          <w:szCs w:val="30"/>
          <w:lang w:val="en-US" w:eastAsia="zh-CN" w:bidi="ar-SA"/>
        </w:rPr>
      </w:pPr>
      <w:bookmarkStart w:id="115" w:name="_Toc24412"/>
      <w:r>
        <w:rPr>
          <w:rFonts w:hint="eastAsia" w:cs="Times New Roman" w:asciiTheme="majorEastAsia" w:hAnsiTheme="majorEastAsia" w:eastAsiaTheme="majorEastAsia"/>
          <w:b/>
          <w:bCs/>
          <w:kern w:val="2"/>
          <w:sz w:val="30"/>
          <w:szCs w:val="30"/>
          <w:lang w:val="en-US" w:eastAsia="zh-CN" w:bidi="ar-SA"/>
        </w:rPr>
        <w:t>（二十）制度与规范管理（格式自拟）</w:t>
      </w:r>
      <w:bookmarkEnd w:id="115"/>
    </w:p>
    <w:p w14:paraId="3A7DD2D2">
      <w:pPr>
        <w:widowControl/>
        <w:jc w:val="center"/>
        <w:rPr>
          <w:rFonts w:hint="eastAsia" w:cs="Times New Roman" w:asciiTheme="majorEastAsia" w:hAnsiTheme="majorEastAsia" w:eastAsiaTheme="majorEastAsia"/>
          <w:b/>
          <w:bCs/>
          <w:kern w:val="2"/>
          <w:sz w:val="30"/>
          <w:szCs w:val="30"/>
          <w:lang w:val="en-US" w:eastAsia="zh-CN" w:bidi="ar-SA"/>
        </w:rPr>
      </w:pPr>
    </w:p>
    <w:p w14:paraId="7C16BE2E">
      <w:pPr>
        <w:widowControl/>
        <w:jc w:val="center"/>
        <w:rPr>
          <w:rFonts w:hint="eastAsia" w:cs="Times New Roman" w:asciiTheme="majorEastAsia" w:hAnsiTheme="majorEastAsia" w:eastAsiaTheme="majorEastAsia"/>
          <w:b/>
          <w:bCs/>
          <w:kern w:val="2"/>
          <w:sz w:val="30"/>
          <w:szCs w:val="30"/>
          <w:lang w:val="en-US" w:eastAsia="zh-CN" w:bidi="ar-SA"/>
        </w:rPr>
      </w:pPr>
    </w:p>
    <w:p w14:paraId="0E7A864A">
      <w:pPr>
        <w:widowControl/>
        <w:jc w:val="center"/>
        <w:rPr>
          <w:rFonts w:hint="eastAsia" w:cs="Times New Roman" w:asciiTheme="majorEastAsia" w:hAnsiTheme="majorEastAsia" w:eastAsiaTheme="majorEastAsia"/>
          <w:b/>
          <w:bCs/>
          <w:kern w:val="2"/>
          <w:sz w:val="30"/>
          <w:szCs w:val="30"/>
          <w:lang w:val="en-US" w:eastAsia="zh-CN" w:bidi="ar-SA"/>
        </w:rPr>
      </w:pPr>
    </w:p>
    <w:p w14:paraId="6079C395">
      <w:pPr>
        <w:widowControl/>
        <w:jc w:val="center"/>
        <w:rPr>
          <w:rFonts w:hint="eastAsia" w:cs="Times New Roman" w:asciiTheme="majorEastAsia" w:hAnsiTheme="majorEastAsia" w:eastAsiaTheme="majorEastAsia"/>
          <w:b/>
          <w:bCs/>
          <w:kern w:val="2"/>
          <w:sz w:val="30"/>
          <w:szCs w:val="30"/>
          <w:lang w:val="en-US" w:eastAsia="zh-CN" w:bidi="ar-SA"/>
        </w:rPr>
      </w:pPr>
    </w:p>
    <w:p w14:paraId="4B433D1B">
      <w:pPr>
        <w:widowControl/>
        <w:jc w:val="center"/>
        <w:rPr>
          <w:rFonts w:hint="eastAsia" w:cs="Times New Roman" w:asciiTheme="majorEastAsia" w:hAnsiTheme="majorEastAsia" w:eastAsiaTheme="majorEastAsia"/>
          <w:b/>
          <w:bCs/>
          <w:kern w:val="2"/>
          <w:sz w:val="30"/>
          <w:szCs w:val="30"/>
          <w:lang w:val="en-US" w:eastAsia="zh-CN" w:bidi="ar-SA"/>
        </w:rPr>
      </w:pPr>
    </w:p>
    <w:p w14:paraId="72D1D238">
      <w:pPr>
        <w:widowControl/>
        <w:jc w:val="center"/>
        <w:rPr>
          <w:rFonts w:hint="eastAsia" w:cs="Times New Roman" w:asciiTheme="majorEastAsia" w:hAnsiTheme="majorEastAsia" w:eastAsiaTheme="majorEastAsia"/>
          <w:b/>
          <w:bCs/>
          <w:kern w:val="2"/>
          <w:sz w:val="30"/>
          <w:szCs w:val="30"/>
          <w:lang w:val="en-US" w:eastAsia="zh-CN" w:bidi="ar-SA"/>
        </w:rPr>
      </w:pPr>
    </w:p>
    <w:p w14:paraId="6626BFE4">
      <w:pPr>
        <w:widowControl/>
        <w:jc w:val="center"/>
        <w:rPr>
          <w:rFonts w:hint="eastAsia" w:cs="Times New Roman" w:asciiTheme="majorEastAsia" w:hAnsiTheme="majorEastAsia" w:eastAsiaTheme="majorEastAsia"/>
          <w:b/>
          <w:bCs/>
          <w:kern w:val="2"/>
          <w:sz w:val="30"/>
          <w:szCs w:val="30"/>
          <w:lang w:val="en-US" w:eastAsia="zh-CN" w:bidi="ar-SA"/>
        </w:rPr>
      </w:pPr>
    </w:p>
    <w:p w14:paraId="7E9137B5">
      <w:pPr>
        <w:widowControl/>
        <w:jc w:val="center"/>
        <w:rPr>
          <w:rFonts w:hint="eastAsia" w:cs="Times New Roman" w:asciiTheme="majorEastAsia" w:hAnsiTheme="majorEastAsia" w:eastAsiaTheme="majorEastAsia"/>
          <w:b/>
          <w:bCs/>
          <w:kern w:val="2"/>
          <w:sz w:val="30"/>
          <w:szCs w:val="30"/>
          <w:lang w:val="en-US" w:eastAsia="zh-CN" w:bidi="ar-SA"/>
        </w:rPr>
      </w:pPr>
    </w:p>
    <w:p w14:paraId="213FC579">
      <w:pPr>
        <w:widowControl/>
        <w:jc w:val="center"/>
        <w:rPr>
          <w:rFonts w:hint="eastAsia" w:cs="Times New Roman" w:asciiTheme="majorEastAsia" w:hAnsiTheme="majorEastAsia" w:eastAsiaTheme="majorEastAsia"/>
          <w:b/>
          <w:bCs/>
          <w:kern w:val="2"/>
          <w:sz w:val="30"/>
          <w:szCs w:val="30"/>
          <w:lang w:val="en-US" w:eastAsia="zh-CN" w:bidi="ar-SA"/>
        </w:rPr>
      </w:pPr>
    </w:p>
    <w:p w14:paraId="56101A3D">
      <w:pPr>
        <w:widowControl/>
        <w:jc w:val="center"/>
        <w:rPr>
          <w:rFonts w:hint="eastAsia" w:cs="Times New Roman" w:asciiTheme="majorEastAsia" w:hAnsiTheme="majorEastAsia" w:eastAsiaTheme="majorEastAsia"/>
          <w:b/>
          <w:bCs/>
          <w:kern w:val="2"/>
          <w:sz w:val="30"/>
          <w:szCs w:val="30"/>
          <w:lang w:val="en-US" w:eastAsia="zh-CN" w:bidi="ar-SA"/>
        </w:rPr>
      </w:pPr>
    </w:p>
    <w:p w14:paraId="00DC2A7C">
      <w:pPr>
        <w:widowControl/>
        <w:jc w:val="center"/>
        <w:rPr>
          <w:rFonts w:hint="eastAsia" w:cs="Times New Roman" w:asciiTheme="majorEastAsia" w:hAnsiTheme="majorEastAsia" w:eastAsiaTheme="majorEastAsia"/>
          <w:b/>
          <w:bCs/>
          <w:kern w:val="2"/>
          <w:sz w:val="30"/>
          <w:szCs w:val="30"/>
          <w:lang w:val="en-US" w:eastAsia="zh-CN" w:bidi="ar-SA"/>
        </w:rPr>
      </w:pPr>
    </w:p>
    <w:p w14:paraId="3B7FE85B">
      <w:pPr>
        <w:widowControl/>
        <w:jc w:val="center"/>
        <w:rPr>
          <w:rFonts w:hint="eastAsia" w:cs="Times New Roman" w:asciiTheme="majorEastAsia" w:hAnsiTheme="majorEastAsia" w:eastAsiaTheme="majorEastAsia"/>
          <w:b/>
          <w:bCs/>
          <w:kern w:val="2"/>
          <w:sz w:val="30"/>
          <w:szCs w:val="30"/>
          <w:lang w:val="en-US" w:eastAsia="zh-CN" w:bidi="ar-SA"/>
        </w:rPr>
      </w:pPr>
    </w:p>
    <w:p w14:paraId="3247422E">
      <w:pPr>
        <w:widowControl/>
        <w:jc w:val="center"/>
        <w:rPr>
          <w:rFonts w:hint="eastAsia" w:cs="Times New Roman" w:asciiTheme="majorEastAsia" w:hAnsiTheme="majorEastAsia" w:eastAsiaTheme="majorEastAsia"/>
          <w:b/>
          <w:bCs/>
          <w:kern w:val="2"/>
          <w:sz w:val="30"/>
          <w:szCs w:val="30"/>
          <w:lang w:val="en-US" w:eastAsia="zh-CN" w:bidi="ar-SA"/>
        </w:rPr>
      </w:pPr>
    </w:p>
    <w:p w14:paraId="552FB5BD">
      <w:pPr>
        <w:widowControl/>
        <w:jc w:val="center"/>
        <w:rPr>
          <w:rFonts w:hint="eastAsia" w:cs="Times New Roman" w:asciiTheme="majorEastAsia" w:hAnsiTheme="majorEastAsia" w:eastAsiaTheme="majorEastAsia"/>
          <w:b/>
          <w:bCs/>
          <w:kern w:val="2"/>
          <w:sz w:val="30"/>
          <w:szCs w:val="30"/>
          <w:lang w:val="en-US" w:eastAsia="zh-CN" w:bidi="ar-SA"/>
        </w:rPr>
      </w:pPr>
    </w:p>
    <w:p w14:paraId="32A7054D">
      <w:pPr>
        <w:widowControl/>
        <w:jc w:val="center"/>
        <w:rPr>
          <w:rFonts w:hint="eastAsia" w:cs="Times New Roman" w:asciiTheme="majorEastAsia" w:hAnsiTheme="majorEastAsia" w:eastAsiaTheme="majorEastAsia"/>
          <w:b/>
          <w:bCs/>
          <w:kern w:val="2"/>
          <w:sz w:val="30"/>
          <w:szCs w:val="30"/>
          <w:lang w:val="en-US" w:eastAsia="zh-CN" w:bidi="ar-SA"/>
        </w:rPr>
      </w:pPr>
    </w:p>
    <w:p w14:paraId="5E3F98CD">
      <w:pPr>
        <w:widowControl/>
        <w:jc w:val="center"/>
        <w:rPr>
          <w:rFonts w:hint="eastAsia" w:cs="Times New Roman" w:asciiTheme="majorEastAsia" w:hAnsiTheme="majorEastAsia" w:eastAsiaTheme="majorEastAsia"/>
          <w:b/>
          <w:bCs/>
          <w:kern w:val="2"/>
          <w:sz w:val="30"/>
          <w:szCs w:val="30"/>
          <w:lang w:val="en-US" w:eastAsia="zh-CN" w:bidi="ar-SA"/>
        </w:rPr>
      </w:pPr>
    </w:p>
    <w:p w14:paraId="7A9F04F8">
      <w:pPr>
        <w:widowControl/>
        <w:jc w:val="center"/>
        <w:rPr>
          <w:rFonts w:hint="eastAsia" w:cs="Times New Roman" w:asciiTheme="majorEastAsia" w:hAnsiTheme="majorEastAsia" w:eastAsiaTheme="majorEastAsia"/>
          <w:b/>
          <w:bCs/>
          <w:kern w:val="2"/>
          <w:sz w:val="30"/>
          <w:szCs w:val="30"/>
          <w:lang w:val="en-US" w:eastAsia="zh-CN" w:bidi="ar-SA"/>
        </w:rPr>
      </w:pPr>
    </w:p>
    <w:p w14:paraId="337C5299">
      <w:pPr>
        <w:widowControl/>
        <w:jc w:val="center"/>
        <w:rPr>
          <w:rFonts w:hint="eastAsia" w:cs="Times New Roman" w:asciiTheme="majorEastAsia" w:hAnsiTheme="majorEastAsia" w:eastAsiaTheme="majorEastAsia"/>
          <w:b/>
          <w:bCs/>
          <w:kern w:val="2"/>
          <w:sz w:val="30"/>
          <w:szCs w:val="30"/>
          <w:lang w:val="en-US" w:eastAsia="zh-CN" w:bidi="ar-SA"/>
        </w:rPr>
      </w:pPr>
    </w:p>
    <w:p w14:paraId="52635380">
      <w:pPr>
        <w:widowControl/>
        <w:jc w:val="center"/>
        <w:rPr>
          <w:rFonts w:hint="eastAsia" w:cs="Times New Roman" w:asciiTheme="majorEastAsia" w:hAnsiTheme="majorEastAsia" w:eastAsiaTheme="majorEastAsia"/>
          <w:b/>
          <w:bCs/>
          <w:kern w:val="2"/>
          <w:sz w:val="30"/>
          <w:szCs w:val="30"/>
          <w:lang w:val="en-US" w:eastAsia="zh-CN" w:bidi="ar-SA"/>
        </w:rPr>
      </w:pPr>
    </w:p>
    <w:p w14:paraId="2ABE25A4">
      <w:pPr>
        <w:widowControl/>
        <w:jc w:val="center"/>
        <w:rPr>
          <w:rFonts w:hint="eastAsia" w:cs="Times New Roman" w:asciiTheme="majorEastAsia" w:hAnsiTheme="majorEastAsia" w:eastAsiaTheme="majorEastAsia"/>
          <w:b/>
          <w:bCs/>
          <w:kern w:val="2"/>
          <w:sz w:val="30"/>
          <w:szCs w:val="30"/>
          <w:lang w:val="en-US" w:eastAsia="zh-CN" w:bidi="ar-SA"/>
        </w:rPr>
      </w:pPr>
    </w:p>
    <w:p w14:paraId="56A5D9EF">
      <w:pPr>
        <w:widowControl/>
        <w:jc w:val="center"/>
        <w:rPr>
          <w:rFonts w:hint="eastAsia" w:cs="Times New Roman" w:asciiTheme="majorEastAsia" w:hAnsiTheme="majorEastAsia" w:eastAsiaTheme="majorEastAsia"/>
          <w:b/>
          <w:bCs/>
          <w:kern w:val="2"/>
          <w:sz w:val="30"/>
          <w:szCs w:val="30"/>
          <w:lang w:val="en-US" w:eastAsia="zh-CN" w:bidi="ar-SA"/>
        </w:rPr>
      </w:pPr>
    </w:p>
    <w:p w14:paraId="4405823C">
      <w:pPr>
        <w:widowControl/>
        <w:jc w:val="center"/>
        <w:outlineLvl w:val="1"/>
        <w:rPr>
          <w:rFonts w:hint="eastAsia" w:cs="Times New Roman" w:asciiTheme="majorEastAsia" w:hAnsiTheme="majorEastAsia" w:eastAsiaTheme="majorEastAsia"/>
          <w:b/>
          <w:bCs/>
          <w:kern w:val="2"/>
          <w:sz w:val="30"/>
          <w:szCs w:val="30"/>
          <w:lang w:val="en-US" w:eastAsia="zh-CN" w:bidi="ar-SA"/>
        </w:rPr>
      </w:pPr>
      <w:bookmarkStart w:id="116" w:name="_Toc2825"/>
      <w:r>
        <w:rPr>
          <w:rFonts w:hint="eastAsia" w:cs="Times New Roman" w:asciiTheme="majorEastAsia" w:hAnsiTheme="majorEastAsia" w:eastAsiaTheme="majorEastAsia"/>
          <w:b/>
          <w:bCs/>
          <w:kern w:val="2"/>
          <w:sz w:val="30"/>
          <w:szCs w:val="30"/>
          <w:lang w:val="en-US" w:eastAsia="zh-CN" w:bidi="ar-SA"/>
        </w:rPr>
        <w:t>（二十一）软件系统主要功能模块（格式自拟）</w:t>
      </w:r>
      <w:bookmarkEnd w:id="116"/>
    </w:p>
    <w:p w14:paraId="4A097BAB">
      <w:pPr>
        <w:widowControl/>
        <w:jc w:val="center"/>
        <w:rPr>
          <w:rFonts w:hint="eastAsia" w:cs="Times New Roman" w:asciiTheme="majorEastAsia" w:hAnsiTheme="majorEastAsia" w:eastAsiaTheme="majorEastAsia"/>
          <w:b/>
          <w:bCs/>
          <w:kern w:val="2"/>
          <w:sz w:val="30"/>
          <w:szCs w:val="30"/>
          <w:lang w:val="en-US" w:eastAsia="zh-CN" w:bidi="ar-SA"/>
        </w:rPr>
      </w:pPr>
    </w:p>
    <w:p w14:paraId="1740C717">
      <w:pPr>
        <w:widowControl/>
        <w:jc w:val="center"/>
        <w:rPr>
          <w:rFonts w:hint="eastAsia" w:cs="Times New Roman" w:asciiTheme="majorEastAsia" w:hAnsiTheme="majorEastAsia" w:eastAsiaTheme="majorEastAsia"/>
          <w:b/>
          <w:bCs/>
          <w:kern w:val="2"/>
          <w:sz w:val="30"/>
          <w:szCs w:val="30"/>
          <w:lang w:val="en-US" w:eastAsia="zh-CN" w:bidi="ar-SA"/>
        </w:rPr>
      </w:pPr>
    </w:p>
    <w:p w14:paraId="7520C132">
      <w:pPr>
        <w:widowControl/>
        <w:jc w:val="center"/>
        <w:rPr>
          <w:rFonts w:hint="eastAsia" w:cs="Times New Roman" w:asciiTheme="majorEastAsia" w:hAnsiTheme="majorEastAsia" w:eastAsiaTheme="majorEastAsia"/>
          <w:b/>
          <w:bCs/>
          <w:kern w:val="2"/>
          <w:sz w:val="30"/>
          <w:szCs w:val="30"/>
          <w:lang w:val="en-US" w:eastAsia="zh-CN" w:bidi="ar-SA"/>
        </w:rPr>
      </w:pPr>
    </w:p>
    <w:p w14:paraId="0F3B0D8B">
      <w:pPr>
        <w:widowControl/>
        <w:jc w:val="center"/>
        <w:rPr>
          <w:rFonts w:hint="eastAsia" w:cs="Times New Roman" w:asciiTheme="majorEastAsia" w:hAnsiTheme="majorEastAsia" w:eastAsiaTheme="majorEastAsia"/>
          <w:b/>
          <w:bCs/>
          <w:kern w:val="2"/>
          <w:sz w:val="30"/>
          <w:szCs w:val="30"/>
          <w:lang w:val="en-US" w:eastAsia="zh-CN" w:bidi="ar-SA"/>
        </w:rPr>
      </w:pPr>
    </w:p>
    <w:p w14:paraId="5424E067">
      <w:pPr>
        <w:widowControl/>
        <w:jc w:val="center"/>
        <w:rPr>
          <w:rFonts w:hint="eastAsia" w:cs="Times New Roman" w:asciiTheme="majorEastAsia" w:hAnsiTheme="majorEastAsia" w:eastAsiaTheme="majorEastAsia"/>
          <w:b/>
          <w:bCs/>
          <w:kern w:val="2"/>
          <w:sz w:val="30"/>
          <w:szCs w:val="30"/>
          <w:lang w:val="en-US" w:eastAsia="zh-CN" w:bidi="ar-SA"/>
        </w:rPr>
      </w:pPr>
    </w:p>
    <w:p w14:paraId="0BB7C5B4">
      <w:pPr>
        <w:widowControl/>
        <w:jc w:val="center"/>
        <w:rPr>
          <w:rFonts w:hint="eastAsia" w:cs="Times New Roman" w:asciiTheme="majorEastAsia" w:hAnsiTheme="majorEastAsia" w:eastAsiaTheme="majorEastAsia"/>
          <w:b/>
          <w:bCs/>
          <w:kern w:val="2"/>
          <w:sz w:val="30"/>
          <w:szCs w:val="30"/>
          <w:lang w:val="en-US" w:eastAsia="zh-CN" w:bidi="ar-SA"/>
        </w:rPr>
      </w:pPr>
    </w:p>
    <w:p w14:paraId="3850C6F7">
      <w:pPr>
        <w:widowControl/>
        <w:jc w:val="center"/>
        <w:rPr>
          <w:rFonts w:hint="eastAsia" w:cs="Times New Roman" w:asciiTheme="majorEastAsia" w:hAnsiTheme="majorEastAsia" w:eastAsiaTheme="majorEastAsia"/>
          <w:b/>
          <w:bCs/>
          <w:kern w:val="2"/>
          <w:sz w:val="30"/>
          <w:szCs w:val="30"/>
          <w:lang w:val="en-US" w:eastAsia="zh-CN" w:bidi="ar-SA"/>
        </w:rPr>
      </w:pPr>
    </w:p>
    <w:p w14:paraId="275A6AD1">
      <w:pPr>
        <w:widowControl/>
        <w:jc w:val="center"/>
        <w:rPr>
          <w:rFonts w:hint="eastAsia" w:cs="Times New Roman" w:asciiTheme="majorEastAsia" w:hAnsiTheme="majorEastAsia" w:eastAsiaTheme="majorEastAsia"/>
          <w:b/>
          <w:bCs/>
          <w:kern w:val="2"/>
          <w:sz w:val="30"/>
          <w:szCs w:val="30"/>
          <w:lang w:val="en-US" w:eastAsia="zh-CN" w:bidi="ar-SA"/>
        </w:rPr>
      </w:pPr>
    </w:p>
    <w:p w14:paraId="298B6590">
      <w:pPr>
        <w:widowControl/>
        <w:jc w:val="center"/>
        <w:rPr>
          <w:rFonts w:hint="eastAsia" w:cs="Times New Roman" w:asciiTheme="majorEastAsia" w:hAnsiTheme="majorEastAsia" w:eastAsiaTheme="majorEastAsia"/>
          <w:b/>
          <w:bCs/>
          <w:kern w:val="2"/>
          <w:sz w:val="30"/>
          <w:szCs w:val="30"/>
          <w:lang w:val="en-US" w:eastAsia="zh-CN" w:bidi="ar-SA"/>
        </w:rPr>
      </w:pPr>
    </w:p>
    <w:p w14:paraId="527CB5BA">
      <w:pPr>
        <w:widowControl/>
        <w:jc w:val="center"/>
        <w:rPr>
          <w:rFonts w:hint="eastAsia" w:cs="Times New Roman" w:asciiTheme="majorEastAsia" w:hAnsiTheme="majorEastAsia" w:eastAsiaTheme="majorEastAsia"/>
          <w:b/>
          <w:bCs/>
          <w:kern w:val="2"/>
          <w:sz w:val="30"/>
          <w:szCs w:val="30"/>
          <w:lang w:val="en-US" w:eastAsia="zh-CN" w:bidi="ar-SA"/>
        </w:rPr>
      </w:pPr>
    </w:p>
    <w:p w14:paraId="7AD458DB">
      <w:pPr>
        <w:widowControl/>
        <w:jc w:val="center"/>
        <w:rPr>
          <w:rFonts w:hint="eastAsia" w:cs="Times New Roman" w:asciiTheme="majorEastAsia" w:hAnsiTheme="majorEastAsia" w:eastAsiaTheme="majorEastAsia"/>
          <w:b/>
          <w:bCs/>
          <w:kern w:val="2"/>
          <w:sz w:val="30"/>
          <w:szCs w:val="30"/>
          <w:lang w:val="en-US" w:eastAsia="zh-CN" w:bidi="ar-SA"/>
        </w:rPr>
      </w:pPr>
    </w:p>
    <w:p w14:paraId="543D45D2">
      <w:pPr>
        <w:widowControl/>
        <w:jc w:val="center"/>
        <w:rPr>
          <w:rFonts w:hint="eastAsia" w:cs="Times New Roman" w:asciiTheme="majorEastAsia" w:hAnsiTheme="majorEastAsia" w:eastAsiaTheme="majorEastAsia"/>
          <w:b/>
          <w:bCs/>
          <w:kern w:val="2"/>
          <w:sz w:val="30"/>
          <w:szCs w:val="30"/>
          <w:lang w:val="en-US" w:eastAsia="zh-CN" w:bidi="ar-SA"/>
        </w:rPr>
      </w:pPr>
    </w:p>
    <w:p w14:paraId="154E37ED">
      <w:pPr>
        <w:widowControl/>
        <w:jc w:val="center"/>
        <w:rPr>
          <w:rFonts w:hint="eastAsia" w:cs="Times New Roman" w:asciiTheme="majorEastAsia" w:hAnsiTheme="majorEastAsia" w:eastAsiaTheme="majorEastAsia"/>
          <w:b/>
          <w:bCs/>
          <w:kern w:val="2"/>
          <w:sz w:val="30"/>
          <w:szCs w:val="30"/>
          <w:lang w:val="en-US" w:eastAsia="zh-CN" w:bidi="ar-SA"/>
        </w:rPr>
      </w:pPr>
    </w:p>
    <w:p w14:paraId="5A7DE661">
      <w:pPr>
        <w:widowControl/>
        <w:jc w:val="center"/>
        <w:rPr>
          <w:rFonts w:hint="eastAsia" w:cs="Times New Roman" w:asciiTheme="majorEastAsia" w:hAnsiTheme="majorEastAsia" w:eastAsiaTheme="majorEastAsia"/>
          <w:b/>
          <w:bCs/>
          <w:kern w:val="2"/>
          <w:sz w:val="30"/>
          <w:szCs w:val="30"/>
          <w:lang w:val="en-US" w:eastAsia="zh-CN" w:bidi="ar-SA"/>
        </w:rPr>
      </w:pPr>
    </w:p>
    <w:p w14:paraId="75377485">
      <w:pPr>
        <w:widowControl/>
        <w:jc w:val="center"/>
        <w:rPr>
          <w:rFonts w:hint="eastAsia" w:cs="Times New Roman" w:asciiTheme="majorEastAsia" w:hAnsiTheme="majorEastAsia" w:eastAsiaTheme="majorEastAsia"/>
          <w:b/>
          <w:bCs/>
          <w:kern w:val="2"/>
          <w:sz w:val="30"/>
          <w:szCs w:val="30"/>
          <w:lang w:val="en-US" w:eastAsia="zh-CN" w:bidi="ar-SA"/>
        </w:rPr>
      </w:pPr>
    </w:p>
    <w:p w14:paraId="6BAB76F2">
      <w:pPr>
        <w:widowControl/>
        <w:jc w:val="center"/>
        <w:rPr>
          <w:rFonts w:hint="eastAsia" w:cs="Times New Roman" w:asciiTheme="majorEastAsia" w:hAnsiTheme="majorEastAsia" w:eastAsiaTheme="majorEastAsia"/>
          <w:b/>
          <w:bCs/>
          <w:kern w:val="2"/>
          <w:sz w:val="30"/>
          <w:szCs w:val="30"/>
          <w:lang w:val="en-US" w:eastAsia="zh-CN" w:bidi="ar-SA"/>
        </w:rPr>
      </w:pPr>
    </w:p>
    <w:p w14:paraId="527EAADE">
      <w:pPr>
        <w:widowControl/>
        <w:jc w:val="center"/>
        <w:rPr>
          <w:rFonts w:hint="eastAsia" w:cs="Times New Roman" w:asciiTheme="majorEastAsia" w:hAnsiTheme="majorEastAsia" w:eastAsiaTheme="majorEastAsia"/>
          <w:b/>
          <w:bCs/>
          <w:kern w:val="2"/>
          <w:sz w:val="30"/>
          <w:szCs w:val="30"/>
          <w:lang w:val="en-US" w:eastAsia="zh-CN" w:bidi="ar-SA"/>
        </w:rPr>
      </w:pPr>
    </w:p>
    <w:p w14:paraId="3342DDC5">
      <w:pPr>
        <w:widowControl/>
        <w:jc w:val="center"/>
        <w:rPr>
          <w:rFonts w:hint="eastAsia" w:cs="Times New Roman" w:asciiTheme="majorEastAsia" w:hAnsiTheme="majorEastAsia" w:eastAsiaTheme="majorEastAsia"/>
          <w:b/>
          <w:bCs/>
          <w:kern w:val="2"/>
          <w:sz w:val="30"/>
          <w:szCs w:val="30"/>
          <w:lang w:val="en-US" w:eastAsia="zh-CN" w:bidi="ar-SA"/>
        </w:rPr>
      </w:pPr>
    </w:p>
    <w:p w14:paraId="62C142CE">
      <w:pPr>
        <w:widowControl/>
        <w:jc w:val="center"/>
        <w:rPr>
          <w:rFonts w:hint="eastAsia" w:cs="Times New Roman" w:asciiTheme="majorEastAsia" w:hAnsiTheme="majorEastAsia" w:eastAsiaTheme="majorEastAsia"/>
          <w:b/>
          <w:bCs/>
          <w:kern w:val="2"/>
          <w:sz w:val="30"/>
          <w:szCs w:val="30"/>
          <w:lang w:val="en-US" w:eastAsia="zh-CN" w:bidi="ar-SA"/>
        </w:rPr>
      </w:pPr>
    </w:p>
    <w:p w14:paraId="4677B7FA">
      <w:pPr>
        <w:widowControl/>
        <w:jc w:val="center"/>
        <w:rPr>
          <w:rFonts w:hint="eastAsia" w:cs="Times New Roman" w:asciiTheme="majorEastAsia" w:hAnsiTheme="majorEastAsia" w:eastAsiaTheme="majorEastAsia"/>
          <w:b/>
          <w:bCs/>
          <w:kern w:val="2"/>
          <w:sz w:val="30"/>
          <w:szCs w:val="30"/>
          <w:lang w:val="en-US" w:eastAsia="zh-CN" w:bidi="ar-SA"/>
        </w:rPr>
      </w:pPr>
    </w:p>
    <w:p w14:paraId="22979909">
      <w:pPr>
        <w:widowControl/>
        <w:jc w:val="both"/>
        <w:rPr>
          <w:rFonts w:hint="eastAsia" w:cs="Times New Roman" w:asciiTheme="majorEastAsia" w:hAnsiTheme="majorEastAsia" w:eastAsiaTheme="majorEastAsia"/>
          <w:b/>
          <w:bCs/>
          <w:kern w:val="2"/>
          <w:sz w:val="30"/>
          <w:szCs w:val="30"/>
          <w:lang w:val="en-US" w:eastAsia="zh-CN" w:bidi="ar-SA"/>
        </w:rPr>
      </w:pPr>
    </w:p>
    <w:p w14:paraId="4871020F">
      <w:pPr>
        <w:widowControl/>
        <w:jc w:val="center"/>
        <w:outlineLvl w:val="1"/>
        <w:rPr>
          <w:rFonts w:hint="eastAsia" w:cs="Times New Roman" w:asciiTheme="majorEastAsia" w:hAnsiTheme="majorEastAsia" w:eastAsiaTheme="majorEastAsia"/>
          <w:b/>
          <w:bCs/>
          <w:kern w:val="2"/>
          <w:sz w:val="30"/>
          <w:szCs w:val="30"/>
          <w:lang w:val="en-US" w:eastAsia="zh-CN" w:bidi="ar-SA"/>
        </w:rPr>
      </w:pPr>
      <w:bookmarkStart w:id="117" w:name="_Toc5189"/>
      <w:r>
        <w:rPr>
          <w:rFonts w:hint="eastAsia" w:cs="Times New Roman" w:asciiTheme="majorEastAsia" w:hAnsiTheme="majorEastAsia" w:eastAsiaTheme="majorEastAsia"/>
          <w:b/>
          <w:bCs/>
          <w:kern w:val="2"/>
          <w:sz w:val="30"/>
          <w:szCs w:val="30"/>
          <w:lang w:val="en-US" w:eastAsia="zh-CN" w:bidi="ar-SA"/>
        </w:rPr>
        <w:t>（二十二）软件著作权</w:t>
      </w:r>
      <w:bookmarkEnd w:id="117"/>
    </w:p>
    <w:p w14:paraId="388A53D8">
      <w:pPr>
        <w:widowControl/>
        <w:jc w:val="center"/>
        <w:rPr>
          <w:rFonts w:hint="eastAsia" w:cs="Times New Roman" w:asciiTheme="majorEastAsia" w:hAnsiTheme="majorEastAsia" w:eastAsiaTheme="majorEastAsia"/>
          <w:b/>
          <w:bCs/>
          <w:kern w:val="2"/>
          <w:sz w:val="30"/>
          <w:szCs w:val="30"/>
          <w:lang w:val="en-US" w:eastAsia="zh-CN" w:bidi="ar-SA"/>
        </w:rPr>
      </w:pPr>
    </w:p>
    <w:p w14:paraId="451241C0">
      <w:pPr>
        <w:widowControl/>
        <w:jc w:val="center"/>
        <w:rPr>
          <w:rFonts w:hint="eastAsia" w:cs="Times New Roman" w:asciiTheme="majorEastAsia" w:hAnsiTheme="majorEastAsia" w:eastAsiaTheme="majorEastAsia"/>
          <w:b/>
          <w:bCs/>
          <w:kern w:val="2"/>
          <w:sz w:val="30"/>
          <w:szCs w:val="30"/>
          <w:lang w:val="en-US" w:eastAsia="zh-CN" w:bidi="ar-SA"/>
        </w:rPr>
      </w:pPr>
    </w:p>
    <w:p w14:paraId="7A64B05B">
      <w:pPr>
        <w:widowControl/>
        <w:jc w:val="center"/>
        <w:rPr>
          <w:rFonts w:hint="eastAsia" w:cs="Times New Roman" w:asciiTheme="majorEastAsia" w:hAnsiTheme="majorEastAsia" w:eastAsiaTheme="majorEastAsia"/>
          <w:b/>
          <w:bCs/>
          <w:kern w:val="2"/>
          <w:sz w:val="30"/>
          <w:szCs w:val="30"/>
          <w:lang w:val="en-US" w:eastAsia="zh-CN" w:bidi="ar-SA"/>
        </w:rPr>
      </w:pPr>
    </w:p>
    <w:p w14:paraId="0B8A8D76">
      <w:pPr>
        <w:widowControl/>
        <w:jc w:val="center"/>
        <w:rPr>
          <w:rFonts w:hint="eastAsia" w:cs="Times New Roman" w:asciiTheme="majorEastAsia" w:hAnsiTheme="majorEastAsia" w:eastAsiaTheme="majorEastAsia"/>
          <w:b/>
          <w:bCs/>
          <w:kern w:val="2"/>
          <w:sz w:val="30"/>
          <w:szCs w:val="30"/>
          <w:lang w:val="en-US" w:eastAsia="zh-CN" w:bidi="ar-SA"/>
        </w:rPr>
      </w:pPr>
    </w:p>
    <w:p w14:paraId="3AA8DFE6">
      <w:pPr>
        <w:widowControl/>
        <w:jc w:val="center"/>
        <w:rPr>
          <w:rFonts w:hint="eastAsia" w:cs="Times New Roman" w:asciiTheme="majorEastAsia" w:hAnsiTheme="majorEastAsia" w:eastAsiaTheme="majorEastAsia"/>
          <w:b/>
          <w:bCs/>
          <w:kern w:val="2"/>
          <w:sz w:val="30"/>
          <w:szCs w:val="30"/>
          <w:lang w:val="en-US" w:eastAsia="zh-CN" w:bidi="ar-SA"/>
        </w:rPr>
      </w:pPr>
    </w:p>
    <w:p w14:paraId="2CA28D43">
      <w:pPr>
        <w:widowControl/>
        <w:jc w:val="center"/>
        <w:rPr>
          <w:rFonts w:hint="eastAsia" w:cs="Times New Roman" w:asciiTheme="majorEastAsia" w:hAnsiTheme="majorEastAsia" w:eastAsiaTheme="majorEastAsia"/>
          <w:b/>
          <w:bCs/>
          <w:kern w:val="2"/>
          <w:sz w:val="30"/>
          <w:szCs w:val="30"/>
          <w:lang w:val="en-US" w:eastAsia="zh-CN" w:bidi="ar-SA"/>
        </w:rPr>
      </w:pPr>
    </w:p>
    <w:p w14:paraId="24C55329">
      <w:pPr>
        <w:widowControl/>
        <w:jc w:val="center"/>
        <w:rPr>
          <w:rFonts w:hint="eastAsia" w:cs="Times New Roman" w:asciiTheme="majorEastAsia" w:hAnsiTheme="majorEastAsia" w:eastAsiaTheme="majorEastAsia"/>
          <w:b/>
          <w:bCs/>
          <w:kern w:val="2"/>
          <w:sz w:val="30"/>
          <w:szCs w:val="30"/>
          <w:lang w:val="en-US" w:eastAsia="zh-CN" w:bidi="ar-SA"/>
        </w:rPr>
      </w:pPr>
    </w:p>
    <w:p w14:paraId="18046E6F">
      <w:pPr>
        <w:widowControl/>
        <w:jc w:val="center"/>
        <w:rPr>
          <w:rFonts w:hint="eastAsia" w:cs="Times New Roman" w:asciiTheme="majorEastAsia" w:hAnsiTheme="majorEastAsia" w:eastAsiaTheme="majorEastAsia"/>
          <w:b/>
          <w:bCs/>
          <w:kern w:val="2"/>
          <w:sz w:val="30"/>
          <w:szCs w:val="30"/>
          <w:lang w:val="en-US" w:eastAsia="zh-CN" w:bidi="ar-SA"/>
        </w:rPr>
      </w:pPr>
    </w:p>
    <w:p w14:paraId="0097B00E">
      <w:pPr>
        <w:widowControl/>
        <w:jc w:val="center"/>
        <w:rPr>
          <w:rFonts w:hint="eastAsia" w:cs="Times New Roman" w:asciiTheme="majorEastAsia" w:hAnsiTheme="majorEastAsia" w:eastAsiaTheme="majorEastAsia"/>
          <w:b/>
          <w:bCs/>
          <w:kern w:val="2"/>
          <w:sz w:val="30"/>
          <w:szCs w:val="30"/>
          <w:lang w:val="en-US" w:eastAsia="zh-CN" w:bidi="ar-SA"/>
        </w:rPr>
      </w:pPr>
    </w:p>
    <w:p w14:paraId="4044BC76">
      <w:pPr>
        <w:widowControl/>
        <w:jc w:val="center"/>
        <w:rPr>
          <w:rFonts w:hint="eastAsia" w:cs="Times New Roman" w:asciiTheme="majorEastAsia" w:hAnsiTheme="majorEastAsia" w:eastAsiaTheme="majorEastAsia"/>
          <w:b/>
          <w:bCs/>
          <w:kern w:val="2"/>
          <w:sz w:val="30"/>
          <w:szCs w:val="30"/>
          <w:lang w:val="en-US" w:eastAsia="zh-CN" w:bidi="ar-SA"/>
        </w:rPr>
      </w:pPr>
    </w:p>
    <w:p w14:paraId="14EC5272">
      <w:pPr>
        <w:widowControl/>
        <w:jc w:val="center"/>
        <w:rPr>
          <w:rFonts w:hint="eastAsia" w:cs="Times New Roman" w:asciiTheme="majorEastAsia" w:hAnsiTheme="majorEastAsia" w:eastAsiaTheme="majorEastAsia"/>
          <w:b/>
          <w:bCs/>
          <w:kern w:val="2"/>
          <w:sz w:val="30"/>
          <w:szCs w:val="30"/>
          <w:lang w:val="en-US" w:eastAsia="zh-CN" w:bidi="ar-SA"/>
        </w:rPr>
      </w:pPr>
    </w:p>
    <w:p w14:paraId="1F1843AE">
      <w:pPr>
        <w:widowControl/>
        <w:jc w:val="center"/>
        <w:rPr>
          <w:rFonts w:hint="eastAsia" w:cs="Times New Roman" w:asciiTheme="majorEastAsia" w:hAnsiTheme="majorEastAsia" w:eastAsiaTheme="majorEastAsia"/>
          <w:b/>
          <w:bCs/>
          <w:kern w:val="2"/>
          <w:sz w:val="30"/>
          <w:szCs w:val="30"/>
          <w:lang w:val="en-US" w:eastAsia="zh-CN" w:bidi="ar-SA"/>
        </w:rPr>
      </w:pPr>
    </w:p>
    <w:p w14:paraId="4A2775BB">
      <w:pPr>
        <w:widowControl/>
        <w:jc w:val="center"/>
        <w:rPr>
          <w:rFonts w:hint="eastAsia" w:cs="Times New Roman" w:asciiTheme="majorEastAsia" w:hAnsiTheme="majorEastAsia" w:eastAsiaTheme="majorEastAsia"/>
          <w:b/>
          <w:bCs/>
          <w:kern w:val="2"/>
          <w:sz w:val="30"/>
          <w:szCs w:val="30"/>
          <w:lang w:val="en-US" w:eastAsia="zh-CN" w:bidi="ar-SA"/>
        </w:rPr>
      </w:pPr>
    </w:p>
    <w:p w14:paraId="12E92E0C">
      <w:pPr>
        <w:widowControl/>
        <w:jc w:val="center"/>
        <w:rPr>
          <w:rFonts w:hint="eastAsia" w:cs="Times New Roman" w:asciiTheme="majorEastAsia" w:hAnsiTheme="majorEastAsia" w:eastAsiaTheme="majorEastAsia"/>
          <w:b/>
          <w:bCs/>
          <w:kern w:val="2"/>
          <w:sz w:val="30"/>
          <w:szCs w:val="30"/>
          <w:lang w:val="en-US" w:eastAsia="zh-CN" w:bidi="ar-SA"/>
        </w:rPr>
      </w:pPr>
    </w:p>
    <w:p w14:paraId="40682D94">
      <w:pPr>
        <w:widowControl/>
        <w:jc w:val="center"/>
        <w:rPr>
          <w:rFonts w:hint="eastAsia" w:cs="Times New Roman" w:asciiTheme="majorEastAsia" w:hAnsiTheme="majorEastAsia" w:eastAsiaTheme="majorEastAsia"/>
          <w:b/>
          <w:bCs/>
          <w:kern w:val="2"/>
          <w:sz w:val="30"/>
          <w:szCs w:val="30"/>
          <w:lang w:val="en-US" w:eastAsia="zh-CN" w:bidi="ar-SA"/>
        </w:rPr>
      </w:pPr>
    </w:p>
    <w:p w14:paraId="7D440C8D">
      <w:pPr>
        <w:widowControl/>
        <w:jc w:val="center"/>
        <w:rPr>
          <w:rFonts w:hint="eastAsia" w:cs="Times New Roman" w:asciiTheme="majorEastAsia" w:hAnsiTheme="majorEastAsia" w:eastAsiaTheme="majorEastAsia"/>
          <w:b/>
          <w:bCs/>
          <w:kern w:val="2"/>
          <w:sz w:val="30"/>
          <w:szCs w:val="30"/>
          <w:lang w:val="en-US" w:eastAsia="zh-CN" w:bidi="ar-SA"/>
        </w:rPr>
      </w:pPr>
    </w:p>
    <w:p w14:paraId="341D265B">
      <w:pPr>
        <w:widowControl/>
        <w:jc w:val="center"/>
        <w:rPr>
          <w:rFonts w:hint="eastAsia" w:cs="Times New Roman" w:asciiTheme="majorEastAsia" w:hAnsiTheme="majorEastAsia" w:eastAsiaTheme="majorEastAsia"/>
          <w:b/>
          <w:bCs/>
          <w:kern w:val="2"/>
          <w:sz w:val="30"/>
          <w:szCs w:val="30"/>
          <w:lang w:val="en-US" w:eastAsia="zh-CN" w:bidi="ar-SA"/>
        </w:rPr>
      </w:pPr>
    </w:p>
    <w:p w14:paraId="39155292">
      <w:pPr>
        <w:widowControl/>
        <w:jc w:val="center"/>
        <w:rPr>
          <w:rFonts w:hint="eastAsia" w:cs="Times New Roman" w:asciiTheme="majorEastAsia" w:hAnsiTheme="majorEastAsia" w:eastAsiaTheme="majorEastAsia"/>
          <w:b/>
          <w:bCs/>
          <w:kern w:val="2"/>
          <w:sz w:val="30"/>
          <w:szCs w:val="30"/>
          <w:lang w:val="en-US" w:eastAsia="zh-CN" w:bidi="ar-SA"/>
        </w:rPr>
      </w:pPr>
    </w:p>
    <w:p w14:paraId="76BEC64C">
      <w:pPr>
        <w:widowControl/>
        <w:jc w:val="center"/>
        <w:rPr>
          <w:rFonts w:hint="eastAsia" w:cs="Times New Roman" w:asciiTheme="majorEastAsia" w:hAnsiTheme="majorEastAsia" w:eastAsiaTheme="majorEastAsia"/>
          <w:b/>
          <w:bCs/>
          <w:kern w:val="2"/>
          <w:sz w:val="30"/>
          <w:szCs w:val="30"/>
          <w:lang w:val="en-US" w:eastAsia="zh-CN" w:bidi="ar-SA"/>
        </w:rPr>
      </w:pPr>
    </w:p>
    <w:p w14:paraId="358E9902">
      <w:pPr>
        <w:widowControl/>
        <w:jc w:val="center"/>
        <w:rPr>
          <w:rFonts w:hint="eastAsia" w:cs="Times New Roman" w:asciiTheme="majorEastAsia" w:hAnsiTheme="majorEastAsia" w:eastAsiaTheme="majorEastAsia"/>
          <w:b/>
          <w:bCs/>
          <w:kern w:val="2"/>
          <w:sz w:val="30"/>
          <w:szCs w:val="30"/>
          <w:lang w:val="en-US" w:eastAsia="zh-CN" w:bidi="ar-SA"/>
        </w:rPr>
      </w:pPr>
    </w:p>
    <w:p w14:paraId="1A90E828">
      <w:pPr>
        <w:widowControl/>
        <w:jc w:val="center"/>
        <w:rPr>
          <w:rFonts w:hint="eastAsia" w:cs="Times New Roman" w:asciiTheme="majorEastAsia" w:hAnsiTheme="majorEastAsia" w:eastAsiaTheme="majorEastAsia"/>
          <w:b/>
          <w:bCs/>
          <w:kern w:val="2"/>
          <w:sz w:val="30"/>
          <w:szCs w:val="30"/>
          <w:lang w:val="en-US" w:eastAsia="zh-CN" w:bidi="ar-SA"/>
        </w:rPr>
      </w:pPr>
    </w:p>
    <w:p w14:paraId="3CE0C513">
      <w:pPr>
        <w:widowControl/>
        <w:jc w:val="center"/>
        <w:outlineLvl w:val="1"/>
        <w:rPr>
          <w:rFonts w:hint="eastAsia" w:cs="Times New Roman" w:asciiTheme="majorEastAsia" w:hAnsiTheme="majorEastAsia" w:eastAsiaTheme="majorEastAsia"/>
          <w:b/>
          <w:bCs/>
          <w:kern w:val="2"/>
          <w:sz w:val="30"/>
          <w:szCs w:val="30"/>
          <w:lang w:val="en-US" w:eastAsia="zh-CN" w:bidi="ar-SA"/>
        </w:rPr>
      </w:pPr>
      <w:bookmarkStart w:id="118" w:name="_Toc14138"/>
      <w:r>
        <w:rPr>
          <w:rFonts w:hint="eastAsia" w:cs="Times New Roman" w:asciiTheme="majorEastAsia" w:hAnsiTheme="majorEastAsia" w:eastAsiaTheme="majorEastAsia"/>
          <w:b/>
          <w:bCs/>
          <w:kern w:val="2"/>
          <w:sz w:val="30"/>
          <w:szCs w:val="30"/>
          <w:lang w:val="en-US" w:eastAsia="zh-CN" w:bidi="ar-SA"/>
        </w:rPr>
        <w:t>（二十三）同类业绩</w:t>
      </w:r>
      <w:bookmarkEnd w:id="118"/>
    </w:p>
    <w:p w14:paraId="1E912668">
      <w:pPr>
        <w:widowControl/>
        <w:jc w:val="center"/>
        <w:rPr>
          <w:rFonts w:hint="eastAsia" w:cs="Times New Roman" w:asciiTheme="majorEastAsia" w:hAnsiTheme="majorEastAsia" w:eastAsiaTheme="majorEastAsia"/>
          <w:b/>
          <w:bCs/>
          <w:kern w:val="2"/>
          <w:sz w:val="30"/>
          <w:szCs w:val="30"/>
          <w:lang w:val="en-US" w:eastAsia="zh-CN" w:bidi="ar-SA"/>
        </w:rPr>
      </w:pPr>
    </w:p>
    <w:p w14:paraId="18193B32">
      <w:pPr>
        <w:widowControl/>
        <w:jc w:val="center"/>
        <w:rPr>
          <w:rFonts w:hint="eastAsia" w:cs="Times New Roman" w:asciiTheme="majorEastAsia" w:hAnsiTheme="majorEastAsia" w:eastAsiaTheme="majorEastAsia"/>
          <w:b/>
          <w:bCs/>
          <w:kern w:val="2"/>
          <w:sz w:val="30"/>
          <w:szCs w:val="30"/>
          <w:lang w:val="en-US" w:eastAsia="zh-CN" w:bidi="ar-SA"/>
        </w:rPr>
      </w:pPr>
    </w:p>
    <w:p w14:paraId="4DA8F64B">
      <w:pPr>
        <w:widowControl/>
        <w:jc w:val="center"/>
        <w:rPr>
          <w:rFonts w:hint="eastAsia" w:cs="Times New Roman" w:asciiTheme="majorEastAsia" w:hAnsiTheme="majorEastAsia" w:eastAsiaTheme="majorEastAsia"/>
          <w:b/>
          <w:bCs/>
          <w:kern w:val="2"/>
          <w:sz w:val="30"/>
          <w:szCs w:val="30"/>
          <w:lang w:val="en-US" w:eastAsia="zh-CN" w:bidi="ar-SA"/>
        </w:rPr>
      </w:pPr>
    </w:p>
    <w:p w14:paraId="4D3055C5">
      <w:pPr>
        <w:widowControl/>
        <w:jc w:val="center"/>
        <w:rPr>
          <w:rFonts w:hint="eastAsia" w:cs="Times New Roman" w:asciiTheme="majorEastAsia" w:hAnsiTheme="majorEastAsia" w:eastAsiaTheme="majorEastAsia"/>
          <w:b/>
          <w:bCs/>
          <w:kern w:val="2"/>
          <w:sz w:val="30"/>
          <w:szCs w:val="30"/>
          <w:lang w:val="en-US" w:eastAsia="zh-CN" w:bidi="ar-SA"/>
        </w:rPr>
      </w:pPr>
    </w:p>
    <w:p w14:paraId="6EAEC20F">
      <w:pPr>
        <w:widowControl/>
        <w:jc w:val="center"/>
        <w:rPr>
          <w:rFonts w:hint="eastAsia" w:cs="Times New Roman" w:asciiTheme="majorEastAsia" w:hAnsiTheme="majorEastAsia" w:eastAsiaTheme="majorEastAsia"/>
          <w:b/>
          <w:bCs/>
          <w:kern w:val="2"/>
          <w:sz w:val="30"/>
          <w:szCs w:val="30"/>
          <w:lang w:val="en-US" w:eastAsia="zh-CN" w:bidi="ar-SA"/>
        </w:rPr>
      </w:pPr>
    </w:p>
    <w:p w14:paraId="3C380D1A">
      <w:pPr>
        <w:widowControl/>
        <w:jc w:val="center"/>
        <w:rPr>
          <w:rFonts w:hint="eastAsia" w:cs="Times New Roman" w:asciiTheme="majorEastAsia" w:hAnsiTheme="majorEastAsia" w:eastAsiaTheme="majorEastAsia"/>
          <w:b/>
          <w:bCs/>
          <w:kern w:val="2"/>
          <w:sz w:val="30"/>
          <w:szCs w:val="30"/>
          <w:lang w:val="en-US" w:eastAsia="zh-CN" w:bidi="ar-SA"/>
        </w:rPr>
      </w:pPr>
    </w:p>
    <w:p w14:paraId="1E546E39">
      <w:pPr>
        <w:widowControl/>
        <w:jc w:val="center"/>
        <w:rPr>
          <w:rFonts w:hint="eastAsia" w:cs="Times New Roman" w:asciiTheme="majorEastAsia" w:hAnsiTheme="majorEastAsia" w:eastAsiaTheme="majorEastAsia"/>
          <w:b/>
          <w:bCs/>
          <w:kern w:val="2"/>
          <w:sz w:val="30"/>
          <w:szCs w:val="30"/>
          <w:lang w:val="en-US" w:eastAsia="zh-CN" w:bidi="ar-SA"/>
        </w:rPr>
      </w:pPr>
    </w:p>
    <w:p w14:paraId="781D33B0">
      <w:pPr>
        <w:widowControl/>
        <w:jc w:val="center"/>
        <w:rPr>
          <w:rFonts w:hint="eastAsia" w:cs="Times New Roman" w:asciiTheme="majorEastAsia" w:hAnsiTheme="majorEastAsia" w:eastAsiaTheme="majorEastAsia"/>
          <w:b/>
          <w:bCs/>
          <w:kern w:val="2"/>
          <w:sz w:val="30"/>
          <w:szCs w:val="30"/>
          <w:lang w:val="en-US" w:eastAsia="zh-CN" w:bidi="ar-SA"/>
        </w:rPr>
      </w:pPr>
    </w:p>
    <w:p w14:paraId="7984C881">
      <w:pPr>
        <w:widowControl/>
        <w:jc w:val="center"/>
        <w:rPr>
          <w:rFonts w:hint="eastAsia" w:cs="Times New Roman" w:asciiTheme="majorEastAsia" w:hAnsiTheme="majorEastAsia" w:eastAsiaTheme="majorEastAsia"/>
          <w:b/>
          <w:bCs/>
          <w:kern w:val="2"/>
          <w:sz w:val="30"/>
          <w:szCs w:val="30"/>
          <w:lang w:val="en-US" w:eastAsia="zh-CN" w:bidi="ar-SA"/>
        </w:rPr>
      </w:pPr>
    </w:p>
    <w:p w14:paraId="7700CEAC">
      <w:pPr>
        <w:widowControl/>
        <w:jc w:val="center"/>
        <w:rPr>
          <w:rFonts w:hint="eastAsia" w:cs="Times New Roman" w:asciiTheme="majorEastAsia" w:hAnsiTheme="majorEastAsia" w:eastAsiaTheme="majorEastAsia"/>
          <w:b/>
          <w:bCs/>
          <w:kern w:val="2"/>
          <w:sz w:val="30"/>
          <w:szCs w:val="30"/>
          <w:lang w:val="en-US" w:eastAsia="zh-CN" w:bidi="ar-SA"/>
        </w:rPr>
      </w:pPr>
    </w:p>
    <w:p w14:paraId="7B53F145">
      <w:pPr>
        <w:widowControl/>
        <w:jc w:val="center"/>
        <w:rPr>
          <w:rFonts w:hint="eastAsia" w:cs="Times New Roman" w:asciiTheme="majorEastAsia" w:hAnsiTheme="majorEastAsia" w:eastAsiaTheme="majorEastAsia"/>
          <w:b/>
          <w:bCs/>
          <w:kern w:val="2"/>
          <w:sz w:val="30"/>
          <w:szCs w:val="30"/>
          <w:lang w:val="en-US" w:eastAsia="zh-CN" w:bidi="ar-SA"/>
        </w:rPr>
      </w:pPr>
    </w:p>
    <w:p w14:paraId="2EF5A2E9">
      <w:pPr>
        <w:widowControl/>
        <w:jc w:val="center"/>
        <w:rPr>
          <w:rFonts w:hint="eastAsia" w:cs="Times New Roman" w:asciiTheme="majorEastAsia" w:hAnsiTheme="majorEastAsia" w:eastAsiaTheme="majorEastAsia"/>
          <w:b/>
          <w:bCs/>
          <w:kern w:val="2"/>
          <w:sz w:val="30"/>
          <w:szCs w:val="30"/>
          <w:lang w:val="en-US" w:eastAsia="zh-CN" w:bidi="ar-SA"/>
        </w:rPr>
      </w:pPr>
    </w:p>
    <w:p w14:paraId="45F17EB0">
      <w:pPr>
        <w:widowControl/>
        <w:jc w:val="center"/>
        <w:rPr>
          <w:rFonts w:hint="eastAsia" w:cs="Times New Roman" w:asciiTheme="majorEastAsia" w:hAnsiTheme="majorEastAsia" w:eastAsiaTheme="majorEastAsia"/>
          <w:b/>
          <w:bCs/>
          <w:kern w:val="2"/>
          <w:sz w:val="30"/>
          <w:szCs w:val="30"/>
          <w:lang w:val="en-US" w:eastAsia="zh-CN" w:bidi="ar-SA"/>
        </w:rPr>
      </w:pPr>
    </w:p>
    <w:p w14:paraId="4E29C94E">
      <w:pPr>
        <w:widowControl/>
        <w:jc w:val="center"/>
        <w:rPr>
          <w:rFonts w:hint="eastAsia" w:cs="Times New Roman" w:asciiTheme="majorEastAsia" w:hAnsiTheme="majorEastAsia" w:eastAsiaTheme="majorEastAsia"/>
          <w:b/>
          <w:bCs/>
          <w:kern w:val="2"/>
          <w:sz w:val="30"/>
          <w:szCs w:val="30"/>
          <w:lang w:val="en-US" w:eastAsia="zh-CN" w:bidi="ar-SA"/>
        </w:rPr>
      </w:pPr>
    </w:p>
    <w:p w14:paraId="1579C3D7">
      <w:pPr>
        <w:widowControl/>
        <w:jc w:val="center"/>
        <w:rPr>
          <w:rFonts w:hint="eastAsia" w:cs="Times New Roman" w:asciiTheme="majorEastAsia" w:hAnsiTheme="majorEastAsia" w:eastAsiaTheme="majorEastAsia"/>
          <w:b/>
          <w:bCs/>
          <w:kern w:val="2"/>
          <w:sz w:val="30"/>
          <w:szCs w:val="30"/>
          <w:lang w:val="en-US" w:eastAsia="zh-CN" w:bidi="ar-SA"/>
        </w:rPr>
      </w:pPr>
    </w:p>
    <w:p w14:paraId="2E128EE9">
      <w:pPr>
        <w:widowControl/>
        <w:jc w:val="center"/>
        <w:rPr>
          <w:rFonts w:hint="eastAsia" w:cs="Times New Roman" w:asciiTheme="majorEastAsia" w:hAnsiTheme="majorEastAsia" w:eastAsiaTheme="majorEastAsia"/>
          <w:b/>
          <w:bCs/>
          <w:kern w:val="2"/>
          <w:sz w:val="30"/>
          <w:szCs w:val="30"/>
          <w:lang w:val="en-US" w:eastAsia="zh-CN" w:bidi="ar-SA"/>
        </w:rPr>
      </w:pPr>
    </w:p>
    <w:p w14:paraId="667BAA06">
      <w:pPr>
        <w:widowControl/>
        <w:jc w:val="center"/>
        <w:rPr>
          <w:rFonts w:hint="eastAsia" w:cs="Times New Roman" w:asciiTheme="majorEastAsia" w:hAnsiTheme="majorEastAsia" w:eastAsiaTheme="majorEastAsia"/>
          <w:b/>
          <w:bCs/>
          <w:kern w:val="2"/>
          <w:sz w:val="30"/>
          <w:szCs w:val="30"/>
          <w:lang w:val="en-US" w:eastAsia="zh-CN" w:bidi="ar-SA"/>
        </w:rPr>
      </w:pPr>
    </w:p>
    <w:p w14:paraId="69D8E02D">
      <w:pPr>
        <w:widowControl/>
        <w:jc w:val="center"/>
        <w:rPr>
          <w:rFonts w:hint="eastAsia" w:cs="Times New Roman" w:asciiTheme="majorEastAsia" w:hAnsiTheme="majorEastAsia" w:eastAsiaTheme="majorEastAsia"/>
          <w:b/>
          <w:bCs/>
          <w:kern w:val="2"/>
          <w:sz w:val="30"/>
          <w:szCs w:val="30"/>
          <w:lang w:val="en-US" w:eastAsia="zh-CN" w:bidi="ar-SA"/>
        </w:rPr>
      </w:pPr>
    </w:p>
    <w:p w14:paraId="0DCBF17D">
      <w:pPr>
        <w:widowControl/>
        <w:jc w:val="center"/>
        <w:rPr>
          <w:rFonts w:hint="eastAsia" w:cs="Times New Roman" w:asciiTheme="majorEastAsia" w:hAnsiTheme="majorEastAsia" w:eastAsiaTheme="majorEastAsia"/>
          <w:b/>
          <w:bCs/>
          <w:kern w:val="2"/>
          <w:sz w:val="30"/>
          <w:szCs w:val="30"/>
          <w:lang w:val="en-US" w:eastAsia="zh-CN" w:bidi="ar-SA"/>
        </w:rPr>
      </w:pPr>
    </w:p>
    <w:p w14:paraId="29EA95E2">
      <w:pPr>
        <w:widowControl/>
        <w:jc w:val="center"/>
        <w:rPr>
          <w:rFonts w:hint="eastAsia" w:cs="Times New Roman" w:asciiTheme="majorEastAsia" w:hAnsiTheme="majorEastAsia" w:eastAsiaTheme="majorEastAsia"/>
          <w:b/>
          <w:bCs/>
          <w:kern w:val="2"/>
          <w:sz w:val="30"/>
          <w:szCs w:val="30"/>
          <w:lang w:val="en-US" w:eastAsia="zh-CN" w:bidi="ar-SA"/>
        </w:rPr>
      </w:pPr>
    </w:p>
    <w:p w14:paraId="4E9E1129">
      <w:pPr>
        <w:widowControl/>
        <w:jc w:val="both"/>
        <w:rPr>
          <w:rFonts w:hint="eastAsia" w:cs="Times New Roman" w:asciiTheme="majorEastAsia" w:hAnsiTheme="majorEastAsia" w:eastAsiaTheme="majorEastAsia"/>
          <w:b/>
          <w:bCs/>
          <w:kern w:val="2"/>
          <w:sz w:val="30"/>
          <w:szCs w:val="30"/>
          <w:lang w:val="en-US" w:eastAsia="zh-CN" w:bidi="ar-SA"/>
        </w:rPr>
      </w:pPr>
    </w:p>
    <w:p w14:paraId="08F7F577">
      <w:pPr>
        <w:widowControl/>
        <w:jc w:val="center"/>
        <w:outlineLvl w:val="1"/>
        <w:rPr>
          <w:rFonts w:hint="eastAsia" w:cs="Times New Roman" w:asciiTheme="majorEastAsia" w:hAnsiTheme="majorEastAsia" w:eastAsiaTheme="majorEastAsia"/>
          <w:b/>
          <w:bCs/>
          <w:kern w:val="2"/>
          <w:sz w:val="30"/>
          <w:szCs w:val="30"/>
          <w:lang w:val="en-US" w:eastAsia="zh-CN" w:bidi="ar-SA"/>
        </w:rPr>
      </w:pPr>
      <w:bookmarkStart w:id="119" w:name="_Toc10255"/>
      <w:r>
        <w:rPr>
          <w:rFonts w:hint="eastAsia" w:cs="Times New Roman" w:asciiTheme="majorEastAsia" w:hAnsiTheme="majorEastAsia" w:eastAsiaTheme="majorEastAsia"/>
          <w:b/>
          <w:bCs/>
          <w:kern w:val="2"/>
          <w:sz w:val="30"/>
          <w:szCs w:val="30"/>
          <w:lang w:val="en-US" w:eastAsia="zh-CN" w:bidi="ar-SA"/>
        </w:rPr>
        <w:t>（二十四）履约评价</w:t>
      </w:r>
      <w:bookmarkEnd w:id="119"/>
    </w:p>
    <w:p w14:paraId="59420203">
      <w:pPr>
        <w:widowControl/>
        <w:jc w:val="center"/>
        <w:rPr>
          <w:rFonts w:hint="eastAsia" w:cs="Times New Roman" w:asciiTheme="majorEastAsia" w:hAnsiTheme="majorEastAsia" w:eastAsiaTheme="majorEastAsia"/>
          <w:b/>
          <w:bCs/>
          <w:kern w:val="2"/>
          <w:sz w:val="30"/>
          <w:szCs w:val="30"/>
          <w:lang w:val="en-US" w:eastAsia="zh-CN" w:bidi="ar-SA"/>
        </w:rPr>
      </w:pPr>
    </w:p>
    <w:p w14:paraId="16DE45D0">
      <w:pPr>
        <w:widowControl/>
        <w:jc w:val="center"/>
        <w:rPr>
          <w:rFonts w:hint="eastAsia" w:cs="Times New Roman" w:asciiTheme="majorEastAsia" w:hAnsiTheme="majorEastAsia" w:eastAsiaTheme="majorEastAsia"/>
          <w:b/>
          <w:bCs/>
          <w:kern w:val="2"/>
          <w:sz w:val="30"/>
          <w:szCs w:val="30"/>
          <w:lang w:val="en-US" w:eastAsia="zh-CN" w:bidi="ar-SA"/>
        </w:rPr>
      </w:pPr>
    </w:p>
    <w:p w14:paraId="1352A307">
      <w:pPr>
        <w:widowControl/>
        <w:jc w:val="center"/>
        <w:rPr>
          <w:rFonts w:hint="eastAsia" w:cs="Times New Roman" w:asciiTheme="majorEastAsia" w:hAnsiTheme="majorEastAsia" w:eastAsiaTheme="majorEastAsia"/>
          <w:b/>
          <w:bCs/>
          <w:kern w:val="2"/>
          <w:sz w:val="30"/>
          <w:szCs w:val="30"/>
          <w:lang w:val="en-US" w:eastAsia="zh-CN" w:bidi="ar-SA"/>
        </w:rPr>
      </w:pPr>
    </w:p>
    <w:p w14:paraId="03B161AD">
      <w:pPr>
        <w:widowControl/>
        <w:jc w:val="center"/>
        <w:rPr>
          <w:rFonts w:hint="eastAsia" w:cs="Times New Roman" w:asciiTheme="majorEastAsia" w:hAnsiTheme="majorEastAsia" w:eastAsiaTheme="majorEastAsia"/>
          <w:b/>
          <w:bCs/>
          <w:kern w:val="2"/>
          <w:sz w:val="30"/>
          <w:szCs w:val="30"/>
          <w:lang w:val="en-US" w:eastAsia="zh-CN" w:bidi="ar-SA"/>
        </w:rPr>
      </w:pPr>
    </w:p>
    <w:p w14:paraId="3E4F06AB">
      <w:pPr>
        <w:widowControl/>
        <w:jc w:val="center"/>
        <w:rPr>
          <w:rFonts w:hint="eastAsia" w:cs="Times New Roman" w:asciiTheme="majorEastAsia" w:hAnsiTheme="majorEastAsia" w:eastAsiaTheme="majorEastAsia"/>
          <w:b/>
          <w:bCs/>
          <w:kern w:val="2"/>
          <w:sz w:val="30"/>
          <w:szCs w:val="30"/>
          <w:lang w:val="en-US" w:eastAsia="zh-CN" w:bidi="ar-SA"/>
        </w:rPr>
      </w:pPr>
    </w:p>
    <w:p w14:paraId="60A079DD">
      <w:pPr>
        <w:widowControl/>
        <w:jc w:val="center"/>
        <w:rPr>
          <w:rFonts w:hint="eastAsia" w:cs="Times New Roman" w:asciiTheme="majorEastAsia" w:hAnsiTheme="majorEastAsia" w:eastAsiaTheme="majorEastAsia"/>
          <w:b/>
          <w:bCs/>
          <w:kern w:val="2"/>
          <w:sz w:val="30"/>
          <w:szCs w:val="30"/>
          <w:lang w:val="en-US" w:eastAsia="zh-CN" w:bidi="ar-SA"/>
        </w:rPr>
      </w:pPr>
    </w:p>
    <w:p w14:paraId="4613937C">
      <w:pPr>
        <w:widowControl/>
        <w:jc w:val="center"/>
        <w:rPr>
          <w:rFonts w:hint="eastAsia" w:cs="Times New Roman" w:asciiTheme="majorEastAsia" w:hAnsiTheme="majorEastAsia" w:eastAsiaTheme="majorEastAsia"/>
          <w:b/>
          <w:bCs/>
          <w:kern w:val="2"/>
          <w:sz w:val="30"/>
          <w:szCs w:val="30"/>
          <w:lang w:val="en-US" w:eastAsia="zh-CN" w:bidi="ar-SA"/>
        </w:rPr>
      </w:pPr>
    </w:p>
    <w:p w14:paraId="4280ABC5">
      <w:pPr>
        <w:widowControl/>
        <w:jc w:val="center"/>
        <w:rPr>
          <w:rFonts w:hint="eastAsia" w:cs="Times New Roman" w:asciiTheme="majorEastAsia" w:hAnsiTheme="majorEastAsia" w:eastAsiaTheme="majorEastAsia"/>
          <w:b/>
          <w:bCs/>
          <w:kern w:val="2"/>
          <w:sz w:val="30"/>
          <w:szCs w:val="30"/>
          <w:lang w:val="en-US" w:eastAsia="zh-CN" w:bidi="ar-SA"/>
        </w:rPr>
      </w:pPr>
    </w:p>
    <w:p w14:paraId="4720F87F">
      <w:pPr>
        <w:widowControl/>
        <w:jc w:val="center"/>
        <w:rPr>
          <w:rFonts w:hint="eastAsia" w:cs="Times New Roman" w:asciiTheme="majorEastAsia" w:hAnsiTheme="majorEastAsia" w:eastAsiaTheme="majorEastAsia"/>
          <w:b/>
          <w:bCs/>
          <w:kern w:val="2"/>
          <w:sz w:val="30"/>
          <w:szCs w:val="30"/>
          <w:lang w:val="en-US" w:eastAsia="zh-CN" w:bidi="ar-SA"/>
        </w:rPr>
      </w:pPr>
    </w:p>
    <w:p w14:paraId="0DF4AF1C">
      <w:pPr>
        <w:widowControl/>
        <w:jc w:val="center"/>
        <w:rPr>
          <w:rFonts w:hint="eastAsia" w:cs="Times New Roman" w:asciiTheme="majorEastAsia" w:hAnsiTheme="majorEastAsia" w:eastAsiaTheme="majorEastAsia"/>
          <w:b/>
          <w:bCs/>
          <w:kern w:val="2"/>
          <w:sz w:val="30"/>
          <w:szCs w:val="30"/>
          <w:lang w:val="en-US" w:eastAsia="zh-CN" w:bidi="ar-SA"/>
        </w:rPr>
      </w:pPr>
    </w:p>
    <w:p w14:paraId="5CBCB707">
      <w:pPr>
        <w:widowControl/>
        <w:jc w:val="center"/>
        <w:rPr>
          <w:rFonts w:hint="eastAsia" w:cs="Times New Roman" w:asciiTheme="majorEastAsia" w:hAnsiTheme="majorEastAsia" w:eastAsiaTheme="majorEastAsia"/>
          <w:b/>
          <w:bCs/>
          <w:kern w:val="2"/>
          <w:sz w:val="30"/>
          <w:szCs w:val="30"/>
          <w:lang w:val="en-US" w:eastAsia="zh-CN" w:bidi="ar-SA"/>
        </w:rPr>
      </w:pPr>
    </w:p>
    <w:p w14:paraId="13E1C072">
      <w:pPr>
        <w:widowControl/>
        <w:jc w:val="center"/>
        <w:rPr>
          <w:rFonts w:hint="eastAsia" w:cs="Times New Roman" w:asciiTheme="majorEastAsia" w:hAnsiTheme="majorEastAsia" w:eastAsiaTheme="majorEastAsia"/>
          <w:b/>
          <w:bCs/>
          <w:kern w:val="2"/>
          <w:sz w:val="30"/>
          <w:szCs w:val="30"/>
          <w:lang w:val="en-US" w:eastAsia="zh-CN" w:bidi="ar-SA"/>
        </w:rPr>
      </w:pPr>
    </w:p>
    <w:p w14:paraId="0BE60A2D">
      <w:pPr>
        <w:widowControl/>
        <w:jc w:val="center"/>
        <w:rPr>
          <w:rFonts w:hint="eastAsia" w:cs="Times New Roman" w:asciiTheme="majorEastAsia" w:hAnsiTheme="majorEastAsia" w:eastAsiaTheme="majorEastAsia"/>
          <w:b/>
          <w:bCs/>
          <w:kern w:val="2"/>
          <w:sz w:val="30"/>
          <w:szCs w:val="30"/>
          <w:lang w:val="en-US" w:eastAsia="zh-CN" w:bidi="ar-SA"/>
        </w:rPr>
      </w:pPr>
    </w:p>
    <w:p w14:paraId="5ADC1E9D">
      <w:pPr>
        <w:widowControl/>
        <w:jc w:val="center"/>
        <w:rPr>
          <w:rFonts w:hint="eastAsia" w:cs="Times New Roman" w:asciiTheme="majorEastAsia" w:hAnsiTheme="majorEastAsia" w:eastAsiaTheme="majorEastAsia"/>
          <w:b/>
          <w:bCs/>
          <w:kern w:val="2"/>
          <w:sz w:val="30"/>
          <w:szCs w:val="30"/>
          <w:lang w:val="en-US" w:eastAsia="zh-CN" w:bidi="ar-SA"/>
        </w:rPr>
      </w:pPr>
    </w:p>
    <w:p w14:paraId="6F9D1316">
      <w:pPr>
        <w:widowControl/>
        <w:jc w:val="center"/>
        <w:rPr>
          <w:rFonts w:hint="eastAsia" w:cs="Times New Roman" w:asciiTheme="majorEastAsia" w:hAnsiTheme="majorEastAsia" w:eastAsiaTheme="majorEastAsia"/>
          <w:b/>
          <w:bCs/>
          <w:kern w:val="2"/>
          <w:sz w:val="30"/>
          <w:szCs w:val="30"/>
          <w:lang w:val="en-US" w:eastAsia="zh-CN" w:bidi="ar-SA"/>
        </w:rPr>
      </w:pPr>
    </w:p>
    <w:p w14:paraId="79B7956B">
      <w:pPr>
        <w:widowControl/>
        <w:jc w:val="center"/>
        <w:rPr>
          <w:rFonts w:hint="eastAsia" w:cs="Times New Roman" w:asciiTheme="majorEastAsia" w:hAnsiTheme="majorEastAsia" w:eastAsiaTheme="majorEastAsia"/>
          <w:b/>
          <w:bCs/>
          <w:kern w:val="2"/>
          <w:sz w:val="30"/>
          <w:szCs w:val="30"/>
          <w:lang w:val="en-US" w:eastAsia="zh-CN" w:bidi="ar-SA"/>
        </w:rPr>
      </w:pPr>
    </w:p>
    <w:p w14:paraId="3F132635">
      <w:pPr>
        <w:widowControl/>
        <w:jc w:val="center"/>
        <w:rPr>
          <w:rFonts w:hint="eastAsia" w:cs="Times New Roman" w:asciiTheme="majorEastAsia" w:hAnsiTheme="majorEastAsia" w:eastAsiaTheme="majorEastAsia"/>
          <w:b/>
          <w:bCs/>
          <w:kern w:val="2"/>
          <w:sz w:val="30"/>
          <w:szCs w:val="30"/>
          <w:lang w:val="en-US" w:eastAsia="zh-CN" w:bidi="ar-SA"/>
        </w:rPr>
      </w:pPr>
    </w:p>
    <w:p w14:paraId="53CE6012">
      <w:pPr>
        <w:widowControl/>
        <w:jc w:val="center"/>
        <w:rPr>
          <w:rFonts w:hint="eastAsia" w:cs="Times New Roman" w:asciiTheme="majorEastAsia" w:hAnsiTheme="majorEastAsia" w:eastAsiaTheme="majorEastAsia"/>
          <w:b/>
          <w:bCs/>
          <w:kern w:val="2"/>
          <w:sz w:val="30"/>
          <w:szCs w:val="30"/>
          <w:lang w:val="en-US" w:eastAsia="zh-CN" w:bidi="ar-SA"/>
        </w:rPr>
      </w:pPr>
    </w:p>
    <w:p w14:paraId="5987BB7F">
      <w:pPr>
        <w:widowControl/>
        <w:jc w:val="center"/>
        <w:rPr>
          <w:rFonts w:hint="eastAsia" w:cs="Times New Roman" w:asciiTheme="majorEastAsia" w:hAnsiTheme="majorEastAsia" w:eastAsiaTheme="majorEastAsia"/>
          <w:b/>
          <w:bCs/>
          <w:kern w:val="2"/>
          <w:sz w:val="30"/>
          <w:szCs w:val="30"/>
          <w:lang w:val="en-US" w:eastAsia="zh-CN" w:bidi="ar-SA"/>
        </w:rPr>
      </w:pPr>
    </w:p>
    <w:p w14:paraId="741A5CDA">
      <w:pPr>
        <w:widowControl/>
        <w:jc w:val="center"/>
        <w:rPr>
          <w:rFonts w:hint="eastAsia" w:cs="Times New Roman" w:asciiTheme="majorEastAsia" w:hAnsiTheme="majorEastAsia" w:eastAsiaTheme="majorEastAsia"/>
          <w:b/>
          <w:bCs/>
          <w:kern w:val="2"/>
          <w:sz w:val="30"/>
          <w:szCs w:val="30"/>
          <w:lang w:val="en-US" w:eastAsia="zh-CN" w:bidi="ar-SA"/>
        </w:rPr>
      </w:pPr>
    </w:p>
    <w:p w14:paraId="414DBAF0">
      <w:pPr>
        <w:widowControl/>
        <w:jc w:val="center"/>
        <w:outlineLvl w:val="1"/>
        <w:rPr>
          <w:rFonts w:hint="default" w:cs="Times New Roman" w:asciiTheme="majorEastAsia" w:hAnsiTheme="majorEastAsia" w:eastAsiaTheme="majorEastAsia"/>
          <w:b/>
          <w:bCs/>
          <w:kern w:val="2"/>
          <w:sz w:val="30"/>
          <w:szCs w:val="30"/>
          <w:lang w:val="en-US" w:eastAsia="zh-CN" w:bidi="ar-SA"/>
        </w:rPr>
      </w:pPr>
      <w:bookmarkStart w:id="120" w:name="_Toc18278"/>
      <w:r>
        <w:rPr>
          <w:rFonts w:hint="eastAsia" w:cs="Times New Roman" w:asciiTheme="majorEastAsia" w:hAnsiTheme="majorEastAsia" w:eastAsiaTheme="majorEastAsia"/>
          <w:b/>
          <w:bCs/>
          <w:kern w:val="2"/>
          <w:sz w:val="30"/>
          <w:szCs w:val="30"/>
          <w:lang w:val="en-US" w:eastAsia="zh-CN" w:bidi="ar-SA"/>
        </w:rPr>
        <w:t>（二十五）遴选文件要求的其他内容及遴选响应方认为需要加以说明其他内容</w:t>
      </w:r>
      <w:bookmarkEnd w:id="120"/>
    </w:p>
    <w:bookmarkEnd w:id="103"/>
    <w:bookmarkEnd w:id="104"/>
    <w:bookmarkEnd w:id="105"/>
    <w:bookmarkEnd w:id="106"/>
    <w:bookmarkEnd w:id="107"/>
    <w:bookmarkEnd w:id="108"/>
    <w:p w14:paraId="36EA2686">
      <w:pPr>
        <w:rPr>
          <w:rFonts w:ascii="宋体" w:hAnsi="宋体" w:cs="宋体"/>
          <w:szCs w:val="21"/>
        </w:rPr>
      </w:pPr>
    </w:p>
    <w:p w14:paraId="711D9581">
      <w:pPr>
        <w:rPr>
          <w:rFonts w:ascii="宋体" w:hAnsi="宋体" w:cs="宋体"/>
          <w:szCs w:val="21"/>
        </w:rPr>
      </w:pPr>
    </w:p>
    <w:p w14:paraId="4A3A8951">
      <w:pPr>
        <w:rPr>
          <w:rFonts w:ascii="宋体" w:hAnsi="宋体" w:cs="宋体"/>
          <w:szCs w:val="21"/>
        </w:rPr>
      </w:pPr>
    </w:p>
    <w:p w14:paraId="4492050E">
      <w:pPr>
        <w:rPr>
          <w:rFonts w:ascii="宋体" w:hAnsi="宋体" w:cs="宋体"/>
          <w:szCs w:val="21"/>
        </w:rPr>
      </w:pPr>
    </w:p>
    <w:p w14:paraId="36EE8CBA">
      <w:pPr>
        <w:rPr>
          <w:rFonts w:ascii="宋体" w:hAnsi="宋体" w:cs="宋体"/>
          <w:szCs w:val="21"/>
        </w:rPr>
      </w:pPr>
    </w:p>
    <w:p w14:paraId="6EA3FA76">
      <w:pPr>
        <w:rPr>
          <w:rFonts w:ascii="宋体" w:hAnsi="宋体" w:cs="宋体"/>
          <w:szCs w:val="21"/>
        </w:rPr>
      </w:pPr>
    </w:p>
    <w:p w14:paraId="1003CA17">
      <w:pPr>
        <w:rPr>
          <w:rFonts w:ascii="宋体" w:hAnsi="宋体" w:cs="宋体"/>
          <w:szCs w:val="21"/>
        </w:rPr>
      </w:pPr>
    </w:p>
    <w:p w14:paraId="31CE7EE5">
      <w:pPr>
        <w:rPr>
          <w:rFonts w:ascii="宋体" w:hAnsi="宋体" w:cs="宋体"/>
          <w:szCs w:val="21"/>
        </w:rPr>
      </w:pPr>
    </w:p>
    <w:p w14:paraId="6684F8D4">
      <w:pPr>
        <w:rPr>
          <w:rFonts w:ascii="宋体" w:hAnsi="宋体" w:cs="宋体"/>
          <w:szCs w:val="21"/>
        </w:rPr>
      </w:pPr>
    </w:p>
    <w:p w14:paraId="686237D2">
      <w:pPr>
        <w:rPr>
          <w:rFonts w:ascii="宋体" w:hAnsi="宋体" w:cs="宋体"/>
          <w:szCs w:val="21"/>
        </w:rPr>
      </w:pPr>
    </w:p>
    <w:p w14:paraId="0680BAE6">
      <w:pPr>
        <w:rPr>
          <w:rFonts w:ascii="宋体" w:hAnsi="宋体" w:cs="宋体"/>
          <w:szCs w:val="21"/>
        </w:rPr>
      </w:pPr>
    </w:p>
    <w:p w14:paraId="267AEC99">
      <w:pPr>
        <w:rPr>
          <w:rFonts w:ascii="宋体" w:hAnsi="宋体" w:cs="宋体"/>
          <w:szCs w:val="21"/>
        </w:rPr>
      </w:pPr>
    </w:p>
    <w:p w14:paraId="3F3EFA91">
      <w:pPr>
        <w:rPr>
          <w:rFonts w:ascii="宋体" w:hAnsi="宋体" w:cs="宋体"/>
          <w:szCs w:val="21"/>
        </w:rPr>
      </w:pPr>
    </w:p>
    <w:p w14:paraId="60233D34">
      <w:pPr>
        <w:rPr>
          <w:rFonts w:ascii="宋体" w:hAnsi="宋体" w:cs="宋体"/>
          <w:szCs w:val="21"/>
        </w:rPr>
      </w:pPr>
    </w:p>
    <w:p w14:paraId="7F169850">
      <w:pPr>
        <w:rPr>
          <w:rFonts w:ascii="宋体" w:hAnsi="宋体" w:cs="宋体"/>
          <w:szCs w:val="21"/>
        </w:rPr>
      </w:pPr>
    </w:p>
    <w:p w14:paraId="7473F2CC">
      <w:pPr>
        <w:rPr>
          <w:rFonts w:ascii="宋体" w:hAnsi="宋体" w:cs="宋体"/>
          <w:szCs w:val="21"/>
        </w:rPr>
      </w:pPr>
    </w:p>
    <w:p w14:paraId="7A120651">
      <w:pPr>
        <w:rPr>
          <w:rFonts w:ascii="宋体" w:hAnsi="宋体" w:cs="宋体"/>
          <w:szCs w:val="21"/>
        </w:rPr>
      </w:pPr>
    </w:p>
    <w:p w14:paraId="1B9EDAD1">
      <w:pPr>
        <w:rPr>
          <w:rFonts w:ascii="宋体" w:hAnsi="宋体" w:cs="宋体"/>
          <w:szCs w:val="21"/>
        </w:rPr>
      </w:pPr>
    </w:p>
    <w:p w14:paraId="6C931C2A">
      <w:pPr>
        <w:rPr>
          <w:rFonts w:ascii="宋体" w:hAnsi="宋体" w:cs="宋体"/>
          <w:szCs w:val="21"/>
        </w:rPr>
      </w:pPr>
    </w:p>
    <w:p w14:paraId="3E9BFF42">
      <w:pPr>
        <w:rPr>
          <w:rFonts w:ascii="宋体" w:hAnsi="宋体" w:cs="宋体"/>
          <w:szCs w:val="21"/>
        </w:rPr>
      </w:pPr>
    </w:p>
    <w:p w14:paraId="702B54BE">
      <w:pPr>
        <w:rPr>
          <w:rFonts w:ascii="宋体" w:hAnsi="宋体" w:cs="宋体"/>
          <w:szCs w:val="21"/>
        </w:rPr>
      </w:pPr>
    </w:p>
    <w:p w14:paraId="19AB3FC0">
      <w:pPr>
        <w:rPr>
          <w:rFonts w:ascii="宋体" w:hAnsi="宋体" w:cs="宋体"/>
          <w:szCs w:val="21"/>
        </w:rPr>
      </w:pPr>
    </w:p>
    <w:p w14:paraId="1AA4F495">
      <w:pPr>
        <w:rPr>
          <w:rFonts w:ascii="宋体" w:hAnsi="宋体" w:cs="宋体"/>
          <w:szCs w:val="21"/>
        </w:rPr>
      </w:pPr>
    </w:p>
    <w:p w14:paraId="385035CA">
      <w:pPr>
        <w:rPr>
          <w:rFonts w:ascii="宋体" w:hAnsi="宋体" w:cs="宋体"/>
          <w:szCs w:val="21"/>
        </w:rPr>
      </w:pPr>
    </w:p>
    <w:p w14:paraId="5DEC9AEF">
      <w:pPr>
        <w:rPr>
          <w:rFonts w:ascii="宋体" w:hAnsi="宋体" w:cs="宋体"/>
          <w:szCs w:val="21"/>
        </w:rPr>
      </w:pPr>
    </w:p>
    <w:p w14:paraId="3EC12971">
      <w:pPr>
        <w:rPr>
          <w:rFonts w:ascii="宋体" w:hAnsi="宋体" w:cs="宋体"/>
          <w:szCs w:val="21"/>
        </w:rPr>
      </w:pPr>
    </w:p>
    <w:p w14:paraId="48618CD7">
      <w:pPr>
        <w:rPr>
          <w:rFonts w:ascii="宋体" w:hAnsi="宋体" w:cs="宋体"/>
          <w:szCs w:val="21"/>
        </w:rPr>
      </w:pPr>
    </w:p>
    <w:p w14:paraId="63EAA7F3">
      <w:pPr>
        <w:rPr>
          <w:rFonts w:ascii="宋体" w:hAnsi="宋体" w:cs="宋体"/>
          <w:szCs w:val="21"/>
        </w:rPr>
      </w:pPr>
    </w:p>
    <w:p w14:paraId="5D1DF3C3">
      <w:pPr>
        <w:rPr>
          <w:rFonts w:ascii="宋体" w:hAnsi="宋体" w:cs="宋体"/>
          <w:szCs w:val="21"/>
        </w:rPr>
      </w:pPr>
    </w:p>
    <w:p w14:paraId="24E2B86F">
      <w:pPr>
        <w:rPr>
          <w:rFonts w:ascii="宋体" w:hAnsi="宋体" w:cs="宋体"/>
          <w:szCs w:val="21"/>
        </w:rPr>
      </w:pPr>
    </w:p>
    <w:p w14:paraId="0DD3162D">
      <w:pPr>
        <w:rPr>
          <w:rFonts w:ascii="宋体" w:hAnsi="宋体" w:cs="宋体"/>
          <w:szCs w:val="21"/>
        </w:rPr>
      </w:pPr>
    </w:p>
    <w:p w14:paraId="3CE776C4">
      <w:pPr>
        <w:rPr>
          <w:rFonts w:ascii="宋体" w:hAnsi="宋体" w:cs="宋体"/>
          <w:szCs w:val="21"/>
        </w:rPr>
      </w:pPr>
    </w:p>
    <w:p w14:paraId="47F02D44">
      <w:pPr>
        <w:rPr>
          <w:rFonts w:ascii="宋体" w:hAnsi="宋体" w:cs="宋体"/>
          <w:szCs w:val="21"/>
        </w:rPr>
      </w:pPr>
    </w:p>
    <w:p w14:paraId="70188B5A">
      <w:pPr>
        <w:rPr>
          <w:rFonts w:ascii="宋体" w:hAnsi="宋体" w:cs="宋体"/>
          <w:szCs w:val="21"/>
        </w:rPr>
      </w:pPr>
    </w:p>
    <w:p w14:paraId="737F779E">
      <w:pPr>
        <w:rPr>
          <w:rFonts w:ascii="宋体" w:hAnsi="宋体" w:cs="宋体"/>
          <w:szCs w:val="21"/>
        </w:rPr>
      </w:pPr>
    </w:p>
    <w:p w14:paraId="130FAEE5">
      <w:pPr>
        <w:rPr>
          <w:rFonts w:ascii="宋体" w:hAnsi="宋体" w:cs="宋体"/>
          <w:szCs w:val="21"/>
        </w:rPr>
      </w:pPr>
    </w:p>
    <w:p w14:paraId="7A7D5126">
      <w:pPr>
        <w:rPr>
          <w:rFonts w:ascii="宋体" w:hAnsi="宋体" w:cs="宋体"/>
          <w:szCs w:val="21"/>
        </w:rPr>
      </w:pPr>
    </w:p>
    <w:p w14:paraId="7740E95F">
      <w:pPr>
        <w:rPr>
          <w:rFonts w:ascii="宋体" w:hAnsi="宋体" w:cs="宋体"/>
          <w:szCs w:val="21"/>
        </w:rPr>
      </w:pPr>
    </w:p>
    <w:p w14:paraId="0C4BBDC4">
      <w:pPr>
        <w:rPr>
          <w:rFonts w:ascii="宋体" w:hAnsi="宋体" w:cs="宋体"/>
          <w:szCs w:val="21"/>
        </w:rPr>
      </w:pPr>
    </w:p>
    <w:p w14:paraId="06C06756">
      <w:pPr>
        <w:rPr>
          <w:rFonts w:ascii="宋体" w:hAnsi="宋体" w:cs="宋体"/>
          <w:szCs w:val="21"/>
        </w:rPr>
      </w:pPr>
    </w:p>
    <w:p w14:paraId="1749F205">
      <w:pPr>
        <w:pStyle w:val="2"/>
        <w:jc w:val="center"/>
        <w:rPr>
          <w:rFonts w:asciiTheme="majorEastAsia" w:hAnsiTheme="majorEastAsia" w:eastAsiaTheme="majorEastAsia" w:cstheme="majorEastAsia"/>
          <w:sz w:val="32"/>
          <w:szCs w:val="32"/>
        </w:rPr>
      </w:pPr>
      <w:bookmarkStart w:id="121" w:name="_Toc438223135"/>
      <w:bookmarkStart w:id="122" w:name="_Toc435174932"/>
      <w:bookmarkStart w:id="123" w:name="_Toc4723"/>
      <w:bookmarkStart w:id="124" w:name="_Toc8307307"/>
      <w:bookmarkStart w:id="125" w:name="_Toc1726"/>
      <w:bookmarkStart w:id="126" w:name="_Toc13635"/>
      <w:bookmarkStart w:id="127" w:name="_Toc435516649"/>
      <w:bookmarkStart w:id="128" w:name="_Toc22285"/>
      <w:bookmarkStart w:id="129" w:name="_Toc5615_WPSOffice_Level1"/>
      <w:bookmarkStart w:id="130" w:name="_Toc109893901"/>
      <w:r>
        <w:rPr>
          <w:rFonts w:hint="eastAsia" w:asciiTheme="majorEastAsia" w:hAnsiTheme="majorEastAsia" w:eastAsiaTheme="majorEastAsia" w:cstheme="majorEastAsia"/>
          <w:sz w:val="32"/>
          <w:szCs w:val="32"/>
        </w:rPr>
        <w:t>第</w:t>
      </w:r>
      <w:r>
        <w:rPr>
          <w:rFonts w:hint="eastAsia" w:asciiTheme="majorEastAsia" w:hAnsiTheme="majorEastAsia" w:eastAsiaTheme="majorEastAsia" w:cstheme="majorEastAsia"/>
          <w:sz w:val="32"/>
          <w:szCs w:val="32"/>
          <w:lang w:val="en-US" w:eastAsia="zh-CN"/>
        </w:rPr>
        <w:t>六</w:t>
      </w:r>
      <w:r>
        <w:rPr>
          <w:rFonts w:hint="eastAsia" w:asciiTheme="majorEastAsia" w:hAnsiTheme="majorEastAsia" w:eastAsiaTheme="majorEastAsia" w:cstheme="majorEastAsia"/>
          <w:sz w:val="32"/>
          <w:szCs w:val="32"/>
        </w:rPr>
        <w:t xml:space="preserve">章 </w:t>
      </w:r>
      <w:r>
        <w:rPr>
          <w:rFonts w:hint="eastAsia" w:asciiTheme="majorEastAsia" w:hAnsiTheme="majorEastAsia" w:eastAsiaTheme="majorEastAsia" w:cstheme="majorEastAsia"/>
          <w:sz w:val="32"/>
          <w:szCs w:val="32"/>
          <w:lang w:eastAsia="zh-CN"/>
        </w:rPr>
        <w:t>遴选响应方</w:t>
      </w:r>
      <w:r>
        <w:rPr>
          <w:rFonts w:hint="eastAsia" w:asciiTheme="majorEastAsia" w:hAnsiTheme="majorEastAsia" w:eastAsiaTheme="majorEastAsia" w:cstheme="majorEastAsia"/>
          <w:sz w:val="32"/>
          <w:szCs w:val="32"/>
        </w:rPr>
        <w:t>须知</w:t>
      </w:r>
      <w:bookmarkEnd w:id="121"/>
      <w:bookmarkEnd w:id="122"/>
      <w:bookmarkEnd w:id="123"/>
      <w:bookmarkEnd w:id="124"/>
      <w:bookmarkEnd w:id="125"/>
      <w:bookmarkEnd w:id="126"/>
      <w:bookmarkEnd w:id="127"/>
      <w:bookmarkEnd w:id="128"/>
      <w:bookmarkEnd w:id="129"/>
      <w:bookmarkEnd w:id="130"/>
    </w:p>
    <w:p w14:paraId="0AD65C3F">
      <w:pPr>
        <w:pStyle w:val="3"/>
        <w:numPr>
          <w:ilvl w:val="0"/>
          <w:numId w:val="13"/>
        </w:numPr>
        <w:spacing w:line="240" w:lineRule="auto"/>
        <w:jc w:val="center"/>
        <w:rPr>
          <w:rFonts w:asciiTheme="majorEastAsia" w:hAnsiTheme="majorEastAsia" w:eastAsiaTheme="majorEastAsia"/>
          <w:sz w:val="30"/>
          <w:szCs w:val="30"/>
        </w:rPr>
      </w:pPr>
      <w:bookmarkStart w:id="131" w:name="_Toc109893902"/>
      <w:bookmarkStart w:id="132" w:name="_Toc4595"/>
      <w:bookmarkStart w:id="133" w:name="_Toc438223136"/>
      <w:bookmarkStart w:id="134" w:name="_Toc435174933"/>
      <w:bookmarkStart w:id="135" w:name="_Toc21893"/>
      <w:bookmarkStart w:id="136" w:name="_Toc435516650"/>
      <w:bookmarkStart w:id="137" w:name="_Toc1658"/>
      <w:r>
        <w:rPr>
          <w:rFonts w:asciiTheme="majorEastAsia" w:hAnsiTheme="majorEastAsia" w:eastAsiaTheme="majorEastAsia"/>
          <w:sz w:val="30"/>
          <w:szCs w:val="30"/>
          <w:lang w:eastAsia="zh-TW"/>
        </w:rPr>
        <w:t>说 明</w:t>
      </w:r>
      <w:bookmarkEnd w:id="131"/>
      <w:bookmarkEnd w:id="132"/>
      <w:bookmarkEnd w:id="133"/>
      <w:bookmarkEnd w:id="134"/>
      <w:bookmarkEnd w:id="135"/>
      <w:bookmarkEnd w:id="136"/>
      <w:bookmarkEnd w:id="137"/>
      <w:bookmarkStart w:id="138" w:name="_Toc292267791"/>
    </w:p>
    <w:bookmarkEnd w:id="138"/>
    <w:p w14:paraId="5C9D99BA">
      <w:pPr>
        <w:numPr>
          <w:ilvl w:val="0"/>
          <w:numId w:val="14"/>
        </w:numPr>
        <w:autoSpaceDE w:val="0"/>
        <w:autoSpaceDN w:val="0"/>
        <w:adjustRightInd w:val="0"/>
        <w:snapToGrid w:val="0"/>
        <w:spacing w:line="360" w:lineRule="auto"/>
        <w:outlineLvl w:val="9"/>
        <w:rPr>
          <w:rFonts w:ascii="宋体" w:hAnsi="宋体"/>
          <w:b/>
          <w:bCs/>
          <w:szCs w:val="21"/>
        </w:rPr>
      </w:pPr>
      <w:bookmarkStart w:id="139" w:name="_Toc23054"/>
      <w:r>
        <w:rPr>
          <w:rFonts w:hint="eastAsia" w:ascii="宋体" w:hAnsi="宋体"/>
          <w:b/>
          <w:bCs/>
          <w:szCs w:val="21"/>
        </w:rPr>
        <w:t>适用范围</w:t>
      </w:r>
      <w:bookmarkEnd w:id="139"/>
    </w:p>
    <w:p w14:paraId="251F614B">
      <w:pPr>
        <w:numPr>
          <w:ilvl w:val="1"/>
          <w:numId w:val="14"/>
        </w:numPr>
        <w:autoSpaceDE w:val="0"/>
        <w:autoSpaceDN w:val="0"/>
        <w:adjustRightInd w:val="0"/>
        <w:snapToGrid w:val="0"/>
        <w:spacing w:line="360" w:lineRule="auto"/>
        <w:jc w:val="left"/>
        <w:rPr>
          <w:rFonts w:ascii="宋体" w:hAnsi="宋体"/>
          <w:b/>
          <w:bCs/>
          <w:szCs w:val="21"/>
        </w:rPr>
      </w:pPr>
      <w:r>
        <w:rPr>
          <w:rFonts w:hint="eastAsia" w:ascii="宋体" w:hAnsi="宋体"/>
          <w:szCs w:val="21"/>
        </w:rPr>
        <w:t>本</w:t>
      </w:r>
      <w:r>
        <w:rPr>
          <w:rFonts w:hint="eastAsia" w:ascii="宋体" w:hAnsi="宋体"/>
          <w:szCs w:val="21"/>
          <w:lang w:val="en-US" w:eastAsia="zh-CN"/>
        </w:rPr>
        <w:t>遴选文件</w:t>
      </w:r>
      <w:r>
        <w:rPr>
          <w:rFonts w:hint="eastAsia" w:ascii="宋体" w:hAnsi="宋体"/>
          <w:szCs w:val="21"/>
        </w:rPr>
        <w:t>适用于本</w:t>
      </w:r>
      <w:r>
        <w:rPr>
          <w:rFonts w:hint="eastAsia" w:ascii="宋体" w:hAnsi="宋体"/>
          <w:szCs w:val="21"/>
          <w:lang w:eastAsia="zh-CN"/>
        </w:rPr>
        <w:t>遴选</w:t>
      </w:r>
      <w:r>
        <w:rPr>
          <w:rFonts w:hint="eastAsia" w:ascii="宋体" w:hAnsi="宋体"/>
          <w:szCs w:val="21"/>
        </w:rPr>
        <w:t>邀请中所述采购项目。</w:t>
      </w:r>
    </w:p>
    <w:p w14:paraId="3FE4433A">
      <w:pPr>
        <w:numPr>
          <w:ilvl w:val="0"/>
          <w:numId w:val="14"/>
        </w:numPr>
        <w:autoSpaceDE w:val="0"/>
        <w:autoSpaceDN w:val="0"/>
        <w:adjustRightInd w:val="0"/>
        <w:snapToGrid w:val="0"/>
        <w:spacing w:line="360" w:lineRule="auto"/>
        <w:ind w:left="449" w:hanging="449" w:hangingChars="213"/>
        <w:outlineLvl w:val="9"/>
        <w:rPr>
          <w:rFonts w:ascii="宋体" w:hAnsi="宋体"/>
          <w:b/>
          <w:bCs/>
          <w:strike/>
          <w:szCs w:val="21"/>
        </w:rPr>
      </w:pPr>
      <w:bookmarkStart w:id="140" w:name="_Toc28379"/>
      <w:r>
        <w:rPr>
          <w:rFonts w:hint="eastAsia" w:ascii="宋体" w:hAnsi="宋体"/>
          <w:b/>
          <w:szCs w:val="21"/>
        </w:rPr>
        <w:t>定义</w:t>
      </w:r>
      <w:bookmarkEnd w:id="140"/>
    </w:p>
    <w:p w14:paraId="32F3DEC3">
      <w:pPr>
        <w:numPr>
          <w:ilvl w:val="1"/>
          <w:numId w:val="14"/>
        </w:numPr>
        <w:autoSpaceDE w:val="0"/>
        <w:autoSpaceDN w:val="0"/>
        <w:adjustRightInd w:val="0"/>
        <w:snapToGrid w:val="0"/>
        <w:spacing w:line="360" w:lineRule="auto"/>
        <w:rPr>
          <w:rFonts w:ascii="宋体" w:hAnsi="宋体"/>
          <w:szCs w:val="21"/>
        </w:rPr>
      </w:pPr>
      <w:r>
        <w:rPr>
          <w:rFonts w:hint="eastAsia" w:ascii="宋体" w:hAnsi="宋体"/>
          <w:szCs w:val="21"/>
        </w:rPr>
        <w:t>采购人指各级</w:t>
      </w:r>
      <w:r>
        <w:rPr>
          <w:rFonts w:ascii="宋体" w:hAnsi="宋体"/>
          <w:szCs w:val="21"/>
        </w:rPr>
        <w:t>国家机关、事业单位和团体组织</w:t>
      </w:r>
      <w:r>
        <w:rPr>
          <w:rFonts w:hint="eastAsia" w:ascii="宋体" w:hAnsi="宋体"/>
          <w:szCs w:val="21"/>
        </w:rPr>
        <w:t>。</w:t>
      </w:r>
      <w:r>
        <w:rPr>
          <w:rFonts w:hint="eastAsia" w:ascii="宋体" w:hAnsi="宋体" w:cs="宋体"/>
          <w:szCs w:val="21"/>
          <w:lang w:eastAsia="zh-TW"/>
        </w:rPr>
        <w:t>本</w:t>
      </w:r>
      <w:r>
        <w:rPr>
          <w:rFonts w:hint="eastAsia" w:ascii="宋体" w:hAnsi="宋体" w:cs="宋体"/>
          <w:szCs w:val="21"/>
          <w:lang w:val="en-US" w:eastAsia="zh-CN"/>
        </w:rPr>
        <w:t>遴选文件</w:t>
      </w:r>
      <w:r>
        <w:rPr>
          <w:rFonts w:hint="eastAsia" w:ascii="宋体" w:hAnsi="宋体" w:cs="宋体"/>
          <w:szCs w:val="21"/>
          <w:lang w:eastAsia="zh-TW"/>
        </w:rPr>
        <w:t>第</w:t>
      </w:r>
      <w:r>
        <w:rPr>
          <w:rFonts w:hint="eastAsia" w:ascii="宋体" w:hAnsi="宋体" w:cs="宋体"/>
          <w:szCs w:val="21"/>
        </w:rPr>
        <w:t>二</w:t>
      </w:r>
      <w:r>
        <w:rPr>
          <w:rFonts w:hint="eastAsia" w:ascii="宋体" w:hAnsi="宋体" w:cs="宋体"/>
          <w:szCs w:val="21"/>
          <w:lang w:eastAsia="zh-TW"/>
        </w:rPr>
        <w:t>章</w:t>
      </w:r>
      <w:r>
        <w:rPr>
          <w:rFonts w:hint="eastAsia" w:ascii="宋体" w:hAnsi="宋体" w:cs="黑体"/>
          <w:b/>
          <w:szCs w:val="21"/>
          <w:lang w:eastAsia="zh-CN"/>
        </w:rPr>
        <w:t>遴选响应</w:t>
      </w:r>
      <w:r>
        <w:rPr>
          <w:rFonts w:hint="eastAsia" w:ascii="宋体" w:hAnsi="宋体" w:cs="黑体"/>
          <w:b/>
          <w:szCs w:val="21"/>
          <w:lang w:eastAsia="zh-TW"/>
        </w:rPr>
        <w:t>资料表</w:t>
      </w:r>
      <w:r>
        <w:rPr>
          <w:rFonts w:hint="eastAsia" w:ascii="宋体" w:hAnsi="宋体" w:cs="宋体"/>
          <w:szCs w:val="21"/>
          <w:lang w:eastAsia="zh-TW"/>
        </w:rPr>
        <w:t>中所述的采购人已拥有一笔</w:t>
      </w:r>
      <w:r>
        <w:rPr>
          <w:rFonts w:hint="eastAsia" w:ascii="宋体" w:hAnsi="宋体" w:cs="宋体"/>
          <w:szCs w:val="21"/>
        </w:rPr>
        <w:t>财政性</w:t>
      </w:r>
      <w:r>
        <w:rPr>
          <w:rFonts w:hint="eastAsia" w:ascii="宋体" w:hAnsi="宋体" w:cs="宋体"/>
          <w:szCs w:val="21"/>
          <w:lang w:eastAsia="zh-TW"/>
        </w:rPr>
        <w:t>资金</w:t>
      </w:r>
      <w:r>
        <w:rPr>
          <w:rFonts w:hint="eastAsia" w:ascii="宋体" w:hAnsi="宋体" w:cs="宋体"/>
          <w:szCs w:val="21"/>
        </w:rPr>
        <w:t>或资金来源已落实</w:t>
      </w:r>
      <w:r>
        <w:rPr>
          <w:rFonts w:hint="eastAsia" w:ascii="宋体" w:hAnsi="宋体" w:cs="宋体"/>
          <w:szCs w:val="21"/>
          <w:lang w:eastAsia="zh-TW"/>
        </w:rPr>
        <w:t>。采购人计划将一部分</w:t>
      </w:r>
      <w:r>
        <w:rPr>
          <w:rFonts w:hint="eastAsia" w:ascii="宋体" w:hAnsi="宋体" w:cs="宋体"/>
          <w:szCs w:val="21"/>
        </w:rPr>
        <w:t>或全部</w:t>
      </w:r>
      <w:r>
        <w:rPr>
          <w:rFonts w:hint="eastAsia" w:ascii="宋体" w:hAnsi="宋体" w:cs="宋体"/>
          <w:szCs w:val="21"/>
          <w:lang w:eastAsia="zh-TW"/>
        </w:rPr>
        <w:t>资金用于支付本次</w:t>
      </w:r>
      <w:r>
        <w:rPr>
          <w:rFonts w:hint="eastAsia" w:ascii="宋体" w:hAnsi="宋体" w:cs="宋体"/>
          <w:szCs w:val="21"/>
        </w:rPr>
        <w:t>采购</w:t>
      </w:r>
      <w:r>
        <w:rPr>
          <w:rFonts w:hint="eastAsia" w:ascii="宋体" w:hAnsi="宋体" w:cs="宋体"/>
          <w:szCs w:val="21"/>
          <w:lang w:eastAsia="zh-TW"/>
        </w:rPr>
        <w:t>后所签订合同项下的款项</w:t>
      </w:r>
      <w:r>
        <w:rPr>
          <w:rFonts w:hint="eastAsia" w:ascii="宋体" w:hAnsi="宋体" w:cs="宋体"/>
          <w:szCs w:val="21"/>
        </w:rPr>
        <w:t>。</w:t>
      </w:r>
    </w:p>
    <w:p w14:paraId="67639268">
      <w:pPr>
        <w:numPr>
          <w:ilvl w:val="1"/>
          <w:numId w:val="14"/>
        </w:numPr>
        <w:autoSpaceDE w:val="0"/>
        <w:autoSpaceDN w:val="0"/>
        <w:adjustRightInd w:val="0"/>
        <w:snapToGrid w:val="0"/>
        <w:spacing w:line="360" w:lineRule="auto"/>
        <w:rPr>
          <w:rFonts w:ascii="宋体" w:hAnsi="宋体"/>
          <w:szCs w:val="21"/>
        </w:rPr>
      </w:pPr>
      <w:r>
        <w:rPr>
          <w:rFonts w:hint="eastAsia" w:ascii="宋体" w:hAnsi="宋体"/>
          <w:szCs w:val="21"/>
        </w:rPr>
        <w:t>供应商是指向采购人提供货物、工程或者服务的法人、其他组织或者自然人。</w:t>
      </w:r>
    </w:p>
    <w:p w14:paraId="71F484A2">
      <w:pPr>
        <w:numPr>
          <w:ilvl w:val="1"/>
          <w:numId w:val="14"/>
        </w:numPr>
        <w:autoSpaceDE w:val="0"/>
        <w:autoSpaceDN w:val="0"/>
        <w:adjustRightInd w:val="0"/>
        <w:snapToGrid w:val="0"/>
        <w:spacing w:line="360" w:lineRule="auto"/>
        <w:rPr>
          <w:rFonts w:ascii="宋体" w:hAnsi="宋体"/>
          <w:szCs w:val="21"/>
        </w:rPr>
      </w:pPr>
      <w:r>
        <w:rPr>
          <w:rFonts w:hint="eastAsia" w:ascii="宋体" w:hAnsi="宋体"/>
          <w:szCs w:val="21"/>
          <w:lang w:eastAsia="zh-CN"/>
        </w:rPr>
        <w:t>遴选响应方</w:t>
      </w:r>
      <w:r>
        <w:rPr>
          <w:rFonts w:hint="eastAsia" w:ascii="宋体" w:hAnsi="宋体"/>
          <w:szCs w:val="21"/>
        </w:rPr>
        <w:t>是指</w:t>
      </w:r>
      <w:r>
        <w:rPr>
          <w:rFonts w:hint="eastAsia" w:ascii="宋体" w:hAnsi="宋体"/>
          <w:szCs w:val="21"/>
          <w:lang w:eastAsia="zh-CN"/>
        </w:rPr>
        <w:t>遴选响应</w:t>
      </w:r>
      <w:r>
        <w:rPr>
          <w:rFonts w:hint="eastAsia" w:ascii="宋体" w:hAnsi="宋体"/>
          <w:szCs w:val="21"/>
          <w:lang w:val="en-US" w:eastAsia="zh-CN"/>
        </w:rPr>
        <w:t>遴选</w:t>
      </w:r>
      <w:r>
        <w:rPr>
          <w:rFonts w:hint="eastAsia" w:ascii="宋体" w:hAnsi="宋体"/>
          <w:szCs w:val="21"/>
        </w:rPr>
        <w:t>、参加</w:t>
      </w:r>
      <w:r>
        <w:rPr>
          <w:rFonts w:hint="eastAsia" w:ascii="宋体" w:hAnsi="宋体"/>
          <w:szCs w:val="21"/>
          <w:lang w:eastAsia="zh-CN"/>
        </w:rPr>
        <w:t>遴选响应</w:t>
      </w:r>
      <w:r>
        <w:rPr>
          <w:rFonts w:hint="eastAsia" w:ascii="宋体" w:hAnsi="宋体"/>
          <w:szCs w:val="21"/>
        </w:rPr>
        <w:t>竞争的法人、其他组织或者自然人。</w:t>
      </w:r>
    </w:p>
    <w:p w14:paraId="4C91276C">
      <w:pPr>
        <w:numPr>
          <w:ilvl w:val="1"/>
          <w:numId w:val="14"/>
        </w:numPr>
        <w:autoSpaceDE w:val="0"/>
        <w:autoSpaceDN w:val="0"/>
        <w:adjustRightInd w:val="0"/>
        <w:snapToGrid w:val="0"/>
        <w:spacing w:line="360" w:lineRule="auto"/>
        <w:rPr>
          <w:rFonts w:ascii="宋体" w:hAnsi="宋体"/>
          <w:szCs w:val="21"/>
        </w:rPr>
      </w:pPr>
      <w:r>
        <w:rPr>
          <w:rFonts w:hint="eastAsia" w:ascii="宋体" w:hAnsi="宋体"/>
          <w:szCs w:val="21"/>
          <w:lang w:eastAsia="zh-CN"/>
        </w:rPr>
        <w:t>中选方</w:t>
      </w:r>
      <w:r>
        <w:rPr>
          <w:rFonts w:hint="eastAsia" w:ascii="宋体" w:hAnsi="宋体"/>
          <w:szCs w:val="21"/>
        </w:rPr>
        <w:t>是指经法定程序确定并授予合同的</w:t>
      </w:r>
      <w:r>
        <w:rPr>
          <w:rFonts w:hint="eastAsia" w:ascii="宋体" w:hAnsi="宋体"/>
          <w:szCs w:val="21"/>
          <w:lang w:eastAsia="zh-CN"/>
        </w:rPr>
        <w:t>遴选响应方</w:t>
      </w:r>
      <w:r>
        <w:rPr>
          <w:rFonts w:hint="eastAsia" w:ascii="宋体" w:hAnsi="宋体"/>
          <w:szCs w:val="21"/>
        </w:rPr>
        <w:t>。</w:t>
      </w:r>
    </w:p>
    <w:p w14:paraId="77A23BB7">
      <w:pPr>
        <w:numPr>
          <w:ilvl w:val="0"/>
          <w:numId w:val="14"/>
        </w:numPr>
        <w:autoSpaceDE w:val="0"/>
        <w:autoSpaceDN w:val="0"/>
        <w:adjustRightInd w:val="0"/>
        <w:snapToGrid w:val="0"/>
        <w:spacing w:line="360" w:lineRule="auto"/>
        <w:ind w:left="449" w:hanging="449" w:hangingChars="213"/>
        <w:outlineLvl w:val="9"/>
        <w:rPr>
          <w:rFonts w:ascii="宋体" w:hAnsi="宋体"/>
          <w:b/>
          <w:bCs/>
          <w:szCs w:val="21"/>
        </w:rPr>
      </w:pPr>
      <w:bookmarkStart w:id="141" w:name="_Toc4681"/>
      <w:r>
        <w:rPr>
          <w:rFonts w:hint="eastAsia" w:ascii="宋体" w:hAnsi="宋体"/>
          <w:b/>
          <w:bCs/>
          <w:szCs w:val="21"/>
        </w:rPr>
        <w:t>合格的货物和服务</w:t>
      </w:r>
      <w:bookmarkEnd w:id="141"/>
    </w:p>
    <w:p w14:paraId="25D9C163">
      <w:pPr>
        <w:numPr>
          <w:ilvl w:val="1"/>
          <w:numId w:val="14"/>
        </w:numPr>
        <w:autoSpaceDE w:val="0"/>
        <w:autoSpaceDN w:val="0"/>
        <w:adjustRightInd w:val="0"/>
        <w:snapToGrid w:val="0"/>
        <w:spacing w:line="360" w:lineRule="auto"/>
        <w:rPr>
          <w:rFonts w:ascii="宋体" w:hAnsi="宋体" w:cs="黑体"/>
          <w:b/>
          <w:bCs/>
          <w:szCs w:val="21"/>
        </w:rPr>
      </w:pPr>
      <w:r>
        <w:rPr>
          <w:rFonts w:hint="eastAsia" w:ascii="宋体" w:hAnsi="宋体"/>
          <w:szCs w:val="21"/>
        </w:rPr>
        <w:t>“货物”是指</w:t>
      </w:r>
      <w:r>
        <w:rPr>
          <w:rFonts w:hint="eastAsia" w:ascii="宋体" w:hAnsi="宋体"/>
          <w:szCs w:val="21"/>
          <w:lang w:eastAsia="zh-CN"/>
        </w:rPr>
        <w:t>遴选响应方</w:t>
      </w:r>
      <w:r>
        <w:rPr>
          <w:rFonts w:hint="eastAsia" w:ascii="宋体" w:hAnsi="宋体"/>
          <w:szCs w:val="21"/>
        </w:rPr>
        <w:t>制造或组织符合</w:t>
      </w:r>
      <w:r>
        <w:rPr>
          <w:rFonts w:hint="eastAsia" w:ascii="宋体" w:hAnsi="宋体"/>
          <w:szCs w:val="21"/>
          <w:lang w:val="en-US" w:eastAsia="zh-CN"/>
        </w:rPr>
        <w:t>遴选文件</w:t>
      </w:r>
      <w:r>
        <w:rPr>
          <w:rFonts w:hint="eastAsia" w:ascii="宋体" w:hAnsi="宋体"/>
          <w:szCs w:val="21"/>
        </w:rPr>
        <w:t>要求的货物等。</w:t>
      </w:r>
      <w:r>
        <w:rPr>
          <w:rFonts w:hint="eastAsia" w:ascii="宋体" w:hAnsi="宋体"/>
          <w:szCs w:val="21"/>
          <w:lang w:eastAsia="zh-CN"/>
        </w:rPr>
        <w:t>遴选响应</w:t>
      </w:r>
      <w:r>
        <w:rPr>
          <w:rFonts w:hint="eastAsia" w:ascii="宋体" w:hAnsi="宋体"/>
          <w:szCs w:val="21"/>
        </w:rPr>
        <w:t>的货物必须是其合法生产、合法来源的符合国家有关标准要求的货物，并满足</w:t>
      </w:r>
      <w:r>
        <w:rPr>
          <w:rFonts w:hint="eastAsia" w:ascii="宋体" w:hAnsi="宋体"/>
          <w:szCs w:val="21"/>
          <w:lang w:val="en-US" w:eastAsia="zh-CN"/>
        </w:rPr>
        <w:t>遴选文件</w:t>
      </w:r>
      <w:r>
        <w:rPr>
          <w:rFonts w:hint="eastAsia" w:ascii="宋体" w:hAnsi="宋体"/>
          <w:szCs w:val="21"/>
        </w:rPr>
        <w:t>规定的规格、参数、质量、价格、有效期、售后服务等要求。</w:t>
      </w:r>
    </w:p>
    <w:p w14:paraId="2DDCA7A4">
      <w:pPr>
        <w:numPr>
          <w:ilvl w:val="1"/>
          <w:numId w:val="14"/>
        </w:numPr>
        <w:autoSpaceDE w:val="0"/>
        <w:autoSpaceDN w:val="0"/>
        <w:adjustRightInd w:val="0"/>
        <w:snapToGrid w:val="0"/>
        <w:spacing w:line="360" w:lineRule="auto"/>
        <w:rPr>
          <w:rFonts w:ascii="宋体" w:hAnsi="宋体"/>
          <w:szCs w:val="21"/>
        </w:rPr>
      </w:pPr>
      <w:r>
        <w:rPr>
          <w:rFonts w:hint="eastAsia" w:ascii="宋体" w:hAnsi="宋体"/>
          <w:szCs w:val="21"/>
        </w:rPr>
        <w:t>“服务”是指除货物和工程以外的其他政府采购对象，其中包括：</w:t>
      </w:r>
      <w:r>
        <w:rPr>
          <w:rFonts w:hint="eastAsia" w:ascii="宋体" w:hAnsi="宋体"/>
          <w:szCs w:val="21"/>
          <w:lang w:eastAsia="zh-CN"/>
        </w:rPr>
        <w:t>遴选响应方</w:t>
      </w:r>
      <w:r>
        <w:rPr>
          <w:rFonts w:hint="eastAsia" w:ascii="宋体" w:hAnsi="宋体"/>
          <w:szCs w:val="21"/>
        </w:rPr>
        <w:t>须承担的运输、安装、技术支持、培训以及</w:t>
      </w:r>
      <w:r>
        <w:rPr>
          <w:rFonts w:hint="eastAsia" w:ascii="宋体" w:hAnsi="宋体"/>
          <w:szCs w:val="21"/>
          <w:lang w:val="en-US" w:eastAsia="zh-CN"/>
        </w:rPr>
        <w:t>遴选文件</w:t>
      </w:r>
      <w:r>
        <w:rPr>
          <w:rFonts w:hint="eastAsia" w:ascii="宋体" w:hAnsi="宋体"/>
          <w:szCs w:val="21"/>
        </w:rPr>
        <w:t>规定的其它服务。</w:t>
      </w:r>
    </w:p>
    <w:p w14:paraId="05180CA8">
      <w:pPr>
        <w:numPr>
          <w:ilvl w:val="1"/>
          <w:numId w:val="14"/>
        </w:numPr>
        <w:autoSpaceDE w:val="0"/>
        <w:autoSpaceDN w:val="0"/>
        <w:adjustRightInd w:val="0"/>
        <w:snapToGrid w:val="0"/>
        <w:spacing w:line="360" w:lineRule="auto"/>
        <w:rPr>
          <w:rFonts w:ascii="宋体" w:hAnsi="宋体"/>
          <w:szCs w:val="21"/>
        </w:rPr>
      </w:pPr>
      <w:r>
        <w:rPr>
          <w:rFonts w:hint="eastAsia" w:ascii="宋体" w:hAnsi="宋体"/>
          <w:szCs w:val="21"/>
        </w:rPr>
        <w:t>关于进口产品：根据财政部《政府采购进口产品管理办法》（财库〔2007〕119 号）“第三条本办法所称进口产品是指通过中国海关报关验放进入中国境内且产自关境外的产品。” 及《关于政府采购进口产品管理有关问题的通知》（财办库[2008]248号）“二、关于关境和海关特殊监管区域产品认定 根据《中华人民共和国海关法》(以下简称海关法)的规定，我国现行关境是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w:t>
      </w:r>
    </w:p>
    <w:p w14:paraId="06AA46DA">
      <w:pPr>
        <w:numPr>
          <w:ilvl w:val="1"/>
          <w:numId w:val="14"/>
        </w:numPr>
        <w:autoSpaceDE w:val="0"/>
        <w:autoSpaceDN w:val="0"/>
        <w:adjustRightInd w:val="0"/>
        <w:snapToGrid w:val="0"/>
        <w:spacing w:line="360" w:lineRule="auto"/>
        <w:rPr>
          <w:rFonts w:ascii="宋体" w:hAnsi="宋体"/>
          <w:szCs w:val="21"/>
        </w:rPr>
      </w:pPr>
      <w:r>
        <w:rPr>
          <w:rFonts w:hint="eastAsia" w:ascii="宋体" w:hAnsi="宋体"/>
          <w:szCs w:val="21"/>
        </w:rPr>
        <w:t>若所投产品属于政府强制采购节能产品的，则</w:t>
      </w:r>
      <w:r>
        <w:rPr>
          <w:rFonts w:hint="eastAsia" w:ascii="宋体" w:hAnsi="宋体"/>
          <w:szCs w:val="21"/>
          <w:lang w:eastAsia="zh-CN"/>
        </w:rPr>
        <w:t>遴选响应方</w:t>
      </w:r>
      <w:r>
        <w:rPr>
          <w:rFonts w:hint="eastAsia" w:ascii="宋体" w:hAnsi="宋体"/>
          <w:szCs w:val="21"/>
        </w:rPr>
        <w:t>必须提供该产品国家强制性节能产品进行</w:t>
      </w:r>
      <w:r>
        <w:rPr>
          <w:rFonts w:hint="eastAsia" w:ascii="宋体" w:hAnsi="宋体"/>
          <w:szCs w:val="21"/>
          <w:lang w:eastAsia="zh-CN"/>
        </w:rPr>
        <w:t>遴选响应</w:t>
      </w:r>
      <w:r>
        <w:rPr>
          <w:rFonts w:hint="eastAsia" w:ascii="宋体" w:hAnsi="宋体"/>
          <w:szCs w:val="21"/>
        </w:rPr>
        <w:t>，并提供强制性节能产品认证证书，否则视为无效</w:t>
      </w:r>
      <w:r>
        <w:rPr>
          <w:rFonts w:hint="eastAsia" w:ascii="宋体" w:hAnsi="宋体"/>
          <w:szCs w:val="21"/>
          <w:lang w:eastAsia="zh-CN"/>
        </w:rPr>
        <w:t>遴选响应</w:t>
      </w:r>
      <w:r>
        <w:rPr>
          <w:rFonts w:hint="eastAsia" w:ascii="宋体" w:hAnsi="宋体"/>
          <w:szCs w:val="21"/>
        </w:rPr>
        <w:t>。</w:t>
      </w:r>
    </w:p>
    <w:p w14:paraId="4D6CC70D">
      <w:pPr>
        <w:numPr>
          <w:ilvl w:val="0"/>
          <w:numId w:val="14"/>
        </w:numPr>
        <w:autoSpaceDE w:val="0"/>
        <w:autoSpaceDN w:val="0"/>
        <w:adjustRightInd w:val="0"/>
        <w:snapToGrid w:val="0"/>
        <w:spacing w:line="360" w:lineRule="auto"/>
        <w:ind w:left="449" w:hanging="449" w:hangingChars="213"/>
        <w:outlineLvl w:val="9"/>
        <w:rPr>
          <w:rFonts w:ascii="宋体" w:hAnsi="宋体"/>
          <w:b/>
          <w:bCs/>
          <w:szCs w:val="21"/>
        </w:rPr>
      </w:pPr>
      <w:bookmarkStart w:id="142" w:name="_Toc4403"/>
      <w:r>
        <w:rPr>
          <w:rFonts w:hint="eastAsia" w:ascii="宋体" w:hAnsi="宋体"/>
          <w:b/>
          <w:bCs/>
          <w:szCs w:val="21"/>
        </w:rPr>
        <w:t>费用</w:t>
      </w:r>
      <w:bookmarkEnd w:id="142"/>
    </w:p>
    <w:p w14:paraId="611D1DDB">
      <w:pPr>
        <w:numPr>
          <w:ilvl w:val="1"/>
          <w:numId w:val="1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CN"/>
        </w:rPr>
        <w:t>遴选响应方</w:t>
      </w:r>
      <w:r>
        <w:rPr>
          <w:rFonts w:hint="eastAsia" w:ascii="宋体" w:hAnsi="宋体" w:cs="宋体"/>
          <w:szCs w:val="21"/>
          <w:lang w:eastAsia="zh-TW"/>
        </w:rPr>
        <w:t>应承担所有与准备和参加</w:t>
      </w:r>
      <w:r>
        <w:rPr>
          <w:rFonts w:hint="eastAsia" w:ascii="宋体" w:hAnsi="宋体" w:cs="宋体"/>
          <w:szCs w:val="21"/>
          <w:lang w:eastAsia="zh-CN"/>
        </w:rPr>
        <w:t>遴选响应</w:t>
      </w:r>
      <w:r>
        <w:rPr>
          <w:rFonts w:hint="eastAsia" w:ascii="宋体" w:hAnsi="宋体" w:cs="宋体"/>
          <w:szCs w:val="21"/>
          <w:lang w:eastAsia="zh-TW"/>
        </w:rPr>
        <w:t>有关的费用。不论</w:t>
      </w:r>
      <w:r>
        <w:rPr>
          <w:rFonts w:hint="eastAsia" w:ascii="宋体" w:hAnsi="宋体" w:cs="宋体"/>
          <w:szCs w:val="21"/>
          <w:lang w:eastAsia="zh-CN"/>
        </w:rPr>
        <w:t>遴选响应</w:t>
      </w:r>
      <w:r>
        <w:rPr>
          <w:rFonts w:hint="eastAsia" w:ascii="宋体" w:hAnsi="宋体" w:cs="宋体"/>
          <w:szCs w:val="21"/>
          <w:lang w:eastAsia="zh-TW"/>
        </w:rPr>
        <w:t>的结果如何</w:t>
      </w:r>
      <w:r>
        <w:rPr>
          <w:rFonts w:hint="eastAsia" w:ascii="宋体" w:hAnsi="宋体" w:cs="宋体"/>
          <w:szCs w:val="21"/>
        </w:rPr>
        <w:t>，</w:t>
      </w:r>
      <w:r>
        <w:rPr>
          <w:rFonts w:hint="eastAsia" w:ascii="宋体" w:hAnsi="宋体" w:cs="宋体"/>
          <w:szCs w:val="21"/>
          <w:lang w:eastAsia="zh-TW"/>
        </w:rPr>
        <w:t>采购人无义务和责任承担这些费用</w:t>
      </w:r>
      <w:r>
        <w:rPr>
          <w:rFonts w:hint="eastAsia" w:ascii="宋体" w:hAnsi="宋体" w:cs="宋体"/>
          <w:szCs w:val="21"/>
        </w:rPr>
        <w:t>。</w:t>
      </w:r>
    </w:p>
    <w:p w14:paraId="350F361F">
      <w:pPr>
        <w:numPr>
          <w:ilvl w:val="0"/>
          <w:numId w:val="14"/>
        </w:numPr>
        <w:autoSpaceDE w:val="0"/>
        <w:autoSpaceDN w:val="0"/>
        <w:adjustRightInd w:val="0"/>
        <w:snapToGrid w:val="0"/>
        <w:spacing w:line="360" w:lineRule="auto"/>
        <w:ind w:left="449" w:hanging="449" w:hangingChars="213"/>
        <w:outlineLvl w:val="9"/>
        <w:rPr>
          <w:rFonts w:ascii="宋体" w:hAnsi="宋体"/>
          <w:b/>
          <w:bCs/>
          <w:szCs w:val="21"/>
        </w:rPr>
      </w:pPr>
      <w:bookmarkStart w:id="143" w:name="_Toc27847"/>
      <w:r>
        <w:rPr>
          <w:rFonts w:hint="eastAsia" w:ascii="宋体" w:hAnsi="宋体"/>
          <w:b/>
          <w:bCs/>
          <w:szCs w:val="21"/>
        </w:rPr>
        <w:t>其他</w:t>
      </w:r>
      <w:bookmarkEnd w:id="143"/>
    </w:p>
    <w:p w14:paraId="239C1BC1">
      <w:pPr>
        <w:numPr>
          <w:ilvl w:val="1"/>
          <w:numId w:val="1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所有时间均为24小时制北京时间，所有货币单位均为人民币元，所使用的计量单位均以《中华人民共和国法定计量单位》为准（特别注明除外）</w:t>
      </w:r>
      <w:r>
        <w:rPr>
          <w:rFonts w:hint="eastAsia" w:ascii="宋体" w:hAnsi="宋体" w:cs="宋体"/>
          <w:szCs w:val="21"/>
        </w:rPr>
        <w:t>。</w:t>
      </w:r>
    </w:p>
    <w:p w14:paraId="36E18272">
      <w:pPr>
        <w:numPr>
          <w:ilvl w:val="1"/>
          <w:numId w:val="1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供应商（</w:t>
      </w:r>
      <w:r>
        <w:rPr>
          <w:rFonts w:hint="eastAsia" w:ascii="宋体" w:hAnsi="宋体" w:cs="宋体"/>
          <w:szCs w:val="21"/>
          <w:lang w:eastAsia="zh-CN"/>
        </w:rPr>
        <w:t>遴选响应方</w:t>
      </w:r>
      <w:r>
        <w:rPr>
          <w:rFonts w:hint="eastAsia" w:ascii="宋体" w:hAnsi="宋体" w:cs="宋体"/>
          <w:szCs w:val="21"/>
          <w:lang w:eastAsia="zh-TW"/>
        </w:rPr>
        <w:t>）向</w:t>
      </w:r>
      <w:r>
        <w:rPr>
          <w:rFonts w:hint="eastAsia" w:ascii="宋体" w:hAnsi="宋体" w:cs="宋体"/>
          <w:szCs w:val="21"/>
          <w:lang w:val="en-US" w:eastAsia="zh-CN"/>
        </w:rPr>
        <w:t>我院</w:t>
      </w:r>
      <w:r>
        <w:rPr>
          <w:rFonts w:hint="eastAsia" w:ascii="宋体" w:hAnsi="宋体" w:cs="宋体"/>
          <w:szCs w:val="21"/>
          <w:lang w:eastAsia="zh-TW"/>
        </w:rPr>
        <w:t>咨询的有关项目事项，一切以法律法规的规定和</w:t>
      </w:r>
      <w:r>
        <w:rPr>
          <w:rFonts w:hint="eastAsia" w:ascii="宋体" w:hAnsi="宋体" w:cs="宋体"/>
          <w:szCs w:val="21"/>
          <w:lang w:val="en-US" w:eastAsia="zh-CN"/>
        </w:rPr>
        <w:t>本院</w:t>
      </w:r>
      <w:r>
        <w:rPr>
          <w:rFonts w:hint="eastAsia" w:ascii="宋体" w:hAnsi="宋体" w:cs="宋体"/>
          <w:szCs w:val="21"/>
          <w:lang w:eastAsia="zh-TW"/>
        </w:rPr>
        <w:t>书面答复为准，其他一切形式均为个人意见，不代表本</w:t>
      </w:r>
      <w:r>
        <w:rPr>
          <w:rFonts w:hint="eastAsia" w:ascii="宋体" w:hAnsi="宋体" w:cs="宋体"/>
          <w:szCs w:val="21"/>
          <w:lang w:val="en-US" w:eastAsia="zh-CN"/>
        </w:rPr>
        <w:t>院</w:t>
      </w:r>
      <w:r>
        <w:rPr>
          <w:rFonts w:hint="eastAsia" w:ascii="宋体" w:hAnsi="宋体" w:cs="宋体"/>
          <w:szCs w:val="21"/>
          <w:lang w:eastAsia="zh-TW"/>
        </w:rPr>
        <w:t>的意见。</w:t>
      </w:r>
    </w:p>
    <w:p w14:paraId="04562643">
      <w:pPr>
        <w:numPr>
          <w:ilvl w:val="1"/>
          <w:numId w:val="14"/>
        </w:numPr>
        <w:adjustRightInd w:val="0"/>
        <w:snapToGrid w:val="0"/>
        <w:spacing w:line="360" w:lineRule="auto"/>
        <w:rPr>
          <w:rFonts w:cs="宋体" w:asciiTheme="minorEastAsia" w:hAnsiTheme="minorEastAsia" w:eastAsiaTheme="minorEastAsia"/>
          <w:bCs/>
          <w:color w:val="FF0000"/>
          <w:szCs w:val="21"/>
        </w:rPr>
      </w:pPr>
      <w:bookmarkStart w:id="144" w:name="_Hlk21592778"/>
      <w:r>
        <w:rPr>
          <w:rFonts w:hint="eastAsia" w:asciiTheme="minorEastAsia" w:hAnsiTheme="minorEastAsia" w:eastAsiaTheme="minorEastAsia"/>
          <w:szCs w:val="21"/>
        </w:rPr>
        <w:t>对列入失信</w:t>
      </w:r>
      <w:r>
        <w:rPr>
          <w:rFonts w:asciiTheme="minorEastAsia" w:hAnsiTheme="minorEastAsia" w:eastAsiaTheme="minorEastAsia"/>
          <w:szCs w:val="21"/>
        </w:rPr>
        <w:t>“</w:t>
      </w:r>
      <w:r>
        <w:rPr>
          <w:rFonts w:hint="eastAsia" w:asciiTheme="minorEastAsia" w:hAnsiTheme="minorEastAsia" w:eastAsiaTheme="minorEastAsia"/>
          <w:szCs w:val="21"/>
        </w:rPr>
        <w:t>黑名单</w:t>
      </w:r>
      <w:r>
        <w:rPr>
          <w:rFonts w:asciiTheme="minorEastAsia" w:hAnsiTheme="minorEastAsia" w:eastAsiaTheme="minorEastAsia"/>
          <w:szCs w:val="21"/>
        </w:rPr>
        <w:t>”</w:t>
      </w:r>
      <w:r>
        <w:rPr>
          <w:rFonts w:hint="eastAsia" w:asciiTheme="minorEastAsia" w:hAnsiTheme="minorEastAsia" w:eastAsiaTheme="minorEastAsia"/>
          <w:szCs w:val="21"/>
        </w:rPr>
        <w:t>的</w:t>
      </w:r>
      <w:bookmarkStart w:id="145" w:name="_Hlk21591509"/>
      <w:r>
        <w:rPr>
          <w:rFonts w:hint="eastAsia" w:asciiTheme="minorEastAsia" w:hAnsiTheme="minorEastAsia" w:eastAsiaTheme="minorEastAsia"/>
          <w:szCs w:val="21"/>
        </w:rPr>
        <w:t>供应商限制参与政府采购</w:t>
      </w:r>
      <w:bookmarkEnd w:id="145"/>
      <w:r>
        <w:rPr>
          <w:rFonts w:hint="eastAsia" w:asciiTheme="minorEastAsia" w:hAnsiTheme="minorEastAsia" w:eastAsiaTheme="minorEastAsia"/>
          <w:szCs w:val="21"/>
        </w:rPr>
        <w:t>。</w:t>
      </w:r>
      <w:r>
        <w:rPr>
          <w:rFonts w:hint="eastAsia" w:cs="宋体" w:asciiTheme="minorEastAsia" w:hAnsiTheme="minorEastAsia" w:eastAsiaTheme="minorEastAsia"/>
          <w:bCs/>
          <w:szCs w:val="21"/>
        </w:rPr>
        <w:t>供应商诚信查询方式：</w:t>
      </w:r>
      <w:r>
        <w:rPr>
          <w:rFonts w:asciiTheme="minorEastAsia" w:hAnsiTheme="minorEastAsia" w:eastAsiaTheme="minorEastAsia"/>
          <w:szCs w:val="21"/>
        </w:rPr>
        <w:t>“信用中国”网站(www.creditchina.gov.cn)</w:t>
      </w:r>
      <w:r>
        <w:rPr>
          <w:rFonts w:hint="eastAsia" w:asciiTheme="minorEastAsia" w:hAnsiTheme="minorEastAsia" w:eastAsiaTheme="minorEastAsia"/>
          <w:szCs w:val="21"/>
        </w:rPr>
        <w:t>没有以下任意记录名单之一：①</w:t>
      </w:r>
      <w:r>
        <w:rPr>
          <w:rFonts w:asciiTheme="minorEastAsia" w:hAnsiTheme="minorEastAsia" w:eastAsiaTheme="minorEastAsia"/>
          <w:szCs w:val="21"/>
        </w:rPr>
        <w:t>记录失信被执行人</w:t>
      </w:r>
      <w:r>
        <w:rPr>
          <w:rFonts w:hint="eastAsia" w:asciiTheme="minorEastAsia" w:hAnsiTheme="minorEastAsia" w:eastAsiaTheme="minorEastAsia"/>
          <w:szCs w:val="21"/>
        </w:rPr>
        <w:t>；②</w:t>
      </w:r>
      <w:r>
        <w:rPr>
          <w:rFonts w:asciiTheme="minorEastAsia" w:hAnsiTheme="minorEastAsia" w:eastAsiaTheme="minorEastAsia"/>
          <w:szCs w:val="21"/>
        </w:rPr>
        <w:t>重大税收违法案件当事人名单（税收违法黑名单）</w:t>
      </w:r>
      <w:r>
        <w:rPr>
          <w:rFonts w:hint="eastAsia" w:asciiTheme="minorEastAsia" w:hAnsiTheme="minorEastAsia" w:eastAsiaTheme="minorEastAsia"/>
          <w:szCs w:val="21"/>
        </w:rPr>
        <w:t>；③政府采购严重违法失信行为。</w:t>
      </w:r>
      <w:r>
        <w:rPr>
          <w:rFonts w:asciiTheme="minorEastAsia" w:hAnsiTheme="minorEastAsia" w:eastAsiaTheme="minorEastAsia"/>
          <w:szCs w:val="21"/>
        </w:rPr>
        <w:t>中国政府采购网(www.ccgp.gov.cn)不处于“政府采购严重违法失信行为信息记录”中的禁止参加政府采购活动期间</w:t>
      </w:r>
      <w:r>
        <w:rPr>
          <w:rFonts w:hint="eastAsia" w:asciiTheme="minorEastAsia" w:hAnsiTheme="minorEastAsia" w:eastAsiaTheme="minorEastAsia"/>
          <w:szCs w:val="21"/>
        </w:rPr>
        <w:t>；</w:t>
      </w:r>
      <w:bookmarkEnd w:id="144"/>
      <w:r>
        <w:rPr>
          <w:rFonts w:hint="eastAsia" w:asciiTheme="minorEastAsia" w:hAnsiTheme="minorEastAsia" w:eastAsiaTheme="minorEastAsia"/>
          <w:szCs w:val="21"/>
        </w:rPr>
        <w:t>在深圳信用网（</w:t>
      </w:r>
      <w:r>
        <w:rPr>
          <w:rFonts w:asciiTheme="minorEastAsia" w:hAnsiTheme="minorEastAsia" w:eastAsiaTheme="minorEastAsia"/>
          <w:szCs w:val="21"/>
        </w:rPr>
        <w:t>https://www.szcredit.com.cn</w:t>
      </w:r>
      <w:r>
        <w:rPr>
          <w:rFonts w:hint="eastAsia" w:asciiTheme="minorEastAsia" w:hAnsiTheme="minorEastAsia" w:eastAsiaTheme="minorEastAsia"/>
          <w:szCs w:val="21"/>
        </w:rPr>
        <w:t>）、</w:t>
      </w:r>
      <w:r>
        <w:rPr>
          <w:rFonts w:hint="eastAsia" w:cs="宋体" w:asciiTheme="minorEastAsia" w:hAnsiTheme="minorEastAsia" w:eastAsiaTheme="minorEastAsia"/>
          <w:bCs/>
          <w:szCs w:val="21"/>
        </w:rPr>
        <w:t>深圳市政府采购监督管理网（zfcg.sz.gov.cn）查询相关主体信用记录，对不符合《中华人民共和国政府采购法》第二十二条规定条件的供应商限制参与政府采购。</w:t>
      </w:r>
      <w:r>
        <w:rPr>
          <w:rFonts w:hint="eastAsia" w:cs="宋体" w:asciiTheme="minorEastAsia" w:hAnsiTheme="minorEastAsia" w:eastAsiaTheme="minorEastAsia"/>
          <w:szCs w:val="21"/>
        </w:rPr>
        <w:t>联合体</w:t>
      </w:r>
      <w:r>
        <w:rPr>
          <w:rFonts w:hint="eastAsia" w:cs="宋体" w:asciiTheme="minorEastAsia" w:hAnsiTheme="minorEastAsia" w:eastAsiaTheme="minorEastAsia"/>
          <w:szCs w:val="21"/>
          <w:lang w:eastAsia="zh-CN"/>
        </w:rPr>
        <w:t>遴选响应</w:t>
      </w:r>
      <w:r>
        <w:rPr>
          <w:rFonts w:hint="eastAsia" w:cs="宋体" w:asciiTheme="minorEastAsia" w:hAnsiTheme="minorEastAsia" w:eastAsiaTheme="minorEastAsia"/>
          <w:szCs w:val="21"/>
        </w:rPr>
        <w:t>的，对</w:t>
      </w:r>
      <w:r>
        <w:rPr>
          <w:rFonts w:cs="宋体" w:asciiTheme="minorEastAsia" w:hAnsiTheme="minorEastAsia" w:eastAsiaTheme="minorEastAsia"/>
          <w:szCs w:val="21"/>
        </w:rPr>
        <w:t>所有联合体成员进行信用记录查询，联合体成员存在不良信用记录的，视同联合体存在不良信用记录。</w:t>
      </w:r>
      <w:r>
        <w:rPr>
          <w:rFonts w:cs="宋体" w:asciiTheme="minorEastAsia" w:hAnsiTheme="minorEastAsia" w:eastAsiaTheme="minorEastAsia"/>
          <w:bCs/>
          <w:szCs w:val="21"/>
        </w:rPr>
        <w:t>如在上述网站查询结果均显示没有相关记录，视为</w:t>
      </w:r>
      <w:r>
        <w:rPr>
          <w:rFonts w:hint="eastAsia" w:cs="宋体" w:asciiTheme="minorEastAsia" w:hAnsiTheme="minorEastAsia" w:eastAsiaTheme="minorEastAsia"/>
          <w:bCs/>
          <w:szCs w:val="21"/>
        </w:rPr>
        <w:t>不存在</w:t>
      </w:r>
      <w:r>
        <w:rPr>
          <w:rFonts w:cs="宋体" w:asciiTheme="minorEastAsia" w:hAnsiTheme="minorEastAsia" w:eastAsiaTheme="minorEastAsia"/>
          <w:bCs/>
          <w:szCs w:val="21"/>
        </w:rPr>
        <w:t>上述不良信用记录</w:t>
      </w:r>
      <w:r>
        <w:rPr>
          <w:rFonts w:hint="eastAsia" w:cs="宋体" w:asciiTheme="minorEastAsia" w:hAnsiTheme="minorEastAsia" w:eastAsiaTheme="minorEastAsia"/>
          <w:bCs/>
          <w:szCs w:val="21"/>
        </w:rPr>
        <w:t>。</w:t>
      </w:r>
    </w:p>
    <w:p w14:paraId="78067974">
      <w:pPr>
        <w:pStyle w:val="3"/>
        <w:numPr>
          <w:ilvl w:val="0"/>
          <w:numId w:val="13"/>
        </w:numPr>
        <w:spacing w:line="240" w:lineRule="auto"/>
        <w:jc w:val="center"/>
        <w:rPr>
          <w:rFonts w:asciiTheme="majorEastAsia" w:hAnsiTheme="majorEastAsia" w:eastAsiaTheme="majorEastAsia"/>
          <w:sz w:val="30"/>
          <w:szCs w:val="30"/>
          <w:lang w:eastAsia="zh-TW"/>
        </w:rPr>
      </w:pPr>
      <w:bookmarkStart w:id="146" w:name="_Toc11903"/>
      <w:r>
        <w:rPr>
          <w:rFonts w:hint="eastAsia" w:asciiTheme="majorEastAsia" w:hAnsiTheme="majorEastAsia" w:eastAsiaTheme="majorEastAsia"/>
          <w:sz w:val="30"/>
          <w:szCs w:val="30"/>
          <w:lang w:val="en-US" w:eastAsia="zh-CN"/>
        </w:rPr>
        <w:t>遴选文件</w:t>
      </w:r>
      <w:bookmarkEnd w:id="146"/>
    </w:p>
    <w:p w14:paraId="2B6E6249">
      <w:pPr>
        <w:numPr>
          <w:ilvl w:val="0"/>
          <w:numId w:val="14"/>
        </w:numPr>
        <w:autoSpaceDE w:val="0"/>
        <w:autoSpaceDN w:val="0"/>
        <w:adjustRightInd w:val="0"/>
        <w:snapToGrid w:val="0"/>
        <w:spacing w:line="360" w:lineRule="auto"/>
        <w:ind w:left="449" w:hanging="449" w:hangingChars="213"/>
        <w:outlineLvl w:val="9"/>
        <w:rPr>
          <w:rFonts w:ascii="宋体" w:hAnsi="宋体"/>
          <w:b/>
          <w:bCs/>
          <w:szCs w:val="21"/>
        </w:rPr>
      </w:pPr>
      <w:bookmarkStart w:id="147" w:name="_Toc23967"/>
      <w:r>
        <w:rPr>
          <w:rFonts w:hint="eastAsia" w:ascii="宋体" w:hAnsi="宋体"/>
          <w:b/>
          <w:bCs/>
          <w:szCs w:val="21"/>
          <w:lang w:val="en-US" w:eastAsia="zh-CN"/>
        </w:rPr>
        <w:t>遴选文件</w:t>
      </w:r>
      <w:r>
        <w:rPr>
          <w:rFonts w:hint="eastAsia" w:ascii="宋体" w:hAnsi="宋体"/>
          <w:b/>
          <w:bCs/>
          <w:szCs w:val="21"/>
        </w:rPr>
        <w:t>的构成</w:t>
      </w:r>
      <w:bookmarkEnd w:id="147"/>
    </w:p>
    <w:p w14:paraId="44BD49D5">
      <w:pPr>
        <w:numPr>
          <w:ilvl w:val="1"/>
          <w:numId w:val="14"/>
        </w:numPr>
        <w:autoSpaceDE w:val="0"/>
        <w:autoSpaceDN w:val="0"/>
        <w:adjustRightInd w:val="0"/>
        <w:snapToGrid w:val="0"/>
        <w:spacing w:line="360" w:lineRule="auto"/>
        <w:rPr>
          <w:rFonts w:ascii="宋体" w:hAnsi="宋体"/>
          <w:szCs w:val="21"/>
        </w:rPr>
      </w:pPr>
      <w:r>
        <w:rPr>
          <w:rFonts w:hint="eastAsia" w:ascii="宋体" w:hAnsi="宋体" w:cs="宋体"/>
          <w:szCs w:val="21"/>
          <w:lang w:val="en-US" w:eastAsia="zh-CN"/>
        </w:rPr>
        <w:t>遴选文件</w:t>
      </w:r>
      <w:r>
        <w:rPr>
          <w:rFonts w:hint="eastAsia" w:ascii="宋体" w:hAnsi="宋体" w:cs="宋体"/>
          <w:szCs w:val="21"/>
          <w:lang w:eastAsia="zh-TW"/>
        </w:rPr>
        <w:t>以中文文字编写。</w:t>
      </w:r>
      <w:r>
        <w:rPr>
          <w:rFonts w:hint="eastAsia" w:ascii="宋体" w:hAnsi="宋体" w:cs="宋体"/>
          <w:szCs w:val="21"/>
          <w:lang w:val="en-US" w:eastAsia="zh-CN"/>
        </w:rPr>
        <w:t>遴选文件</w:t>
      </w:r>
      <w:r>
        <w:rPr>
          <w:rFonts w:hint="eastAsia" w:ascii="宋体" w:hAnsi="宋体" w:cs="宋体"/>
          <w:szCs w:val="21"/>
          <w:lang w:eastAsia="zh-TW"/>
        </w:rPr>
        <w:t>共</w:t>
      </w:r>
      <w:r>
        <w:rPr>
          <w:rFonts w:hint="eastAsia" w:ascii="宋体" w:hAnsi="宋体" w:cs="宋体"/>
          <w:szCs w:val="21"/>
          <w:lang w:val="en-US" w:eastAsia="zh-CN"/>
        </w:rPr>
        <w:t>六</w:t>
      </w:r>
      <w:r>
        <w:rPr>
          <w:rFonts w:hint="eastAsia" w:ascii="宋体" w:hAnsi="宋体" w:cs="宋体"/>
          <w:szCs w:val="21"/>
          <w:lang w:eastAsia="zh-TW"/>
        </w:rPr>
        <w:t>章。</w:t>
      </w:r>
      <w:r>
        <w:rPr>
          <w:rFonts w:hint="eastAsia" w:ascii="宋体" w:hAnsi="宋体" w:cs="宋体"/>
          <w:szCs w:val="21"/>
        </w:rPr>
        <w:t>由下列文件以及在</w:t>
      </w:r>
      <w:r>
        <w:rPr>
          <w:rFonts w:hint="eastAsia" w:ascii="宋体" w:hAnsi="宋体" w:cs="宋体"/>
          <w:szCs w:val="21"/>
          <w:lang w:val="en-US" w:eastAsia="zh-CN"/>
        </w:rPr>
        <w:t>遴选</w:t>
      </w:r>
      <w:r>
        <w:rPr>
          <w:rFonts w:hint="eastAsia" w:ascii="宋体" w:hAnsi="宋体" w:cs="宋体"/>
          <w:szCs w:val="21"/>
        </w:rPr>
        <w:t>过程中发出的澄清、修改和补充文件组成，</w:t>
      </w:r>
      <w:r>
        <w:rPr>
          <w:rFonts w:hint="eastAsia" w:ascii="宋体" w:hAnsi="宋体" w:cs="宋体"/>
          <w:szCs w:val="21"/>
          <w:lang w:eastAsia="zh-TW"/>
        </w:rPr>
        <w:t>内容如下</w:t>
      </w:r>
      <w:r>
        <w:rPr>
          <w:rFonts w:hint="eastAsia" w:ascii="宋体" w:hAnsi="宋体" w:cs="宋体"/>
          <w:szCs w:val="21"/>
        </w:rPr>
        <w:t>：</w:t>
      </w:r>
    </w:p>
    <w:p w14:paraId="2CC65CE0">
      <w:pPr>
        <w:snapToGrid w:val="0"/>
        <w:spacing w:line="360" w:lineRule="auto"/>
        <w:ind w:left="445" w:leftChars="212" w:firstLine="1"/>
        <w:rPr>
          <w:rFonts w:ascii="宋体" w:hAnsi="宋体"/>
          <w:szCs w:val="21"/>
        </w:rPr>
      </w:pPr>
      <w:r>
        <w:rPr>
          <w:rFonts w:hint="eastAsia" w:ascii="宋体" w:hAnsi="宋体" w:cs="宋体"/>
          <w:szCs w:val="21"/>
          <w:lang w:eastAsia="zh-TW"/>
        </w:rPr>
        <w:t>第一章</w:t>
      </w:r>
      <w:r>
        <w:rPr>
          <w:rFonts w:hint="eastAsia" w:ascii="宋体" w:hAnsi="宋体" w:cs="宋体"/>
          <w:szCs w:val="21"/>
        </w:rPr>
        <w:t>　</w:t>
      </w:r>
      <w:r>
        <w:rPr>
          <w:rFonts w:hint="eastAsia" w:ascii="宋体" w:hAnsi="宋体" w:cs="宋体"/>
          <w:szCs w:val="21"/>
          <w:lang w:eastAsia="zh-CN"/>
        </w:rPr>
        <w:t>遴选</w:t>
      </w:r>
      <w:r>
        <w:rPr>
          <w:rFonts w:hint="eastAsia" w:ascii="宋体" w:hAnsi="宋体" w:cs="宋体"/>
          <w:szCs w:val="21"/>
          <w:lang w:eastAsia="zh-TW"/>
        </w:rPr>
        <w:t>邀请</w:t>
      </w:r>
    </w:p>
    <w:p w14:paraId="50E5D7D0">
      <w:pPr>
        <w:snapToGrid w:val="0"/>
        <w:spacing w:line="360" w:lineRule="auto"/>
        <w:ind w:left="445" w:leftChars="212" w:firstLine="1"/>
        <w:rPr>
          <w:rFonts w:ascii="宋体" w:hAnsi="宋体"/>
          <w:szCs w:val="21"/>
        </w:rPr>
      </w:pPr>
      <w:r>
        <w:rPr>
          <w:rFonts w:hint="eastAsia" w:ascii="宋体" w:hAnsi="宋体" w:cs="宋体"/>
          <w:szCs w:val="21"/>
          <w:lang w:eastAsia="zh-TW"/>
        </w:rPr>
        <w:t>第二章</w:t>
      </w:r>
      <w:r>
        <w:rPr>
          <w:rFonts w:hint="eastAsia" w:ascii="宋体" w:hAnsi="宋体" w:cs="宋体"/>
          <w:szCs w:val="21"/>
        </w:rPr>
        <w:t>　</w:t>
      </w:r>
      <w:r>
        <w:rPr>
          <w:rFonts w:hint="eastAsia" w:ascii="宋体" w:hAnsi="宋体" w:cs="宋体"/>
          <w:szCs w:val="21"/>
          <w:lang w:eastAsia="zh-CN"/>
        </w:rPr>
        <w:t>遴选响应</w:t>
      </w:r>
      <w:r>
        <w:rPr>
          <w:rFonts w:hint="eastAsia" w:ascii="宋体" w:hAnsi="宋体" w:cs="宋体"/>
          <w:szCs w:val="21"/>
          <w:lang w:eastAsia="zh-TW"/>
        </w:rPr>
        <w:t>资料表</w:t>
      </w:r>
    </w:p>
    <w:p w14:paraId="1C95299F">
      <w:pPr>
        <w:snapToGrid w:val="0"/>
        <w:spacing w:line="360" w:lineRule="auto"/>
        <w:ind w:left="445" w:leftChars="212" w:firstLine="1"/>
        <w:rPr>
          <w:rFonts w:ascii="宋体" w:hAnsi="宋体"/>
          <w:szCs w:val="21"/>
        </w:rPr>
      </w:pPr>
      <w:r>
        <w:rPr>
          <w:rFonts w:hint="eastAsia" w:ascii="宋体" w:hAnsi="宋体" w:cs="宋体"/>
          <w:szCs w:val="21"/>
          <w:lang w:eastAsia="zh-TW"/>
        </w:rPr>
        <w:t>第</w:t>
      </w:r>
      <w:r>
        <w:rPr>
          <w:rFonts w:hint="eastAsia" w:ascii="宋体" w:hAnsi="宋体" w:cs="宋体"/>
          <w:szCs w:val="21"/>
        </w:rPr>
        <w:t>三</w:t>
      </w:r>
      <w:r>
        <w:rPr>
          <w:rFonts w:hint="eastAsia" w:ascii="宋体" w:hAnsi="宋体" w:cs="宋体"/>
          <w:szCs w:val="21"/>
          <w:lang w:eastAsia="zh-TW"/>
        </w:rPr>
        <w:t>章</w:t>
      </w:r>
      <w:r>
        <w:rPr>
          <w:rFonts w:hint="eastAsia" w:ascii="宋体" w:hAnsi="宋体" w:cs="宋体"/>
          <w:szCs w:val="21"/>
        </w:rPr>
        <w:t>　</w:t>
      </w:r>
      <w:r>
        <w:rPr>
          <w:rFonts w:hint="eastAsia" w:ascii="宋体" w:hAnsi="宋体" w:cs="宋体"/>
          <w:szCs w:val="21"/>
          <w:lang w:eastAsia="zh-TW"/>
        </w:rPr>
        <w:t>用户需求书</w:t>
      </w:r>
    </w:p>
    <w:p w14:paraId="0B84E94D">
      <w:pPr>
        <w:snapToGrid w:val="0"/>
        <w:spacing w:line="360" w:lineRule="auto"/>
        <w:ind w:left="445" w:leftChars="212" w:firstLine="1"/>
        <w:rPr>
          <w:rFonts w:hint="default" w:ascii="宋体" w:hAnsi="宋体" w:eastAsia="宋体"/>
          <w:szCs w:val="21"/>
          <w:lang w:val="en-US" w:eastAsia="zh-CN"/>
        </w:rPr>
      </w:pPr>
      <w:r>
        <w:rPr>
          <w:rFonts w:hint="eastAsia" w:ascii="宋体" w:hAnsi="宋体" w:cs="宋体"/>
          <w:szCs w:val="21"/>
          <w:lang w:eastAsia="zh-TW"/>
        </w:rPr>
        <w:t>第</w:t>
      </w:r>
      <w:r>
        <w:rPr>
          <w:rFonts w:hint="eastAsia" w:ascii="宋体" w:hAnsi="宋体" w:cs="宋体"/>
          <w:szCs w:val="21"/>
        </w:rPr>
        <w:t>四</w:t>
      </w:r>
      <w:r>
        <w:rPr>
          <w:rFonts w:hint="eastAsia" w:ascii="宋体" w:hAnsi="宋体" w:cs="宋体"/>
          <w:szCs w:val="21"/>
          <w:lang w:eastAsia="zh-TW"/>
        </w:rPr>
        <w:t>章</w:t>
      </w:r>
      <w:r>
        <w:rPr>
          <w:rFonts w:hint="eastAsia" w:ascii="宋体" w:hAnsi="宋体" w:cs="宋体"/>
          <w:szCs w:val="21"/>
        </w:rPr>
        <w:t>　</w:t>
      </w:r>
      <w:r>
        <w:rPr>
          <w:rFonts w:hint="eastAsia" w:ascii="宋体" w:hAnsi="宋体" w:cs="宋体"/>
          <w:szCs w:val="21"/>
          <w:lang w:val="en-US" w:eastAsia="zh-CN"/>
        </w:rPr>
        <w:t>遴选事宜</w:t>
      </w:r>
    </w:p>
    <w:p w14:paraId="04F6DE8E">
      <w:pPr>
        <w:snapToGrid w:val="0"/>
        <w:spacing w:line="360" w:lineRule="auto"/>
        <w:ind w:left="445" w:leftChars="212" w:firstLine="1"/>
        <w:rPr>
          <w:rFonts w:ascii="宋体" w:hAnsi="宋体" w:cs="宋体"/>
          <w:szCs w:val="21"/>
        </w:rPr>
      </w:pPr>
      <w:r>
        <w:rPr>
          <w:rFonts w:hint="eastAsia" w:ascii="宋体" w:hAnsi="宋体" w:cs="宋体"/>
          <w:szCs w:val="21"/>
          <w:lang w:eastAsia="zh-TW"/>
        </w:rPr>
        <w:t>第</w:t>
      </w:r>
      <w:r>
        <w:rPr>
          <w:rFonts w:hint="eastAsia" w:ascii="宋体" w:hAnsi="宋体" w:cs="宋体"/>
          <w:szCs w:val="21"/>
          <w:lang w:val="en-US" w:eastAsia="zh-CN"/>
        </w:rPr>
        <w:t>五</w:t>
      </w:r>
      <w:r>
        <w:rPr>
          <w:rFonts w:hint="eastAsia" w:ascii="宋体" w:hAnsi="宋体" w:cs="宋体"/>
          <w:szCs w:val="21"/>
          <w:lang w:eastAsia="zh-TW"/>
        </w:rPr>
        <w:t>章</w:t>
      </w:r>
      <w:r>
        <w:rPr>
          <w:rFonts w:hint="eastAsia" w:ascii="宋体" w:hAnsi="宋体" w:cs="宋体"/>
          <w:szCs w:val="21"/>
        </w:rPr>
        <w:t>　</w:t>
      </w:r>
      <w:r>
        <w:rPr>
          <w:rFonts w:hint="eastAsia" w:ascii="宋体" w:hAnsi="宋体" w:cs="宋体"/>
          <w:szCs w:val="21"/>
          <w:lang w:eastAsia="zh-CN"/>
        </w:rPr>
        <w:t>遴选响应文件</w:t>
      </w:r>
      <w:r>
        <w:rPr>
          <w:rFonts w:hint="eastAsia" w:ascii="宋体" w:hAnsi="宋体" w:cs="宋体"/>
          <w:szCs w:val="21"/>
        </w:rPr>
        <w:t>格式</w:t>
      </w:r>
    </w:p>
    <w:p w14:paraId="0DC4AE2D">
      <w:pPr>
        <w:snapToGrid w:val="0"/>
        <w:spacing w:line="360" w:lineRule="auto"/>
        <w:ind w:left="445" w:leftChars="212" w:firstLine="1"/>
        <w:rPr>
          <w:rFonts w:ascii="宋体" w:hAnsi="宋体"/>
          <w:szCs w:val="21"/>
        </w:rPr>
      </w:pPr>
      <w:r>
        <w:rPr>
          <w:rFonts w:hint="eastAsia" w:ascii="宋体" w:hAnsi="宋体" w:cs="宋体"/>
          <w:szCs w:val="21"/>
        </w:rPr>
        <w:t>第</w:t>
      </w:r>
      <w:r>
        <w:rPr>
          <w:rFonts w:hint="eastAsia" w:ascii="宋体" w:hAnsi="宋体" w:cs="宋体"/>
          <w:szCs w:val="21"/>
          <w:lang w:val="en-US" w:eastAsia="zh-CN"/>
        </w:rPr>
        <w:t>六</w:t>
      </w:r>
      <w:r>
        <w:rPr>
          <w:rFonts w:hint="eastAsia" w:ascii="宋体" w:hAnsi="宋体" w:cs="宋体"/>
          <w:szCs w:val="21"/>
        </w:rPr>
        <w:t>章　</w:t>
      </w:r>
      <w:r>
        <w:rPr>
          <w:rFonts w:hint="eastAsia" w:ascii="宋体" w:hAnsi="宋体" w:cs="宋体"/>
          <w:szCs w:val="21"/>
          <w:lang w:eastAsia="zh-CN"/>
        </w:rPr>
        <w:t>遴选响应方</w:t>
      </w:r>
      <w:r>
        <w:rPr>
          <w:rFonts w:hint="eastAsia" w:ascii="宋体" w:hAnsi="宋体" w:cs="宋体"/>
          <w:szCs w:val="21"/>
          <w:lang w:eastAsia="zh-TW"/>
        </w:rPr>
        <w:t>须知</w:t>
      </w:r>
    </w:p>
    <w:p w14:paraId="4D5ABDDA">
      <w:pPr>
        <w:numPr>
          <w:ilvl w:val="1"/>
          <w:numId w:val="14"/>
        </w:numPr>
        <w:autoSpaceDE w:val="0"/>
        <w:autoSpaceDN w:val="0"/>
        <w:adjustRightInd w:val="0"/>
        <w:snapToGrid w:val="0"/>
        <w:spacing w:line="360" w:lineRule="auto"/>
        <w:jc w:val="left"/>
        <w:rPr>
          <w:rFonts w:ascii="宋体" w:hAnsi="宋体" w:cs="宋体"/>
          <w:szCs w:val="21"/>
          <w:lang w:eastAsia="zh-TW"/>
        </w:rPr>
      </w:pPr>
      <w:r>
        <w:rPr>
          <w:rFonts w:hint="eastAsia" w:ascii="宋体" w:hAnsi="宋体" w:cs="宋体"/>
          <w:szCs w:val="21"/>
        </w:rPr>
        <w:t>本</w:t>
      </w:r>
      <w:r>
        <w:rPr>
          <w:rFonts w:hint="eastAsia" w:ascii="宋体" w:hAnsi="宋体" w:cs="宋体"/>
          <w:szCs w:val="21"/>
          <w:lang w:val="en-US" w:eastAsia="zh-CN"/>
        </w:rPr>
        <w:t>遴选文件</w:t>
      </w:r>
      <w:r>
        <w:rPr>
          <w:rFonts w:hint="eastAsia" w:ascii="宋体" w:hAnsi="宋体" w:cs="宋体"/>
          <w:szCs w:val="21"/>
          <w:lang w:eastAsia="zh-TW"/>
        </w:rPr>
        <w:t>的解释权归</w:t>
      </w:r>
      <w:r>
        <w:rPr>
          <w:rFonts w:hint="eastAsia" w:ascii="宋体" w:hAnsi="宋体" w:cs="宋体"/>
          <w:szCs w:val="21"/>
          <w:lang w:val="en-US" w:eastAsia="zh-CN"/>
        </w:rPr>
        <w:t>采购人</w:t>
      </w:r>
      <w:r>
        <w:rPr>
          <w:rFonts w:hint="eastAsia" w:ascii="宋体" w:hAnsi="宋体" w:cs="宋体"/>
          <w:szCs w:val="21"/>
          <w:lang w:eastAsia="zh-TW"/>
        </w:rPr>
        <w:t>所有。</w:t>
      </w:r>
    </w:p>
    <w:p w14:paraId="2D32354E">
      <w:pPr>
        <w:numPr>
          <w:ilvl w:val="0"/>
          <w:numId w:val="14"/>
        </w:numPr>
        <w:autoSpaceDE w:val="0"/>
        <w:autoSpaceDN w:val="0"/>
        <w:adjustRightInd w:val="0"/>
        <w:snapToGrid w:val="0"/>
        <w:spacing w:line="360" w:lineRule="auto"/>
        <w:ind w:left="449" w:hanging="449" w:hangingChars="213"/>
        <w:outlineLvl w:val="9"/>
        <w:rPr>
          <w:rFonts w:ascii="宋体" w:hAnsi="宋体"/>
          <w:b/>
          <w:bCs/>
          <w:szCs w:val="21"/>
        </w:rPr>
      </w:pPr>
      <w:bookmarkStart w:id="148" w:name="_Toc9423"/>
      <w:r>
        <w:rPr>
          <w:rFonts w:hint="eastAsia" w:ascii="宋体" w:hAnsi="宋体"/>
          <w:b/>
          <w:bCs/>
          <w:szCs w:val="21"/>
          <w:lang w:val="en-US" w:eastAsia="zh-CN"/>
        </w:rPr>
        <w:t>遴选文件</w:t>
      </w:r>
      <w:r>
        <w:rPr>
          <w:rFonts w:hint="eastAsia" w:ascii="宋体" w:hAnsi="宋体"/>
          <w:b/>
          <w:bCs/>
          <w:szCs w:val="21"/>
        </w:rPr>
        <w:t>的澄清或修改</w:t>
      </w:r>
      <w:bookmarkEnd w:id="148"/>
    </w:p>
    <w:p w14:paraId="7A33B465">
      <w:pPr>
        <w:numPr>
          <w:ilvl w:val="1"/>
          <w:numId w:val="1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采购人可以对已发出的</w:t>
      </w:r>
      <w:r>
        <w:rPr>
          <w:rFonts w:hint="eastAsia" w:ascii="宋体" w:hAnsi="宋体" w:cs="宋体"/>
          <w:szCs w:val="21"/>
          <w:lang w:val="en-US" w:eastAsia="zh-CN"/>
        </w:rPr>
        <w:t>遴选文件</w:t>
      </w:r>
      <w:r>
        <w:rPr>
          <w:rFonts w:hint="eastAsia" w:ascii="宋体" w:hAnsi="宋体" w:cs="宋体"/>
          <w:szCs w:val="21"/>
          <w:lang w:eastAsia="zh-TW"/>
        </w:rPr>
        <w:t>进行必要的澄清或者修改。澄清或者修改应当在原公告发布媒体上发布澄清</w:t>
      </w:r>
      <w:r>
        <w:rPr>
          <w:rFonts w:hint="eastAsia" w:ascii="宋体" w:hAnsi="宋体"/>
          <w:szCs w:val="21"/>
        </w:rPr>
        <w:t>（更正/变更）</w:t>
      </w:r>
      <w:r>
        <w:rPr>
          <w:rFonts w:hint="eastAsia" w:ascii="宋体" w:hAnsi="宋体" w:cs="宋体"/>
          <w:szCs w:val="21"/>
          <w:lang w:eastAsia="zh-TW"/>
        </w:rPr>
        <w:t>公告。</w:t>
      </w:r>
    </w:p>
    <w:p w14:paraId="2C9C7656">
      <w:pPr>
        <w:numPr>
          <w:ilvl w:val="1"/>
          <w:numId w:val="1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无论出于何种原因</w:t>
      </w:r>
      <w:r>
        <w:rPr>
          <w:rFonts w:hint="eastAsia" w:ascii="宋体" w:hAnsi="宋体" w:cs="宋体"/>
          <w:szCs w:val="21"/>
        </w:rPr>
        <w:t>，</w:t>
      </w:r>
      <w:r>
        <w:rPr>
          <w:rFonts w:hint="eastAsia" w:ascii="宋体" w:hAnsi="宋体" w:cs="宋体"/>
          <w:szCs w:val="21"/>
          <w:lang w:eastAsia="zh-TW"/>
        </w:rPr>
        <w:t>采购人可以主动地或在解答</w:t>
      </w:r>
      <w:r>
        <w:rPr>
          <w:rFonts w:hint="eastAsia" w:ascii="宋体" w:hAnsi="宋体" w:cs="宋体"/>
          <w:szCs w:val="21"/>
          <w:lang w:eastAsia="zh-CN"/>
        </w:rPr>
        <w:t>遴选响应方</w:t>
      </w:r>
      <w:r>
        <w:rPr>
          <w:rFonts w:hint="eastAsia" w:ascii="宋体" w:hAnsi="宋体" w:cs="宋体"/>
          <w:szCs w:val="21"/>
          <w:lang w:eastAsia="zh-TW"/>
        </w:rPr>
        <w:t>提出的疑问时对已发出的</w:t>
      </w:r>
      <w:r>
        <w:rPr>
          <w:rFonts w:hint="eastAsia" w:ascii="宋体" w:hAnsi="宋体" w:cs="宋体"/>
          <w:szCs w:val="21"/>
          <w:lang w:val="en-US" w:eastAsia="zh-CN"/>
        </w:rPr>
        <w:t>遴选文件</w:t>
      </w:r>
      <w:r>
        <w:rPr>
          <w:rFonts w:hint="eastAsia" w:ascii="宋体" w:hAnsi="宋体" w:cs="宋体"/>
          <w:szCs w:val="21"/>
          <w:lang w:eastAsia="zh-TW"/>
        </w:rPr>
        <w:t>进行必要的</w:t>
      </w:r>
      <w:r>
        <w:rPr>
          <w:rFonts w:hint="eastAsia" w:ascii="宋体" w:hAnsi="宋体"/>
          <w:szCs w:val="21"/>
        </w:rPr>
        <w:t>澄清或</w:t>
      </w:r>
      <w:r>
        <w:rPr>
          <w:rFonts w:hint="eastAsia" w:ascii="宋体" w:hAnsi="宋体" w:cs="宋体"/>
          <w:szCs w:val="21"/>
          <w:lang w:eastAsia="zh-TW"/>
        </w:rPr>
        <w:t>修改</w:t>
      </w:r>
      <w:r>
        <w:rPr>
          <w:rFonts w:hint="eastAsia" w:ascii="宋体" w:hAnsi="宋体"/>
          <w:szCs w:val="21"/>
        </w:rPr>
        <w:t>（更正）</w:t>
      </w:r>
      <w:r>
        <w:rPr>
          <w:rFonts w:hint="eastAsia" w:ascii="宋体" w:hAnsi="宋体" w:cs="宋体"/>
          <w:szCs w:val="21"/>
        </w:rPr>
        <w:t>的</w:t>
      </w:r>
      <w:r>
        <w:rPr>
          <w:rFonts w:hint="eastAsia" w:ascii="宋体" w:hAnsi="宋体"/>
          <w:szCs w:val="21"/>
        </w:rPr>
        <w:t>，于</w:t>
      </w:r>
      <w:r>
        <w:rPr>
          <w:rFonts w:hint="eastAsia" w:ascii="宋体" w:hAnsi="宋体"/>
          <w:szCs w:val="21"/>
          <w:lang w:eastAsia="zh-CN"/>
        </w:rPr>
        <w:t>遴选响应</w:t>
      </w:r>
      <w:r>
        <w:rPr>
          <w:rFonts w:hint="eastAsia" w:ascii="宋体" w:hAnsi="宋体"/>
          <w:szCs w:val="21"/>
        </w:rPr>
        <w:t>截止时间前在指定媒体上发布公告，并通知所有报名</w:t>
      </w:r>
      <w:r>
        <w:rPr>
          <w:rFonts w:hint="eastAsia" w:ascii="宋体" w:hAnsi="宋体"/>
          <w:szCs w:val="21"/>
          <w:lang w:eastAsia="zh-CN"/>
        </w:rPr>
        <w:t>遴选响应方</w:t>
      </w:r>
      <w:r>
        <w:rPr>
          <w:rFonts w:hint="eastAsia" w:ascii="宋体" w:hAnsi="宋体"/>
          <w:szCs w:val="21"/>
        </w:rPr>
        <w:t>，报名的</w:t>
      </w:r>
      <w:r>
        <w:rPr>
          <w:rFonts w:hint="eastAsia" w:ascii="宋体" w:hAnsi="宋体"/>
          <w:szCs w:val="21"/>
          <w:lang w:eastAsia="zh-CN"/>
        </w:rPr>
        <w:t>遴选响应方</w:t>
      </w:r>
      <w:r>
        <w:rPr>
          <w:rFonts w:hint="eastAsia" w:ascii="宋体" w:hAnsi="宋体"/>
          <w:szCs w:val="21"/>
        </w:rPr>
        <w:t>在收到澄清或修改（更正）通知后应按要求以书面形式（传真有效）予以确认，</w:t>
      </w:r>
      <w:r>
        <w:rPr>
          <w:rFonts w:hint="eastAsia" w:ascii="宋体" w:hAnsi="宋体" w:cs="宋体"/>
          <w:szCs w:val="21"/>
          <w:lang w:eastAsia="zh-TW"/>
        </w:rPr>
        <w:t>如在24小时之内无书面回函则视为同意修改内容，并有责任履行相应的义务。</w:t>
      </w:r>
    </w:p>
    <w:p w14:paraId="09748D99">
      <w:pPr>
        <w:numPr>
          <w:ilvl w:val="1"/>
          <w:numId w:val="1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采购人</w:t>
      </w:r>
      <w:r>
        <w:rPr>
          <w:rFonts w:hint="eastAsia" w:ascii="宋体" w:hAnsi="宋体" w:cs="宋体"/>
          <w:szCs w:val="21"/>
        </w:rPr>
        <w:t>发出的</w:t>
      </w:r>
      <w:r>
        <w:rPr>
          <w:rFonts w:hint="eastAsia" w:ascii="宋体" w:hAnsi="宋体"/>
          <w:szCs w:val="21"/>
        </w:rPr>
        <w:t>澄清或修改（更正/变更）的内容为</w:t>
      </w:r>
      <w:r>
        <w:rPr>
          <w:rFonts w:hint="eastAsia" w:ascii="宋体" w:hAnsi="宋体"/>
          <w:szCs w:val="21"/>
          <w:lang w:val="en-US" w:eastAsia="zh-CN"/>
        </w:rPr>
        <w:t>遴选文件</w:t>
      </w:r>
      <w:r>
        <w:rPr>
          <w:rFonts w:hint="eastAsia" w:ascii="宋体" w:hAnsi="宋体"/>
          <w:szCs w:val="21"/>
        </w:rPr>
        <w:t>的组成部分，</w:t>
      </w:r>
      <w:r>
        <w:rPr>
          <w:rFonts w:hint="eastAsia" w:ascii="宋体" w:hAnsi="宋体" w:cs="宋体"/>
          <w:szCs w:val="21"/>
          <w:lang w:eastAsia="zh-TW"/>
        </w:rPr>
        <w:t>并对供应商具有约束力</w:t>
      </w:r>
      <w:r>
        <w:rPr>
          <w:rFonts w:hint="eastAsia" w:ascii="宋体" w:hAnsi="宋体" w:cs="宋体"/>
          <w:szCs w:val="21"/>
        </w:rPr>
        <w:t>。</w:t>
      </w:r>
    </w:p>
    <w:p w14:paraId="5768DD94">
      <w:pPr>
        <w:numPr>
          <w:ilvl w:val="1"/>
          <w:numId w:val="14"/>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对</w:t>
      </w:r>
      <w:r>
        <w:rPr>
          <w:rFonts w:hint="eastAsia" w:ascii="宋体" w:hAnsi="宋体" w:cs="宋体"/>
          <w:szCs w:val="21"/>
          <w:lang w:val="en-US" w:eastAsia="zh-CN"/>
        </w:rPr>
        <w:t>遴选文件</w:t>
      </w:r>
      <w:r>
        <w:rPr>
          <w:rFonts w:hint="eastAsia" w:ascii="宋体" w:hAnsi="宋体" w:cs="宋体"/>
          <w:szCs w:val="21"/>
          <w:lang w:eastAsia="zh-TW"/>
        </w:rPr>
        <w:t>中描述有歧意或前后不一致的地方，</w:t>
      </w:r>
      <w:r>
        <w:rPr>
          <w:rFonts w:hint="eastAsia" w:ascii="宋体" w:hAnsi="宋体" w:cs="宋体"/>
          <w:szCs w:val="21"/>
          <w:lang w:eastAsia="zh-CN"/>
        </w:rPr>
        <w:t>评审</w:t>
      </w:r>
      <w:r>
        <w:rPr>
          <w:rFonts w:hint="eastAsia" w:ascii="宋体" w:hAnsi="宋体" w:cs="宋体"/>
          <w:szCs w:val="21"/>
          <w:lang w:eastAsia="zh-TW"/>
        </w:rPr>
        <w:t>委员会有权进行评判</w:t>
      </w:r>
      <w:r>
        <w:rPr>
          <w:rFonts w:hint="eastAsia" w:ascii="宋体" w:hAnsi="宋体" w:cs="宋体"/>
          <w:szCs w:val="21"/>
        </w:rPr>
        <w:t>，</w:t>
      </w:r>
      <w:r>
        <w:rPr>
          <w:rFonts w:hint="eastAsia" w:ascii="宋体" w:hAnsi="宋体" w:cs="宋体"/>
          <w:szCs w:val="21"/>
          <w:lang w:eastAsia="zh-TW"/>
        </w:rPr>
        <w:t>但对同一条款的评判应适用于每个</w:t>
      </w:r>
      <w:r>
        <w:rPr>
          <w:rFonts w:hint="eastAsia" w:ascii="宋体" w:hAnsi="宋体" w:cs="宋体"/>
          <w:szCs w:val="21"/>
          <w:lang w:eastAsia="zh-CN"/>
        </w:rPr>
        <w:t>遴选响应方</w:t>
      </w:r>
      <w:r>
        <w:rPr>
          <w:rFonts w:hint="eastAsia" w:ascii="宋体" w:hAnsi="宋体" w:cs="宋体"/>
          <w:szCs w:val="21"/>
          <w:lang w:eastAsia="zh-TW"/>
        </w:rPr>
        <w:t>。</w:t>
      </w:r>
    </w:p>
    <w:p w14:paraId="6D095D0A">
      <w:pPr>
        <w:numPr>
          <w:ilvl w:val="0"/>
          <w:numId w:val="14"/>
        </w:numPr>
        <w:autoSpaceDE w:val="0"/>
        <w:autoSpaceDN w:val="0"/>
        <w:adjustRightInd w:val="0"/>
        <w:snapToGrid w:val="0"/>
        <w:spacing w:line="360" w:lineRule="auto"/>
        <w:ind w:left="449" w:hanging="449" w:hangingChars="213"/>
        <w:outlineLvl w:val="9"/>
        <w:rPr>
          <w:rFonts w:ascii="宋体" w:hAnsi="宋体" w:cs="宋体"/>
          <w:szCs w:val="21"/>
        </w:rPr>
      </w:pPr>
      <w:bookmarkStart w:id="149" w:name="_Toc32090"/>
      <w:r>
        <w:rPr>
          <w:rFonts w:hint="eastAsia" w:ascii="宋体" w:hAnsi="宋体"/>
          <w:b/>
          <w:bCs/>
          <w:szCs w:val="21"/>
        </w:rPr>
        <w:t>现场考察或者召开</w:t>
      </w:r>
      <w:r>
        <w:rPr>
          <w:rFonts w:hint="eastAsia" w:ascii="宋体" w:hAnsi="宋体"/>
          <w:b/>
          <w:bCs/>
          <w:szCs w:val="21"/>
          <w:lang w:eastAsia="zh-CN"/>
        </w:rPr>
        <w:t>遴选</w:t>
      </w:r>
      <w:r>
        <w:rPr>
          <w:rFonts w:hint="eastAsia" w:ascii="宋体" w:hAnsi="宋体"/>
          <w:b/>
          <w:bCs/>
          <w:szCs w:val="21"/>
        </w:rPr>
        <w:t>前答疑会</w:t>
      </w:r>
      <w:bookmarkEnd w:id="149"/>
    </w:p>
    <w:p w14:paraId="1B434684">
      <w:pPr>
        <w:numPr>
          <w:ilvl w:val="1"/>
          <w:numId w:val="14"/>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cs="宋体"/>
          <w:szCs w:val="21"/>
        </w:rPr>
        <w:t>除非</w:t>
      </w:r>
      <w:r>
        <w:rPr>
          <w:rFonts w:hint="eastAsia" w:ascii="宋体" w:hAnsi="宋体" w:cs="黑体"/>
          <w:b/>
          <w:szCs w:val="21"/>
          <w:lang w:eastAsia="zh-CN"/>
        </w:rPr>
        <w:t>遴选响应</w:t>
      </w:r>
      <w:r>
        <w:rPr>
          <w:rFonts w:hint="eastAsia" w:ascii="宋体" w:hAnsi="宋体" w:cs="黑体"/>
          <w:b/>
          <w:szCs w:val="21"/>
        </w:rPr>
        <w:t>资料表</w:t>
      </w:r>
      <w:r>
        <w:rPr>
          <w:rFonts w:hint="eastAsia" w:ascii="宋体" w:hAnsi="宋体" w:cs="宋体"/>
          <w:szCs w:val="21"/>
        </w:rPr>
        <w:t>中另有规定，不举行项目</w:t>
      </w:r>
      <w:r>
        <w:rPr>
          <w:rFonts w:hint="eastAsia" w:ascii="宋体" w:hAnsi="宋体"/>
          <w:bCs/>
          <w:szCs w:val="21"/>
        </w:rPr>
        <w:t>现场考察或者召开</w:t>
      </w:r>
      <w:r>
        <w:rPr>
          <w:rFonts w:hint="eastAsia" w:ascii="宋体" w:hAnsi="宋体"/>
          <w:bCs/>
          <w:szCs w:val="21"/>
          <w:lang w:eastAsia="zh-CN"/>
        </w:rPr>
        <w:t>遴选</w:t>
      </w:r>
      <w:r>
        <w:rPr>
          <w:rFonts w:hint="eastAsia" w:ascii="宋体" w:hAnsi="宋体"/>
          <w:bCs/>
          <w:szCs w:val="21"/>
        </w:rPr>
        <w:t>前答疑会</w:t>
      </w:r>
      <w:r>
        <w:rPr>
          <w:rFonts w:hint="eastAsia" w:ascii="宋体" w:hAnsi="宋体" w:cs="宋体"/>
          <w:szCs w:val="21"/>
        </w:rPr>
        <w:t>，如举行</w:t>
      </w:r>
      <w:r>
        <w:rPr>
          <w:rFonts w:hint="eastAsia" w:ascii="宋体" w:hAnsi="宋体"/>
          <w:bCs/>
          <w:szCs w:val="21"/>
        </w:rPr>
        <w:t>现场考察或者召开</w:t>
      </w:r>
      <w:r>
        <w:rPr>
          <w:rFonts w:hint="eastAsia" w:ascii="宋体" w:hAnsi="宋体"/>
          <w:bCs/>
          <w:szCs w:val="21"/>
          <w:lang w:eastAsia="zh-CN"/>
        </w:rPr>
        <w:t>遴选</w:t>
      </w:r>
      <w:r>
        <w:rPr>
          <w:rFonts w:hint="eastAsia" w:ascii="宋体" w:hAnsi="宋体"/>
          <w:bCs/>
          <w:szCs w:val="21"/>
        </w:rPr>
        <w:t>前答疑会</w:t>
      </w:r>
      <w:r>
        <w:rPr>
          <w:rFonts w:hint="eastAsia" w:ascii="宋体" w:hAnsi="宋体" w:cs="宋体"/>
          <w:szCs w:val="21"/>
        </w:rPr>
        <w:t>的，则按以下规定：</w:t>
      </w:r>
    </w:p>
    <w:p w14:paraId="7EF4EF6B">
      <w:pPr>
        <w:numPr>
          <w:ilvl w:val="2"/>
          <w:numId w:val="14"/>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在</w:t>
      </w:r>
      <w:r>
        <w:rPr>
          <w:rFonts w:hint="eastAsia" w:ascii="宋体" w:hAnsi="宋体" w:cs="黑体"/>
          <w:szCs w:val="21"/>
          <w:lang w:eastAsia="zh-CN"/>
        </w:rPr>
        <w:t>遴选响应</w:t>
      </w:r>
      <w:r>
        <w:rPr>
          <w:rFonts w:hint="eastAsia" w:ascii="宋体" w:hAnsi="宋体" w:cs="黑体"/>
          <w:szCs w:val="21"/>
          <w:lang w:eastAsia="zh-TW"/>
        </w:rPr>
        <w:t>资料表</w:t>
      </w:r>
      <w:r>
        <w:rPr>
          <w:rFonts w:hint="eastAsia" w:ascii="宋体" w:hAnsi="宋体" w:cs="宋体"/>
          <w:szCs w:val="21"/>
        </w:rPr>
        <w:t>中规定的日期、时间和地点组织</w:t>
      </w:r>
      <w:r>
        <w:rPr>
          <w:rFonts w:hint="eastAsia" w:ascii="宋体" w:hAnsi="宋体"/>
          <w:bCs/>
          <w:szCs w:val="21"/>
        </w:rPr>
        <w:t>现场考察或者召开</w:t>
      </w:r>
      <w:r>
        <w:rPr>
          <w:rFonts w:hint="eastAsia" w:ascii="宋体" w:hAnsi="宋体"/>
          <w:bCs/>
          <w:szCs w:val="21"/>
          <w:lang w:eastAsia="zh-CN"/>
        </w:rPr>
        <w:t>遴选</w:t>
      </w:r>
      <w:r>
        <w:rPr>
          <w:rFonts w:hint="eastAsia" w:ascii="宋体" w:hAnsi="宋体"/>
          <w:bCs/>
          <w:szCs w:val="21"/>
        </w:rPr>
        <w:t>前答疑会</w:t>
      </w:r>
      <w:r>
        <w:rPr>
          <w:rFonts w:hint="eastAsia" w:ascii="宋体" w:hAnsi="宋体" w:cs="宋体"/>
          <w:szCs w:val="21"/>
        </w:rPr>
        <w:t>；</w:t>
      </w:r>
    </w:p>
    <w:p w14:paraId="1591E84A">
      <w:pPr>
        <w:numPr>
          <w:ilvl w:val="2"/>
          <w:numId w:val="14"/>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rPr>
        <w:t>供应商</w:t>
      </w:r>
      <w:r>
        <w:rPr>
          <w:rFonts w:hint="eastAsia" w:ascii="宋体" w:hAnsi="宋体" w:cs="宋体"/>
          <w:szCs w:val="21"/>
          <w:lang w:eastAsia="zh-TW"/>
        </w:rPr>
        <w:t>对本项目提出的疑问，</w:t>
      </w:r>
      <w:r>
        <w:rPr>
          <w:rFonts w:hint="eastAsia" w:ascii="宋体" w:hAnsi="宋体" w:cs="宋体"/>
          <w:szCs w:val="21"/>
        </w:rPr>
        <w:t>可</w:t>
      </w:r>
      <w:r>
        <w:rPr>
          <w:rFonts w:hint="eastAsia" w:ascii="宋体" w:hAnsi="宋体" w:cs="宋体"/>
          <w:szCs w:val="21"/>
          <w:lang w:eastAsia="zh-TW"/>
        </w:rPr>
        <w:t>在</w:t>
      </w:r>
      <w:r>
        <w:rPr>
          <w:rFonts w:hint="eastAsia" w:ascii="宋体" w:hAnsi="宋体"/>
          <w:bCs/>
          <w:szCs w:val="21"/>
        </w:rPr>
        <w:t>现场考察或者召开</w:t>
      </w:r>
      <w:r>
        <w:rPr>
          <w:rFonts w:hint="eastAsia" w:ascii="宋体" w:hAnsi="宋体"/>
          <w:bCs/>
          <w:szCs w:val="21"/>
          <w:lang w:eastAsia="zh-CN"/>
        </w:rPr>
        <w:t>遴选</w:t>
      </w:r>
      <w:r>
        <w:rPr>
          <w:rFonts w:hint="eastAsia" w:ascii="宋体" w:hAnsi="宋体"/>
          <w:bCs/>
          <w:szCs w:val="21"/>
        </w:rPr>
        <w:t>前答疑会</w:t>
      </w:r>
      <w:r>
        <w:rPr>
          <w:rFonts w:hint="eastAsia" w:ascii="宋体" w:hAnsi="宋体" w:cs="宋体"/>
          <w:szCs w:val="21"/>
          <w:lang w:eastAsia="zh-TW"/>
        </w:rPr>
        <w:t>召开日前至少一个工作日将问题清单以书面形式（加盖公章）提交至</w:t>
      </w:r>
      <w:r>
        <w:rPr>
          <w:rFonts w:hint="eastAsia" w:ascii="宋体" w:hAnsi="宋体" w:cs="宋体"/>
          <w:szCs w:val="21"/>
          <w:lang w:val="en-US" w:eastAsia="zh-CN"/>
        </w:rPr>
        <w:t>采购人</w:t>
      </w:r>
      <w:r>
        <w:rPr>
          <w:rFonts w:hint="eastAsia" w:ascii="宋体" w:hAnsi="宋体" w:cs="宋体"/>
          <w:szCs w:val="21"/>
          <w:lang w:eastAsia="zh-TW"/>
        </w:rPr>
        <w:t>。</w:t>
      </w:r>
    </w:p>
    <w:p w14:paraId="198921A6">
      <w:pPr>
        <w:pStyle w:val="3"/>
        <w:numPr>
          <w:ilvl w:val="0"/>
          <w:numId w:val="13"/>
        </w:numPr>
        <w:spacing w:line="240" w:lineRule="auto"/>
        <w:jc w:val="center"/>
        <w:rPr>
          <w:rFonts w:asciiTheme="majorEastAsia" w:hAnsiTheme="majorEastAsia" w:eastAsiaTheme="majorEastAsia"/>
          <w:sz w:val="30"/>
          <w:szCs w:val="30"/>
          <w:lang w:eastAsia="zh-TW"/>
        </w:rPr>
      </w:pPr>
      <w:bookmarkStart w:id="150" w:name="_Toc435174935"/>
      <w:bookmarkStart w:id="151" w:name="_Toc435516652"/>
      <w:bookmarkStart w:id="152" w:name="_Toc109893904"/>
      <w:bookmarkStart w:id="153" w:name="_Toc438223138"/>
      <w:bookmarkStart w:id="154" w:name="_Toc15510"/>
      <w:bookmarkStart w:id="155" w:name="_Toc27793"/>
      <w:bookmarkStart w:id="156" w:name="_Toc20572"/>
      <w:r>
        <w:rPr>
          <w:rFonts w:hint="eastAsia" w:asciiTheme="majorEastAsia" w:hAnsiTheme="majorEastAsia" w:eastAsiaTheme="majorEastAsia"/>
          <w:sz w:val="30"/>
          <w:szCs w:val="30"/>
          <w:lang w:eastAsia="zh-CN"/>
        </w:rPr>
        <w:t>遴选响应文件</w:t>
      </w:r>
      <w:r>
        <w:rPr>
          <w:rFonts w:hint="eastAsia" w:asciiTheme="majorEastAsia" w:hAnsiTheme="majorEastAsia" w:eastAsiaTheme="majorEastAsia"/>
          <w:sz w:val="30"/>
          <w:szCs w:val="30"/>
          <w:lang w:eastAsia="zh-TW"/>
        </w:rPr>
        <w:t>的编制</w:t>
      </w:r>
      <w:bookmarkEnd w:id="150"/>
      <w:bookmarkEnd w:id="151"/>
      <w:bookmarkEnd w:id="152"/>
      <w:bookmarkEnd w:id="153"/>
      <w:bookmarkEnd w:id="154"/>
      <w:bookmarkEnd w:id="155"/>
      <w:bookmarkEnd w:id="156"/>
    </w:p>
    <w:p w14:paraId="3CDC8AB6">
      <w:pPr>
        <w:numPr>
          <w:ilvl w:val="0"/>
          <w:numId w:val="14"/>
        </w:numPr>
        <w:autoSpaceDE w:val="0"/>
        <w:autoSpaceDN w:val="0"/>
        <w:adjustRightInd w:val="0"/>
        <w:snapToGrid w:val="0"/>
        <w:spacing w:line="360" w:lineRule="auto"/>
        <w:ind w:left="449" w:hanging="449" w:hangingChars="213"/>
        <w:outlineLvl w:val="9"/>
        <w:rPr>
          <w:rFonts w:ascii="宋体" w:hAnsi="宋体"/>
          <w:b/>
          <w:bCs/>
          <w:szCs w:val="21"/>
        </w:rPr>
      </w:pPr>
      <w:bookmarkStart w:id="157" w:name="_Toc27317"/>
      <w:r>
        <w:rPr>
          <w:rFonts w:hint="eastAsia" w:ascii="宋体" w:hAnsi="宋体"/>
          <w:b/>
          <w:bCs/>
          <w:szCs w:val="21"/>
        </w:rPr>
        <w:t>语言</w:t>
      </w:r>
      <w:bookmarkEnd w:id="157"/>
    </w:p>
    <w:p w14:paraId="73C244CD">
      <w:pPr>
        <w:numPr>
          <w:ilvl w:val="1"/>
          <w:numId w:val="1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CN"/>
        </w:rPr>
        <w:t>遴选响应方</w:t>
      </w:r>
      <w:r>
        <w:rPr>
          <w:rFonts w:hint="eastAsia" w:ascii="宋体" w:hAnsi="宋体" w:cs="宋体"/>
          <w:szCs w:val="21"/>
          <w:lang w:eastAsia="zh-TW"/>
        </w:rPr>
        <w:t>提交的</w:t>
      </w:r>
      <w:r>
        <w:rPr>
          <w:rFonts w:hint="eastAsia" w:ascii="宋体" w:hAnsi="宋体" w:cs="宋体"/>
          <w:szCs w:val="21"/>
          <w:lang w:eastAsia="zh-CN"/>
        </w:rPr>
        <w:t>遴选响应文件</w:t>
      </w:r>
      <w:r>
        <w:rPr>
          <w:rFonts w:hint="eastAsia" w:ascii="宋体" w:hAnsi="宋体" w:cs="宋体"/>
          <w:szCs w:val="21"/>
          <w:lang w:eastAsia="zh-TW"/>
        </w:rPr>
        <w:t>以及</w:t>
      </w:r>
      <w:r>
        <w:rPr>
          <w:rFonts w:hint="eastAsia" w:ascii="宋体" w:hAnsi="宋体" w:cs="宋体"/>
          <w:szCs w:val="21"/>
          <w:lang w:eastAsia="zh-CN"/>
        </w:rPr>
        <w:t>遴选响应方</w:t>
      </w:r>
      <w:r>
        <w:rPr>
          <w:rFonts w:hint="eastAsia" w:ascii="宋体" w:hAnsi="宋体" w:cs="宋体"/>
          <w:szCs w:val="21"/>
          <w:lang w:eastAsia="zh-TW"/>
        </w:rPr>
        <w:t>与采购人就有关</w:t>
      </w:r>
      <w:r>
        <w:rPr>
          <w:rFonts w:hint="eastAsia" w:ascii="宋体" w:hAnsi="宋体" w:cs="宋体"/>
          <w:szCs w:val="21"/>
          <w:lang w:val="en-US" w:eastAsia="zh-CN"/>
        </w:rPr>
        <w:t>遴选活动</w:t>
      </w:r>
      <w:r>
        <w:rPr>
          <w:rFonts w:hint="eastAsia" w:ascii="宋体" w:hAnsi="宋体" w:cs="宋体"/>
          <w:szCs w:val="21"/>
          <w:lang w:eastAsia="zh-TW"/>
        </w:rPr>
        <w:t>的所有来往函电均应使用中文书写</w:t>
      </w:r>
      <w:r>
        <w:rPr>
          <w:rFonts w:hint="eastAsia" w:ascii="宋体" w:hAnsi="宋体" w:cs="宋体"/>
          <w:szCs w:val="21"/>
        </w:rPr>
        <w:t>。</w:t>
      </w:r>
      <w:r>
        <w:rPr>
          <w:rFonts w:hint="eastAsia" w:ascii="宋体" w:hAnsi="宋体" w:cs="宋体"/>
          <w:szCs w:val="21"/>
          <w:lang w:eastAsia="zh-CN"/>
        </w:rPr>
        <w:t>遴选响应方</w:t>
      </w:r>
      <w:r>
        <w:rPr>
          <w:rFonts w:hint="eastAsia" w:ascii="宋体" w:hAnsi="宋体" w:cs="宋体"/>
          <w:szCs w:val="21"/>
          <w:lang w:eastAsia="zh-TW"/>
        </w:rPr>
        <w:t>提交的支持文件或印刷的资料可以用另一种语言</w:t>
      </w:r>
      <w:r>
        <w:rPr>
          <w:rFonts w:hint="eastAsia" w:ascii="宋体" w:hAnsi="宋体" w:cs="宋体"/>
          <w:szCs w:val="21"/>
        </w:rPr>
        <w:t>，</w:t>
      </w:r>
      <w:r>
        <w:rPr>
          <w:rFonts w:hint="eastAsia" w:ascii="宋体" w:hAnsi="宋体" w:cs="宋体"/>
          <w:szCs w:val="21"/>
          <w:lang w:eastAsia="zh-TW"/>
        </w:rPr>
        <w:t>但相应内容应附有中文翻译本</w:t>
      </w:r>
      <w:r>
        <w:rPr>
          <w:rFonts w:hint="eastAsia" w:ascii="宋体" w:hAnsi="宋体" w:cs="宋体"/>
          <w:szCs w:val="21"/>
        </w:rPr>
        <w:t>，由翻译机构盖章或者翻译人员签名。</w:t>
      </w:r>
      <w:r>
        <w:rPr>
          <w:rFonts w:hint="eastAsia" w:ascii="宋体" w:hAnsi="宋体"/>
        </w:rPr>
        <w:t>两种语言不一致时以中文翻译本为准。</w:t>
      </w:r>
    </w:p>
    <w:p w14:paraId="7ED660C2">
      <w:pPr>
        <w:numPr>
          <w:ilvl w:val="0"/>
          <w:numId w:val="14"/>
        </w:numPr>
        <w:autoSpaceDE w:val="0"/>
        <w:autoSpaceDN w:val="0"/>
        <w:adjustRightInd w:val="0"/>
        <w:snapToGrid w:val="0"/>
        <w:spacing w:line="360" w:lineRule="auto"/>
        <w:ind w:left="449" w:hanging="449" w:hangingChars="213"/>
        <w:outlineLvl w:val="9"/>
        <w:rPr>
          <w:rFonts w:ascii="宋体" w:hAnsi="宋体"/>
          <w:b/>
          <w:bCs/>
          <w:szCs w:val="21"/>
        </w:rPr>
      </w:pPr>
      <w:bookmarkStart w:id="158" w:name="_Toc2446"/>
      <w:r>
        <w:rPr>
          <w:rFonts w:hint="eastAsia" w:ascii="宋体" w:hAnsi="宋体"/>
          <w:b/>
          <w:bCs/>
          <w:szCs w:val="21"/>
          <w:lang w:eastAsia="zh-CN"/>
        </w:rPr>
        <w:t>遴选响应文件</w:t>
      </w:r>
      <w:r>
        <w:rPr>
          <w:rFonts w:hint="eastAsia" w:ascii="宋体" w:hAnsi="宋体"/>
          <w:b/>
          <w:bCs/>
          <w:szCs w:val="21"/>
        </w:rPr>
        <w:t>的构成</w:t>
      </w:r>
      <w:bookmarkEnd w:id="158"/>
    </w:p>
    <w:p w14:paraId="014AEF16">
      <w:pPr>
        <w:numPr>
          <w:ilvl w:val="1"/>
          <w:numId w:val="1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CN"/>
        </w:rPr>
        <w:t>遴选响应方</w:t>
      </w:r>
      <w:r>
        <w:rPr>
          <w:rFonts w:hint="eastAsia" w:ascii="宋体" w:hAnsi="宋体" w:cs="宋体"/>
          <w:szCs w:val="21"/>
          <w:lang w:eastAsia="zh-TW"/>
        </w:rPr>
        <w:t>编写的</w:t>
      </w:r>
      <w:r>
        <w:rPr>
          <w:rFonts w:hint="eastAsia" w:ascii="宋体" w:hAnsi="宋体" w:cs="宋体"/>
          <w:szCs w:val="21"/>
          <w:lang w:eastAsia="zh-CN"/>
        </w:rPr>
        <w:t>遴选响应文件</w:t>
      </w:r>
      <w:r>
        <w:rPr>
          <w:rFonts w:hint="eastAsia" w:ascii="宋体" w:hAnsi="宋体" w:cs="宋体"/>
          <w:szCs w:val="21"/>
          <w:lang w:eastAsia="zh-TW"/>
        </w:rPr>
        <w:t>应包括</w:t>
      </w:r>
      <w:r>
        <w:rPr>
          <w:rFonts w:hint="eastAsia" w:ascii="宋体" w:hAnsi="宋体" w:cs="宋体"/>
          <w:szCs w:val="21"/>
        </w:rPr>
        <w:t>资格性文件、符合性文件、技术文件、商务文件等</w:t>
      </w:r>
      <w:r>
        <w:rPr>
          <w:rFonts w:hint="eastAsia" w:ascii="宋体" w:hAnsi="宋体" w:cs="宋体"/>
          <w:szCs w:val="21"/>
          <w:lang w:eastAsia="zh-TW"/>
        </w:rPr>
        <w:t>，编排顺序参见</w:t>
      </w:r>
      <w:r>
        <w:rPr>
          <w:rFonts w:hint="eastAsia" w:ascii="宋体" w:hAnsi="宋体" w:cs="宋体"/>
          <w:szCs w:val="21"/>
          <w:lang w:val="en-US" w:eastAsia="zh-CN"/>
        </w:rPr>
        <w:t>遴选文件</w:t>
      </w:r>
      <w:r>
        <w:rPr>
          <w:rFonts w:hint="eastAsia" w:ascii="宋体" w:hAnsi="宋体" w:cs="宋体"/>
          <w:szCs w:val="21"/>
          <w:lang w:eastAsia="zh-TW"/>
        </w:rPr>
        <w:t>格式</w:t>
      </w:r>
      <w:r>
        <w:rPr>
          <w:rFonts w:hint="eastAsia" w:ascii="宋体" w:hAnsi="宋体" w:cs="宋体"/>
          <w:szCs w:val="21"/>
        </w:rPr>
        <w:t>。</w:t>
      </w:r>
    </w:p>
    <w:p w14:paraId="32C2D52B">
      <w:pPr>
        <w:numPr>
          <w:ilvl w:val="1"/>
          <w:numId w:val="1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CN"/>
        </w:rPr>
        <w:t>遴选响应文件</w:t>
      </w:r>
      <w:r>
        <w:rPr>
          <w:rFonts w:hint="eastAsia" w:ascii="宋体" w:hAnsi="宋体" w:cs="宋体"/>
          <w:szCs w:val="21"/>
          <w:lang w:eastAsia="zh-TW"/>
        </w:rPr>
        <w:t>的构成应符合法律法规及</w:t>
      </w:r>
      <w:r>
        <w:rPr>
          <w:rFonts w:hint="eastAsia" w:ascii="宋体" w:hAnsi="宋体" w:cs="宋体"/>
          <w:szCs w:val="21"/>
          <w:lang w:val="en-US" w:eastAsia="zh-CN"/>
        </w:rPr>
        <w:t>遴选文件</w:t>
      </w:r>
      <w:r>
        <w:rPr>
          <w:rFonts w:hint="eastAsia" w:ascii="宋体" w:hAnsi="宋体" w:cs="宋体"/>
          <w:szCs w:val="21"/>
          <w:lang w:eastAsia="zh-TW"/>
        </w:rPr>
        <w:t>的要求。</w:t>
      </w:r>
    </w:p>
    <w:p w14:paraId="7778929C">
      <w:pPr>
        <w:numPr>
          <w:ilvl w:val="0"/>
          <w:numId w:val="14"/>
        </w:numPr>
        <w:autoSpaceDE w:val="0"/>
        <w:autoSpaceDN w:val="0"/>
        <w:adjustRightInd w:val="0"/>
        <w:snapToGrid w:val="0"/>
        <w:spacing w:line="360" w:lineRule="auto"/>
        <w:ind w:left="449" w:hanging="449" w:hangingChars="213"/>
        <w:outlineLvl w:val="9"/>
        <w:rPr>
          <w:rFonts w:ascii="宋体" w:hAnsi="宋体"/>
          <w:b/>
          <w:bCs/>
          <w:szCs w:val="21"/>
        </w:rPr>
      </w:pPr>
      <w:bookmarkStart w:id="159" w:name="_Toc11091"/>
      <w:r>
        <w:rPr>
          <w:rFonts w:hint="eastAsia" w:ascii="宋体" w:hAnsi="宋体"/>
          <w:b/>
          <w:bCs/>
          <w:szCs w:val="21"/>
          <w:lang w:eastAsia="zh-CN"/>
        </w:rPr>
        <w:t>遴选响应文件</w:t>
      </w:r>
      <w:r>
        <w:rPr>
          <w:rFonts w:hint="eastAsia" w:ascii="宋体" w:hAnsi="宋体"/>
          <w:b/>
          <w:bCs/>
          <w:szCs w:val="21"/>
        </w:rPr>
        <w:t>的编写</w:t>
      </w:r>
      <w:bookmarkEnd w:id="159"/>
    </w:p>
    <w:p w14:paraId="679D54A8">
      <w:pPr>
        <w:numPr>
          <w:ilvl w:val="1"/>
          <w:numId w:val="14"/>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CN"/>
        </w:rPr>
        <w:t>遴选响应方</w:t>
      </w:r>
      <w:r>
        <w:rPr>
          <w:rFonts w:hint="eastAsia" w:ascii="宋体" w:hAnsi="宋体" w:cs="宋体"/>
          <w:szCs w:val="21"/>
          <w:lang w:eastAsia="zh-TW"/>
        </w:rPr>
        <w:t>对</w:t>
      </w:r>
      <w:r>
        <w:rPr>
          <w:rFonts w:hint="eastAsia" w:ascii="宋体" w:hAnsi="宋体" w:cs="宋体"/>
          <w:szCs w:val="21"/>
          <w:lang w:val="en-US" w:eastAsia="zh-CN"/>
        </w:rPr>
        <w:t>遴选文件</w:t>
      </w:r>
      <w:r>
        <w:rPr>
          <w:rFonts w:hint="eastAsia" w:ascii="宋体" w:hAnsi="宋体" w:cs="宋体"/>
          <w:szCs w:val="21"/>
          <w:lang w:eastAsia="zh-TW"/>
        </w:rPr>
        <w:t>中多个包组进行</w:t>
      </w:r>
      <w:r>
        <w:rPr>
          <w:rFonts w:hint="eastAsia" w:ascii="宋体" w:hAnsi="宋体" w:cs="宋体"/>
          <w:szCs w:val="21"/>
          <w:lang w:eastAsia="zh-CN"/>
        </w:rPr>
        <w:t>遴选响应</w:t>
      </w:r>
      <w:r>
        <w:rPr>
          <w:rFonts w:hint="eastAsia" w:ascii="宋体" w:hAnsi="宋体" w:cs="宋体"/>
          <w:szCs w:val="21"/>
          <w:lang w:eastAsia="zh-TW"/>
        </w:rPr>
        <w:t>的</w:t>
      </w:r>
      <w:r>
        <w:rPr>
          <w:rFonts w:hint="eastAsia" w:ascii="宋体" w:hAnsi="宋体" w:cs="宋体"/>
          <w:szCs w:val="21"/>
        </w:rPr>
        <w:t>，</w:t>
      </w:r>
      <w:r>
        <w:rPr>
          <w:rFonts w:hint="eastAsia" w:ascii="宋体" w:hAnsi="宋体" w:cs="宋体"/>
          <w:szCs w:val="21"/>
          <w:lang w:eastAsia="zh-TW"/>
        </w:rPr>
        <w:t>其</w:t>
      </w:r>
      <w:r>
        <w:rPr>
          <w:rFonts w:hint="eastAsia" w:ascii="宋体" w:hAnsi="宋体" w:cs="宋体"/>
          <w:szCs w:val="21"/>
          <w:lang w:eastAsia="zh-CN"/>
        </w:rPr>
        <w:t>遴选响应文件</w:t>
      </w:r>
      <w:r>
        <w:rPr>
          <w:rFonts w:hint="eastAsia" w:ascii="宋体" w:hAnsi="宋体" w:cs="宋体"/>
          <w:szCs w:val="21"/>
          <w:lang w:eastAsia="zh-TW"/>
        </w:rPr>
        <w:t>的编制</w:t>
      </w:r>
      <w:r>
        <w:rPr>
          <w:rFonts w:hint="eastAsia" w:ascii="宋体" w:hAnsi="宋体" w:cs="宋体"/>
          <w:szCs w:val="21"/>
        </w:rPr>
        <w:t>可按</w:t>
      </w:r>
      <w:r>
        <w:rPr>
          <w:rFonts w:hint="eastAsia" w:ascii="宋体" w:hAnsi="宋体" w:cs="宋体"/>
          <w:szCs w:val="21"/>
          <w:lang w:eastAsia="zh-TW"/>
        </w:rPr>
        <w:t>每个包组的要求分别装订和</w:t>
      </w:r>
      <w:r>
        <w:rPr>
          <w:rFonts w:hint="eastAsia" w:ascii="宋体" w:hAnsi="宋体" w:cs="宋体"/>
          <w:szCs w:val="21"/>
        </w:rPr>
        <w:t>密封</w:t>
      </w:r>
      <w:r>
        <w:rPr>
          <w:rFonts w:hint="eastAsia" w:ascii="宋体" w:hAnsi="宋体" w:cs="宋体"/>
          <w:szCs w:val="21"/>
          <w:lang w:eastAsia="zh-TW"/>
        </w:rPr>
        <w:t>。</w:t>
      </w:r>
      <w:r>
        <w:rPr>
          <w:rFonts w:hint="eastAsia" w:ascii="宋体" w:hAnsi="宋体" w:cs="宋体"/>
          <w:szCs w:val="21"/>
          <w:lang w:eastAsia="zh-CN"/>
        </w:rPr>
        <w:t>遴选响应方</w:t>
      </w:r>
      <w:r>
        <w:rPr>
          <w:rFonts w:hint="eastAsia" w:ascii="宋体" w:hAnsi="宋体" w:cs="宋体"/>
          <w:szCs w:val="21"/>
          <w:lang w:eastAsia="zh-TW"/>
        </w:rPr>
        <w:t>应当对</w:t>
      </w:r>
      <w:r>
        <w:rPr>
          <w:rFonts w:hint="eastAsia" w:ascii="宋体" w:hAnsi="宋体" w:cs="宋体"/>
          <w:szCs w:val="21"/>
          <w:lang w:eastAsia="zh-CN"/>
        </w:rPr>
        <w:t>遴选响应文件</w:t>
      </w:r>
      <w:r>
        <w:rPr>
          <w:rFonts w:hint="eastAsia" w:ascii="宋体" w:hAnsi="宋体" w:cs="宋体"/>
          <w:szCs w:val="21"/>
          <w:lang w:eastAsia="zh-TW"/>
        </w:rPr>
        <w:t>进行装订，对未经装订的</w:t>
      </w:r>
      <w:r>
        <w:rPr>
          <w:rFonts w:hint="eastAsia" w:ascii="宋体" w:hAnsi="宋体" w:cs="宋体"/>
          <w:szCs w:val="21"/>
          <w:lang w:eastAsia="zh-CN"/>
        </w:rPr>
        <w:t>遴选响应文件</w:t>
      </w:r>
      <w:r>
        <w:rPr>
          <w:rFonts w:hint="eastAsia" w:ascii="宋体" w:hAnsi="宋体" w:cs="宋体"/>
          <w:szCs w:val="21"/>
          <w:lang w:eastAsia="zh-TW"/>
        </w:rPr>
        <w:t>可能发生的文件散落或缺损，由此造成的后果</w:t>
      </w:r>
      <w:r>
        <w:rPr>
          <w:rFonts w:hint="eastAsia" w:ascii="宋体" w:hAnsi="宋体" w:cs="宋体"/>
          <w:szCs w:val="21"/>
        </w:rPr>
        <w:t>和</w:t>
      </w:r>
      <w:r>
        <w:rPr>
          <w:rFonts w:hint="eastAsia" w:ascii="宋体" w:hAnsi="宋体" w:cs="宋体"/>
          <w:szCs w:val="21"/>
          <w:lang w:eastAsia="zh-TW"/>
        </w:rPr>
        <w:t>责任由</w:t>
      </w:r>
      <w:r>
        <w:rPr>
          <w:rFonts w:hint="eastAsia" w:ascii="宋体" w:hAnsi="宋体" w:cs="宋体"/>
          <w:szCs w:val="21"/>
          <w:lang w:eastAsia="zh-CN"/>
        </w:rPr>
        <w:t>遴选响应方</w:t>
      </w:r>
      <w:r>
        <w:rPr>
          <w:rFonts w:hint="eastAsia" w:ascii="宋体" w:hAnsi="宋体" w:cs="宋体"/>
          <w:szCs w:val="21"/>
          <w:lang w:eastAsia="zh-TW"/>
        </w:rPr>
        <w:t>承担</w:t>
      </w:r>
      <w:r>
        <w:rPr>
          <w:rFonts w:hint="eastAsia" w:ascii="宋体" w:hAnsi="宋体" w:cs="宋体"/>
          <w:szCs w:val="21"/>
        </w:rPr>
        <w:t>。</w:t>
      </w:r>
    </w:p>
    <w:p w14:paraId="19C59B82">
      <w:pPr>
        <w:numPr>
          <w:ilvl w:val="1"/>
          <w:numId w:val="14"/>
        </w:numPr>
        <w:tabs>
          <w:tab w:val="left" w:pos="709"/>
        </w:tabs>
        <w:autoSpaceDE w:val="0"/>
        <w:autoSpaceDN w:val="0"/>
        <w:adjustRightInd w:val="0"/>
        <w:snapToGrid w:val="0"/>
        <w:spacing w:line="360" w:lineRule="auto"/>
        <w:rPr>
          <w:rFonts w:ascii="宋体" w:hAnsi="宋体" w:cs="宋体"/>
          <w:szCs w:val="21"/>
        </w:rPr>
      </w:pPr>
      <w:r>
        <w:rPr>
          <w:rFonts w:hint="eastAsia" w:ascii="宋体" w:hAnsi="宋体" w:cs="宋体"/>
          <w:szCs w:val="21"/>
          <w:lang w:eastAsia="zh-CN"/>
        </w:rPr>
        <w:t>遴选响应方</w:t>
      </w:r>
      <w:r>
        <w:rPr>
          <w:rFonts w:hint="eastAsia" w:ascii="宋体" w:hAnsi="宋体" w:cs="宋体"/>
          <w:szCs w:val="21"/>
          <w:lang w:eastAsia="zh-TW"/>
        </w:rPr>
        <w:t>必须对</w:t>
      </w:r>
      <w:r>
        <w:rPr>
          <w:rFonts w:hint="eastAsia" w:ascii="宋体" w:hAnsi="宋体" w:cs="宋体"/>
          <w:szCs w:val="21"/>
          <w:lang w:eastAsia="zh-CN"/>
        </w:rPr>
        <w:t>遴选响应文件</w:t>
      </w:r>
      <w:r>
        <w:rPr>
          <w:rFonts w:hint="eastAsia" w:ascii="宋体" w:hAnsi="宋体" w:cs="宋体"/>
          <w:szCs w:val="21"/>
          <w:lang w:eastAsia="zh-TW"/>
        </w:rPr>
        <w:t>所提供的全部资料的真实性承担法律责任，并无条件接受采购人或者</w:t>
      </w:r>
      <w:r>
        <w:rPr>
          <w:rFonts w:hint="eastAsia" w:ascii="宋体" w:hAnsi="宋体"/>
          <w:szCs w:val="21"/>
        </w:rPr>
        <w:t>政府采购监督管理部门</w:t>
      </w:r>
      <w:r>
        <w:rPr>
          <w:rFonts w:hint="eastAsia" w:ascii="宋体" w:hAnsi="宋体" w:cs="宋体"/>
          <w:szCs w:val="21"/>
          <w:lang w:eastAsia="zh-TW"/>
        </w:rPr>
        <w:t>对其中任何资料进行核实的要求。</w:t>
      </w:r>
    </w:p>
    <w:p w14:paraId="4CEB81F9">
      <w:pPr>
        <w:numPr>
          <w:ilvl w:val="1"/>
          <w:numId w:val="14"/>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如果因为</w:t>
      </w:r>
      <w:r>
        <w:rPr>
          <w:rFonts w:hint="eastAsia" w:ascii="宋体" w:hAnsi="宋体" w:cs="宋体"/>
          <w:szCs w:val="21"/>
          <w:lang w:eastAsia="zh-CN"/>
        </w:rPr>
        <w:t>遴选响应方</w:t>
      </w:r>
      <w:r>
        <w:rPr>
          <w:rFonts w:hint="eastAsia" w:ascii="宋体" w:hAnsi="宋体" w:cs="宋体"/>
          <w:szCs w:val="21"/>
        </w:rPr>
        <w:t>的</w:t>
      </w:r>
      <w:r>
        <w:rPr>
          <w:rFonts w:hint="eastAsia" w:ascii="宋体" w:hAnsi="宋体" w:cs="宋体"/>
          <w:szCs w:val="21"/>
          <w:lang w:eastAsia="zh-CN"/>
        </w:rPr>
        <w:t>遴选响应文件</w:t>
      </w:r>
      <w:r>
        <w:rPr>
          <w:rFonts w:hint="eastAsia" w:ascii="宋体" w:hAnsi="宋体" w:cs="宋体"/>
          <w:szCs w:val="21"/>
          <w:lang w:eastAsia="zh-TW"/>
        </w:rPr>
        <w:t>只填写和提供了本</w:t>
      </w:r>
      <w:r>
        <w:rPr>
          <w:rFonts w:hint="eastAsia" w:ascii="宋体" w:hAnsi="宋体" w:cs="宋体"/>
          <w:szCs w:val="21"/>
          <w:lang w:val="en-US" w:eastAsia="zh-CN"/>
        </w:rPr>
        <w:t>遴选文件</w:t>
      </w:r>
      <w:r>
        <w:rPr>
          <w:rFonts w:hint="eastAsia" w:ascii="宋体" w:hAnsi="宋体" w:cs="宋体"/>
          <w:szCs w:val="21"/>
          <w:lang w:eastAsia="zh-TW"/>
        </w:rPr>
        <w:t>要求的部分内容和附件，或没有提供</w:t>
      </w:r>
      <w:r>
        <w:rPr>
          <w:rFonts w:hint="eastAsia" w:ascii="宋体" w:hAnsi="宋体" w:cs="宋体"/>
          <w:szCs w:val="21"/>
          <w:lang w:val="en-US" w:eastAsia="zh-CN"/>
        </w:rPr>
        <w:t>遴选文件</w:t>
      </w:r>
      <w:r>
        <w:rPr>
          <w:rFonts w:hint="eastAsia" w:ascii="宋体" w:hAnsi="宋体" w:cs="宋体"/>
          <w:szCs w:val="21"/>
          <w:lang w:eastAsia="zh-TW"/>
        </w:rPr>
        <w:t>中所要求的资料及数据，由此造成的后果</w:t>
      </w:r>
      <w:r>
        <w:rPr>
          <w:rFonts w:hint="eastAsia" w:ascii="宋体" w:hAnsi="宋体" w:cs="宋体"/>
          <w:szCs w:val="21"/>
        </w:rPr>
        <w:t>和</w:t>
      </w:r>
      <w:r>
        <w:rPr>
          <w:rFonts w:hint="eastAsia" w:ascii="宋体" w:hAnsi="宋体" w:cs="宋体"/>
          <w:szCs w:val="21"/>
          <w:lang w:eastAsia="zh-TW"/>
        </w:rPr>
        <w:t>责任由</w:t>
      </w:r>
      <w:r>
        <w:rPr>
          <w:rFonts w:hint="eastAsia" w:ascii="宋体" w:hAnsi="宋体" w:cs="宋体"/>
          <w:szCs w:val="21"/>
          <w:lang w:eastAsia="zh-CN"/>
        </w:rPr>
        <w:t>遴选响应方</w:t>
      </w:r>
      <w:r>
        <w:rPr>
          <w:rFonts w:hint="eastAsia" w:ascii="宋体" w:hAnsi="宋体" w:cs="宋体"/>
          <w:szCs w:val="21"/>
          <w:lang w:eastAsia="zh-TW"/>
        </w:rPr>
        <w:t>承担</w:t>
      </w:r>
      <w:r>
        <w:rPr>
          <w:rFonts w:hint="eastAsia" w:ascii="宋体" w:hAnsi="宋体" w:cs="宋体"/>
          <w:szCs w:val="21"/>
        </w:rPr>
        <w:t>。</w:t>
      </w:r>
    </w:p>
    <w:p w14:paraId="01E60CB2">
      <w:pPr>
        <w:numPr>
          <w:ilvl w:val="1"/>
          <w:numId w:val="1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CN"/>
        </w:rPr>
        <w:t>遴选响应方</w:t>
      </w:r>
      <w:r>
        <w:rPr>
          <w:rFonts w:hint="eastAsia" w:ascii="宋体" w:hAnsi="宋体" w:cs="宋体"/>
          <w:szCs w:val="21"/>
          <w:lang w:eastAsia="zh-TW"/>
        </w:rPr>
        <w:t>应认真阅读、并充分理解</w:t>
      </w:r>
      <w:r>
        <w:rPr>
          <w:rFonts w:hint="eastAsia" w:ascii="宋体" w:hAnsi="宋体" w:cs="宋体"/>
          <w:szCs w:val="21"/>
          <w:lang w:val="en-US" w:eastAsia="zh-CN"/>
        </w:rPr>
        <w:t>遴选文件</w:t>
      </w:r>
      <w:r>
        <w:rPr>
          <w:rFonts w:hint="eastAsia" w:ascii="宋体" w:hAnsi="宋体" w:cs="宋体"/>
          <w:szCs w:val="21"/>
          <w:lang w:eastAsia="zh-TW"/>
        </w:rPr>
        <w:t>的全部内容（包括所有的补充、修改内容重要事项、格式、条款和技术规范、参数及要求等）。</w:t>
      </w:r>
      <w:r>
        <w:rPr>
          <w:rFonts w:hint="eastAsia" w:ascii="宋体" w:hAnsi="宋体" w:cs="宋体"/>
          <w:szCs w:val="21"/>
          <w:lang w:eastAsia="zh-CN"/>
        </w:rPr>
        <w:t>遴选响应方</w:t>
      </w:r>
      <w:r>
        <w:rPr>
          <w:rFonts w:hint="eastAsia" w:ascii="宋体" w:hAnsi="宋体" w:cs="宋体"/>
          <w:szCs w:val="21"/>
          <w:lang w:eastAsia="zh-TW"/>
        </w:rPr>
        <w:t>没有按照</w:t>
      </w:r>
      <w:r>
        <w:rPr>
          <w:rFonts w:hint="eastAsia" w:ascii="宋体" w:hAnsi="宋体" w:cs="宋体"/>
          <w:szCs w:val="21"/>
          <w:lang w:val="en-US" w:eastAsia="zh-CN"/>
        </w:rPr>
        <w:t>遴选文件</w:t>
      </w:r>
      <w:r>
        <w:rPr>
          <w:rFonts w:hint="eastAsia" w:ascii="宋体" w:hAnsi="宋体" w:cs="宋体"/>
          <w:szCs w:val="21"/>
          <w:lang w:eastAsia="zh-TW"/>
        </w:rPr>
        <w:t>要求提交资料，或者</w:t>
      </w:r>
      <w:r>
        <w:rPr>
          <w:rFonts w:hint="eastAsia" w:ascii="宋体" w:hAnsi="宋体" w:cs="宋体"/>
          <w:szCs w:val="21"/>
          <w:lang w:eastAsia="zh-CN"/>
        </w:rPr>
        <w:t>遴选响应文件</w:t>
      </w:r>
      <w:r>
        <w:rPr>
          <w:rFonts w:hint="eastAsia" w:ascii="宋体" w:hAnsi="宋体" w:cs="宋体"/>
          <w:szCs w:val="21"/>
          <w:lang w:eastAsia="zh-TW"/>
        </w:rPr>
        <w:t>没有对</w:t>
      </w:r>
      <w:r>
        <w:rPr>
          <w:rFonts w:hint="eastAsia" w:ascii="宋体" w:hAnsi="宋体" w:cs="宋体"/>
          <w:szCs w:val="21"/>
          <w:lang w:val="en-US" w:eastAsia="zh-CN"/>
        </w:rPr>
        <w:t>遴选文件</w:t>
      </w:r>
      <w:r>
        <w:rPr>
          <w:rFonts w:hint="eastAsia" w:ascii="宋体" w:hAnsi="宋体" w:cs="宋体"/>
          <w:szCs w:val="21"/>
          <w:lang w:eastAsia="zh-TW"/>
        </w:rPr>
        <w:t>在各方面都</w:t>
      </w:r>
      <w:r>
        <w:rPr>
          <w:rFonts w:hint="eastAsia" w:ascii="宋体" w:hAnsi="宋体" w:cs="宋体"/>
          <w:szCs w:val="21"/>
        </w:rPr>
        <w:t>作</w:t>
      </w:r>
      <w:r>
        <w:rPr>
          <w:rFonts w:hint="eastAsia" w:ascii="宋体" w:hAnsi="宋体" w:cs="宋体"/>
          <w:szCs w:val="21"/>
          <w:lang w:eastAsia="zh-TW"/>
        </w:rPr>
        <w:t>出实质性</w:t>
      </w:r>
      <w:r>
        <w:rPr>
          <w:rFonts w:hint="eastAsia" w:ascii="宋体" w:hAnsi="宋体" w:cs="宋体"/>
          <w:szCs w:val="21"/>
          <w:lang w:eastAsia="zh-CN"/>
        </w:rPr>
        <w:t>遴选响应</w:t>
      </w:r>
      <w:r>
        <w:rPr>
          <w:rFonts w:hint="eastAsia" w:ascii="宋体" w:hAnsi="宋体" w:cs="宋体"/>
          <w:szCs w:val="21"/>
          <w:lang w:eastAsia="zh-TW"/>
        </w:rPr>
        <w:t>是</w:t>
      </w:r>
      <w:r>
        <w:rPr>
          <w:rFonts w:hint="eastAsia" w:ascii="宋体" w:hAnsi="宋体" w:cs="宋体"/>
          <w:szCs w:val="21"/>
          <w:lang w:eastAsia="zh-CN"/>
        </w:rPr>
        <w:t>遴选响应方</w:t>
      </w:r>
      <w:r>
        <w:rPr>
          <w:rFonts w:hint="eastAsia" w:ascii="宋体" w:hAnsi="宋体" w:cs="宋体"/>
          <w:szCs w:val="21"/>
          <w:lang w:eastAsia="zh-TW"/>
        </w:rPr>
        <w:t>的风险，有可能导致其</w:t>
      </w:r>
      <w:r>
        <w:rPr>
          <w:rFonts w:hint="eastAsia" w:ascii="宋体" w:hAnsi="宋体" w:cs="宋体"/>
          <w:szCs w:val="21"/>
          <w:lang w:eastAsia="zh-CN"/>
        </w:rPr>
        <w:t>遴选响应</w:t>
      </w:r>
      <w:r>
        <w:rPr>
          <w:rFonts w:hint="eastAsia" w:ascii="宋体" w:hAnsi="宋体" w:cs="宋体"/>
          <w:szCs w:val="21"/>
          <w:lang w:eastAsia="zh-TW"/>
        </w:rPr>
        <w:t>被认定为无效</w:t>
      </w:r>
      <w:r>
        <w:rPr>
          <w:rFonts w:hint="eastAsia" w:ascii="宋体" w:hAnsi="宋体" w:cs="宋体"/>
          <w:szCs w:val="21"/>
          <w:lang w:eastAsia="zh-CN"/>
        </w:rPr>
        <w:t>遴选响应</w:t>
      </w:r>
      <w:r>
        <w:rPr>
          <w:rFonts w:hint="eastAsia" w:ascii="宋体" w:hAnsi="宋体" w:cs="宋体"/>
          <w:szCs w:val="21"/>
          <w:lang w:eastAsia="zh-TW"/>
        </w:rPr>
        <w:t>或被确定为</w:t>
      </w:r>
      <w:r>
        <w:rPr>
          <w:rFonts w:hint="eastAsia" w:ascii="宋体" w:hAnsi="宋体" w:cs="宋体"/>
          <w:szCs w:val="21"/>
          <w:lang w:eastAsia="zh-CN"/>
        </w:rPr>
        <w:t>遴选响应</w:t>
      </w:r>
      <w:r>
        <w:rPr>
          <w:rFonts w:hint="eastAsia" w:ascii="宋体" w:hAnsi="宋体" w:cs="宋体"/>
          <w:szCs w:val="21"/>
          <w:lang w:eastAsia="zh-TW"/>
        </w:rPr>
        <w:t>无效。</w:t>
      </w:r>
    </w:p>
    <w:p w14:paraId="7181B6F8">
      <w:pPr>
        <w:numPr>
          <w:ilvl w:val="0"/>
          <w:numId w:val="14"/>
        </w:numPr>
        <w:autoSpaceDE w:val="0"/>
        <w:autoSpaceDN w:val="0"/>
        <w:adjustRightInd w:val="0"/>
        <w:snapToGrid w:val="0"/>
        <w:spacing w:line="360" w:lineRule="auto"/>
        <w:ind w:left="449" w:hanging="449" w:hangingChars="213"/>
        <w:outlineLvl w:val="9"/>
        <w:rPr>
          <w:rFonts w:ascii="宋体" w:hAnsi="宋体"/>
          <w:b/>
          <w:bCs/>
          <w:szCs w:val="21"/>
        </w:rPr>
      </w:pPr>
      <w:bookmarkStart w:id="160" w:name="_Toc7497"/>
      <w:r>
        <w:rPr>
          <w:rFonts w:hint="eastAsia" w:ascii="宋体" w:hAnsi="宋体"/>
          <w:b/>
          <w:bCs/>
          <w:szCs w:val="21"/>
        </w:rPr>
        <w:t>报价</w:t>
      </w:r>
      <w:bookmarkEnd w:id="160"/>
    </w:p>
    <w:p w14:paraId="18552BAE">
      <w:pPr>
        <w:numPr>
          <w:ilvl w:val="1"/>
          <w:numId w:val="1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CN"/>
        </w:rPr>
        <w:t>遴选响应方</w:t>
      </w:r>
      <w:r>
        <w:rPr>
          <w:rFonts w:hint="eastAsia" w:ascii="宋体" w:hAnsi="宋体" w:cs="宋体"/>
          <w:szCs w:val="21"/>
          <w:lang w:eastAsia="zh-TW"/>
        </w:rPr>
        <w:t>应按照“用户需求书”</w:t>
      </w:r>
      <w:r>
        <w:rPr>
          <w:rFonts w:hint="eastAsia" w:ascii="宋体" w:hAnsi="宋体" w:cs="宋体"/>
          <w:szCs w:val="21"/>
        </w:rPr>
        <w:t>中</w:t>
      </w:r>
      <w:r>
        <w:rPr>
          <w:rFonts w:hint="eastAsia" w:ascii="宋体" w:hAnsi="宋体" w:cs="宋体"/>
          <w:szCs w:val="21"/>
          <w:lang w:eastAsia="zh-TW"/>
        </w:rPr>
        <w:t>采购项目技术规格、参数及要求规定的内容、责任范围进行报价。并按《</w:t>
      </w:r>
      <w:r>
        <w:rPr>
          <w:rFonts w:hint="eastAsia" w:ascii="宋体" w:hAnsi="宋体" w:cs="宋体"/>
          <w:szCs w:val="21"/>
        </w:rPr>
        <w:t>报价表</w:t>
      </w:r>
      <w:r>
        <w:rPr>
          <w:rFonts w:hint="eastAsia" w:ascii="宋体" w:hAnsi="宋体" w:cs="宋体"/>
          <w:szCs w:val="21"/>
          <w:lang w:eastAsia="zh-TW"/>
        </w:rPr>
        <w:t>》的</w:t>
      </w:r>
      <w:r>
        <w:rPr>
          <w:rFonts w:hint="eastAsia" w:ascii="宋体" w:hAnsi="宋体" w:cs="宋体"/>
          <w:szCs w:val="21"/>
        </w:rPr>
        <w:t>要求</w:t>
      </w:r>
      <w:r>
        <w:rPr>
          <w:rFonts w:hint="eastAsia" w:ascii="宋体" w:hAnsi="宋体" w:cs="宋体"/>
          <w:szCs w:val="21"/>
          <w:lang w:eastAsia="zh-TW"/>
        </w:rPr>
        <w:t>报出总价和分项价格。</w:t>
      </w:r>
    </w:p>
    <w:p w14:paraId="167965B1">
      <w:pPr>
        <w:numPr>
          <w:ilvl w:val="1"/>
          <w:numId w:val="14"/>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分项报价</w:t>
      </w:r>
      <w:r>
        <w:rPr>
          <w:rFonts w:hint="eastAsia" w:ascii="宋体" w:hAnsi="宋体" w:cs="宋体"/>
          <w:szCs w:val="21"/>
        </w:rPr>
        <w:t>应包含：</w:t>
      </w:r>
    </w:p>
    <w:p w14:paraId="4A3EE29C">
      <w:pPr>
        <w:numPr>
          <w:ilvl w:val="2"/>
          <w:numId w:val="14"/>
        </w:numPr>
        <w:tabs>
          <w:tab w:val="left" w:pos="851"/>
          <w:tab w:val="clear" w:pos="567"/>
        </w:tabs>
        <w:autoSpaceDE w:val="0"/>
        <w:autoSpaceDN w:val="0"/>
        <w:adjustRightInd w:val="0"/>
        <w:snapToGrid w:val="0"/>
        <w:spacing w:line="360" w:lineRule="auto"/>
        <w:ind w:left="851" w:hanging="851"/>
        <w:jc w:val="left"/>
        <w:rPr>
          <w:rFonts w:ascii="宋体" w:hAnsi="宋体" w:cs="宋体"/>
          <w:szCs w:val="21"/>
          <w:lang w:eastAsia="zh-TW"/>
        </w:rPr>
      </w:pPr>
      <w:r>
        <w:rPr>
          <w:rFonts w:hint="eastAsia" w:ascii="宋体" w:hAnsi="宋体" w:cs="宋体"/>
          <w:szCs w:val="21"/>
        </w:rPr>
        <w:t>按</w:t>
      </w:r>
      <w:r>
        <w:rPr>
          <w:rFonts w:hint="eastAsia" w:ascii="宋体" w:hAnsi="宋体" w:cs="宋体"/>
          <w:szCs w:val="21"/>
          <w:lang w:val="en-US" w:eastAsia="zh-CN"/>
        </w:rPr>
        <w:t>遴选文件</w:t>
      </w:r>
      <w:r>
        <w:rPr>
          <w:rFonts w:hint="eastAsia" w:ascii="宋体" w:hAnsi="宋体" w:cs="宋体"/>
          <w:szCs w:val="21"/>
        </w:rPr>
        <w:t>的要求全部货物及服务内容所需的所有费用，</w:t>
      </w:r>
      <w:r>
        <w:t>包括但不限于项目的</w:t>
      </w:r>
      <w:r>
        <w:rPr>
          <w:rFonts w:hint="eastAsia" w:ascii="宋体" w:hAnsi="宋体" w:cs="宋体"/>
          <w:szCs w:val="21"/>
        </w:rPr>
        <w:t>全部</w:t>
      </w:r>
      <w:r>
        <w:rPr>
          <w:rFonts w:hint="eastAsia" w:ascii="宋体" w:hAnsi="宋体" w:cs="宋体"/>
          <w:szCs w:val="21"/>
          <w:lang w:eastAsia="zh-TW"/>
        </w:rPr>
        <w:t>产品</w:t>
      </w:r>
      <w:r>
        <w:rPr>
          <w:rFonts w:hint="eastAsia" w:ascii="宋体" w:hAnsi="宋体" w:cs="宋体"/>
          <w:szCs w:val="21"/>
        </w:rPr>
        <w:t>价格、服务价格、</w:t>
      </w:r>
      <w:r>
        <w:rPr>
          <w:rFonts w:hint="eastAsia" w:ascii="宋体" w:hAnsi="宋体" w:cs="宋体"/>
          <w:szCs w:val="21"/>
          <w:lang w:eastAsia="zh-TW"/>
        </w:rPr>
        <w:t>应向中华人民共和国政府缴纳的增值税和其它税等全部税费、</w:t>
      </w:r>
      <w:r>
        <w:t>运输、保险、安装、伴随服务、</w:t>
      </w:r>
      <w:r>
        <w:rPr>
          <w:rFonts w:hint="eastAsia" w:ascii="宋体" w:hAnsi="宋体" w:cs="宋体"/>
          <w:szCs w:val="21"/>
          <w:lang w:eastAsia="zh-TW"/>
        </w:rPr>
        <w:t>标准附件价、备品备件及专用工具价</w:t>
      </w:r>
      <w:r>
        <w:rPr>
          <w:rFonts w:ascii="宋体" w:hAnsi="宋体" w:cs="宋体"/>
          <w:szCs w:val="21"/>
          <w:lang w:eastAsia="zh-TW"/>
        </w:rPr>
        <w:t>(</w:t>
      </w:r>
      <w:r>
        <w:rPr>
          <w:rFonts w:hint="eastAsia" w:ascii="宋体" w:hAnsi="宋体" w:cs="宋体"/>
          <w:szCs w:val="21"/>
          <w:lang w:eastAsia="zh-TW"/>
        </w:rPr>
        <w:t>如有</w:t>
      </w:r>
      <w:r>
        <w:rPr>
          <w:rFonts w:ascii="宋体" w:hAnsi="宋体" w:cs="宋体"/>
          <w:szCs w:val="21"/>
          <w:lang w:eastAsia="zh-TW"/>
        </w:rPr>
        <w:t>)、</w:t>
      </w:r>
      <w:r>
        <w:t>以及</w:t>
      </w:r>
      <w:r>
        <w:rPr>
          <w:rFonts w:hint="eastAsia" w:ascii="宋体" w:hAnsi="宋体" w:cs="宋体"/>
          <w:szCs w:val="21"/>
        </w:rPr>
        <w:t>履行合同所需的费用、</w:t>
      </w:r>
      <w:r>
        <w:t>所有风险、责任等</w:t>
      </w:r>
      <w:r>
        <w:rPr>
          <w:rFonts w:hint="eastAsia" w:ascii="宋体" w:hAnsi="宋体" w:cs="宋体"/>
          <w:szCs w:val="21"/>
        </w:rPr>
        <w:t>其他一切隐含及不可预见的费用</w:t>
      </w:r>
      <w:r>
        <w:t>。如是</w:t>
      </w:r>
      <w:r>
        <w:rPr>
          <w:rFonts w:hint="eastAsia" w:ascii="宋体" w:hAnsi="宋体" w:cs="宋体"/>
          <w:szCs w:val="21"/>
          <w:lang w:eastAsia="zh-TW"/>
        </w:rPr>
        <w:t>提供境外的货物</w:t>
      </w:r>
      <w:r>
        <w:rPr>
          <w:rFonts w:hint="eastAsia" w:ascii="宋体" w:hAnsi="宋体" w:cs="宋体"/>
          <w:szCs w:val="21"/>
        </w:rPr>
        <w:t>，</w:t>
      </w:r>
      <w:r>
        <w:rPr>
          <w:rFonts w:hint="eastAsia" w:ascii="宋体" w:hAnsi="宋体" w:cs="宋体"/>
          <w:szCs w:val="21"/>
          <w:lang w:eastAsia="zh-TW"/>
        </w:rPr>
        <w:t>还应包括货物从境外进口己缴纳或应缴纳的全部关税、增值税和其它税</w:t>
      </w:r>
      <w:r>
        <w:rPr>
          <w:rFonts w:hint="eastAsia" w:ascii="宋体" w:hAnsi="宋体" w:cs="宋体"/>
          <w:szCs w:val="21"/>
        </w:rPr>
        <w:t>、</w:t>
      </w:r>
      <w:r>
        <w:rPr>
          <w:rFonts w:hint="eastAsia" w:ascii="宋体" w:hAnsi="宋体" w:cs="宋体"/>
          <w:szCs w:val="21"/>
          <w:lang w:eastAsia="zh-TW"/>
        </w:rPr>
        <w:t>报货物境外离岸价格、国外运输费、国外运输保险费等费用。</w:t>
      </w:r>
      <w:r>
        <w:rPr>
          <w:rFonts w:hint="eastAsia" w:ascii="宋体" w:hAnsi="宋体" w:cs="宋体"/>
          <w:b/>
          <w:szCs w:val="21"/>
          <w:lang w:eastAsia="zh-CN"/>
        </w:rPr>
        <w:t>遴选响应</w:t>
      </w:r>
      <w:r>
        <w:rPr>
          <w:rFonts w:hint="eastAsia" w:ascii="宋体" w:hAnsi="宋体" w:cs="宋体"/>
          <w:b/>
          <w:szCs w:val="21"/>
          <w:lang w:eastAsia="zh-TW"/>
        </w:rPr>
        <w:t>资料表</w:t>
      </w:r>
      <w:r>
        <w:rPr>
          <w:rFonts w:hint="eastAsia" w:ascii="宋体" w:hAnsi="宋体" w:cs="宋体"/>
          <w:szCs w:val="21"/>
          <w:lang w:eastAsia="zh-TW"/>
        </w:rPr>
        <w:t>中对进口环节关税和增值税另有规定的，从其规定。</w:t>
      </w:r>
    </w:p>
    <w:p w14:paraId="6988540F">
      <w:pPr>
        <w:numPr>
          <w:ilvl w:val="2"/>
          <w:numId w:val="14"/>
        </w:numPr>
        <w:tabs>
          <w:tab w:val="left" w:pos="851"/>
        </w:tabs>
        <w:autoSpaceDE w:val="0"/>
        <w:autoSpaceDN w:val="0"/>
        <w:adjustRightInd w:val="0"/>
        <w:snapToGrid w:val="0"/>
        <w:spacing w:line="360" w:lineRule="auto"/>
        <w:jc w:val="left"/>
        <w:rPr>
          <w:rFonts w:ascii="宋体" w:hAnsi="宋体" w:cs="宋体"/>
          <w:szCs w:val="21"/>
          <w:lang w:eastAsia="zh-TW"/>
        </w:rPr>
      </w:pPr>
      <w:r>
        <w:rPr>
          <w:rFonts w:hint="eastAsia" w:ascii="宋体" w:hAnsi="宋体" w:cs="宋体"/>
          <w:szCs w:val="21"/>
          <w:lang w:eastAsia="zh-TW"/>
        </w:rPr>
        <w:t>对于报价免费的</w:t>
      </w:r>
      <w:r>
        <w:rPr>
          <w:rFonts w:hint="eastAsia" w:ascii="宋体" w:hAnsi="宋体" w:cs="宋体"/>
          <w:szCs w:val="21"/>
        </w:rPr>
        <w:t>内容</w:t>
      </w:r>
      <w:r>
        <w:rPr>
          <w:rFonts w:hint="eastAsia" w:ascii="宋体" w:hAnsi="宋体" w:cs="宋体"/>
          <w:szCs w:val="21"/>
          <w:lang w:eastAsia="zh-TW"/>
        </w:rPr>
        <w:t>须标明“免费”</w:t>
      </w:r>
      <w:r>
        <w:rPr>
          <w:rFonts w:hint="eastAsia" w:ascii="宋体" w:hAnsi="宋体" w:cs="宋体"/>
          <w:szCs w:val="21"/>
        </w:rPr>
        <w:t>。</w:t>
      </w:r>
    </w:p>
    <w:p w14:paraId="2E0DB80A">
      <w:pPr>
        <w:numPr>
          <w:ilvl w:val="1"/>
          <w:numId w:val="14"/>
        </w:numPr>
        <w:autoSpaceDE w:val="0"/>
        <w:autoSpaceDN w:val="0"/>
        <w:adjustRightInd w:val="0"/>
        <w:snapToGrid w:val="0"/>
        <w:spacing w:line="360" w:lineRule="auto"/>
        <w:rPr>
          <w:rFonts w:ascii="宋体" w:hAnsi="宋体" w:cs="宋体"/>
          <w:szCs w:val="21"/>
        </w:rPr>
      </w:pPr>
      <w:r>
        <w:rPr>
          <w:rFonts w:hint="eastAsia" w:ascii="宋体" w:hAnsi="宋体"/>
          <w:szCs w:val="21"/>
        </w:rPr>
        <w:t>除</w:t>
      </w:r>
      <w:r>
        <w:rPr>
          <w:rFonts w:hint="eastAsia" w:ascii="宋体" w:hAnsi="宋体"/>
          <w:b/>
          <w:szCs w:val="21"/>
          <w:lang w:eastAsia="zh-CN"/>
        </w:rPr>
        <w:t>遴选响应</w:t>
      </w:r>
      <w:r>
        <w:rPr>
          <w:rFonts w:hint="eastAsia" w:ascii="宋体" w:hAnsi="宋体"/>
          <w:b/>
          <w:szCs w:val="21"/>
        </w:rPr>
        <w:t>资料表</w:t>
      </w:r>
      <w:r>
        <w:rPr>
          <w:rFonts w:hint="eastAsia" w:ascii="宋体" w:hAnsi="宋体"/>
          <w:szCs w:val="21"/>
        </w:rPr>
        <w:t>中另有规定，</w:t>
      </w:r>
      <w:r>
        <w:rPr>
          <w:rFonts w:hint="eastAsia" w:ascii="宋体" w:hAnsi="宋体" w:cs="宋体"/>
          <w:szCs w:val="21"/>
          <w:lang w:eastAsia="zh-CN"/>
        </w:rPr>
        <w:t>遴选响应方</w:t>
      </w:r>
      <w:r>
        <w:rPr>
          <w:rFonts w:hint="eastAsia" w:ascii="宋体" w:hAnsi="宋体" w:cs="宋体"/>
          <w:szCs w:val="21"/>
          <w:lang w:eastAsia="zh-TW"/>
        </w:rPr>
        <w:t>所报的</w:t>
      </w:r>
      <w:r>
        <w:rPr>
          <w:rFonts w:hint="eastAsia" w:ascii="宋体" w:hAnsi="宋体" w:cs="宋体"/>
          <w:szCs w:val="21"/>
          <w:lang w:eastAsia="zh-CN"/>
        </w:rPr>
        <w:t>遴选响应</w:t>
      </w:r>
      <w:r>
        <w:rPr>
          <w:rFonts w:hint="eastAsia" w:ascii="宋体" w:hAnsi="宋体" w:cs="宋体"/>
          <w:szCs w:val="21"/>
          <w:lang w:eastAsia="zh-TW"/>
        </w:rPr>
        <w:t>价在合同执行过程中是固定不变的</w:t>
      </w:r>
      <w:r>
        <w:rPr>
          <w:rFonts w:hint="eastAsia" w:ascii="宋体" w:hAnsi="宋体" w:cs="宋体"/>
          <w:szCs w:val="21"/>
        </w:rPr>
        <w:t>，</w:t>
      </w:r>
      <w:r>
        <w:rPr>
          <w:rFonts w:hint="eastAsia" w:ascii="宋体" w:hAnsi="宋体" w:cs="宋体"/>
          <w:szCs w:val="21"/>
          <w:lang w:eastAsia="zh-TW"/>
        </w:rPr>
        <w:t>不得以任何理由予以变更。任何包含价格调整要求的</w:t>
      </w:r>
      <w:r>
        <w:rPr>
          <w:rFonts w:hint="eastAsia" w:ascii="宋体" w:hAnsi="宋体" w:cs="宋体"/>
          <w:szCs w:val="21"/>
          <w:lang w:eastAsia="zh-CN"/>
        </w:rPr>
        <w:t>遴选响应</w:t>
      </w:r>
      <w:r>
        <w:rPr>
          <w:rFonts w:hint="eastAsia" w:ascii="宋体" w:hAnsi="宋体" w:cs="宋体"/>
          <w:szCs w:val="21"/>
          <w:lang w:eastAsia="zh-TW"/>
        </w:rPr>
        <w:t>被认为是非实质性</w:t>
      </w:r>
      <w:r>
        <w:rPr>
          <w:rFonts w:hint="eastAsia" w:ascii="宋体" w:hAnsi="宋体" w:cs="宋体"/>
          <w:szCs w:val="21"/>
          <w:lang w:eastAsia="zh-CN"/>
        </w:rPr>
        <w:t>遴选响应</w:t>
      </w:r>
      <w:r>
        <w:rPr>
          <w:rFonts w:hint="eastAsia" w:ascii="宋体" w:hAnsi="宋体" w:cs="宋体"/>
          <w:szCs w:val="21"/>
          <w:lang w:eastAsia="zh-TW"/>
        </w:rPr>
        <w:t>而予以拒绝。</w:t>
      </w:r>
    </w:p>
    <w:p w14:paraId="5F5A2362">
      <w:pPr>
        <w:numPr>
          <w:ilvl w:val="1"/>
          <w:numId w:val="14"/>
        </w:numPr>
        <w:autoSpaceDE w:val="0"/>
        <w:autoSpaceDN w:val="0"/>
        <w:adjustRightInd w:val="0"/>
        <w:snapToGrid w:val="0"/>
        <w:spacing w:line="360" w:lineRule="auto"/>
        <w:rPr>
          <w:rFonts w:ascii="宋体" w:hAnsi="宋体"/>
          <w:szCs w:val="21"/>
        </w:rPr>
      </w:pPr>
      <w:r>
        <w:rPr>
          <w:rFonts w:hint="eastAsia" w:ascii="宋体" w:hAnsi="宋体"/>
          <w:szCs w:val="21"/>
        </w:rPr>
        <w:t>除</w:t>
      </w:r>
      <w:r>
        <w:rPr>
          <w:rFonts w:hint="eastAsia" w:ascii="宋体" w:hAnsi="宋体"/>
          <w:b/>
          <w:szCs w:val="21"/>
          <w:lang w:eastAsia="zh-CN"/>
        </w:rPr>
        <w:t>遴选响应</w:t>
      </w:r>
      <w:r>
        <w:rPr>
          <w:rFonts w:hint="eastAsia" w:ascii="宋体" w:hAnsi="宋体"/>
          <w:b/>
          <w:szCs w:val="21"/>
        </w:rPr>
        <w:t>资料表</w:t>
      </w:r>
      <w:r>
        <w:rPr>
          <w:rFonts w:hint="eastAsia" w:ascii="宋体" w:hAnsi="宋体"/>
          <w:szCs w:val="21"/>
        </w:rPr>
        <w:t>中允许有备选方案外，本次</w:t>
      </w:r>
      <w:r>
        <w:rPr>
          <w:rFonts w:hint="eastAsia" w:ascii="宋体" w:hAnsi="宋体"/>
          <w:szCs w:val="21"/>
          <w:lang w:val="en-US" w:eastAsia="zh-CN"/>
        </w:rPr>
        <w:t>遴选</w:t>
      </w:r>
      <w:r>
        <w:rPr>
          <w:rFonts w:hint="eastAsia" w:ascii="宋体" w:hAnsi="宋体"/>
          <w:szCs w:val="21"/>
        </w:rPr>
        <w:t>不接受选择性报价，</w:t>
      </w:r>
      <w:r>
        <w:rPr>
          <w:rFonts w:hint="eastAsia" w:ascii="宋体" w:hAnsi="宋体" w:cs="宋体"/>
          <w:szCs w:val="21"/>
        </w:rPr>
        <w:t>否则将被视为无效</w:t>
      </w:r>
      <w:r>
        <w:rPr>
          <w:rFonts w:hint="eastAsia" w:ascii="宋体" w:hAnsi="宋体" w:cs="宋体"/>
          <w:szCs w:val="21"/>
          <w:lang w:eastAsia="zh-CN"/>
        </w:rPr>
        <w:t>遴选响应</w:t>
      </w:r>
      <w:r>
        <w:rPr>
          <w:rFonts w:hint="eastAsia" w:ascii="宋体" w:hAnsi="宋体" w:cs="宋体"/>
          <w:szCs w:val="21"/>
        </w:rPr>
        <w:t>。</w:t>
      </w:r>
    </w:p>
    <w:p w14:paraId="200C58F2">
      <w:pPr>
        <w:numPr>
          <w:ilvl w:val="1"/>
          <w:numId w:val="14"/>
        </w:numPr>
        <w:autoSpaceDE w:val="0"/>
        <w:autoSpaceDN w:val="0"/>
        <w:adjustRightInd w:val="0"/>
        <w:snapToGrid w:val="0"/>
        <w:spacing w:line="360" w:lineRule="auto"/>
        <w:rPr>
          <w:rFonts w:ascii="宋体" w:hAnsi="宋体" w:cs="宋体"/>
          <w:szCs w:val="21"/>
          <w:lang w:eastAsia="zh-TW"/>
        </w:rPr>
      </w:pPr>
      <w:r>
        <w:rPr>
          <w:rFonts w:hint="eastAsia" w:ascii="宋体" w:hAnsi="宋体"/>
          <w:szCs w:val="21"/>
        </w:rPr>
        <w:t>除</w:t>
      </w:r>
      <w:r>
        <w:rPr>
          <w:rFonts w:hint="eastAsia" w:ascii="宋体" w:hAnsi="宋体"/>
          <w:b/>
          <w:szCs w:val="21"/>
          <w:lang w:eastAsia="zh-CN"/>
        </w:rPr>
        <w:t>遴选响应</w:t>
      </w:r>
      <w:r>
        <w:rPr>
          <w:rFonts w:hint="eastAsia" w:ascii="宋体" w:hAnsi="宋体"/>
          <w:b/>
          <w:szCs w:val="21"/>
        </w:rPr>
        <w:t>资料表</w:t>
      </w:r>
      <w:r>
        <w:rPr>
          <w:rFonts w:hint="eastAsia" w:ascii="宋体" w:hAnsi="宋体" w:cs="宋体"/>
          <w:szCs w:val="21"/>
        </w:rPr>
        <w:t>另</w:t>
      </w:r>
      <w:r>
        <w:rPr>
          <w:rFonts w:hint="eastAsia" w:ascii="宋体" w:hAnsi="宋体"/>
          <w:szCs w:val="21"/>
        </w:rPr>
        <w:t>有规定外，本次</w:t>
      </w:r>
      <w:r>
        <w:rPr>
          <w:rFonts w:hint="eastAsia" w:ascii="宋体" w:hAnsi="宋体"/>
          <w:szCs w:val="21"/>
          <w:lang w:val="en-US" w:eastAsia="zh-CN"/>
        </w:rPr>
        <w:t>遴选</w:t>
      </w:r>
      <w:r>
        <w:rPr>
          <w:rFonts w:hint="eastAsia" w:ascii="宋体" w:hAnsi="宋体"/>
          <w:szCs w:val="21"/>
        </w:rPr>
        <w:t>不接受具有附加条件的报价，</w:t>
      </w:r>
      <w:r>
        <w:rPr>
          <w:rFonts w:hint="eastAsia" w:ascii="宋体" w:hAnsi="宋体" w:cs="宋体"/>
          <w:szCs w:val="21"/>
        </w:rPr>
        <w:t>否则将被视为无效</w:t>
      </w:r>
      <w:r>
        <w:rPr>
          <w:rFonts w:hint="eastAsia" w:ascii="宋体" w:hAnsi="宋体" w:cs="宋体"/>
          <w:szCs w:val="21"/>
          <w:lang w:eastAsia="zh-CN"/>
        </w:rPr>
        <w:t>遴选响应</w:t>
      </w:r>
      <w:r>
        <w:rPr>
          <w:rFonts w:hint="eastAsia" w:ascii="宋体" w:hAnsi="宋体" w:cs="宋体"/>
          <w:szCs w:val="21"/>
        </w:rPr>
        <w:t>。</w:t>
      </w:r>
    </w:p>
    <w:p w14:paraId="14BCF670">
      <w:pPr>
        <w:numPr>
          <w:ilvl w:val="0"/>
          <w:numId w:val="14"/>
        </w:numPr>
        <w:autoSpaceDE w:val="0"/>
        <w:autoSpaceDN w:val="0"/>
        <w:adjustRightInd w:val="0"/>
        <w:snapToGrid w:val="0"/>
        <w:spacing w:line="360" w:lineRule="auto"/>
        <w:ind w:left="449" w:hanging="449" w:hangingChars="213"/>
        <w:outlineLvl w:val="9"/>
        <w:rPr>
          <w:rFonts w:ascii="宋体" w:hAnsi="宋体"/>
          <w:b/>
          <w:bCs/>
          <w:szCs w:val="21"/>
        </w:rPr>
      </w:pPr>
      <w:bookmarkStart w:id="161" w:name="_Toc2827"/>
      <w:r>
        <w:rPr>
          <w:rFonts w:hint="eastAsia" w:ascii="宋体" w:hAnsi="宋体"/>
          <w:b/>
          <w:bCs/>
          <w:szCs w:val="21"/>
        </w:rPr>
        <w:t>货币</w:t>
      </w:r>
      <w:bookmarkEnd w:id="161"/>
    </w:p>
    <w:p w14:paraId="3046D4D8">
      <w:pPr>
        <w:numPr>
          <w:ilvl w:val="1"/>
          <w:numId w:val="14"/>
        </w:numPr>
        <w:autoSpaceDE w:val="0"/>
        <w:autoSpaceDN w:val="0"/>
        <w:adjustRightInd w:val="0"/>
        <w:snapToGrid w:val="0"/>
        <w:spacing w:line="360" w:lineRule="auto"/>
        <w:rPr>
          <w:rFonts w:ascii="宋体" w:hAnsi="宋体"/>
          <w:szCs w:val="21"/>
        </w:rPr>
      </w:pPr>
      <w:r>
        <w:rPr>
          <w:rFonts w:hint="eastAsia" w:ascii="宋体" w:hAnsi="宋体"/>
          <w:szCs w:val="21"/>
          <w:lang w:eastAsia="zh-CN"/>
        </w:rPr>
        <w:t>遴选响应方</w:t>
      </w:r>
      <w:r>
        <w:rPr>
          <w:rFonts w:hint="eastAsia" w:ascii="宋体" w:hAnsi="宋体"/>
          <w:szCs w:val="21"/>
        </w:rPr>
        <w:t>所提供的货物和服务均应以人民币报价。</w:t>
      </w:r>
    </w:p>
    <w:p w14:paraId="2860381D">
      <w:pPr>
        <w:numPr>
          <w:ilvl w:val="0"/>
          <w:numId w:val="14"/>
        </w:numPr>
        <w:autoSpaceDE w:val="0"/>
        <w:autoSpaceDN w:val="0"/>
        <w:adjustRightInd w:val="0"/>
        <w:snapToGrid w:val="0"/>
        <w:spacing w:line="360" w:lineRule="auto"/>
        <w:ind w:left="449" w:hanging="449" w:hangingChars="213"/>
        <w:outlineLvl w:val="9"/>
        <w:rPr>
          <w:rFonts w:ascii="宋体" w:hAnsi="宋体"/>
          <w:b/>
          <w:bCs/>
          <w:szCs w:val="21"/>
        </w:rPr>
      </w:pPr>
      <w:bookmarkStart w:id="162" w:name="_Toc14020"/>
      <w:r>
        <w:rPr>
          <w:rFonts w:hint="eastAsia" w:ascii="宋体" w:hAnsi="宋体"/>
          <w:b/>
          <w:bCs/>
          <w:szCs w:val="21"/>
        </w:rPr>
        <w:t>证明</w:t>
      </w:r>
      <w:r>
        <w:rPr>
          <w:rFonts w:hint="eastAsia" w:ascii="宋体" w:hAnsi="宋体"/>
          <w:b/>
          <w:bCs/>
          <w:szCs w:val="21"/>
          <w:lang w:eastAsia="zh-CN"/>
        </w:rPr>
        <w:t>遴选响应方</w:t>
      </w:r>
      <w:r>
        <w:rPr>
          <w:rFonts w:hint="eastAsia" w:ascii="宋体" w:hAnsi="宋体"/>
          <w:b/>
          <w:bCs/>
          <w:szCs w:val="21"/>
        </w:rPr>
        <w:t>合格和资格的文件</w:t>
      </w:r>
      <w:bookmarkEnd w:id="162"/>
    </w:p>
    <w:p w14:paraId="0E557B9E">
      <w:pPr>
        <w:numPr>
          <w:ilvl w:val="1"/>
          <w:numId w:val="1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CN"/>
        </w:rPr>
        <w:t>遴选响应方</w:t>
      </w:r>
      <w:r>
        <w:rPr>
          <w:rFonts w:hint="eastAsia" w:ascii="宋体" w:hAnsi="宋体" w:cs="宋体"/>
          <w:szCs w:val="21"/>
          <w:lang w:eastAsia="zh-TW"/>
        </w:rPr>
        <w:t>应提交证明其有资格参加</w:t>
      </w:r>
      <w:r>
        <w:rPr>
          <w:rFonts w:hint="eastAsia" w:ascii="宋体" w:hAnsi="宋体" w:cs="宋体"/>
          <w:szCs w:val="21"/>
          <w:lang w:val="en-US" w:eastAsia="zh-CN"/>
        </w:rPr>
        <w:t>遴选响应</w:t>
      </w:r>
      <w:r>
        <w:rPr>
          <w:rFonts w:hint="eastAsia" w:ascii="宋体" w:hAnsi="宋体" w:cs="宋体"/>
          <w:szCs w:val="21"/>
          <w:lang w:eastAsia="zh-TW"/>
        </w:rPr>
        <w:t>和</w:t>
      </w:r>
      <w:r>
        <w:rPr>
          <w:rFonts w:hint="eastAsia" w:ascii="宋体" w:hAnsi="宋体" w:cs="宋体"/>
          <w:szCs w:val="21"/>
          <w:lang w:eastAsia="zh-CN"/>
        </w:rPr>
        <w:t>中选</w:t>
      </w:r>
      <w:r>
        <w:rPr>
          <w:rFonts w:hint="eastAsia" w:ascii="宋体" w:hAnsi="宋体" w:cs="宋体"/>
          <w:szCs w:val="21"/>
          <w:lang w:eastAsia="zh-TW"/>
        </w:rPr>
        <w:t>后有能力履行合同的文件</w:t>
      </w:r>
      <w:r>
        <w:rPr>
          <w:rFonts w:hint="eastAsia" w:ascii="宋体" w:hAnsi="宋体" w:cs="宋体"/>
          <w:szCs w:val="21"/>
        </w:rPr>
        <w:t>，</w:t>
      </w:r>
      <w:r>
        <w:rPr>
          <w:rFonts w:hint="eastAsia" w:ascii="宋体" w:hAnsi="宋体" w:cs="宋体"/>
          <w:szCs w:val="21"/>
          <w:lang w:eastAsia="zh-TW"/>
        </w:rPr>
        <w:t>并作为其</w:t>
      </w:r>
      <w:r>
        <w:rPr>
          <w:rFonts w:hint="eastAsia" w:ascii="宋体" w:hAnsi="宋体" w:cs="宋体"/>
          <w:szCs w:val="21"/>
          <w:lang w:eastAsia="zh-CN"/>
        </w:rPr>
        <w:t>遴选响应文件</w:t>
      </w:r>
      <w:r>
        <w:rPr>
          <w:rFonts w:hint="eastAsia" w:ascii="宋体" w:hAnsi="宋体" w:cs="宋体"/>
          <w:szCs w:val="21"/>
          <w:lang w:eastAsia="zh-TW"/>
        </w:rPr>
        <w:t>的一部分。如果</w:t>
      </w:r>
      <w:r>
        <w:rPr>
          <w:rFonts w:hint="eastAsia" w:ascii="宋体" w:hAnsi="宋体" w:cs="宋体"/>
          <w:szCs w:val="21"/>
          <w:lang w:eastAsia="zh-CN"/>
        </w:rPr>
        <w:t>遴选响应方</w:t>
      </w:r>
      <w:r>
        <w:rPr>
          <w:rFonts w:hint="eastAsia" w:ascii="宋体" w:hAnsi="宋体" w:cs="宋体"/>
          <w:szCs w:val="21"/>
          <w:lang w:eastAsia="zh-TW"/>
        </w:rPr>
        <w:t>为联合体</w:t>
      </w:r>
      <w:r>
        <w:rPr>
          <w:rFonts w:hint="eastAsia" w:ascii="宋体" w:hAnsi="宋体" w:cs="宋体"/>
          <w:szCs w:val="21"/>
        </w:rPr>
        <w:t>，</w:t>
      </w:r>
      <w:r>
        <w:rPr>
          <w:rFonts w:hint="eastAsia" w:ascii="宋体" w:hAnsi="宋体" w:cs="宋体"/>
          <w:szCs w:val="21"/>
          <w:lang w:eastAsia="zh-TW"/>
        </w:rPr>
        <w:t>应提交联合体各方的资格证明文件、</w:t>
      </w:r>
      <w:r>
        <w:rPr>
          <w:rFonts w:hint="eastAsia" w:ascii="宋体" w:hAnsi="宋体"/>
          <w:szCs w:val="21"/>
        </w:rPr>
        <w:t>联合</w:t>
      </w:r>
      <w:r>
        <w:rPr>
          <w:rFonts w:hint="eastAsia" w:ascii="宋体" w:hAnsi="宋体" w:cs="宋体"/>
          <w:szCs w:val="21"/>
          <w:lang w:eastAsia="zh-CN"/>
        </w:rPr>
        <w:t>遴选响应</w:t>
      </w:r>
      <w:r>
        <w:rPr>
          <w:rFonts w:hint="eastAsia" w:ascii="宋体" w:hAnsi="宋体" w:cs="宋体"/>
          <w:szCs w:val="21"/>
        </w:rPr>
        <w:t>协议</w:t>
      </w:r>
      <w:r>
        <w:rPr>
          <w:rFonts w:hint="eastAsia" w:ascii="宋体" w:hAnsi="宋体" w:cs="宋体"/>
          <w:szCs w:val="21"/>
          <w:lang w:eastAsia="zh-TW"/>
        </w:rPr>
        <w:t>并注明</w:t>
      </w:r>
      <w:r>
        <w:rPr>
          <w:rFonts w:hint="eastAsia" w:ascii="宋体" w:hAnsi="宋体" w:cs="宋体"/>
          <w:szCs w:val="21"/>
        </w:rPr>
        <w:t>主体方及各方拟承担的工作和责任。</w:t>
      </w:r>
      <w:r>
        <w:rPr>
          <w:rFonts w:hint="eastAsia" w:ascii="宋体" w:hAnsi="宋体" w:cs="宋体"/>
          <w:szCs w:val="21"/>
          <w:lang w:eastAsia="zh-TW"/>
        </w:rPr>
        <w:t>否则</w:t>
      </w:r>
      <w:r>
        <w:rPr>
          <w:rFonts w:hint="eastAsia" w:ascii="宋体" w:hAnsi="宋体" w:cs="宋体"/>
          <w:szCs w:val="21"/>
        </w:rPr>
        <w:t>，</w:t>
      </w:r>
      <w:r>
        <w:rPr>
          <w:rFonts w:hint="eastAsia" w:ascii="宋体" w:hAnsi="宋体" w:cs="宋体"/>
          <w:szCs w:val="21"/>
          <w:lang w:eastAsia="zh-TW"/>
        </w:rPr>
        <w:t>将导致其</w:t>
      </w:r>
      <w:r>
        <w:rPr>
          <w:rFonts w:hint="eastAsia" w:ascii="宋体" w:hAnsi="宋体" w:cs="宋体"/>
          <w:szCs w:val="21"/>
          <w:lang w:eastAsia="zh-CN"/>
        </w:rPr>
        <w:t>遴选响应</w:t>
      </w:r>
      <w:r>
        <w:rPr>
          <w:rFonts w:hint="eastAsia" w:ascii="宋体" w:hAnsi="宋体" w:cs="宋体"/>
          <w:szCs w:val="21"/>
        </w:rPr>
        <w:t>无效。</w:t>
      </w:r>
    </w:p>
    <w:p w14:paraId="00741007">
      <w:pPr>
        <w:numPr>
          <w:ilvl w:val="1"/>
          <w:numId w:val="1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CN"/>
        </w:rPr>
        <w:t>遴选响应方</w:t>
      </w:r>
      <w:r>
        <w:rPr>
          <w:rFonts w:hint="eastAsia" w:ascii="宋体" w:hAnsi="宋体" w:cs="宋体"/>
          <w:szCs w:val="21"/>
          <w:lang w:eastAsia="zh-TW"/>
        </w:rPr>
        <w:t>提交的资格证明文件应证明其</w:t>
      </w:r>
      <w:r>
        <w:rPr>
          <w:rFonts w:hint="eastAsia" w:ascii="宋体" w:hAnsi="宋体" w:cs="宋体"/>
          <w:szCs w:val="21"/>
        </w:rPr>
        <w:t>满足</w:t>
      </w:r>
      <w:r>
        <w:rPr>
          <w:rFonts w:hint="eastAsia" w:ascii="宋体"/>
          <w:bCs/>
          <w:szCs w:val="20"/>
          <w:lang w:eastAsia="zh-CN"/>
        </w:rPr>
        <w:t>遴选响应方</w:t>
      </w:r>
      <w:r>
        <w:rPr>
          <w:rFonts w:hint="eastAsia" w:ascii="宋体"/>
          <w:bCs/>
          <w:szCs w:val="20"/>
        </w:rPr>
        <w:t>的资格要求</w:t>
      </w:r>
      <w:r>
        <w:rPr>
          <w:rFonts w:hint="eastAsia" w:ascii="宋体" w:hAnsi="宋体" w:cs="宋体"/>
          <w:szCs w:val="21"/>
          <w:lang w:eastAsia="zh-TW"/>
        </w:rPr>
        <w:t>。</w:t>
      </w:r>
    </w:p>
    <w:p w14:paraId="7F9795C9">
      <w:pPr>
        <w:numPr>
          <w:ilvl w:val="0"/>
          <w:numId w:val="14"/>
        </w:numPr>
        <w:autoSpaceDE w:val="0"/>
        <w:autoSpaceDN w:val="0"/>
        <w:adjustRightInd w:val="0"/>
        <w:snapToGrid w:val="0"/>
        <w:spacing w:line="360" w:lineRule="auto"/>
        <w:ind w:left="449" w:hanging="449" w:hangingChars="213"/>
        <w:outlineLvl w:val="9"/>
        <w:rPr>
          <w:rFonts w:ascii="宋体" w:hAnsi="宋体"/>
          <w:b/>
          <w:bCs/>
          <w:szCs w:val="21"/>
        </w:rPr>
      </w:pPr>
      <w:bookmarkStart w:id="163" w:name="_Toc17198"/>
      <w:r>
        <w:rPr>
          <w:rFonts w:ascii="宋体" w:hAnsi="宋体"/>
          <w:b/>
          <w:bCs/>
          <w:szCs w:val="21"/>
        </w:rPr>
        <w:t>证明</w:t>
      </w:r>
      <w:r>
        <w:rPr>
          <w:rFonts w:hint="eastAsia" w:ascii="宋体" w:hAnsi="宋体"/>
          <w:b/>
          <w:bCs/>
          <w:szCs w:val="21"/>
          <w:lang w:eastAsia="zh-CN"/>
        </w:rPr>
        <w:t>遴选响应</w:t>
      </w:r>
      <w:r>
        <w:rPr>
          <w:rFonts w:ascii="宋体" w:hAnsi="宋体"/>
          <w:b/>
          <w:bCs/>
          <w:szCs w:val="21"/>
        </w:rPr>
        <w:t>的合格性和符合</w:t>
      </w:r>
      <w:r>
        <w:rPr>
          <w:rFonts w:hint="eastAsia" w:ascii="宋体" w:hAnsi="宋体"/>
          <w:b/>
          <w:bCs/>
          <w:szCs w:val="21"/>
          <w:lang w:val="en-US" w:eastAsia="zh-CN"/>
        </w:rPr>
        <w:t>遴选文件</w:t>
      </w:r>
      <w:r>
        <w:rPr>
          <w:rFonts w:ascii="宋体" w:hAnsi="宋体"/>
          <w:b/>
          <w:bCs/>
          <w:szCs w:val="21"/>
        </w:rPr>
        <w:t>规定的文件</w:t>
      </w:r>
      <w:bookmarkEnd w:id="163"/>
    </w:p>
    <w:p w14:paraId="755A3787">
      <w:pPr>
        <w:numPr>
          <w:ilvl w:val="1"/>
          <w:numId w:val="1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CN"/>
        </w:rPr>
        <w:t>遴选响应方</w:t>
      </w:r>
      <w:r>
        <w:rPr>
          <w:rFonts w:hint="eastAsia" w:ascii="宋体" w:hAnsi="宋体" w:cs="宋体"/>
          <w:szCs w:val="21"/>
          <w:lang w:eastAsia="zh-TW"/>
        </w:rPr>
        <w:t>应提交证明文件</w:t>
      </w:r>
      <w:r>
        <w:rPr>
          <w:rFonts w:hint="eastAsia" w:ascii="宋体" w:hAnsi="宋体" w:cs="宋体"/>
          <w:szCs w:val="21"/>
        </w:rPr>
        <w:t>，</w:t>
      </w:r>
      <w:r>
        <w:rPr>
          <w:rFonts w:hint="eastAsia" w:ascii="宋体" w:hAnsi="宋体" w:cs="宋体"/>
          <w:szCs w:val="21"/>
          <w:lang w:eastAsia="zh-TW"/>
        </w:rPr>
        <w:t>证明其拟</w:t>
      </w:r>
      <w:r>
        <w:rPr>
          <w:rFonts w:hint="eastAsia" w:ascii="宋体" w:hAnsi="宋体" w:cs="宋体"/>
          <w:szCs w:val="21"/>
          <w:lang w:eastAsia="zh-CN"/>
        </w:rPr>
        <w:t>遴选响应</w:t>
      </w:r>
      <w:r>
        <w:rPr>
          <w:rFonts w:hint="eastAsia" w:ascii="宋体" w:hAnsi="宋体" w:cs="宋体"/>
          <w:szCs w:val="21"/>
          <w:lang w:eastAsia="zh-TW"/>
        </w:rPr>
        <w:t>的货物和服务的合格性符合</w:t>
      </w:r>
      <w:r>
        <w:rPr>
          <w:rFonts w:hint="eastAsia" w:ascii="宋体" w:hAnsi="宋体" w:cs="宋体"/>
          <w:szCs w:val="21"/>
          <w:lang w:val="en-US" w:eastAsia="zh-CN"/>
        </w:rPr>
        <w:t>遴选文件</w:t>
      </w:r>
      <w:r>
        <w:rPr>
          <w:rFonts w:hint="eastAsia" w:ascii="宋体" w:hAnsi="宋体" w:cs="宋体"/>
          <w:szCs w:val="21"/>
          <w:lang w:eastAsia="zh-TW"/>
        </w:rPr>
        <w:t>规定。该证明文件作为</w:t>
      </w:r>
      <w:r>
        <w:rPr>
          <w:rFonts w:hint="eastAsia" w:ascii="宋体" w:hAnsi="宋体" w:cs="宋体"/>
          <w:szCs w:val="21"/>
          <w:lang w:eastAsia="zh-CN"/>
        </w:rPr>
        <w:t>遴选响应文件</w:t>
      </w:r>
      <w:r>
        <w:rPr>
          <w:rFonts w:hint="eastAsia" w:ascii="宋体" w:hAnsi="宋体" w:cs="宋体"/>
          <w:szCs w:val="21"/>
          <w:lang w:eastAsia="zh-TW"/>
        </w:rPr>
        <w:t>的一部分。</w:t>
      </w:r>
    </w:p>
    <w:p w14:paraId="211136FF">
      <w:pPr>
        <w:numPr>
          <w:ilvl w:val="1"/>
          <w:numId w:val="1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货物和服务合格性的证明文件应包括</w:t>
      </w:r>
      <w:r>
        <w:rPr>
          <w:rFonts w:hint="eastAsia" w:ascii="宋体" w:hAnsi="宋体" w:cs="宋体"/>
          <w:szCs w:val="21"/>
          <w:lang w:eastAsia="zh-CN"/>
        </w:rPr>
        <w:t>遴选响应</w:t>
      </w:r>
      <w:r>
        <w:rPr>
          <w:rFonts w:hint="eastAsia" w:ascii="宋体" w:hAnsi="宋体" w:cs="宋体"/>
          <w:szCs w:val="21"/>
          <w:lang w:eastAsia="zh-TW"/>
        </w:rPr>
        <w:t>分项报价表中对货物和服务原产地的说明。</w:t>
      </w:r>
    </w:p>
    <w:p w14:paraId="2C779F57">
      <w:pPr>
        <w:numPr>
          <w:ilvl w:val="1"/>
          <w:numId w:val="14"/>
        </w:numPr>
        <w:autoSpaceDE w:val="0"/>
        <w:autoSpaceDN w:val="0"/>
        <w:adjustRightInd w:val="0"/>
        <w:snapToGrid w:val="0"/>
        <w:spacing w:line="360" w:lineRule="auto"/>
        <w:rPr>
          <w:rFonts w:ascii="宋体" w:hAnsi="宋体"/>
          <w:strike/>
          <w:szCs w:val="21"/>
        </w:rPr>
      </w:pPr>
      <w:r>
        <w:rPr>
          <w:rFonts w:hint="eastAsia" w:ascii="宋体" w:hAnsi="宋体" w:cs="宋体"/>
          <w:szCs w:val="21"/>
          <w:lang w:eastAsia="zh-TW"/>
        </w:rPr>
        <w:t>证明货物和服务与</w:t>
      </w:r>
      <w:r>
        <w:rPr>
          <w:rFonts w:hint="eastAsia" w:ascii="宋体" w:hAnsi="宋体" w:cs="宋体"/>
          <w:szCs w:val="21"/>
          <w:lang w:val="en-US" w:eastAsia="zh-CN"/>
        </w:rPr>
        <w:t>遴选文件</w:t>
      </w:r>
      <w:r>
        <w:rPr>
          <w:rFonts w:hint="eastAsia" w:ascii="宋体" w:hAnsi="宋体" w:cs="宋体"/>
          <w:szCs w:val="21"/>
          <w:lang w:eastAsia="zh-TW"/>
        </w:rPr>
        <w:t>的要求相一致的文件，可以是文字资料、图纸和数据</w:t>
      </w:r>
      <w:r>
        <w:rPr>
          <w:rFonts w:hint="eastAsia" w:ascii="宋体" w:hAnsi="宋体" w:cs="宋体"/>
          <w:szCs w:val="21"/>
        </w:rPr>
        <w:t>。</w:t>
      </w:r>
    </w:p>
    <w:p w14:paraId="0428AA1F">
      <w:pPr>
        <w:numPr>
          <w:ilvl w:val="0"/>
          <w:numId w:val="14"/>
        </w:numPr>
        <w:autoSpaceDE w:val="0"/>
        <w:autoSpaceDN w:val="0"/>
        <w:adjustRightInd w:val="0"/>
        <w:snapToGrid w:val="0"/>
        <w:spacing w:line="360" w:lineRule="auto"/>
        <w:ind w:left="449" w:hanging="449" w:hangingChars="213"/>
        <w:outlineLvl w:val="9"/>
        <w:rPr>
          <w:rFonts w:ascii="宋体" w:hAnsi="宋体"/>
          <w:b/>
          <w:bCs/>
          <w:szCs w:val="21"/>
        </w:rPr>
      </w:pPr>
      <w:bookmarkStart w:id="164" w:name="_Toc23376"/>
      <w:r>
        <w:rPr>
          <w:rFonts w:hint="eastAsia" w:ascii="宋体" w:hAnsi="宋体"/>
          <w:b/>
          <w:bCs/>
          <w:szCs w:val="21"/>
          <w:lang w:eastAsia="zh-CN"/>
        </w:rPr>
        <w:t>遴选响应</w:t>
      </w:r>
      <w:r>
        <w:rPr>
          <w:rFonts w:hint="eastAsia" w:ascii="宋体" w:hAnsi="宋体"/>
          <w:b/>
          <w:bCs/>
          <w:szCs w:val="21"/>
        </w:rPr>
        <w:t>有效期</w:t>
      </w:r>
      <w:bookmarkEnd w:id="164"/>
    </w:p>
    <w:p w14:paraId="27130EC0">
      <w:pPr>
        <w:numPr>
          <w:ilvl w:val="1"/>
          <w:numId w:val="1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CN"/>
        </w:rPr>
        <w:t>遴选响应</w:t>
      </w:r>
      <w:r>
        <w:rPr>
          <w:rFonts w:hint="eastAsia" w:ascii="宋体" w:hAnsi="宋体" w:cs="宋体"/>
          <w:szCs w:val="21"/>
          <w:lang w:eastAsia="zh-TW"/>
        </w:rPr>
        <w:t>应自</w:t>
      </w:r>
      <w:r>
        <w:rPr>
          <w:rFonts w:hint="eastAsia" w:ascii="宋体" w:hAnsi="宋体" w:cs="宋体"/>
          <w:b/>
          <w:szCs w:val="21"/>
          <w:lang w:eastAsia="zh-CN"/>
        </w:rPr>
        <w:t>遴选响应</w:t>
      </w:r>
      <w:r>
        <w:rPr>
          <w:rFonts w:hint="eastAsia" w:ascii="宋体" w:hAnsi="宋体" w:cs="宋体"/>
          <w:b/>
          <w:szCs w:val="21"/>
          <w:lang w:eastAsia="zh-TW"/>
        </w:rPr>
        <w:t>资料表</w:t>
      </w:r>
      <w:r>
        <w:rPr>
          <w:rFonts w:hint="eastAsia" w:ascii="宋体" w:hAnsi="宋体" w:cs="宋体"/>
          <w:szCs w:val="21"/>
          <w:lang w:eastAsia="zh-TW"/>
        </w:rPr>
        <w:t>中规定的</w:t>
      </w:r>
      <w:r>
        <w:rPr>
          <w:rFonts w:hint="eastAsia" w:ascii="宋体" w:hAnsi="宋体" w:cs="宋体"/>
          <w:szCs w:val="21"/>
          <w:lang w:eastAsia="zh-CN"/>
        </w:rPr>
        <w:t>遴选响应</w:t>
      </w:r>
      <w:r>
        <w:rPr>
          <w:rFonts w:hint="eastAsia" w:ascii="宋体" w:hAnsi="宋体" w:cs="宋体"/>
          <w:szCs w:val="21"/>
          <w:lang w:eastAsia="zh-TW"/>
        </w:rPr>
        <w:t>有效期从提交</w:t>
      </w:r>
      <w:r>
        <w:rPr>
          <w:rFonts w:hint="eastAsia" w:ascii="宋体" w:hAnsi="宋体" w:cs="宋体"/>
          <w:szCs w:val="21"/>
          <w:lang w:eastAsia="zh-CN"/>
        </w:rPr>
        <w:t>遴选响应文件</w:t>
      </w:r>
      <w:r>
        <w:rPr>
          <w:rFonts w:hint="eastAsia" w:ascii="宋体" w:hAnsi="宋体" w:cs="宋体"/>
          <w:szCs w:val="21"/>
          <w:lang w:eastAsia="zh-TW"/>
        </w:rPr>
        <w:t>的截止之日起算，并</w:t>
      </w:r>
      <w:r>
        <w:rPr>
          <w:rFonts w:hint="eastAsia" w:ascii="宋体" w:hAnsi="宋体" w:cs="宋体"/>
          <w:szCs w:val="21"/>
        </w:rPr>
        <w:t>与</w:t>
      </w:r>
      <w:r>
        <w:rPr>
          <w:rFonts w:hint="eastAsia" w:ascii="宋体" w:hAnsi="宋体" w:cs="宋体"/>
          <w:b/>
          <w:szCs w:val="21"/>
          <w:lang w:eastAsia="zh-CN"/>
        </w:rPr>
        <w:t>遴选响应</w:t>
      </w:r>
      <w:r>
        <w:rPr>
          <w:rFonts w:hint="eastAsia" w:ascii="宋体" w:hAnsi="宋体" w:cs="宋体"/>
          <w:b/>
          <w:szCs w:val="21"/>
          <w:lang w:eastAsia="zh-TW"/>
        </w:rPr>
        <w:t>资料表</w:t>
      </w:r>
      <w:r>
        <w:rPr>
          <w:rFonts w:hint="eastAsia" w:ascii="宋体" w:hAnsi="宋体" w:cs="宋体"/>
          <w:szCs w:val="21"/>
          <w:lang w:eastAsia="zh-TW"/>
        </w:rPr>
        <w:t>中所述期限内保持有效。</w:t>
      </w:r>
      <w:r>
        <w:rPr>
          <w:rFonts w:hint="eastAsia" w:ascii="宋体" w:hAnsi="宋体" w:cs="宋体"/>
          <w:szCs w:val="21"/>
          <w:lang w:eastAsia="zh-CN"/>
        </w:rPr>
        <w:t>遴选响应</w:t>
      </w:r>
      <w:r>
        <w:rPr>
          <w:rFonts w:hint="eastAsia" w:ascii="宋体" w:hAnsi="宋体" w:cs="宋体"/>
          <w:szCs w:val="21"/>
          <w:lang w:eastAsia="zh-TW"/>
        </w:rPr>
        <w:t>有效期不足的</w:t>
      </w:r>
      <w:r>
        <w:rPr>
          <w:rFonts w:hint="eastAsia" w:ascii="宋体" w:hAnsi="宋体" w:cs="宋体"/>
          <w:szCs w:val="21"/>
          <w:lang w:eastAsia="zh-CN"/>
        </w:rPr>
        <w:t>遴选响应</w:t>
      </w:r>
      <w:r>
        <w:rPr>
          <w:rFonts w:hint="eastAsia" w:ascii="宋体" w:hAnsi="宋体" w:cs="宋体"/>
          <w:szCs w:val="21"/>
          <w:lang w:eastAsia="zh-TW"/>
        </w:rPr>
        <w:t>将被视为非实质性</w:t>
      </w:r>
      <w:r>
        <w:rPr>
          <w:rFonts w:hint="eastAsia" w:ascii="宋体" w:hAnsi="宋体" w:cs="宋体"/>
          <w:szCs w:val="21"/>
          <w:lang w:eastAsia="zh-CN"/>
        </w:rPr>
        <w:t>遴选响应</w:t>
      </w:r>
      <w:r>
        <w:rPr>
          <w:rFonts w:hint="eastAsia" w:ascii="宋体" w:hAnsi="宋体"/>
          <w:szCs w:val="21"/>
        </w:rPr>
        <w:t>，</w:t>
      </w:r>
      <w:r>
        <w:rPr>
          <w:rFonts w:hint="eastAsia" w:ascii="宋体" w:hAnsi="宋体" w:cs="宋体"/>
          <w:szCs w:val="21"/>
        </w:rPr>
        <w:t>视为无效</w:t>
      </w:r>
      <w:r>
        <w:rPr>
          <w:rFonts w:hint="eastAsia" w:ascii="宋体" w:hAnsi="宋体" w:cs="宋体"/>
          <w:szCs w:val="21"/>
          <w:lang w:eastAsia="zh-CN"/>
        </w:rPr>
        <w:t>遴选响应</w:t>
      </w:r>
      <w:r>
        <w:rPr>
          <w:rFonts w:hint="eastAsia" w:ascii="宋体" w:hAnsi="宋体" w:cs="宋体"/>
          <w:szCs w:val="21"/>
          <w:lang w:eastAsia="zh-TW"/>
        </w:rPr>
        <w:t>。</w:t>
      </w:r>
    </w:p>
    <w:p w14:paraId="2129AB07">
      <w:pPr>
        <w:numPr>
          <w:ilvl w:val="1"/>
          <w:numId w:val="14"/>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特殊情况下</w:t>
      </w:r>
      <w:r>
        <w:rPr>
          <w:rFonts w:hint="eastAsia" w:ascii="宋体" w:hAnsi="宋体" w:cs="宋体"/>
          <w:szCs w:val="21"/>
        </w:rPr>
        <w:t>，</w:t>
      </w:r>
      <w:r>
        <w:rPr>
          <w:rFonts w:hint="eastAsia" w:ascii="宋体" w:hAnsi="宋体" w:cs="宋体"/>
          <w:szCs w:val="21"/>
          <w:lang w:eastAsia="zh-TW"/>
        </w:rPr>
        <w:t>在原</w:t>
      </w:r>
      <w:r>
        <w:rPr>
          <w:rFonts w:hint="eastAsia" w:ascii="宋体" w:hAnsi="宋体" w:cs="宋体"/>
          <w:szCs w:val="21"/>
          <w:lang w:eastAsia="zh-CN"/>
        </w:rPr>
        <w:t>遴选响应</w:t>
      </w:r>
      <w:r>
        <w:rPr>
          <w:rFonts w:hint="eastAsia" w:ascii="宋体" w:hAnsi="宋体" w:cs="宋体"/>
          <w:szCs w:val="21"/>
          <w:lang w:eastAsia="zh-TW"/>
        </w:rPr>
        <w:t>有效期截止之前</w:t>
      </w:r>
      <w:r>
        <w:rPr>
          <w:rFonts w:hint="eastAsia" w:ascii="宋体" w:hAnsi="宋体" w:cs="宋体"/>
          <w:szCs w:val="21"/>
        </w:rPr>
        <w:t>，</w:t>
      </w:r>
      <w:r>
        <w:rPr>
          <w:rFonts w:hint="eastAsia" w:ascii="宋体" w:hAnsi="宋体" w:cs="宋体"/>
          <w:szCs w:val="21"/>
          <w:lang w:val="en-US" w:eastAsia="zh-CN"/>
        </w:rPr>
        <w:t>采购人</w:t>
      </w:r>
      <w:r>
        <w:rPr>
          <w:rFonts w:hint="eastAsia" w:ascii="宋体" w:hAnsi="宋体" w:cs="宋体"/>
          <w:szCs w:val="21"/>
          <w:lang w:eastAsia="zh-TW"/>
        </w:rPr>
        <w:t>可要求</w:t>
      </w:r>
      <w:r>
        <w:rPr>
          <w:rFonts w:hint="eastAsia" w:ascii="宋体" w:hAnsi="宋体" w:cs="宋体"/>
          <w:szCs w:val="21"/>
          <w:lang w:eastAsia="zh-CN"/>
        </w:rPr>
        <w:t>遴选响应方</w:t>
      </w:r>
      <w:r>
        <w:rPr>
          <w:rFonts w:hint="eastAsia" w:ascii="宋体" w:hAnsi="宋体" w:cs="宋体"/>
          <w:szCs w:val="21"/>
          <w:lang w:eastAsia="zh-TW"/>
        </w:rPr>
        <w:t>延长</w:t>
      </w:r>
      <w:r>
        <w:rPr>
          <w:rFonts w:hint="eastAsia" w:ascii="宋体" w:hAnsi="宋体" w:cs="宋体"/>
          <w:szCs w:val="21"/>
          <w:lang w:eastAsia="zh-CN"/>
        </w:rPr>
        <w:t>遴选响应</w:t>
      </w:r>
      <w:r>
        <w:rPr>
          <w:rFonts w:hint="eastAsia" w:ascii="宋体" w:hAnsi="宋体" w:cs="宋体"/>
          <w:szCs w:val="21"/>
          <w:lang w:eastAsia="zh-TW"/>
        </w:rPr>
        <w:t>有效期。这种要求与答复均应以书面形式提交。</w:t>
      </w:r>
      <w:r>
        <w:rPr>
          <w:rFonts w:hint="eastAsia" w:ascii="宋体" w:hAnsi="宋体" w:cs="宋体"/>
          <w:szCs w:val="21"/>
          <w:lang w:eastAsia="zh-CN"/>
        </w:rPr>
        <w:t>遴选响应方</w:t>
      </w:r>
      <w:r>
        <w:rPr>
          <w:rFonts w:hint="eastAsia" w:ascii="宋体" w:hAnsi="宋体" w:cs="宋体"/>
          <w:szCs w:val="21"/>
          <w:lang w:eastAsia="zh-TW"/>
        </w:rPr>
        <w:t>可拒绝</w:t>
      </w:r>
      <w:r>
        <w:rPr>
          <w:rFonts w:hint="eastAsia" w:ascii="宋体" w:hAnsi="宋体" w:cs="宋体"/>
          <w:szCs w:val="21"/>
          <w:lang w:val="en-US" w:eastAsia="zh-CN"/>
        </w:rPr>
        <w:t>采购人</w:t>
      </w:r>
      <w:r>
        <w:rPr>
          <w:rFonts w:hint="eastAsia" w:ascii="宋体" w:hAnsi="宋体" w:cs="宋体"/>
          <w:szCs w:val="21"/>
          <w:lang w:eastAsia="zh-TW"/>
        </w:rPr>
        <w:t>的这种要求</w:t>
      </w:r>
      <w:r>
        <w:rPr>
          <w:rFonts w:hint="eastAsia" w:ascii="宋体" w:hAnsi="宋体" w:cs="宋体"/>
          <w:szCs w:val="21"/>
        </w:rPr>
        <w:t>，</w:t>
      </w:r>
      <w:r>
        <w:rPr>
          <w:rFonts w:hint="eastAsia" w:ascii="宋体" w:hAnsi="宋体" w:cs="宋体"/>
          <w:szCs w:val="21"/>
          <w:lang w:eastAsia="zh-TW"/>
        </w:rPr>
        <w:t>其</w:t>
      </w:r>
      <w:r>
        <w:rPr>
          <w:rFonts w:hint="eastAsia" w:ascii="宋体" w:hAnsi="宋体" w:cs="宋体"/>
          <w:szCs w:val="21"/>
          <w:lang w:eastAsia="zh-CN"/>
        </w:rPr>
        <w:t>遴选响应</w:t>
      </w:r>
      <w:r>
        <w:rPr>
          <w:rFonts w:hint="eastAsia" w:ascii="宋体" w:hAnsi="宋体" w:cs="宋体"/>
          <w:szCs w:val="21"/>
          <w:lang w:eastAsia="zh-TW"/>
        </w:rPr>
        <w:t>保证金将</w:t>
      </w:r>
      <w:r>
        <w:rPr>
          <w:rFonts w:hint="eastAsia" w:ascii="宋体" w:hAnsi="宋体" w:cs="宋体"/>
          <w:szCs w:val="21"/>
        </w:rPr>
        <w:t>予以退还，</w:t>
      </w:r>
      <w:r>
        <w:rPr>
          <w:rFonts w:hint="eastAsia" w:ascii="宋体" w:hAnsi="宋体" w:cs="宋体"/>
          <w:szCs w:val="21"/>
          <w:lang w:eastAsia="zh-TW"/>
        </w:rPr>
        <w:t>但其</w:t>
      </w:r>
      <w:r>
        <w:rPr>
          <w:rFonts w:hint="eastAsia" w:ascii="宋体" w:hAnsi="宋体" w:cs="宋体"/>
          <w:szCs w:val="21"/>
          <w:lang w:eastAsia="zh-CN"/>
        </w:rPr>
        <w:t>遴选响应</w:t>
      </w:r>
      <w:r>
        <w:rPr>
          <w:rFonts w:hint="eastAsia" w:ascii="宋体" w:hAnsi="宋体" w:cs="宋体"/>
          <w:szCs w:val="21"/>
          <w:lang w:eastAsia="zh-TW"/>
        </w:rPr>
        <w:t>在原</w:t>
      </w:r>
      <w:r>
        <w:rPr>
          <w:rFonts w:hint="eastAsia" w:ascii="宋体" w:hAnsi="宋体" w:cs="宋体"/>
          <w:szCs w:val="21"/>
          <w:lang w:eastAsia="zh-CN"/>
        </w:rPr>
        <w:t>遴选响应</w:t>
      </w:r>
      <w:r>
        <w:rPr>
          <w:rFonts w:hint="eastAsia" w:ascii="宋体" w:hAnsi="宋体" w:cs="宋体"/>
          <w:szCs w:val="21"/>
          <w:lang w:eastAsia="zh-TW"/>
        </w:rPr>
        <w:t>有效期期满后将不再有效。同意延长</w:t>
      </w:r>
      <w:r>
        <w:rPr>
          <w:rFonts w:hint="eastAsia" w:ascii="宋体" w:hAnsi="宋体" w:cs="宋体"/>
          <w:szCs w:val="21"/>
          <w:lang w:eastAsia="zh-CN"/>
        </w:rPr>
        <w:t>遴选响应</w:t>
      </w:r>
      <w:r>
        <w:rPr>
          <w:rFonts w:hint="eastAsia" w:ascii="宋体" w:hAnsi="宋体" w:cs="宋体"/>
          <w:szCs w:val="21"/>
          <w:lang w:eastAsia="zh-TW"/>
        </w:rPr>
        <w:t>有效期的</w:t>
      </w:r>
      <w:r>
        <w:rPr>
          <w:rFonts w:hint="eastAsia" w:ascii="宋体" w:hAnsi="宋体" w:cs="宋体"/>
          <w:szCs w:val="21"/>
          <w:lang w:eastAsia="zh-CN"/>
        </w:rPr>
        <w:t>遴选响应方</w:t>
      </w:r>
      <w:r>
        <w:rPr>
          <w:rFonts w:hint="eastAsia" w:ascii="宋体" w:hAnsi="宋体" w:cs="宋体"/>
          <w:szCs w:val="21"/>
          <w:lang w:eastAsia="zh-TW"/>
        </w:rPr>
        <w:t>将不会被要求和允许修正其</w:t>
      </w:r>
      <w:r>
        <w:rPr>
          <w:rFonts w:hint="eastAsia" w:ascii="宋体" w:hAnsi="宋体" w:cs="宋体"/>
          <w:szCs w:val="21"/>
          <w:lang w:eastAsia="zh-CN"/>
        </w:rPr>
        <w:t>遴选响应</w:t>
      </w:r>
      <w:r>
        <w:rPr>
          <w:rFonts w:hint="eastAsia" w:ascii="宋体" w:hAnsi="宋体" w:cs="宋体"/>
          <w:szCs w:val="21"/>
        </w:rPr>
        <w:t>，</w:t>
      </w:r>
      <w:r>
        <w:rPr>
          <w:rFonts w:hint="eastAsia" w:ascii="宋体" w:hAnsi="宋体" w:cs="宋体"/>
          <w:szCs w:val="21"/>
          <w:lang w:eastAsia="zh-TW"/>
        </w:rPr>
        <w:t>而只会被要求相应地延长其</w:t>
      </w:r>
      <w:r>
        <w:rPr>
          <w:rFonts w:hint="eastAsia" w:ascii="宋体" w:hAnsi="宋体" w:cs="宋体"/>
          <w:szCs w:val="21"/>
          <w:lang w:eastAsia="zh-CN"/>
        </w:rPr>
        <w:t>遴选响应</w:t>
      </w:r>
      <w:r>
        <w:rPr>
          <w:rFonts w:hint="eastAsia" w:ascii="宋体" w:hAnsi="宋体" w:cs="宋体"/>
          <w:szCs w:val="21"/>
          <w:lang w:eastAsia="zh-TW"/>
        </w:rPr>
        <w:t>保证金的有效期。在这种情况下</w:t>
      </w:r>
      <w:r>
        <w:rPr>
          <w:rFonts w:hint="eastAsia" w:ascii="宋体" w:hAnsi="宋体" w:cs="宋体"/>
          <w:szCs w:val="21"/>
        </w:rPr>
        <w:t>，</w:t>
      </w:r>
      <w:r>
        <w:rPr>
          <w:rFonts w:hint="eastAsia" w:ascii="宋体" w:hAnsi="宋体" w:cs="宋体"/>
          <w:szCs w:val="21"/>
          <w:lang w:eastAsia="zh-TW"/>
        </w:rPr>
        <w:t>本须知有关</w:t>
      </w:r>
      <w:r>
        <w:rPr>
          <w:rFonts w:hint="eastAsia" w:ascii="宋体" w:hAnsi="宋体" w:cs="宋体"/>
          <w:szCs w:val="21"/>
          <w:lang w:eastAsia="zh-CN"/>
        </w:rPr>
        <w:t>遴选响应</w:t>
      </w:r>
      <w:r>
        <w:rPr>
          <w:rFonts w:hint="eastAsia" w:ascii="宋体" w:hAnsi="宋体" w:cs="宋体"/>
          <w:szCs w:val="21"/>
          <w:lang w:eastAsia="zh-TW"/>
        </w:rPr>
        <w:t>保证金的退还和</w:t>
      </w:r>
      <w:r>
        <w:rPr>
          <w:rFonts w:hint="eastAsia" w:ascii="宋体" w:hAnsi="宋体" w:cs="宋体"/>
          <w:szCs w:val="21"/>
        </w:rPr>
        <w:t>不予退还</w:t>
      </w:r>
      <w:r>
        <w:rPr>
          <w:rFonts w:hint="eastAsia" w:ascii="宋体" w:hAnsi="宋体" w:cs="宋体"/>
          <w:szCs w:val="21"/>
          <w:lang w:eastAsia="zh-TW"/>
        </w:rPr>
        <w:t>的规定将在延长了的有效期内继续有效。</w:t>
      </w:r>
    </w:p>
    <w:p w14:paraId="5692E5C3">
      <w:pPr>
        <w:numPr>
          <w:ilvl w:val="0"/>
          <w:numId w:val="14"/>
        </w:numPr>
        <w:autoSpaceDE w:val="0"/>
        <w:autoSpaceDN w:val="0"/>
        <w:adjustRightInd w:val="0"/>
        <w:snapToGrid w:val="0"/>
        <w:spacing w:line="360" w:lineRule="auto"/>
        <w:ind w:left="449" w:hanging="449" w:hangingChars="213"/>
        <w:outlineLvl w:val="9"/>
        <w:rPr>
          <w:rFonts w:ascii="宋体" w:hAnsi="宋体"/>
          <w:b/>
          <w:bCs/>
          <w:szCs w:val="21"/>
        </w:rPr>
      </w:pPr>
      <w:bookmarkStart w:id="165" w:name="_Toc20270"/>
      <w:r>
        <w:rPr>
          <w:rFonts w:hint="eastAsia" w:ascii="宋体" w:hAnsi="宋体"/>
          <w:b/>
          <w:bCs/>
          <w:szCs w:val="21"/>
          <w:lang w:eastAsia="zh-CN"/>
        </w:rPr>
        <w:t>遴选响应文件</w:t>
      </w:r>
      <w:r>
        <w:rPr>
          <w:rFonts w:hint="eastAsia" w:ascii="宋体" w:hAnsi="宋体"/>
          <w:b/>
          <w:bCs/>
          <w:szCs w:val="21"/>
        </w:rPr>
        <w:t>的式样和签署、密封</w:t>
      </w:r>
      <w:bookmarkEnd w:id="165"/>
    </w:p>
    <w:p w14:paraId="5C8548D9">
      <w:pPr>
        <w:numPr>
          <w:ilvl w:val="1"/>
          <w:numId w:val="14"/>
        </w:numPr>
        <w:autoSpaceDE w:val="0"/>
        <w:autoSpaceDN w:val="0"/>
        <w:adjustRightInd w:val="0"/>
        <w:snapToGrid w:val="0"/>
        <w:spacing w:line="360" w:lineRule="auto"/>
        <w:rPr>
          <w:rFonts w:ascii="宋体" w:hAnsi="宋体" w:cs="黑体"/>
          <w:b/>
          <w:bCs/>
          <w:szCs w:val="21"/>
        </w:rPr>
      </w:pPr>
      <w:bookmarkStart w:id="166" w:name="_Toc435516653"/>
      <w:bookmarkStart w:id="167" w:name="_Toc438223139"/>
      <w:bookmarkStart w:id="168" w:name="_Toc435174936"/>
      <w:r>
        <w:rPr>
          <w:rFonts w:hint="eastAsia" w:ascii="宋体" w:hAnsi="宋体" w:cs="宋体"/>
          <w:szCs w:val="21"/>
          <w:lang w:eastAsia="zh-CN"/>
        </w:rPr>
        <w:t>遴选响应文件</w:t>
      </w:r>
      <w:r>
        <w:rPr>
          <w:rFonts w:hint="eastAsia" w:ascii="宋体" w:hAnsi="宋体" w:cs="宋体"/>
          <w:szCs w:val="21"/>
          <w:lang w:eastAsia="zh-TW"/>
        </w:rPr>
        <w:t>的式样：</w:t>
      </w:r>
      <w:r>
        <w:rPr>
          <w:rFonts w:hint="eastAsia" w:ascii="宋体" w:hAnsi="宋体" w:cs="宋体"/>
          <w:szCs w:val="21"/>
          <w:lang w:eastAsia="zh-CN"/>
        </w:rPr>
        <w:t>遴选响应方</w:t>
      </w:r>
      <w:r>
        <w:rPr>
          <w:rFonts w:hint="eastAsia" w:ascii="宋体" w:hAnsi="宋体" w:cs="宋体"/>
          <w:szCs w:val="21"/>
          <w:lang w:eastAsia="zh-TW"/>
        </w:rPr>
        <w:t>应准备</w:t>
      </w:r>
      <w:r>
        <w:rPr>
          <w:rFonts w:hint="eastAsia" w:ascii="宋体" w:hAnsi="宋体" w:cs="宋体"/>
          <w:szCs w:val="21"/>
        </w:rPr>
        <w:t>纸质</w:t>
      </w:r>
      <w:r>
        <w:rPr>
          <w:rFonts w:hint="eastAsia" w:ascii="宋体" w:hAnsi="宋体" w:cs="宋体"/>
          <w:szCs w:val="21"/>
          <w:lang w:eastAsia="zh-CN"/>
        </w:rPr>
        <w:t>遴选响应文件</w:t>
      </w:r>
      <w:r>
        <w:rPr>
          <w:rFonts w:hint="eastAsia" w:ascii="宋体" w:hAnsi="宋体" w:cs="宋体"/>
          <w:szCs w:val="21"/>
          <w:lang w:eastAsia="zh-TW"/>
        </w:rPr>
        <w:t>一份正本</w:t>
      </w:r>
      <w:r>
        <w:rPr>
          <w:rFonts w:hint="eastAsia" w:ascii="宋体" w:hAnsi="宋体" w:cs="宋体"/>
          <w:szCs w:val="21"/>
        </w:rPr>
        <w:t>、电子文件</w:t>
      </w:r>
      <w:r>
        <w:rPr>
          <w:rFonts w:hint="eastAsia" w:ascii="宋体" w:hAnsi="宋体" w:cs="宋体"/>
          <w:szCs w:val="21"/>
          <w:lang w:eastAsia="zh-TW"/>
        </w:rPr>
        <w:t>和</w:t>
      </w:r>
      <w:r>
        <w:rPr>
          <w:rFonts w:hint="eastAsia" w:ascii="宋体" w:hAnsi="宋体" w:cs="宋体"/>
          <w:b/>
          <w:szCs w:val="21"/>
          <w:lang w:eastAsia="zh-CN"/>
        </w:rPr>
        <w:t>遴选响应</w:t>
      </w:r>
      <w:r>
        <w:rPr>
          <w:rFonts w:hint="eastAsia" w:ascii="宋体" w:hAnsi="宋体" w:cs="宋体"/>
          <w:b/>
          <w:szCs w:val="21"/>
          <w:lang w:eastAsia="zh-TW"/>
        </w:rPr>
        <w:t>资料表</w:t>
      </w:r>
      <w:r>
        <w:rPr>
          <w:rFonts w:hint="eastAsia" w:ascii="宋体" w:hAnsi="宋体" w:cs="宋体"/>
          <w:szCs w:val="21"/>
          <w:lang w:eastAsia="zh-TW"/>
        </w:rPr>
        <w:t>中规定数目的</w:t>
      </w:r>
      <w:r>
        <w:rPr>
          <w:rFonts w:hint="eastAsia" w:ascii="宋体" w:hAnsi="宋体" w:cs="宋体"/>
          <w:szCs w:val="21"/>
        </w:rPr>
        <w:t>纸质</w:t>
      </w:r>
      <w:r>
        <w:rPr>
          <w:rFonts w:hint="eastAsia" w:ascii="宋体" w:hAnsi="宋体" w:cs="宋体"/>
          <w:szCs w:val="21"/>
          <w:lang w:eastAsia="zh-TW"/>
        </w:rPr>
        <w:t>副本</w:t>
      </w:r>
      <w:r>
        <w:rPr>
          <w:rFonts w:hint="eastAsia" w:ascii="宋体" w:hAnsi="宋体" w:cs="宋体"/>
          <w:szCs w:val="21"/>
        </w:rPr>
        <w:t>。</w:t>
      </w:r>
      <w:r>
        <w:rPr>
          <w:rFonts w:hint="eastAsia" w:ascii="宋体" w:hAnsi="宋体" w:cs="宋体"/>
          <w:szCs w:val="21"/>
          <w:lang w:eastAsia="zh-CN"/>
        </w:rPr>
        <w:t>遴选响应文件</w:t>
      </w:r>
      <w:r>
        <w:rPr>
          <w:rFonts w:hint="eastAsia" w:ascii="宋体" w:hAnsi="宋体" w:cs="宋体"/>
          <w:szCs w:val="21"/>
          <w:lang w:eastAsia="zh-TW"/>
        </w:rPr>
        <w:t>的副本可采用正本的复印件。每套</w:t>
      </w:r>
      <w:r>
        <w:rPr>
          <w:rFonts w:hint="eastAsia" w:ascii="宋体" w:hAnsi="宋体" w:cs="宋体"/>
          <w:szCs w:val="21"/>
          <w:lang w:eastAsia="zh-CN"/>
        </w:rPr>
        <w:t>遴选响应文件</w:t>
      </w:r>
      <w:r>
        <w:rPr>
          <w:rFonts w:hint="eastAsia" w:ascii="宋体" w:hAnsi="宋体" w:cs="宋体"/>
          <w:szCs w:val="21"/>
          <w:lang w:eastAsia="zh-TW"/>
        </w:rPr>
        <w:t>须清楚地标明“正本”或</w:t>
      </w:r>
      <w:r>
        <w:rPr>
          <w:rFonts w:hint="eastAsia" w:ascii="宋体" w:hAnsi="宋体" w:cs="宋体"/>
          <w:szCs w:val="21"/>
        </w:rPr>
        <w:t>“副</w:t>
      </w:r>
      <w:r>
        <w:rPr>
          <w:rFonts w:hint="eastAsia" w:ascii="宋体" w:hAnsi="宋体" w:cs="宋体"/>
          <w:szCs w:val="21"/>
          <w:lang w:eastAsia="zh-TW"/>
        </w:rPr>
        <w:t>本</w:t>
      </w:r>
      <w:r>
        <w:rPr>
          <w:rFonts w:hint="eastAsia" w:ascii="宋体" w:hAnsi="宋体" w:cs="宋体"/>
          <w:szCs w:val="21"/>
        </w:rPr>
        <w:t>”</w:t>
      </w:r>
      <w:r>
        <w:rPr>
          <w:rFonts w:hint="eastAsia" w:ascii="宋体" w:hAnsi="宋体" w:cs="宋体"/>
          <w:szCs w:val="21"/>
          <w:lang w:eastAsia="zh-TW"/>
        </w:rPr>
        <w:t>。若副本与正本不符</w:t>
      </w:r>
      <w:r>
        <w:rPr>
          <w:rFonts w:hint="eastAsia" w:ascii="宋体" w:hAnsi="宋体" w:cs="宋体"/>
          <w:szCs w:val="21"/>
        </w:rPr>
        <w:t>，</w:t>
      </w:r>
      <w:r>
        <w:rPr>
          <w:rFonts w:hint="eastAsia" w:ascii="宋体" w:hAnsi="宋体" w:cs="宋体"/>
          <w:szCs w:val="21"/>
          <w:lang w:eastAsia="zh-TW"/>
        </w:rPr>
        <w:t>以正本为准。</w:t>
      </w:r>
    </w:p>
    <w:p w14:paraId="004892F7">
      <w:pPr>
        <w:numPr>
          <w:ilvl w:val="1"/>
          <w:numId w:val="1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电子文件：是指将按</w:t>
      </w:r>
      <w:r>
        <w:rPr>
          <w:rFonts w:hint="eastAsia" w:ascii="宋体" w:hAnsi="宋体" w:cs="宋体"/>
          <w:szCs w:val="21"/>
          <w:lang w:val="en-US" w:eastAsia="zh-CN"/>
        </w:rPr>
        <w:t>遴选文件</w:t>
      </w:r>
      <w:r>
        <w:rPr>
          <w:rFonts w:hint="eastAsia" w:ascii="宋体" w:hAnsi="宋体" w:cs="宋体"/>
          <w:szCs w:val="21"/>
          <w:lang w:eastAsia="zh-TW"/>
        </w:rPr>
        <w:t>要求签署、盖章后的正本</w:t>
      </w:r>
      <w:r>
        <w:rPr>
          <w:rFonts w:hint="eastAsia" w:ascii="宋体" w:hAnsi="宋体" w:cs="宋体"/>
          <w:szCs w:val="21"/>
          <w:lang w:eastAsia="zh-CN"/>
        </w:rPr>
        <w:t>遴选响应文件</w:t>
      </w:r>
      <w:r>
        <w:rPr>
          <w:rFonts w:hint="eastAsia" w:ascii="宋体" w:hAnsi="宋体" w:cs="宋体"/>
          <w:szCs w:val="21"/>
          <w:lang w:eastAsia="zh-TW"/>
        </w:rPr>
        <w:t>扫描成PDF格式后拷贝至无病毒无密码的U盘或光盘。电子文件与正本</w:t>
      </w:r>
      <w:r>
        <w:rPr>
          <w:rFonts w:hint="eastAsia" w:ascii="宋体" w:hAnsi="宋体" w:cs="宋体"/>
          <w:szCs w:val="21"/>
          <w:lang w:eastAsia="zh-CN"/>
        </w:rPr>
        <w:t>遴选响应文件</w:t>
      </w:r>
      <w:r>
        <w:rPr>
          <w:rFonts w:hint="eastAsia" w:ascii="宋体" w:hAnsi="宋体" w:cs="宋体"/>
          <w:szCs w:val="21"/>
          <w:lang w:eastAsia="zh-TW"/>
        </w:rPr>
        <w:t>一同密封</w:t>
      </w:r>
      <w:r>
        <w:rPr>
          <w:rFonts w:hint="eastAsia" w:ascii="宋体" w:hAnsi="宋体" w:cs="宋体"/>
          <w:szCs w:val="21"/>
        </w:rPr>
        <w:t>，若电子文件</w:t>
      </w:r>
      <w:r>
        <w:rPr>
          <w:rFonts w:hint="eastAsia" w:ascii="宋体" w:hAnsi="宋体" w:cs="宋体"/>
          <w:szCs w:val="21"/>
          <w:lang w:eastAsia="zh-TW"/>
        </w:rPr>
        <w:t>与正本不符</w:t>
      </w:r>
      <w:r>
        <w:rPr>
          <w:rFonts w:hint="eastAsia" w:ascii="宋体" w:hAnsi="宋体" w:cs="宋体"/>
          <w:szCs w:val="21"/>
        </w:rPr>
        <w:t>，</w:t>
      </w:r>
      <w:r>
        <w:rPr>
          <w:rFonts w:hint="eastAsia" w:ascii="宋体" w:hAnsi="宋体" w:cs="宋体"/>
          <w:szCs w:val="21"/>
          <w:lang w:eastAsia="zh-TW"/>
        </w:rPr>
        <w:t>以正本为准</w:t>
      </w:r>
      <w:r>
        <w:rPr>
          <w:rFonts w:hint="eastAsia" w:ascii="宋体" w:hAnsi="宋体" w:cs="宋体"/>
          <w:szCs w:val="21"/>
        </w:rPr>
        <w:t>。</w:t>
      </w:r>
    </w:p>
    <w:p w14:paraId="7B3AB0F2">
      <w:pPr>
        <w:numPr>
          <w:ilvl w:val="1"/>
          <w:numId w:val="1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CN"/>
        </w:rPr>
        <w:t>遴选响应文件</w:t>
      </w:r>
      <w:r>
        <w:rPr>
          <w:rFonts w:hint="eastAsia" w:ascii="宋体" w:hAnsi="宋体" w:cs="宋体"/>
          <w:szCs w:val="21"/>
          <w:lang w:eastAsia="zh-TW"/>
        </w:rPr>
        <w:t>的签署：</w:t>
      </w:r>
      <w:r>
        <w:rPr>
          <w:rFonts w:ascii="宋体" w:hAnsi="宋体" w:cs="黑体"/>
          <w:b/>
          <w:bCs/>
          <w:szCs w:val="21"/>
        </w:rPr>
        <w:t xml:space="preserve"> </w:t>
      </w:r>
    </w:p>
    <w:p w14:paraId="15A31BFE">
      <w:pPr>
        <w:numPr>
          <w:ilvl w:val="2"/>
          <w:numId w:val="14"/>
        </w:numPr>
        <w:autoSpaceDE w:val="0"/>
        <w:autoSpaceDN w:val="0"/>
        <w:adjustRightInd w:val="0"/>
        <w:snapToGrid w:val="0"/>
        <w:spacing w:line="360" w:lineRule="auto"/>
        <w:ind w:left="851" w:hanging="851"/>
        <w:rPr>
          <w:rFonts w:ascii="宋体" w:hAnsi="宋体"/>
          <w:szCs w:val="21"/>
        </w:rPr>
      </w:pPr>
      <w:r>
        <w:rPr>
          <w:rFonts w:hint="eastAsia" w:ascii="宋体" w:hAnsi="宋体" w:cs="宋体"/>
          <w:szCs w:val="21"/>
          <w:lang w:eastAsia="zh-CN"/>
        </w:rPr>
        <w:t>遴选响应文件</w:t>
      </w:r>
      <w:r>
        <w:rPr>
          <w:rFonts w:hint="eastAsia" w:ascii="宋体" w:hAnsi="宋体" w:cs="宋体"/>
          <w:szCs w:val="21"/>
          <w:lang w:eastAsia="zh-TW"/>
        </w:rPr>
        <w:t>的正本需打印或用不褪色墨水书写</w:t>
      </w:r>
      <w:r>
        <w:rPr>
          <w:rFonts w:hint="eastAsia" w:ascii="宋体" w:hAnsi="宋体" w:cs="宋体"/>
          <w:szCs w:val="21"/>
        </w:rPr>
        <w:t>，且</w:t>
      </w:r>
      <w:r>
        <w:rPr>
          <w:rFonts w:hint="eastAsia" w:ascii="宋体" w:hAnsi="宋体" w:cs="宋体"/>
          <w:szCs w:val="21"/>
          <w:lang w:val="en-US" w:eastAsia="zh-CN"/>
        </w:rPr>
        <w:t>遴选文件</w:t>
      </w:r>
      <w:r>
        <w:rPr>
          <w:rFonts w:hint="eastAsia" w:ascii="宋体" w:hAnsi="宋体" w:cs="宋体"/>
          <w:szCs w:val="21"/>
        </w:rPr>
        <w:t>要求签名的</w:t>
      </w:r>
      <w:r>
        <w:rPr>
          <w:rFonts w:hint="eastAsia" w:ascii="宋体" w:hAnsi="宋体" w:cs="宋体"/>
          <w:szCs w:val="21"/>
          <w:lang w:eastAsia="zh-TW"/>
        </w:rPr>
        <w:t>由</w:t>
      </w:r>
      <w:r>
        <w:rPr>
          <w:rFonts w:hint="eastAsia" w:ascii="宋体" w:hAnsi="宋体" w:cs="宋体"/>
          <w:szCs w:val="21"/>
        </w:rPr>
        <w:t>法定</w:t>
      </w:r>
      <w:r>
        <w:rPr>
          <w:rFonts w:hint="eastAsia" w:ascii="宋体" w:hAnsi="宋体" w:cs="宋体"/>
          <w:szCs w:val="21"/>
          <w:lang w:eastAsia="zh-TW"/>
        </w:rPr>
        <w:t>代表人或经其正式授权的代表签字</w:t>
      </w:r>
      <w:r>
        <w:rPr>
          <w:rFonts w:hint="eastAsia" w:ascii="宋体" w:hAnsi="宋体" w:cs="宋体"/>
          <w:szCs w:val="21"/>
        </w:rPr>
        <w:t>或盖章</w:t>
      </w:r>
      <w:r>
        <w:rPr>
          <w:rFonts w:hint="eastAsia" w:ascii="宋体" w:hAnsi="宋体" w:cs="宋体"/>
          <w:szCs w:val="21"/>
          <w:lang w:eastAsia="zh-TW"/>
        </w:rPr>
        <w:t>，以及</w:t>
      </w:r>
      <w:r>
        <w:rPr>
          <w:rFonts w:hint="eastAsia" w:ascii="宋体" w:hAnsi="宋体" w:cs="宋体"/>
          <w:szCs w:val="21"/>
          <w:lang w:val="en-US" w:eastAsia="zh-CN"/>
        </w:rPr>
        <w:t>遴选文件</w:t>
      </w:r>
      <w:r>
        <w:rPr>
          <w:rFonts w:hint="eastAsia" w:ascii="宋体" w:hAnsi="宋体" w:cs="宋体"/>
          <w:szCs w:val="21"/>
          <w:lang w:eastAsia="zh-TW"/>
        </w:rPr>
        <w:t>中明示盖公章</w:t>
      </w:r>
      <w:r>
        <w:rPr>
          <w:rFonts w:hint="eastAsia" w:ascii="宋体" w:hAnsi="宋体" w:cs="宋体"/>
          <w:szCs w:val="21"/>
        </w:rPr>
        <w:t>处</w:t>
      </w:r>
      <w:r>
        <w:rPr>
          <w:rFonts w:hint="eastAsia" w:ascii="宋体" w:hAnsi="宋体" w:cs="宋体"/>
          <w:szCs w:val="21"/>
          <w:lang w:eastAsia="zh-TW"/>
        </w:rPr>
        <w:t>及</w:t>
      </w:r>
      <w:r>
        <w:rPr>
          <w:rFonts w:hint="eastAsia" w:ascii="宋体" w:hAnsi="宋体" w:cs="宋体"/>
          <w:szCs w:val="21"/>
        </w:rPr>
        <w:t>要求</w:t>
      </w:r>
      <w:r>
        <w:rPr>
          <w:rFonts w:hint="eastAsia" w:ascii="宋体" w:hAnsi="宋体" w:cs="宋体"/>
          <w:szCs w:val="21"/>
          <w:lang w:eastAsia="zh-TW"/>
        </w:rPr>
        <w:t>提供的证明材料应盖</w:t>
      </w:r>
      <w:r>
        <w:rPr>
          <w:rFonts w:hint="eastAsia" w:ascii="宋体" w:hAnsi="宋体" w:cs="宋体"/>
          <w:szCs w:val="21"/>
          <w:lang w:eastAsia="zh-CN"/>
        </w:rPr>
        <w:t>遴选响应方</w:t>
      </w:r>
      <w:r>
        <w:rPr>
          <w:rFonts w:hint="eastAsia" w:ascii="宋体" w:hAnsi="宋体" w:cs="宋体"/>
          <w:szCs w:val="21"/>
          <w:lang w:eastAsia="zh-TW"/>
        </w:rPr>
        <w:t>公章，</w:t>
      </w:r>
      <w:r>
        <w:rPr>
          <w:rFonts w:hint="eastAsia" w:ascii="宋体" w:hAnsi="宋体" w:cs="宋体"/>
          <w:szCs w:val="21"/>
        </w:rPr>
        <w:t>副本可以</w:t>
      </w:r>
      <w:r>
        <w:rPr>
          <w:rFonts w:hint="eastAsia" w:ascii="宋体" w:hAnsi="宋体" w:cs="Courier New"/>
        </w:rPr>
        <w:t>用正本</w:t>
      </w:r>
      <w:r>
        <w:rPr>
          <w:rFonts w:hint="eastAsia" w:ascii="宋体" w:hAnsi="宋体" w:cs="宋体"/>
          <w:szCs w:val="21"/>
        </w:rPr>
        <w:t>复印，与正本具有同等法律效力</w:t>
      </w:r>
      <w:r>
        <w:rPr>
          <w:rFonts w:hint="eastAsia" w:ascii="宋体" w:hAnsi="宋体" w:cs="宋体"/>
          <w:szCs w:val="21"/>
          <w:lang w:eastAsia="zh-TW"/>
        </w:rPr>
        <w:t>。授权代表须将以书面形式出具的《法定代表人授权</w:t>
      </w:r>
      <w:r>
        <w:rPr>
          <w:rFonts w:hint="eastAsia" w:ascii="宋体" w:hAnsi="宋体" w:cs="宋体"/>
          <w:szCs w:val="21"/>
        </w:rPr>
        <w:t>委托</w:t>
      </w:r>
      <w:r>
        <w:rPr>
          <w:rFonts w:hint="eastAsia" w:ascii="宋体" w:hAnsi="宋体" w:cs="宋体"/>
          <w:szCs w:val="21"/>
          <w:lang w:eastAsia="zh-TW"/>
        </w:rPr>
        <w:t>书》附在</w:t>
      </w:r>
      <w:r>
        <w:rPr>
          <w:rFonts w:hint="eastAsia" w:ascii="宋体" w:hAnsi="宋体" w:cs="宋体"/>
          <w:szCs w:val="21"/>
          <w:lang w:eastAsia="zh-CN"/>
        </w:rPr>
        <w:t>遴选响应文件</w:t>
      </w:r>
      <w:r>
        <w:rPr>
          <w:rFonts w:hint="eastAsia" w:ascii="宋体" w:hAnsi="宋体" w:cs="宋体"/>
          <w:szCs w:val="21"/>
          <w:lang w:eastAsia="zh-TW"/>
        </w:rPr>
        <w:t>中。</w:t>
      </w:r>
    </w:p>
    <w:p w14:paraId="2D75ACAD">
      <w:pPr>
        <w:numPr>
          <w:ilvl w:val="2"/>
          <w:numId w:val="14"/>
        </w:numPr>
        <w:tabs>
          <w:tab w:val="left" w:pos="851"/>
        </w:tabs>
        <w:autoSpaceDE w:val="0"/>
        <w:autoSpaceDN w:val="0"/>
        <w:adjustRightInd w:val="0"/>
        <w:snapToGrid w:val="0"/>
        <w:spacing w:line="360" w:lineRule="auto"/>
        <w:ind w:left="851" w:hanging="851"/>
        <w:rPr>
          <w:rFonts w:ascii="宋体" w:hAnsi="宋体" w:cs="宋体"/>
          <w:szCs w:val="21"/>
          <w:lang w:eastAsia="zh-TW"/>
        </w:rPr>
      </w:pPr>
      <w:r>
        <w:rPr>
          <w:rFonts w:hint="eastAsia" w:ascii="宋体" w:hAnsi="宋体" w:cs="宋体"/>
          <w:szCs w:val="21"/>
          <w:lang w:eastAsia="zh-CN"/>
        </w:rPr>
        <w:t>遴选响应文件</w:t>
      </w:r>
      <w:r>
        <w:rPr>
          <w:rFonts w:hint="eastAsia" w:ascii="宋体" w:hAnsi="宋体" w:cs="宋体"/>
          <w:szCs w:val="21"/>
          <w:lang w:eastAsia="zh-TW"/>
        </w:rPr>
        <w:t>中的任何重要的插字、涂改和增删，必须由法定代表人或经其正式授权的代表在旁边签章或签字</w:t>
      </w:r>
      <w:r>
        <w:rPr>
          <w:rFonts w:hint="eastAsia" w:ascii="宋体" w:hAnsi="宋体"/>
        </w:rPr>
        <w:t>或盖</w:t>
      </w:r>
      <w:r>
        <w:rPr>
          <w:rFonts w:hint="eastAsia" w:ascii="宋体" w:hAnsi="宋体"/>
          <w:lang w:eastAsia="zh-CN"/>
        </w:rPr>
        <w:t>遴选响应方</w:t>
      </w:r>
      <w:r>
        <w:rPr>
          <w:rFonts w:hint="eastAsia" w:ascii="宋体" w:hAnsi="宋体"/>
        </w:rPr>
        <w:t>公章</w:t>
      </w:r>
      <w:r>
        <w:rPr>
          <w:rFonts w:hint="eastAsia" w:ascii="宋体" w:hAnsi="宋体" w:cs="宋体"/>
          <w:szCs w:val="21"/>
          <w:lang w:eastAsia="zh-TW"/>
        </w:rPr>
        <w:t>才有效。</w:t>
      </w:r>
    </w:p>
    <w:p w14:paraId="166E34AE">
      <w:pPr>
        <w:numPr>
          <w:ilvl w:val="1"/>
          <w:numId w:val="1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CN"/>
        </w:rPr>
        <w:t>遴选响应文件</w:t>
      </w:r>
      <w:r>
        <w:rPr>
          <w:rFonts w:hint="eastAsia" w:ascii="宋体" w:hAnsi="宋体"/>
          <w:b/>
          <w:bCs/>
          <w:szCs w:val="21"/>
        </w:rPr>
        <w:t>密封</w:t>
      </w:r>
      <w:r>
        <w:rPr>
          <w:rFonts w:hint="eastAsia" w:ascii="宋体" w:hAnsi="宋体" w:cs="宋体"/>
          <w:szCs w:val="21"/>
          <w:lang w:eastAsia="zh-TW"/>
        </w:rPr>
        <w:t>：</w:t>
      </w:r>
    </w:p>
    <w:p w14:paraId="1CE7A3CC">
      <w:pPr>
        <w:numPr>
          <w:ilvl w:val="2"/>
          <w:numId w:val="14"/>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rPr>
        <w:t>信封或外包装上应当</w:t>
      </w:r>
      <w:r>
        <w:rPr>
          <w:rFonts w:hint="eastAsia" w:ascii="宋体" w:hAnsi="宋体" w:cs="宋体"/>
          <w:szCs w:val="21"/>
        </w:rPr>
        <w:t>清楚写明</w:t>
      </w:r>
      <w:r>
        <w:rPr>
          <w:rFonts w:hint="eastAsia" w:ascii="宋体" w:hAnsi="宋体"/>
          <w:lang w:eastAsia="zh-CN"/>
        </w:rPr>
        <w:t>遴选响应方</w:t>
      </w:r>
      <w:r>
        <w:rPr>
          <w:rFonts w:hint="eastAsia" w:ascii="宋体" w:hAnsi="宋体"/>
        </w:rPr>
        <w:t>名称、项目名称、项目编号、</w:t>
      </w:r>
      <w:r>
        <w:rPr>
          <w:rFonts w:hint="eastAsia" w:ascii="宋体" w:hAnsi="宋体" w:cs="宋体"/>
          <w:szCs w:val="21"/>
        </w:rPr>
        <w:t>包组号（如有）</w:t>
      </w:r>
      <w:r>
        <w:rPr>
          <w:rFonts w:hint="eastAsia" w:ascii="宋体" w:hAnsi="宋体" w:cs="宋体"/>
          <w:szCs w:val="21"/>
          <w:lang w:eastAsia="zh-TW"/>
        </w:rPr>
        <w:t>和</w:t>
      </w:r>
      <w:r>
        <w:rPr>
          <w:rFonts w:hint="eastAsia" w:ascii="宋体" w:hAnsi="宋体"/>
          <w:szCs w:val="21"/>
        </w:rPr>
        <w:t>“</w:t>
      </w:r>
      <w:r>
        <w:rPr>
          <w:rFonts w:hint="eastAsia" w:ascii="宋体" w:hAnsi="宋体" w:cs="宋体"/>
          <w:szCs w:val="21"/>
          <w:lang w:eastAsia="zh-TW"/>
        </w:rPr>
        <w:t>在</w:t>
      </w:r>
      <w:r>
        <w:rPr>
          <w:rFonts w:ascii="宋体" w:hAnsi="宋体" w:cs="宋体"/>
          <w:szCs w:val="21"/>
        </w:rPr>
        <w:t>(</w:t>
      </w:r>
      <w:r>
        <w:rPr>
          <w:rFonts w:hint="eastAsia" w:ascii="宋体" w:hAnsi="宋体" w:cs="宋体"/>
          <w:szCs w:val="21"/>
          <w:lang w:val="en-US" w:eastAsia="zh-CN"/>
        </w:rPr>
        <w:t>遴选文件</w:t>
      </w:r>
      <w:r>
        <w:rPr>
          <w:rFonts w:hint="eastAsia" w:ascii="宋体" w:hAnsi="宋体" w:cs="宋体"/>
          <w:szCs w:val="21"/>
        </w:rPr>
        <w:t>中规定的</w:t>
      </w:r>
      <w:r>
        <w:rPr>
          <w:rFonts w:hint="eastAsia" w:ascii="宋体" w:hAnsi="宋体" w:cs="宋体"/>
          <w:szCs w:val="21"/>
          <w:lang w:eastAsia="zh-CN"/>
        </w:rPr>
        <w:t>遴选</w:t>
      </w:r>
      <w:r>
        <w:rPr>
          <w:rFonts w:hint="eastAsia" w:ascii="宋体" w:hAnsi="宋体" w:cs="宋体"/>
          <w:szCs w:val="21"/>
        </w:rPr>
        <w:t>日期和时间</w:t>
      </w:r>
      <w:r>
        <w:rPr>
          <w:rFonts w:ascii="宋体" w:hAnsi="宋体" w:cs="宋体"/>
          <w:szCs w:val="21"/>
        </w:rPr>
        <w:t>)</w:t>
      </w:r>
      <w:r>
        <w:rPr>
          <w:rFonts w:hint="eastAsia" w:ascii="宋体" w:hAnsi="宋体" w:cs="宋体"/>
          <w:szCs w:val="21"/>
        </w:rPr>
        <w:t>之前不得启封”的</w:t>
      </w:r>
      <w:r>
        <w:rPr>
          <w:rFonts w:hint="eastAsia" w:ascii="宋体" w:hAnsi="宋体" w:cs="宋体"/>
          <w:szCs w:val="21"/>
          <w:lang w:eastAsia="zh-TW"/>
        </w:rPr>
        <w:t>字样。</w:t>
      </w:r>
    </w:p>
    <w:p w14:paraId="7D837F81">
      <w:pPr>
        <w:numPr>
          <w:ilvl w:val="2"/>
          <w:numId w:val="14"/>
        </w:numPr>
        <w:autoSpaceDE w:val="0"/>
        <w:autoSpaceDN w:val="0"/>
        <w:adjustRightInd w:val="0"/>
        <w:snapToGrid w:val="0"/>
        <w:spacing w:line="360" w:lineRule="auto"/>
        <w:ind w:left="851" w:hanging="851"/>
        <w:rPr>
          <w:rFonts w:ascii="宋体" w:hAnsi="宋体" w:cs="宋体"/>
          <w:szCs w:val="21"/>
          <w:lang w:eastAsia="zh-TW"/>
        </w:rPr>
      </w:pPr>
      <w:r>
        <w:rPr>
          <w:rFonts w:hint="eastAsia" w:ascii="宋体" w:hAnsi="宋体" w:cs="宋体"/>
          <w:szCs w:val="21"/>
          <w:lang w:eastAsia="zh-TW"/>
        </w:rPr>
        <w:t>如果未按本须知</w:t>
      </w:r>
      <w:r>
        <w:rPr>
          <w:rFonts w:hint="eastAsia" w:ascii="宋体" w:hAnsi="宋体" w:cs="宋体"/>
          <w:szCs w:val="21"/>
        </w:rPr>
        <w:t>上款</w:t>
      </w:r>
      <w:r>
        <w:rPr>
          <w:rFonts w:hint="eastAsia" w:ascii="宋体" w:hAnsi="宋体" w:cs="宋体"/>
          <w:szCs w:val="21"/>
          <w:lang w:eastAsia="zh-TW"/>
        </w:rPr>
        <w:t>要求加写标记和</w:t>
      </w:r>
      <w:r>
        <w:rPr>
          <w:rFonts w:hint="eastAsia" w:ascii="宋体" w:hAnsi="宋体" w:cs="宋体"/>
          <w:szCs w:val="21"/>
        </w:rPr>
        <w:t>密封，</w:t>
      </w:r>
      <w:r>
        <w:rPr>
          <w:rFonts w:hint="eastAsia" w:ascii="宋体" w:hAnsi="宋体" w:cs="宋体"/>
          <w:szCs w:val="21"/>
          <w:lang w:eastAsia="zh-TW"/>
        </w:rPr>
        <w:t>采购</w:t>
      </w:r>
      <w:r>
        <w:rPr>
          <w:rFonts w:hint="eastAsia" w:ascii="宋体" w:hAnsi="宋体" w:cs="宋体"/>
          <w:szCs w:val="21"/>
          <w:lang w:val="en-US" w:eastAsia="zh-CN"/>
        </w:rPr>
        <w:t>人</w:t>
      </w:r>
      <w:r>
        <w:rPr>
          <w:rFonts w:hint="eastAsia" w:ascii="宋体" w:hAnsi="宋体" w:cs="宋体"/>
          <w:szCs w:val="21"/>
          <w:lang w:eastAsia="zh-TW"/>
        </w:rPr>
        <w:t>对误投或提前启封概不负责</w:t>
      </w:r>
      <w:r>
        <w:rPr>
          <w:rFonts w:hint="eastAsia" w:ascii="宋体" w:hAnsi="宋体" w:cs="宋体"/>
          <w:szCs w:val="21"/>
        </w:rPr>
        <w:t>。</w:t>
      </w:r>
    </w:p>
    <w:p w14:paraId="38BF731F">
      <w:pPr>
        <w:pStyle w:val="3"/>
        <w:numPr>
          <w:ilvl w:val="0"/>
          <w:numId w:val="13"/>
        </w:numPr>
        <w:spacing w:line="240" w:lineRule="auto"/>
        <w:jc w:val="center"/>
        <w:rPr>
          <w:rFonts w:asciiTheme="majorEastAsia" w:hAnsiTheme="majorEastAsia" w:eastAsiaTheme="majorEastAsia"/>
          <w:sz w:val="30"/>
          <w:szCs w:val="30"/>
          <w:lang w:eastAsia="zh-TW"/>
        </w:rPr>
      </w:pPr>
      <w:bookmarkStart w:id="169" w:name="_Toc28883"/>
      <w:bookmarkStart w:id="170" w:name="_Toc21367"/>
      <w:bookmarkStart w:id="171" w:name="_Toc109893905"/>
      <w:bookmarkStart w:id="172" w:name="_Toc9879"/>
      <w:r>
        <w:rPr>
          <w:rFonts w:hint="eastAsia" w:asciiTheme="majorEastAsia" w:hAnsiTheme="majorEastAsia" w:eastAsiaTheme="majorEastAsia"/>
          <w:sz w:val="30"/>
          <w:szCs w:val="30"/>
          <w:lang w:eastAsia="zh-CN"/>
        </w:rPr>
        <w:t>遴选响应文件</w:t>
      </w:r>
      <w:r>
        <w:rPr>
          <w:rFonts w:hint="eastAsia" w:asciiTheme="majorEastAsia" w:hAnsiTheme="majorEastAsia" w:eastAsiaTheme="majorEastAsia"/>
          <w:sz w:val="30"/>
          <w:szCs w:val="30"/>
          <w:lang w:eastAsia="zh-TW"/>
        </w:rPr>
        <w:t>的递交</w:t>
      </w:r>
      <w:bookmarkEnd w:id="166"/>
      <w:bookmarkEnd w:id="167"/>
      <w:bookmarkEnd w:id="168"/>
      <w:bookmarkEnd w:id="169"/>
      <w:bookmarkEnd w:id="170"/>
      <w:bookmarkEnd w:id="171"/>
      <w:bookmarkEnd w:id="172"/>
    </w:p>
    <w:p w14:paraId="23B03E76">
      <w:pPr>
        <w:numPr>
          <w:ilvl w:val="0"/>
          <w:numId w:val="14"/>
        </w:numPr>
        <w:autoSpaceDE w:val="0"/>
        <w:autoSpaceDN w:val="0"/>
        <w:adjustRightInd w:val="0"/>
        <w:snapToGrid w:val="0"/>
        <w:spacing w:line="360" w:lineRule="auto"/>
        <w:ind w:left="449" w:hanging="449" w:hangingChars="213"/>
        <w:outlineLvl w:val="9"/>
        <w:rPr>
          <w:rFonts w:ascii="宋体" w:hAnsi="宋体"/>
          <w:b/>
          <w:bCs/>
          <w:szCs w:val="21"/>
        </w:rPr>
      </w:pPr>
      <w:bookmarkStart w:id="173" w:name="_Toc13202"/>
      <w:r>
        <w:rPr>
          <w:rFonts w:hint="eastAsia" w:ascii="宋体" w:hAnsi="宋体"/>
          <w:b/>
          <w:bCs/>
          <w:szCs w:val="21"/>
          <w:lang w:eastAsia="zh-CN"/>
        </w:rPr>
        <w:t>遴选响应文件</w:t>
      </w:r>
      <w:r>
        <w:rPr>
          <w:rFonts w:hint="eastAsia" w:ascii="宋体" w:hAnsi="宋体"/>
          <w:b/>
          <w:bCs/>
          <w:szCs w:val="21"/>
        </w:rPr>
        <w:t>递交</w:t>
      </w:r>
      <w:bookmarkEnd w:id="173"/>
    </w:p>
    <w:p w14:paraId="3B58F24F">
      <w:pPr>
        <w:numPr>
          <w:ilvl w:val="1"/>
          <w:numId w:val="1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CN"/>
        </w:rPr>
        <w:t>遴选响应方</w:t>
      </w:r>
      <w:r>
        <w:rPr>
          <w:rFonts w:hint="eastAsia" w:ascii="宋体" w:hAnsi="宋体" w:cs="宋体"/>
          <w:szCs w:val="21"/>
        </w:rPr>
        <w:t>的</w:t>
      </w:r>
      <w:r>
        <w:rPr>
          <w:rFonts w:hint="eastAsia" w:ascii="宋体" w:hAnsi="宋体" w:cs="宋体"/>
          <w:szCs w:val="21"/>
          <w:lang w:eastAsia="zh-CN"/>
        </w:rPr>
        <w:t>遴选响应文件</w:t>
      </w:r>
      <w:r>
        <w:rPr>
          <w:rFonts w:hint="eastAsia" w:ascii="宋体" w:hAnsi="宋体" w:cs="宋体"/>
          <w:szCs w:val="21"/>
          <w:lang w:eastAsia="zh-TW"/>
        </w:rPr>
        <w:t>应</w:t>
      </w:r>
      <w:r>
        <w:rPr>
          <w:rFonts w:hint="eastAsia" w:ascii="宋体" w:hAnsi="宋体" w:cs="宋体"/>
          <w:szCs w:val="21"/>
        </w:rPr>
        <w:t>在</w:t>
      </w:r>
      <w:r>
        <w:rPr>
          <w:rFonts w:hint="eastAsia" w:ascii="宋体" w:hAnsi="宋体"/>
        </w:rPr>
        <w:t>本项目</w:t>
      </w:r>
      <w:r>
        <w:rPr>
          <w:rFonts w:hint="eastAsia" w:ascii="宋体" w:hAnsi="宋体"/>
          <w:lang w:eastAsia="zh-CN"/>
        </w:rPr>
        <w:t>遴选响应</w:t>
      </w:r>
      <w:r>
        <w:rPr>
          <w:rFonts w:hint="eastAsia" w:ascii="宋体" w:hAnsi="宋体"/>
        </w:rPr>
        <w:t>截止时间前送达</w:t>
      </w:r>
      <w:r>
        <w:rPr>
          <w:rFonts w:hint="eastAsia" w:ascii="宋体" w:hAnsi="宋体"/>
          <w:lang w:eastAsia="zh-CN"/>
        </w:rPr>
        <w:t>遴选</w:t>
      </w:r>
      <w:r>
        <w:rPr>
          <w:rFonts w:hint="eastAsia" w:ascii="宋体" w:hAnsi="宋体"/>
        </w:rPr>
        <w:t>地点。</w:t>
      </w:r>
    </w:p>
    <w:p w14:paraId="5E549870">
      <w:pPr>
        <w:numPr>
          <w:ilvl w:val="1"/>
          <w:numId w:val="14"/>
        </w:numPr>
        <w:autoSpaceDE w:val="0"/>
        <w:autoSpaceDN w:val="0"/>
        <w:adjustRightInd w:val="0"/>
        <w:snapToGrid w:val="0"/>
        <w:spacing w:line="360" w:lineRule="auto"/>
        <w:rPr>
          <w:rFonts w:ascii="宋体" w:hAnsi="宋体" w:cs="黑体"/>
          <w:b/>
          <w:bCs/>
          <w:strike/>
          <w:szCs w:val="21"/>
        </w:rPr>
      </w:pPr>
      <w:r>
        <w:rPr>
          <w:rFonts w:hint="eastAsia" w:ascii="宋体" w:hAnsi="宋体" w:cs="宋体"/>
          <w:szCs w:val="21"/>
          <w:lang w:eastAsia="zh-TW"/>
        </w:rPr>
        <w:t>逾期送达或者未按照</w:t>
      </w:r>
      <w:r>
        <w:rPr>
          <w:rFonts w:hint="eastAsia" w:ascii="宋体" w:hAnsi="宋体" w:cs="宋体"/>
          <w:szCs w:val="21"/>
          <w:lang w:val="en-US" w:eastAsia="zh-CN"/>
        </w:rPr>
        <w:t>遴选文件</w:t>
      </w:r>
      <w:r>
        <w:rPr>
          <w:rFonts w:hint="eastAsia" w:ascii="宋体" w:hAnsi="宋体" w:cs="宋体"/>
          <w:szCs w:val="21"/>
          <w:lang w:eastAsia="zh-TW"/>
        </w:rPr>
        <w:t>要求密封的</w:t>
      </w:r>
      <w:r>
        <w:rPr>
          <w:rFonts w:hint="eastAsia" w:ascii="宋体" w:hAnsi="宋体" w:cs="宋体"/>
          <w:szCs w:val="21"/>
          <w:lang w:eastAsia="zh-CN"/>
        </w:rPr>
        <w:t>遴选响应文件</w:t>
      </w:r>
      <w:r>
        <w:rPr>
          <w:rFonts w:hint="eastAsia" w:ascii="宋体" w:hAnsi="宋体" w:cs="宋体"/>
          <w:szCs w:val="21"/>
          <w:lang w:eastAsia="zh-TW"/>
        </w:rPr>
        <w:t>，采购人应当拒收。</w:t>
      </w:r>
    </w:p>
    <w:p w14:paraId="6E68F56C">
      <w:pPr>
        <w:numPr>
          <w:ilvl w:val="0"/>
          <w:numId w:val="14"/>
        </w:numPr>
        <w:autoSpaceDE w:val="0"/>
        <w:autoSpaceDN w:val="0"/>
        <w:adjustRightInd w:val="0"/>
        <w:snapToGrid w:val="0"/>
        <w:spacing w:line="360" w:lineRule="auto"/>
        <w:ind w:left="449" w:hanging="449" w:hangingChars="213"/>
        <w:outlineLvl w:val="9"/>
        <w:rPr>
          <w:rFonts w:ascii="宋体" w:hAnsi="宋体"/>
          <w:b/>
          <w:bCs/>
          <w:szCs w:val="21"/>
        </w:rPr>
      </w:pPr>
      <w:bookmarkStart w:id="174" w:name="_Toc22017"/>
      <w:r>
        <w:rPr>
          <w:rFonts w:hint="eastAsia" w:ascii="宋体" w:hAnsi="宋体"/>
          <w:b/>
          <w:bCs/>
          <w:szCs w:val="21"/>
          <w:lang w:eastAsia="zh-CN"/>
        </w:rPr>
        <w:t>遴选响应文件</w:t>
      </w:r>
      <w:r>
        <w:rPr>
          <w:rFonts w:hint="eastAsia" w:ascii="宋体" w:hAnsi="宋体"/>
          <w:b/>
          <w:bCs/>
          <w:szCs w:val="21"/>
        </w:rPr>
        <w:t>的修改和撤回、撤销</w:t>
      </w:r>
      <w:bookmarkEnd w:id="174"/>
    </w:p>
    <w:p w14:paraId="4B9C3049">
      <w:pPr>
        <w:numPr>
          <w:ilvl w:val="1"/>
          <w:numId w:val="1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CN"/>
        </w:rPr>
        <w:t>遴选响应方</w:t>
      </w:r>
      <w:r>
        <w:rPr>
          <w:rFonts w:hint="eastAsia" w:ascii="宋体" w:hAnsi="宋体" w:cs="宋体"/>
          <w:szCs w:val="21"/>
          <w:lang w:eastAsia="zh-TW"/>
        </w:rPr>
        <w:t>在</w:t>
      </w:r>
      <w:r>
        <w:rPr>
          <w:rFonts w:hint="eastAsia" w:ascii="宋体" w:hAnsi="宋体" w:cs="宋体"/>
          <w:szCs w:val="21"/>
          <w:lang w:eastAsia="zh-CN"/>
        </w:rPr>
        <w:t>遴选响应</w:t>
      </w:r>
      <w:r>
        <w:rPr>
          <w:rFonts w:hint="eastAsia" w:ascii="宋体" w:hAnsi="宋体" w:cs="宋体"/>
          <w:szCs w:val="21"/>
          <w:lang w:eastAsia="zh-TW"/>
        </w:rPr>
        <w:t>截止时间前，可以对所递交的</w:t>
      </w:r>
      <w:r>
        <w:rPr>
          <w:rFonts w:hint="eastAsia" w:ascii="宋体" w:hAnsi="宋体" w:cs="宋体"/>
          <w:szCs w:val="21"/>
          <w:lang w:eastAsia="zh-CN"/>
        </w:rPr>
        <w:t>遴选响应文件</w:t>
      </w:r>
      <w:r>
        <w:rPr>
          <w:rFonts w:hint="eastAsia" w:ascii="宋体" w:hAnsi="宋体" w:cs="宋体"/>
          <w:szCs w:val="21"/>
          <w:lang w:eastAsia="zh-TW"/>
        </w:rPr>
        <w:t>进行补充、修改或者撤回，并书面通知</w:t>
      </w:r>
      <w:r>
        <w:rPr>
          <w:rFonts w:hint="eastAsia" w:ascii="宋体" w:hAnsi="宋体" w:cs="宋体"/>
          <w:szCs w:val="21"/>
          <w:lang w:val="en-US" w:eastAsia="zh-CN"/>
        </w:rPr>
        <w:t>采购人</w:t>
      </w:r>
      <w:r>
        <w:rPr>
          <w:rFonts w:hint="eastAsia" w:ascii="宋体" w:hAnsi="宋体" w:cs="宋体"/>
          <w:szCs w:val="21"/>
          <w:lang w:eastAsia="zh-TW"/>
        </w:rPr>
        <w:t>。补充、修改的内容应当按</w:t>
      </w:r>
      <w:r>
        <w:rPr>
          <w:rFonts w:hint="eastAsia" w:ascii="宋体" w:hAnsi="宋体" w:cs="宋体"/>
          <w:szCs w:val="21"/>
          <w:lang w:val="en-US" w:eastAsia="zh-CN"/>
        </w:rPr>
        <w:t>遴选文件</w:t>
      </w:r>
      <w:r>
        <w:rPr>
          <w:rFonts w:hint="eastAsia" w:ascii="宋体" w:hAnsi="宋体" w:cs="宋体"/>
          <w:szCs w:val="21"/>
          <w:lang w:eastAsia="zh-TW"/>
        </w:rPr>
        <w:t>要求签署、盖章、密封后，并作为</w:t>
      </w:r>
      <w:r>
        <w:rPr>
          <w:rFonts w:hint="eastAsia" w:ascii="宋体" w:hAnsi="宋体" w:cs="宋体"/>
          <w:szCs w:val="21"/>
          <w:lang w:eastAsia="zh-CN"/>
        </w:rPr>
        <w:t>遴选响应文件</w:t>
      </w:r>
      <w:r>
        <w:rPr>
          <w:rFonts w:hint="eastAsia" w:ascii="宋体" w:hAnsi="宋体" w:cs="宋体"/>
          <w:szCs w:val="21"/>
          <w:lang w:eastAsia="zh-TW"/>
        </w:rPr>
        <w:t>的组成部分。在</w:t>
      </w:r>
      <w:r>
        <w:rPr>
          <w:rFonts w:hint="eastAsia" w:ascii="宋体" w:hAnsi="宋体" w:cs="宋体"/>
          <w:szCs w:val="21"/>
          <w:lang w:eastAsia="zh-CN"/>
        </w:rPr>
        <w:t>遴选响应</w:t>
      </w:r>
      <w:r>
        <w:rPr>
          <w:rFonts w:hint="eastAsia" w:ascii="宋体" w:hAnsi="宋体" w:cs="宋体"/>
          <w:szCs w:val="21"/>
          <w:lang w:eastAsia="zh-TW"/>
        </w:rPr>
        <w:t>截止时间之后，</w:t>
      </w:r>
      <w:r>
        <w:rPr>
          <w:rFonts w:hint="eastAsia" w:ascii="宋体" w:hAnsi="宋体" w:cs="宋体"/>
          <w:szCs w:val="21"/>
          <w:lang w:eastAsia="zh-CN"/>
        </w:rPr>
        <w:t>遴选响应方</w:t>
      </w:r>
      <w:r>
        <w:rPr>
          <w:rFonts w:hint="eastAsia" w:ascii="宋体" w:hAnsi="宋体" w:cs="宋体"/>
          <w:szCs w:val="21"/>
          <w:lang w:eastAsia="zh-TW"/>
        </w:rPr>
        <w:t>不得对其</w:t>
      </w:r>
      <w:r>
        <w:rPr>
          <w:rFonts w:hint="eastAsia" w:ascii="宋体" w:hAnsi="宋体" w:cs="宋体"/>
          <w:szCs w:val="21"/>
          <w:lang w:eastAsia="zh-CN"/>
        </w:rPr>
        <w:t>遴选响应文件</w:t>
      </w:r>
      <w:r>
        <w:rPr>
          <w:rFonts w:hint="eastAsia" w:ascii="宋体" w:hAnsi="宋体" w:cs="宋体"/>
          <w:szCs w:val="21"/>
          <w:lang w:eastAsia="zh-TW"/>
        </w:rPr>
        <w:t>做任何修改和补充。</w:t>
      </w:r>
    </w:p>
    <w:p w14:paraId="41F54AB1">
      <w:pPr>
        <w:numPr>
          <w:ilvl w:val="1"/>
          <w:numId w:val="14"/>
        </w:numPr>
        <w:autoSpaceDE w:val="0"/>
        <w:autoSpaceDN w:val="0"/>
        <w:adjustRightInd w:val="0"/>
        <w:snapToGrid w:val="0"/>
        <w:spacing w:line="360" w:lineRule="auto"/>
        <w:rPr>
          <w:rFonts w:ascii="宋体" w:hAnsi="宋体" w:cs="黑体"/>
          <w:b/>
          <w:bCs/>
          <w:szCs w:val="21"/>
        </w:rPr>
      </w:pPr>
      <w:r>
        <w:rPr>
          <w:rFonts w:hint="eastAsia" w:ascii="宋体" w:hAnsi="宋体"/>
          <w:bCs/>
          <w:lang w:eastAsia="zh-CN"/>
        </w:rPr>
        <w:t>遴选响应方</w:t>
      </w:r>
      <w:r>
        <w:rPr>
          <w:rFonts w:hint="eastAsia" w:ascii="宋体" w:hAnsi="宋体"/>
          <w:bCs/>
        </w:rPr>
        <w:t>在</w:t>
      </w:r>
      <w:r>
        <w:rPr>
          <w:rFonts w:hint="eastAsia" w:ascii="宋体" w:hAnsi="宋体"/>
          <w:bCs/>
          <w:lang w:eastAsia="zh-CN"/>
        </w:rPr>
        <w:t>遴选响应</w:t>
      </w:r>
      <w:r>
        <w:rPr>
          <w:rFonts w:hint="eastAsia" w:ascii="宋体" w:hAnsi="宋体"/>
          <w:bCs/>
        </w:rPr>
        <w:t>截止后或在</w:t>
      </w:r>
      <w:r>
        <w:rPr>
          <w:rFonts w:hint="eastAsia" w:ascii="宋体" w:hAnsi="宋体"/>
          <w:bCs/>
          <w:lang w:val="en-US" w:eastAsia="zh-CN"/>
        </w:rPr>
        <w:t>遴选文件</w:t>
      </w:r>
      <w:r>
        <w:rPr>
          <w:rFonts w:hint="eastAsia" w:ascii="宋体" w:hAnsi="宋体"/>
          <w:bCs/>
        </w:rPr>
        <w:t>中规定的</w:t>
      </w:r>
      <w:r>
        <w:rPr>
          <w:rFonts w:hint="eastAsia" w:ascii="宋体" w:hAnsi="宋体"/>
          <w:bCs/>
          <w:lang w:eastAsia="zh-CN"/>
        </w:rPr>
        <w:t>遴选响应</w:t>
      </w:r>
      <w:r>
        <w:rPr>
          <w:rFonts w:hint="eastAsia" w:ascii="宋体" w:hAnsi="宋体"/>
          <w:bCs/>
        </w:rPr>
        <w:t>有效期内不可撤销其</w:t>
      </w:r>
      <w:r>
        <w:rPr>
          <w:rFonts w:hint="eastAsia" w:ascii="宋体" w:hAnsi="宋体"/>
          <w:bCs/>
          <w:lang w:eastAsia="zh-CN"/>
        </w:rPr>
        <w:t>遴选响应</w:t>
      </w:r>
      <w:r>
        <w:rPr>
          <w:rFonts w:hint="eastAsia" w:ascii="宋体" w:hAnsi="宋体"/>
          <w:bCs/>
        </w:rPr>
        <w:t>。否则，不予退还其</w:t>
      </w:r>
      <w:r>
        <w:rPr>
          <w:rFonts w:hint="eastAsia" w:ascii="宋体" w:hAnsi="宋体"/>
          <w:bCs/>
          <w:lang w:eastAsia="zh-CN"/>
        </w:rPr>
        <w:t>遴选响应</w:t>
      </w:r>
      <w:r>
        <w:rPr>
          <w:rFonts w:hint="eastAsia" w:ascii="宋体" w:hAnsi="宋体"/>
          <w:bCs/>
        </w:rPr>
        <w:t>保证金。</w:t>
      </w:r>
    </w:p>
    <w:p w14:paraId="7A3F50E6">
      <w:pPr>
        <w:numPr>
          <w:ilvl w:val="1"/>
          <w:numId w:val="14"/>
        </w:numPr>
        <w:autoSpaceDE w:val="0"/>
        <w:autoSpaceDN w:val="0"/>
        <w:adjustRightInd w:val="0"/>
        <w:snapToGrid w:val="0"/>
        <w:spacing w:line="360" w:lineRule="auto"/>
        <w:rPr>
          <w:rFonts w:ascii="宋体" w:hAnsi="宋体" w:cs="黑体"/>
          <w:b/>
          <w:bCs/>
          <w:strike/>
          <w:szCs w:val="21"/>
        </w:rPr>
      </w:pPr>
      <w:r>
        <w:rPr>
          <w:rFonts w:hint="eastAsia" w:ascii="宋体" w:hAnsi="宋体"/>
          <w:lang w:eastAsia="zh-CN"/>
        </w:rPr>
        <w:t>遴选响应方</w:t>
      </w:r>
      <w:r>
        <w:rPr>
          <w:rFonts w:hint="eastAsia" w:ascii="宋体" w:hAnsi="宋体"/>
        </w:rPr>
        <w:t>所提交的</w:t>
      </w:r>
      <w:r>
        <w:rPr>
          <w:rFonts w:hint="eastAsia" w:ascii="宋体" w:hAnsi="宋体"/>
          <w:lang w:eastAsia="zh-CN"/>
        </w:rPr>
        <w:t>遴选响应文件</w:t>
      </w:r>
      <w:r>
        <w:rPr>
          <w:rFonts w:hint="eastAsia" w:ascii="宋体" w:hAnsi="宋体"/>
        </w:rPr>
        <w:t>在本项目</w:t>
      </w:r>
      <w:r>
        <w:rPr>
          <w:rFonts w:hint="eastAsia" w:ascii="宋体" w:hAnsi="宋体"/>
          <w:lang w:eastAsia="zh-CN"/>
        </w:rPr>
        <w:t>遴选响应</w:t>
      </w:r>
      <w:r>
        <w:rPr>
          <w:rFonts w:hint="eastAsia" w:ascii="宋体" w:hAnsi="宋体"/>
        </w:rPr>
        <w:t>截止时间后均不予退还。</w:t>
      </w:r>
    </w:p>
    <w:p w14:paraId="6A0F7745">
      <w:pPr>
        <w:numPr>
          <w:ilvl w:val="0"/>
          <w:numId w:val="14"/>
        </w:numPr>
        <w:autoSpaceDE w:val="0"/>
        <w:autoSpaceDN w:val="0"/>
        <w:adjustRightInd w:val="0"/>
        <w:snapToGrid w:val="0"/>
        <w:spacing w:line="360" w:lineRule="auto"/>
        <w:ind w:left="449" w:hanging="449" w:hangingChars="213"/>
        <w:outlineLvl w:val="9"/>
        <w:rPr>
          <w:rFonts w:ascii="宋体" w:hAnsi="宋体"/>
          <w:b/>
          <w:bCs/>
          <w:szCs w:val="21"/>
        </w:rPr>
      </w:pPr>
      <w:bookmarkStart w:id="175" w:name="_Toc18853"/>
      <w:r>
        <w:rPr>
          <w:rFonts w:hint="eastAsia" w:ascii="宋体" w:hAnsi="宋体"/>
          <w:b/>
          <w:bCs/>
          <w:szCs w:val="21"/>
        </w:rPr>
        <w:t>质疑</w:t>
      </w:r>
      <w:bookmarkEnd w:id="175"/>
    </w:p>
    <w:p w14:paraId="6E5F8BAC">
      <w:pPr>
        <w:numPr>
          <w:ilvl w:val="1"/>
          <w:numId w:val="14"/>
        </w:numPr>
        <w:autoSpaceDE w:val="0"/>
        <w:autoSpaceDN w:val="0"/>
        <w:adjustRightInd w:val="0"/>
        <w:snapToGrid w:val="0"/>
        <w:spacing w:line="360" w:lineRule="auto"/>
        <w:rPr>
          <w:rFonts w:ascii="宋体" w:hAnsi="宋体" w:cs="黑体"/>
          <w:bCs/>
          <w:szCs w:val="21"/>
        </w:rPr>
      </w:pPr>
      <w:r>
        <w:rPr>
          <w:rFonts w:hint="eastAsia" w:ascii="宋体" w:hAnsi="宋体" w:cs="黑体"/>
          <w:bCs/>
          <w:szCs w:val="21"/>
        </w:rPr>
        <w:t>质疑</w:t>
      </w:r>
    </w:p>
    <w:p w14:paraId="627E3E1E">
      <w:pPr>
        <w:numPr>
          <w:ilvl w:val="2"/>
          <w:numId w:val="14"/>
        </w:numPr>
        <w:autoSpaceDE w:val="0"/>
        <w:autoSpaceDN w:val="0"/>
        <w:adjustRightInd w:val="0"/>
        <w:snapToGrid w:val="0"/>
        <w:spacing w:line="360" w:lineRule="auto"/>
        <w:ind w:left="851" w:hanging="851"/>
        <w:rPr>
          <w:rFonts w:ascii="宋体" w:hAnsi="宋体" w:cs="黑体"/>
          <w:bCs/>
          <w:szCs w:val="21"/>
        </w:rPr>
      </w:pPr>
      <w:r>
        <w:rPr>
          <w:rFonts w:hint="eastAsia" w:ascii="宋体" w:hAnsi="宋体" w:cs="黑体"/>
          <w:bCs/>
          <w:szCs w:val="21"/>
        </w:rPr>
        <w:t>质疑期限：</w:t>
      </w:r>
    </w:p>
    <w:p w14:paraId="2021EFD3">
      <w:pPr>
        <w:numPr>
          <w:ilvl w:val="3"/>
          <w:numId w:val="14"/>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w:t>
      </w:r>
      <w:r>
        <w:rPr>
          <w:rFonts w:hint="eastAsia" w:ascii="宋体" w:hAnsi="宋体" w:cs="黑体"/>
          <w:bCs/>
          <w:szCs w:val="21"/>
          <w:lang w:eastAsia="zh-CN"/>
        </w:rPr>
        <w:t>遴选文件</w:t>
      </w:r>
      <w:r>
        <w:rPr>
          <w:rFonts w:hint="eastAsia" w:ascii="宋体" w:hAnsi="宋体" w:cs="黑体"/>
          <w:bCs/>
          <w:szCs w:val="21"/>
        </w:rPr>
        <w:t>的内容损害其权益的，应在</w:t>
      </w:r>
      <w:r>
        <w:rPr>
          <w:rFonts w:hint="eastAsia" w:ascii="宋体" w:hAnsi="宋体" w:cs="黑体"/>
          <w:bCs/>
          <w:szCs w:val="21"/>
          <w:lang w:eastAsia="zh-CN"/>
        </w:rPr>
        <w:t>遴选文件</w:t>
      </w:r>
      <w:r>
        <w:rPr>
          <w:rFonts w:hint="eastAsia" w:ascii="宋体" w:hAnsi="宋体" w:cs="黑体"/>
          <w:bCs/>
          <w:szCs w:val="21"/>
        </w:rPr>
        <w:t>公布之日起七个工作日内。</w:t>
      </w:r>
    </w:p>
    <w:p w14:paraId="50FA2CD8">
      <w:pPr>
        <w:numPr>
          <w:ilvl w:val="3"/>
          <w:numId w:val="14"/>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供应商认为采购过程损害其权益的，应在各采购程序环节结束之日起七个工作日内。</w:t>
      </w:r>
    </w:p>
    <w:p w14:paraId="28974757">
      <w:pPr>
        <w:numPr>
          <w:ilvl w:val="3"/>
          <w:numId w:val="14"/>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w:t>
      </w:r>
      <w:r>
        <w:rPr>
          <w:rFonts w:hint="eastAsia" w:ascii="宋体" w:hAnsi="宋体" w:cs="黑体"/>
          <w:bCs/>
          <w:szCs w:val="21"/>
          <w:lang w:eastAsia="zh-CN"/>
        </w:rPr>
        <w:t>中选</w:t>
      </w:r>
      <w:r>
        <w:rPr>
          <w:rFonts w:hint="eastAsia" w:ascii="宋体" w:hAnsi="宋体" w:cs="黑体"/>
          <w:bCs/>
          <w:szCs w:val="21"/>
        </w:rPr>
        <w:t>或者成交结果以及</w:t>
      </w:r>
      <w:r>
        <w:rPr>
          <w:rFonts w:hint="eastAsia" w:ascii="宋体" w:hAnsi="宋体" w:cs="黑体"/>
          <w:bCs/>
          <w:szCs w:val="21"/>
          <w:lang w:eastAsia="zh-CN"/>
        </w:rPr>
        <w:t>评审</w:t>
      </w:r>
      <w:r>
        <w:rPr>
          <w:rFonts w:hint="eastAsia" w:ascii="宋体" w:hAnsi="宋体" w:cs="黑体"/>
          <w:bCs/>
          <w:szCs w:val="21"/>
        </w:rPr>
        <w:t>委员会、谈判小组、竞价小组组成人员损害其权益的，应在</w:t>
      </w:r>
      <w:r>
        <w:rPr>
          <w:rFonts w:hint="eastAsia" w:ascii="宋体" w:hAnsi="宋体" w:cs="黑体"/>
          <w:bCs/>
          <w:szCs w:val="21"/>
          <w:lang w:eastAsia="zh-CN"/>
        </w:rPr>
        <w:t>中选</w:t>
      </w:r>
      <w:r>
        <w:rPr>
          <w:rFonts w:hint="eastAsia" w:ascii="宋体" w:hAnsi="宋体" w:cs="黑体"/>
          <w:bCs/>
          <w:szCs w:val="21"/>
        </w:rPr>
        <w:t>或者成交结果公示之日起七个工作日内。</w:t>
      </w:r>
    </w:p>
    <w:p w14:paraId="4E98AB86">
      <w:pPr>
        <w:numPr>
          <w:ilvl w:val="2"/>
          <w:numId w:val="14"/>
        </w:numPr>
        <w:autoSpaceDE w:val="0"/>
        <w:autoSpaceDN w:val="0"/>
        <w:adjustRightInd w:val="0"/>
        <w:snapToGrid w:val="0"/>
        <w:spacing w:line="360" w:lineRule="auto"/>
        <w:ind w:left="851" w:hanging="851"/>
        <w:rPr>
          <w:rFonts w:ascii="宋体" w:hAnsi="宋体" w:cs="黑体"/>
          <w:bCs/>
          <w:szCs w:val="21"/>
        </w:rPr>
      </w:pPr>
      <w:r>
        <w:rPr>
          <w:rFonts w:hint="eastAsia" w:ascii="宋体" w:hAnsi="宋体" w:cs="黑体"/>
          <w:bCs/>
          <w:szCs w:val="21"/>
        </w:rPr>
        <w:t>提交要求：</w:t>
      </w:r>
    </w:p>
    <w:p w14:paraId="51F90221">
      <w:pPr>
        <w:numPr>
          <w:ilvl w:val="3"/>
          <w:numId w:val="14"/>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以书面形式向采购人</w:t>
      </w:r>
      <w:r>
        <w:rPr>
          <w:rFonts w:hint="eastAsia" w:ascii="宋体" w:hAnsi="宋体" w:cs="宋体"/>
          <w:szCs w:val="21"/>
        </w:rPr>
        <w:t>一次性提出针对同一采购程序环节的</w:t>
      </w:r>
      <w:r>
        <w:rPr>
          <w:rFonts w:hint="eastAsia" w:ascii="宋体" w:hAnsi="宋体" w:cs="黑体"/>
          <w:bCs/>
          <w:szCs w:val="21"/>
        </w:rPr>
        <w:t>质疑。</w:t>
      </w:r>
    </w:p>
    <w:p w14:paraId="58D38CA5">
      <w:pPr>
        <w:numPr>
          <w:ilvl w:val="3"/>
          <w:numId w:val="14"/>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以联合体形式参加政府采购活动的，其质疑应当由组成联合体的所有供应商共同提出。</w:t>
      </w:r>
    </w:p>
    <w:p w14:paraId="46C77BEB">
      <w:pPr>
        <w:numPr>
          <w:ilvl w:val="3"/>
          <w:numId w:val="14"/>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质疑函内容：应包括供应商的姓名或者名称、地址、邮编、联系人及联系电话、质疑项目的名称及编号、具体且明确的质疑事项和与质疑事项相关的请求、事实依据、必要的法律依据、提出质疑的日期。供应商为自然人的，质疑函应当由本人签字；供应商为法人或者其他组织的，应当由法定代表人、主要负责人或授权代表签字或者盖章，并加盖公章。</w:t>
      </w:r>
      <w:r>
        <w:rPr>
          <w:rFonts w:hint="eastAsia" w:ascii="宋体" w:hAnsi="宋体" w:cs="黑体"/>
          <w:bCs/>
          <w:szCs w:val="21"/>
          <w:lang w:eastAsia="zh-CN"/>
        </w:rPr>
        <w:t>遴选响应</w:t>
      </w:r>
      <w:r>
        <w:rPr>
          <w:rFonts w:hint="eastAsia" w:ascii="宋体" w:hAnsi="宋体" w:cs="黑体"/>
          <w:bCs/>
          <w:szCs w:val="21"/>
        </w:rPr>
        <w:t>供应商递交质疑函时非法定代表人亲自办理的需提供法定代表人授权委托书（应载明授权代表的姓名或者名称、代理事项、具体权限、期限和相关事项）及授权代表身份证复印件。</w:t>
      </w:r>
    </w:p>
    <w:p w14:paraId="6DE9C860">
      <w:pPr>
        <w:numPr>
          <w:ilvl w:val="3"/>
          <w:numId w:val="14"/>
        </w:numPr>
        <w:autoSpaceDE w:val="0"/>
        <w:autoSpaceDN w:val="0"/>
        <w:adjustRightInd w:val="0"/>
        <w:snapToGrid w:val="0"/>
        <w:spacing w:line="360" w:lineRule="auto"/>
        <w:ind w:left="1078" w:hanging="1078"/>
        <w:rPr>
          <w:rFonts w:hAnsi="宋体"/>
          <w:snapToGrid w:val="0"/>
          <w:szCs w:val="21"/>
        </w:rPr>
      </w:pPr>
      <w:r>
        <w:rPr>
          <w:rFonts w:hint="eastAsia" w:hAnsi="宋体"/>
          <w:szCs w:val="21"/>
        </w:rPr>
        <w:t>供应商捏造事实、提供虚假材料或者以非法手段取得证明材料不能作为质疑的证明材料</w:t>
      </w:r>
      <w:r>
        <w:rPr>
          <w:rFonts w:hint="eastAsia" w:hAnsi="宋体"/>
          <w:snapToGrid w:val="0"/>
          <w:szCs w:val="21"/>
        </w:rPr>
        <w:t>。</w:t>
      </w:r>
    </w:p>
    <w:p w14:paraId="3CB8FB31">
      <w:pPr>
        <w:numPr>
          <w:ilvl w:val="3"/>
          <w:numId w:val="14"/>
        </w:numPr>
        <w:tabs>
          <w:tab w:val="left" w:pos="1134"/>
        </w:tabs>
        <w:autoSpaceDE w:val="0"/>
        <w:autoSpaceDN w:val="0"/>
        <w:adjustRightInd w:val="0"/>
        <w:snapToGrid w:val="0"/>
        <w:spacing w:line="360" w:lineRule="auto"/>
        <w:ind w:left="1078" w:hanging="1078"/>
        <w:rPr>
          <w:rFonts w:ascii="宋体" w:hAnsi="宋体" w:cs="黑体"/>
          <w:bCs/>
          <w:szCs w:val="21"/>
        </w:rPr>
      </w:pPr>
      <w:r>
        <w:rPr>
          <w:rFonts w:hint="eastAsia" w:ascii="宋体" w:hAnsi="宋体"/>
          <w:szCs w:val="21"/>
        </w:rPr>
        <w:tab/>
      </w:r>
      <w:r>
        <w:rPr>
          <w:rFonts w:hint="eastAsia" w:ascii="宋体" w:hAnsi="宋体" w:cs="宋体"/>
          <w:szCs w:val="21"/>
          <w:lang w:eastAsia="zh-TW"/>
        </w:rPr>
        <w:t>采购人</w:t>
      </w:r>
      <w:r>
        <w:rPr>
          <w:rFonts w:hint="eastAsia" w:ascii="宋体" w:hAnsi="宋体"/>
          <w:szCs w:val="21"/>
        </w:rPr>
        <w:t>在收到</w:t>
      </w:r>
      <w:r>
        <w:rPr>
          <w:rFonts w:hint="eastAsia" w:ascii="宋体" w:hAnsi="宋体"/>
          <w:szCs w:val="21"/>
          <w:lang w:eastAsia="zh-CN"/>
        </w:rPr>
        <w:t>遴选响应方</w:t>
      </w:r>
      <w:r>
        <w:rPr>
          <w:rFonts w:hint="eastAsia" w:ascii="宋体" w:hAnsi="宋体"/>
          <w:szCs w:val="21"/>
        </w:rPr>
        <w:t>的书面质疑后七个工作日内作出答复，并以书面形式通知质疑</w:t>
      </w:r>
      <w:r>
        <w:rPr>
          <w:rFonts w:hint="eastAsia" w:ascii="宋体" w:hAnsi="宋体"/>
          <w:szCs w:val="21"/>
          <w:lang w:eastAsia="zh-CN"/>
        </w:rPr>
        <w:t>遴选响应方</w:t>
      </w:r>
      <w:r>
        <w:rPr>
          <w:rFonts w:hint="eastAsia" w:ascii="宋体" w:hAnsi="宋体"/>
          <w:szCs w:val="21"/>
        </w:rPr>
        <w:t>和其他有关</w:t>
      </w:r>
      <w:r>
        <w:rPr>
          <w:rFonts w:hint="eastAsia" w:ascii="宋体" w:hAnsi="宋体"/>
          <w:szCs w:val="21"/>
          <w:lang w:eastAsia="zh-CN"/>
        </w:rPr>
        <w:t>遴选响应方</w:t>
      </w:r>
      <w:r>
        <w:rPr>
          <w:rFonts w:hint="eastAsia" w:ascii="宋体" w:hAnsi="宋体"/>
          <w:szCs w:val="21"/>
        </w:rPr>
        <w:t>，但答复内容不涉及商业秘密。质疑</w:t>
      </w:r>
      <w:r>
        <w:rPr>
          <w:rFonts w:hint="eastAsia" w:ascii="宋体" w:hAnsi="宋体"/>
          <w:szCs w:val="21"/>
          <w:lang w:eastAsia="zh-CN"/>
        </w:rPr>
        <w:t>遴选响应方</w:t>
      </w:r>
      <w:r>
        <w:rPr>
          <w:rFonts w:hint="eastAsia" w:ascii="宋体" w:hAnsi="宋体"/>
          <w:szCs w:val="21"/>
        </w:rPr>
        <w:t>须提供相关证明材料，包括但不限于权益受损害的情况说明及受损害的原因、证据内容等，并对质疑内容的真实性承担责任。</w:t>
      </w:r>
    </w:p>
    <w:p w14:paraId="1F896B6F">
      <w:pPr>
        <w:numPr>
          <w:ilvl w:val="2"/>
          <w:numId w:val="14"/>
        </w:numPr>
        <w:autoSpaceDE w:val="0"/>
        <w:autoSpaceDN w:val="0"/>
        <w:adjustRightInd w:val="0"/>
        <w:snapToGrid w:val="0"/>
        <w:spacing w:line="360" w:lineRule="auto"/>
        <w:ind w:left="851" w:hanging="851"/>
        <w:rPr>
          <w:rFonts w:ascii="宋体" w:hAnsi="宋体" w:cs="黑体"/>
          <w:b/>
          <w:bCs/>
          <w:szCs w:val="21"/>
        </w:rPr>
      </w:pPr>
      <w:r>
        <w:rPr>
          <w:rFonts w:hint="eastAsia" w:hAnsi="宋体"/>
          <w:snapToGrid w:val="0"/>
          <w:szCs w:val="21"/>
        </w:rPr>
        <w:t>采购人接收以书面形式递交的质疑函，接收质疑函的联系人、联系方式和通讯地址详见</w:t>
      </w:r>
      <w:bookmarkStart w:id="176" w:name="_Hlk57971227"/>
      <w:r>
        <w:rPr>
          <w:rFonts w:hint="eastAsia" w:hAnsi="宋体"/>
          <w:b/>
          <w:bCs/>
          <w:snapToGrid w:val="0"/>
          <w:szCs w:val="21"/>
        </w:rPr>
        <w:t xml:space="preserve">第二章 </w:t>
      </w:r>
      <w:r>
        <w:rPr>
          <w:rFonts w:hint="eastAsia" w:hAnsi="宋体"/>
          <w:b/>
          <w:bCs/>
          <w:snapToGrid w:val="0"/>
          <w:szCs w:val="21"/>
          <w:lang w:eastAsia="zh-CN"/>
        </w:rPr>
        <w:t>遴选响应</w:t>
      </w:r>
      <w:r>
        <w:rPr>
          <w:rFonts w:hint="eastAsia" w:hAnsi="宋体"/>
          <w:b/>
          <w:bCs/>
          <w:snapToGrid w:val="0"/>
          <w:szCs w:val="21"/>
        </w:rPr>
        <w:t>资料表</w:t>
      </w:r>
      <w:bookmarkEnd w:id="176"/>
      <w:r>
        <w:rPr>
          <w:rFonts w:hint="eastAsia" w:ascii="宋体" w:hAnsi="宋体"/>
          <w:szCs w:val="21"/>
        </w:rPr>
        <w:t>。</w:t>
      </w:r>
    </w:p>
    <w:p w14:paraId="75EB32A0">
      <w:pPr>
        <w:numPr>
          <w:ilvl w:val="0"/>
          <w:numId w:val="14"/>
        </w:numPr>
        <w:autoSpaceDE w:val="0"/>
        <w:autoSpaceDN w:val="0"/>
        <w:adjustRightInd w:val="0"/>
        <w:snapToGrid w:val="0"/>
        <w:spacing w:line="360" w:lineRule="auto"/>
        <w:ind w:left="449" w:hanging="449" w:hangingChars="213"/>
        <w:outlineLvl w:val="9"/>
        <w:rPr>
          <w:rFonts w:ascii="宋体" w:hAnsi="宋体"/>
          <w:b/>
          <w:bCs/>
          <w:szCs w:val="21"/>
        </w:rPr>
      </w:pPr>
      <w:bookmarkStart w:id="177" w:name="_Toc19729"/>
      <w:r>
        <w:rPr>
          <w:rFonts w:hint="eastAsia" w:ascii="宋体" w:hAnsi="宋体"/>
          <w:b/>
          <w:bCs/>
          <w:szCs w:val="21"/>
          <w:lang w:eastAsia="zh-CN"/>
        </w:rPr>
        <w:t>中选</w:t>
      </w:r>
      <w:r>
        <w:rPr>
          <w:rFonts w:hint="eastAsia" w:ascii="宋体" w:hAnsi="宋体"/>
          <w:b/>
          <w:bCs/>
          <w:szCs w:val="21"/>
        </w:rPr>
        <w:t>通知书</w:t>
      </w:r>
      <w:bookmarkEnd w:id="177"/>
    </w:p>
    <w:p w14:paraId="5B0211E5">
      <w:pPr>
        <w:numPr>
          <w:ilvl w:val="1"/>
          <w:numId w:val="1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CN"/>
        </w:rPr>
        <w:t>中选方</w:t>
      </w:r>
      <w:r>
        <w:rPr>
          <w:rFonts w:hint="eastAsia" w:ascii="宋体" w:hAnsi="宋体" w:cs="宋体"/>
          <w:szCs w:val="21"/>
          <w:lang w:eastAsia="zh-TW"/>
        </w:rPr>
        <w:t>确定后</w:t>
      </w:r>
      <w:r>
        <w:rPr>
          <w:rFonts w:hint="eastAsia" w:ascii="宋体" w:hAnsi="宋体" w:cs="宋体"/>
          <w:szCs w:val="21"/>
        </w:rPr>
        <w:t>，</w:t>
      </w:r>
      <w:r>
        <w:rPr>
          <w:rFonts w:hint="eastAsia" w:ascii="宋体" w:hAnsi="宋体" w:cs="宋体"/>
          <w:szCs w:val="21"/>
          <w:lang w:val="en-US" w:eastAsia="zh-CN"/>
        </w:rPr>
        <w:t>采购人</w:t>
      </w:r>
      <w:r>
        <w:rPr>
          <w:rFonts w:hint="eastAsia" w:ascii="宋体" w:hAnsi="宋体" w:cs="宋体"/>
          <w:szCs w:val="21"/>
          <w:lang w:eastAsia="zh-TW"/>
        </w:rPr>
        <w:t>将在</w:t>
      </w:r>
      <w:r>
        <w:rPr>
          <w:rFonts w:hint="eastAsia" w:ascii="宋体" w:hAnsi="宋体" w:cs="宋体"/>
          <w:szCs w:val="21"/>
        </w:rPr>
        <w:t>发布采购信息公告的媒体</w:t>
      </w:r>
      <w:r>
        <w:rPr>
          <w:rFonts w:hint="eastAsia" w:ascii="宋体" w:hAnsi="宋体" w:cs="宋体"/>
          <w:szCs w:val="21"/>
          <w:lang w:eastAsia="zh-TW"/>
        </w:rPr>
        <w:t>上发布</w:t>
      </w:r>
      <w:r>
        <w:rPr>
          <w:rFonts w:hint="eastAsia" w:ascii="宋体" w:hAnsi="宋体" w:cs="宋体"/>
          <w:szCs w:val="21"/>
          <w:lang w:eastAsia="zh-CN"/>
        </w:rPr>
        <w:t>中选</w:t>
      </w:r>
      <w:r>
        <w:rPr>
          <w:rFonts w:hint="eastAsia" w:ascii="宋体" w:hAnsi="宋体" w:cs="宋体"/>
          <w:szCs w:val="21"/>
          <w:lang w:eastAsia="zh-TW"/>
        </w:rPr>
        <w:t>公告，并向</w:t>
      </w:r>
      <w:r>
        <w:rPr>
          <w:rFonts w:hint="eastAsia" w:ascii="宋体" w:hAnsi="宋体" w:cs="宋体"/>
          <w:szCs w:val="21"/>
          <w:lang w:eastAsia="zh-CN"/>
        </w:rPr>
        <w:t>中选方</w:t>
      </w:r>
      <w:r>
        <w:rPr>
          <w:rFonts w:hint="eastAsia" w:ascii="宋体" w:hAnsi="宋体" w:cs="宋体"/>
          <w:szCs w:val="21"/>
          <w:lang w:eastAsia="zh-TW"/>
        </w:rPr>
        <w:t>发出《</w:t>
      </w:r>
      <w:r>
        <w:rPr>
          <w:rFonts w:hint="eastAsia" w:ascii="宋体" w:hAnsi="宋体" w:cs="宋体"/>
          <w:szCs w:val="21"/>
          <w:lang w:eastAsia="zh-CN"/>
        </w:rPr>
        <w:t>中选</w:t>
      </w:r>
      <w:r>
        <w:rPr>
          <w:rFonts w:hint="eastAsia" w:ascii="宋体" w:hAnsi="宋体" w:cs="宋体"/>
          <w:szCs w:val="21"/>
          <w:lang w:eastAsia="zh-TW"/>
        </w:rPr>
        <w:t>通知书》，《</w:t>
      </w:r>
      <w:r>
        <w:rPr>
          <w:rFonts w:hint="eastAsia" w:ascii="宋体" w:hAnsi="宋体" w:cs="宋体"/>
          <w:szCs w:val="21"/>
          <w:lang w:eastAsia="zh-CN"/>
        </w:rPr>
        <w:t>中选</w:t>
      </w:r>
      <w:r>
        <w:rPr>
          <w:rFonts w:hint="eastAsia" w:ascii="宋体" w:hAnsi="宋体" w:cs="宋体"/>
          <w:szCs w:val="21"/>
          <w:lang w:eastAsia="zh-TW"/>
        </w:rPr>
        <w:t>通知书》对</w:t>
      </w:r>
      <w:r>
        <w:rPr>
          <w:rFonts w:hint="eastAsia" w:ascii="宋体" w:hAnsi="宋体" w:cs="宋体"/>
          <w:szCs w:val="21"/>
          <w:lang w:eastAsia="zh-CN"/>
        </w:rPr>
        <w:t>中选方</w:t>
      </w:r>
      <w:r>
        <w:rPr>
          <w:rFonts w:hint="eastAsia" w:ascii="宋体" w:hAnsi="宋体" w:cs="宋体"/>
          <w:szCs w:val="21"/>
          <w:lang w:eastAsia="zh-TW"/>
        </w:rPr>
        <w:t>和采购人具有同等法律效力。</w:t>
      </w:r>
    </w:p>
    <w:p w14:paraId="79755C13">
      <w:pPr>
        <w:numPr>
          <w:ilvl w:val="1"/>
          <w:numId w:val="14"/>
        </w:numPr>
        <w:autoSpaceDE w:val="0"/>
        <w:autoSpaceDN w:val="0"/>
        <w:adjustRightInd w:val="0"/>
        <w:snapToGrid w:val="0"/>
        <w:spacing w:line="360" w:lineRule="auto"/>
        <w:rPr>
          <w:rFonts w:ascii="宋体" w:hAnsi="宋体" w:cs="黑体"/>
          <w:b/>
          <w:bCs/>
          <w:szCs w:val="21"/>
        </w:rPr>
      </w:pPr>
      <w:r>
        <w:rPr>
          <w:rFonts w:hint="eastAsia" w:ascii="宋体" w:hAnsi="宋体"/>
          <w:szCs w:val="21"/>
        </w:rPr>
        <w:t>《</w:t>
      </w:r>
      <w:r>
        <w:rPr>
          <w:rFonts w:hint="eastAsia" w:ascii="宋体" w:hAnsi="宋体"/>
          <w:szCs w:val="21"/>
          <w:lang w:eastAsia="zh-CN"/>
        </w:rPr>
        <w:t>中选</w:t>
      </w:r>
      <w:r>
        <w:rPr>
          <w:rFonts w:hint="eastAsia" w:ascii="宋体" w:hAnsi="宋体"/>
          <w:szCs w:val="21"/>
        </w:rPr>
        <w:t>通知书》将作为授予合同资格的合法依据，是合同的一个组成部分。</w:t>
      </w:r>
    </w:p>
    <w:p w14:paraId="265A3599">
      <w:pPr>
        <w:pStyle w:val="3"/>
        <w:numPr>
          <w:ilvl w:val="0"/>
          <w:numId w:val="13"/>
        </w:numPr>
        <w:spacing w:line="240" w:lineRule="auto"/>
        <w:jc w:val="center"/>
        <w:rPr>
          <w:rFonts w:asciiTheme="majorEastAsia" w:hAnsiTheme="majorEastAsia" w:eastAsiaTheme="majorEastAsia"/>
          <w:sz w:val="30"/>
          <w:szCs w:val="30"/>
          <w:lang w:eastAsia="zh-TW"/>
        </w:rPr>
      </w:pPr>
      <w:bookmarkStart w:id="178" w:name="_Toc438223141"/>
      <w:bookmarkStart w:id="179" w:name="_Toc26289"/>
      <w:bookmarkStart w:id="180" w:name="_Toc109893906"/>
      <w:bookmarkStart w:id="181" w:name="_Toc435174938"/>
      <w:bookmarkStart w:id="182" w:name="_Toc6704"/>
      <w:bookmarkStart w:id="183" w:name="_Toc435516655"/>
      <w:bookmarkStart w:id="184" w:name="_Toc27110"/>
      <w:r>
        <w:rPr>
          <w:rFonts w:hint="eastAsia" w:asciiTheme="majorEastAsia" w:hAnsiTheme="majorEastAsia" w:eastAsiaTheme="majorEastAsia"/>
          <w:sz w:val="30"/>
          <w:szCs w:val="30"/>
          <w:lang w:eastAsia="zh-TW"/>
        </w:rPr>
        <w:t>授予合同</w:t>
      </w:r>
      <w:bookmarkEnd w:id="178"/>
      <w:bookmarkEnd w:id="179"/>
      <w:bookmarkEnd w:id="180"/>
      <w:bookmarkEnd w:id="181"/>
      <w:bookmarkEnd w:id="182"/>
      <w:bookmarkEnd w:id="183"/>
      <w:bookmarkEnd w:id="184"/>
    </w:p>
    <w:p w14:paraId="6DC6E940">
      <w:pPr>
        <w:numPr>
          <w:ilvl w:val="0"/>
          <w:numId w:val="14"/>
        </w:numPr>
        <w:autoSpaceDE w:val="0"/>
        <w:autoSpaceDN w:val="0"/>
        <w:adjustRightInd w:val="0"/>
        <w:snapToGrid w:val="0"/>
        <w:spacing w:line="360" w:lineRule="auto"/>
        <w:ind w:left="449" w:hanging="449" w:hangingChars="213"/>
        <w:outlineLvl w:val="9"/>
        <w:rPr>
          <w:rFonts w:ascii="宋体" w:hAnsi="宋体"/>
          <w:b/>
          <w:bCs/>
          <w:szCs w:val="21"/>
        </w:rPr>
      </w:pPr>
      <w:bookmarkStart w:id="185" w:name="_Toc5467"/>
      <w:r>
        <w:rPr>
          <w:rFonts w:hint="eastAsia" w:ascii="宋体" w:hAnsi="宋体"/>
          <w:b/>
          <w:bCs/>
          <w:szCs w:val="21"/>
        </w:rPr>
        <w:t>合同的订立</w:t>
      </w:r>
      <w:bookmarkEnd w:id="185"/>
    </w:p>
    <w:p w14:paraId="02EF1EB6">
      <w:pPr>
        <w:numPr>
          <w:ilvl w:val="1"/>
          <w:numId w:val="1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采购人应当自</w:t>
      </w:r>
      <w:r>
        <w:rPr>
          <w:rFonts w:hint="eastAsia" w:ascii="宋体" w:hAnsi="宋体" w:cs="宋体"/>
          <w:szCs w:val="21"/>
          <w:lang w:eastAsia="zh-CN"/>
        </w:rPr>
        <w:t>中选</w:t>
      </w:r>
      <w:r>
        <w:rPr>
          <w:rFonts w:hint="eastAsia" w:ascii="宋体" w:hAnsi="宋体" w:cs="宋体"/>
          <w:szCs w:val="21"/>
          <w:lang w:eastAsia="zh-TW"/>
        </w:rPr>
        <w:t>通知书发出之日起十个工作日内，按照</w:t>
      </w:r>
      <w:r>
        <w:rPr>
          <w:rFonts w:hint="eastAsia" w:ascii="宋体" w:hAnsi="宋体" w:cs="宋体"/>
          <w:szCs w:val="21"/>
          <w:lang w:val="en-US" w:eastAsia="zh-CN"/>
        </w:rPr>
        <w:t>遴选文件</w:t>
      </w:r>
      <w:r>
        <w:rPr>
          <w:rFonts w:hint="eastAsia" w:ascii="宋体" w:hAnsi="宋体" w:cs="宋体"/>
          <w:szCs w:val="21"/>
          <w:lang w:eastAsia="zh-TW"/>
        </w:rPr>
        <w:t>和</w:t>
      </w:r>
      <w:r>
        <w:rPr>
          <w:rFonts w:hint="eastAsia" w:ascii="宋体" w:hAnsi="宋体" w:cs="宋体"/>
          <w:szCs w:val="21"/>
          <w:lang w:eastAsia="zh-CN"/>
        </w:rPr>
        <w:t>中选方遴选响应文件</w:t>
      </w:r>
      <w:r>
        <w:rPr>
          <w:rFonts w:hint="eastAsia" w:ascii="宋体" w:hAnsi="宋体" w:cs="宋体"/>
          <w:szCs w:val="21"/>
          <w:lang w:eastAsia="zh-TW"/>
        </w:rPr>
        <w:t>的约定，与</w:t>
      </w:r>
      <w:r>
        <w:rPr>
          <w:rFonts w:hint="eastAsia" w:ascii="宋体" w:hAnsi="宋体" w:cs="宋体"/>
          <w:szCs w:val="21"/>
          <w:lang w:eastAsia="zh-CN"/>
        </w:rPr>
        <w:t>中选方</w:t>
      </w:r>
      <w:r>
        <w:rPr>
          <w:rFonts w:hint="eastAsia" w:ascii="宋体" w:hAnsi="宋体" w:cs="宋体"/>
          <w:szCs w:val="21"/>
          <w:lang w:eastAsia="zh-TW"/>
        </w:rPr>
        <w:t>签订书面合同。所签订的合同不得对</w:t>
      </w:r>
      <w:r>
        <w:rPr>
          <w:rFonts w:hint="eastAsia" w:ascii="宋体" w:hAnsi="宋体" w:cs="宋体"/>
          <w:szCs w:val="21"/>
          <w:lang w:val="en-US" w:eastAsia="zh-CN"/>
        </w:rPr>
        <w:t>遴选文件</w:t>
      </w:r>
      <w:r>
        <w:rPr>
          <w:rFonts w:hint="eastAsia" w:ascii="宋体" w:hAnsi="宋体" w:cs="宋体"/>
          <w:szCs w:val="21"/>
          <w:lang w:eastAsia="zh-TW"/>
        </w:rPr>
        <w:t>和</w:t>
      </w:r>
      <w:r>
        <w:rPr>
          <w:rFonts w:hint="eastAsia" w:ascii="宋体" w:hAnsi="宋体" w:cs="宋体"/>
          <w:szCs w:val="21"/>
          <w:lang w:eastAsia="zh-CN"/>
        </w:rPr>
        <w:t>中选方遴选响应文件</w:t>
      </w:r>
      <w:r>
        <w:rPr>
          <w:rFonts w:hint="eastAsia" w:ascii="宋体" w:hAnsi="宋体" w:cs="宋体"/>
          <w:szCs w:val="21"/>
          <w:lang w:eastAsia="zh-TW"/>
        </w:rPr>
        <w:t>作实质性修改</w:t>
      </w:r>
      <w:r>
        <w:rPr>
          <w:rFonts w:hint="eastAsia" w:ascii="宋体" w:hAnsi="宋体" w:cs="宋体"/>
          <w:szCs w:val="21"/>
        </w:rPr>
        <w:t>。</w:t>
      </w:r>
    </w:p>
    <w:p w14:paraId="2A79D34E">
      <w:pPr>
        <w:numPr>
          <w:ilvl w:val="1"/>
          <w:numId w:val="14"/>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采购人</w:t>
      </w:r>
      <w:r>
        <w:rPr>
          <w:rFonts w:hint="eastAsia" w:ascii="宋体" w:hAnsi="宋体" w:cs="宋体"/>
          <w:szCs w:val="21"/>
        </w:rPr>
        <w:t>不得向</w:t>
      </w:r>
      <w:r>
        <w:rPr>
          <w:rFonts w:hint="eastAsia" w:ascii="宋体" w:hAnsi="宋体" w:cs="宋体"/>
          <w:szCs w:val="21"/>
          <w:lang w:eastAsia="zh-CN"/>
        </w:rPr>
        <w:t>中选方</w:t>
      </w:r>
      <w:r>
        <w:rPr>
          <w:rFonts w:hint="eastAsia" w:ascii="宋体" w:hAnsi="宋体" w:cs="宋体"/>
          <w:szCs w:val="21"/>
        </w:rPr>
        <w:t>提出任何不合理的要求，作为签订合同的条件，不得与</w:t>
      </w:r>
      <w:r>
        <w:rPr>
          <w:rFonts w:hint="eastAsia" w:ascii="宋体" w:hAnsi="宋体" w:cs="宋体"/>
          <w:szCs w:val="21"/>
          <w:lang w:eastAsia="zh-CN"/>
        </w:rPr>
        <w:t>中选方</w:t>
      </w:r>
      <w:r>
        <w:rPr>
          <w:rFonts w:hint="eastAsia" w:ascii="宋体" w:hAnsi="宋体" w:cs="宋体"/>
          <w:szCs w:val="21"/>
        </w:rPr>
        <w:t xml:space="preserve">私下订立背离合同实质性内容的协议。 </w:t>
      </w:r>
    </w:p>
    <w:p w14:paraId="1EAC311B">
      <w:pPr>
        <w:numPr>
          <w:ilvl w:val="1"/>
          <w:numId w:val="14"/>
        </w:numPr>
        <w:autoSpaceDE w:val="0"/>
        <w:autoSpaceDN w:val="0"/>
        <w:adjustRightInd w:val="0"/>
        <w:snapToGrid w:val="0"/>
        <w:spacing w:line="360" w:lineRule="auto"/>
        <w:rPr>
          <w:rFonts w:ascii="宋体" w:hAnsi="宋体" w:cs="宋体"/>
          <w:szCs w:val="21"/>
        </w:rPr>
      </w:pPr>
      <w:r>
        <w:rPr>
          <w:rFonts w:hint="eastAsia" w:ascii="宋体" w:hAnsi="宋体" w:cs="宋体"/>
          <w:szCs w:val="21"/>
        </w:rPr>
        <w:t>自</w:t>
      </w:r>
      <w:r>
        <w:rPr>
          <w:rFonts w:hint="eastAsia" w:ascii="宋体" w:hAnsi="宋体" w:cs="宋体"/>
          <w:szCs w:val="21"/>
          <w:lang w:eastAsia="zh-TW"/>
        </w:rPr>
        <w:t>政府采购</w:t>
      </w:r>
      <w:r>
        <w:rPr>
          <w:rFonts w:hint="eastAsia" w:ascii="宋体" w:hAnsi="宋体" w:cs="宋体"/>
          <w:szCs w:val="21"/>
        </w:rPr>
        <w:t>合同签订之日起2</w:t>
      </w:r>
      <w:r>
        <w:rPr>
          <w:rFonts w:hint="eastAsia" w:ascii="宋体" w:hAnsi="宋体" w:cs="宋体"/>
          <w:szCs w:val="21"/>
          <w:lang w:eastAsia="zh-TW"/>
        </w:rPr>
        <w:t>个工作日内，采购人应将政府采购合同</w:t>
      </w:r>
      <w:r>
        <w:rPr>
          <w:rFonts w:hint="eastAsia" w:ascii="宋体" w:hAnsi="宋体" w:cs="宋体"/>
          <w:szCs w:val="21"/>
        </w:rPr>
        <w:t>在指定的渠道公告，但政府采购合同中涉及国家秘密、商业秘密的内容除外</w:t>
      </w:r>
      <w:r>
        <w:rPr>
          <w:rFonts w:hint="eastAsia" w:ascii="宋体" w:hAnsi="宋体" w:cs="宋体"/>
          <w:szCs w:val="21"/>
          <w:lang w:eastAsia="zh-TW"/>
        </w:rPr>
        <w:t>。</w:t>
      </w:r>
    </w:p>
    <w:p w14:paraId="4EE49427">
      <w:pPr>
        <w:numPr>
          <w:ilvl w:val="1"/>
          <w:numId w:val="14"/>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政府采购</w:t>
      </w:r>
      <w:r>
        <w:rPr>
          <w:rFonts w:hint="eastAsia" w:ascii="宋体" w:hAnsi="宋体" w:cs="宋体"/>
          <w:szCs w:val="21"/>
        </w:rPr>
        <w:t>合同签订之日起10</w:t>
      </w:r>
      <w:r>
        <w:rPr>
          <w:rFonts w:hint="eastAsia" w:ascii="宋体" w:hAnsi="宋体" w:cs="宋体"/>
          <w:szCs w:val="21"/>
          <w:lang w:eastAsia="zh-TW"/>
        </w:rPr>
        <w:t>日内，采购人应将政府采购合同副本报同级监管部门备案</w:t>
      </w:r>
      <w:r>
        <w:rPr>
          <w:rFonts w:hint="eastAsia" w:ascii="宋体" w:hAnsi="宋体" w:cs="宋体"/>
          <w:szCs w:val="21"/>
        </w:rPr>
        <w:t>和有关部门备案</w:t>
      </w:r>
      <w:r>
        <w:rPr>
          <w:rFonts w:hint="eastAsia" w:ascii="宋体" w:hAnsi="宋体" w:cs="宋体"/>
          <w:szCs w:val="21"/>
          <w:lang w:eastAsia="zh-TW"/>
        </w:rPr>
        <w:t>。</w:t>
      </w:r>
    </w:p>
    <w:p w14:paraId="3214709D">
      <w:pPr>
        <w:numPr>
          <w:ilvl w:val="0"/>
          <w:numId w:val="14"/>
        </w:numPr>
        <w:autoSpaceDE w:val="0"/>
        <w:autoSpaceDN w:val="0"/>
        <w:adjustRightInd w:val="0"/>
        <w:snapToGrid w:val="0"/>
        <w:spacing w:line="360" w:lineRule="auto"/>
        <w:ind w:left="449" w:hanging="449" w:hangingChars="213"/>
        <w:outlineLvl w:val="9"/>
        <w:rPr>
          <w:rFonts w:ascii="宋体" w:hAnsi="宋体"/>
          <w:b/>
          <w:bCs/>
          <w:szCs w:val="21"/>
        </w:rPr>
      </w:pPr>
      <w:bookmarkStart w:id="186" w:name="_Toc560"/>
      <w:r>
        <w:rPr>
          <w:rFonts w:hint="eastAsia" w:ascii="宋体" w:hAnsi="宋体"/>
          <w:b/>
          <w:bCs/>
          <w:szCs w:val="21"/>
        </w:rPr>
        <w:t>合同的履行</w:t>
      </w:r>
      <w:bookmarkEnd w:id="186"/>
    </w:p>
    <w:p w14:paraId="553105B5">
      <w:pPr>
        <w:numPr>
          <w:ilvl w:val="1"/>
          <w:numId w:val="1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政府采购合同订立后，合同各方不得擅自变更、中止或者终止合同。政府采购合同需要变更的，采购人应将有关合同变更内容，以书面形式报政府采购监督管理部门备案；因特殊情况需要中止或终止合同的，采购人应将中止或终止合同的理由以及相应措施，以书面形式报政府采购监督管理部门备案。</w:t>
      </w:r>
    </w:p>
    <w:p w14:paraId="54B4E651">
      <w:pPr>
        <w:numPr>
          <w:ilvl w:val="1"/>
          <w:numId w:val="1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政府采购合同履行中，采购人需追加与合同标的相同的货物、工程或者服务的，在不改变合同其他条款的前提下，可以与供应商签订补充合同，但所补充合同的采购金额不得超过原</w:t>
      </w:r>
      <w:r>
        <w:rPr>
          <w:rFonts w:hint="eastAsia" w:ascii="宋体" w:hAnsi="宋体" w:cs="宋体"/>
          <w:szCs w:val="21"/>
        </w:rPr>
        <w:t>合同</w:t>
      </w:r>
      <w:r>
        <w:rPr>
          <w:rFonts w:hint="eastAsia" w:ascii="宋体" w:hAnsi="宋体" w:cs="宋体"/>
          <w:szCs w:val="21"/>
          <w:lang w:eastAsia="zh-TW"/>
        </w:rPr>
        <w:t>采购金额的百分之十。签订补充合同的必须按规定备案。</w:t>
      </w:r>
    </w:p>
    <w:p w14:paraId="3DC4E90B">
      <w:pPr>
        <w:rPr>
          <w:rFonts w:ascii="宋体" w:hAnsi="宋体" w:cs="宋体"/>
          <w:szCs w:val="21"/>
        </w:rPr>
      </w:pPr>
    </w:p>
    <w:sectPr>
      <w:headerReference r:id="rId5" w:type="default"/>
      <w:footerReference r:id="rId6" w:type="default"/>
      <w:pgSz w:w="11906" w:h="16838"/>
      <w:pgMar w:top="1440" w:right="1286"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866E32C-48EB-48B5-BE1D-B3E9E2F39A91}"/>
  </w:font>
  <w:font w:name="Courier New">
    <w:panose1 w:val="02070309020205020404"/>
    <w:charset w:val="01"/>
    <w:family w:val="modern"/>
    <w:pitch w:val="default"/>
    <w:sig w:usb0="E0002EFF" w:usb1="C0007843" w:usb2="00000009" w:usb3="00000000" w:csb0="400001FF" w:csb1="FFFF0000"/>
    <w:embedRegular r:id="rId2" w:fontKey="{FE0B8CE9-236E-4510-A40C-000242F39EAC}"/>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70C11BFC-84E0-4C9C-87BA-3088770F3A46}"/>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embedRegular r:id="rId4" w:fontKey="{7A5E8BF6-BEC3-4A8E-B857-EB1FAD145DED}"/>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embedRegular r:id="rId5" w:fontKey="{B6F7F1FD-1585-4D0A-A6E6-6B19100AC040}"/>
  </w:font>
  <w:font w:name="仿宋">
    <w:panose1 w:val="02010609060101010101"/>
    <w:charset w:val="86"/>
    <w:family w:val="modern"/>
    <w:pitch w:val="default"/>
    <w:sig w:usb0="800002BF" w:usb1="38CF7CFA" w:usb2="00000016" w:usb3="00000000" w:csb0="00040001" w:csb1="00000000"/>
    <w:embedRegular r:id="rId6" w:fontKey="{0205CCE0-5101-4098-A504-7CB2E26F1E0D}"/>
  </w:font>
  <w:font w:name="方正仿宋_GBK">
    <w:altName w:val="微软雅黑"/>
    <w:panose1 w:val="00000000000000000000"/>
    <w:charset w:val="86"/>
    <w:family w:val="auto"/>
    <w:pitch w:val="default"/>
    <w:sig w:usb0="00000000" w:usb1="00000000" w:usb2="00000000" w:usb3="00000000" w:csb0="00040000" w:csb1="00000000"/>
    <w:embedRegular r:id="rId7" w:fontKey="{C4D2041F-71CA-40D0-B439-3972F8AE57C1}"/>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50604">
    <w:pPr>
      <w:pStyle w:val="2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F1F07B">
                          <w:pPr>
                            <w:pStyle w:val="26"/>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1F1F07B">
                    <w:pPr>
                      <w:pStyle w:val="26"/>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BA524">
    <w:pPr>
      <w:pStyle w:val="26"/>
      <w:jc w:val="center"/>
    </w:pPr>
    <w:r>
      <w:rPr>
        <w:rFonts w:hint="eastAsia"/>
      </w:rPr>
      <w:t>第</w:t>
    </w:r>
    <w:r>
      <w:fldChar w:fldCharType="begin"/>
    </w:r>
    <w:r>
      <w:rPr>
        <w:rStyle w:val="43"/>
      </w:rPr>
      <w:instrText xml:space="preserve"> PAGE </w:instrText>
    </w:r>
    <w:r>
      <w:fldChar w:fldCharType="separate"/>
    </w:r>
    <w:r>
      <w:rPr>
        <w:rStyle w:val="43"/>
      </w:rPr>
      <w:t>4</w:t>
    </w:r>
    <w:r>
      <w:fldChar w:fldCharType="end"/>
    </w:r>
    <w:r>
      <w:rPr>
        <w:rStyle w:val="43"/>
        <w:rFonts w:hint="eastAsia"/>
      </w:rPr>
      <w:t>页，共</w:t>
    </w:r>
    <w:r>
      <w:fldChar w:fldCharType="begin"/>
    </w:r>
    <w:r>
      <w:rPr>
        <w:rStyle w:val="43"/>
      </w:rPr>
      <w:instrText xml:space="preserve"> NUMPAGES </w:instrText>
    </w:r>
    <w:r>
      <w:fldChar w:fldCharType="separate"/>
    </w:r>
    <w:r>
      <w:rPr>
        <w:rStyle w:val="43"/>
      </w:rPr>
      <w:t>54</w:t>
    </w:r>
    <w:r>
      <w:fldChar w:fldCharType="end"/>
    </w:r>
    <w:r>
      <w:rPr>
        <w:rStyle w:val="43"/>
        <w:rFonts w:hint="eastAsia"/>
      </w:rPr>
      <w:t>页</w:t>
    </w:r>
  </w:p>
  <w:p w14:paraId="550DE726">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E9CF6">
    <w:pPr>
      <w:pStyle w:val="27"/>
      <w:jc w:val="right"/>
    </w:pPr>
    <w:r>
      <w:rPr>
        <w:rFonts w:hint="eastAsia" w:ascii="宋体" w:hAnsi="宋体"/>
        <w:color w:val="auto"/>
        <w:lang w:val="en-US" w:eastAsia="zh-CN"/>
      </w:rPr>
      <w:t>FTEY-202501-FW001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6479C">
    <w:pPr>
      <w:pStyle w:val="27"/>
      <w:jc w:val="right"/>
      <w:rPr>
        <w:rFonts w:hint="eastAsia"/>
        <w:lang w:eastAsia="zh-CN"/>
      </w:rPr>
    </w:pPr>
    <w:r>
      <w:rPr>
        <w:rFonts w:hint="eastAsia" w:ascii="宋体" w:hAnsi="宋体"/>
        <w:color w:val="auto"/>
        <w:lang w:val="en-US" w:eastAsia="zh-CN"/>
      </w:rPr>
      <w:t>FTEY-202501-FW001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A79EEA"/>
    <w:multiLevelType w:val="singleLevel"/>
    <w:tmpl w:val="A3A79EEA"/>
    <w:lvl w:ilvl="0" w:tentative="0">
      <w:start w:val="1"/>
      <w:numFmt w:val="decimal"/>
      <w:lvlText w:val="%1."/>
      <w:lvlJc w:val="left"/>
      <w:pPr>
        <w:tabs>
          <w:tab w:val="left" w:pos="312"/>
        </w:tabs>
      </w:pPr>
    </w:lvl>
  </w:abstractNum>
  <w:abstractNum w:abstractNumId="1">
    <w:nsid w:val="FA290A09"/>
    <w:multiLevelType w:val="singleLevel"/>
    <w:tmpl w:val="FA290A09"/>
    <w:lvl w:ilvl="0" w:tentative="0">
      <w:start w:val="1"/>
      <w:numFmt w:val="decimal"/>
      <w:suff w:val="space"/>
      <w:lvlText w:val="%1."/>
      <w:lvlJc w:val="left"/>
    </w:lvl>
  </w:abstractNum>
  <w:abstractNum w:abstractNumId="2">
    <w:nsid w:val="09D9ADDB"/>
    <w:multiLevelType w:val="singleLevel"/>
    <w:tmpl w:val="09D9ADDB"/>
    <w:lvl w:ilvl="0" w:tentative="0">
      <w:start w:val="11"/>
      <w:numFmt w:val="chineseCounting"/>
      <w:suff w:val="nothing"/>
      <w:lvlText w:val="（%1）"/>
      <w:lvlJc w:val="left"/>
      <w:rPr>
        <w:rFonts w:hint="eastAsia"/>
      </w:rPr>
    </w:lvl>
  </w:abstractNum>
  <w:abstractNum w:abstractNumId="3">
    <w:nsid w:val="24714A5A"/>
    <w:multiLevelType w:val="multilevel"/>
    <w:tmpl w:val="24714A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E4019CA"/>
    <w:multiLevelType w:val="multilevel"/>
    <w:tmpl w:val="2E4019CA"/>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AF300E9"/>
    <w:multiLevelType w:val="multilevel"/>
    <w:tmpl w:val="4AF300E9"/>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6">
    <w:nsid w:val="4BDA1C36"/>
    <w:multiLevelType w:val="multilevel"/>
    <w:tmpl w:val="4BDA1C36"/>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9E0775A"/>
    <w:multiLevelType w:val="singleLevel"/>
    <w:tmpl w:val="59E0775A"/>
    <w:lvl w:ilvl="0" w:tentative="0">
      <w:start w:val="1"/>
      <w:numFmt w:val="chineseCounting"/>
      <w:suff w:val="nothing"/>
      <w:lvlText w:val="%1、"/>
      <w:lvlJc w:val="left"/>
      <w:pPr>
        <w:ind w:left="0" w:firstLine="420"/>
      </w:pPr>
      <w:rPr>
        <w:rFonts w:hint="eastAsia"/>
      </w:rPr>
    </w:lvl>
  </w:abstractNum>
  <w:abstractNum w:abstractNumId="8">
    <w:nsid w:val="5BEC3A51"/>
    <w:multiLevelType w:val="multilevel"/>
    <w:tmpl w:val="5BEC3A5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DE61E17"/>
    <w:multiLevelType w:val="multilevel"/>
    <w:tmpl w:val="5DE61E17"/>
    <w:lvl w:ilvl="0" w:tentative="0">
      <w:start w:val="1"/>
      <w:numFmt w:val="decimal"/>
      <w:lvlText w:val="%1"/>
      <w:lvlJc w:val="left"/>
      <w:pPr>
        <w:tabs>
          <w:tab w:val="left" w:pos="425"/>
        </w:tabs>
        <w:ind w:left="425" w:hanging="425"/>
      </w:pPr>
      <w:rPr>
        <w:rFonts w:hint="eastAsia" w:ascii="宋体" w:hAnsi="宋体" w:eastAsia="宋体"/>
        <w:strike w:val="0"/>
      </w:rPr>
    </w:lvl>
    <w:lvl w:ilvl="1" w:tentative="0">
      <w:start w:val="1"/>
      <w:numFmt w:val="decimal"/>
      <w:lvlText w:val="%1.%2."/>
      <w:lvlJc w:val="left"/>
      <w:pPr>
        <w:tabs>
          <w:tab w:val="left" w:pos="567"/>
        </w:tabs>
        <w:ind w:left="567" w:hanging="567"/>
      </w:pPr>
      <w:rPr>
        <w:rFonts w:hint="eastAsia" w:ascii="宋体" w:hAnsi="宋体" w:eastAsia="宋体"/>
        <w:b w:val="0"/>
        <w:strike w:val="0"/>
        <w:dstrike w:val="0"/>
        <w:color w:val="auto"/>
        <w:sz w:val="21"/>
        <w:szCs w:val="21"/>
      </w:rPr>
    </w:lvl>
    <w:lvl w:ilvl="2" w:tentative="0">
      <w:start w:val="1"/>
      <w:numFmt w:val="decimal"/>
      <w:lvlText w:val="%1.%2.%3."/>
      <w:lvlJc w:val="left"/>
      <w:pPr>
        <w:tabs>
          <w:tab w:val="left" w:pos="567"/>
        </w:tabs>
        <w:ind w:left="567" w:hanging="567"/>
      </w:pPr>
      <w:rPr>
        <w:rFonts w:hint="eastAsia" w:ascii="宋体" w:hAnsi="宋体" w:eastAsia="宋体"/>
        <w:b w:val="0"/>
        <w:sz w:val="21"/>
        <w:szCs w:val="21"/>
      </w:rPr>
    </w:lvl>
    <w:lvl w:ilvl="3" w:tentative="0">
      <w:start w:val="1"/>
      <w:numFmt w:val="decimal"/>
      <w:lvlText w:val="%1.%2.%3.%4."/>
      <w:lvlJc w:val="left"/>
      <w:pPr>
        <w:tabs>
          <w:tab w:val="left" w:pos="851"/>
        </w:tabs>
        <w:ind w:left="851" w:hanging="851"/>
      </w:pPr>
      <w:rPr>
        <w:rFonts w:hint="eastAsia" w:ascii="宋体" w:hAnsi="宋体" w:eastAsia="宋体"/>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6B721006"/>
    <w:multiLevelType w:val="singleLevel"/>
    <w:tmpl w:val="6B721006"/>
    <w:lvl w:ilvl="0" w:tentative="0">
      <w:start w:val="1"/>
      <w:numFmt w:val="decimal"/>
      <w:suff w:val="space"/>
      <w:lvlText w:val="%1."/>
      <w:lvlJc w:val="left"/>
    </w:lvl>
  </w:abstractNum>
  <w:abstractNum w:abstractNumId="11">
    <w:nsid w:val="6EEB7F65"/>
    <w:multiLevelType w:val="multilevel"/>
    <w:tmpl w:val="6EEB7F65"/>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0"/>
  </w:num>
  <w:num w:numId="4">
    <w:abstractNumId w:val="11"/>
  </w:num>
  <w:num w:numId="5">
    <w:abstractNumId w:val="8"/>
  </w:num>
  <w:num w:numId="6">
    <w:abstractNumId w:val="6"/>
  </w:num>
  <w:num w:numId="7">
    <w:abstractNumId w:val="3"/>
  </w:num>
  <w:num w:numId="8">
    <w:abstractNumId w:val="1"/>
  </w:num>
  <w:num w:numId="9">
    <w:abstractNumId w:val="5"/>
  </w:num>
  <w:num w:numId="10">
    <w:abstractNumId w:val="13"/>
  </w:num>
  <w:num w:numId="11">
    <w:abstractNumId w:val="7"/>
  </w:num>
  <w:num w:numId="12">
    <w:abstractNumId w:val="2"/>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doNotDisplayPageBoundaries w:val="1"/>
  <w:embedTrueTypeFonts/>
  <w:saveSubsetFonts/>
  <w:bordersDoNotSurroundHeader w:val="0"/>
  <w:bordersDoNotSurroundFooter w:val="0"/>
  <w:documentProtection w:enforcement="0"/>
  <w:defaultTabStop w:val="5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kNzNlMjRmMTZjMTdjYjEwMTM4NTNlNjUxMDdjOTAifQ=="/>
  </w:docVars>
  <w:rsids>
    <w:rsidRoot w:val="0092721E"/>
    <w:rsid w:val="00001700"/>
    <w:rsid w:val="00001ADA"/>
    <w:rsid w:val="00002B58"/>
    <w:rsid w:val="00002DD8"/>
    <w:rsid w:val="0000783A"/>
    <w:rsid w:val="00010219"/>
    <w:rsid w:val="00011524"/>
    <w:rsid w:val="00015A07"/>
    <w:rsid w:val="00021301"/>
    <w:rsid w:val="0002510B"/>
    <w:rsid w:val="0002533E"/>
    <w:rsid w:val="00027156"/>
    <w:rsid w:val="00027507"/>
    <w:rsid w:val="000320C2"/>
    <w:rsid w:val="000336C8"/>
    <w:rsid w:val="0003409E"/>
    <w:rsid w:val="000358D2"/>
    <w:rsid w:val="000360DD"/>
    <w:rsid w:val="0003715C"/>
    <w:rsid w:val="00042776"/>
    <w:rsid w:val="00042CF9"/>
    <w:rsid w:val="00045787"/>
    <w:rsid w:val="00051B2A"/>
    <w:rsid w:val="00052F73"/>
    <w:rsid w:val="00054202"/>
    <w:rsid w:val="00055562"/>
    <w:rsid w:val="00056807"/>
    <w:rsid w:val="000608FC"/>
    <w:rsid w:val="0006314C"/>
    <w:rsid w:val="00063D2C"/>
    <w:rsid w:val="00075810"/>
    <w:rsid w:val="00080811"/>
    <w:rsid w:val="000808FD"/>
    <w:rsid w:val="00081CA0"/>
    <w:rsid w:val="00083B4B"/>
    <w:rsid w:val="00084660"/>
    <w:rsid w:val="00084BCA"/>
    <w:rsid w:val="000860F1"/>
    <w:rsid w:val="00086188"/>
    <w:rsid w:val="000902F5"/>
    <w:rsid w:val="0009106B"/>
    <w:rsid w:val="0009174E"/>
    <w:rsid w:val="00091C48"/>
    <w:rsid w:val="000922CA"/>
    <w:rsid w:val="0009795D"/>
    <w:rsid w:val="000A13E7"/>
    <w:rsid w:val="000A2077"/>
    <w:rsid w:val="000A458C"/>
    <w:rsid w:val="000A5671"/>
    <w:rsid w:val="000A6DE6"/>
    <w:rsid w:val="000A7729"/>
    <w:rsid w:val="000B0204"/>
    <w:rsid w:val="000B4393"/>
    <w:rsid w:val="000C6BE9"/>
    <w:rsid w:val="000D0262"/>
    <w:rsid w:val="000D0396"/>
    <w:rsid w:val="000D0AD6"/>
    <w:rsid w:val="000D0EC5"/>
    <w:rsid w:val="000D161C"/>
    <w:rsid w:val="000D1F76"/>
    <w:rsid w:val="000D2D47"/>
    <w:rsid w:val="000D32D1"/>
    <w:rsid w:val="000D4DC8"/>
    <w:rsid w:val="000D56F8"/>
    <w:rsid w:val="000D6897"/>
    <w:rsid w:val="000D6E79"/>
    <w:rsid w:val="000D74BE"/>
    <w:rsid w:val="000E171F"/>
    <w:rsid w:val="000E26C3"/>
    <w:rsid w:val="000E35B4"/>
    <w:rsid w:val="000E735D"/>
    <w:rsid w:val="000F018F"/>
    <w:rsid w:val="000F0687"/>
    <w:rsid w:val="000F2249"/>
    <w:rsid w:val="000F2A7D"/>
    <w:rsid w:val="000F5D87"/>
    <w:rsid w:val="001051C9"/>
    <w:rsid w:val="0010648E"/>
    <w:rsid w:val="001066F5"/>
    <w:rsid w:val="00107D78"/>
    <w:rsid w:val="001101AF"/>
    <w:rsid w:val="00111F67"/>
    <w:rsid w:val="001153D8"/>
    <w:rsid w:val="001162C3"/>
    <w:rsid w:val="001177E7"/>
    <w:rsid w:val="00117E87"/>
    <w:rsid w:val="00125DB1"/>
    <w:rsid w:val="0012713F"/>
    <w:rsid w:val="0013238D"/>
    <w:rsid w:val="0013496E"/>
    <w:rsid w:val="0013792D"/>
    <w:rsid w:val="001408BB"/>
    <w:rsid w:val="001434A5"/>
    <w:rsid w:val="00143653"/>
    <w:rsid w:val="00152A9F"/>
    <w:rsid w:val="00153301"/>
    <w:rsid w:val="00153B9E"/>
    <w:rsid w:val="001542F6"/>
    <w:rsid w:val="00154590"/>
    <w:rsid w:val="001548AD"/>
    <w:rsid w:val="00155CDD"/>
    <w:rsid w:val="00157F06"/>
    <w:rsid w:val="00160030"/>
    <w:rsid w:val="00162ABC"/>
    <w:rsid w:val="001632B3"/>
    <w:rsid w:val="00170D22"/>
    <w:rsid w:val="00175B9F"/>
    <w:rsid w:val="001836B6"/>
    <w:rsid w:val="0019030F"/>
    <w:rsid w:val="00190B48"/>
    <w:rsid w:val="00191023"/>
    <w:rsid w:val="00195DF5"/>
    <w:rsid w:val="001A1DD8"/>
    <w:rsid w:val="001A50AA"/>
    <w:rsid w:val="001A580A"/>
    <w:rsid w:val="001A616C"/>
    <w:rsid w:val="001A6511"/>
    <w:rsid w:val="001A7C1E"/>
    <w:rsid w:val="001B0E95"/>
    <w:rsid w:val="001B148E"/>
    <w:rsid w:val="001B2082"/>
    <w:rsid w:val="001B4FC6"/>
    <w:rsid w:val="001B5E1E"/>
    <w:rsid w:val="001B60F2"/>
    <w:rsid w:val="001B6492"/>
    <w:rsid w:val="001C3B02"/>
    <w:rsid w:val="001C510A"/>
    <w:rsid w:val="001C5BBC"/>
    <w:rsid w:val="001C5C19"/>
    <w:rsid w:val="001D01D4"/>
    <w:rsid w:val="001D17E8"/>
    <w:rsid w:val="001D438B"/>
    <w:rsid w:val="001D5BF9"/>
    <w:rsid w:val="001E00E8"/>
    <w:rsid w:val="001E1909"/>
    <w:rsid w:val="001E442D"/>
    <w:rsid w:val="001E5677"/>
    <w:rsid w:val="001E7793"/>
    <w:rsid w:val="001F1F84"/>
    <w:rsid w:val="001F29C9"/>
    <w:rsid w:val="001F3AFD"/>
    <w:rsid w:val="001F5382"/>
    <w:rsid w:val="001F5DB1"/>
    <w:rsid w:val="002050AC"/>
    <w:rsid w:val="00212D60"/>
    <w:rsid w:val="00212F40"/>
    <w:rsid w:val="00217995"/>
    <w:rsid w:val="00222C5C"/>
    <w:rsid w:val="00223671"/>
    <w:rsid w:val="0022377B"/>
    <w:rsid w:val="00224BC8"/>
    <w:rsid w:val="002254DF"/>
    <w:rsid w:val="00230D64"/>
    <w:rsid w:val="00231CC0"/>
    <w:rsid w:val="002369B8"/>
    <w:rsid w:val="00240703"/>
    <w:rsid w:val="00240A0F"/>
    <w:rsid w:val="00241A10"/>
    <w:rsid w:val="0024273E"/>
    <w:rsid w:val="00245D64"/>
    <w:rsid w:val="00245EB6"/>
    <w:rsid w:val="002463EC"/>
    <w:rsid w:val="00247EE9"/>
    <w:rsid w:val="0025208A"/>
    <w:rsid w:val="0025220D"/>
    <w:rsid w:val="00252759"/>
    <w:rsid w:val="002552AB"/>
    <w:rsid w:val="0025664A"/>
    <w:rsid w:val="00263A81"/>
    <w:rsid w:val="00264597"/>
    <w:rsid w:val="0026687D"/>
    <w:rsid w:val="002704F2"/>
    <w:rsid w:val="00271C8E"/>
    <w:rsid w:val="0027428C"/>
    <w:rsid w:val="00274D35"/>
    <w:rsid w:val="00275E64"/>
    <w:rsid w:val="00280001"/>
    <w:rsid w:val="002804D6"/>
    <w:rsid w:val="00281A24"/>
    <w:rsid w:val="0028260A"/>
    <w:rsid w:val="0028361C"/>
    <w:rsid w:val="002841E9"/>
    <w:rsid w:val="0028452A"/>
    <w:rsid w:val="002927D4"/>
    <w:rsid w:val="00294B95"/>
    <w:rsid w:val="00294F7C"/>
    <w:rsid w:val="00296F34"/>
    <w:rsid w:val="00297BDD"/>
    <w:rsid w:val="002A2DB3"/>
    <w:rsid w:val="002A734B"/>
    <w:rsid w:val="002B0DB3"/>
    <w:rsid w:val="002B12E8"/>
    <w:rsid w:val="002C4E0D"/>
    <w:rsid w:val="002C4F5A"/>
    <w:rsid w:val="002C769D"/>
    <w:rsid w:val="002D1179"/>
    <w:rsid w:val="002D1DF7"/>
    <w:rsid w:val="002D2115"/>
    <w:rsid w:val="002D4667"/>
    <w:rsid w:val="002E1FE6"/>
    <w:rsid w:val="002E33EA"/>
    <w:rsid w:val="002E6315"/>
    <w:rsid w:val="002E7B9E"/>
    <w:rsid w:val="002E7E44"/>
    <w:rsid w:val="002F631B"/>
    <w:rsid w:val="002F7360"/>
    <w:rsid w:val="003004AE"/>
    <w:rsid w:val="00303375"/>
    <w:rsid w:val="00307974"/>
    <w:rsid w:val="00310240"/>
    <w:rsid w:val="00311BFC"/>
    <w:rsid w:val="00312E66"/>
    <w:rsid w:val="00314A31"/>
    <w:rsid w:val="00314FC4"/>
    <w:rsid w:val="003159FF"/>
    <w:rsid w:val="00316AC9"/>
    <w:rsid w:val="00320690"/>
    <w:rsid w:val="00324B55"/>
    <w:rsid w:val="003260EE"/>
    <w:rsid w:val="00330FDE"/>
    <w:rsid w:val="003334CA"/>
    <w:rsid w:val="00333688"/>
    <w:rsid w:val="0033452D"/>
    <w:rsid w:val="00340BEE"/>
    <w:rsid w:val="00341B48"/>
    <w:rsid w:val="00342196"/>
    <w:rsid w:val="00342BB7"/>
    <w:rsid w:val="0034325A"/>
    <w:rsid w:val="0035506B"/>
    <w:rsid w:val="003556B3"/>
    <w:rsid w:val="00355823"/>
    <w:rsid w:val="00361248"/>
    <w:rsid w:val="0036344E"/>
    <w:rsid w:val="0036385E"/>
    <w:rsid w:val="003646BE"/>
    <w:rsid w:val="003659B8"/>
    <w:rsid w:val="00366470"/>
    <w:rsid w:val="00367F19"/>
    <w:rsid w:val="003710BF"/>
    <w:rsid w:val="00373413"/>
    <w:rsid w:val="00375D19"/>
    <w:rsid w:val="00377915"/>
    <w:rsid w:val="00377B58"/>
    <w:rsid w:val="00381A92"/>
    <w:rsid w:val="0038213F"/>
    <w:rsid w:val="003839EC"/>
    <w:rsid w:val="00383A5C"/>
    <w:rsid w:val="00383BAE"/>
    <w:rsid w:val="0038674D"/>
    <w:rsid w:val="00387BAD"/>
    <w:rsid w:val="00391238"/>
    <w:rsid w:val="003919ED"/>
    <w:rsid w:val="00394B8A"/>
    <w:rsid w:val="003A015C"/>
    <w:rsid w:val="003A2CBB"/>
    <w:rsid w:val="003A46BE"/>
    <w:rsid w:val="003A7A45"/>
    <w:rsid w:val="003B0F9C"/>
    <w:rsid w:val="003C0EBC"/>
    <w:rsid w:val="003C1459"/>
    <w:rsid w:val="003C2744"/>
    <w:rsid w:val="003C4AC5"/>
    <w:rsid w:val="003D1EAE"/>
    <w:rsid w:val="003D2A4D"/>
    <w:rsid w:val="003D2E0E"/>
    <w:rsid w:val="003D3EC2"/>
    <w:rsid w:val="003D62D3"/>
    <w:rsid w:val="003D741C"/>
    <w:rsid w:val="003D793A"/>
    <w:rsid w:val="003D7DF4"/>
    <w:rsid w:val="003E16EF"/>
    <w:rsid w:val="003E1A07"/>
    <w:rsid w:val="003E1D9E"/>
    <w:rsid w:val="003E3761"/>
    <w:rsid w:val="003E6098"/>
    <w:rsid w:val="003E7A1A"/>
    <w:rsid w:val="003F1BB4"/>
    <w:rsid w:val="003F1BCD"/>
    <w:rsid w:val="003F268B"/>
    <w:rsid w:val="003F6D74"/>
    <w:rsid w:val="00400B0C"/>
    <w:rsid w:val="0040421B"/>
    <w:rsid w:val="00416802"/>
    <w:rsid w:val="00417D92"/>
    <w:rsid w:val="00421E4B"/>
    <w:rsid w:val="00425997"/>
    <w:rsid w:val="00426F37"/>
    <w:rsid w:val="00431308"/>
    <w:rsid w:val="00431932"/>
    <w:rsid w:val="004342B4"/>
    <w:rsid w:val="004348CD"/>
    <w:rsid w:val="00441E67"/>
    <w:rsid w:val="00450035"/>
    <w:rsid w:val="00451220"/>
    <w:rsid w:val="00451A79"/>
    <w:rsid w:val="00461CCC"/>
    <w:rsid w:val="004621DF"/>
    <w:rsid w:val="0046302B"/>
    <w:rsid w:val="00467EB9"/>
    <w:rsid w:val="00470425"/>
    <w:rsid w:val="00470D03"/>
    <w:rsid w:val="00471120"/>
    <w:rsid w:val="004721EF"/>
    <w:rsid w:val="00472AC0"/>
    <w:rsid w:val="00474379"/>
    <w:rsid w:val="00475AF1"/>
    <w:rsid w:val="0047730C"/>
    <w:rsid w:val="00480D27"/>
    <w:rsid w:val="00484795"/>
    <w:rsid w:val="00484807"/>
    <w:rsid w:val="004917F1"/>
    <w:rsid w:val="004A110E"/>
    <w:rsid w:val="004A41F0"/>
    <w:rsid w:val="004A663F"/>
    <w:rsid w:val="004B12B8"/>
    <w:rsid w:val="004B1576"/>
    <w:rsid w:val="004B7336"/>
    <w:rsid w:val="004C202C"/>
    <w:rsid w:val="004C6DF3"/>
    <w:rsid w:val="004D2988"/>
    <w:rsid w:val="004D4BB4"/>
    <w:rsid w:val="004D626A"/>
    <w:rsid w:val="004D655F"/>
    <w:rsid w:val="004D65FC"/>
    <w:rsid w:val="004D7474"/>
    <w:rsid w:val="004D7A45"/>
    <w:rsid w:val="004E063D"/>
    <w:rsid w:val="004E1DC0"/>
    <w:rsid w:val="004E2335"/>
    <w:rsid w:val="004E3B37"/>
    <w:rsid w:val="004E5049"/>
    <w:rsid w:val="004E76F2"/>
    <w:rsid w:val="005009A4"/>
    <w:rsid w:val="005060C9"/>
    <w:rsid w:val="00506488"/>
    <w:rsid w:val="005078E9"/>
    <w:rsid w:val="00510EA7"/>
    <w:rsid w:val="00512A85"/>
    <w:rsid w:val="00513851"/>
    <w:rsid w:val="00513E79"/>
    <w:rsid w:val="00514B81"/>
    <w:rsid w:val="00517521"/>
    <w:rsid w:val="00522515"/>
    <w:rsid w:val="00524F35"/>
    <w:rsid w:val="0052710E"/>
    <w:rsid w:val="0052736B"/>
    <w:rsid w:val="0053371F"/>
    <w:rsid w:val="005375BA"/>
    <w:rsid w:val="00537753"/>
    <w:rsid w:val="005416C8"/>
    <w:rsid w:val="00542113"/>
    <w:rsid w:val="005455FD"/>
    <w:rsid w:val="00546790"/>
    <w:rsid w:val="00547D67"/>
    <w:rsid w:val="005524CE"/>
    <w:rsid w:val="005531F3"/>
    <w:rsid w:val="00555CFB"/>
    <w:rsid w:val="00555F4F"/>
    <w:rsid w:val="00556439"/>
    <w:rsid w:val="00556939"/>
    <w:rsid w:val="0056055F"/>
    <w:rsid w:val="00561341"/>
    <w:rsid w:val="00564DC6"/>
    <w:rsid w:val="005671AA"/>
    <w:rsid w:val="00567770"/>
    <w:rsid w:val="00572522"/>
    <w:rsid w:val="00574D5F"/>
    <w:rsid w:val="00576106"/>
    <w:rsid w:val="00581131"/>
    <w:rsid w:val="0058488F"/>
    <w:rsid w:val="0058716D"/>
    <w:rsid w:val="0059023D"/>
    <w:rsid w:val="005908ED"/>
    <w:rsid w:val="00593FEC"/>
    <w:rsid w:val="005A0682"/>
    <w:rsid w:val="005A11D1"/>
    <w:rsid w:val="005A6373"/>
    <w:rsid w:val="005B4291"/>
    <w:rsid w:val="005B5388"/>
    <w:rsid w:val="005B6604"/>
    <w:rsid w:val="005B673D"/>
    <w:rsid w:val="005B6FE9"/>
    <w:rsid w:val="005B7D46"/>
    <w:rsid w:val="005C23A6"/>
    <w:rsid w:val="005C41E3"/>
    <w:rsid w:val="005C53B8"/>
    <w:rsid w:val="005C7E25"/>
    <w:rsid w:val="005D0AD2"/>
    <w:rsid w:val="005D6089"/>
    <w:rsid w:val="005D7D3D"/>
    <w:rsid w:val="005E06E8"/>
    <w:rsid w:val="005E3019"/>
    <w:rsid w:val="005E706A"/>
    <w:rsid w:val="005E753B"/>
    <w:rsid w:val="005F03B6"/>
    <w:rsid w:val="005F16D1"/>
    <w:rsid w:val="005F3388"/>
    <w:rsid w:val="006000D1"/>
    <w:rsid w:val="00603607"/>
    <w:rsid w:val="00603F49"/>
    <w:rsid w:val="00606978"/>
    <w:rsid w:val="00610619"/>
    <w:rsid w:val="00610975"/>
    <w:rsid w:val="0062125E"/>
    <w:rsid w:val="0062212B"/>
    <w:rsid w:val="006225DB"/>
    <w:rsid w:val="0062260D"/>
    <w:rsid w:val="00623369"/>
    <w:rsid w:val="00623C97"/>
    <w:rsid w:val="00626617"/>
    <w:rsid w:val="006319CC"/>
    <w:rsid w:val="006357E2"/>
    <w:rsid w:val="00637069"/>
    <w:rsid w:val="006372F9"/>
    <w:rsid w:val="00641107"/>
    <w:rsid w:val="00641797"/>
    <w:rsid w:val="00644032"/>
    <w:rsid w:val="006506D0"/>
    <w:rsid w:val="00650E75"/>
    <w:rsid w:val="00657D67"/>
    <w:rsid w:val="00667569"/>
    <w:rsid w:val="006702B3"/>
    <w:rsid w:val="006732DD"/>
    <w:rsid w:val="00674492"/>
    <w:rsid w:val="00674A8B"/>
    <w:rsid w:val="00674CE0"/>
    <w:rsid w:val="00674CFD"/>
    <w:rsid w:val="006835FA"/>
    <w:rsid w:val="00690296"/>
    <w:rsid w:val="00690C0D"/>
    <w:rsid w:val="00692A58"/>
    <w:rsid w:val="00692F0C"/>
    <w:rsid w:val="006964E2"/>
    <w:rsid w:val="006A1FD4"/>
    <w:rsid w:val="006A5E12"/>
    <w:rsid w:val="006B0FCC"/>
    <w:rsid w:val="006B1507"/>
    <w:rsid w:val="006B344A"/>
    <w:rsid w:val="006C45BC"/>
    <w:rsid w:val="006C5EBC"/>
    <w:rsid w:val="006D1898"/>
    <w:rsid w:val="006D24C9"/>
    <w:rsid w:val="006D35A1"/>
    <w:rsid w:val="006D4112"/>
    <w:rsid w:val="006D4312"/>
    <w:rsid w:val="006D4367"/>
    <w:rsid w:val="006D5D42"/>
    <w:rsid w:val="006E43BE"/>
    <w:rsid w:val="006E6E37"/>
    <w:rsid w:val="006F428C"/>
    <w:rsid w:val="006F55C7"/>
    <w:rsid w:val="006F78BA"/>
    <w:rsid w:val="007007AD"/>
    <w:rsid w:val="007033A9"/>
    <w:rsid w:val="007117F6"/>
    <w:rsid w:val="00712C52"/>
    <w:rsid w:val="0071336B"/>
    <w:rsid w:val="00716CD2"/>
    <w:rsid w:val="0072185F"/>
    <w:rsid w:val="007246E4"/>
    <w:rsid w:val="0073039E"/>
    <w:rsid w:val="00730AB9"/>
    <w:rsid w:val="00734F94"/>
    <w:rsid w:val="0073673B"/>
    <w:rsid w:val="00737FC4"/>
    <w:rsid w:val="00741FD2"/>
    <w:rsid w:val="00743641"/>
    <w:rsid w:val="00743D21"/>
    <w:rsid w:val="0074554E"/>
    <w:rsid w:val="00746085"/>
    <w:rsid w:val="007478D2"/>
    <w:rsid w:val="00747EB3"/>
    <w:rsid w:val="00751803"/>
    <w:rsid w:val="00752AB2"/>
    <w:rsid w:val="00752BE7"/>
    <w:rsid w:val="00760697"/>
    <w:rsid w:val="00761704"/>
    <w:rsid w:val="00765F75"/>
    <w:rsid w:val="00774808"/>
    <w:rsid w:val="00776370"/>
    <w:rsid w:val="00776C08"/>
    <w:rsid w:val="00781730"/>
    <w:rsid w:val="00781936"/>
    <w:rsid w:val="00781FA1"/>
    <w:rsid w:val="0078421C"/>
    <w:rsid w:val="00785989"/>
    <w:rsid w:val="0078698F"/>
    <w:rsid w:val="00791B01"/>
    <w:rsid w:val="00791BE5"/>
    <w:rsid w:val="00792DC5"/>
    <w:rsid w:val="00792F46"/>
    <w:rsid w:val="00794A33"/>
    <w:rsid w:val="00794CD9"/>
    <w:rsid w:val="007969F3"/>
    <w:rsid w:val="007A1386"/>
    <w:rsid w:val="007A4481"/>
    <w:rsid w:val="007A4A7D"/>
    <w:rsid w:val="007A4D54"/>
    <w:rsid w:val="007A7268"/>
    <w:rsid w:val="007B04BF"/>
    <w:rsid w:val="007B0787"/>
    <w:rsid w:val="007B26C7"/>
    <w:rsid w:val="007B2B61"/>
    <w:rsid w:val="007B3AD9"/>
    <w:rsid w:val="007B58FA"/>
    <w:rsid w:val="007B7AF5"/>
    <w:rsid w:val="007C0D11"/>
    <w:rsid w:val="007C0D69"/>
    <w:rsid w:val="007C257D"/>
    <w:rsid w:val="007C26B2"/>
    <w:rsid w:val="007C2F5D"/>
    <w:rsid w:val="007C4F53"/>
    <w:rsid w:val="007C58D1"/>
    <w:rsid w:val="007D5DA8"/>
    <w:rsid w:val="007D66B8"/>
    <w:rsid w:val="007E02D8"/>
    <w:rsid w:val="007E1962"/>
    <w:rsid w:val="007E48DC"/>
    <w:rsid w:val="007E76F6"/>
    <w:rsid w:val="007F165A"/>
    <w:rsid w:val="007F17BF"/>
    <w:rsid w:val="007F27D8"/>
    <w:rsid w:val="007F4543"/>
    <w:rsid w:val="008030D9"/>
    <w:rsid w:val="0080582E"/>
    <w:rsid w:val="00807B71"/>
    <w:rsid w:val="008237EB"/>
    <w:rsid w:val="008268C6"/>
    <w:rsid w:val="008269F9"/>
    <w:rsid w:val="00826A54"/>
    <w:rsid w:val="00827512"/>
    <w:rsid w:val="0083614F"/>
    <w:rsid w:val="00837CC4"/>
    <w:rsid w:val="00837FCF"/>
    <w:rsid w:val="00841316"/>
    <w:rsid w:val="008415AA"/>
    <w:rsid w:val="0084690F"/>
    <w:rsid w:val="00847334"/>
    <w:rsid w:val="00847B07"/>
    <w:rsid w:val="0085321A"/>
    <w:rsid w:val="00855F99"/>
    <w:rsid w:val="00857D42"/>
    <w:rsid w:val="00860C0F"/>
    <w:rsid w:val="0086284B"/>
    <w:rsid w:val="00863CAD"/>
    <w:rsid w:val="008651E1"/>
    <w:rsid w:val="0086746B"/>
    <w:rsid w:val="0086784A"/>
    <w:rsid w:val="008722B7"/>
    <w:rsid w:val="00876E91"/>
    <w:rsid w:val="0088159C"/>
    <w:rsid w:val="0088272B"/>
    <w:rsid w:val="00883163"/>
    <w:rsid w:val="008851EB"/>
    <w:rsid w:val="0088638A"/>
    <w:rsid w:val="00890CA8"/>
    <w:rsid w:val="00890FDF"/>
    <w:rsid w:val="00893B5A"/>
    <w:rsid w:val="00895D7F"/>
    <w:rsid w:val="008A0AE8"/>
    <w:rsid w:val="008A1AF1"/>
    <w:rsid w:val="008A4379"/>
    <w:rsid w:val="008A6C49"/>
    <w:rsid w:val="008B0207"/>
    <w:rsid w:val="008B4DA0"/>
    <w:rsid w:val="008B637F"/>
    <w:rsid w:val="008C2590"/>
    <w:rsid w:val="008C2827"/>
    <w:rsid w:val="008C3704"/>
    <w:rsid w:val="008C5021"/>
    <w:rsid w:val="008C6A90"/>
    <w:rsid w:val="008C6CFC"/>
    <w:rsid w:val="008E260A"/>
    <w:rsid w:val="008E293B"/>
    <w:rsid w:val="008E3FAA"/>
    <w:rsid w:val="008E60B0"/>
    <w:rsid w:val="008E61F6"/>
    <w:rsid w:val="008E7E92"/>
    <w:rsid w:val="008E7F88"/>
    <w:rsid w:val="008F3BA9"/>
    <w:rsid w:val="00902B67"/>
    <w:rsid w:val="00903A19"/>
    <w:rsid w:val="0091015C"/>
    <w:rsid w:val="009104BA"/>
    <w:rsid w:val="00914903"/>
    <w:rsid w:val="0091601F"/>
    <w:rsid w:val="0091741B"/>
    <w:rsid w:val="00917609"/>
    <w:rsid w:val="00921F09"/>
    <w:rsid w:val="00923C35"/>
    <w:rsid w:val="009255DA"/>
    <w:rsid w:val="00926F67"/>
    <w:rsid w:val="0092721E"/>
    <w:rsid w:val="00932B30"/>
    <w:rsid w:val="009331B8"/>
    <w:rsid w:val="00933C43"/>
    <w:rsid w:val="0094309C"/>
    <w:rsid w:val="00945824"/>
    <w:rsid w:val="00945BC4"/>
    <w:rsid w:val="00945F96"/>
    <w:rsid w:val="00953A98"/>
    <w:rsid w:val="0096534D"/>
    <w:rsid w:val="00965DAA"/>
    <w:rsid w:val="009674C4"/>
    <w:rsid w:val="00967D26"/>
    <w:rsid w:val="0097174A"/>
    <w:rsid w:val="00971E9E"/>
    <w:rsid w:val="00977BFA"/>
    <w:rsid w:val="00980873"/>
    <w:rsid w:val="00982129"/>
    <w:rsid w:val="0098352D"/>
    <w:rsid w:val="00986AEC"/>
    <w:rsid w:val="00990B82"/>
    <w:rsid w:val="009927A3"/>
    <w:rsid w:val="009A337D"/>
    <w:rsid w:val="009A35B7"/>
    <w:rsid w:val="009A43C8"/>
    <w:rsid w:val="009A5606"/>
    <w:rsid w:val="009A781C"/>
    <w:rsid w:val="009B3841"/>
    <w:rsid w:val="009B5DD1"/>
    <w:rsid w:val="009B62B5"/>
    <w:rsid w:val="009C3743"/>
    <w:rsid w:val="009C45A9"/>
    <w:rsid w:val="009C4ABC"/>
    <w:rsid w:val="009C5636"/>
    <w:rsid w:val="009C5668"/>
    <w:rsid w:val="009C69B9"/>
    <w:rsid w:val="009C6AB2"/>
    <w:rsid w:val="009C7A54"/>
    <w:rsid w:val="009D2CFF"/>
    <w:rsid w:val="009D3AE7"/>
    <w:rsid w:val="009D3B80"/>
    <w:rsid w:val="009D4B28"/>
    <w:rsid w:val="009D5377"/>
    <w:rsid w:val="009E46B5"/>
    <w:rsid w:val="009E5524"/>
    <w:rsid w:val="009E55F7"/>
    <w:rsid w:val="009E6211"/>
    <w:rsid w:val="009F11A5"/>
    <w:rsid w:val="009F2391"/>
    <w:rsid w:val="009F3518"/>
    <w:rsid w:val="009F53D8"/>
    <w:rsid w:val="009F7CBC"/>
    <w:rsid w:val="00A00EF7"/>
    <w:rsid w:val="00A0147C"/>
    <w:rsid w:val="00A0302B"/>
    <w:rsid w:val="00A044A7"/>
    <w:rsid w:val="00A0476A"/>
    <w:rsid w:val="00A04E77"/>
    <w:rsid w:val="00A05EFF"/>
    <w:rsid w:val="00A06797"/>
    <w:rsid w:val="00A122A1"/>
    <w:rsid w:val="00A15D08"/>
    <w:rsid w:val="00A21DC1"/>
    <w:rsid w:val="00A274B6"/>
    <w:rsid w:val="00A276AE"/>
    <w:rsid w:val="00A278DE"/>
    <w:rsid w:val="00A379E7"/>
    <w:rsid w:val="00A42BF9"/>
    <w:rsid w:val="00A441D6"/>
    <w:rsid w:val="00A45A5E"/>
    <w:rsid w:val="00A5002F"/>
    <w:rsid w:val="00A511BD"/>
    <w:rsid w:val="00A519DF"/>
    <w:rsid w:val="00A64F97"/>
    <w:rsid w:val="00A6524E"/>
    <w:rsid w:val="00A65723"/>
    <w:rsid w:val="00A66587"/>
    <w:rsid w:val="00A70495"/>
    <w:rsid w:val="00A70508"/>
    <w:rsid w:val="00A7103B"/>
    <w:rsid w:val="00A73BED"/>
    <w:rsid w:val="00A73F1E"/>
    <w:rsid w:val="00A75CF3"/>
    <w:rsid w:val="00A7694D"/>
    <w:rsid w:val="00A777C7"/>
    <w:rsid w:val="00A839A7"/>
    <w:rsid w:val="00A83D9C"/>
    <w:rsid w:val="00A83FD6"/>
    <w:rsid w:val="00A84D24"/>
    <w:rsid w:val="00A85936"/>
    <w:rsid w:val="00A91FC7"/>
    <w:rsid w:val="00A95530"/>
    <w:rsid w:val="00A966BA"/>
    <w:rsid w:val="00A97E74"/>
    <w:rsid w:val="00AA0039"/>
    <w:rsid w:val="00AA07A1"/>
    <w:rsid w:val="00AA2949"/>
    <w:rsid w:val="00AA2B72"/>
    <w:rsid w:val="00AA5CD1"/>
    <w:rsid w:val="00AB1F05"/>
    <w:rsid w:val="00AB3EA6"/>
    <w:rsid w:val="00AC11D1"/>
    <w:rsid w:val="00AC5C09"/>
    <w:rsid w:val="00AC60AF"/>
    <w:rsid w:val="00AC6C16"/>
    <w:rsid w:val="00AC7E29"/>
    <w:rsid w:val="00AD1D64"/>
    <w:rsid w:val="00AD2C87"/>
    <w:rsid w:val="00AD45EF"/>
    <w:rsid w:val="00AD54B6"/>
    <w:rsid w:val="00AD5C6E"/>
    <w:rsid w:val="00AE0AF4"/>
    <w:rsid w:val="00AE2FD7"/>
    <w:rsid w:val="00AE4FBA"/>
    <w:rsid w:val="00AE5548"/>
    <w:rsid w:val="00AF5EFA"/>
    <w:rsid w:val="00AF6E32"/>
    <w:rsid w:val="00B004A7"/>
    <w:rsid w:val="00B01244"/>
    <w:rsid w:val="00B024C1"/>
    <w:rsid w:val="00B03D31"/>
    <w:rsid w:val="00B050C8"/>
    <w:rsid w:val="00B06735"/>
    <w:rsid w:val="00B150F4"/>
    <w:rsid w:val="00B154D9"/>
    <w:rsid w:val="00B20BF2"/>
    <w:rsid w:val="00B24F2D"/>
    <w:rsid w:val="00B25C40"/>
    <w:rsid w:val="00B31D23"/>
    <w:rsid w:val="00B40884"/>
    <w:rsid w:val="00B42917"/>
    <w:rsid w:val="00B460E0"/>
    <w:rsid w:val="00B465AC"/>
    <w:rsid w:val="00B46C05"/>
    <w:rsid w:val="00B47897"/>
    <w:rsid w:val="00B50098"/>
    <w:rsid w:val="00B52A0A"/>
    <w:rsid w:val="00B5646B"/>
    <w:rsid w:val="00B572DA"/>
    <w:rsid w:val="00B63AED"/>
    <w:rsid w:val="00B6513D"/>
    <w:rsid w:val="00B654D7"/>
    <w:rsid w:val="00B70BD3"/>
    <w:rsid w:val="00B73CE1"/>
    <w:rsid w:val="00B74143"/>
    <w:rsid w:val="00B74C33"/>
    <w:rsid w:val="00B7730E"/>
    <w:rsid w:val="00B80CB1"/>
    <w:rsid w:val="00B830C6"/>
    <w:rsid w:val="00B86999"/>
    <w:rsid w:val="00B92CA9"/>
    <w:rsid w:val="00B94780"/>
    <w:rsid w:val="00B95C3B"/>
    <w:rsid w:val="00B96274"/>
    <w:rsid w:val="00B97BEF"/>
    <w:rsid w:val="00B97D8F"/>
    <w:rsid w:val="00BA050F"/>
    <w:rsid w:val="00BA27BC"/>
    <w:rsid w:val="00BA2E52"/>
    <w:rsid w:val="00BA330A"/>
    <w:rsid w:val="00BA4DB4"/>
    <w:rsid w:val="00BA5BD0"/>
    <w:rsid w:val="00BA6798"/>
    <w:rsid w:val="00BB38E9"/>
    <w:rsid w:val="00BB78C0"/>
    <w:rsid w:val="00BC75E7"/>
    <w:rsid w:val="00BD0CD6"/>
    <w:rsid w:val="00BD5EF6"/>
    <w:rsid w:val="00BD5F1A"/>
    <w:rsid w:val="00BE0158"/>
    <w:rsid w:val="00BE182E"/>
    <w:rsid w:val="00BE396E"/>
    <w:rsid w:val="00BE3EBF"/>
    <w:rsid w:val="00BE4F78"/>
    <w:rsid w:val="00BE6513"/>
    <w:rsid w:val="00BE69CF"/>
    <w:rsid w:val="00BE7E35"/>
    <w:rsid w:val="00BF0E06"/>
    <w:rsid w:val="00BF441D"/>
    <w:rsid w:val="00BF6916"/>
    <w:rsid w:val="00C00312"/>
    <w:rsid w:val="00C03C34"/>
    <w:rsid w:val="00C065F1"/>
    <w:rsid w:val="00C07200"/>
    <w:rsid w:val="00C114B4"/>
    <w:rsid w:val="00C14E97"/>
    <w:rsid w:val="00C15CA9"/>
    <w:rsid w:val="00C17119"/>
    <w:rsid w:val="00C20A46"/>
    <w:rsid w:val="00C2192B"/>
    <w:rsid w:val="00C306B1"/>
    <w:rsid w:val="00C30E01"/>
    <w:rsid w:val="00C33865"/>
    <w:rsid w:val="00C33D67"/>
    <w:rsid w:val="00C3492F"/>
    <w:rsid w:val="00C4078F"/>
    <w:rsid w:val="00C40D78"/>
    <w:rsid w:val="00C47A19"/>
    <w:rsid w:val="00C50D9C"/>
    <w:rsid w:val="00C51D94"/>
    <w:rsid w:val="00C533C0"/>
    <w:rsid w:val="00C54B0E"/>
    <w:rsid w:val="00C56B00"/>
    <w:rsid w:val="00C61111"/>
    <w:rsid w:val="00C62012"/>
    <w:rsid w:val="00C63914"/>
    <w:rsid w:val="00C67202"/>
    <w:rsid w:val="00C67671"/>
    <w:rsid w:val="00C718DD"/>
    <w:rsid w:val="00C746B1"/>
    <w:rsid w:val="00C75357"/>
    <w:rsid w:val="00C83CF6"/>
    <w:rsid w:val="00C87456"/>
    <w:rsid w:val="00C90013"/>
    <w:rsid w:val="00C915BE"/>
    <w:rsid w:val="00C9438D"/>
    <w:rsid w:val="00C95509"/>
    <w:rsid w:val="00C962B0"/>
    <w:rsid w:val="00C966F3"/>
    <w:rsid w:val="00C96876"/>
    <w:rsid w:val="00CA1C7E"/>
    <w:rsid w:val="00CA342B"/>
    <w:rsid w:val="00CA7EA4"/>
    <w:rsid w:val="00CA7EC6"/>
    <w:rsid w:val="00CB035B"/>
    <w:rsid w:val="00CB7362"/>
    <w:rsid w:val="00CB7BC1"/>
    <w:rsid w:val="00CC0113"/>
    <w:rsid w:val="00CC1EFC"/>
    <w:rsid w:val="00CC44DD"/>
    <w:rsid w:val="00CC5D2F"/>
    <w:rsid w:val="00CC66C4"/>
    <w:rsid w:val="00CD0E99"/>
    <w:rsid w:val="00CD12C1"/>
    <w:rsid w:val="00CD23D3"/>
    <w:rsid w:val="00CD35E2"/>
    <w:rsid w:val="00CE02DE"/>
    <w:rsid w:val="00CE044A"/>
    <w:rsid w:val="00CE79BA"/>
    <w:rsid w:val="00CF5BDF"/>
    <w:rsid w:val="00CF5D13"/>
    <w:rsid w:val="00CF6C8E"/>
    <w:rsid w:val="00CF78C4"/>
    <w:rsid w:val="00CF7918"/>
    <w:rsid w:val="00D002F6"/>
    <w:rsid w:val="00D010E8"/>
    <w:rsid w:val="00D01CEB"/>
    <w:rsid w:val="00D071DD"/>
    <w:rsid w:val="00D0729F"/>
    <w:rsid w:val="00D07825"/>
    <w:rsid w:val="00D161B4"/>
    <w:rsid w:val="00D21D24"/>
    <w:rsid w:val="00D22C58"/>
    <w:rsid w:val="00D23654"/>
    <w:rsid w:val="00D302D5"/>
    <w:rsid w:val="00D302E7"/>
    <w:rsid w:val="00D311D5"/>
    <w:rsid w:val="00D363C1"/>
    <w:rsid w:val="00D37BD4"/>
    <w:rsid w:val="00D40031"/>
    <w:rsid w:val="00D44A17"/>
    <w:rsid w:val="00D51499"/>
    <w:rsid w:val="00D51B32"/>
    <w:rsid w:val="00D521D5"/>
    <w:rsid w:val="00D52CE8"/>
    <w:rsid w:val="00D52E22"/>
    <w:rsid w:val="00D54E2B"/>
    <w:rsid w:val="00D55532"/>
    <w:rsid w:val="00D6021B"/>
    <w:rsid w:val="00D609F7"/>
    <w:rsid w:val="00D61B9D"/>
    <w:rsid w:val="00D66300"/>
    <w:rsid w:val="00D72720"/>
    <w:rsid w:val="00D761F6"/>
    <w:rsid w:val="00D76638"/>
    <w:rsid w:val="00D77521"/>
    <w:rsid w:val="00D77672"/>
    <w:rsid w:val="00D77FC1"/>
    <w:rsid w:val="00D82076"/>
    <w:rsid w:val="00D83170"/>
    <w:rsid w:val="00D84838"/>
    <w:rsid w:val="00D8544A"/>
    <w:rsid w:val="00D85969"/>
    <w:rsid w:val="00D85F34"/>
    <w:rsid w:val="00D86969"/>
    <w:rsid w:val="00D869BC"/>
    <w:rsid w:val="00D872C4"/>
    <w:rsid w:val="00D93333"/>
    <w:rsid w:val="00D93FBC"/>
    <w:rsid w:val="00D964BD"/>
    <w:rsid w:val="00D96B9C"/>
    <w:rsid w:val="00DA0EEF"/>
    <w:rsid w:val="00DA3A20"/>
    <w:rsid w:val="00DA5935"/>
    <w:rsid w:val="00DA727F"/>
    <w:rsid w:val="00DB0D78"/>
    <w:rsid w:val="00DB0F78"/>
    <w:rsid w:val="00DB392E"/>
    <w:rsid w:val="00DC3AD7"/>
    <w:rsid w:val="00DC5D0B"/>
    <w:rsid w:val="00DC7767"/>
    <w:rsid w:val="00DD0784"/>
    <w:rsid w:val="00DD2311"/>
    <w:rsid w:val="00DD34FB"/>
    <w:rsid w:val="00DD3899"/>
    <w:rsid w:val="00DD68C9"/>
    <w:rsid w:val="00DD78F5"/>
    <w:rsid w:val="00DD7C6C"/>
    <w:rsid w:val="00DE260D"/>
    <w:rsid w:val="00DE413C"/>
    <w:rsid w:val="00DE55E7"/>
    <w:rsid w:val="00DE787B"/>
    <w:rsid w:val="00DE7A63"/>
    <w:rsid w:val="00DF0A47"/>
    <w:rsid w:val="00DF120D"/>
    <w:rsid w:val="00DF13EC"/>
    <w:rsid w:val="00DF3CF6"/>
    <w:rsid w:val="00DF4757"/>
    <w:rsid w:val="00E0054F"/>
    <w:rsid w:val="00E024E8"/>
    <w:rsid w:val="00E0397C"/>
    <w:rsid w:val="00E03FF5"/>
    <w:rsid w:val="00E04B8E"/>
    <w:rsid w:val="00E11754"/>
    <w:rsid w:val="00E21F5F"/>
    <w:rsid w:val="00E30C88"/>
    <w:rsid w:val="00E316A5"/>
    <w:rsid w:val="00E345AC"/>
    <w:rsid w:val="00E42AAA"/>
    <w:rsid w:val="00E45C51"/>
    <w:rsid w:val="00E468F0"/>
    <w:rsid w:val="00E5260D"/>
    <w:rsid w:val="00E5445C"/>
    <w:rsid w:val="00E55870"/>
    <w:rsid w:val="00E57DD4"/>
    <w:rsid w:val="00E6358D"/>
    <w:rsid w:val="00E6617F"/>
    <w:rsid w:val="00E6657B"/>
    <w:rsid w:val="00E6687A"/>
    <w:rsid w:val="00E67AF0"/>
    <w:rsid w:val="00E67DFC"/>
    <w:rsid w:val="00E702B6"/>
    <w:rsid w:val="00E72109"/>
    <w:rsid w:val="00E74032"/>
    <w:rsid w:val="00E75436"/>
    <w:rsid w:val="00E83AA6"/>
    <w:rsid w:val="00E84324"/>
    <w:rsid w:val="00E843EB"/>
    <w:rsid w:val="00E847FE"/>
    <w:rsid w:val="00E87789"/>
    <w:rsid w:val="00E90D12"/>
    <w:rsid w:val="00E93437"/>
    <w:rsid w:val="00E94825"/>
    <w:rsid w:val="00E94860"/>
    <w:rsid w:val="00E95D2D"/>
    <w:rsid w:val="00EA010D"/>
    <w:rsid w:val="00EA3A62"/>
    <w:rsid w:val="00EA5B0C"/>
    <w:rsid w:val="00EA5CD9"/>
    <w:rsid w:val="00EC60E8"/>
    <w:rsid w:val="00EC7641"/>
    <w:rsid w:val="00ED2029"/>
    <w:rsid w:val="00ED5C5E"/>
    <w:rsid w:val="00ED6AB4"/>
    <w:rsid w:val="00EE094F"/>
    <w:rsid w:val="00EE0FB2"/>
    <w:rsid w:val="00EE0FB9"/>
    <w:rsid w:val="00EE1BF2"/>
    <w:rsid w:val="00EE5C4F"/>
    <w:rsid w:val="00EF1638"/>
    <w:rsid w:val="00EF1C61"/>
    <w:rsid w:val="00EF4D85"/>
    <w:rsid w:val="00EF7352"/>
    <w:rsid w:val="00F01D8F"/>
    <w:rsid w:val="00F036C9"/>
    <w:rsid w:val="00F04196"/>
    <w:rsid w:val="00F06302"/>
    <w:rsid w:val="00F07632"/>
    <w:rsid w:val="00F104DE"/>
    <w:rsid w:val="00F11013"/>
    <w:rsid w:val="00F12E4B"/>
    <w:rsid w:val="00F145ED"/>
    <w:rsid w:val="00F15515"/>
    <w:rsid w:val="00F16535"/>
    <w:rsid w:val="00F21613"/>
    <w:rsid w:val="00F24EC2"/>
    <w:rsid w:val="00F35A3D"/>
    <w:rsid w:val="00F363E8"/>
    <w:rsid w:val="00F379A2"/>
    <w:rsid w:val="00F37C26"/>
    <w:rsid w:val="00F441F8"/>
    <w:rsid w:val="00F450AB"/>
    <w:rsid w:val="00F45EF7"/>
    <w:rsid w:val="00F50C05"/>
    <w:rsid w:val="00F54675"/>
    <w:rsid w:val="00F5640B"/>
    <w:rsid w:val="00F61B67"/>
    <w:rsid w:val="00F63336"/>
    <w:rsid w:val="00F6389B"/>
    <w:rsid w:val="00F63DBC"/>
    <w:rsid w:val="00F646EC"/>
    <w:rsid w:val="00F66DDB"/>
    <w:rsid w:val="00F67623"/>
    <w:rsid w:val="00F75831"/>
    <w:rsid w:val="00F7646E"/>
    <w:rsid w:val="00F7750B"/>
    <w:rsid w:val="00F80C96"/>
    <w:rsid w:val="00F814CD"/>
    <w:rsid w:val="00F815F4"/>
    <w:rsid w:val="00F84116"/>
    <w:rsid w:val="00F908C6"/>
    <w:rsid w:val="00F9099E"/>
    <w:rsid w:val="00F90F09"/>
    <w:rsid w:val="00F92B1A"/>
    <w:rsid w:val="00F948C3"/>
    <w:rsid w:val="00F94D57"/>
    <w:rsid w:val="00FA187D"/>
    <w:rsid w:val="00FA2DE0"/>
    <w:rsid w:val="00FA5383"/>
    <w:rsid w:val="00FA6B1A"/>
    <w:rsid w:val="00FB241A"/>
    <w:rsid w:val="00FB296D"/>
    <w:rsid w:val="00FB2D6B"/>
    <w:rsid w:val="00FB4792"/>
    <w:rsid w:val="00FB6140"/>
    <w:rsid w:val="00FC0238"/>
    <w:rsid w:val="00FC6FD2"/>
    <w:rsid w:val="00FC71DD"/>
    <w:rsid w:val="00FC7AE7"/>
    <w:rsid w:val="00FD006C"/>
    <w:rsid w:val="00FD0D5C"/>
    <w:rsid w:val="00FD1029"/>
    <w:rsid w:val="00FD5266"/>
    <w:rsid w:val="00FD71A3"/>
    <w:rsid w:val="00FD7C0B"/>
    <w:rsid w:val="00FE03E1"/>
    <w:rsid w:val="00FE4E0B"/>
    <w:rsid w:val="00FF0084"/>
    <w:rsid w:val="00FF1227"/>
    <w:rsid w:val="00FF2E2F"/>
    <w:rsid w:val="00FF3314"/>
    <w:rsid w:val="00FF3666"/>
    <w:rsid w:val="00FF447A"/>
    <w:rsid w:val="00FF5777"/>
    <w:rsid w:val="01C84ACF"/>
    <w:rsid w:val="01E7461D"/>
    <w:rsid w:val="02427F54"/>
    <w:rsid w:val="02984C1C"/>
    <w:rsid w:val="02D159D1"/>
    <w:rsid w:val="034155E9"/>
    <w:rsid w:val="03927E02"/>
    <w:rsid w:val="03F82368"/>
    <w:rsid w:val="04712AB4"/>
    <w:rsid w:val="050C6F53"/>
    <w:rsid w:val="054A1175"/>
    <w:rsid w:val="06974D24"/>
    <w:rsid w:val="0738684C"/>
    <w:rsid w:val="07E0325B"/>
    <w:rsid w:val="08210266"/>
    <w:rsid w:val="09475E50"/>
    <w:rsid w:val="0994675E"/>
    <w:rsid w:val="09A55995"/>
    <w:rsid w:val="0AD51A28"/>
    <w:rsid w:val="0B1D5B5E"/>
    <w:rsid w:val="0C762DC1"/>
    <w:rsid w:val="0CE70ED2"/>
    <w:rsid w:val="0D9C069D"/>
    <w:rsid w:val="0E0C22C9"/>
    <w:rsid w:val="0E1034C8"/>
    <w:rsid w:val="0E9555F6"/>
    <w:rsid w:val="0F0B6B54"/>
    <w:rsid w:val="10183569"/>
    <w:rsid w:val="116F7B99"/>
    <w:rsid w:val="11CA62F8"/>
    <w:rsid w:val="11F9626D"/>
    <w:rsid w:val="12441A2F"/>
    <w:rsid w:val="128B44DB"/>
    <w:rsid w:val="12A1740C"/>
    <w:rsid w:val="12B27391"/>
    <w:rsid w:val="12B65D5B"/>
    <w:rsid w:val="12C372BA"/>
    <w:rsid w:val="131258B0"/>
    <w:rsid w:val="13C67FD4"/>
    <w:rsid w:val="14527713"/>
    <w:rsid w:val="14CF5540"/>
    <w:rsid w:val="158D7F1F"/>
    <w:rsid w:val="15B048EF"/>
    <w:rsid w:val="15D73229"/>
    <w:rsid w:val="164E12CF"/>
    <w:rsid w:val="167D26E9"/>
    <w:rsid w:val="16BC21AB"/>
    <w:rsid w:val="16E22ABF"/>
    <w:rsid w:val="17792E42"/>
    <w:rsid w:val="17DA3CAD"/>
    <w:rsid w:val="184A4E79"/>
    <w:rsid w:val="189669D2"/>
    <w:rsid w:val="18E011D9"/>
    <w:rsid w:val="191E19A3"/>
    <w:rsid w:val="19942538"/>
    <w:rsid w:val="1A90434E"/>
    <w:rsid w:val="1A9D17F9"/>
    <w:rsid w:val="1AF736B3"/>
    <w:rsid w:val="1B034D16"/>
    <w:rsid w:val="1B545730"/>
    <w:rsid w:val="1B8148BC"/>
    <w:rsid w:val="1BA06EA1"/>
    <w:rsid w:val="1CA7361F"/>
    <w:rsid w:val="1CDC12E6"/>
    <w:rsid w:val="1D5E4942"/>
    <w:rsid w:val="1E012619"/>
    <w:rsid w:val="1E0D3178"/>
    <w:rsid w:val="1E120C67"/>
    <w:rsid w:val="2088262E"/>
    <w:rsid w:val="20A13576"/>
    <w:rsid w:val="21A26BDD"/>
    <w:rsid w:val="2247415A"/>
    <w:rsid w:val="228215B9"/>
    <w:rsid w:val="23044152"/>
    <w:rsid w:val="231A58BB"/>
    <w:rsid w:val="231F3C6E"/>
    <w:rsid w:val="23FF0A0B"/>
    <w:rsid w:val="24A93E4E"/>
    <w:rsid w:val="24DC54B3"/>
    <w:rsid w:val="27B41A68"/>
    <w:rsid w:val="27BD29B1"/>
    <w:rsid w:val="28B94C71"/>
    <w:rsid w:val="292928BC"/>
    <w:rsid w:val="29564EDD"/>
    <w:rsid w:val="296D600F"/>
    <w:rsid w:val="29E03A2B"/>
    <w:rsid w:val="2AF32F8C"/>
    <w:rsid w:val="2B483AB1"/>
    <w:rsid w:val="2B9D132D"/>
    <w:rsid w:val="2C603BD8"/>
    <w:rsid w:val="2D194A73"/>
    <w:rsid w:val="2D28362B"/>
    <w:rsid w:val="2D8C1A45"/>
    <w:rsid w:val="2D911AC4"/>
    <w:rsid w:val="2D9E167E"/>
    <w:rsid w:val="2ECB6A58"/>
    <w:rsid w:val="2EED7377"/>
    <w:rsid w:val="31347A94"/>
    <w:rsid w:val="31BE7FF5"/>
    <w:rsid w:val="320A041D"/>
    <w:rsid w:val="325A3A14"/>
    <w:rsid w:val="325C2FDC"/>
    <w:rsid w:val="32BD343E"/>
    <w:rsid w:val="32F94ABF"/>
    <w:rsid w:val="346E158D"/>
    <w:rsid w:val="34AA5B2B"/>
    <w:rsid w:val="35087B02"/>
    <w:rsid w:val="36900730"/>
    <w:rsid w:val="36E35929"/>
    <w:rsid w:val="38095242"/>
    <w:rsid w:val="38860C34"/>
    <w:rsid w:val="38E839A5"/>
    <w:rsid w:val="39E569E8"/>
    <w:rsid w:val="3AAA7DB1"/>
    <w:rsid w:val="3B005C71"/>
    <w:rsid w:val="3BBD597A"/>
    <w:rsid w:val="3C8A61F2"/>
    <w:rsid w:val="3D485717"/>
    <w:rsid w:val="3D9C1746"/>
    <w:rsid w:val="3E8E020D"/>
    <w:rsid w:val="3F0432D7"/>
    <w:rsid w:val="3F1D5B21"/>
    <w:rsid w:val="3F2C0B45"/>
    <w:rsid w:val="40757E9F"/>
    <w:rsid w:val="439249A4"/>
    <w:rsid w:val="43A115C2"/>
    <w:rsid w:val="44C95E4D"/>
    <w:rsid w:val="458E49BA"/>
    <w:rsid w:val="45915284"/>
    <w:rsid w:val="46726930"/>
    <w:rsid w:val="46BC1807"/>
    <w:rsid w:val="46C24A73"/>
    <w:rsid w:val="47815855"/>
    <w:rsid w:val="47A22569"/>
    <w:rsid w:val="487F2A35"/>
    <w:rsid w:val="495D6541"/>
    <w:rsid w:val="4A3E7AAC"/>
    <w:rsid w:val="4A422225"/>
    <w:rsid w:val="4BBE3A05"/>
    <w:rsid w:val="4C8F3C1E"/>
    <w:rsid w:val="4C916798"/>
    <w:rsid w:val="4D1F0574"/>
    <w:rsid w:val="4D273696"/>
    <w:rsid w:val="4E95688E"/>
    <w:rsid w:val="4F2C382D"/>
    <w:rsid w:val="4F947BD2"/>
    <w:rsid w:val="50683BF9"/>
    <w:rsid w:val="519C31EF"/>
    <w:rsid w:val="51A95397"/>
    <w:rsid w:val="520E5239"/>
    <w:rsid w:val="523D231B"/>
    <w:rsid w:val="52FB4332"/>
    <w:rsid w:val="531373EA"/>
    <w:rsid w:val="53634631"/>
    <w:rsid w:val="53675695"/>
    <w:rsid w:val="53CF11CD"/>
    <w:rsid w:val="55034069"/>
    <w:rsid w:val="5539570C"/>
    <w:rsid w:val="55B16FC4"/>
    <w:rsid w:val="55C65745"/>
    <w:rsid w:val="55DA564E"/>
    <w:rsid w:val="57413847"/>
    <w:rsid w:val="574F208F"/>
    <w:rsid w:val="57CB2D78"/>
    <w:rsid w:val="57CE2535"/>
    <w:rsid w:val="57DD63F9"/>
    <w:rsid w:val="58B856FC"/>
    <w:rsid w:val="58CC1B7A"/>
    <w:rsid w:val="58E6777D"/>
    <w:rsid w:val="58EF734E"/>
    <w:rsid w:val="591744C4"/>
    <w:rsid w:val="59F3545F"/>
    <w:rsid w:val="59F471C6"/>
    <w:rsid w:val="5A106B3E"/>
    <w:rsid w:val="5AB71FF9"/>
    <w:rsid w:val="5B7E4B0D"/>
    <w:rsid w:val="5B857A67"/>
    <w:rsid w:val="5B894E42"/>
    <w:rsid w:val="5BA31905"/>
    <w:rsid w:val="5BA6437E"/>
    <w:rsid w:val="5BF32CB5"/>
    <w:rsid w:val="5CBB39A1"/>
    <w:rsid w:val="5CCA6CF3"/>
    <w:rsid w:val="5CF94CC8"/>
    <w:rsid w:val="5D6959D4"/>
    <w:rsid w:val="5D8208C6"/>
    <w:rsid w:val="5DA22359"/>
    <w:rsid w:val="5DFC4D91"/>
    <w:rsid w:val="5E2D6537"/>
    <w:rsid w:val="600318B5"/>
    <w:rsid w:val="60427BE4"/>
    <w:rsid w:val="61485C71"/>
    <w:rsid w:val="61A92371"/>
    <w:rsid w:val="61B612ED"/>
    <w:rsid w:val="61F335F4"/>
    <w:rsid w:val="62D82485"/>
    <w:rsid w:val="633B12D2"/>
    <w:rsid w:val="63401DB2"/>
    <w:rsid w:val="651D5529"/>
    <w:rsid w:val="6580404E"/>
    <w:rsid w:val="66463CD1"/>
    <w:rsid w:val="6695025A"/>
    <w:rsid w:val="66EA1456"/>
    <w:rsid w:val="673F0435"/>
    <w:rsid w:val="682F49FC"/>
    <w:rsid w:val="686A5374"/>
    <w:rsid w:val="689C6793"/>
    <w:rsid w:val="69325DE5"/>
    <w:rsid w:val="6A043DDB"/>
    <w:rsid w:val="6A636C9A"/>
    <w:rsid w:val="6ADA181C"/>
    <w:rsid w:val="6BA71178"/>
    <w:rsid w:val="6BE5209D"/>
    <w:rsid w:val="6C9331E3"/>
    <w:rsid w:val="6D8F4B19"/>
    <w:rsid w:val="6DD7078C"/>
    <w:rsid w:val="6E024D7E"/>
    <w:rsid w:val="6E771456"/>
    <w:rsid w:val="6E8359FA"/>
    <w:rsid w:val="6F26173F"/>
    <w:rsid w:val="700B19B6"/>
    <w:rsid w:val="70DD729C"/>
    <w:rsid w:val="71101551"/>
    <w:rsid w:val="71D92BDF"/>
    <w:rsid w:val="71EB1631"/>
    <w:rsid w:val="72122E05"/>
    <w:rsid w:val="72455CBC"/>
    <w:rsid w:val="73E91CC6"/>
    <w:rsid w:val="746F3DF1"/>
    <w:rsid w:val="7499002B"/>
    <w:rsid w:val="756853C4"/>
    <w:rsid w:val="75C37045"/>
    <w:rsid w:val="76BC14BB"/>
    <w:rsid w:val="76D506A4"/>
    <w:rsid w:val="779B0815"/>
    <w:rsid w:val="780D2EC9"/>
    <w:rsid w:val="7A147002"/>
    <w:rsid w:val="7A406952"/>
    <w:rsid w:val="7B913B8F"/>
    <w:rsid w:val="7C387A49"/>
    <w:rsid w:val="7C591904"/>
    <w:rsid w:val="7C92478F"/>
    <w:rsid w:val="7CBF510C"/>
    <w:rsid w:val="7D5A0DE5"/>
    <w:rsid w:val="7DE35C30"/>
    <w:rsid w:val="7DFE679C"/>
    <w:rsid w:val="7E1068A1"/>
    <w:rsid w:val="7E710884"/>
    <w:rsid w:val="7E9F0934"/>
    <w:rsid w:val="7EC0408C"/>
    <w:rsid w:val="7F416E6B"/>
    <w:rsid w:val="7F8222CF"/>
    <w:rsid w:val="7FC07A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0"/>
    <w:pPr>
      <w:keepNext/>
      <w:widowControl/>
      <w:jc w:val="left"/>
      <w:outlineLvl w:val="0"/>
    </w:pPr>
    <w:rPr>
      <w:b/>
      <w:bCs/>
      <w:kern w:val="0"/>
      <w:sz w:val="24"/>
    </w:rPr>
  </w:style>
  <w:style w:type="paragraph" w:styleId="3">
    <w:name w:val="heading 2"/>
    <w:basedOn w:val="1"/>
    <w:next w:val="1"/>
    <w:link w:val="5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2"/>
    <w:autoRedefine/>
    <w:qFormat/>
    <w:uiPriority w:val="0"/>
    <w:pPr>
      <w:keepNext/>
      <w:outlineLvl w:val="2"/>
    </w:pPr>
    <w:rPr>
      <w:rFonts w:ascii="楷体_GB2312" w:hAnsi="宋体" w:eastAsia="楷体_GB2312"/>
      <w:b/>
      <w:bCs/>
      <w:sz w:val="32"/>
    </w:rPr>
  </w:style>
  <w:style w:type="paragraph" w:styleId="5">
    <w:name w:val="heading 4"/>
    <w:basedOn w:val="1"/>
    <w:next w:val="1"/>
    <w:link w:val="53"/>
    <w:autoRedefine/>
    <w:qFormat/>
    <w:uiPriority w:val="0"/>
    <w:pPr>
      <w:keepNext/>
      <w:keepLines/>
      <w:widowControl/>
      <w:spacing w:before="280" w:after="290" w:line="376" w:lineRule="auto"/>
      <w:jc w:val="left"/>
      <w:outlineLvl w:val="3"/>
    </w:pPr>
    <w:rPr>
      <w:rFonts w:ascii="Arial" w:hAnsi="Arial" w:eastAsia="黑体"/>
      <w:b/>
      <w:bCs/>
      <w:kern w:val="0"/>
      <w:sz w:val="28"/>
      <w:szCs w:val="28"/>
    </w:rPr>
  </w:style>
  <w:style w:type="paragraph" w:styleId="6">
    <w:name w:val="heading 5"/>
    <w:basedOn w:val="1"/>
    <w:next w:val="1"/>
    <w:link w:val="54"/>
    <w:autoRedefine/>
    <w:qFormat/>
    <w:uiPriority w:val="0"/>
    <w:pPr>
      <w:keepNext/>
      <w:keepLines/>
      <w:widowControl/>
      <w:spacing w:before="280" w:after="290" w:line="376" w:lineRule="auto"/>
      <w:jc w:val="left"/>
      <w:outlineLvl w:val="4"/>
    </w:pPr>
    <w:rPr>
      <w:b/>
      <w:bCs/>
      <w:kern w:val="0"/>
      <w:sz w:val="28"/>
      <w:szCs w:val="28"/>
    </w:rPr>
  </w:style>
  <w:style w:type="paragraph" w:styleId="7">
    <w:name w:val="heading 6"/>
    <w:basedOn w:val="1"/>
    <w:next w:val="1"/>
    <w:link w:val="55"/>
    <w:autoRedefine/>
    <w:qFormat/>
    <w:uiPriority w:val="0"/>
    <w:pPr>
      <w:keepNext/>
      <w:keepLines/>
      <w:widowControl/>
      <w:spacing w:before="240" w:after="64" w:line="320" w:lineRule="auto"/>
      <w:jc w:val="left"/>
      <w:outlineLvl w:val="5"/>
    </w:pPr>
    <w:rPr>
      <w:rFonts w:ascii="Arial" w:hAnsi="Arial" w:eastAsia="黑体"/>
      <w:b/>
      <w:bCs/>
      <w:kern w:val="0"/>
      <w:sz w:val="24"/>
    </w:rPr>
  </w:style>
  <w:style w:type="paragraph" w:styleId="8">
    <w:name w:val="heading 7"/>
    <w:basedOn w:val="1"/>
    <w:next w:val="1"/>
    <w:link w:val="56"/>
    <w:autoRedefine/>
    <w:qFormat/>
    <w:uiPriority w:val="0"/>
    <w:pPr>
      <w:keepNext/>
      <w:keepLines/>
      <w:widowControl/>
      <w:spacing w:before="240" w:after="64" w:line="320" w:lineRule="auto"/>
      <w:jc w:val="left"/>
      <w:outlineLvl w:val="6"/>
    </w:pPr>
    <w:rPr>
      <w:b/>
      <w:bCs/>
      <w:kern w:val="0"/>
      <w:sz w:val="24"/>
    </w:rPr>
  </w:style>
  <w:style w:type="paragraph" w:styleId="9">
    <w:name w:val="heading 8"/>
    <w:basedOn w:val="1"/>
    <w:next w:val="1"/>
    <w:link w:val="57"/>
    <w:autoRedefine/>
    <w:qFormat/>
    <w:uiPriority w:val="0"/>
    <w:pPr>
      <w:keepNext/>
      <w:keepLines/>
      <w:widowControl/>
      <w:spacing w:before="240" w:after="64" w:line="320" w:lineRule="auto"/>
      <w:jc w:val="left"/>
      <w:outlineLvl w:val="7"/>
    </w:pPr>
    <w:rPr>
      <w:rFonts w:ascii="Arial" w:hAnsi="Arial" w:eastAsia="黑体"/>
      <w:kern w:val="0"/>
      <w:sz w:val="24"/>
    </w:rPr>
  </w:style>
  <w:style w:type="paragraph" w:styleId="10">
    <w:name w:val="heading 9"/>
    <w:basedOn w:val="1"/>
    <w:next w:val="1"/>
    <w:link w:val="58"/>
    <w:autoRedefine/>
    <w:qFormat/>
    <w:uiPriority w:val="0"/>
    <w:pPr>
      <w:keepNext/>
      <w:keepLines/>
      <w:widowControl/>
      <w:spacing w:before="240" w:after="64" w:line="320" w:lineRule="auto"/>
      <w:jc w:val="left"/>
      <w:outlineLvl w:val="8"/>
    </w:pPr>
    <w:rPr>
      <w:rFonts w:ascii="Arial" w:hAnsi="Arial" w:eastAsia="黑体"/>
      <w:kern w:val="0"/>
      <w:szCs w:val="21"/>
    </w:rPr>
  </w:style>
  <w:style w:type="character" w:default="1" w:styleId="41">
    <w:name w:val="Default Paragraph Font"/>
    <w:autoRedefine/>
    <w:semiHidden/>
    <w:unhideWhenUsed/>
    <w:qFormat/>
    <w:uiPriority w:val="1"/>
  </w:style>
  <w:style w:type="table" w:default="1" w:styleId="39">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1260"/>
      <w:jc w:val="left"/>
    </w:pPr>
    <w:rPr>
      <w:rFonts w:ascii="Calibri" w:hAnsi="Calibri" w:cs="Calibri"/>
      <w:sz w:val="18"/>
      <w:szCs w:val="18"/>
    </w:rPr>
  </w:style>
  <w:style w:type="paragraph" w:styleId="12">
    <w:name w:val="Normal Indent"/>
    <w:basedOn w:val="1"/>
    <w:link w:val="108"/>
    <w:autoRedefine/>
    <w:qFormat/>
    <w:uiPriority w:val="0"/>
    <w:pPr>
      <w:ind w:firstLine="420" w:firstLineChars="200"/>
    </w:pPr>
    <w:rPr>
      <w:szCs w:val="21"/>
    </w:rPr>
  </w:style>
  <w:style w:type="paragraph" w:styleId="13">
    <w:name w:val="Document Map"/>
    <w:basedOn w:val="1"/>
    <w:link w:val="90"/>
    <w:autoRedefine/>
    <w:qFormat/>
    <w:uiPriority w:val="0"/>
    <w:pPr>
      <w:shd w:val="clear" w:color="auto" w:fill="000080"/>
    </w:pPr>
    <w:rPr>
      <w:szCs w:val="20"/>
    </w:rPr>
  </w:style>
  <w:style w:type="paragraph" w:styleId="14">
    <w:name w:val="annotation text"/>
    <w:basedOn w:val="1"/>
    <w:link w:val="65"/>
    <w:autoRedefine/>
    <w:qFormat/>
    <w:uiPriority w:val="0"/>
    <w:pPr>
      <w:jc w:val="left"/>
    </w:pPr>
    <w:rPr>
      <w:rFonts w:asciiTheme="minorHAnsi" w:hAnsiTheme="minorHAnsi" w:eastAsiaTheme="minorEastAsia" w:cstheme="minorBidi"/>
    </w:rPr>
  </w:style>
  <w:style w:type="paragraph" w:styleId="15">
    <w:name w:val="Body Text 3"/>
    <w:basedOn w:val="1"/>
    <w:link w:val="83"/>
    <w:autoRedefine/>
    <w:qFormat/>
    <w:uiPriority w:val="0"/>
    <w:pPr>
      <w:spacing w:after="120"/>
    </w:pPr>
    <w:rPr>
      <w:sz w:val="16"/>
      <w:szCs w:val="16"/>
    </w:rPr>
  </w:style>
  <w:style w:type="paragraph" w:styleId="16">
    <w:name w:val="Body Text"/>
    <w:basedOn w:val="1"/>
    <w:next w:val="17"/>
    <w:link w:val="93"/>
    <w:autoRedefine/>
    <w:qFormat/>
    <w:uiPriority w:val="0"/>
    <w:pPr>
      <w:spacing w:after="120"/>
    </w:pPr>
  </w:style>
  <w:style w:type="paragraph" w:styleId="17">
    <w:name w:val="Body Text 2"/>
    <w:basedOn w:val="1"/>
    <w:qFormat/>
    <w:uiPriority w:val="0"/>
    <w:pPr>
      <w:spacing w:line="360" w:lineRule="auto"/>
    </w:pPr>
    <w:rPr>
      <w:sz w:val="24"/>
    </w:rPr>
  </w:style>
  <w:style w:type="paragraph" w:styleId="18">
    <w:name w:val="Body Text Indent"/>
    <w:basedOn w:val="1"/>
    <w:link w:val="78"/>
    <w:autoRedefine/>
    <w:qFormat/>
    <w:uiPriority w:val="0"/>
    <w:pPr>
      <w:spacing w:line="560" w:lineRule="exact"/>
      <w:ind w:left="300"/>
    </w:pPr>
    <w:rPr>
      <w:sz w:val="24"/>
    </w:rPr>
  </w:style>
  <w:style w:type="paragraph" w:styleId="19">
    <w:name w:val="toc 5"/>
    <w:basedOn w:val="1"/>
    <w:next w:val="1"/>
    <w:autoRedefine/>
    <w:qFormat/>
    <w:uiPriority w:val="0"/>
    <w:pPr>
      <w:ind w:left="840"/>
      <w:jc w:val="left"/>
    </w:pPr>
    <w:rPr>
      <w:rFonts w:ascii="Calibri" w:hAnsi="Calibri" w:cs="Calibri"/>
      <w:sz w:val="18"/>
      <w:szCs w:val="18"/>
    </w:rPr>
  </w:style>
  <w:style w:type="paragraph" w:styleId="20">
    <w:name w:val="toc 3"/>
    <w:basedOn w:val="1"/>
    <w:next w:val="1"/>
    <w:autoRedefine/>
    <w:qFormat/>
    <w:uiPriority w:val="39"/>
    <w:pPr>
      <w:ind w:left="420"/>
      <w:jc w:val="left"/>
    </w:pPr>
    <w:rPr>
      <w:rFonts w:ascii="Calibri" w:hAnsi="Calibri" w:cs="Calibri"/>
      <w:i/>
      <w:iCs/>
      <w:sz w:val="20"/>
      <w:szCs w:val="20"/>
    </w:rPr>
  </w:style>
  <w:style w:type="paragraph" w:styleId="21">
    <w:name w:val="Plain Text"/>
    <w:basedOn w:val="1"/>
    <w:link w:val="64"/>
    <w:autoRedefine/>
    <w:qFormat/>
    <w:uiPriority w:val="0"/>
    <w:rPr>
      <w:rFonts w:ascii="宋体" w:hAnsi="Courier New" w:cs="Courier New" w:eastAsiaTheme="minorEastAsia"/>
      <w:szCs w:val="21"/>
    </w:rPr>
  </w:style>
  <w:style w:type="paragraph" w:styleId="22">
    <w:name w:val="toc 8"/>
    <w:basedOn w:val="1"/>
    <w:next w:val="1"/>
    <w:autoRedefine/>
    <w:qFormat/>
    <w:uiPriority w:val="0"/>
    <w:pPr>
      <w:ind w:left="1470"/>
      <w:jc w:val="left"/>
    </w:pPr>
    <w:rPr>
      <w:rFonts w:ascii="Calibri" w:hAnsi="Calibri" w:cs="Calibri"/>
      <w:sz w:val="18"/>
      <w:szCs w:val="18"/>
    </w:rPr>
  </w:style>
  <w:style w:type="paragraph" w:styleId="23">
    <w:name w:val="Date"/>
    <w:basedOn w:val="1"/>
    <w:next w:val="1"/>
    <w:link w:val="96"/>
    <w:autoRedefine/>
    <w:qFormat/>
    <w:uiPriority w:val="0"/>
    <w:pPr>
      <w:widowControl/>
    </w:pPr>
    <w:rPr>
      <w:rFonts w:ascii="宋体"/>
      <w:kern w:val="0"/>
      <w:szCs w:val="20"/>
    </w:rPr>
  </w:style>
  <w:style w:type="paragraph" w:styleId="24">
    <w:name w:val="Body Text Indent 2"/>
    <w:basedOn w:val="1"/>
    <w:link w:val="94"/>
    <w:autoRedefine/>
    <w:qFormat/>
    <w:uiPriority w:val="0"/>
    <w:pPr>
      <w:spacing w:line="540" w:lineRule="exact"/>
      <w:ind w:left="462" w:leftChars="220"/>
    </w:pPr>
    <w:rPr>
      <w:sz w:val="24"/>
    </w:rPr>
  </w:style>
  <w:style w:type="paragraph" w:styleId="25">
    <w:name w:val="Balloon Text"/>
    <w:basedOn w:val="1"/>
    <w:link w:val="61"/>
    <w:autoRedefine/>
    <w:qFormat/>
    <w:uiPriority w:val="0"/>
    <w:rPr>
      <w:rFonts w:asciiTheme="minorHAnsi" w:hAnsiTheme="minorHAnsi" w:cstheme="minorBidi"/>
      <w:sz w:val="18"/>
      <w:szCs w:val="22"/>
    </w:rPr>
  </w:style>
  <w:style w:type="paragraph" w:styleId="26">
    <w:name w:val="footer"/>
    <w:basedOn w:val="1"/>
    <w:link w:val="49"/>
    <w:autoRedefine/>
    <w:unhideWhenUsed/>
    <w:qFormat/>
    <w:uiPriority w:val="0"/>
    <w:pPr>
      <w:tabs>
        <w:tab w:val="center" w:pos="4153"/>
        <w:tab w:val="right" w:pos="8306"/>
      </w:tabs>
      <w:snapToGrid w:val="0"/>
      <w:jc w:val="left"/>
    </w:pPr>
    <w:rPr>
      <w:sz w:val="18"/>
      <w:szCs w:val="18"/>
    </w:rPr>
  </w:style>
  <w:style w:type="paragraph" w:styleId="27">
    <w:name w:val="header"/>
    <w:basedOn w:val="1"/>
    <w:link w:val="4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pPr>
      <w:spacing w:before="120" w:after="120"/>
      <w:jc w:val="left"/>
    </w:pPr>
    <w:rPr>
      <w:rFonts w:ascii="Calibri" w:hAnsi="Calibri" w:cs="Calibri"/>
      <w:b/>
      <w:bCs/>
      <w:caps/>
      <w:szCs w:val="20"/>
    </w:rPr>
  </w:style>
  <w:style w:type="paragraph" w:styleId="29">
    <w:name w:val="toc 4"/>
    <w:basedOn w:val="1"/>
    <w:next w:val="1"/>
    <w:autoRedefine/>
    <w:qFormat/>
    <w:uiPriority w:val="0"/>
    <w:pPr>
      <w:ind w:left="630"/>
      <w:jc w:val="left"/>
    </w:pPr>
    <w:rPr>
      <w:rFonts w:ascii="Calibri" w:hAnsi="Calibri" w:cs="Calibri"/>
      <w:sz w:val="18"/>
      <w:szCs w:val="18"/>
    </w:rPr>
  </w:style>
  <w:style w:type="paragraph" w:styleId="30">
    <w:name w:val="toc 6"/>
    <w:basedOn w:val="1"/>
    <w:next w:val="1"/>
    <w:autoRedefine/>
    <w:qFormat/>
    <w:uiPriority w:val="0"/>
    <w:pPr>
      <w:ind w:left="1050"/>
      <w:jc w:val="left"/>
    </w:pPr>
    <w:rPr>
      <w:rFonts w:ascii="Calibri" w:hAnsi="Calibri" w:cs="Calibri"/>
      <w:sz w:val="18"/>
      <w:szCs w:val="18"/>
    </w:rPr>
  </w:style>
  <w:style w:type="paragraph" w:styleId="31">
    <w:name w:val="Body Text Indent 3"/>
    <w:basedOn w:val="1"/>
    <w:link w:val="99"/>
    <w:autoRedefine/>
    <w:qFormat/>
    <w:uiPriority w:val="0"/>
    <w:pPr>
      <w:spacing w:after="120"/>
      <w:ind w:left="420" w:leftChars="200"/>
    </w:pPr>
    <w:rPr>
      <w:sz w:val="16"/>
      <w:szCs w:val="16"/>
    </w:rPr>
  </w:style>
  <w:style w:type="paragraph" w:styleId="32">
    <w:name w:val="toc 2"/>
    <w:basedOn w:val="1"/>
    <w:next w:val="1"/>
    <w:autoRedefine/>
    <w:qFormat/>
    <w:uiPriority w:val="39"/>
    <w:pPr>
      <w:ind w:left="210"/>
      <w:jc w:val="left"/>
    </w:pPr>
    <w:rPr>
      <w:rFonts w:ascii="Calibri" w:hAnsi="Calibri" w:cs="Calibri"/>
      <w:smallCaps/>
      <w:szCs w:val="20"/>
    </w:rPr>
  </w:style>
  <w:style w:type="paragraph" w:styleId="33">
    <w:name w:val="toc 9"/>
    <w:basedOn w:val="1"/>
    <w:next w:val="1"/>
    <w:autoRedefine/>
    <w:qFormat/>
    <w:uiPriority w:val="0"/>
    <w:pPr>
      <w:ind w:left="1680"/>
      <w:jc w:val="left"/>
    </w:pPr>
    <w:rPr>
      <w:rFonts w:ascii="Calibri" w:hAnsi="Calibri" w:cs="Calibri"/>
      <w:sz w:val="18"/>
      <w:szCs w:val="18"/>
    </w:rPr>
  </w:style>
  <w:style w:type="paragraph" w:styleId="34">
    <w:name w:val="HTML Preformatted"/>
    <w:basedOn w:val="1"/>
    <w:link w:val="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5">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36">
    <w:name w:val="annotation subject"/>
    <w:basedOn w:val="14"/>
    <w:next w:val="14"/>
    <w:link w:val="89"/>
    <w:autoRedefine/>
    <w:semiHidden/>
    <w:qFormat/>
    <w:uiPriority w:val="0"/>
    <w:rPr>
      <w:b/>
      <w:bCs/>
    </w:rPr>
  </w:style>
  <w:style w:type="paragraph" w:styleId="37">
    <w:name w:val="Body Text First Indent"/>
    <w:basedOn w:val="16"/>
    <w:next w:val="30"/>
    <w:qFormat/>
    <w:uiPriority w:val="0"/>
    <w:pPr>
      <w:spacing w:after="60" w:line="400" w:lineRule="exact"/>
      <w:ind w:firstLine="476"/>
    </w:pPr>
    <w:rPr>
      <w:rFonts w:ascii="Times New Roman"/>
      <w:kern w:val="2"/>
      <w:sz w:val="24"/>
    </w:rPr>
  </w:style>
  <w:style w:type="paragraph" w:styleId="38">
    <w:name w:val="Body Text First Indent 2"/>
    <w:basedOn w:val="18"/>
    <w:autoRedefine/>
    <w:semiHidden/>
    <w:unhideWhenUsed/>
    <w:qFormat/>
    <w:uiPriority w:val="99"/>
    <w:pPr>
      <w:spacing w:after="120"/>
      <w:ind w:left="420" w:leftChars="200"/>
    </w:pPr>
  </w:style>
  <w:style w:type="table" w:styleId="40">
    <w:name w:val="Table Grid"/>
    <w:basedOn w:val="3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autoRedefine/>
    <w:qFormat/>
    <w:uiPriority w:val="22"/>
    <w:rPr>
      <w:b/>
      <w:bCs/>
    </w:rPr>
  </w:style>
  <w:style w:type="character" w:styleId="43">
    <w:name w:val="page number"/>
    <w:basedOn w:val="41"/>
    <w:autoRedefine/>
    <w:qFormat/>
    <w:uiPriority w:val="0"/>
  </w:style>
  <w:style w:type="character" w:styleId="44">
    <w:name w:val="FollowedHyperlink"/>
    <w:basedOn w:val="41"/>
    <w:autoRedefine/>
    <w:unhideWhenUsed/>
    <w:qFormat/>
    <w:uiPriority w:val="99"/>
    <w:rPr>
      <w:color w:val="800080" w:themeColor="followedHyperlink"/>
      <w:u w:val="single"/>
      <w14:textFill>
        <w14:solidFill>
          <w14:schemeClr w14:val="folHlink"/>
        </w14:solidFill>
      </w14:textFill>
    </w:rPr>
  </w:style>
  <w:style w:type="character" w:styleId="45">
    <w:name w:val="Emphasis"/>
    <w:autoRedefine/>
    <w:qFormat/>
    <w:uiPriority w:val="20"/>
    <w:rPr>
      <w:color w:val="CC0000"/>
    </w:rPr>
  </w:style>
  <w:style w:type="character" w:styleId="46">
    <w:name w:val="Hyperlink"/>
    <w:autoRedefine/>
    <w:qFormat/>
    <w:uiPriority w:val="99"/>
    <w:rPr>
      <w:rFonts w:eastAsia="宋体"/>
      <w:color w:val="0000FF"/>
      <w:sz w:val="28"/>
      <w:u w:val="single"/>
    </w:rPr>
  </w:style>
  <w:style w:type="character" w:styleId="47">
    <w:name w:val="annotation reference"/>
    <w:autoRedefine/>
    <w:qFormat/>
    <w:uiPriority w:val="0"/>
    <w:rPr>
      <w:sz w:val="21"/>
      <w:szCs w:val="21"/>
    </w:rPr>
  </w:style>
  <w:style w:type="character" w:customStyle="1" w:styleId="48">
    <w:name w:val="页眉 字符"/>
    <w:basedOn w:val="41"/>
    <w:link w:val="27"/>
    <w:autoRedefine/>
    <w:qFormat/>
    <w:uiPriority w:val="0"/>
    <w:rPr>
      <w:sz w:val="18"/>
      <w:szCs w:val="18"/>
    </w:rPr>
  </w:style>
  <w:style w:type="character" w:customStyle="1" w:styleId="49">
    <w:name w:val="页脚 字符"/>
    <w:basedOn w:val="41"/>
    <w:link w:val="26"/>
    <w:autoRedefine/>
    <w:qFormat/>
    <w:uiPriority w:val="0"/>
    <w:rPr>
      <w:sz w:val="18"/>
      <w:szCs w:val="18"/>
    </w:rPr>
  </w:style>
  <w:style w:type="character" w:customStyle="1" w:styleId="50">
    <w:name w:val="标题 1 字符"/>
    <w:basedOn w:val="41"/>
    <w:link w:val="2"/>
    <w:autoRedefine/>
    <w:qFormat/>
    <w:uiPriority w:val="0"/>
    <w:rPr>
      <w:rFonts w:ascii="Times New Roman" w:hAnsi="Times New Roman" w:eastAsia="宋体" w:cs="Times New Roman"/>
      <w:b/>
      <w:bCs/>
      <w:kern w:val="0"/>
      <w:sz w:val="24"/>
      <w:szCs w:val="24"/>
    </w:rPr>
  </w:style>
  <w:style w:type="character" w:customStyle="1" w:styleId="51">
    <w:name w:val="标题 2 字符"/>
    <w:basedOn w:val="41"/>
    <w:link w:val="3"/>
    <w:autoRedefine/>
    <w:qFormat/>
    <w:uiPriority w:val="0"/>
    <w:rPr>
      <w:rFonts w:ascii="Arial" w:hAnsi="Arial" w:eastAsia="黑体" w:cs="Times New Roman"/>
      <w:b/>
      <w:bCs/>
      <w:sz w:val="32"/>
      <w:szCs w:val="32"/>
    </w:rPr>
  </w:style>
  <w:style w:type="character" w:customStyle="1" w:styleId="52">
    <w:name w:val="标题 3 字符"/>
    <w:basedOn w:val="41"/>
    <w:link w:val="4"/>
    <w:autoRedefine/>
    <w:qFormat/>
    <w:uiPriority w:val="0"/>
    <w:rPr>
      <w:rFonts w:ascii="楷体_GB2312" w:hAnsi="宋体" w:eastAsia="楷体_GB2312" w:cs="Times New Roman"/>
      <w:b/>
      <w:bCs/>
      <w:sz w:val="32"/>
      <w:szCs w:val="24"/>
    </w:rPr>
  </w:style>
  <w:style w:type="character" w:customStyle="1" w:styleId="53">
    <w:name w:val="标题 4 字符"/>
    <w:basedOn w:val="41"/>
    <w:link w:val="5"/>
    <w:autoRedefine/>
    <w:qFormat/>
    <w:uiPriority w:val="0"/>
    <w:rPr>
      <w:rFonts w:ascii="Arial" w:hAnsi="Arial" w:eastAsia="黑体" w:cs="Times New Roman"/>
      <w:b/>
      <w:bCs/>
      <w:kern w:val="0"/>
      <w:sz w:val="28"/>
      <w:szCs w:val="28"/>
    </w:rPr>
  </w:style>
  <w:style w:type="character" w:customStyle="1" w:styleId="54">
    <w:name w:val="标题 5 字符"/>
    <w:basedOn w:val="41"/>
    <w:link w:val="6"/>
    <w:autoRedefine/>
    <w:qFormat/>
    <w:uiPriority w:val="0"/>
    <w:rPr>
      <w:rFonts w:ascii="Times New Roman" w:hAnsi="Times New Roman" w:eastAsia="宋体" w:cs="Times New Roman"/>
      <w:b/>
      <w:bCs/>
      <w:kern w:val="0"/>
      <w:sz w:val="28"/>
      <w:szCs w:val="28"/>
    </w:rPr>
  </w:style>
  <w:style w:type="character" w:customStyle="1" w:styleId="55">
    <w:name w:val="标题 6 字符"/>
    <w:basedOn w:val="41"/>
    <w:link w:val="7"/>
    <w:autoRedefine/>
    <w:qFormat/>
    <w:uiPriority w:val="0"/>
    <w:rPr>
      <w:rFonts w:ascii="Arial" w:hAnsi="Arial" w:eastAsia="黑体" w:cs="Times New Roman"/>
      <w:b/>
      <w:bCs/>
      <w:kern w:val="0"/>
      <w:sz w:val="24"/>
      <w:szCs w:val="24"/>
    </w:rPr>
  </w:style>
  <w:style w:type="character" w:customStyle="1" w:styleId="56">
    <w:name w:val="标题 7 字符"/>
    <w:basedOn w:val="41"/>
    <w:link w:val="8"/>
    <w:autoRedefine/>
    <w:qFormat/>
    <w:uiPriority w:val="0"/>
    <w:rPr>
      <w:rFonts w:ascii="Times New Roman" w:hAnsi="Times New Roman" w:eastAsia="宋体" w:cs="Times New Roman"/>
      <w:b/>
      <w:bCs/>
      <w:kern w:val="0"/>
      <w:sz w:val="24"/>
      <w:szCs w:val="24"/>
    </w:rPr>
  </w:style>
  <w:style w:type="character" w:customStyle="1" w:styleId="57">
    <w:name w:val="标题 8 字符"/>
    <w:basedOn w:val="41"/>
    <w:link w:val="9"/>
    <w:autoRedefine/>
    <w:qFormat/>
    <w:uiPriority w:val="0"/>
    <w:rPr>
      <w:rFonts w:ascii="Arial" w:hAnsi="Arial" w:eastAsia="黑体" w:cs="Times New Roman"/>
      <w:kern w:val="0"/>
      <w:sz w:val="24"/>
      <w:szCs w:val="24"/>
    </w:rPr>
  </w:style>
  <w:style w:type="character" w:customStyle="1" w:styleId="58">
    <w:name w:val="标题 9 字符"/>
    <w:basedOn w:val="41"/>
    <w:link w:val="10"/>
    <w:autoRedefine/>
    <w:qFormat/>
    <w:uiPriority w:val="0"/>
    <w:rPr>
      <w:rFonts w:ascii="Arial" w:hAnsi="Arial" w:eastAsia="黑体" w:cs="Times New Roman"/>
      <w:kern w:val="0"/>
      <w:szCs w:val="21"/>
    </w:rPr>
  </w:style>
  <w:style w:type="character" w:customStyle="1" w:styleId="59">
    <w:name w:val="f141"/>
    <w:autoRedefine/>
    <w:qFormat/>
    <w:uiPriority w:val="0"/>
    <w:rPr>
      <w:sz w:val="21"/>
      <w:szCs w:val="21"/>
    </w:rPr>
  </w:style>
  <w:style w:type="character" w:customStyle="1" w:styleId="60">
    <w:name w:val="p141"/>
    <w:autoRedefine/>
    <w:qFormat/>
    <w:uiPriority w:val="0"/>
    <w:rPr>
      <w:sz w:val="21"/>
      <w:szCs w:val="21"/>
    </w:rPr>
  </w:style>
  <w:style w:type="character" w:customStyle="1" w:styleId="61">
    <w:name w:val="批注框文本 字符"/>
    <w:link w:val="25"/>
    <w:autoRedefine/>
    <w:qFormat/>
    <w:locked/>
    <w:uiPriority w:val="0"/>
    <w:rPr>
      <w:rFonts w:eastAsia="宋体"/>
      <w:sz w:val="18"/>
    </w:rPr>
  </w:style>
  <w:style w:type="paragraph" w:customStyle="1" w:styleId="62">
    <w:name w:val="_Style 3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3">
    <w:name w:val="s10pv000000"/>
    <w:basedOn w:val="41"/>
    <w:autoRedefine/>
    <w:qFormat/>
    <w:uiPriority w:val="0"/>
  </w:style>
  <w:style w:type="character" w:customStyle="1" w:styleId="64">
    <w:name w:val="纯文本 字符"/>
    <w:link w:val="21"/>
    <w:autoRedefine/>
    <w:qFormat/>
    <w:uiPriority w:val="0"/>
    <w:rPr>
      <w:rFonts w:ascii="宋体" w:hAnsi="Courier New" w:cs="Courier New"/>
      <w:szCs w:val="21"/>
    </w:rPr>
  </w:style>
  <w:style w:type="character" w:customStyle="1" w:styleId="65">
    <w:name w:val="批注文字 字符"/>
    <w:link w:val="14"/>
    <w:autoRedefine/>
    <w:qFormat/>
    <w:uiPriority w:val="0"/>
    <w:rPr>
      <w:szCs w:val="24"/>
    </w:rPr>
  </w:style>
  <w:style w:type="paragraph" w:customStyle="1" w:styleId="66">
    <w:name w:val="样式 标题 4 + 段前: 5 磅 段后: 5 磅 行距: 单倍行距"/>
    <w:basedOn w:val="5"/>
    <w:autoRedefine/>
    <w:qFormat/>
    <w:uiPriority w:val="0"/>
    <w:pPr>
      <w:widowControl w:val="0"/>
      <w:tabs>
        <w:tab w:val="left" w:pos="1680"/>
      </w:tabs>
      <w:adjustRightInd w:val="0"/>
      <w:spacing w:before="100" w:after="100" w:line="240" w:lineRule="auto"/>
      <w:ind w:left="1680" w:hanging="420"/>
      <w:textAlignment w:val="baseline"/>
    </w:pPr>
    <w:rPr>
      <w:bCs w:val="0"/>
      <w:szCs w:val="20"/>
    </w:rPr>
  </w:style>
  <w:style w:type="paragraph" w:customStyle="1" w:styleId="67">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8">
    <w:name w:val="基准标题"/>
    <w:basedOn w:val="16"/>
    <w:next w:val="16"/>
    <w:autoRedefine/>
    <w:qFormat/>
    <w:uiPriority w:val="0"/>
    <w:pPr>
      <w:keepNext/>
      <w:keepLines/>
      <w:widowControl/>
      <w:spacing w:after="0" w:line="240" w:lineRule="atLeast"/>
      <w:jc w:val="left"/>
    </w:pPr>
    <w:rPr>
      <w:rFonts w:ascii="Garamond" w:hAnsi="Garamond"/>
      <w:kern w:val="20"/>
      <w:sz w:val="22"/>
      <w:szCs w:val="20"/>
      <w:lang w:bidi="he-IL"/>
    </w:rPr>
  </w:style>
  <w:style w:type="paragraph" w:customStyle="1" w:styleId="69">
    <w:name w:val="表格"/>
    <w:basedOn w:val="1"/>
    <w:autoRedefine/>
    <w:qFormat/>
    <w:uiPriority w:val="0"/>
    <w:pPr>
      <w:spacing w:line="420" w:lineRule="exact"/>
      <w:ind w:left="84" w:leftChars="40"/>
      <w:jc w:val="center"/>
    </w:pPr>
    <w:rPr>
      <w:rFonts w:ascii="宋体" w:hAnsi="宋体"/>
      <w:bCs/>
      <w:spacing w:val="-12"/>
    </w:rPr>
  </w:style>
  <w:style w:type="paragraph" w:customStyle="1" w:styleId="70">
    <w:name w:val="font6"/>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71">
    <w:name w:val="样式4"/>
    <w:basedOn w:val="1"/>
    <w:autoRedefine/>
    <w:qFormat/>
    <w:uiPriority w:val="0"/>
    <w:pPr>
      <w:tabs>
        <w:tab w:val="left" w:pos="2328"/>
      </w:tabs>
      <w:ind w:left="2328" w:hanging="708"/>
    </w:pPr>
  </w:style>
  <w:style w:type="paragraph" w:customStyle="1" w:styleId="72">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3">
    <w:name w:val="3 Char"/>
    <w:basedOn w:val="1"/>
    <w:qFormat/>
    <w:uiPriority w:val="0"/>
    <w:pPr>
      <w:widowControl/>
      <w:spacing w:line="400" w:lineRule="exact"/>
      <w:jc w:val="center"/>
    </w:pPr>
    <w:rPr>
      <w:rFonts w:ascii="Verdana" w:hAnsi="Verdana"/>
      <w:kern w:val="0"/>
      <w:szCs w:val="20"/>
      <w:lang w:eastAsia="en-US"/>
    </w:rPr>
  </w:style>
  <w:style w:type="character" w:customStyle="1" w:styleId="74">
    <w:name w:val="批注文字 Char1"/>
    <w:basedOn w:val="41"/>
    <w:autoRedefine/>
    <w:semiHidden/>
    <w:qFormat/>
    <w:uiPriority w:val="99"/>
    <w:rPr>
      <w:rFonts w:ascii="Times New Roman" w:hAnsi="Times New Roman" w:eastAsia="宋体" w:cs="Times New Roman"/>
      <w:szCs w:val="24"/>
    </w:rPr>
  </w:style>
  <w:style w:type="paragraph" w:customStyle="1" w:styleId="75">
    <w:name w:val="样式 标题 2 + 宋体 五号 非加粗 黑色"/>
    <w:basedOn w:val="3"/>
    <w:autoRedefine/>
    <w:qFormat/>
    <w:uiPriority w:val="0"/>
    <w:pPr>
      <w:tabs>
        <w:tab w:val="left" w:pos="840"/>
      </w:tabs>
      <w:adjustRightInd w:val="0"/>
      <w:spacing w:line="416" w:lineRule="atLeast"/>
      <w:ind w:left="840" w:hanging="420"/>
      <w:jc w:val="left"/>
      <w:textAlignment w:val="baseline"/>
    </w:pPr>
    <w:rPr>
      <w:rFonts w:ascii="宋体" w:hAnsi="宋体" w:eastAsia="宋体"/>
      <w:b w:val="0"/>
      <w:bCs w:val="0"/>
      <w:color w:val="000000"/>
      <w:kern w:val="0"/>
      <w:sz w:val="21"/>
      <w:szCs w:val="20"/>
    </w:rPr>
  </w:style>
  <w:style w:type="paragraph" w:customStyle="1" w:styleId="76">
    <w:name w:val="xl29"/>
    <w:basedOn w:val="1"/>
    <w:autoRedefine/>
    <w:qFormat/>
    <w:uiPriority w:val="0"/>
    <w:pPr>
      <w:widowControl/>
      <w:spacing w:before="100" w:beforeAutospacing="1" w:after="100" w:afterAutospacing="1"/>
      <w:jc w:val="center"/>
    </w:pPr>
    <w:rPr>
      <w:rFonts w:ascii="宋体" w:hAnsi="宋体"/>
      <w:kern w:val="0"/>
      <w:sz w:val="28"/>
      <w:szCs w:val="28"/>
    </w:rPr>
  </w:style>
  <w:style w:type="paragraph" w:customStyle="1" w:styleId="77">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78">
    <w:name w:val="正文文本缩进 字符"/>
    <w:basedOn w:val="41"/>
    <w:link w:val="18"/>
    <w:autoRedefine/>
    <w:qFormat/>
    <w:uiPriority w:val="0"/>
    <w:rPr>
      <w:rFonts w:ascii="Times New Roman" w:hAnsi="Times New Roman" w:eastAsia="宋体" w:cs="Times New Roman"/>
      <w:sz w:val="24"/>
      <w:szCs w:val="24"/>
    </w:rPr>
  </w:style>
  <w:style w:type="paragraph" w:customStyle="1" w:styleId="79">
    <w:name w:val="设计方案"/>
    <w:basedOn w:val="1"/>
    <w:autoRedefine/>
    <w:qFormat/>
    <w:uiPriority w:val="0"/>
    <w:pPr>
      <w:widowControl/>
      <w:tabs>
        <w:tab w:val="left" w:pos="425"/>
      </w:tabs>
      <w:spacing w:after="160" w:line="240" w:lineRule="exact"/>
      <w:ind w:left="425" w:hanging="425"/>
      <w:jc w:val="left"/>
    </w:pPr>
    <w:rPr>
      <w:rFonts w:ascii="Verdana" w:hAnsi="Verdana"/>
      <w:kern w:val="0"/>
      <w:szCs w:val="20"/>
      <w:lang w:eastAsia="en-US"/>
    </w:rPr>
  </w:style>
  <w:style w:type="paragraph" w:customStyle="1" w:styleId="80">
    <w:name w:val="Char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1">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82">
    <w:name w:val="样式1"/>
    <w:basedOn w:val="1"/>
    <w:autoRedefine/>
    <w:qFormat/>
    <w:uiPriority w:val="0"/>
    <w:pPr>
      <w:tabs>
        <w:tab w:val="left" w:pos="425"/>
        <w:tab w:val="left" w:pos="709"/>
      </w:tabs>
      <w:adjustRightInd w:val="0"/>
      <w:ind w:left="425" w:hanging="425"/>
      <w:textAlignment w:val="baseline"/>
    </w:pPr>
    <w:rPr>
      <w:rFonts w:ascii="宋体" w:hAnsi="宋体"/>
      <w:kern w:val="0"/>
      <w:szCs w:val="20"/>
    </w:rPr>
  </w:style>
  <w:style w:type="character" w:customStyle="1" w:styleId="83">
    <w:name w:val="正文文本 3 字符"/>
    <w:basedOn w:val="41"/>
    <w:link w:val="15"/>
    <w:autoRedefine/>
    <w:qFormat/>
    <w:uiPriority w:val="0"/>
    <w:rPr>
      <w:rFonts w:ascii="Times New Roman" w:hAnsi="Times New Roman" w:eastAsia="宋体" w:cs="Times New Roman"/>
      <w:sz w:val="16"/>
      <w:szCs w:val="16"/>
    </w:rPr>
  </w:style>
  <w:style w:type="paragraph" w:customStyle="1" w:styleId="84">
    <w:name w:val="head"/>
    <w:basedOn w:val="1"/>
    <w:autoRedefine/>
    <w:qFormat/>
    <w:uiPriority w:val="0"/>
    <w:pPr>
      <w:widowControl/>
      <w:spacing w:before="100" w:beforeAutospacing="1" w:after="100" w:afterAutospacing="1"/>
      <w:jc w:val="center"/>
    </w:pPr>
    <w:rPr>
      <w:rFonts w:hint="eastAsia" w:ascii="黑体" w:hAnsi="宋体" w:eastAsia="黑体"/>
      <w:b/>
      <w:bCs/>
      <w:kern w:val="0"/>
      <w:sz w:val="28"/>
      <w:szCs w:val="28"/>
    </w:rPr>
  </w:style>
  <w:style w:type="paragraph" w:customStyle="1" w:styleId="85">
    <w:name w:val="列出段落1"/>
    <w:basedOn w:val="1"/>
    <w:autoRedefine/>
    <w:qFormat/>
    <w:uiPriority w:val="34"/>
    <w:pPr>
      <w:ind w:firstLine="420" w:firstLineChars="200"/>
    </w:pPr>
  </w:style>
  <w:style w:type="paragraph" w:customStyle="1" w:styleId="86">
    <w:name w:val="默认段落字体 Para Char Char Char Char"/>
    <w:basedOn w:val="1"/>
    <w:autoRedefine/>
    <w:qFormat/>
    <w:uiPriority w:val="0"/>
    <w:rPr>
      <w:szCs w:val="20"/>
    </w:rPr>
  </w:style>
  <w:style w:type="paragraph" w:customStyle="1" w:styleId="87">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font0"/>
    <w:basedOn w:val="1"/>
    <w:autoRedefine/>
    <w:qFormat/>
    <w:uiPriority w:val="0"/>
    <w:pPr>
      <w:widowControl/>
      <w:spacing w:before="100" w:beforeAutospacing="1" w:after="100" w:afterAutospacing="1"/>
      <w:jc w:val="left"/>
    </w:pPr>
    <w:rPr>
      <w:rFonts w:hint="eastAsia" w:ascii="宋体" w:hAnsi="宋体"/>
      <w:kern w:val="0"/>
      <w:sz w:val="24"/>
    </w:rPr>
  </w:style>
  <w:style w:type="character" w:customStyle="1" w:styleId="89">
    <w:name w:val="批注主题 字符"/>
    <w:basedOn w:val="74"/>
    <w:link w:val="36"/>
    <w:autoRedefine/>
    <w:semiHidden/>
    <w:qFormat/>
    <w:uiPriority w:val="0"/>
    <w:rPr>
      <w:rFonts w:ascii="Times New Roman" w:hAnsi="Times New Roman" w:eastAsia="宋体" w:cs="Times New Roman"/>
      <w:b/>
      <w:bCs/>
      <w:szCs w:val="24"/>
    </w:rPr>
  </w:style>
  <w:style w:type="character" w:customStyle="1" w:styleId="90">
    <w:name w:val="文档结构图 字符"/>
    <w:basedOn w:val="41"/>
    <w:link w:val="13"/>
    <w:autoRedefine/>
    <w:qFormat/>
    <w:uiPriority w:val="0"/>
    <w:rPr>
      <w:rFonts w:ascii="Times New Roman" w:hAnsi="Times New Roman" w:eastAsia="宋体" w:cs="Times New Roman"/>
      <w:szCs w:val="20"/>
      <w:shd w:val="clear" w:color="auto" w:fill="000080"/>
    </w:rPr>
  </w:style>
  <w:style w:type="paragraph" w:customStyle="1" w:styleId="91">
    <w:name w:val="Char Char Char Char Char Char Char"/>
    <w:basedOn w:val="1"/>
    <w:autoRedefine/>
    <w:qFormat/>
    <w:uiPriority w:val="0"/>
    <w:rPr>
      <w:rFonts w:ascii="Tahoma" w:hAnsi="Tahoma" w:cs="Tahoma"/>
      <w:sz w:val="30"/>
      <w:szCs w:val="30"/>
    </w:rPr>
  </w:style>
  <w:style w:type="paragraph" w:customStyle="1" w:styleId="92">
    <w:name w:val="样式 标题 3h3H3sect1.2.3 + 五号 段前: 6 磅 段后: 6 磅 行距: 单倍行距"/>
    <w:basedOn w:val="4"/>
    <w:autoRedefine/>
    <w:qFormat/>
    <w:uiPriority w:val="0"/>
    <w:pPr>
      <w:keepLines/>
      <w:tabs>
        <w:tab w:val="left" w:pos="1260"/>
      </w:tabs>
      <w:adjustRightInd w:val="0"/>
      <w:spacing w:before="120" w:after="120"/>
      <w:ind w:left="1260" w:hanging="420"/>
      <w:jc w:val="left"/>
      <w:textAlignment w:val="baseline"/>
    </w:pPr>
    <w:rPr>
      <w:rFonts w:ascii="Times New Roman" w:hAnsi="Times New Roman" w:eastAsia="宋体"/>
      <w:bCs w:val="0"/>
      <w:kern w:val="0"/>
      <w:sz w:val="21"/>
      <w:szCs w:val="20"/>
    </w:rPr>
  </w:style>
  <w:style w:type="character" w:customStyle="1" w:styleId="93">
    <w:name w:val="正文文本 字符"/>
    <w:basedOn w:val="41"/>
    <w:link w:val="16"/>
    <w:autoRedefine/>
    <w:qFormat/>
    <w:uiPriority w:val="0"/>
    <w:rPr>
      <w:rFonts w:ascii="Times New Roman" w:hAnsi="Times New Roman" w:eastAsia="宋体" w:cs="Times New Roman"/>
      <w:szCs w:val="24"/>
    </w:rPr>
  </w:style>
  <w:style w:type="character" w:customStyle="1" w:styleId="94">
    <w:name w:val="正文文本缩进 2 字符"/>
    <w:basedOn w:val="41"/>
    <w:link w:val="24"/>
    <w:autoRedefine/>
    <w:qFormat/>
    <w:uiPriority w:val="0"/>
    <w:rPr>
      <w:rFonts w:ascii="Times New Roman" w:hAnsi="Times New Roman" w:eastAsia="宋体" w:cs="Times New Roman"/>
      <w:sz w:val="24"/>
      <w:szCs w:val="24"/>
    </w:rPr>
  </w:style>
  <w:style w:type="character" w:customStyle="1" w:styleId="95">
    <w:name w:val="纯文本 Char1"/>
    <w:basedOn w:val="41"/>
    <w:autoRedefine/>
    <w:qFormat/>
    <w:uiPriority w:val="0"/>
    <w:rPr>
      <w:rFonts w:ascii="宋体" w:hAnsi="Courier New" w:eastAsia="宋体" w:cs="Courier New"/>
      <w:szCs w:val="21"/>
    </w:rPr>
  </w:style>
  <w:style w:type="character" w:customStyle="1" w:styleId="96">
    <w:name w:val="日期 字符"/>
    <w:basedOn w:val="41"/>
    <w:link w:val="23"/>
    <w:autoRedefine/>
    <w:qFormat/>
    <w:uiPriority w:val="0"/>
    <w:rPr>
      <w:rFonts w:ascii="宋体" w:hAnsi="Times New Roman" w:eastAsia="宋体" w:cs="Times New Roman"/>
      <w:kern w:val="0"/>
      <w:szCs w:val="20"/>
    </w:rPr>
  </w:style>
  <w:style w:type="character" w:customStyle="1" w:styleId="97">
    <w:name w:val="批注框文本 Char1"/>
    <w:basedOn w:val="41"/>
    <w:autoRedefine/>
    <w:semiHidden/>
    <w:qFormat/>
    <w:uiPriority w:val="99"/>
    <w:rPr>
      <w:rFonts w:ascii="Times New Roman" w:hAnsi="Times New Roman" w:eastAsia="宋体" w:cs="Times New Roman"/>
      <w:sz w:val="18"/>
      <w:szCs w:val="18"/>
    </w:rPr>
  </w:style>
  <w:style w:type="character" w:customStyle="1" w:styleId="98">
    <w:name w:val="HTML 预设格式 字符"/>
    <w:basedOn w:val="41"/>
    <w:link w:val="34"/>
    <w:autoRedefine/>
    <w:qFormat/>
    <w:uiPriority w:val="0"/>
    <w:rPr>
      <w:rFonts w:ascii="黑体" w:hAnsi="Courier New" w:eastAsia="黑体" w:cs="Courier New"/>
      <w:kern w:val="0"/>
      <w:sz w:val="20"/>
      <w:szCs w:val="20"/>
    </w:rPr>
  </w:style>
  <w:style w:type="character" w:customStyle="1" w:styleId="99">
    <w:name w:val="正文文本缩进 3 字符"/>
    <w:basedOn w:val="41"/>
    <w:link w:val="31"/>
    <w:autoRedefine/>
    <w:qFormat/>
    <w:uiPriority w:val="0"/>
    <w:rPr>
      <w:rFonts w:ascii="Times New Roman" w:hAnsi="Times New Roman" w:eastAsia="宋体" w:cs="Times New Roman"/>
      <w:sz w:val="16"/>
      <w:szCs w:val="16"/>
    </w:rPr>
  </w:style>
  <w:style w:type="paragraph" w:customStyle="1" w:styleId="100">
    <w:name w:val="Char1 Char Char Char"/>
    <w:basedOn w:val="1"/>
    <w:autoRedefine/>
    <w:qFormat/>
    <w:uiPriority w:val="0"/>
    <w:rPr>
      <w:szCs w:val="20"/>
    </w:rPr>
  </w:style>
  <w:style w:type="paragraph" w:customStyle="1" w:styleId="101">
    <w:name w:val="Char1"/>
    <w:basedOn w:val="1"/>
    <w:autoRedefine/>
    <w:qFormat/>
    <w:uiPriority w:val="0"/>
    <w:pPr>
      <w:widowControl/>
      <w:spacing w:after="160" w:line="240" w:lineRule="exact"/>
      <w:jc w:val="left"/>
    </w:pPr>
    <w:rPr>
      <w:sz w:val="24"/>
    </w:rPr>
  </w:style>
  <w:style w:type="paragraph" w:customStyle="1" w:styleId="102">
    <w:name w:val="默认段落字体 Para Char"/>
    <w:basedOn w:val="1"/>
    <w:autoRedefine/>
    <w:qFormat/>
    <w:uiPriority w:val="0"/>
  </w:style>
  <w:style w:type="paragraph" w:customStyle="1" w:styleId="103">
    <w:name w:val="Char1 Char Char Char Char Char Char Char Char Char"/>
    <w:basedOn w:val="1"/>
    <w:autoRedefine/>
    <w:qFormat/>
    <w:uiPriority w:val="0"/>
    <w:pPr>
      <w:widowControl/>
      <w:spacing w:line="400" w:lineRule="exact"/>
      <w:jc w:val="center"/>
    </w:pPr>
    <w:rPr>
      <w:rFonts w:ascii="Verdana" w:hAnsi="Verdana"/>
      <w:kern w:val="0"/>
      <w:szCs w:val="20"/>
      <w:lang w:eastAsia="en-US"/>
    </w:rPr>
  </w:style>
  <w:style w:type="paragraph" w:customStyle="1" w:styleId="104">
    <w:name w:val="TOC 标题1"/>
    <w:basedOn w:val="2"/>
    <w:next w:val="1"/>
    <w:autoRedefine/>
    <w:qFormat/>
    <w:uiPriority w:val="39"/>
    <w:pPr>
      <w:keepLines/>
      <w:spacing w:before="480" w:line="276" w:lineRule="auto"/>
      <w:outlineLvl w:val="9"/>
    </w:pPr>
    <w:rPr>
      <w:rFonts w:ascii="Cambria" w:hAnsi="Cambria"/>
      <w:color w:val="365F91"/>
      <w:sz w:val="28"/>
      <w:szCs w:val="28"/>
    </w:rPr>
  </w:style>
  <w:style w:type="paragraph" w:customStyle="1" w:styleId="105">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6">
    <w:name w:val="普通(网站)1"/>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107">
    <w:name w:val="Char Char2 Char"/>
    <w:basedOn w:val="1"/>
    <w:autoRedefine/>
    <w:qFormat/>
    <w:uiPriority w:val="0"/>
    <w:rPr>
      <w:rFonts w:ascii="宋体" w:hAnsi="宋体"/>
      <w:b/>
      <w:sz w:val="28"/>
      <w:szCs w:val="28"/>
    </w:rPr>
  </w:style>
  <w:style w:type="character" w:customStyle="1" w:styleId="108">
    <w:name w:val="正文缩进 字符"/>
    <w:link w:val="12"/>
    <w:autoRedefine/>
    <w:qFormat/>
    <w:uiPriority w:val="0"/>
    <w:rPr>
      <w:rFonts w:ascii="Times New Roman" w:hAnsi="Times New Roman" w:eastAsia="宋体" w:cs="Times New Roman"/>
      <w:szCs w:val="21"/>
    </w:rPr>
  </w:style>
  <w:style w:type="paragraph" w:customStyle="1" w:styleId="109">
    <w:name w:val="Char Char Char"/>
    <w:basedOn w:val="1"/>
    <w:autoRedefine/>
    <w:qFormat/>
    <w:uiPriority w:val="0"/>
    <w:rPr>
      <w:rFonts w:ascii="宋体" w:hAnsi="宋体"/>
      <w:b/>
      <w:sz w:val="28"/>
      <w:szCs w:val="28"/>
    </w:rPr>
  </w:style>
  <w:style w:type="paragraph" w:customStyle="1" w:styleId="110">
    <w:name w:val="Char2"/>
    <w:basedOn w:val="1"/>
    <w:autoRedefine/>
    <w:qFormat/>
    <w:uiPriority w:val="0"/>
    <w:pPr>
      <w:widowControl/>
      <w:spacing w:after="160" w:line="240" w:lineRule="exact"/>
      <w:jc w:val="left"/>
    </w:pPr>
    <w:rPr>
      <w:szCs w:val="20"/>
    </w:rPr>
  </w:style>
  <w:style w:type="paragraph" w:customStyle="1" w:styleId="111">
    <w:name w:val="a"/>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12">
    <w:name w:val="明显参考1"/>
    <w:autoRedefine/>
    <w:qFormat/>
    <w:uiPriority w:val="32"/>
    <w:rPr>
      <w:b/>
      <w:bCs/>
      <w:smallCaps/>
      <w:color w:val="C0504D"/>
      <w:spacing w:val="5"/>
      <w:u w:val="single"/>
    </w:rPr>
  </w:style>
  <w:style w:type="paragraph" w:customStyle="1" w:styleId="113">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14">
    <w:name w:val="列出段落11"/>
    <w:basedOn w:val="1"/>
    <w:autoRedefine/>
    <w:qFormat/>
    <w:uiPriority w:val="34"/>
    <w:pPr>
      <w:ind w:firstLine="420" w:firstLineChars="200"/>
    </w:pPr>
  </w:style>
  <w:style w:type="paragraph" w:styleId="115">
    <w:name w:val="List Paragraph"/>
    <w:basedOn w:val="1"/>
    <w:link w:val="122"/>
    <w:autoRedefine/>
    <w:qFormat/>
    <w:uiPriority w:val="34"/>
    <w:pPr>
      <w:ind w:firstLine="420" w:firstLineChars="200"/>
    </w:pPr>
  </w:style>
  <w:style w:type="character" w:customStyle="1" w:styleId="116">
    <w:name w:val="rec-status-desc"/>
    <w:basedOn w:val="41"/>
    <w:autoRedefine/>
    <w:qFormat/>
    <w:uiPriority w:val="0"/>
  </w:style>
  <w:style w:type="character" w:customStyle="1" w:styleId="117">
    <w:name w:val="rec-volume"/>
    <w:basedOn w:val="41"/>
    <w:autoRedefine/>
    <w:qFormat/>
    <w:uiPriority w:val="0"/>
  </w:style>
  <w:style w:type="character" w:customStyle="1" w:styleId="118">
    <w:name w:val="rec-time"/>
    <w:basedOn w:val="41"/>
    <w:autoRedefine/>
    <w:qFormat/>
    <w:uiPriority w:val="0"/>
  </w:style>
  <w:style w:type="paragraph" w:customStyle="1" w:styleId="119">
    <w:name w:val="WPSOffice手动目录 1"/>
    <w:autoRedefine/>
    <w:qFormat/>
    <w:uiPriority w:val="0"/>
    <w:rPr>
      <w:rFonts w:ascii="Times New Roman" w:hAnsi="Times New Roman" w:eastAsia="宋体" w:cs="Times New Roman"/>
      <w:lang w:val="en-US" w:eastAsia="zh-CN" w:bidi="ar-SA"/>
    </w:rPr>
  </w:style>
  <w:style w:type="paragraph" w:customStyle="1" w:styleId="120">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121">
    <w:name w:val="WPSOffice手动目录 3"/>
    <w:autoRedefine/>
    <w:qFormat/>
    <w:uiPriority w:val="0"/>
    <w:pPr>
      <w:ind w:left="400" w:leftChars="400"/>
    </w:pPr>
    <w:rPr>
      <w:rFonts w:ascii="Times New Roman" w:hAnsi="Times New Roman" w:eastAsia="宋体" w:cs="Times New Roman"/>
      <w:lang w:val="en-US" w:eastAsia="zh-CN" w:bidi="ar-SA"/>
    </w:rPr>
  </w:style>
  <w:style w:type="character" w:customStyle="1" w:styleId="122">
    <w:name w:val="列表段落 字符"/>
    <w:link w:val="115"/>
    <w:autoRedefine/>
    <w:qFormat/>
    <w:uiPriority w:val="34"/>
    <w:rPr>
      <w:kern w:val="2"/>
      <w:sz w:val="21"/>
      <w:szCs w:val="24"/>
    </w:rPr>
  </w:style>
  <w:style w:type="character" w:customStyle="1" w:styleId="123">
    <w:name w:val="font31"/>
    <w:basedOn w:val="41"/>
    <w:autoRedefine/>
    <w:qFormat/>
    <w:uiPriority w:val="0"/>
    <w:rPr>
      <w:rFonts w:ascii="Tahoma" w:hAnsi="Tahoma" w:eastAsia="Tahoma" w:cs="Tahoma"/>
      <w:color w:val="000000"/>
      <w:sz w:val="22"/>
      <w:szCs w:val="22"/>
      <w:u w:val="none"/>
    </w:rPr>
  </w:style>
  <w:style w:type="character" w:customStyle="1" w:styleId="124">
    <w:name w:val="未处理的提及1"/>
    <w:basedOn w:val="41"/>
    <w:autoRedefine/>
    <w:semiHidden/>
    <w:unhideWhenUsed/>
    <w:qFormat/>
    <w:uiPriority w:val="99"/>
    <w:rPr>
      <w:color w:val="605E5C"/>
      <w:shd w:val="clear" w:color="auto" w:fill="E1DFDD"/>
    </w:rPr>
  </w:style>
  <w:style w:type="character" w:customStyle="1" w:styleId="125">
    <w:name w:val="正文文本首行缩进 2 字符"/>
    <w:autoRedefine/>
    <w:qFormat/>
    <w:uiPriority w:val="0"/>
    <w:rPr>
      <w:kern w:val="2"/>
      <w:sz w:val="24"/>
      <w:szCs w:val="24"/>
    </w:rPr>
  </w:style>
  <w:style w:type="paragraph" w:customStyle="1" w:styleId="126">
    <w:name w:val="表格文字"/>
    <w:basedOn w:val="1"/>
    <w:autoRedefine/>
    <w:qFormat/>
    <w:uiPriority w:val="0"/>
    <w:rPr>
      <w:bCs/>
      <w:spacing w:val="10"/>
      <w:szCs w:val="20"/>
    </w:rPr>
  </w:style>
  <w:style w:type="paragraph" w:customStyle="1" w:styleId="127">
    <w:name w:val="*正文"/>
    <w:basedOn w:val="1"/>
    <w:qFormat/>
    <w:uiPriority w:val="0"/>
    <w:pPr>
      <w:spacing w:line="360" w:lineRule="auto"/>
      <w:ind w:firstLine="200" w:firstLineChars="200"/>
    </w:pPr>
    <w:rPr>
      <w:rFonts w:ascii="宋体" w:hAnsi="宋体"/>
      <w:kern w:val="0"/>
      <w:sz w:val="22"/>
      <w:szCs w:val="24"/>
    </w:rPr>
  </w:style>
  <w:style w:type="table" w:customStyle="1" w:styleId="128">
    <w:name w:val="网格型1"/>
    <w:basedOn w:val="3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CCF3C8-195F-4983-B5BA-0679ABCB11A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69</Pages>
  <Words>1221</Words>
  <Characters>1278</Characters>
  <Lines>268</Lines>
  <Paragraphs>75</Paragraphs>
  <TotalTime>5</TotalTime>
  <ScaleCrop>false</ScaleCrop>
  <LinksUpToDate>false</LinksUpToDate>
  <CharactersWithSpaces>1343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2019-04-02T10:31:00Z</dcterms:created>
  <dc:creator>HXM</dc:creator>
  <cp:lastModifiedBy>路菲君</cp:lastModifiedBy>
  <cp:lastPrinted>2017-09-29T09:31:00Z</cp:lastPrinted>
  <dcterms:modified xsi:type="dcterms:W3CDTF">2025-05-23T00:04:15Z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655B1B7E59234A228968E9E6A579412A_13</vt:lpwstr>
  </property>
  <property fmtid="{D5CDD505-2E9C-101B-9397-08002B2CF9AE}" pid="4" name="KSOTemplateDocerSaveRecord">
    <vt:lpwstr>eyJoZGlkIjoiM2EyNDYyYmQ1ZDA0NDE2ZWMxMTVjMTBjNjZlNGMxZWMiLCJ1c2VySWQiOiIxOTQ5NzkyNTQifQ==</vt:lpwstr>
  </property>
</Properties>
</file>