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C76E">
      <w:pPr>
        <w:jc w:val="center"/>
        <w:rPr>
          <w:rFonts w:asciiTheme="minorEastAsia" w:hAnsiTheme="minorEastAsia" w:cstheme="minorEastAsia"/>
          <w:b/>
          <w:bCs/>
          <w:sz w:val="24"/>
        </w:rPr>
      </w:pPr>
    </w:p>
    <w:p w14:paraId="032FC704">
      <w:pPr>
        <w:jc w:val="center"/>
        <w:rPr>
          <w:rFonts w:hint="eastAsia" w:asciiTheme="minorEastAsia" w:hAnsiTheme="minorEastAsia" w:cstheme="minorEastAsia"/>
          <w:b/>
          <w:bCs/>
          <w:sz w:val="32"/>
          <w:szCs w:val="32"/>
        </w:rPr>
      </w:pPr>
      <w:r>
        <w:rPr>
          <w:rFonts w:hint="eastAsia" w:asciiTheme="minorEastAsia" w:hAnsiTheme="minorEastAsia" w:cstheme="minorEastAsia"/>
          <w:b/>
          <w:bCs/>
          <w:sz w:val="32"/>
          <w:szCs w:val="32"/>
        </w:rPr>
        <w:t>福田区第二人民医院医疗器械招标文件</w:t>
      </w:r>
    </w:p>
    <w:p w14:paraId="0E283996">
      <w:pPr>
        <w:jc w:val="left"/>
        <w:rPr>
          <w:rFonts w:asciiTheme="minorEastAsia" w:hAnsiTheme="minorEastAsia" w:cstheme="minorEastAsia"/>
          <w:sz w:val="28"/>
          <w:szCs w:val="28"/>
        </w:rPr>
      </w:pPr>
      <w:r>
        <w:rPr>
          <w:rFonts w:hint="eastAsia" w:asciiTheme="minorEastAsia" w:hAnsiTheme="minorEastAsia" w:cstheme="minorEastAsia"/>
          <w:sz w:val="22"/>
          <w:szCs w:val="22"/>
        </w:rPr>
        <w:t>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 xml:space="preserve">  </w:t>
      </w:r>
      <w:r>
        <w:rPr>
          <w:rFonts w:hint="eastAsia" w:asciiTheme="minorEastAsia" w:hAnsiTheme="minorEastAsia" w:cstheme="minorEastAsia"/>
          <w:sz w:val="28"/>
          <w:szCs w:val="28"/>
        </w:rPr>
        <w:t>1、深圳市福田区第二人民医院对本单位部分医疗</w:t>
      </w:r>
      <w:r>
        <w:rPr>
          <w:rFonts w:hint="eastAsia" w:asciiTheme="minorEastAsia" w:hAnsiTheme="minorEastAsia" w:cstheme="minorEastAsia"/>
          <w:sz w:val="28"/>
          <w:szCs w:val="28"/>
          <w:lang w:val="en-US" w:eastAsia="zh-CN"/>
        </w:rPr>
        <w:t>器械</w:t>
      </w:r>
      <w:r>
        <w:rPr>
          <w:rFonts w:hint="eastAsia" w:asciiTheme="minorEastAsia" w:hAnsiTheme="minorEastAsia" w:cstheme="minorEastAsia"/>
          <w:sz w:val="28"/>
          <w:szCs w:val="28"/>
        </w:rPr>
        <w:t>采购进行</w:t>
      </w:r>
      <w:r>
        <w:rPr>
          <w:rFonts w:hint="eastAsia" w:asciiTheme="minorEastAsia" w:hAnsiTheme="minorEastAsia" w:cstheme="minorEastAsia"/>
          <w:sz w:val="28"/>
          <w:szCs w:val="28"/>
          <w:lang w:val="en-US" w:eastAsia="zh-CN"/>
        </w:rPr>
        <w:t>挂网招标</w:t>
      </w:r>
      <w:r>
        <w:rPr>
          <w:rFonts w:hint="eastAsia" w:asciiTheme="minorEastAsia" w:hAnsiTheme="minorEastAsia" w:cstheme="minorEastAsia"/>
          <w:sz w:val="28"/>
          <w:szCs w:val="28"/>
        </w:rPr>
        <w:t>。欢迎各有医疗器械经营许可权或医疗设备生产许可权的经营企业或生产企业参加投标。</w:t>
      </w:r>
    </w:p>
    <w:p w14:paraId="15E18302">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2、供应商可根据自身的经营情况，选择投一个或多个采购条目，但不允许将一个采购条目流水号的内容拆散。</w:t>
      </w:r>
      <w:r>
        <w:rPr>
          <w:rFonts w:hint="eastAsia" w:asciiTheme="minorEastAsia" w:hAnsiTheme="minorEastAsia" w:cstheme="minorEastAsia"/>
          <w:b/>
          <w:bCs/>
          <w:sz w:val="28"/>
          <w:szCs w:val="28"/>
        </w:rPr>
        <w:t>请准备投标文件</w:t>
      </w:r>
      <w:r>
        <w:rPr>
          <w:rFonts w:hint="eastAsia" w:asciiTheme="minorEastAsia" w:hAnsiTheme="minorEastAsia" w:cstheme="minorEastAsia"/>
          <w:b/>
          <w:bCs/>
          <w:sz w:val="28"/>
          <w:szCs w:val="28"/>
          <w:lang w:val="en-US" w:eastAsia="zh-CN"/>
        </w:rPr>
        <w:t>六</w:t>
      </w:r>
      <w:r>
        <w:rPr>
          <w:rFonts w:hint="eastAsia" w:asciiTheme="minorEastAsia" w:hAnsiTheme="minorEastAsia" w:cstheme="minorEastAsia"/>
          <w:b/>
          <w:bCs/>
          <w:sz w:val="28"/>
          <w:szCs w:val="28"/>
        </w:rPr>
        <w:t>份</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一份正本</w:t>
      </w:r>
      <w:r>
        <w:rPr>
          <w:rFonts w:hint="eastAsia" w:asciiTheme="minorEastAsia" w:hAnsiTheme="minorEastAsia" w:cstheme="minorEastAsia"/>
          <w:color w:val="FF0000"/>
          <w:sz w:val="28"/>
          <w:szCs w:val="28"/>
          <w:lang w:val="en-US" w:eastAsia="zh-CN"/>
        </w:rPr>
        <w:t>五</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报价表需单独密封，电子文件拷贝到U盘存放于报价表密封袋内</w:t>
      </w:r>
      <w:r>
        <w:rPr>
          <w:rFonts w:hint="eastAsia" w:asciiTheme="minorEastAsia" w:hAnsiTheme="minorEastAsia" w:cstheme="minorEastAsia"/>
          <w:sz w:val="28"/>
          <w:szCs w:val="28"/>
        </w:rPr>
        <w:t>）。</w:t>
      </w:r>
    </w:p>
    <w:p w14:paraId="0F054C1F">
      <w:pPr>
        <w:numPr>
          <w:ilvl w:val="0"/>
          <w:numId w:val="0"/>
        </w:numPr>
        <w:ind w:left="105" w:leftChars="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属于国家强制计量检测设备项目需提供有效期内</w:t>
      </w:r>
      <w:r>
        <w:rPr>
          <w:rFonts w:hint="eastAsia" w:asciiTheme="minorEastAsia" w:hAnsiTheme="minorEastAsia" w:cstheme="minorEastAsia"/>
          <w:sz w:val="28"/>
          <w:szCs w:val="28"/>
        </w:rPr>
        <w:t>的第三方检测报告及检测合格证</w:t>
      </w:r>
      <w:r>
        <w:rPr>
          <w:rFonts w:hint="eastAsia" w:asciiTheme="minorEastAsia" w:hAnsiTheme="minorEastAsia" w:cstheme="minorEastAsia"/>
          <w:sz w:val="28"/>
          <w:szCs w:val="28"/>
          <w:lang w:eastAsia="zh-CN"/>
        </w:rPr>
        <w:t>。</w:t>
      </w:r>
    </w:p>
    <w:p w14:paraId="5F551C2B">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每家</w:t>
      </w:r>
      <w:r>
        <w:rPr>
          <w:rFonts w:hint="eastAsia" w:asciiTheme="minorEastAsia" w:hAnsiTheme="minorEastAsia" w:cstheme="minorEastAsia"/>
          <w:sz w:val="28"/>
          <w:szCs w:val="28"/>
          <w:lang w:val="en-US" w:eastAsia="zh-CN"/>
        </w:rPr>
        <w:t>应标</w:t>
      </w:r>
      <w:r>
        <w:rPr>
          <w:rFonts w:hint="eastAsia" w:asciiTheme="minorEastAsia" w:hAnsiTheme="minorEastAsia" w:cstheme="minorEastAsia"/>
          <w:sz w:val="28"/>
          <w:szCs w:val="28"/>
        </w:rPr>
        <w:t>公司参与投标的同品名、同规格的品种，不得超过1个。</w:t>
      </w:r>
    </w:p>
    <w:p w14:paraId="41C81250">
      <w:pPr>
        <w:ind w:firstLine="560" w:firstLineChars="200"/>
        <w:jc w:val="left"/>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投标价格一经公布，不得更改，如有错误，作废标处理</w:t>
      </w:r>
      <w:r>
        <w:rPr>
          <w:rFonts w:hint="eastAsia" w:asciiTheme="minorEastAsia" w:hAnsiTheme="minorEastAsia" w:cstheme="minorEastAsia"/>
          <w:sz w:val="28"/>
          <w:szCs w:val="28"/>
          <w:lang w:eastAsia="zh-CN"/>
        </w:rPr>
        <w:t>。</w:t>
      </w:r>
    </w:p>
    <w:p w14:paraId="7AAF719B">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投标文件中不许有涂改</w:t>
      </w:r>
      <w:r>
        <w:rPr>
          <w:rFonts w:hint="eastAsia" w:asciiTheme="minorEastAsia" w:hAnsiTheme="minorEastAsia" w:cstheme="minorEastAsia"/>
          <w:sz w:val="28"/>
          <w:szCs w:val="28"/>
          <w:lang w:val="en-US" w:eastAsia="zh-CN"/>
        </w:rPr>
        <w:t>的情况</w:t>
      </w:r>
      <w:r>
        <w:rPr>
          <w:rFonts w:hint="eastAsia" w:asciiTheme="minorEastAsia" w:hAnsiTheme="minorEastAsia" w:cstheme="minorEastAsia"/>
          <w:sz w:val="28"/>
          <w:szCs w:val="28"/>
        </w:rPr>
        <w:t>，否则作废标处理。</w:t>
      </w:r>
    </w:p>
    <w:p w14:paraId="51159C77">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合同有效期内，如政府调价或市政府统一招标，双方应无条件按上级文件执行，并相应修改合同的有关条款。</w:t>
      </w:r>
    </w:p>
    <w:p w14:paraId="18E0FB3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企业参加投标，即表示接受本次招标的各项要求。</w:t>
      </w:r>
    </w:p>
    <w:p w14:paraId="07EF87C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招标活动的最终解释权属于深圳市福田区第二人民医院。</w:t>
      </w:r>
    </w:p>
    <w:p w14:paraId="67394E10">
      <w:pPr>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评审组由院领导、相关科室专家、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、财务</w:t>
      </w:r>
      <w:r>
        <w:rPr>
          <w:rFonts w:hint="eastAsia" w:asciiTheme="minorEastAsia" w:hAnsiTheme="minorEastAsia" w:cstheme="minorEastAsia"/>
          <w:sz w:val="28"/>
          <w:szCs w:val="28"/>
          <w:lang w:val="en-US" w:eastAsia="zh-CN"/>
        </w:rPr>
        <w:t>部</w:t>
      </w:r>
      <w:r>
        <w:rPr>
          <w:rFonts w:hint="eastAsia" w:asciiTheme="minorEastAsia" w:hAnsiTheme="minorEastAsia" w:cstheme="minorEastAsia"/>
          <w:sz w:val="28"/>
          <w:szCs w:val="28"/>
        </w:rPr>
        <w:t>、医院纪检部门等组成。</w:t>
      </w:r>
    </w:p>
    <w:p w14:paraId="6648B6A9">
      <w:pPr>
        <w:ind w:firstLine="560" w:firstLineChars="200"/>
        <w:jc w:val="left"/>
        <w:outlineLvl w:val="9"/>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7C632130">
      <w:pPr>
        <w:rPr>
          <w:rFonts w:asciiTheme="minorEastAsia" w:hAnsiTheme="minorEastAsia" w:cstheme="minorEastAsia"/>
          <w:szCs w:val="21"/>
        </w:rPr>
      </w:pPr>
    </w:p>
    <w:p w14:paraId="4AC5A8A9">
      <w:pPr>
        <w:jc w:val="both"/>
        <w:rPr>
          <w:rFonts w:hint="eastAsia" w:ascii="宋体" w:hAnsi="宋体" w:eastAsia="宋体" w:cs="宋体"/>
          <w:b/>
          <w:bCs/>
          <w:color w:val="FF0000"/>
          <w:kern w:val="44"/>
          <w:sz w:val="44"/>
          <w:szCs w:val="44"/>
          <w:highlight w:val="none"/>
          <w:lang w:eastAsia="zh-CN"/>
        </w:rPr>
      </w:pPr>
    </w:p>
    <w:p w14:paraId="4748F82C">
      <w:pPr>
        <w:jc w:val="both"/>
        <w:rPr>
          <w:rFonts w:hint="eastAsia" w:ascii="宋体" w:hAnsi="宋体" w:eastAsia="宋体" w:cs="宋体"/>
          <w:b/>
          <w:bCs/>
          <w:color w:val="FF0000"/>
          <w:kern w:val="44"/>
          <w:sz w:val="44"/>
          <w:szCs w:val="44"/>
          <w:highlight w:val="none"/>
          <w:lang w:eastAsia="zh-CN"/>
        </w:rPr>
      </w:pPr>
    </w:p>
    <w:p w14:paraId="3AA58BAC">
      <w:pPr>
        <w:jc w:val="center"/>
        <w:rPr>
          <w:rFonts w:hint="eastAsia" w:ascii="宋体" w:hAnsi="宋体" w:eastAsia="宋体" w:cs="宋体"/>
          <w:b/>
          <w:bCs/>
          <w:color w:val="FF0000"/>
          <w:kern w:val="44"/>
          <w:sz w:val="44"/>
          <w:szCs w:val="44"/>
          <w:highlight w:val="none"/>
          <w:lang w:eastAsia="zh-CN"/>
        </w:rPr>
      </w:pPr>
    </w:p>
    <w:p w14:paraId="4E47FF13">
      <w:pPr>
        <w:jc w:val="center"/>
        <w:outlineLvl w:val="9"/>
        <w:rPr>
          <w:rFonts w:hint="eastAsia" w:ascii="宋体" w:hAnsi="宋体" w:eastAsia="宋体" w:cs="宋体"/>
          <w:b/>
          <w:bCs/>
          <w:color w:val="FF0000"/>
          <w:sz w:val="28"/>
          <w:szCs w:val="28"/>
          <w:highlight w:val="none"/>
          <w:lang w:val="en-US" w:eastAsia="zh-CN"/>
        </w:rPr>
      </w:pPr>
      <w:bookmarkStart w:id="0" w:name="_Toc3689"/>
      <w:bookmarkStart w:id="1" w:name="_Toc29098"/>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bookmarkEnd w:id="1"/>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179585CB">
      <w:pPr>
        <w:rPr>
          <w:rFonts w:asciiTheme="minorEastAsia" w:hAnsiTheme="minorEastAsia" w:cstheme="minorEastAsia"/>
          <w:szCs w:val="21"/>
        </w:rPr>
      </w:pPr>
    </w:p>
    <w:p w14:paraId="10E164FD">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538F311D">
      <w:pPr>
        <w:rPr>
          <w:rFonts w:hint="eastAsia" w:asciiTheme="minorEastAsia" w:hAnsiTheme="minorEastAsia" w:cstheme="minorEastAsia"/>
          <w:szCs w:val="21"/>
        </w:rPr>
      </w:pPr>
    </w:p>
    <w:p w14:paraId="1D12076D">
      <w:pPr>
        <w:rPr>
          <w:rFonts w:hint="eastAsia" w:asciiTheme="minorEastAsia" w:hAnsiTheme="minorEastAsia" w:cstheme="minorEastAsia"/>
          <w:szCs w:val="21"/>
        </w:rPr>
      </w:pPr>
    </w:p>
    <w:p w14:paraId="0592315D">
      <w:pPr>
        <w:rPr>
          <w:rFonts w:hint="eastAsia" w:asciiTheme="minorEastAsia" w:hAnsiTheme="minorEastAsia" w:cstheme="minorEastAsia"/>
          <w:szCs w:val="21"/>
        </w:rPr>
      </w:pPr>
    </w:p>
    <w:p w14:paraId="2277D1FB">
      <w:pPr>
        <w:rPr>
          <w:rFonts w:hint="eastAsia" w:asciiTheme="minorEastAsia" w:hAnsiTheme="minorEastAsia" w:cstheme="minorEastAsia"/>
          <w:szCs w:val="21"/>
        </w:rPr>
      </w:pPr>
    </w:p>
    <w:p w14:paraId="5A35ED88">
      <w:pPr>
        <w:rPr>
          <w:rFonts w:hint="eastAsia" w:asciiTheme="minorEastAsia" w:hAnsiTheme="minorEastAsia" w:cstheme="minorEastAsia"/>
          <w:szCs w:val="21"/>
        </w:rPr>
      </w:pPr>
    </w:p>
    <w:p w14:paraId="2FF3BF78">
      <w:pPr>
        <w:rPr>
          <w:rFonts w:hint="eastAsia" w:asciiTheme="minorEastAsia" w:hAnsiTheme="minorEastAsia" w:cstheme="minorEastAsia"/>
          <w:szCs w:val="21"/>
        </w:rPr>
      </w:pPr>
    </w:p>
    <w:p w14:paraId="135AA796">
      <w:pPr>
        <w:rPr>
          <w:rFonts w:hint="eastAsia" w:asciiTheme="minorEastAsia" w:hAnsiTheme="minorEastAsia" w:cstheme="minorEastAsia"/>
          <w:szCs w:val="21"/>
        </w:rPr>
      </w:pPr>
    </w:p>
    <w:p w14:paraId="189AF714">
      <w:pPr>
        <w:rPr>
          <w:rFonts w:hint="eastAsia" w:asciiTheme="minorEastAsia" w:hAnsiTheme="minorEastAsia" w:cstheme="minorEastAsia"/>
          <w:szCs w:val="21"/>
        </w:rPr>
      </w:pPr>
    </w:p>
    <w:p w14:paraId="01F3185B">
      <w:pPr>
        <w:rPr>
          <w:rFonts w:hint="eastAsia" w:asciiTheme="minorEastAsia" w:hAnsiTheme="minorEastAsia" w:cstheme="minorEastAsia"/>
          <w:szCs w:val="21"/>
        </w:rPr>
      </w:pPr>
    </w:p>
    <w:p w14:paraId="3AECDAA7">
      <w:pPr>
        <w:rPr>
          <w:rFonts w:hint="eastAsia" w:asciiTheme="minorEastAsia" w:hAnsiTheme="minorEastAsia" w:cstheme="minorEastAsia"/>
          <w:szCs w:val="21"/>
        </w:rPr>
      </w:pPr>
    </w:p>
    <w:p w14:paraId="0D29888F">
      <w:pPr>
        <w:keepNext/>
        <w:keepLines/>
        <w:jc w:val="both"/>
        <w:outlineLvl w:val="9"/>
        <w:rPr>
          <w:rFonts w:hint="eastAsia" w:ascii="宋体" w:hAnsi="宋体" w:eastAsia="宋体" w:cs="宋体"/>
          <w:b/>
          <w:bCs/>
          <w:color w:val="FF0000"/>
          <w:kern w:val="44"/>
          <w:sz w:val="44"/>
          <w:szCs w:val="44"/>
          <w:highlight w:val="none"/>
        </w:rPr>
      </w:pPr>
    </w:p>
    <w:p w14:paraId="0E26ACCF">
      <w:pPr>
        <w:keepNext/>
        <w:keepLines/>
        <w:jc w:val="both"/>
        <w:outlineLvl w:val="9"/>
        <w:rPr>
          <w:rFonts w:hint="eastAsia" w:ascii="宋体" w:hAnsi="宋体" w:eastAsia="宋体" w:cs="宋体"/>
          <w:b/>
          <w:bCs/>
          <w:color w:val="FF0000"/>
          <w:kern w:val="44"/>
          <w:sz w:val="44"/>
          <w:szCs w:val="44"/>
          <w:highlight w:val="none"/>
        </w:rPr>
      </w:pPr>
    </w:p>
    <w:p w14:paraId="47EFE977">
      <w:pPr>
        <w:ind w:firstLine="480" w:firstLineChars="200"/>
        <w:outlineLvl w:val="9"/>
        <w:rPr>
          <w:rFonts w:hint="eastAsia" w:ascii="宋体" w:hAnsi="宋体" w:eastAsia="宋体" w:cs="宋体"/>
          <w:color w:val="FF0000"/>
          <w:sz w:val="24"/>
          <w:highlight w:val="none"/>
        </w:rPr>
      </w:pPr>
    </w:p>
    <w:p w14:paraId="47ED932C">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47039B92">
      <w:pPr>
        <w:rPr>
          <w:rFonts w:hint="eastAsia" w:asciiTheme="minorEastAsia" w:hAnsiTheme="minorEastAsia" w:cstheme="minorEastAsia"/>
          <w:szCs w:val="21"/>
        </w:rPr>
      </w:pPr>
    </w:p>
    <w:p w14:paraId="7B13E3C0">
      <w:pPr>
        <w:rPr>
          <w:rFonts w:hint="eastAsia" w:asciiTheme="minorEastAsia" w:hAnsiTheme="minorEastAsia" w:cstheme="minorEastAsia"/>
          <w:szCs w:val="21"/>
        </w:rPr>
      </w:pPr>
    </w:p>
    <w:p w14:paraId="5A64B025">
      <w:pPr>
        <w:rPr>
          <w:rFonts w:hint="eastAsia" w:asciiTheme="minorEastAsia" w:hAnsiTheme="minorEastAsia" w:cstheme="minorEastAsia"/>
          <w:szCs w:val="21"/>
        </w:rPr>
      </w:pPr>
    </w:p>
    <w:p w14:paraId="34556B53">
      <w:pPr>
        <w:rPr>
          <w:rFonts w:hint="eastAsia" w:asciiTheme="minorEastAsia" w:hAnsiTheme="minorEastAsia" w:cstheme="minorEastAsia"/>
          <w:szCs w:val="21"/>
        </w:rPr>
      </w:pPr>
    </w:p>
    <w:p w14:paraId="63B3F4CA">
      <w:pPr>
        <w:rPr>
          <w:rFonts w:hint="eastAsia" w:asciiTheme="minorEastAsia" w:hAnsiTheme="minorEastAsia" w:cstheme="minorEastAsia"/>
          <w:szCs w:val="21"/>
        </w:rPr>
      </w:pPr>
    </w:p>
    <w:p w14:paraId="238999D2">
      <w:pPr>
        <w:rPr>
          <w:rFonts w:hint="eastAsia" w:asciiTheme="minorEastAsia" w:hAnsiTheme="minorEastAsia" w:cstheme="minorEastAsia"/>
          <w:szCs w:val="21"/>
        </w:rPr>
      </w:pPr>
    </w:p>
    <w:p w14:paraId="5EE83BD7">
      <w:pPr>
        <w:rPr>
          <w:rFonts w:hint="eastAsia" w:asciiTheme="minorEastAsia" w:hAnsiTheme="minorEastAsia" w:cstheme="minorEastAsia"/>
          <w:szCs w:val="21"/>
        </w:rPr>
      </w:pPr>
    </w:p>
    <w:p w14:paraId="1A7B06A3">
      <w:pPr>
        <w:rPr>
          <w:rFonts w:hint="eastAsia" w:asciiTheme="minorEastAsia" w:hAnsiTheme="minorEastAsia" w:cstheme="minorEastAsia"/>
          <w:szCs w:val="21"/>
        </w:rPr>
      </w:pPr>
    </w:p>
    <w:p w14:paraId="0BE9234F">
      <w:pPr>
        <w:rPr>
          <w:rFonts w:hint="eastAsia" w:asciiTheme="minorEastAsia" w:hAnsiTheme="minorEastAsia" w:cstheme="minorEastAsia"/>
          <w:szCs w:val="21"/>
        </w:rPr>
      </w:pPr>
    </w:p>
    <w:p w14:paraId="6AFB3A9E">
      <w:pPr>
        <w:rPr>
          <w:rFonts w:hint="eastAsia" w:asciiTheme="minorEastAsia" w:hAnsiTheme="minorEastAsia" w:cstheme="minorEastAsia"/>
          <w:szCs w:val="21"/>
        </w:rPr>
      </w:pPr>
    </w:p>
    <w:p w14:paraId="3251FB3B">
      <w:pPr>
        <w:rPr>
          <w:rFonts w:hint="eastAsia" w:asciiTheme="minorEastAsia" w:hAnsiTheme="minorEastAsia" w:cstheme="minorEastAsia"/>
          <w:szCs w:val="21"/>
        </w:rPr>
      </w:pPr>
    </w:p>
    <w:p w14:paraId="0EF5ADC6">
      <w:pPr>
        <w:rPr>
          <w:rFonts w:hint="eastAsia" w:asciiTheme="minorEastAsia" w:hAnsiTheme="minorEastAsia" w:cstheme="minorEastAsia"/>
          <w:szCs w:val="21"/>
        </w:rPr>
      </w:pPr>
    </w:p>
    <w:p w14:paraId="2CE665B9">
      <w:pPr>
        <w:rPr>
          <w:rFonts w:hint="eastAsia" w:asciiTheme="minorEastAsia" w:hAnsiTheme="minorEastAsia" w:cstheme="minorEastAsia"/>
          <w:szCs w:val="21"/>
        </w:rPr>
      </w:pPr>
    </w:p>
    <w:p w14:paraId="53D7BD1D">
      <w:pPr>
        <w:rPr>
          <w:rFonts w:hint="eastAsia" w:asciiTheme="minorEastAsia" w:hAnsiTheme="minorEastAsia" w:cstheme="minorEastAsia"/>
          <w:szCs w:val="21"/>
        </w:rPr>
      </w:pPr>
    </w:p>
    <w:p w14:paraId="6607EFBE">
      <w:pPr>
        <w:rPr>
          <w:rFonts w:hint="eastAsia" w:asciiTheme="minorEastAsia" w:hAnsiTheme="minorEastAsia" w:cstheme="minorEastAsia"/>
          <w:szCs w:val="21"/>
        </w:rPr>
      </w:pPr>
    </w:p>
    <w:p w14:paraId="3B8FF10C">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38395D03">
      <w:pPr>
        <w:jc w:val="center"/>
        <w:rPr>
          <w:rFonts w:hint="eastAsia" w:asciiTheme="minorEastAsia" w:hAnsiTheme="minorEastAsia" w:cstheme="minorEastAsia"/>
          <w:sz w:val="36"/>
          <w:szCs w:val="36"/>
          <w:lang w:val="en-US" w:eastAsia="zh-CN"/>
        </w:rPr>
      </w:pPr>
    </w:p>
    <w:p w14:paraId="4D764082">
      <w:pPr>
        <w:jc w:val="center"/>
        <w:rPr>
          <w:rFonts w:hint="eastAsia" w:asciiTheme="minorEastAsia" w:hAnsiTheme="minorEastAsia" w:cstheme="minorEastAsia"/>
          <w:sz w:val="36"/>
          <w:szCs w:val="36"/>
          <w:lang w:val="en-US" w:eastAsia="zh-CN"/>
        </w:rPr>
      </w:pPr>
    </w:p>
    <w:p w14:paraId="51B6ABE7">
      <w:pPr>
        <w:jc w:val="center"/>
        <w:rPr>
          <w:rFonts w:hint="eastAsia" w:asciiTheme="minorEastAsia" w:hAnsiTheme="minorEastAsia" w:cstheme="minorEastAsia"/>
          <w:sz w:val="36"/>
          <w:szCs w:val="36"/>
          <w:lang w:val="en-US" w:eastAsia="zh-CN"/>
        </w:rPr>
      </w:pPr>
    </w:p>
    <w:p w14:paraId="193D958E">
      <w:pPr>
        <w:jc w:val="both"/>
        <w:rPr>
          <w:rFonts w:hint="eastAsia" w:asciiTheme="minorEastAsia" w:hAnsiTheme="minorEastAsia" w:cstheme="minorEastAsia"/>
          <w:sz w:val="36"/>
          <w:szCs w:val="36"/>
          <w:lang w:val="en-US" w:eastAsia="zh-CN"/>
        </w:rPr>
      </w:pPr>
    </w:p>
    <w:sdt>
      <w:sdtPr>
        <w:rPr>
          <w:rFonts w:ascii="宋体" w:hAnsi="宋体" w:eastAsia="宋体" w:cstheme="minorBidi"/>
          <w:kern w:val="2"/>
          <w:sz w:val="52"/>
          <w:szCs w:val="60"/>
          <w:lang w:val="en-US" w:eastAsia="zh-CN" w:bidi="ar-SA"/>
        </w:rPr>
        <w:id w:val="147469591"/>
        <w15:color w:val="DBDBDB"/>
        <w:docPartObj>
          <w:docPartGallery w:val="Table of Contents"/>
          <w:docPartUnique/>
        </w:docPartObj>
      </w:sdtPr>
      <w:sdtEndPr>
        <w:rPr>
          <w:rFonts w:hint="eastAsia" w:asciiTheme="majorEastAsia" w:hAnsiTheme="majorEastAsia" w:eastAsiaTheme="majorEastAsia" w:cstheme="majorEastAsia"/>
          <w:kern w:val="2"/>
          <w:sz w:val="36"/>
          <w:szCs w:val="44"/>
          <w:lang w:val="en-US" w:eastAsia="zh-CN" w:bidi="ar-SA"/>
        </w:rPr>
      </w:sdtEndPr>
      <w:sdtContent>
        <w:p w14:paraId="2B4FFD52">
          <w:pPr>
            <w:spacing w:before="0" w:beforeLines="0" w:after="0" w:afterLines="0" w:line="240" w:lineRule="auto"/>
            <w:ind w:left="0" w:leftChars="0" w:right="0" w:rightChars="0" w:firstLine="0" w:firstLineChars="0"/>
            <w:jc w:val="center"/>
            <w:rPr>
              <w:sz w:val="52"/>
              <w:szCs w:val="60"/>
            </w:rPr>
          </w:pPr>
          <w:r>
            <w:rPr>
              <w:rFonts w:ascii="宋体" w:hAnsi="宋体" w:eastAsia="宋体"/>
              <w:sz w:val="52"/>
              <w:szCs w:val="60"/>
            </w:rPr>
            <w:t>目录</w:t>
          </w:r>
        </w:p>
        <w:p w14:paraId="025925AB">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TOC \o "1-1" \h \u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_Toc27897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第一章 综合评分表</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_Toc27897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6</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1C2C024F">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_Toc16421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第二章 招标公告</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_Toc16421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10</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3B83435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_Toc27909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第三章 用户需求书</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_Toc27909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13</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0E83D99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_Toc113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 xml:space="preserve">第四章 </w:t>
          </w:r>
          <w:r>
            <w:rPr>
              <w:rFonts w:hint="eastAsia" w:asciiTheme="majorEastAsia" w:hAnsiTheme="majorEastAsia" w:eastAsiaTheme="majorEastAsia" w:cstheme="majorEastAsia"/>
              <w:sz w:val="36"/>
              <w:szCs w:val="52"/>
            </w:rPr>
            <w:t>开标、评标、定标</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_Toc113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16</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788C09A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_Toc14800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第五章 </w:t>
          </w:r>
          <w:r>
            <w:rPr>
              <w:rFonts w:hint="eastAsia" w:asciiTheme="majorEastAsia" w:hAnsiTheme="majorEastAsia" w:eastAsiaTheme="majorEastAsia" w:cstheme="majorEastAsia"/>
              <w:sz w:val="36"/>
              <w:szCs w:val="52"/>
            </w:rPr>
            <w:t>投标文件</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52"/>
              <w:lang w:val="en-US" w:eastAsia="zh-CN"/>
            </w:rPr>
            <w:t>编制</w:t>
          </w:r>
          <w:r>
            <w:rPr>
              <w:rFonts w:hint="eastAsia" w:asciiTheme="majorEastAsia" w:hAnsiTheme="majorEastAsia" w:eastAsiaTheme="majorEastAsia" w:cstheme="majorEastAsia"/>
              <w:sz w:val="36"/>
              <w:szCs w:val="52"/>
            </w:rPr>
            <w:t>参考</w:t>
          </w:r>
          <w:r>
            <w:rPr>
              <w:rFonts w:hint="eastAsia" w:asciiTheme="majorEastAsia" w:hAnsiTheme="majorEastAsia" w:eastAsiaTheme="majorEastAsia" w:cstheme="majorEastAsia"/>
              <w:sz w:val="36"/>
              <w:szCs w:val="52"/>
              <w:lang w:val="en-US" w:eastAsia="zh-CN"/>
            </w:rPr>
            <w:t>模板</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_Toc14800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22</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4FD02B4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_Toc21111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第六章 </w:t>
          </w:r>
          <w:r>
            <w:rPr>
              <w:rFonts w:hint="eastAsia" w:asciiTheme="majorEastAsia" w:hAnsiTheme="majorEastAsia" w:eastAsiaTheme="majorEastAsia" w:cstheme="majorEastAsia"/>
              <w:sz w:val="36"/>
              <w:szCs w:val="52"/>
              <w:lang w:eastAsia="zh-TW"/>
            </w:rPr>
            <w:t>说 明</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_Toc21111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58</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50CEB7C1">
          <w:pPr>
            <w:rPr>
              <w:rFonts w:hint="eastAsia" w:asciiTheme="majorEastAsia" w:hAnsiTheme="majorEastAsia" w:eastAsiaTheme="majorEastAsia" w:cstheme="majorEastAsia"/>
              <w:kern w:val="2"/>
              <w:sz w:val="36"/>
              <w:szCs w:val="44"/>
              <w:lang w:val="en-US" w:eastAsia="zh-CN" w:bidi="ar-SA"/>
            </w:rPr>
          </w:pPr>
          <w:r>
            <w:rPr>
              <w:rFonts w:hint="eastAsia" w:asciiTheme="majorEastAsia" w:hAnsiTheme="majorEastAsia" w:eastAsiaTheme="majorEastAsia" w:cstheme="majorEastAsia"/>
              <w:kern w:val="2"/>
              <w:sz w:val="36"/>
              <w:szCs w:val="44"/>
              <w:lang w:val="en-US" w:eastAsia="zh-CN" w:bidi="ar-SA"/>
            </w:rPr>
            <w:fldChar w:fldCharType="end"/>
          </w:r>
        </w:p>
      </w:sdtContent>
    </w:sdt>
    <w:p w14:paraId="5BBB0E65">
      <w:pPr>
        <w:rPr>
          <w:rFonts w:asciiTheme="minorHAnsi" w:hAnsiTheme="minorHAnsi" w:eastAsiaTheme="minorEastAsia" w:cstheme="minorBidi"/>
          <w:kern w:val="2"/>
          <w:sz w:val="21"/>
          <w:szCs w:val="24"/>
          <w:lang w:val="en-US" w:eastAsia="zh-CN" w:bidi="ar-SA"/>
        </w:rPr>
      </w:pPr>
    </w:p>
    <w:p w14:paraId="0CF51C02"/>
    <w:p w14:paraId="2EC45284">
      <w:pPr>
        <w:pStyle w:val="3"/>
        <w:numPr>
          <w:ilvl w:val="0"/>
          <w:numId w:val="0"/>
        </w:numPr>
        <w:spacing w:line="240" w:lineRule="auto"/>
        <w:ind w:left="0" w:leftChars="0" w:firstLine="0" w:firstLineChars="0"/>
        <w:jc w:val="both"/>
        <w:outlineLvl w:val="9"/>
        <w:rPr>
          <w:rFonts w:hint="eastAsia" w:cs="宋体" w:asciiTheme="majorEastAsia" w:hAnsiTheme="majorEastAsia" w:eastAsiaTheme="majorEastAsia"/>
          <w:kern w:val="2"/>
          <w:sz w:val="32"/>
          <w:szCs w:val="32"/>
          <w:lang w:val="en-US" w:eastAsia="zh-CN" w:bidi="ar-SA"/>
        </w:rPr>
      </w:pPr>
      <w:r>
        <w:br w:type="page"/>
      </w:r>
      <w:bookmarkStart w:id="2" w:name="_Toc28823"/>
      <w:bookmarkStart w:id="3" w:name="_Toc24015566"/>
    </w:p>
    <w:bookmarkEnd w:id="2"/>
    <w:bookmarkEnd w:id="3"/>
    <w:p w14:paraId="549DA7AA">
      <w:pPr>
        <w:widowControl/>
        <w:numPr>
          <w:ilvl w:val="0"/>
          <w:numId w:val="2"/>
        </w:numPr>
        <w:ind w:firstLine="640" w:firstLineChars="200"/>
        <w:jc w:val="center"/>
        <w:outlineLvl w:val="0"/>
        <w:rPr>
          <w:rFonts w:hint="eastAsia" w:cs="宋体" w:asciiTheme="majorEastAsia" w:hAnsiTheme="majorEastAsia" w:eastAsiaTheme="majorEastAsia"/>
          <w:kern w:val="2"/>
          <w:sz w:val="32"/>
          <w:szCs w:val="32"/>
          <w:lang w:val="en-US" w:eastAsia="zh-CN" w:bidi="ar-SA"/>
        </w:rPr>
      </w:pPr>
      <w:bookmarkStart w:id="4" w:name="_Toc27897"/>
      <w:r>
        <w:rPr>
          <w:rFonts w:hint="eastAsia" w:cs="宋体" w:asciiTheme="majorEastAsia" w:hAnsiTheme="majorEastAsia" w:eastAsiaTheme="majorEastAsia"/>
          <w:kern w:val="2"/>
          <w:sz w:val="32"/>
          <w:szCs w:val="32"/>
          <w:lang w:val="en-US" w:eastAsia="zh-CN" w:bidi="ar-SA"/>
        </w:rPr>
        <w:t>综合评分表</w:t>
      </w:r>
      <w:bookmarkEnd w:id="4"/>
    </w:p>
    <w:tbl>
      <w:tblPr>
        <w:tblStyle w:val="16"/>
        <w:tblW w:w="9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647"/>
        <w:gridCol w:w="7443"/>
        <w:gridCol w:w="702"/>
      </w:tblGrid>
      <w:tr w14:paraId="0C03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829" w:type="dxa"/>
            <w:gridSpan w:val="4"/>
            <w:tcBorders>
              <w:top w:val="nil"/>
              <w:left w:val="nil"/>
              <w:bottom w:val="nil"/>
              <w:right w:val="nil"/>
            </w:tcBorders>
            <w:shd w:val="clear" w:color="auto" w:fill="auto"/>
            <w:noWrap/>
            <w:vAlign w:val="center"/>
          </w:tcPr>
          <w:p w14:paraId="22B43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27"/>
                <w:sz w:val="21"/>
                <w:szCs w:val="21"/>
                <w:lang w:val="en-US" w:eastAsia="zh-CN" w:bidi="ar"/>
              </w:rPr>
              <w:t>项目名称：                         招标编号：</w:t>
            </w:r>
          </w:p>
        </w:tc>
      </w:tr>
      <w:tr w14:paraId="3E15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0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评分项目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6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3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评分因素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D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r>
      <w:tr w14:paraId="43AF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bottom w:val="nil"/>
              <w:right w:val="single" w:color="000000" w:sz="4" w:space="0"/>
            </w:tcBorders>
            <w:shd w:val="clear" w:color="auto" w:fill="auto"/>
            <w:vAlign w:val="center"/>
          </w:tcPr>
          <w:p w14:paraId="4928A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A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18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技术参数响应情况                                                               投标供应商应如实填写《技术规格偏离表》，评审委员会根据技术需求参数响应情况进行打分，每1项负偏离的，扣1分；扣完为止。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5C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r>
      <w:tr w14:paraId="598F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73041C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63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6A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重要技术参数响应评分                                                                投标供应商应如实填写《技术规格偏离表》，评审委员会根据技术需求参数响应情况进行打分，每1项负偏离的，扣4分；扣完为止。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79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r>
      <w:tr w14:paraId="47BE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7"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679023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6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DF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技术保障措施</w:t>
            </w:r>
          </w:p>
          <w:p w14:paraId="7D17F4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投标人在投标文件中提供技术保障措施，评分标准：</w:t>
            </w:r>
          </w:p>
          <w:p w14:paraId="6609C1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1.安装售后服务保障</w:t>
            </w:r>
          </w:p>
          <w:p w14:paraId="5FBAF8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2.紧急情况相应程度</w:t>
            </w:r>
          </w:p>
          <w:p w14:paraId="141FA3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3.人员培训措施综合评价</w:t>
            </w:r>
          </w:p>
          <w:p w14:paraId="79261A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每提供一项得1分，最高不超过3分。</w:t>
            </w:r>
          </w:p>
          <w:p w14:paraId="57C736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在此基础上，专家根据各供应商的具体响应内容进一步评审，评审标准如下：</w:t>
            </w:r>
          </w:p>
          <w:p w14:paraId="77CDAB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(1)所投产品的安装售后服务保障、紧急情况响应程度、人员培训措施内容全面，得4分，</w:t>
            </w:r>
          </w:p>
          <w:p w14:paraId="61A53E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(2)所投产品的安装售后服务保障、紧急情况响应程度、人员培训措施评价较为内容全面，得2分，</w:t>
            </w:r>
          </w:p>
          <w:p w14:paraId="74049A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(3)所投产品的安装售后服务保障、紧急情况响应程度、人员培训措施评价一般，得1分，</w:t>
            </w:r>
          </w:p>
          <w:p w14:paraId="0BDFFA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(4)所投产品的安装售后服务保障、紧急情况响应程度、人员培训措施评价差，不得分。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4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195E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right w:val="single" w:color="000000" w:sz="4" w:space="0"/>
            </w:tcBorders>
            <w:shd w:val="clear" w:color="auto" w:fill="auto"/>
            <w:vAlign w:val="center"/>
          </w:tcPr>
          <w:p w14:paraId="2663C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2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6E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有效业绩                                                                        提供1项有效业绩的，得1分；以此类推，最高不超过3分。不提供或者不能有效证明的，得0分。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有效业绩定义：（同时满足以下全部要求同类业绩才属于有效业绩）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1.为投标供应商所投产品的同类业绩。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2.合同签订时间为2023年1月1日至投标截止时间前。</w:t>
            </w:r>
          </w:p>
          <w:p w14:paraId="411884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3.合同、中标通知书、发票等证明文件必须是以该投标人出具的。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供应商必须提供项目合同或中标通知书复印件，未提供或无法判断则不得分，原件备查。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3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F5F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33E6AF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4B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10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履约评价</w:t>
            </w:r>
          </w:p>
          <w:p w14:paraId="304408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投标人提供上述同类项目业绩中，能够提供用户出具的履约评书，且评价为优或满意以上的，每提供1份得1分，本项最高得3分。</w:t>
            </w:r>
          </w:p>
          <w:p w14:paraId="372752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3EA45D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须提供用户出具的履约评价书扫描件或复印件，并加盖用户公章，原件备查。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1A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14:paraId="4AF9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7FF657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E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F7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延长质保期                                                                      在满足免费保修期（3年质保期）基础上，承诺每延长1年加1分，最高2分。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p>
          <w:p w14:paraId="16777C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提供延长免费保修期的承诺函（格式自拟），未提供或无法判断则不得分。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6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25A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bottom w:val="nil"/>
              <w:right w:val="single" w:color="000000" w:sz="4" w:space="0"/>
            </w:tcBorders>
            <w:shd w:val="clear" w:color="auto" w:fill="auto"/>
            <w:vAlign w:val="center"/>
          </w:tcPr>
          <w:p w14:paraId="3A7A0E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B3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FC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诚信</w:t>
            </w:r>
          </w:p>
          <w:p w14:paraId="47D171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投标人在参与政府采购活动中存在诚信相关问题且在主管部门相关处理措施实施期限内的；投标人存在《深圳市财政局 政府采购供应商信用信息管理办法》（深财规〔2023〕3号）列明的一般行政处罚信息、一般违法失信记录信息的，本项不得分，否则得满分。</w:t>
            </w:r>
          </w:p>
          <w:p w14:paraId="287363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2380428D">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投标人无需提供任何证明材料，由工作人员向评审委员会提供相关信息。</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6F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r>
      <w:tr w14:paraId="7860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E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9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2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采用低价优先法计算，即满足招标文件要求且投标价格最低的投标报价为评标基准价，其价格分为满分。其他投标人的价格分统一按照下列公式计算： </w:t>
            </w:r>
          </w:p>
          <w:p w14:paraId="0C6EF8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投标报价得分=(评标基准价／投标报价)×30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7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C2B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9C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F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14:paraId="3E733A93">
      <w:pPr>
        <w:widowControl/>
        <w:jc w:val="left"/>
        <w:rPr>
          <w:rFonts w:hint="eastAsia" w:ascii="宋体" w:cs="宋体"/>
          <w:snapToGrid w:val="0"/>
          <w:kern w:val="0"/>
        </w:rPr>
      </w:pPr>
      <w:r>
        <w:rPr>
          <w:rFonts w:hint="eastAsia" w:ascii="宋体" w:cs="宋体"/>
          <w:snapToGrid w:val="0"/>
          <w:kern w:val="0"/>
        </w:rPr>
        <w:t>备注：招标文件要求提交的与评价指标体系相关的各类有效资料，投标人如未按要求提交的，该项评分为零分。</w:t>
      </w:r>
    </w:p>
    <w:p w14:paraId="6435363A">
      <w:pPr>
        <w:widowControl/>
        <w:jc w:val="left"/>
        <w:rPr>
          <w:rFonts w:hint="eastAsia" w:ascii="宋体" w:cs="宋体"/>
          <w:snapToGrid w:val="0"/>
          <w:kern w:val="0"/>
        </w:rPr>
      </w:pPr>
    </w:p>
    <w:p w14:paraId="7FAC5CF9">
      <w:pPr>
        <w:widowControl/>
        <w:jc w:val="left"/>
        <w:rPr>
          <w:rFonts w:hint="eastAsia" w:ascii="宋体" w:cs="宋体"/>
          <w:snapToGrid w:val="0"/>
          <w:kern w:val="0"/>
        </w:rPr>
      </w:pPr>
    </w:p>
    <w:p w14:paraId="521C6A40">
      <w:pPr>
        <w:widowControl/>
        <w:jc w:val="left"/>
        <w:rPr>
          <w:rFonts w:hint="eastAsia" w:ascii="宋体" w:cs="宋体"/>
          <w:snapToGrid w:val="0"/>
          <w:kern w:val="0"/>
        </w:rPr>
      </w:pPr>
    </w:p>
    <w:p w14:paraId="06190832">
      <w:pPr>
        <w:widowControl/>
        <w:jc w:val="left"/>
        <w:rPr>
          <w:rFonts w:hint="eastAsia" w:ascii="宋体" w:cs="宋体"/>
          <w:snapToGrid w:val="0"/>
          <w:kern w:val="0"/>
        </w:rPr>
      </w:pPr>
    </w:p>
    <w:p w14:paraId="472306B9">
      <w:pPr>
        <w:widowControl/>
        <w:jc w:val="left"/>
        <w:rPr>
          <w:rFonts w:hint="eastAsia" w:ascii="宋体" w:cs="宋体"/>
          <w:snapToGrid w:val="0"/>
          <w:kern w:val="0"/>
        </w:rPr>
      </w:pPr>
    </w:p>
    <w:p w14:paraId="6B9FED75">
      <w:pPr>
        <w:widowControl/>
        <w:jc w:val="left"/>
        <w:rPr>
          <w:rFonts w:hint="eastAsia" w:ascii="宋体" w:cs="宋体"/>
          <w:snapToGrid w:val="0"/>
          <w:kern w:val="0"/>
        </w:rPr>
      </w:pPr>
    </w:p>
    <w:p w14:paraId="5884F5C0">
      <w:pPr>
        <w:widowControl/>
        <w:jc w:val="left"/>
        <w:rPr>
          <w:rFonts w:hint="eastAsia" w:ascii="宋体" w:cs="宋体"/>
          <w:snapToGrid w:val="0"/>
          <w:kern w:val="0"/>
        </w:rPr>
      </w:pPr>
    </w:p>
    <w:p w14:paraId="501FB820">
      <w:pPr>
        <w:widowControl/>
        <w:jc w:val="left"/>
        <w:rPr>
          <w:rFonts w:hint="eastAsia" w:ascii="宋体" w:cs="宋体"/>
          <w:snapToGrid w:val="0"/>
          <w:kern w:val="0"/>
        </w:rPr>
      </w:pPr>
    </w:p>
    <w:p w14:paraId="4C76C92A">
      <w:pPr>
        <w:widowControl/>
        <w:jc w:val="left"/>
        <w:rPr>
          <w:rFonts w:hint="eastAsia" w:ascii="宋体" w:cs="宋体"/>
          <w:snapToGrid w:val="0"/>
          <w:kern w:val="0"/>
        </w:rPr>
      </w:pPr>
    </w:p>
    <w:p w14:paraId="5B5E2F15">
      <w:pPr>
        <w:widowControl/>
        <w:jc w:val="left"/>
        <w:rPr>
          <w:rFonts w:hint="eastAsia" w:ascii="宋体" w:cs="宋体"/>
          <w:snapToGrid w:val="0"/>
          <w:kern w:val="0"/>
        </w:rPr>
      </w:pPr>
    </w:p>
    <w:p w14:paraId="034C2B92">
      <w:pPr>
        <w:widowControl/>
        <w:jc w:val="left"/>
        <w:rPr>
          <w:rFonts w:hint="eastAsia" w:ascii="宋体" w:cs="宋体"/>
          <w:snapToGrid w:val="0"/>
          <w:kern w:val="0"/>
        </w:rPr>
      </w:pPr>
    </w:p>
    <w:p w14:paraId="47B59301">
      <w:pPr>
        <w:widowControl/>
        <w:jc w:val="left"/>
        <w:rPr>
          <w:rFonts w:hint="eastAsia" w:ascii="宋体" w:cs="宋体"/>
          <w:snapToGrid w:val="0"/>
          <w:kern w:val="0"/>
        </w:rPr>
      </w:pPr>
    </w:p>
    <w:p w14:paraId="18160263">
      <w:pPr>
        <w:widowControl/>
        <w:jc w:val="left"/>
        <w:rPr>
          <w:rFonts w:hint="eastAsia" w:ascii="宋体" w:cs="宋体"/>
          <w:snapToGrid w:val="0"/>
          <w:kern w:val="0"/>
        </w:rPr>
      </w:pPr>
    </w:p>
    <w:p w14:paraId="2ECDB819">
      <w:pPr>
        <w:widowControl/>
        <w:jc w:val="left"/>
        <w:rPr>
          <w:rFonts w:hint="eastAsia" w:ascii="宋体" w:cs="宋体"/>
          <w:snapToGrid w:val="0"/>
          <w:kern w:val="0"/>
        </w:rPr>
      </w:pPr>
    </w:p>
    <w:p w14:paraId="3F39DACF">
      <w:pPr>
        <w:widowControl/>
        <w:jc w:val="left"/>
        <w:rPr>
          <w:rFonts w:hint="eastAsia" w:ascii="宋体" w:cs="宋体"/>
          <w:snapToGrid w:val="0"/>
          <w:kern w:val="0"/>
        </w:rPr>
      </w:pPr>
    </w:p>
    <w:p w14:paraId="3B0DF469">
      <w:pPr>
        <w:widowControl/>
        <w:jc w:val="left"/>
        <w:rPr>
          <w:rFonts w:hint="eastAsia" w:ascii="宋体" w:cs="宋体"/>
          <w:snapToGrid w:val="0"/>
          <w:kern w:val="0"/>
        </w:rPr>
      </w:pPr>
    </w:p>
    <w:p w14:paraId="7936A017">
      <w:pPr>
        <w:widowControl/>
        <w:jc w:val="left"/>
        <w:rPr>
          <w:rFonts w:hint="eastAsia" w:ascii="宋体" w:cs="宋体"/>
          <w:snapToGrid w:val="0"/>
          <w:kern w:val="0"/>
        </w:rPr>
      </w:pPr>
    </w:p>
    <w:p w14:paraId="2C368AE4">
      <w:pPr>
        <w:widowControl/>
        <w:jc w:val="left"/>
        <w:rPr>
          <w:rFonts w:hint="eastAsia" w:ascii="宋体" w:cs="宋体"/>
          <w:snapToGrid w:val="0"/>
          <w:kern w:val="0"/>
        </w:rPr>
      </w:pPr>
    </w:p>
    <w:p w14:paraId="541605B7">
      <w:pPr>
        <w:widowControl/>
        <w:jc w:val="left"/>
        <w:rPr>
          <w:rFonts w:hint="eastAsia" w:ascii="宋体" w:cs="宋体"/>
          <w:snapToGrid w:val="0"/>
          <w:kern w:val="0"/>
        </w:rPr>
      </w:pPr>
    </w:p>
    <w:p w14:paraId="4D5860BD">
      <w:pPr>
        <w:widowControl/>
        <w:jc w:val="left"/>
        <w:rPr>
          <w:rFonts w:hint="eastAsia" w:ascii="宋体" w:cs="宋体"/>
          <w:snapToGrid w:val="0"/>
          <w:kern w:val="0"/>
        </w:rPr>
      </w:pPr>
    </w:p>
    <w:p w14:paraId="15BCC94D">
      <w:pPr>
        <w:widowControl/>
        <w:jc w:val="left"/>
        <w:rPr>
          <w:rFonts w:hint="eastAsia" w:ascii="宋体" w:cs="宋体"/>
          <w:snapToGrid w:val="0"/>
          <w:kern w:val="0"/>
        </w:rPr>
      </w:pPr>
    </w:p>
    <w:p w14:paraId="42F6C424">
      <w:pPr>
        <w:widowControl/>
        <w:jc w:val="left"/>
        <w:rPr>
          <w:rFonts w:hint="eastAsia" w:ascii="宋体" w:cs="宋体"/>
          <w:snapToGrid w:val="0"/>
          <w:kern w:val="0"/>
        </w:rPr>
      </w:pPr>
    </w:p>
    <w:p w14:paraId="5F7E00AB">
      <w:pPr>
        <w:widowControl/>
        <w:jc w:val="left"/>
        <w:rPr>
          <w:rFonts w:hint="eastAsia" w:ascii="宋体" w:cs="宋体"/>
          <w:snapToGrid w:val="0"/>
          <w:kern w:val="0"/>
        </w:rPr>
      </w:pPr>
    </w:p>
    <w:p w14:paraId="16309AA4">
      <w:pPr>
        <w:widowControl/>
        <w:jc w:val="left"/>
        <w:rPr>
          <w:rFonts w:hint="eastAsia" w:ascii="宋体" w:cs="宋体"/>
          <w:snapToGrid w:val="0"/>
          <w:kern w:val="0"/>
        </w:rPr>
      </w:pPr>
    </w:p>
    <w:p w14:paraId="4A2149EB">
      <w:pPr>
        <w:widowControl/>
        <w:jc w:val="left"/>
        <w:rPr>
          <w:rFonts w:hint="eastAsia" w:ascii="宋体" w:cs="宋体"/>
          <w:snapToGrid w:val="0"/>
          <w:kern w:val="0"/>
        </w:rPr>
      </w:pPr>
    </w:p>
    <w:p w14:paraId="66F24A15">
      <w:pPr>
        <w:widowControl/>
        <w:jc w:val="left"/>
        <w:rPr>
          <w:rFonts w:hint="eastAsia" w:ascii="宋体" w:cs="宋体"/>
          <w:snapToGrid w:val="0"/>
          <w:kern w:val="0"/>
        </w:rPr>
      </w:pPr>
    </w:p>
    <w:p w14:paraId="483038EC">
      <w:pPr>
        <w:widowControl/>
        <w:jc w:val="left"/>
        <w:rPr>
          <w:rFonts w:hint="eastAsia" w:ascii="宋体" w:cs="宋体"/>
          <w:snapToGrid w:val="0"/>
          <w:kern w:val="0"/>
        </w:rPr>
      </w:pPr>
    </w:p>
    <w:p w14:paraId="468CB623">
      <w:pPr>
        <w:widowControl/>
        <w:jc w:val="left"/>
        <w:rPr>
          <w:rFonts w:hint="eastAsia" w:ascii="宋体" w:cs="宋体"/>
          <w:snapToGrid w:val="0"/>
          <w:kern w:val="0"/>
        </w:rPr>
      </w:pPr>
    </w:p>
    <w:p w14:paraId="3F8F5A74">
      <w:pPr>
        <w:widowControl/>
        <w:jc w:val="left"/>
        <w:rPr>
          <w:rFonts w:hint="eastAsia" w:ascii="宋体" w:cs="宋体"/>
          <w:snapToGrid w:val="0"/>
          <w:kern w:val="0"/>
        </w:rPr>
      </w:pPr>
    </w:p>
    <w:p w14:paraId="413A7A8C">
      <w:pPr>
        <w:widowControl/>
        <w:jc w:val="left"/>
        <w:rPr>
          <w:rFonts w:hint="eastAsia" w:ascii="宋体" w:cs="宋体"/>
          <w:snapToGrid w:val="0"/>
          <w:kern w:val="0"/>
        </w:rPr>
      </w:pPr>
    </w:p>
    <w:p w14:paraId="1CF88144">
      <w:pPr>
        <w:widowControl/>
        <w:jc w:val="left"/>
        <w:rPr>
          <w:rFonts w:hint="eastAsia" w:ascii="宋体" w:cs="宋体"/>
          <w:snapToGrid w:val="0"/>
          <w:kern w:val="0"/>
        </w:rPr>
      </w:pPr>
    </w:p>
    <w:p w14:paraId="73316491">
      <w:pPr>
        <w:widowControl/>
        <w:jc w:val="left"/>
        <w:rPr>
          <w:rFonts w:hint="eastAsia" w:ascii="宋体" w:cs="宋体"/>
          <w:snapToGrid w:val="0"/>
          <w:kern w:val="0"/>
        </w:rPr>
      </w:pPr>
    </w:p>
    <w:p w14:paraId="363E7F86">
      <w:pPr>
        <w:widowControl/>
        <w:jc w:val="left"/>
        <w:rPr>
          <w:rFonts w:hint="eastAsia" w:ascii="宋体" w:cs="宋体"/>
          <w:snapToGrid w:val="0"/>
          <w:kern w:val="0"/>
        </w:rPr>
      </w:pPr>
    </w:p>
    <w:p w14:paraId="4FFB062A">
      <w:pPr>
        <w:widowControl/>
        <w:jc w:val="left"/>
        <w:rPr>
          <w:rFonts w:hint="eastAsia" w:ascii="宋体" w:cs="宋体"/>
          <w:snapToGrid w:val="0"/>
          <w:kern w:val="0"/>
        </w:rPr>
      </w:pPr>
    </w:p>
    <w:p w14:paraId="17A58841">
      <w:pPr>
        <w:widowControl/>
        <w:jc w:val="left"/>
        <w:rPr>
          <w:rFonts w:hint="eastAsia" w:ascii="宋体" w:cs="宋体"/>
          <w:snapToGrid w:val="0"/>
          <w:kern w:val="0"/>
        </w:rPr>
      </w:pPr>
    </w:p>
    <w:p w14:paraId="153AF54F">
      <w:pPr>
        <w:widowControl/>
        <w:jc w:val="left"/>
        <w:rPr>
          <w:rFonts w:hint="eastAsia" w:ascii="宋体" w:cs="宋体"/>
          <w:snapToGrid w:val="0"/>
          <w:kern w:val="0"/>
        </w:rPr>
      </w:pPr>
    </w:p>
    <w:p w14:paraId="5B6B71F7">
      <w:pPr>
        <w:widowControl/>
        <w:jc w:val="center"/>
        <w:outlineLvl w:val="0"/>
        <w:rPr>
          <w:rFonts w:ascii="黑体" w:hAnsi="宋体" w:eastAsia="黑体" w:cs="宋体"/>
          <w:sz w:val="28"/>
          <w:szCs w:val="28"/>
        </w:rPr>
      </w:pPr>
      <w:r>
        <w:rPr>
          <w:rFonts w:hint="eastAsia" w:ascii="黑体" w:hAnsi="宋体" w:eastAsia="黑体" w:cs="宋体"/>
          <w:sz w:val="28"/>
          <w:szCs w:val="28"/>
          <w:lang w:bidi="ar"/>
        </w:rPr>
        <w:t>政策功能</w:t>
      </w:r>
    </w:p>
    <w:p w14:paraId="3FEA3BEB">
      <w:pPr>
        <w:pStyle w:val="15"/>
        <w:widowControl/>
        <w:ind w:left="-2" w:leftChars="-7" w:hanging="13" w:hangingChars="6"/>
        <w:jc w:val="center"/>
        <w:outlineLvl w:val="0"/>
        <w:rPr>
          <w:b/>
          <w:bCs/>
        </w:rPr>
      </w:pPr>
      <w:r>
        <w:rPr>
          <w:rFonts w:hint="eastAsia" w:cs="宋体"/>
          <w:b/>
          <w:bCs/>
        </w:rPr>
        <w:t>价格扣除</w:t>
      </w:r>
    </w:p>
    <w:p w14:paraId="600B1499">
      <w:pPr>
        <w:numPr>
          <w:ilvl w:val="0"/>
          <w:numId w:val="3"/>
        </w:numPr>
        <w:tabs>
          <w:tab w:val="left" w:pos="567"/>
        </w:tabs>
        <w:spacing w:line="360" w:lineRule="auto"/>
        <w:outlineLvl w:val="9"/>
        <w:rPr>
          <w:rFonts w:ascii="宋体" w:hAnsi="宋体" w:cs="宋体"/>
          <w:szCs w:val="21"/>
        </w:rPr>
      </w:pPr>
      <w:r>
        <w:rPr>
          <w:rFonts w:hint="eastAsia" w:ascii="宋体" w:hAnsi="宋体" w:cs="宋体"/>
          <w:szCs w:val="21"/>
          <w:lang w:bidi="ar"/>
        </w:rPr>
        <w:t>小型和微型企业产品价格扣除</w:t>
      </w:r>
    </w:p>
    <w:p w14:paraId="6EB15D5D">
      <w:pPr>
        <w:numPr>
          <w:ilvl w:val="1"/>
          <w:numId w:val="3"/>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3"/>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3"/>
        </w:numPr>
        <w:spacing w:line="360" w:lineRule="auto"/>
        <w:ind w:left="567" w:hanging="567"/>
        <w:outlineLvl w:val="9"/>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3"/>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3"/>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3"/>
        </w:numPr>
        <w:spacing w:line="360" w:lineRule="auto"/>
        <w:outlineLvl w:val="9"/>
        <w:rPr>
          <w:rFonts w:ascii="宋体" w:hAnsi="宋体" w:cs="宋体"/>
          <w:szCs w:val="21"/>
        </w:rPr>
      </w:pPr>
      <w:r>
        <w:rPr>
          <w:rFonts w:hint="eastAsia" w:ascii="宋体" w:hAnsi="宋体" w:cs="宋体"/>
          <w:szCs w:val="21"/>
          <w:lang w:bidi="ar"/>
        </w:rPr>
        <w:t>监狱企业产品价格扣除</w:t>
      </w:r>
    </w:p>
    <w:p w14:paraId="70A22E0A">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3"/>
        </w:numPr>
        <w:spacing w:line="360" w:lineRule="auto"/>
        <w:outlineLvl w:val="9"/>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3"/>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3"/>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3"/>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7C88F462">
      <w:pPr>
        <w:widowControl/>
        <w:numPr>
          <w:ilvl w:val="0"/>
          <w:numId w:val="2"/>
        </w:numPr>
        <w:ind w:left="0" w:leftChars="0" w:firstLine="420" w:firstLineChars="200"/>
        <w:jc w:val="center"/>
        <w:outlineLvl w:val="0"/>
        <w:rPr>
          <w:rFonts w:hint="eastAsia" w:asciiTheme="majorEastAsia" w:hAnsiTheme="majorEastAsia" w:eastAsiaTheme="majorEastAsia"/>
          <w:sz w:val="32"/>
          <w:szCs w:val="32"/>
          <w:lang w:val="en-US" w:eastAsia="zh-CN"/>
        </w:rPr>
      </w:pPr>
      <w:r>
        <w:br w:type="page"/>
      </w:r>
      <w:bookmarkStart w:id="5" w:name="_Toc16421"/>
      <w:r>
        <w:rPr>
          <w:rFonts w:hint="eastAsia" w:asciiTheme="majorEastAsia" w:hAnsiTheme="majorEastAsia" w:eastAsiaTheme="majorEastAsia"/>
          <w:sz w:val="32"/>
          <w:szCs w:val="32"/>
          <w:lang w:val="en-US" w:eastAsia="zh-CN"/>
        </w:rPr>
        <w:t>招标公告</w:t>
      </w:r>
      <w:bookmarkEnd w:id="5"/>
    </w:p>
    <w:p w14:paraId="37A5CB8D">
      <w:pPr>
        <w:pStyle w:val="3"/>
        <w:spacing w:before="0" w:after="0" w:line="240" w:lineRule="auto"/>
        <w:jc w:val="both"/>
        <w:outlineLvl w:val="9"/>
      </w:pPr>
    </w:p>
    <w:p w14:paraId="6E7EA3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bookmarkStart w:id="6" w:name="OLE_LINK3"/>
      <w:bookmarkStart w:id="7" w:name="OLE_LINK1"/>
      <w:r>
        <w:rPr>
          <w:rFonts w:hint="eastAsia" w:ascii="宋体" w:hAnsi="宋体"/>
          <w:szCs w:val="28"/>
        </w:rPr>
        <w:t>项目概况</w:t>
      </w:r>
    </w:p>
    <w:p w14:paraId="6AAB300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u w:val="single"/>
        </w:rPr>
        <w:t>24小时动态血压监测仪</w:t>
      </w:r>
      <w:r>
        <w:rPr>
          <w:rFonts w:hint="eastAsia" w:ascii="宋体" w:hAnsi="宋体"/>
          <w:szCs w:val="28"/>
        </w:rPr>
        <w:t>招标项目的潜在投标人应在</w:t>
      </w:r>
      <w:r>
        <w:rPr>
          <w:rFonts w:hint="eastAsia" w:ascii="宋体" w:hAnsi="宋体"/>
          <w:szCs w:val="28"/>
          <w:lang w:val="en-US" w:eastAsia="zh-CN"/>
        </w:rPr>
        <w:t>深圳市福田区第二人民医院</w:t>
      </w:r>
      <w:r>
        <w:rPr>
          <w:rFonts w:hint="eastAsia" w:ascii="宋体" w:hAnsi="宋体"/>
          <w:szCs w:val="28"/>
        </w:rPr>
        <w:t>获取招标文件，并于</w:t>
      </w:r>
      <w:r>
        <w:rPr>
          <w:rFonts w:hint="eastAsia" w:ascii="宋体" w:hAnsi="宋体"/>
          <w:szCs w:val="28"/>
          <w:u w:val="single"/>
        </w:rPr>
        <w:t>2025</w:t>
      </w:r>
      <w:r>
        <w:rPr>
          <w:rFonts w:hint="eastAsia" w:ascii="宋体" w:hAnsi="宋体"/>
          <w:bCs/>
          <w:szCs w:val="28"/>
          <w:u w:val="single"/>
        </w:rPr>
        <w:t>年</w:t>
      </w:r>
      <w:r>
        <w:rPr>
          <w:rFonts w:hint="eastAsia" w:ascii="宋体" w:hAnsi="宋体"/>
          <w:bCs/>
          <w:szCs w:val="28"/>
          <w:u w:val="single"/>
          <w:lang w:val="en-US" w:eastAsia="zh-CN"/>
        </w:rPr>
        <w:t>8</w:t>
      </w:r>
      <w:r>
        <w:rPr>
          <w:rFonts w:hint="eastAsia" w:ascii="宋体" w:hAnsi="宋体"/>
          <w:bCs/>
          <w:szCs w:val="28"/>
          <w:u w:val="single"/>
        </w:rPr>
        <w:t>月</w:t>
      </w:r>
      <w:r>
        <w:rPr>
          <w:rFonts w:hint="eastAsia" w:ascii="宋体" w:hAnsi="宋体"/>
          <w:bCs/>
          <w:szCs w:val="28"/>
          <w:u w:val="single"/>
          <w:lang w:val="en-US" w:eastAsia="zh-CN"/>
        </w:rPr>
        <w:t>12</w:t>
      </w:r>
      <w:r>
        <w:rPr>
          <w:rFonts w:hint="eastAsia" w:ascii="宋体" w:hAnsi="宋体"/>
          <w:bCs/>
          <w:szCs w:val="28"/>
          <w:u w:val="single"/>
        </w:rPr>
        <w:t>日14点30分（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14:paraId="75F49FC0">
      <w:pPr>
        <w:spacing w:line="360" w:lineRule="auto"/>
        <w:ind w:firstLine="420" w:firstLineChars="200"/>
        <w:rPr>
          <w:rFonts w:hint="eastAsia" w:ascii="宋体" w:hAnsi="宋体"/>
        </w:rPr>
      </w:pPr>
      <w:bookmarkStart w:id="8" w:name="OLE_LINK2"/>
    </w:p>
    <w:p w14:paraId="445E017D">
      <w:pPr>
        <w:spacing w:line="360" w:lineRule="auto"/>
        <w:ind w:firstLine="420" w:firstLineChars="200"/>
        <w:outlineLvl w:val="0"/>
        <w:rPr>
          <w:rFonts w:ascii="宋体" w:hAnsi="宋体"/>
          <w:b/>
        </w:rPr>
      </w:pPr>
      <w:r>
        <w:rPr>
          <w:rFonts w:hint="eastAsia" w:ascii="宋体" w:hAnsi="宋体"/>
        </w:rPr>
        <w:t>一、项目基本情况</w:t>
      </w:r>
      <w:bookmarkStart w:id="138" w:name="_GoBack"/>
      <w:bookmarkEnd w:id="138"/>
    </w:p>
    <w:p w14:paraId="656BF1CC">
      <w:pPr>
        <w:spacing w:line="360" w:lineRule="auto"/>
        <w:ind w:firstLine="420" w:firstLineChars="200"/>
        <w:rPr>
          <w:rFonts w:hint="default" w:ascii="宋体" w:hAnsi="宋体" w:eastAsiaTheme="minorEastAsia"/>
          <w:lang w:val="en-US" w:eastAsia="zh-CN"/>
        </w:rPr>
      </w:pPr>
      <w:r>
        <w:rPr>
          <w:rFonts w:hint="eastAsia" w:ascii="宋体" w:hAnsi="宋体"/>
        </w:rPr>
        <w:t>项目编号：</w:t>
      </w:r>
      <w:r>
        <w:rPr>
          <w:rFonts w:hint="eastAsia" w:ascii="宋体" w:hAnsi="宋体"/>
          <w:lang w:val="en-US" w:eastAsia="zh-CN"/>
        </w:rPr>
        <w:t>FTEY-202504-QX001</w:t>
      </w:r>
    </w:p>
    <w:p w14:paraId="792813B2">
      <w:pPr>
        <w:spacing w:line="360" w:lineRule="auto"/>
        <w:ind w:firstLine="420" w:firstLineChars="200"/>
        <w:rPr>
          <w:rFonts w:ascii="宋体" w:hAnsi="宋体"/>
        </w:rPr>
      </w:pPr>
      <w:r>
        <w:rPr>
          <w:rFonts w:hint="eastAsia" w:ascii="宋体" w:hAnsi="宋体"/>
        </w:rPr>
        <w:t>项目名称：24小时动态血压监测仪</w:t>
      </w:r>
    </w:p>
    <w:p w14:paraId="118885C8">
      <w:pPr>
        <w:spacing w:line="360" w:lineRule="auto"/>
        <w:ind w:firstLine="420" w:firstLineChars="200"/>
        <w:rPr>
          <w:rFonts w:ascii="宋体" w:hAnsi="宋体"/>
        </w:rPr>
      </w:pPr>
      <w:r>
        <w:rPr>
          <w:rFonts w:hint="eastAsia" w:ascii="宋体" w:hAnsi="宋体"/>
        </w:rPr>
        <w:t>预算金额：</w:t>
      </w:r>
      <w:r>
        <w:rPr>
          <w:rFonts w:hint="eastAsia" w:ascii="宋体" w:hAnsi="宋体"/>
          <w:szCs w:val="21"/>
        </w:rPr>
        <w:t>人民币</w:t>
      </w:r>
      <w:r>
        <w:rPr>
          <w:rFonts w:hint="eastAsia" w:ascii="宋体" w:hAnsi="宋体"/>
          <w:szCs w:val="21"/>
          <w:lang w:val="en-US" w:eastAsia="zh-CN"/>
        </w:rPr>
        <w:t>叁</w:t>
      </w:r>
      <w:r>
        <w:rPr>
          <w:rFonts w:hint="eastAsia" w:ascii="宋体" w:hAnsi="宋体"/>
          <w:szCs w:val="21"/>
        </w:rPr>
        <w:t>万</w:t>
      </w:r>
      <w:r>
        <w:rPr>
          <w:rFonts w:hint="eastAsia" w:ascii="宋体" w:hAnsi="宋体"/>
          <w:szCs w:val="21"/>
          <w:lang w:val="en-US" w:eastAsia="zh-CN"/>
        </w:rPr>
        <w:t>陆</w:t>
      </w:r>
      <w:r>
        <w:rPr>
          <w:rFonts w:hint="eastAsia" w:ascii="宋体" w:hAnsi="宋体"/>
          <w:szCs w:val="21"/>
        </w:rPr>
        <w:t>仟</w:t>
      </w:r>
      <w:r>
        <w:rPr>
          <w:rFonts w:hint="eastAsia" w:ascii="宋体" w:hAnsi="宋体"/>
          <w:szCs w:val="21"/>
          <w:lang w:val="en-US" w:eastAsia="zh-CN"/>
        </w:rPr>
        <w:t>肆</w:t>
      </w:r>
      <w:r>
        <w:rPr>
          <w:rFonts w:hint="eastAsia" w:ascii="宋体" w:hAnsi="宋体"/>
          <w:szCs w:val="21"/>
        </w:rPr>
        <w:t>佰元整（¥</w:t>
      </w:r>
      <w:r>
        <w:rPr>
          <w:rFonts w:hint="eastAsia" w:ascii="宋体" w:hAnsi="宋体"/>
          <w:szCs w:val="21"/>
          <w:lang w:val="en-US" w:eastAsia="zh-CN"/>
        </w:rPr>
        <w:t>36</w:t>
      </w:r>
      <w:r>
        <w:rPr>
          <w:rFonts w:hint="eastAsia" w:ascii="宋体" w:hAnsi="宋体"/>
          <w:szCs w:val="21"/>
        </w:rPr>
        <w:t>,</w:t>
      </w:r>
      <w:r>
        <w:rPr>
          <w:rFonts w:hint="eastAsia" w:ascii="宋体" w:hAnsi="宋体"/>
          <w:szCs w:val="21"/>
          <w:lang w:val="en-US" w:eastAsia="zh-CN"/>
        </w:rPr>
        <w:t>4</w:t>
      </w:r>
      <w:r>
        <w:rPr>
          <w:rFonts w:hint="eastAsia" w:ascii="宋体" w:hAnsi="宋体"/>
          <w:szCs w:val="21"/>
        </w:rPr>
        <w:t>00.00元）</w:t>
      </w:r>
    </w:p>
    <w:p w14:paraId="3D8115B5">
      <w:pPr>
        <w:spacing w:line="360" w:lineRule="auto"/>
        <w:ind w:firstLine="420" w:firstLineChars="200"/>
        <w:rPr>
          <w:rFonts w:ascii="宋体" w:hAnsi="宋体"/>
          <w:u w:val="single"/>
        </w:rPr>
      </w:pPr>
      <w:r>
        <w:rPr>
          <w:rFonts w:hint="eastAsia" w:ascii="宋体" w:hAnsi="宋体"/>
        </w:rPr>
        <w:t>采购需求：详见招标文件</w:t>
      </w:r>
    </w:p>
    <w:p w14:paraId="1C2AA89B">
      <w:pPr>
        <w:spacing w:line="360" w:lineRule="auto"/>
        <w:ind w:firstLine="420" w:firstLineChars="200"/>
        <w:rPr>
          <w:rFonts w:ascii="宋体" w:hAnsi="宋体"/>
          <w:u w:val="single"/>
        </w:rPr>
      </w:pPr>
      <w:r>
        <w:rPr>
          <w:rFonts w:hint="eastAsia" w:ascii="宋体" w:hAnsi="宋体"/>
        </w:rPr>
        <w:t>合同履行期限：详见招标文件</w:t>
      </w:r>
    </w:p>
    <w:p w14:paraId="22B32CBD">
      <w:pPr>
        <w:spacing w:line="360" w:lineRule="auto"/>
        <w:ind w:firstLine="420" w:firstLineChars="200"/>
        <w:rPr>
          <w:rFonts w:hint="eastAsia" w:ascii="宋体" w:hAnsi="宋体"/>
        </w:rPr>
      </w:pPr>
      <w:r>
        <w:rPr>
          <w:rFonts w:hint="eastAsia" w:ascii="宋体" w:hAnsi="宋体"/>
        </w:rPr>
        <w:t>本项目不接受联合体投标。</w:t>
      </w:r>
    </w:p>
    <w:p w14:paraId="25206CE6">
      <w:pPr>
        <w:spacing w:line="360" w:lineRule="auto"/>
        <w:ind w:firstLine="420" w:firstLineChars="200"/>
        <w:rPr>
          <w:rFonts w:hint="eastAsia" w:ascii="宋体" w:hAnsi="宋体"/>
        </w:rPr>
      </w:pPr>
    </w:p>
    <w:p w14:paraId="1FCF967D">
      <w:pPr>
        <w:spacing w:line="360" w:lineRule="auto"/>
        <w:ind w:firstLine="420" w:firstLineChars="200"/>
        <w:outlineLvl w:val="0"/>
        <w:rPr>
          <w:rFonts w:ascii="宋体" w:hAnsi="宋体"/>
          <w:b/>
        </w:rPr>
      </w:pPr>
      <w:r>
        <w:rPr>
          <w:rFonts w:hint="eastAsia" w:ascii="宋体" w:hAnsi="宋体"/>
        </w:rPr>
        <w:t>二、申请人的资格要求：</w:t>
      </w:r>
    </w:p>
    <w:p w14:paraId="79CCFE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Theme="minorEastAsia" w:cstheme="minorBidi"/>
          <w:kern w:val="2"/>
          <w:sz w:val="21"/>
          <w:szCs w:val="24"/>
          <w:lang w:val="en-US" w:eastAsia="zh-CN" w:bidi="ar-SA"/>
        </w:rPr>
      </w:pPr>
      <w:bookmarkStart w:id="9" w:name="_Toc27076"/>
      <w:r>
        <w:rPr>
          <w:rFonts w:hint="eastAsia" w:ascii="宋体" w:hAnsi="宋体" w:eastAsiaTheme="minorEastAsia" w:cstheme="minorBidi"/>
          <w:kern w:val="2"/>
          <w:sz w:val="21"/>
          <w:szCs w:val="24"/>
          <w:lang w:val="en-US" w:eastAsia="zh-CN" w:bidi="ar-SA"/>
        </w:rPr>
        <w:t>1、满足《中华人民共和国政府采购法》第二十二条规定（由供应商在《投标人资格声明函及履约承诺函》中作出声明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9"/>
    </w:p>
    <w:p w14:paraId="4857933A">
      <w:pPr>
        <w:spacing w:line="360" w:lineRule="auto"/>
        <w:ind w:firstLine="420" w:firstLineChars="200"/>
        <w:rPr>
          <w:rFonts w:hint="eastAsia" w:ascii="宋体" w:hAnsi="宋体" w:eastAsiaTheme="minorEastAsia"/>
          <w:lang w:eastAsia="zh-CN"/>
        </w:rPr>
      </w:pPr>
      <w:r>
        <w:rPr>
          <w:rFonts w:hint="eastAsia" w:ascii="宋体" w:hAnsi="宋体"/>
        </w:rPr>
        <w:t>2、投标人具有独立法人资格或独立承担民事责任能力的其他组织（提供营业执照或事业单位法人证等法人证明复印件加盖投标人公章，原件备查）</w:t>
      </w:r>
      <w:r>
        <w:rPr>
          <w:rFonts w:hint="eastAsia" w:ascii="宋体" w:hAnsi="宋体"/>
          <w:lang w:eastAsia="zh-CN"/>
        </w:rPr>
        <w:t>；</w:t>
      </w:r>
    </w:p>
    <w:p w14:paraId="62B7FE0C">
      <w:pPr>
        <w:spacing w:line="360" w:lineRule="auto"/>
        <w:ind w:firstLine="420" w:firstLineChars="200"/>
        <w:rPr>
          <w:rFonts w:ascii="宋体" w:hAnsi="宋体"/>
        </w:rPr>
      </w:pPr>
      <w:r>
        <w:rPr>
          <w:rFonts w:hint="eastAsia" w:ascii="宋体" w:hAnsi="宋体"/>
        </w:rPr>
        <w:t>3、本项目</w:t>
      </w:r>
      <w:r>
        <w:rPr>
          <w:rFonts w:hint="eastAsia" w:ascii="宋体" w:hAnsi="宋体"/>
          <w:b/>
        </w:rPr>
        <w:t>不接受</w:t>
      </w:r>
      <w:r>
        <w:rPr>
          <w:rFonts w:hint="eastAsia" w:ascii="宋体" w:hAnsi="宋体"/>
        </w:rPr>
        <w:t>供应商选用进口产品参与投标（进口产品是指通过中国海关报关验收进入中国境内且产自境外的产品）；</w:t>
      </w:r>
    </w:p>
    <w:p w14:paraId="4799F45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ascii="宋体" w:hAnsi="宋体"/>
        </w:rPr>
      </w:pPr>
      <w:bookmarkStart w:id="10" w:name="_Toc27695"/>
      <w:r>
        <w:rPr>
          <w:rFonts w:hint="eastAsia" w:ascii="宋体" w:hAnsi="宋体"/>
        </w:rPr>
        <w:t>4、参与本项目投标前三年内，在经营活动中没有重大违法记录</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10"/>
    </w:p>
    <w:p w14:paraId="7875783B">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5、参与本项目政府采购活动时不存在被有关部门禁止参与政府采购活动且在有效期内的情况</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396B01A">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6、供应商未被列入失信被执行人、重大税收违法案件当事人名单、政府采购严重违法失信行为记录名单，不存在《深圳市财政局政府采购供应商信用信息管理办法》（深财规〔2023〕3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763DD6D8">
      <w:pPr>
        <w:spacing w:line="360" w:lineRule="auto"/>
        <w:ind w:firstLine="420" w:firstLineChars="200"/>
        <w:rPr>
          <w:rFonts w:ascii="宋体" w:hAnsi="宋体"/>
        </w:rPr>
      </w:pPr>
      <w:r>
        <w:rPr>
          <w:rFonts w:hint="eastAsia" w:ascii="宋体" w:hAnsi="宋体"/>
        </w:rPr>
        <w:t>7、本项目不接受联合体投标，不允许分包、转包。</w:t>
      </w:r>
    </w:p>
    <w:p w14:paraId="47C6FE71">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8、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E1264F4">
      <w:pPr>
        <w:spacing w:line="360" w:lineRule="auto"/>
        <w:ind w:firstLine="420" w:firstLineChars="200"/>
        <w:rPr>
          <w:rFonts w:ascii="宋体" w:hAnsi="宋体"/>
        </w:rPr>
      </w:pPr>
      <w:r>
        <w:rPr>
          <w:rFonts w:hint="eastAsia" w:ascii="宋体" w:hAnsi="宋体"/>
        </w:rPr>
        <w:t>9、本项目是（否）专门面向中小企业采购：否。</w:t>
      </w:r>
    </w:p>
    <w:p w14:paraId="066F3206">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10、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02B7BA36">
      <w:pPr>
        <w:spacing w:line="360" w:lineRule="auto"/>
        <w:ind w:firstLine="420" w:firstLineChars="200"/>
        <w:rPr>
          <w:rFonts w:ascii="宋体" w:hAnsi="宋体"/>
        </w:rPr>
      </w:pPr>
      <w:r>
        <w:rPr>
          <w:rFonts w:hint="eastAsia" w:ascii="宋体" w:hAnsi="宋体"/>
        </w:rPr>
        <w:t>注：（1）“信用中国”（www.creditchina.gov.cn）、“中国政府采购网”（www.ccgp.gov.cn）、“深圳市政府采购监管网”（http://zfcg.sz.gov.cn）以及市、区财政部门认定的其他渠道为供应商信用信息的查询渠道，相关信息以</w:t>
      </w:r>
      <w:r>
        <w:rPr>
          <w:rFonts w:hint="eastAsia" w:ascii="宋体" w:hAnsi="宋体"/>
          <w:lang w:val="en-US" w:eastAsia="zh-CN"/>
        </w:rPr>
        <w:t>采购人</w:t>
      </w:r>
      <w:r>
        <w:rPr>
          <w:rFonts w:hint="eastAsia" w:ascii="宋体" w:hAnsi="宋体"/>
        </w:rPr>
        <w:t>开标当日的查询结果为准。</w:t>
      </w:r>
    </w:p>
    <w:p w14:paraId="54EF219F">
      <w:pPr>
        <w:numPr>
          <w:ilvl w:val="0"/>
          <w:numId w:val="4"/>
        </w:numPr>
        <w:spacing w:line="360" w:lineRule="auto"/>
        <w:ind w:firstLine="420" w:firstLineChars="200"/>
        <w:rPr>
          <w:rFonts w:hint="eastAsia" w:ascii="宋体" w:hAnsi="宋体"/>
        </w:rPr>
      </w:pPr>
      <w:r>
        <w:rPr>
          <w:rFonts w:hint="eastAsia" w:ascii="宋体" w:hAnsi="宋体"/>
        </w:rPr>
        <w:t>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0D24330A">
      <w:pPr>
        <w:spacing w:line="360" w:lineRule="auto"/>
        <w:ind w:firstLine="420" w:firstLineChars="200"/>
        <w:rPr>
          <w:rFonts w:hint="eastAsia" w:ascii="宋体" w:hAnsi="宋体"/>
          <w:lang w:val="en-US" w:eastAsia="zh-CN"/>
        </w:rPr>
      </w:pPr>
    </w:p>
    <w:p w14:paraId="2E0B1E6D">
      <w:pPr>
        <w:spacing w:line="360" w:lineRule="auto"/>
        <w:ind w:firstLine="420" w:firstLineChars="200"/>
        <w:outlineLvl w:val="0"/>
        <w:rPr>
          <w:rFonts w:hint="default" w:ascii="宋体" w:hAnsi="宋体" w:eastAsiaTheme="minorEastAsia"/>
          <w:b/>
          <w:lang w:val="en-US" w:eastAsia="zh-CN"/>
        </w:rPr>
      </w:pPr>
      <w:r>
        <w:rPr>
          <w:rFonts w:hint="eastAsia" w:ascii="宋体" w:hAnsi="宋体"/>
          <w:lang w:val="en-US" w:eastAsia="zh-CN"/>
        </w:rPr>
        <w:t>三</w:t>
      </w:r>
      <w:r>
        <w:rPr>
          <w:rFonts w:hint="eastAsia" w:ascii="宋体" w:hAnsi="宋体"/>
        </w:rPr>
        <w:t>、</w:t>
      </w:r>
      <w:r>
        <w:rPr>
          <w:rFonts w:hint="eastAsia" w:ascii="宋体" w:hAnsi="宋体"/>
          <w:lang w:val="en-US" w:eastAsia="zh-CN"/>
        </w:rPr>
        <w:t>相关招投标时间及地点信息</w:t>
      </w:r>
    </w:p>
    <w:p w14:paraId="71B33D27">
      <w:pPr>
        <w:numPr>
          <w:ilvl w:val="0"/>
          <w:numId w:val="0"/>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eastAsiaTheme="minorEastAsia" w:cstheme="minorBidi"/>
          <w:bCs/>
          <w:kern w:val="2"/>
          <w:sz w:val="21"/>
          <w:szCs w:val="24"/>
          <w:lang w:val="en-US" w:eastAsia="zh-CN" w:bidi="ar-SA"/>
        </w:rPr>
        <w:t>1、</w:t>
      </w:r>
      <w:r>
        <w:rPr>
          <w:rFonts w:hint="eastAsia" w:ascii="宋体" w:hAnsi="宋体" w:eastAsia="宋体" w:cs="宋体"/>
          <w:i w:val="0"/>
          <w:iCs w:val="0"/>
          <w:caps w:val="0"/>
          <w:strike w:val="0"/>
          <w:dstrike w:val="0"/>
          <w:color w:val="000000" w:themeColor="text1"/>
          <w:spacing w:val="0"/>
          <w:kern w:val="0"/>
          <w:sz w:val="21"/>
          <w:szCs w:val="21"/>
          <w:shd w:val="clear" w:fill="FFFFFF"/>
          <w:lang w:val="en-US" w:eastAsia="zh-CN" w:bidi="ar"/>
          <w14:textFill>
            <w14:solidFill>
              <w14:schemeClr w14:val="tx1"/>
            </w14:solidFill>
          </w14:textFill>
        </w:rPr>
        <w:t>报名时间：2025年8月1日8时00分至2025 年8月7日17时00分止。</w:t>
      </w:r>
    </w:p>
    <w:p w14:paraId="17D4E8FF">
      <w:pPr>
        <w:spacing w:line="360" w:lineRule="auto"/>
        <w:ind w:firstLine="420" w:firstLineChars="200"/>
        <w:rPr>
          <w:rFonts w:ascii="宋体" w:hAnsi="宋体"/>
          <w:bCs/>
        </w:rPr>
      </w:pPr>
      <w:r>
        <w:rPr>
          <w:rFonts w:hint="eastAsia" w:ascii="宋体" w:hAnsi="宋体"/>
          <w:bCs/>
          <w:lang w:val="en-US" w:eastAsia="zh-CN"/>
        </w:rPr>
        <w:t>2</w:t>
      </w:r>
      <w:r>
        <w:rPr>
          <w:rFonts w:hint="eastAsia" w:ascii="宋体" w:hAnsi="宋体"/>
          <w:bCs/>
        </w:rPr>
        <w:t>、投标文件递交时间：</w:t>
      </w: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12</w:t>
      </w:r>
      <w:r>
        <w:rPr>
          <w:rFonts w:hint="eastAsia" w:ascii="宋体" w:hAnsi="宋体"/>
        </w:rPr>
        <w:t>日</w:t>
      </w:r>
      <w:r>
        <w:rPr>
          <w:rFonts w:hint="eastAsia" w:ascii="宋体" w:hAnsi="宋体"/>
          <w:bCs/>
        </w:rPr>
        <w:t>14:00至14:30（北京时间）；</w:t>
      </w:r>
    </w:p>
    <w:p w14:paraId="78BAA079">
      <w:pPr>
        <w:spacing w:line="360" w:lineRule="auto"/>
        <w:ind w:firstLine="420" w:firstLineChars="200"/>
        <w:rPr>
          <w:rFonts w:hint="default" w:ascii="宋体" w:hAnsi="宋体"/>
          <w:bCs/>
          <w:lang w:val="en-US"/>
        </w:rPr>
      </w:pPr>
      <w:r>
        <w:rPr>
          <w:rFonts w:hint="eastAsia" w:ascii="宋体" w:hAnsi="宋体"/>
          <w:bCs/>
          <w:lang w:val="en-US" w:eastAsia="zh-CN"/>
        </w:rPr>
        <w:t>3</w:t>
      </w:r>
      <w:r>
        <w:rPr>
          <w:rFonts w:hint="eastAsia" w:ascii="宋体" w:hAnsi="宋体"/>
          <w:bCs/>
        </w:rPr>
        <w:t>、投标文件递交地点：</w:t>
      </w:r>
      <w:r>
        <w:rPr>
          <w:rFonts w:hint="eastAsia" w:ascii="宋体"/>
          <w:bCs/>
          <w:color w:val="auto"/>
          <w:szCs w:val="20"/>
          <w:highlight w:val="none"/>
          <w:lang w:val="en-US" w:eastAsia="zh-CN"/>
        </w:rPr>
        <w:t>深圳市福田区梅林街道中康路27号综合楼A栋501室</w:t>
      </w:r>
    </w:p>
    <w:p w14:paraId="482C806E">
      <w:pPr>
        <w:spacing w:line="360" w:lineRule="auto"/>
        <w:ind w:firstLine="420" w:firstLineChars="200"/>
        <w:rPr>
          <w:rFonts w:ascii="宋体" w:hAnsi="宋体"/>
          <w:bCs/>
        </w:rPr>
      </w:pPr>
      <w:r>
        <w:rPr>
          <w:rFonts w:hint="eastAsia" w:ascii="宋体" w:hAnsi="宋体"/>
          <w:bCs/>
          <w:lang w:val="en-US" w:eastAsia="zh-CN"/>
        </w:rPr>
        <w:t>4</w:t>
      </w:r>
      <w:r>
        <w:rPr>
          <w:rFonts w:hint="eastAsia" w:ascii="宋体" w:hAnsi="宋体"/>
          <w:bCs/>
        </w:rPr>
        <w:t>、递交投标文件截止时间：</w:t>
      </w: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12</w:t>
      </w:r>
      <w:r>
        <w:rPr>
          <w:rFonts w:hint="eastAsia" w:ascii="宋体" w:hAnsi="宋体"/>
        </w:rPr>
        <w:t>日</w:t>
      </w:r>
      <w:r>
        <w:rPr>
          <w:rFonts w:hint="eastAsia" w:ascii="宋体" w:hAnsi="宋体"/>
          <w:bCs/>
        </w:rPr>
        <w:t>14:30（北京时间）</w:t>
      </w:r>
      <w:r>
        <w:rPr>
          <w:rFonts w:hint="eastAsia" w:ascii="宋体" w:hAnsi="宋体"/>
          <w:bCs/>
          <w:lang w:eastAsia="zh-CN"/>
        </w:rPr>
        <w:t>，</w:t>
      </w:r>
      <w:r>
        <w:rPr>
          <w:rFonts w:hint="eastAsia" w:ascii="宋体" w:hAnsi="宋体"/>
          <w:bCs/>
        </w:rPr>
        <w:t>所有投标文件应于投标截止时间之前递交，迟交的投标文件将拒绝接收；</w:t>
      </w:r>
    </w:p>
    <w:p w14:paraId="6367366C">
      <w:pPr>
        <w:spacing w:line="360" w:lineRule="auto"/>
        <w:ind w:firstLine="420" w:firstLineChars="200"/>
        <w:rPr>
          <w:rFonts w:ascii="宋体" w:hAnsi="宋体"/>
          <w:bCs/>
        </w:rPr>
      </w:pPr>
      <w:r>
        <w:rPr>
          <w:rFonts w:hint="eastAsia" w:ascii="宋体" w:hAnsi="宋体"/>
          <w:bCs/>
          <w:lang w:val="en-US" w:eastAsia="zh-CN"/>
        </w:rPr>
        <w:t>5</w:t>
      </w:r>
      <w:r>
        <w:rPr>
          <w:rFonts w:hint="eastAsia" w:ascii="宋体" w:hAnsi="宋体"/>
          <w:bCs/>
        </w:rPr>
        <w:t>、开标时间：</w:t>
      </w: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12</w:t>
      </w:r>
      <w:r>
        <w:rPr>
          <w:rFonts w:hint="eastAsia" w:ascii="宋体" w:hAnsi="宋体"/>
        </w:rPr>
        <w:t>日</w:t>
      </w:r>
      <w:r>
        <w:rPr>
          <w:rFonts w:hint="eastAsia" w:ascii="宋体" w:hAnsi="宋体"/>
          <w:bCs/>
        </w:rPr>
        <w:t>14:30（北京时间）</w:t>
      </w:r>
    </w:p>
    <w:p w14:paraId="5F335419">
      <w:pPr>
        <w:spacing w:line="360" w:lineRule="auto"/>
        <w:ind w:firstLine="420" w:firstLineChars="200"/>
        <w:rPr>
          <w:rFonts w:ascii="宋体" w:hAnsi="宋体"/>
          <w:bCs/>
        </w:rPr>
      </w:pPr>
      <w:r>
        <w:rPr>
          <w:rFonts w:hint="eastAsia" w:ascii="宋体" w:hAnsi="宋体"/>
          <w:bCs/>
          <w:lang w:val="en-US" w:eastAsia="zh-CN"/>
        </w:rPr>
        <w:t>6</w:t>
      </w:r>
      <w:r>
        <w:rPr>
          <w:rFonts w:hint="eastAsia" w:ascii="宋体" w:hAnsi="宋体"/>
          <w:bCs/>
        </w:rPr>
        <w:t>、开标地点：</w:t>
      </w:r>
      <w:r>
        <w:rPr>
          <w:rFonts w:hint="eastAsia" w:ascii="宋体"/>
          <w:bCs/>
          <w:color w:val="auto"/>
          <w:szCs w:val="20"/>
          <w:highlight w:val="none"/>
          <w:lang w:val="en-US" w:eastAsia="zh-CN"/>
        </w:rPr>
        <w:t>深圳市福田区梅林街道中康路27号综合楼A栋501室</w:t>
      </w:r>
    </w:p>
    <w:p w14:paraId="1AF76A24">
      <w:pPr>
        <w:spacing w:line="360" w:lineRule="auto"/>
        <w:ind w:firstLine="420" w:firstLineChars="200"/>
        <w:rPr>
          <w:rFonts w:hint="eastAsia" w:ascii="宋体" w:hAnsi="宋体"/>
          <w:lang w:val="en-US" w:eastAsia="zh-CN"/>
        </w:rPr>
      </w:pPr>
    </w:p>
    <w:p w14:paraId="3A925972">
      <w:pPr>
        <w:spacing w:line="360" w:lineRule="auto"/>
        <w:ind w:firstLine="420" w:firstLineChars="200"/>
        <w:outlineLvl w:val="0"/>
        <w:rPr>
          <w:rFonts w:ascii="宋体" w:hAnsi="宋体"/>
          <w:b/>
        </w:rPr>
      </w:pPr>
      <w:r>
        <w:rPr>
          <w:rFonts w:hint="eastAsia" w:ascii="宋体" w:hAnsi="宋体"/>
          <w:lang w:val="en-US" w:eastAsia="zh-CN"/>
        </w:rPr>
        <w:t>四</w:t>
      </w:r>
      <w:r>
        <w:rPr>
          <w:rFonts w:hint="eastAsia" w:ascii="宋体" w:hAnsi="宋体"/>
        </w:rPr>
        <w:t>、公告期限</w:t>
      </w:r>
    </w:p>
    <w:p w14:paraId="53BA3E0E">
      <w:pPr>
        <w:spacing w:line="360" w:lineRule="auto"/>
        <w:ind w:firstLine="420" w:firstLineChars="200"/>
        <w:rPr>
          <w:rFonts w:ascii="宋体" w:hAnsi="宋体"/>
          <w:kern w:val="0"/>
        </w:rPr>
      </w:pPr>
      <w:r>
        <w:rPr>
          <w:rFonts w:hint="eastAsia" w:ascii="宋体" w:hAnsi="宋体"/>
          <w:kern w:val="0"/>
        </w:rPr>
        <w:t>自本公告发布之日起5个工作日。</w:t>
      </w:r>
    </w:p>
    <w:p w14:paraId="790F53A0">
      <w:pPr>
        <w:spacing w:line="360" w:lineRule="auto"/>
        <w:ind w:firstLine="420" w:firstLineChars="200"/>
        <w:rPr>
          <w:rFonts w:hint="eastAsia" w:ascii="宋体" w:hAnsi="宋体"/>
          <w:lang w:val="en-US" w:eastAsia="zh-CN"/>
        </w:rPr>
      </w:pPr>
    </w:p>
    <w:p w14:paraId="0972B18F">
      <w:pPr>
        <w:numPr>
          <w:ilvl w:val="0"/>
          <w:numId w:val="5"/>
        </w:numPr>
        <w:spacing w:line="360" w:lineRule="auto"/>
        <w:ind w:firstLine="420" w:firstLineChars="200"/>
        <w:outlineLvl w:val="0"/>
        <w:rPr>
          <w:rFonts w:hint="default" w:ascii="宋体" w:hAnsi="宋体"/>
          <w:lang w:val="en-US" w:eastAsia="zh-CN"/>
        </w:rPr>
      </w:pPr>
      <w:r>
        <w:rPr>
          <w:rFonts w:hint="eastAsia" w:ascii="宋体" w:hAnsi="宋体"/>
          <w:lang w:val="en-US" w:eastAsia="zh-CN"/>
        </w:rPr>
        <w:t>报名事宜</w:t>
      </w:r>
    </w:p>
    <w:p w14:paraId="5920D85F">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有意参与投标的供应商需将附件一.报名文件填写完毕并加盖公章后，发送至邮箱zbcgb@ft2yy.cn进行报名。</w:t>
      </w:r>
    </w:p>
    <w:p w14:paraId="5AAE8624">
      <w:pPr>
        <w:numPr>
          <w:ilvl w:val="0"/>
          <w:numId w:val="0"/>
        </w:numPr>
        <w:spacing w:line="360" w:lineRule="auto"/>
        <w:ind w:firstLine="420" w:firstLineChars="200"/>
        <w:rPr>
          <w:rFonts w:hint="default" w:ascii="宋体" w:hAnsi="宋体"/>
          <w:lang w:val="en-US" w:eastAsia="zh-CN"/>
        </w:rPr>
      </w:pPr>
    </w:p>
    <w:p w14:paraId="4F2DF4E0">
      <w:pPr>
        <w:numPr>
          <w:ilvl w:val="0"/>
          <w:numId w:val="5"/>
        </w:numPr>
        <w:spacing w:line="360" w:lineRule="auto"/>
        <w:ind w:firstLine="420" w:firstLineChars="200"/>
        <w:outlineLvl w:val="0"/>
        <w:rPr>
          <w:rFonts w:hint="eastAsia" w:ascii="宋体" w:hAnsi="宋体"/>
        </w:rPr>
      </w:pPr>
      <w:r>
        <w:rPr>
          <w:rFonts w:hint="eastAsia" w:ascii="宋体" w:hAnsi="宋体"/>
        </w:rPr>
        <w:t>其他补充事宜</w:t>
      </w:r>
    </w:p>
    <w:p w14:paraId="49A5F5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lang w:val="en-US" w:eastAsia="zh-CN"/>
        </w:rPr>
      </w:pPr>
      <w:r>
        <w:rPr>
          <w:rFonts w:hint="eastAsia" w:ascii="宋体" w:hAnsi="宋体"/>
          <w:lang w:val="en-US" w:eastAsia="zh-CN"/>
        </w:rPr>
        <w:t>1.报名的供应商若因任何原因无法应标，请在开标时间前1个日历日书面告知。若未告知，视为能够如期应标。如果出现未书面告知又没有如期应标的情况，我院将视情况，将违规公司列入不诚信名单。</w:t>
      </w:r>
    </w:p>
    <w:p w14:paraId="30405C1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r>
        <w:rPr>
          <w:rFonts w:hint="eastAsia" w:ascii="宋体" w:hAnsi="宋体"/>
          <w:lang w:val="en-US" w:eastAsia="zh-CN"/>
        </w:rPr>
        <w:t>2.</w:t>
      </w:r>
      <w:r>
        <w:rPr>
          <w:rFonts w:hint="eastAsia" w:ascii="宋体" w:hAnsi="宋体"/>
        </w:rPr>
        <w:t>投标人有义务在招标活动期间浏览</w:t>
      </w:r>
      <w:r>
        <w:rPr>
          <w:rFonts w:hint="eastAsia" w:ascii="宋体" w:hAnsi="宋体"/>
          <w:lang w:val="en-US" w:eastAsia="zh-CN"/>
        </w:rPr>
        <w:t>深圳市福田区第二人民医院</w:t>
      </w:r>
      <w:r>
        <w:rPr>
          <w:rFonts w:hint="eastAsia" w:ascii="宋体"/>
          <w:bCs/>
          <w:color w:val="auto"/>
          <w:szCs w:val="20"/>
          <w:highlight w:val="none"/>
          <w:lang w:val="en-US" w:eastAsia="zh-CN"/>
        </w:rPr>
        <w:t>网站（https://www.ft2yy.cn/）。相关公告在上述媒体上公布之日即视为有效送达，不再另行通知。</w:t>
      </w:r>
    </w:p>
    <w:p w14:paraId="28D320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p>
    <w:p w14:paraId="3019BE1D">
      <w:pPr>
        <w:spacing w:line="360" w:lineRule="auto"/>
        <w:ind w:firstLine="420" w:firstLineChars="200"/>
        <w:outlineLvl w:val="0"/>
        <w:rPr>
          <w:rFonts w:ascii="宋体" w:hAnsi="宋体"/>
          <w:b/>
        </w:rPr>
      </w:pPr>
      <w:r>
        <w:rPr>
          <w:rFonts w:hint="eastAsia" w:ascii="宋体" w:hAnsi="宋体"/>
          <w:lang w:val="en-US" w:eastAsia="zh-CN"/>
        </w:rPr>
        <w:t>七</w:t>
      </w:r>
      <w:r>
        <w:rPr>
          <w:rFonts w:hint="eastAsia" w:ascii="宋体" w:hAnsi="宋体"/>
        </w:rPr>
        <w:t>、对本次招标提出询问，请按</w:t>
      </w:r>
      <w:r>
        <w:rPr>
          <w:rFonts w:ascii="宋体" w:hAnsi="宋体"/>
        </w:rPr>
        <w:t>以下方式</w:t>
      </w:r>
      <w:r>
        <w:rPr>
          <w:rFonts w:hint="eastAsia" w:ascii="宋体" w:hAnsi="宋体"/>
        </w:rPr>
        <w:t>联系。</w:t>
      </w:r>
    </w:p>
    <w:p w14:paraId="4F679AC3">
      <w:pPr>
        <w:adjustRightInd w:val="0"/>
        <w:snapToGrid w:val="0"/>
        <w:spacing w:line="360" w:lineRule="auto"/>
        <w:ind w:firstLine="424" w:firstLineChars="202"/>
        <w:rPr>
          <w:rFonts w:hint="default" w:ascii="宋体"/>
          <w:bCs/>
          <w:color w:val="auto"/>
          <w:szCs w:val="20"/>
          <w:highlight w:val="none"/>
          <w:lang w:val="en-US" w:eastAsia="zh-CN"/>
        </w:rPr>
      </w:pPr>
      <w:r>
        <w:rPr>
          <w:rFonts w:hint="eastAsia" w:ascii="宋体"/>
          <w:bCs/>
          <w:color w:val="auto"/>
          <w:szCs w:val="20"/>
          <w:highlight w:val="none"/>
          <w:lang w:val="en-US" w:eastAsia="zh-CN"/>
        </w:rPr>
        <w:t>医学装备部联系人</w:t>
      </w:r>
      <w:r>
        <w:rPr>
          <w:rFonts w:hint="eastAsia" w:ascii="宋体"/>
          <w:bCs/>
          <w:color w:val="auto"/>
          <w:szCs w:val="20"/>
          <w:highlight w:val="none"/>
        </w:rPr>
        <w:t>：</w:t>
      </w:r>
      <w:r>
        <w:rPr>
          <w:rFonts w:hint="eastAsia" w:ascii="宋体"/>
          <w:bCs/>
          <w:color w:val="auto"/>
          <w:szCs w:val="20"/>
          <w:highlight w:val="none"/>
          <w:lang w:val="en-US" w:eastAsia="zh-CN"/>
        </w:rPr>
        <w:t>石老师 0755-83116181</w:t>
      </w:r>
    </w:p>
    <w:p w14:paraId="1D33796B">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招标采购办联系人：吴老师 0755-83279817</w:t>
      </w:r>
    </w:p>
    <w:p w14:paraId="1FF851B1">
      <w:pPr>
        <w:spacing w:line="360" w:lineRule="auto"/>
        <w:ind w:firstLine="420" w:firstLineChars="200"/>
        <w:rPr>
          <w:rFonts w:ascii="宋体" w:hAnsi="宋体"/>
        </w:rPr>
      </w:pPr>
    </w:p>
    <w:p w14:paraId="1019DEE3">
      <w:pPr>
        <w:spacing w:line="400" w:lineRule="exact"/>
        <w:ind w:firstLine="420" w:firstLineChars="200"/>
        <w:rPr>
          <w:rFonts w:ascii="宋体" w:hAnsi="宋体"/>
          <w:szCs w:val="21"/>
          <w:u w:val="single"/>
        </w:rPr>
      </w:pPr>
    </w:p>
    <w:p w14:paraId="4B886C7A">
      <w:pPr>
        <w:spacing w:line="400" w:lineRule="exact"/>
        <w:ind w:firstLine="420" w:firstLineChars="200"/>
        <w:rPr>
          <w:rFonts w:ascii="宋体" w:hAnsi="宋体"/>
          <w:szCs w:val="21"/>
          <w:u w:val="single"/>
        </w:rPr>
      </w:pPr>
    </w:p>
    <w:p w14:paraId="12B3098F">
      <w:pPr>
        <w:spacing w:line="400" w:lineRule="exact"/>
        <w:ind w:firstLine="420" w:firstLineChars="200"/>
        <w:jc w:val="right"/>
        <w:rPr>
          <w:rFonts w:hint="eastAsia" w:ascii="宋体" w:hAnsi="宋体"/>
          <w:szCs w:val="21"/>
          <w:lang w:val="en-US" w:eastAsia="zh-CN"/>
        </w:rPr>
      </w:pPr>
      <w:r>
        <w:rPr>
          <w:rFonts w:hint="eastAsia" w:ascii="宋体" w:hAnsi="宋体"/>
          <w:szCs w:val="21"/>
          <w:lang w:val="en-US" w:eastAsia="zh-CN"/>
        </w:rPr>
        <w:t>深圳市福田区第二人民医院</w:t>
      </w:r>
    </w:p>
    <w:p w14:paraId="37FE1700">
      <w:pPr>
        <w:spacing w:line="400" w:lineRule="exact"/>
        <w:ind w:firstLine="420" w:firstLineChars="200"/>
        <w:jc w:val="right"/>
        <w:rPr>
          <w:rFonts w:hint="eastAsia" w:ascii="宋体" w:hAnsi="宋体"/>
        </w:rPr>
      </w:pPr>
      <w:r>
        <w:rPr>
          <w:rFonts w:hint="eastAsia" w:ascii="宋体" w:hAnsi="宋体"/>
        </w:rPr>
        <w:t>2025年</w:t>
      </w:r>
      <w:r>
        <w:rPr>
          <w:rFonts w:hint="eastAsia" w:ascii="宋体" w:hAnsi="宋体"/>
          <w:lang w:val="en-US" w:eastAsia="zh-CN"/>
        </w:rPr>
        <w:t>7</w:t>
      </w:r>
      <w:r>
        <w:rPr>
          <w:rFonts w:hint="eastAsia" w:ascii="宋体" w:hAnsi="宋体"/>
        </w:rPr>
        <w:t>月</w:t>
      </w:r>
      <w:r>
        <w:rPr>
          <w:rFonts w:hint="eastAsia" w:ascii="宋体" w:hAnsi="宋体"/>
          <w:lang w:val="en-US" w:eastAsia="zh-CN"/>
        </w:rPr>
        <w:t>31</w:t>
      </w:r>
      <w:r>
        <w:rPr>
          <w:rFonts w:hint="eastAsia" w:ascii="宋体" w:hAnsi="宋体"/>
        </w:rPr>
        <w:t xml:space="preserve"> 日</w:t>
      </w:r>
      <w:bookmarkEnd w:id="6"/>
      <w:bookmarkEnd w:id="7"/>
      <w:bookmarkEnd w:id="8"/>
    </w:p>
    <w:p w14:paraId="7F87CBC9">
      <w:pPr>
        <w:spacing w:line="400" w:lineRule="exact"/>
        <w:ind w:firstLine="420" w:firstLineChars="200"/>
        <w:jc w:val="right"/>
        <w:rPr>
          <w:rFonts w:hint="eastAsia" w:ascii="宋体" w:hAnsi="宋体"/>
        </w:rPr>
      </w:pPr>
    </w:p>
    <w:p w14:paraId="02FC29C0">
      <w:pPr>
        <w:spacing w:line="400" w:lineRule="exact"/>
        <w:ind w:firstLine="420" w:firstLineChars="200"/>
        <w:jc w:val="right"/>
        <w:rPr>
          <w:rFonts w:hint="eastAsia" w:ascii="宋体" w:hAnsi="宋体"/>
        </w:rPr>
      </w:pPr>
    </w:p>
    <w:p w14:paraId="3378FACF">
      <w:pPr>
        <w:spacing w:line="400" w:lineRule="exact"/>
        <w:ind w:firstLine="420" w:firstLineChars="200"/>
        <w:jc w:val="right"/>
        <w:rPr>
          <w:rFonts w:hint="eastAsia" w:ascii="宋体" w:hAnsi="宋体"/>
        </w:rPr>
      </w:pPr>
    </w:p>
    <w:p w14:paraId="53283C49">
      <w:pPr>
        <w:spacing w:line="400" w:lineRule="exact"/>
        <w:ind w:firstLine="420" w:firstLineChars="200"/>
        <w:jc w:val="right"/>
        <w:rPr>
          <w:rFonts w:hint="eastAsia" w:ascii="宋体" w:hAnsi="宋体"/>
        </w:rPr>
      </w:pPr>
    </w:p>
    <w:p w14:paraId="5F32B478">
      <w:pPr>
        <w:spacing w:line="400" w:lineRule="exact"/>
        <w:ind w:firstLine="420" w:firstLineChars="200"/>
        <w:jc w:val="right"/>
        <w:rPr>
          <w:rFonts w:hint="eastAsia" w:ascii="宋体" w:hAnsi="宋体"/>
        </w:rPr>
      </w:pPr>
    </w:p>
    <w:p w14:paraId="7FCCE319">
      <w:pPr>
        <w:spacing w:line="400" w:lineRule="exact"/>
        <w:ind w:firstLine="420" w:firstLineChars="200"/>
        <w:jc w:val="right"/>
        <w:rPr>
          <w:rFonts w:hint="eastAsia" w:ascii="宋体" w:hAnsi="宋体"/>
        </w:rPr>
      </w:pPr>
    </w:p>
    <w:p w14:paraId="3734F2D6">
      <w:pPr>
        <w:spacing w:line="400" w:lineRule="exact"/>
        <w:ind w:firstLine="420" w:firstLineChars="200"/>
        <w:jc w:val="right"/>
        <w:rPr>
          <w:rFonts w:hint="eastAsia" w:ascii="宋体" w:hAnsi="宋体"/>
        </w:rPr>
      </w:pPr>
    </w:p>
    <w:p w14:paraId="504213EA">
      <w:pPr>
        <w:spacing w:line="400" w:lineRule="exact"/>
        <w:ind w:firstLine="420" w:firstLineChars="200"/>
        <w:jc w:val="right"/>
        <w:rPr>
          <w:rFonts w:hint="eastAsia" w:ascii="宋体" w:hAnsi="宋体"/>
        </w:rPr>
      </w:pPr>
    </w:p>
    <w:p w14:paraId="091003F7">
      <w:pPr>
        <w:spacing w:line="400" w:lineRule="exact"/>
        <w:ind w:firstLine="420" w:firstLineChars="200"/>
        <w:jc w:val="right"/>
        <w:rPr>
          <w:rFonts w:hint="eastAsia" w:ascii="宋体" w:hAnsi="宋体"/>
        </w:rPr>
      </w:pPr>
    </w:p>
    <w:p w14:paraId="1F8E2443">
      <w:pPr>
        <w:spacing w:line="400" w:lineRule="exact"/>
        <w:ind w:firstLine="420" w:firstLineChars="200"/>
        <w:jc w:val="right"/>
        <w:rPr>
          <w:rFonts w:hint="eastAsia" w:ascii="宋体" w:hAnsi="宋体"/>
        </w:rPr>
      </w:pPr>
    </w:p>
    <w:p w14:paraId="1366D712">
      <w:pPr>
        <w:spacing w:line="400" w:lineRule="exact"/>
        <w:ind w:firstLine="420" w:firstLineChars="200"/>
        <w:jc w:val="right"/>
        <w:rPr>
          <w:rFonts w:hint="eastAsia" w:ascii="宋体" w:hAnsi="宋体"/>
        </w:rPr>
      </w:pPr>
    </w:p>
    <w:p w14:paraId="7A1260C9">
      <w:pPr>
        <w:spacing w:line="400" w:lineRule="exact"/>
        <w:jc w:val="both"/>
        <w:rPr>
          <w:rFonts w:hint="eastAsia" w:ascii="宋体" w:hAnsi="宋体"/>
          <w:lang w:val="en-US" w:eastAsia="zh-CN"/>
        </w:rPr>
      </w:pPr>
    </w:p>
    <w:p w14:paraId="3F56D25A">
      <w:pPr>
        <w:widowControl/>
        <w:numPr>
          <w:ilvl w:val="0"/>
          <w:numId w:val="2"/>
        </w:numPr>
        <w:ind w:left="0" w:leftChars="0" w:firstLine="640" w:firstLineChars="200"/>
        <w:jc w:val="center"/>
        <w:outlineLvl w:val="0"/>
        <w:rPr>
          <w:rFonts w:hint="eastAsia" w:asciiTheme="majorEastAsia" w:hAnsiTheme="majorEastAsia" w:eastAsiaTheme="majorEastAsia"/>
          <w:sz w:val="32"/>
          <w:szCs w:val="32"/>
          <w:lang w:val="en-US" w:eastAsia="zh-CN"/>
        </w:rPr>
      </w:pPr>
      <w:bookmarkStart w:id="11" w:name="_Toc27909"/>
      <w:r>
        <w:rPr>
          <w:rFonts w:hint="eastAsia" w:asciiTheme="majorEastAsia" w:hAnsiTheme="majorEastAsia" w:eastAsiaTheme="majorEastAsia"/>
          <w:sz w:val="32"/>
          <w:szCs w:val="32"/>
          <w:lang w:val="en-US" w:eastAsia="zh-CN"/>
        </w:rPr>
        <w:t>用户需求书</w:t>
      </w:r>
      <w:bookmarkEnd w:id="11"/>
    </w:p>
    <w:p w14:paraId="1A0964E7">
      <w:pPr>
        <w:snapToGrid w:val="0"/>
        <w:spacing w:line="360" w:lineRule="auto"/>
        <w:rPr>
          <w:rFonts w:ascii="宋体"/>
          <w:b/>
          <w:bCs/>
          <w:szCs w:val="20"/>
        </w:rPr>
      </w:pPr>
      <w:r>
        <w:rPr>
          <w:rFonts w:hint="eastAsia" w:ascii="宋体"/>
          <w:b/>
          <w:bCs/>
          <w:szCs w:val="20"/>
        </w:rPr>
        <w:t>说明：</w:t>
      </w:r>
    </w:p>
    <w:p w14:paraId="41B0864D">
      <w:pPr>
        <w:numPr>
          <w:ilvl w:val="0"/>
          <w:numId w:val="6"/>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43676C16">
      <w:pPr>
        <w:numPr>
          <w:ilvl w:val="0"/>
          <w:numId w:val="6"/>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6"/>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9"/>
        <w:numPr>
          <w:ilvl w:val="0"/>
          <w:numId w:val="7"/>
        </w:numPr>
        <w:tabs>
          <w:tab w:val="left" w:pos="540"/>
        </w:tabs>
        <w:adjustRightInd w:val="0"/>
        <w:snapToGrid w:val="0"/>
        <w:spacing w:line="360" w:lineRule="auto"/>
        <w:ind w:left="420" w:leftChars="0" w:hanging="420" w:firstLineChars="0"/>
        <w:outlineLvl w:val="0"/>
        <w:rPr>
          <w:color w:val="auto"/>
        </w:rPr>
      </w:pPr>
      <w:r>
        <w:rPr>
          <w:rFonts w:hint="eastAsia"/>
          <w:b/>
          <w:color w:val="auto"/>
          <w:szCs w:val="20"/>
        </w:rPr>
        <w:t>项目</w:t>
      </w:r>
      <w:r>
        <w:rPr>
          <w:rFonts w:hint="eastAsia"/>
          <w:b/>
          <w:color w:val="auto"/>
          <w:szCs w:val="20"/>
          <w:lang w:val="en-US" w:eastAsia="zh-CN"/>
        </w:rPr>
        <w:t>一览表</w:t>
      </w:r>
      <w:r>
        <w:rPr>
          <w:rFonts w:hint="eastAsia"/>
          <w:b/>
          <w:color w:val="auto"/>
          <w:szCs w:val="20"/>
        </w:rPr>
        <w:t>：</w:t>
      </w:r>
    </w:p>
    <w:tbl>
      <w:tblPr>
        <w:tblStyle w:val="16"/>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311" w:type="dxa"/>
            <w:shd w:val="clear" w:color="auto" w:fill="EEECE1"/>
            <w:vAlign w:val="center"/>
          </w:tcPr>
          <w:p w14:paraId="515F1896">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keepNext w:val="0"/>
              <w:keepLines w:val="0"/>
              <w:suppressLineNumbers w:val="0"/>
              <w:spacing w:before="0" w:beforeAutospacing="0" w:after="0" w:afterAutospacing="0"/>
              <w:ind w:left="0" w:leftChars="0" w:right="0" w:rightChars="0"/>
              <w:jc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24小时动态血压监测仪</w:t>
            </w:r>
          </w:p>
        </w:tc>
        <w:tc>
          <w:tcPr>
            <w:tcW w:w="693" w:type="dxa"/>
            <w:vAlign w:val="center"/>
          </w:tcPr>
          <w:p w14:paraId="390AF9D4">
            <w:pPr>
              <w:keepNext w:val="0"/>
              <w:keepLines w:val="0"/>
              <w:suppressLineNumbers w:val="0"/>
              <w:spacing w:before="0" w:beforeAutospacing="0" w:after="0" w:afterAutospacing="0"/>
              <w:ind w:left="0" w:leftChars="0" w:right="0" w:rightChars="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4台</w:t>
            </w:r>
          </w:p>
        </w:tc>
        <w:tc>
          <w:tcPr>
            <w:tcW w:w="2859" w:type="dxa"/>
            <w:vAlign w:val="center"/>
          </w:tcPr>
          <w:p w14:paraId="36A3EC96">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合同签订并接院方通知后15日内交货</w:t>
            </w:r>
          </w:p>
        </w:tc>
        <w:tc>
          <w:tcPr>
            <w:tcW w:w="1937" w:type="dxa"/>
            <w:vAlign w:val="center"/>
          </w:tcPr>
          <w:p w14:paraId="113A87B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人民币36400.00元</w:t>
            </w:r>
          </w:p>
        </w:tc>
        <w:tc>
          <w:tcPr>
            <w:tcW w:w="1937" w:type="dxa"/>
            <w:vAlign w:val="center"/>
          </w:tcPr>
          <w:p w14:paraId="6694BA1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70B3C683">
      <w:pPr>
        <w:pStyle w:val="9"/>
        <w:tabs>
          <w:tab w:val="left" w:pos="540"/>
        </w:tabs>
        <w:adjustRightInd w:val="0"/>
        <w:snapToGrid w:val="0"/>
        <w:spacing w:line="360" w:lineRule="auto"/>
        <w:rPr>
          <w:rFonts w:hAnsi="宋体"/>
          <w:b/>
          <w:color w:val="auto"/>
        </w:rPr>
      </w:pPr>
    </w:p>
    <w:p w14:paraId="3142D659">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项目采购标的清单</w:t>
      </w:r>
      <w:r>
        <w:rPr>
          <w:rFonts w:hint="eastAsia" w:hAnsi="宋体"/>
          <w:b/>
          <w:color w:val="auto"/>
          <w:lang w:eastAsia="zh-CN"/>
        </w:rPr>
        <w:t>（</w:t>
      </w:r>
      <w:r>
        <w:rPr>
          <w:rFonts w:hint="eastAsia" w:hAnsi="宋体"/>
          <w:b/>
          <w:color w:val="auto"/>
          <w:lang w:val="en-US" w:eastAsia="zh-CN"/>
        </w:rPr>
        <w:t>配</w:t>
      </w:r>
      <w:r>
        <w:rPr>
          <w:rFonts w:hint="eastAsia" w:ascii="宋体" w:hAnsi="宋体" w:eastAsia="宋体"/>
          <w:b/>
          <w:color w:val="auto"/>
          <w:lang w:val="en-US" w:eastAsia="zh-CN"/>
        </w:rPr>
        <w:t>置清单</w:t>
      </w:r>
      <w:r>
        <w:rPr>
          <w:rFonts w:hint="eastAsia" w:ascii="宋体" w:hAnsi="宋体" w:eastAsia="宋体"/>
          <w:b/>
          <w:color w:val="auto"/>
          <w:lang w:eastAsia="zh-CN"/>
        </w:rPr>
        <w:t>）：</w:t>
      </w:r>
      <w:r>
        <w:rPr>
          <w:rFonts w:hint="eastAsia" w:hAnsi="宋体"/>
          <w:b/>
          <w:color w:val="auto"/>
          <w:lang w:eastAsia="zh-CN"/>
        </w:rPr>
        <w:t>（</w:t>
      </w:r>
      <w:r>
        <w:rPr>
          <w:rFonts w:hint="eastAsia" w:hAnsi="宋体"/>
          <w:b/>
          <w:color w:val="auto"/>
          <w:lang w:val="en-US" w:eastAsia="zh-CN"/>
        </w:rPr>
        <w:t>该项目不低于以下配置</w:t>
      </w:r>
      <w:r>
        <w:rPr>
          <w:rFonts w:hint="eastAsia" w:hAnsi="宋体"/>
          <w:b/>
          <w:color w:val="auto"/>
          <w:lang w:eastAsia="zh-CN"/>
        </w:rPr>
        <w:t>）</w:t>
      </w:r>
    </w:p>
    <w:tbl>
      <w:tblPr>
        <w:tblStyle w:val="17"/>
        <w:tblW w:w="10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3102"/>
        <w:gridCol w:w="1718"/>
        <w:gridCol w:w="1005"/>
        <w:gridCol w:w="961"/>
        <w:gridCol w:w="1581"/>
        <w:gridCol w:w="1286"/>
      </w:tblGrid>
      <w:tr w14:paraId="7B66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shd w:val="clear" w:color="auto" w:fill="EEECE1" w:themeFill="background2"/>
            <w:vAlign w:val="center"/>
          </w:tcPr>
          <w:p w14:paraId="03B00895">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序号</w:t>
            </w:r>
          </w:p>
        </w:tc>
        <w:tc>
          <w:tcPr>
            <w:tcW w:w="3102" w:type="dxa"/>
            <w:shd w:val="clear" w:color="auto" w:fill="EEECE1" w:themeFill="background2"/>
            <w:vAlign w:val="center"/>
          </w:tcPr>
          <w:p w14:paraId="5D73C2B6">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货物名称</w:t>
            </w:r>
          </w:p>
        </w:tc>
        <w:tc>
          <w:tcPr>
            <w:tcW w:w="1718" w:type="dxa"/>
            <w:shd w:val="clear" w:color="auto" w:fill="EEECE1" w:themeFill="background2"/>
            <w:vAlign w:val="center"/>
          </w:tcPr>
          <w:p w14:paraId="1E04CBE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单价</w:t>
            </w:r>
          </w:p>
        </w:tc>
        <w:tc>
          <w:tcPr>
            <w:tcW w:w="1005" w:type="dxa"/>
            <w:shd w:val="clear" w:color="auto" w:fill="EEECE1" w:themeFill="background2"/>
            <w:vAlign w:val="center"/>
          </w:tcPr>
          <w:p w14:paraId="47C57830">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数量</w:t>
            </w:r>
          </w:p>
        </w:tc>
        <w:tc>
          <w:tcPr>
            <w:tcW w:w="961" w:type="dxa"/>
            <w:shd w:val="clear" w:color="auto" w:fill="EEECE1" w:themeFill="background2"/>
            <w:vAlign w:val="center"/>
          </w:tcPr>
          <w:p w14:paraId="7360B4CB">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单位</w:t>
            </w:r>
          </w:p>
        </w:tc>
        <w:tc>
          <w:tcPr>
            <w:tcW w:w="1581" w:type="dxa"/>
            <w:shd w:val="clear" w:color="auto" w:fill="EEECE1" w:themeFill="background2"/>
            <w:vAlign w:val="center"/>
          </w:tcPr>
          <w:p w14:paraId="418117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备注</w:t>
            </w:r>
          </w:p>
        </w:tc>
        <w:tc>
          <w:tcPr>
            <w:tcW w:w="1286" w:type="dxa"/>
            <w:shd w:val="clear" w:color="auto" w:fill="EEECE1" w:themeFill="background2"/>
            <w:vAlign w:val="center"/>
          </w:tcPr>
          <w:p w14:paraId="6A4FFD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4144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1A2A290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3102" w:type="dxa"/>
            <w:shd w:val="clear" w:color="auto" w:fill="auto"/>
            <w:vAlign w:val="center"/>
          </w:tcPr>
          <w:p w14:paraId="6C43197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24小时动态血压监测仪主机</w:t>
            </w:r>
          </w:p>
        </w:tc>
        <w:tc>
          <w:tcPr>
            <w:tcW w:w="1718" w:type="dxa"/>
            <w:vAlign w:val="center"/>
          </w:tcPr>
          <w:p w14:paraId="3BA217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人民币9100.00元</w:t>
            </w:r>
          </w:p>
        </w:tc>
        <w:tc>
          <w:tcPr>
            <w:tcW w:w="1005" w:type="dxa"/>
            <w:shd w:val="clear" w:color="auto" w:fill="auto"/>
            <w:vAlign w:val="center"/>
          </w:tcPr>
          <w:p w14:paraId="75E6B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61" w:type="dxa"/>
            <w:shd w:val="clear" w:color="auto" w:fill="auto"/>
            <w:vAlign w:val="center"/>
          </w:tcPr>
          <w:p w14:paraId="70C3D3F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581" w:type="dxa"/>
            <w:vAlign w:val="center"/>
          </w:tcPr>
          <w:p w14:paraId="51BE975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589C0B2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核心产品</w:t>
            </w:r>
          </w:p>
        </w:tc>
      </w:tr>
      <w:tr w14:paraId="346F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4DD4B9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3102" w:type="dxa"/>
            <w:shd w:val="clear" w:color="auto" w:fill="auto"/>
            <w:vAlign w:val="center"/>
          </w:tcPr>
          <w:p w14:paraId="3CFF0B3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动态血压软件优盘</w:t>
            </w:r>
          </w:p>
        </w:tc>
        <w:tc>
          <w:tcPr>
            <w:tcW w:w="1718" w:type="dxa"/>
            <w:vAlign w:val="center"/>
          </w:tcPr>
          <w:p w14:paraId="22E66D4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1005" w:type="dxa"/>
            <w:shd w:val="clear" w:color="auto" w:fill="auto"/>
            <w:vAlign w:val="center"/>
          </w:tcPr>
          <w:p w14:paraId="77481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61" w:type="dxa"/>
            <w:shd w:val="clear" w:color="auto" w:fill="auto"/>
            <w:vAlign w:val="center"/>
          </w:tcPr>
          <w:p w14:paraId="0182FF8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581" w:type="dxa"/>
            <w:vAlign w:val="center"/>
          </w:tcPr>
          <w:p w14:paraId="41FBC5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20626AA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02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6767FFA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3</w:t>
            </w:r>
          </w:p>
        </w:tc>
        <w:tc>
          <w:tcPr>
            <w:tcW w:w="3102" w:type="dxa"/>
            <w:shd w:val="clear" w:color="auto" w:fill="auto"/>
            <w:vAlign w:val="center"/>
          </w:tcPr>
          <w:p w14:paraId="015D4E0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动态血压USB数据线</w:t>
            </w:r>
          </w:p>
        </w:tc>
        <w:tc>
          <w:tcPr>
            <w:tcW w:w="1718" w:type="dxa"/>
            <w:vAlign w:val="center"/>
          </w:tcPr>
          <w:p w14:paraId="7E662ED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1005" w:type="dxa"/>
            <w:shd w:val="clear" w:color="auto" w:fill="auto"/>
            <w:vAlign w:val="center"/>
          </w:tcPr>
          <w:p w14:paraId="3A6FB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61" w:type="dxa"/>
            <w:shd w:val="clear" w:color="auto" w:fill="auto"/>
            <w:vAlign w:val="center"/>
          </w:tcPr>
          <w:p w14:paraId="20D7B00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581" w:type="dxa"/>
            <w:vAlign w:val="center"/>
          </w:tcPr>
          <w:p w14:paraId="5FEAEB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2E7774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06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D49632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4</w:t>
            </w:r>
          </w:p>
        </w:tc>
        <w:tc>
          <w:tcPr>
            <w:tcW w:w="3102" w:type="dxa"/>
            <w:shd w:val="clear" w:color="auto" w:fill="auto"/>
            <w:vAlign w:val="center"/>
          </w:tcPr>
          <w:p w14:paraId="45D3F51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大号成人袖帶 </w:t>
            </w:r>
          </w:p>
        </w:tc>
        <w:tc>
          <w:tcPr>
            <w:tcW w:w="1718" w:type="dxa"/>
            <w:vAlign w:val="center"/>
          </w:tcPr>
          <w:p w14:paraId="547B9AC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1005" w:type="dxa"/>
            <w:shd w:val="clear" w:color="auto" w:fill="auto"/>
            <w:vAlign w:val="center"/>
          </w:tcPr>
          <w:p w14:paraId="03FB5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61" w:type="dxa"/>
            <w:shd w:val="clear" w:color="auto" w:fill="auto"/>
            <w:vAlign w:val="center"/>
          </w:tcPr>
          <w:p w14:paraId="1C3DC2F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581" w:type="dxa"/>
            <w:vAlign w:val="center"/>
          </w:tcPr>
          <w:p w14:paraId="61A539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4F67DC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4A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ECE1D4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3102" w:type="dxa"/>
            <w:shd w:val="clear" w:color="auto" w:fill="auto"/>
            <w:vAlign w:val="center"/>
          </w:tcPr>
          <w:p w14:paraId="1CF526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中号成人袖帶 </w:t>
            </w:r>
          </w:p>
        </w:tc>
        <w:tc>
          <w:tcPr>
            <w:tcW w:w="1718" w:type="dxa"/>
            <w:vAlign w:val="center"/>
          </w:tcPr>
          <w:p w14:paraId="3D0DE17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1005" w:type="dxa"/>
            <w:shd w:val="clear" w:color="auto" w:fill="auto"/>
            <w:vAlign w:val="center"/>
          </w:tcPr>
          <w:p w14:paraId="5E0172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961" w:type="dxa"/>
            <w:shd w:val="clear" w:color="auto" w:fill="auto"/>
            <w:vAlign w:val="center"/>
          </w:tcPr>
          <w:p w14:paraId="31CC3C7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581" w:type="dxa"/>
            <w:vAlign w:val="center"/>
          </w:tcPr>
          <w:p w14:paraId="7AC1BB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3497106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DC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03504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3102" w:type="dxa"/>
            <w:shd w:val="clear" w:color="auto" w:fill="auto"/>
            <w:vAlign w:val="center"/>
          </w:tcPr>
          <w:p w14:paraId="5B93427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袖带内衬</w:t>
            </w:r>
          </w:p>
        </w:tc>
        <w:tc>
          <w:tcPr>
            <w:tcW w:w="1718" w:type="dxa"/>
            <w:vAlign w:val="center"/>
          </w:tcPr>
          <w:p w14:paraId="1347731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1005" w:type="dxa"/>
            <w:shd w:val="clear" w:color="auto" w:fill="auto"/>
            <w:vAlign w:val="center"/>
          </w:tcPr>
          <w:p w14:paraId="2940C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61" w:type="dxa"/>
            <w:shd w:val="clear" w:color="auto" w:fill="auto"/>
            <w:vAlign w:val="center"/>
          </w:tcPr>
          <w:p w14:paraId="2BD1FD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581" w:type="dxa"/>
            <w:vAlign w:val="center"/>
          </w:tcPr>
          <w:p w14:paraId="76DD5F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1168D31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384CA5D6">
      <w:pPr>
        <w:pStyle w:val="26"/>
        <w:ind w:firstLine="422"/>
        <w:rPr>
          <w:rFonts w:hAnsi="宋体"/>
          <w:b/>
          <w:color w:val="auto"/>
        </w:rPr>
      </w:pPr>
    </w:p>
    <w:p w14:paraId="705CA8FA">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hAnsi="宋体"/>
          <w:b/>
          <w:color w:val="auto"/>
        </w:rPr>
        <w:t>技术要求：</w:t>
      </w:r>
    </w:p>
    <w:tbl>
      <w:tblPr>
        <w:tblStyle w:val="16"/>
        <w:tblW w:w="939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95"/>
        <w:gridCol w:w="6743"/>
        <w:gridCol w:w="1057"/>
      </w:tblGrid>
      <w:tr w14:paraId="37185A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tcBorders>
              <w:tl2br w:val="nil"/>
              <w:tr2bl w:val="nil"/>
            </w:tcBorders>
            <w:shd w:val="clear" w:color="auto" w:fill="EEECE1" w:themeFill="background2"/>
            <w:vAlign w:val="center"/>
          </w:tcPr>
          <w:p w14:paraId="1AEF6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6743" w:type="dxa"/>
            <w:tcBorders>
              <w:tl2br w:val="nil"/>
              <w:tr2bl w:val="nil"/>
            </w:tcBorders>
            <w:shd w:val="clear" w:color="auto" w:fill="EEECE1" w:themeFill="background2"/>
            <w:vAlign w:val="center"/>
          </w:tcPr>
          <w:p w14:paraId="740C3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技术要求</w:t>
            </w:r>
          </w:p>
        </w:tc>
        <w:tc>
          <w:tcPr>
            <w:tcW w:w="1057" w:type="dxa"/>
            <w:tcBorders>
              <w:tl2br w:val="nil"/>
              <w:tr2bl w:val="nil"/>
            </w:tcBorders>
            <w:shd w:val="clear" w:color="auto" w:fill="EEECE1" w:themeFill="background2"/>
            <w:vAlign w:val="center"/>
          </w:tcPr>
          <w:p w14:paraId="0E03FA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标注</w:t>
            </w:r>
          </w:p>
        </w:tc>
      </w:tr>
      <w:tr w14:paraId="373126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restart"/>
            <w:tcBorders>
              <w:tl2br w:val="nil"/>
              <w:tr2bl w:val="nil"/>
            </w:tcBorders>
            <w:shd w:val="clear" w:color="auto" w:fill="auto"/>
            <w:vAlign w:val="center"/>
          </w:tcPr>
          <w:p w14:paraId="5F238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24小时动态血压监测仪</w:t>
            </w:r>
          </w:p>
        </w:tc>
        <w:tc>
          <w:tcPr>
            <w:tcW w:w="6743" w:type="dxa"/>
            <w:tcBorders>
              <w:tl2br w:val="nil"/>
              <w:tr2bl w:val="nil"/>
            </w:tcBorders>
            <w:shd w:val="clear" w:color="auto" w:fill="auto"/>
            <w:vAlign w:val="center"/>
          </w:tcPr>
          <w:p w14:paraId="771AAC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测量方法：阶梯放气示波法。</w:t>
            </w:r>
          </w:p>
        </w:tc>
        <w:tc>
          <w:tcPr>
            <w:tcW w:w="1057" w:type="dxa"/>
            <w:tcBorders>
              <w:tl2br w:val="nil"/>
              <w:tr2bl w:val="nil"/>
            </w:tcBorders>
            <w:shd w:val="clear" w:color="auto" w:fill="auto"/>
            <w:vAlign w:val="center"/>
          </w:tcPr>
          <w:p w14:paraId="32141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CFE55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8DA3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21F672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收缩压测量范围：40-260 mmHg（所投产品涵盖此范围即认定为满足该项技术要求）。</w:t>
            </w:r>
          </w:p>
        </w:tc>
        <w:tc>
          <w:tcPr>
            <w:tcW w:w="1057" w:type="dxa"/>
            <w:tcBorders>
              <w:tl2br w:val="nil"/>
              <w:tr2bl w:val="nil"/>
            </w:tcBorders>
            <w:shd w:val="clear" w:color="auto" w:fill="auto"/>
            <w:vAlign w:val="center"/>
          </w:tcPr>
          <w:p w14:paraId="182F1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C9D0B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B950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F3FD4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舒张压测量范围：20-210 mmHg（所投产品涵盖此范围即认定为满足该项技术要求）。</w:t>
            </w:r>
          </w:p>
        </w:tc>
        <w:tc>
          <w:tcPr>
            <w:tcW w:w="1057" w:type="dxa"/>
            <w:tcBorders>
              <w:tl2br w:val="nil"/>
              <w:tr2bl w:val="nil"/>
            </w:tcBorders>
            <w:shd w:val="clear" w:color="auto" w:fill="auto"/>
            <w:vAlign w:val="center"/>
          </w:tcPr>
          <w:p w14:paraId="349B8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9BA54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E3F9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ADCF0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心率范围：40-200 b（所投产品涵盖此范围即认定为满足该项技术要求）。</w:t>
            </w:r>
          </w:p>
        </w:tc>
        <w:tc>
          <w:tcPr>
            <w:tcW w:w="1057" w:type="dxa"/>
            <w:tcBorders>
              <w:tl2br w:val="nil"/>
              <w:tr2bl w:val="nil"/>
            </w:tcBorders>
            <w:shd w:val="clear" w:color="auto" w:fill="auto"/>
            <w:vAlign w:val="center"/>
          </w:tcPr>
          <w:p w14:paraId="72B14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796EB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CEB0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2FBEE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准确性：±3 mmHg。</w:t>
            </w:r>
          </w:p>
        </w:tc>
        <w:tc>
          <w:tcPr>
            <w:tcW w:w="1057" w:type="dxa"/>
            <w:tcBorders>
              <w:tl2br w:val="nil"/>
              <w:tr2bl w:val="nil"/>
            </w:tcBorders>
            <w:shd w:val="clear" w:color="auto" w:fill="auto"/>
            <w:vAlign w:val="center"/>
          </w:tcPr>
          <w:p w14:paraId="0F1A1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9A7C6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F948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213DE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可测量并记录数据≥250条。</w:t>
            </w:r>
          </w:p>
        </w:tc>
        <w:tc>
          <w:tcPr>
            <w:tcW w:w="1057" w:type="dxa"/>
            <w:tcBorders>
              <w:tl2br w:val="nil"/>
              <w:tr2bl w:val="nil"/>
            </w:tcBorders>
            <w:shd w:val="clear" w:color="auto" w:fill="auto"/>
            <w:vAlign w:val="center"/>
          </w:tcPr>
          <w:p w14:paraId="28D87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9EA77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2C0B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9354D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数据存储器：闪存储存≥300个读数。</w:t>
            </w:r>
          </w:p>
        </w:tc>
        <w:tc>
          <w:tcPr>
            <w:tcW w:w="1057" w:type="dxa"/>
            <w:tcBorders>
              <w:tl2br w:val="nil"/>
              <w:tr2bl w:val="nil"/>
            </w:tcBorders>
            <w:shd w:val="clear" w:color="auto" w:fill="auto"/>
            <w:vAlign w:val="center"/>
          </w:tcPr>
          <w:p w14:paraId="36E2D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27ADB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53E81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D62DD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安全系统：最大充气压力≤290mmHg；断电自动安全打开阀门；最大BP测量时间限制到少于120秒。</w:t>
            </w:r>
          </w:p>
        </w:tc>
        <w:tc>
          <w:tcPr>
            <w:tcW w:w="1057" w:type="dxa"/>
            <w:tcBorders>
              <w:tl2br w:val="nil"/>
              <w:tr2bl w:val="nil"/>
            </w:tcBorders>
            <w:shd w:val="clear" w:color="auto" w:fill="auto"/>
            <w:vAlign w:val="center"/>
          </w:tcPr>
          <w:p w14:paraId="27030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DB143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5921F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17071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取样周期：可实现多个独立可程序化周期，至少包含5，10，15，20，30，45，60，90、120min。</w:t>
            </w:r>
          </w:p>
        </w:tc>
        <w:tc>
          <w:tcPr>
            <w:tcW w:w="1057" w:type="dxa"/>
            <w:tcBorders>
              <w:tl2br w:val="nil"/>
              <w:tr2bl w:val="nil"/>
            </w:tcBorders>
            <w:shd w:val="clear" w:color="auto" w:fill="auto"/>
            <w:vAlign w:val="center"/>
          </w:tcPr>
          <w:p w14:paraId="7C76F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C0E95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DA59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D05E8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尺寸≤119×52×21mm。</w:t>
            </w:r>
          </w:p>
        </w:tc>
        <w:tc>
          <w:tcPr>
            <w:tcW w:w="1057" w:type="dxa"/>
            <w:tcBorders>
              <w:tl2br w:val="nil"/>
              <w:tr2bl w:val="nil"/>
            </w:tcBorders>
            <w:shd w:val="clear" w:color="auto" w:fill="auto"/>
            <w:vAlign w:val="center"/>
          </w:tcPr>
          <w:p w14:paraId="29E76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2FC33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10D5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FE43D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净重量≤105g，包括电池,袖带。</w:t>
            </w:r>
          </w:p>
        </w:tc>
        <w:tc>
          <w:tcPr>
            <w:tcW w:w="1057" w:type="dxa"/>
            <w:tcBorders>
              <w:tl2br w:val="nil"/>
              <w:tr2bl w:val="nil"/>
            </w:tcBorders>
            <w:shd w:val="clear" w:color="auto" w:fill="auto"/>
            <w:vAlign w:val="center"/>
          </w:tcPr>
          <w:p w14:paraId="300B8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637AD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4963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9E443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工作环境：温度：5℃～40℃；相对湿度：10%～95%；大气压力：70KPa～106KPa，允差±10％。</w:t>
            </w:r>
          </w:p>
        </w:tc>
        <w:tc>
          <w:tcPr>
            <w:tcW w:w="1057" w:type="dxa"/>
            <w:tcBorders>
              <w:tl2br w:val="nil"/>
              <w:tr2bl w:val="nil"/>
            </w:tcBorders>
            <w:shd w:val="clear" w:color="auto" w:fill="auto"/>
            <w:vAlign w:val="center"/>
          </w:tcPr>
          <w:p w14:paraId="023DF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2931F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35F3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2EF5C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临床验证：通过ESH临床验证（需提供第三方检测机构出具的具有“CMA”标识或中国药检标识的检测报告。</w:t>
            </w:r>
          </w:p>
        </w:tc>
        <w:tc>
          <w:tcPr>
            <w:tcW w:w="1057" w:type="dxa"/>
            <w:tcBorders>
              <w:tl2br w:val="nil"/>
              <w:tr2bl w:val="nil"/>
            </w:tcBorders>
            <w:shd w:val="clear" w:color="auto" w:fill="auto"/>
            <w:vAlign w:val="center"/>
          </w:tcPr>
          <w:p w14:paraId="4E5943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61B85F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4F4E5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A806F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可穿戴式佩戴，方便携带（需提供产品彩页或技术白皮书佐证）。</w:t>
            </w:r>
          </w:p>
        </w:tc>
        <w:tc>
          <w:tcPr>
            <w:tcW w:w="1057" w:type="dxa"/>
            <w:tcBorders>
              <w:tl2br w:val="nil"/>
              <w:tr2bl w:val="nil"/>
            </w:tcBorders>
            <w:shd w:val="clear" w:color="auto" w:fill="auto"/>
            <w:vAlign w:val="center"/>
          </w:tcPr>
          <w:p w14:paraId="4C0B6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400D83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EA2F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5CDC0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带前后翻页按键，可显示屏回看数据。</w:t>
            </w:r>
          </w:p>
        </w:tc>
        <w:tc>
          <w:tcPr>
            <w:tcW w:w="1057" w:type="dxa"/>
            <w:tcBorders>
              <w:tl2br w:val="nil"/>
              <w:tr2bl w:val="nil"/>
            </w:tcBorders>
            <w:shd w:val="clear" w:color="auto" w:fill="auto"/>
            <w:vAlign w:val="center"/>
          </w:tcPr>
          <w:p w14:paraId="19052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D9775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45B28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A2CBE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OLED显示屏≥65X25MM，彩色显示。</w:t>
            </w:r>
          </w:p>
        </w:tc>
        <w:tc>
          <w:tcPr>
            <w:tcW w:w="1057" w:type="dxa"/>
            <w:tcBorders>
              <w:tl2br w:val="nil"/>
              <w:tr2bl w:val="nil"/>
            </w:tcBorders>
            <w:shd w:val="clear" w:color="auto" w:fill="auto"/>
            <w:vAlign w:val="center"/>
          </w:tcPr>
          <w:p w14:paraId="6571F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14D85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3711B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F5ECA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具有体位信息记录，帮助医生判断血压升降原因。（需提供产品彩页或技术白皮书佐证）</w:t>
            </w:r>
          </w:p>
        </w:tc>
        <w:tc>
          <w:tcPr>
            <w:tcW w:w="1057" w:type="dxa"/>
            <w:tcBorders>
              <w:tl2br w:val="nil"/>
              <w:tr2bl w:val="nil"/>
            </w:tcBorders>
            <w:shd w:val="clear" w:color="auto" w:fill="auto"/>
            <w:vAlign w:val="center"/>
          </w:tcPr>
          <w:p w14:paraId="4EF48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07ED56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345D7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4FD1C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双压力传感器，双重保护功能。</w:t>
            </w:r>
          </w:p>
        </w:tc>
        <w:tc>
          <w:tcPr>
            <w:tcW w:w="1057" w:type="dxa"/>
            <w:tcBorders>
              <w:tl2br w:val="nil"/>
              <w:tr2bl w:val="nil"/>
            </w:tcBorders>
            <w:shd w:val="clear" w:color="auto" w:fill="auto"/>
            <w:vAlign w:val="center"/>
          </w:tcPr>
          <w:p w14:paraId="12489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3007E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330E2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76415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具有防干扰动态血压技术可抗运动干扰。</w:t>
            </w:r>
          </w:p>
        </w:tc>
        <w:tc>
          <w:tcPr>
            <w:tcW w:w="1057" w:type="dxa"/>
            <w:tcBorders>
              <w:tl2br w:val="nil"/>
              <w:tr2bl w:val="nil"/>
            </w:tcBorders>
            <w:shd w:val="clear" w:color="auto" w:fill="auto"/>
            <w:vAlign w:val="center"/>
          </w:tcPr>
          <w:p w14:paraId="4DE76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41FC00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29C5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B9022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为防止病人随意按键，提供监护仪开关启动测量的停用功能。</w:t>
            </w:r>
          </w:p>
        </w:tc>
        <w:tc>
          <w:tcPr>
            <w:tcW w:w="1057" w:type="dxa"/>
            <w:tcBorders>
              <w:tl2br w:val="nil"/>
              <w:tr2bl w:val="nil"/>
            </w:tcBorders>
            <w:shd w:val="clear" w:color="auto" w:fill="auto"/>
            <w:vAlign w:val="center"/>
          </w:tcPr>
          <w:p w14:paraId="1DA00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438F28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97D6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A4C75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黑屏选项：可设置监测仪为黑屏状态，以免患者好奇触动。</w:t>
            </w:r>
          </w:p>
        </w:tc>
        <w:tc>
          <w:tcPr>
            <w:tcW w:w="1057" w:type="dxa"/>
            <w:tcBorders>
              <w:tl2br w:val="nil"/>
              <w:tr2bl w:val="nil"/>
            </w:tcBorders>
            <w:shd w:val="clear" w:color="auto" w:fill="auto"/>
            <w:vAlign w:val="center"/>
          </w:tcPr>
          <w:p w14:paraId="229F2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7931D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30E2E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077B3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数据通讯支持USB接口，保证数据传输的稳定性和可靠性。</w:t>
            </w:r>
          </w:p>
        </w:tc>
        <w:tc>
          <w:tcPr>
            <w:tcW w:w="1057" w:type="dxa"/>
            <w:tcBorders>
              <w:tl2br w:val="nil"/>
              <w:tr2bl w:val="nil"/>
            </w:tcBorders>
            <w:shd w:val="clear" w:color="auto" w:fill="auto"/>
            <w:vAlign w:val="center"/>
          </w:tcPr>
          <w:p w14:paraId="3B188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4DF7F0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BB3C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EFE93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至少提供白天、晚上以及特殊时间段测量时间段设置。</w:t>
            </w:r>
          </w:p>
        </w:tc>
        <w:tc>
          <w:tcPr>
            <w:tcW w:w="1057" w:type="dxa"/>
            <w:tcBorders>
              <w:tl2br w:val="nil"/>
              <w:tr2bl w:val="nil"/>
            </w:tcBorders>
            <w:shd w:val="clear" w:color="auto" w:fill="auto"/>
            <w:vAlign w:val="center"/>
          </w:tcPr>
          <w:p w14:paraId="33702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FBD7F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B558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FCDBC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液晶屏同屏显示收缩压、舒张压和心率。处于工作状态时记录盒显示时间与光点。</w:t>
            </w:r>
          </w:p>
        </w:tc>
        <w:tc>
          <w:tcPr>
            <w:tcW w:w="1057" w:type="dxa"/>
            <w:tcBorders>
              <w:tl2br w:val="nil"/>
              <w:tr2bl w:val="nil"/>
            </w:tcBorders>
            <w:shd w:val="clear" w:color="auto" w:fill="auto"/>
            <w:vAlign w:val="center"/>
          </w:tcPr>
          <w:p w14:paraId="421B0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44D98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799F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FA40B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具有最大充气压设置功能。</w:t>
            </w:r>
          </w:p>
        </w:tc>
        <w:tc>
          <w:tcPr>
            <w:tcW w:w="1057" w:type="dxa"/>
            <w:tcBorders>
              <w:tl2br w:val="nil"/>
              <w:tr2bl w:val="nil"/>
            </w:tcBorders>
            <w:shd w:val="clear" w:color="auto" w:fill="auto"/>
            <w:vAlign w:val="center"/>
          </w:tcPr>
          <w:p w14:paraId="5B917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382DB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0C64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2B8D67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测量失败，可自动重测。</w:t>
            </w:r>
          </w:p>
        </w:tc>
        <w:tc>
          <w:tcPr>
            <w:tcW w:w="1057" w:type="dxa"/>
            <w:tcBorders>
              <w:tl2br w:val="nil"/>
              <w:tr2bl w:val="nil"/>
            </w:tcBorders>
            <w:shd w:val="clear" w:color="auto" w:fill="auto"/>
            <w:vAlign w:val="center"/>
          </w:tcPr>
          <w:p w14:paraId="53BBB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E18D8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47E49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271DC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具有读数超标警示。血压读数超过设定的限值后，产生警示。警示至少包含显示，声音两种方式。</w:t>
            </w:r>
          </w:p>
        </w:tc>
        <w:tc>
          <w:tcPr>
            <w:tcW w:w="1057" w:type="dxa"/>
            <w:tcBorders>
              <w:tl2br w:val="nil"/>
              <w:tr2bl w:val="nil"/>
            </w:tcBorders>
            <w:shd w:val="clear" w:color="auto" w:fill="auto"/>
            <w:vAlign w:val="center"/>
          </w:tcPr>
          <w:p w14:paraId="1FD35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158E2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32AAE4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2A7ED8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电池剩余电量可观测，便于判断是否需要更换电池。</w:t>
            </w:r>
          </w:p>
        </w:tc>
        <w:tc>
          <w:tcPr>
            <w:tcW w:w="1057" w:type="dxa"/>
            <w:tcBorders>
              <w:tl2br w:val="nil"/>
              <w:tr2bl w:val="nil"/>
            </w:tcBorders>
            <w:shd w:val="clear" w:color="auto" w:fill="auto"/>
            <w:vAlign w:val="center"/>
          </w:tcPr>
          <w:p w14:paraId="3F243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5C4FE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6B4C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99209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支持时间片段采样分析。</w:t>
            </w:r>
          </w:p>
        </w:tc>
        <w:tc>
          <w:tcPr>
            <w:tcW w:w="1057" w:type="dxa"/>
            <w:tcBorders>
              <w:tl2br w:val="nil"/>
              <w:tr2bl w:val="nil"/>
            </w:tcBorders>
            <w:shd w:val="clear" w:color="auto" w:fill="auto"/>
            <w:vAlign w:val="center"/>
          </w:tcPr>
          <w:p w14:paraId="6FDE7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27B19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CEE9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770428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可设定儿科阈值。（需提供产品彩页或技术白皮书佐证）</w:t>
            </w:r>
          </w:p>
        </w:tc>
        <w:tc>
          <w:tcPr>
            <w:tcW w:w="1057" w:type="dxa"/>
            <w:tcBorders>
              <w:tl2br w:val="nil"/>
              <w:tr2bl w:val="nil"/>
            </w:tcBorders>
            <w:shd w:val="clear" w:color="auto" w:fill="auto"/>
            <w:vAlign w:val="center"/>
          </w:tcPr>
          <w:p w14:paraId="143AC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2AF934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A280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D6328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提供脉搏波功能：同步提供每次血压测量数据的脉搏波波形，并可以通过同步的脉搏波波形对血压数据进行判断，校正。（需提供产品彩页或技术白皮书佐证）</w:t>
            </w:r>
          </w:p>
        </w:tc>
        <w:tc>
          <w:tcPr>
            <w:tcW w:w="1057" w:type="dxa"/>
            <w:tcBorders>
              <w:tl2br w:val="nil"/>
              <w:tr2bl w:val="nil"/>
            </w:tcBorders>
            <w:shd w:val="clear" w:color="auto" w:fill="auto"/>
            <w:vAlign w:val="center"/>
          </w:tcPr>
          <w:p w14:paraId="0D334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080AED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9DB2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0A5BC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支持统计计算血压平滑指数，晨峰系数，血压变异系数，动脉硬化指数，可显示在统计页上。</w:t>
            </w:r>
          </w:p>
        </w:tc>
        <w:tc>
          <w:tcPr>
            <w:tcW w:w="1057" w:type="dxa"/>
            <w:tcBorders>
              <w:tl2br w:val="nil"/>
              <w:tr2bl w:val="nil"/>
            </w:tcBorders>
            <w:shd w:val="clear" w:color="auto" w:fill="auto"/>
            <w:vAlign w:val="center"/>
          </w:tcPr>
          <w:p w14:paraId="6105F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59E85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8629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3FD1E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支持电子搜索功能，读取数据时可以轻易找到病人信息，无需重新手工输入。</w:t>
            </w:r>
          </w:p>
        </w:tc>
        <w:tc>
          <w:tcPr>
            <w:tcW w:w="1057" w:type="dxa"/>
            <w:tcBorders>
              <w:tl2br w:val="nil"/>
              <w:tr2bl w:val="nil"/>
            </w:tcBorders>
            <w:shd w:val="clear" w:color="auto" w:fill="auto"/>
            <w:vAlign w:val="center"/>
          </w:tcPr>
          <w:p w14:paraId="50C82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ACB33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5812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3E67B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支持血压比较分析功能。一个人如果前后两次或多次就诊。软件可以比较最近两次就诊的血压数据。</w:t>
            </w:r>
          </w:p>
        </w:tc>
        <w:tc>
          <w:tcPr>
            <w:tcW w:w="1057" w:type="dxa"/>
            <w:tcBorders>
              <w:tl2br w:val="nil"/>
              <w:tr2bl w:val="nil"/>
            </w:tcBorders>
            <w:shd w:val="clear" w:color="auto" w:fill="auto"/>
            <w:vAlign w:val="center"/>
          </w:tcPr>
          <w:p w14:paraId="3D317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BB618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389EE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9D23A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支持自动生成诊断结论，符合卫生系统诊断标准。</w:t>
            </w:r>
          </w:p>
        </w:tc>
        <w:tc>
          <w:tcPr>
            <w:tcW w:w="1057" w:type="dxa"/>
            <w:tcBorders>
              <w:tl2br w:val="nil"/>
              <w:tr2bl w:val="nil"/>
            </w:tcBorders>
            <w:shd w:val="clear" w:color="auto" w:fill="auto"/>
            <w:vAlign w:val="center"/>
          </w:tcPr>
          <w:p w14:paraId="18637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bl>
    <w:p w14:paraId="083A8475">
      <w:pPr>
        <w:pStyle w:val="9"/>
        <w:tabs>
          <w:tab w:val="left" w:pos="420"/>
          <w:tab w:val="left" w:pos="540"/>
        </w:tabs>
        <w:adjustRightInd w:val="0"/>
        <w:snapToGrid w:val="0"/>
        <w:spacing w:line="360" w:lineRule="auto"/>
        <w:rPr>
          <w:rFonts w:hAnsi="宋体"/>
          <w:b/>
          <w:color w:val="auto"/>
        </w:rPr>
      </w:pPr>
    </w:p>
    <w:p w14:paraId="7C2FC4C4">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商务要求：</w:t>
      </w:r>
    </w:p>
    <w:tbl>
      <w:tblPr>
        <w:tblStyle w:val="16"/>
        <w:tblW w:w="83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7660"/>
      </w:tblGrid>
      <w:tr w14:paraId="1667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0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商务条款</w:t>
            </w:r>
          </w:p>
        </w:tc>
      </w:tr>
      <w:tr w14:paraId="6893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9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2E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交货时间：合同签订并接院方通知后15日内。</w:t>
            </w:r>
          </w:p>
        </w:tc>
      </w:tr>
      <w:tr w14:paraId="7568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6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1D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免费保修期：系指中标供应商提供的产品在非使用者人为破坏情况下，出现任何质量问题造成产品不能使用时，由中标供应商免费维修、更换以确保产品正常使用的时间期限。此时间期限从设备验收合格之日起计算。具体是指设备验收合格后3年内 。</w:t>
            </w:r>
          </w:p>
        </w:tc>
      </w:tr>
      <w:tr w14:paraId="7877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0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C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中标方应保证设备是全新、未使用过的原装合格正品（包括零部件），设备到达院方安装现场时外包装应完好无损。进口产品生产日期在采购人收到货物日期前</w:t>
            </w:r>
            <w:r>
              <w:rPr>
                <w:rFonts w:hint="default" w:ascii="宋体" w:hAnsi="宋体" w:eastAsia="宋体" w:cs="宋体"/>
                <w:i w:val="0"/>
                <w:iCs w:val="0"/>
                <w:color w:val="auto"/>
                <w:kern w:val="0"/>
                <w:sz w:val="20"/>
                <w:szCs w:val="20"/>
                <w:u w:val="none"/>
                <w:lang w:val="en-US" w:eastAsia="zh-CN" w:bidi="ar"/>
              </w:rPr>
              <w:t>12</w:t>
            </w:r>
            <w:r>
              <w:rPr>
                <w:rFonts w:hint="eastAsia" w:ascii="宋体" w:hAnsi="宋体" w:eastAsia="宋体" w:cs="宋体"/>
                <w:i w:val="0"/>
                <w:iCs w:val="0"/>
                <w:color w:val="auto"/>
                <w:kern w:val="0"/>
                <w:sz w:val="20"/>
                <w:szCs w:val="20"/>
                <w:u w:val="none"/>
                <w:lang w:val="en-US" w:eastAsia="zh-CN" w:bidi="ar"/>
              </w:rPr>
              <w:t>个月内，国产产品生产日期在采购人收到货物日期前</w:t>
            </w:r>
            <w:r>
              <w:rPr>
                <w:rFonts w:hint="default" w:ascii="宋体" w:hAnsi="宋体" w:eastAsia="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个月内，最新生产批次且经检验合格的产品。</w:t>
            </w:r>
          </w:p>
        </w:tc>
      </w:tr>
      <w:tr w14:paraId="2D24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F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p w14:paraId="1D6E6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2A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标方应随设备向院方交付设备中文版《使用说明书》《医疗器械生产企业许可证》《医疗器械经营企业许可证》《医疗器械注册证》等与本合同设备使用有关的所有资料。如为进口设备，中标方还应提供进口设备原产地证、检测报告、《进口医疗器械注册证》、检验检疫证明、进口报关手续等资料。</w:t>
            </w:r>
          </w:p>
        </w:tc>
      </w:tr>
      <w:tr w14:paraId="3661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E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51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验收日期前中标方必须完成合同约定的各项培训，包括对院方相关人员进行设备使用培训及日常保养培训并提供培训记录。现场验收时中标方需提供必要的技术支持并协助院方完成各项指标和功能的测试，否则因验收延误产生的后果由中标方负责。</w:t>
            </w:r>
          </w:p>
        </w:tc>
      </w:tr>
      <w:tr w14:paraId="105F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A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77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货到安装、调试验收合格后，中标方应按本合同全额价款出具正规税务发票，院方财务科收到中标方发票等相关资料后</w:t>
            </w:r>
            <w:r>
              <w:rPr>
                <w:rFonts w:hint="default" w:ascii="宋体" w:hAnsi="宋体" w:eastAsia="宋体" w:cs="宋体"/>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个工作日内向中标方支付合同全款。</w:t>
            </w:r>
          </w:p>
        </w:tc>
      </w:tr>
      <w:tr w14:paraId="2B21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0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C3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设备出现故障时中标方应在接到院方通知时</w:t>
            </w:r>
            <w:r>
              <w:rPr>
                <w:rFonts w:hint="default" w:ascii="宋体" w:hAnsi="宋体" w:eastAsia="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小时响应，</w:t>
            </w:r>
            <w:r>
              <w:rPr>
                <w:rFonts w:hint="default" w:ascii="宋体" w:hAnsi="宋体" w:eastAsia="宋体" w:cs="宋体"/>
                <w:i w:val="0"/>
                <w:iCs w:val="0"/>
                <w:color w:val="auto"/>
                <w:kern w:val="0"/>
                <w:sz w:val="20"/>
                <w:szCs w:val="20"/>
                <w:u w:val="none"/>
                <w:lang w:val="en-US" w:eastAsia="zh-CN" w:bidi="ar"/>
              </w:rPr>
              <w:t>24</w:t>
            </w:r>
            <w:r>
              <w:rPr>
                <w:rFonts w:hint="eastAsia" w:ascii="宋体" w:hAnsi="宋体" w:eastAsia="宋体" w:cs="宋体"/>
                <w:i w:val="0"/>
                <w:iCs w:val="0"/>
                <w:color w:val="auto"/>
                <w:kern w:val="0"/>
                <w:sz w:val="20"/>
                <w:szCs w:val="20"/>
                <w:u w:val="none"/>
                <w:lang w:val="en-US" w:eastAsia="zh-CN" w:bidi="ar"/>
              </w:rPr>
              <w:t>小时内到位，若中标方未能在</w:t>
            </w:r>
            <w:r>
              <w:rPr>
                <w:rFonts w:hint="default" w:ascii="宋体" w:hAnsi="宋体" w:eastAsia="宋体" w:cs="宋体"/>
                <w:i w:val="0"/>
                <w:iCs w:val="0"/>
                <w:color w:val="auto"/>
                <w:kern w:val="0"/>
                <w:sz w:val="20"/>
                <w:szCs w:val="20"/>
                <w:u w:val="none"/>
                <w:lang w:val="en-US" w:eastAsia="zh-CN" w:bidi="ar"/>
              </w:rPr>
              <w:t>24</w:t>
            </w:r>
            <w:r>
              <w:rPr>
                <w:rFonts w:hint="eastAsia" w:ascii="宋体" w:hAnsi="宋体" w:eastAsia="宋体" w:cs="宋体"/>
                <w:i w:val="0"/>
                <w:iCs w:val="0"/>
                <w:color w:val="auto"/>
                <w:kern w:val="0"/>
                <w:sz w:val="20"/>
                <w:szCs w:val="20"/>
                <w:u w:val="none"/>
                <w:lang w:val="en-US" w:eastAsia="zh-CN" w:bidi="ar"/>
              </w:rPr>
              <w:t>小时内消除障碍，院方有权聘请第三方消除障碍，所发生的费用由中标方全部承担。</w:t>
            </w:r>
          </w:p>
        </w:tc>
      </w:tr>
      <w:tr w14:paraId="4DC5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B0FB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p w14:paraId="5BD46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0A0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如中标设备需要医院信息端口，则由中标方负责医院信息系统端口连接的安装工作及费用（包含信息系统方的接口开发费），医院协助中标方完成信息系统安装，确保设备稳定运行。</w:t>
            </w:r>
          </w:p>
        </w:tc>
      </w:tr>
    </w:tbl>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bookmarkStart w:id="12" w:name="_Toc113"/>
      <w:r>
        <w:rPr>
          <w:rFonts w:hint="eastAsia" w:asciiTheme="majorEastAsia" w:hAnsiTheme="majorEastAsia" w:eastAsiaTheme="majorEastAsia" w:cstheme="majorEastAsia"/>
          <w:kern w:val="2"/>
          <w:sz w:val="32"/>
          <w:szCs w:val="32"/>
          <w:lang w:val="en-US" w:eastAsia="zh-CN" w:bidi="ar-SA"/>
        </w:rPr>
        <w:t xml:space="preserve">第四章 </w:t>
      </w:r>
      <w:r>
        <w:rPr>
          <w:rFonts w:hint="eastAsia" w:asciiTheme="majorEastAsia" w:hAnsiTheme="majorEastAsia" w:eastAsiaTheme="majorEastAsia" w:cstheme="majorEastAsia"/>
          <w:sz w:val="32"/>
          <w:szCs w:val="32"/>
        </w:rPr>
        <w:t>开标、评标、定标</w:t>
      </w:r>
      <w:bookmarkEnd w:id="12"/>
    </w:p>
    <w:p w14:paraId="3B4C8BEE">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3" w:name="_Toc24015563"/>
      <w:bookmarkStart w:id="14" w:name="_Toc15209"/>
      <w:bookmarkStart w:id="15" w:name="_Toc1988"/>
      <w:r>
        <w:rPr>
          <w:rFonts w:hint="eastAsia" w:ascii="宋体" w:hAnsi="宋体" w:cs="宋体" w:eastAsiaTheme="minorEastAsia"/>
          <w:kern w:val="2"/>
          <w:sz w:val="21"/>
          <w:szCs w:val="21"/>
          <w:lang w:val="en-US" w:eastAsia="zh-CN" w:bidi="ar-SA"/>
        </w:rPr>
        <w:t>资格性审查表</w:t>
      </w:r>
      <w:bookmarkEnd w:id="13"/>
      <w:bookmarkEnd w:id="14"/>
      <w:bookmarkEnd w:id="15"/>
    </w:p>
    <w:tbl>
      <w:tblPr>
        <w:tblStyle w:val="1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6"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6"/>
    </w:p>
    <w:p w14:paraId="41BA4C69">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p>
    <w:tbl>
      <w:tblPr>
        <w:tblStyle w:val="16"/>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71DEE524">
      <w:pPr>
        <w:tabs>
          <w:tab w:val="left" w:pos="420"/>
          <w:tab w:val="left" w:pos="630"/>
        </w:tabs>
        <w:autoSpaceDE w:val="0"/>
        <w:autoSpaceDN w:val="0"/>
        <w:adjustRightInd w:val="0"/>
        <w:spacing w:line="360" w:lineRule="auto"/>
        <w:rPr>
          <w:rFonts w:hint="eastAsia" w:ascii="宋体" w:cs="宋体"/>
          <w:szCs w:val="21"/>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587C7218">
      <w:pPr>
        <w:pStyle w:val="4"/>
        <w:numPr>
          <w:ilvl w:val="0"/>
          <w:numId w:val="9"/>
        </w:numPr>
        <w:ind w:left="0" w:leftChars="0" w:firstLine="0" w:firstLineChars="0"/>
        <w:jc w:val="left"/>
        <w:outlineLvl w:val="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福田区自行采购供应商资格审查表</w:t>
      </w:r>
    </w:p>
    <w:p w14:paraId="58D1A2AD">
      <w:pPr>
        <w:pStyle w:val="5"/>
        <w:rPr>
          <w:color w:val="auto"/>
        </w:rPr>
      </w:pPr>
    </w:p>
    <w:tbl>
      <w:tblPr>
        <w:tblStyle w:val="17"/>
        <w:tblW w:w="1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46"/>
        <w:gridCol w:w="3257"/>
        <w:gridCol w:w="1150"/>
        <w:gridCol w:w="1150"/>
        <w:gridCol w:w="1150"/>
        <w:gridCol w:w="1644"/>
      </w:tblGrid>
      <w:tr w14:paraId="6FD9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768" w:type="dxa"/>
            <w:noWrap w:val="0"/>
            <w:vAlign w:val="center"/>
          </w:tcPr>
          <w:p w14:paraId="32D01AB9">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序号</w:t>
            </w:r>
          </w:p>
        </w:tc>
        <w:tc>
          <w:tcPr>
            <w:tcW w:w="2146" w:type="dxa"/>
            <w:noWrap w:val="0"/>
            <w:vAlign w:val="center"/>
          </w:tcPr>
          <w:p w14:paraId="059D003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审查内容</w:t>
            </w:r>
          </w:p>
        </w:tc>
        <w:tc>
          <w:tcPr>
            <w:tcW w:w="3257" w:type="dxa"/>
            <w:noWrap w:val="0"/>
            <w:vAlign w:val="center"/>
          </w:tcPr>
          <w:p w14:paraId="2F9C71D5">
            <w:pPr>
              <w:keepNext w:val="0"/>
              <w:keepLines w:val="0"/>
              <w:widowControl/>
              <w:suppressLineNumbers w:val="0"/>
              <w:spacing w:before="0" w:beforeLines="0" w:beforeAutospacing="0" w:after="0" w:afterLines="0" w:afterAutospacing="0" w:line="380" w:lineRule="exact"/>
              <w:ind w:left="0" w:right="0"/>
              <w:jc w:val="center"/>
              <w:rPr>
                <w:rFonts w:hint="default"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eastAsia="zh-CN"/>
              </w:rPr>
              <w:t>审查方式</w:t>
            </w:r>
            <w:r>
              <w:rPr>
                <w:rFonts w:hint="eastAsia" w:ascii="黑体" w:hAnsi="黑体" w:eastAsia="黑体" w:cs="仿宋_GB2312"/>
                <w:color w:val="auto"/>
                <w:sz w:val="21"/>
                <w:szCs w:val="21"/>
                <w:highlight w:val="none"/>
                <w:u w:val="none"/>
                <w:vertAlign w:val="baseline"/>
                <w:lang w:val="en-US" w:eastAsia="zh-CN"/>
              </w:rPr>
              <w:t>/查询途径</w:t>
            </w:r>
          </w:p>
        </w:tc>
        <w:tc>
          <w:tcPr>
            <w:tcW w:w="1150" w:type="dxa"/>
            <w:noWrap w:val="0"/>
            <w:vAlign w:val="center"/>
          </w:tcPr>
          <w:p w14:paraId="47502B1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1B574F3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5CD13CEC">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4D1C1DC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377759A0">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val="en-US" w:eastAsia="zh-CN"/>
              </w:rPr>
              <w:t>……</w:t>
            </w:r>
          </w:p>
        </w:tc>
        <w:tc>
          <w:tcPr>
            <w:tcW w:w="1644" w:type="dxa"/>
            <w:noWrap w:val="0"/>
            <w:vAlign w:val="center"/>
          </w:tcPr>
          <w:p w14:paraId="466F1B24">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备注</w:t>
            </w:r>
          </w:p>
        </w:tc>
      </w:tr>
      <w:tr w14:paraId="01F9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66E81D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1</w:t>
            </w:r>
          </w:p>
        </w:tc>
        <w:tc>
          <w:tcPr>
            <w:tcW w:w="2146" w:type="dxa"/>
            <w:noWrap w:val="0"/>
            <w:vAlign w:val="center"/>
          </w:tcPr>
          <w:p w14:paraId="5DBA137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lang w:eastAsia="zh-CN"/>
              </w:rPr>
              <w:t>资质</w:t>
            </w:r>
            <w:r>
              <w:rPr>
                <w:rFonts w:hint="eastAsia" w:ascii="仿宋_GB2312" w:hAnsi="仿宋_GB2312" w:eastAsia="仿宋_GB2312" w:cs="仿宋_GB2312"/>
                <w:color w:val="auto"/>
                <w:spacing w:val="-11"/>
                <w:sz w:val="21"/>
                <w:szCs w:val="21"/>
                <w:highlight w:val="none"/>
                <w:u w:val="none"/>
              </w:rPr>
              <w:t>条件</w:t>
            </w:r>
          </w:p>
        </w:tc>
        <w:tc>
          <w:tcPr>
            <w:tcW w:w="3257" w:type="dxa"/>
            <w:noWrap w:val="0"/>
            <w:vAlign w:val="center"/>
          </w:tcPr>
          <w:p w14:paraId="55589E4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rPr>
              <w:t>根据采购文件的规定，要求供应商提供资质证明材料或采购人自行通过公开渠道查询</w:t>
            </w:r>
          </w:p>
        </w:tc>
        <w:tc>
          <w:tcPr>
            <w:tcW w:w="1150" w:type="dxa"/>
            <w:noWrap w:val="0"/>
            <w:vAlign w:val="center"/>
          </w:tcPr>
          <w:p w14:paraId="19582C5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6DD0C31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A6A97F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0B50EF1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84C8CE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sym w:font="Wingdings 2" w:char="00A3"/>
            </w:r>
            <w:r>
              <w:rPr>
                <w:rFonts w:hint="eastAsia" w:ascii="仿宋_GB2312" w:hAnsi="仿宋_GB2312" w:eastAsia="仿宋_GB2312" w:cs="仿宋_GB2312"/>
                <w:color w:val="auto"/>
                <w:spacing w:val="-11"/>
                <w:sz w:val="21"/>
                <w:szCs w:val="21"/>
                <w:highlight w:val="none"/>
                <w:u w:val="none"/>
                <w:lang w:eastAsia="zh-CN"/>
              </w:rPr>
              <w:t>通过</w:t>
            </w:r>
          </w:p>
          <w:p w14:paraId="739018D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65F56D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采购人应当在采购文件事先明确具体的审查方式</w:t>
            </w:r>
          </w:p>
        </w:tc>
      </w:tr>
      <w:tr w14:paraId="2266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94A446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2</w:t>
            </w:r>
          </w:p>
        </w:tc>
        <w:tc>
          <w:tcPr>
            <w:tcW w:w="2146" w:type="dxa"/>
            <w:noWrap w:val="0"/>
            <w:vAlign w:val="center"/>
          </w:tcPr>
          <w:p w14:paraId="29BAD37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rPr>
              <w:t>是否存在</w:t>
            </w:r>
            <w:r>
              <w:rPr>
                <w:rFonts w:hint="eastAsia" w:ascii="仿宋_GB2312" w:hAnsi="仿宋_GB2312" w:eastAsia="仿宋_GB2312" w:cs="仿宋_GB2312"/>
                <w:color w:val="auto"/>
                <w:spacing w:val="-11"/>
                <w:sz w:val="21"/>
                <w:szCs w:val="21"/>
                <w:highlight w:val="none"/>
                <w:u w:val="none"/>
                <w:lang w:eastAsia="zh-CN"/>
              </w:rPr>
              <w:t>因</w:t>
            </w:r>
            <w:r>
              <w:rPr>
                <w:rFonts w:hint="eastAsia" w:ascii="仿宋_GB2312" w:hAnsi="仿宋_GB2312" w:eastAsia="仿宋_GB2312" w:cs="仿宋_GB2312"/>
                <w:color w:val="auto"/>
                <w:spacing w:val="-11"/>
                <w:sz w:val="21"/>
                <w:szCs w:val="21"/>
                <w:highlight w:val="none"/>
                <w:u w:val="none"/>
              </w:rPr>
              <w:t>违法行为</w:t>
            </w:r>
            <w:r>
              <w:rPr>
                <w:rFonts w:hint="eastAsia" w:ascii="仿宋_GB2312" w:hAnsi="仿宋_GB2312" w:eastAsia="仿宋_GB2312" w:cs="仿宋_GB2312"/>
                <w:color w:val="auto"/>
                <w:spacing w:val="-11"/>
                <w:sz w:val="21"/>
                <w:szCs w:val="21"/>
                <w:highlight w:val="none"/>
                <w:u w:val="none"/>
                <w:lang w:eastAsia="zh-CN"/>
              </w:rPr>
              <w:t>而</w:t>
            </w:r>
            <w:r>
              <w:rPr>
                <w:rFonts w:hint="eastAsia" w:ascii="仿宋_GB2312" w:hAnsi="仿宋_GB2312" w:eastAsia="仿宋_GB2312" w:cs="仿宋_GB2312"/>
                <w:color w:val="auto"/>
                <w:spacing w:val="-11"/>
                <w:sz w:val="21"/>
                <w:szCs w:val="21"/>
                <w:highlight w:val="none"/>
                <w:u w:val="none"/>
              </w:rPr>
              <w:t>被禁止参加</w:t>
            </w:r>
            <w:r>
              <w:rPr>
                <w:rFonts w:hint="eastAsia" w:ascii="仿宋_GB2312" w:hAnsi="仿宋_GB2312" w:eastAsia="仿宋_GB2312" w:cs="仿宋_GB2312"/>
                <w:color w:val="auto"/>
                <w:spacing w:val="-11"/>
                <w:sz w:val="21"/>
                <w:szCs w:val="21"/>
                <w:highlight w:val="none"/>
                <w:u w:val="none"/>
                <w:lang w:eastAsia="zh-CN"/>
              </w:rPr>
              <w:t>本市</w:t>
            </w:r>
            <w:r>
              <w:rPr>
                <w:rFonts w:hint="eastAsia" w:ascii="仿宋_GB2312" w:hAnsi="仿宋_GB2312" w:eastAsia="仿宋_GB2312" w:cs="仿宋_GB2312"/>
                <w:color w:val="auto"/>
                <w:spacing w:val="-11"/>
                <w:sz w:val="21"/>
                <w:szCs w:val="21"/>
                <w:highlight w:val="none"/>
                <w:u w:val="none"/>
              </w:rPr>
              <w:t>政府采购活动</w:t>
            </w:r>
            <w:r>
              <w:rPr>
                <w:rFonts w:hint="eastAsia" w:ascii="仿宋_GB2312" w:hAnsi="仿宋_GB2312" w:eastAsia="仿宋_GB2312" w:cs="仿宋_GB2312"/>
                <w:color w:val="auto"/>
                <w:spacing w:val="-11"/>
                <w:sz w:val="21"/>
                <w:szCs w:val="21"/>
                <w:highlight w:val="none"/>
                <w:u w:val="none"/>
                <w:lang w:eastAsia="zh-CN"/>
              </w:rPr>
              <w:t>的情形</w:t>
            </w:r>
          </w:p>
        </w:tc>
        <w:tc>
          <w:tcPr>
            <w:tcW w:w="3257" w:type="dxa"/>
            <w:noWrap w:val="0"/>
            <w:vAlign w:val="center"/>
          </w:tcPr>
          <w:p w14:paraId="4B1C3D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中国政府采购网（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"http://www.ccgp.gov.cn/search/cr/"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http://www.ccgp.gov.cn/search/cr/</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p w14:paraId="70163EA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深圳市政府采购监管网（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"http://zfcg.sz.gov.cn/cgjg/cxda/index.html"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http://zfcg.sz.gov.cn/cgjg/cxda/index.html</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tc>
        <w:tc>
          <w:tcPr>
            <w:tcW w:w="1150" w:type="dxa"/>
            <w:noWrap w:val="0"/>
            <w:vAlign w:val="center"/>
          </w:tcPr>
          <w:p w14:paraId="740F657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0F7AA86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551C558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0A79B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1F3DF3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A1D88E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644" w:type="dxa"/>
            <w:noWrap w:val="0"/>
            <w:vAlign w:val="center"/>
          </w:tcPr>
          <w:p w14:paraId="57C93C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val="en-US" w:eastAsia="zh-CN" w:bidi="ar-SA"/>
              </w:rPr>
              <w:t>若选择“是”，则属于审查不通过。</w:t>
            </w:r>
          </w:p>
        </w:tc>
      </w:tr>
      <w:tr w14:paraId="0305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11FFD6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3</w:t>
            </w:r>
          </w:p>
        </w:tc>
        <w:tc>
          <w:tcPr>
            <w:tcW w:w="2146" w:type="dxa"/>
            <w:noWrap w:val="0"/>
            <w:vAlign w:val="center"/>
          </w:tcPr>
          <w:p w14:paraId="0CECC22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不同投标供应商的法定代表人、主要经营负责人、投标授权代表人、项目负责人、主要技术人员是否为同一人、属同一单位或者在同一单位缴纳社会保险</w:t>
            </w:r>
          </w:p>
        </w:tc>
        <w:tc>
          <w:tcPr>
            <w:tcW w:w="3257" w:type="dxa"/>
            <w:noWrap w:val="0"/>
            <w:vAlign w:val="center"/>
          </w:tcPr>
          <w:p w14:paraId="432EA16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供应商提供的社保缴纳证明材料（如有）</w:t>
            </w:r>
          </w:p>
        </w:tc>
        <w:tc>
          <w:tcPr>
            <w:tcW w:w="1150" w:type="dxa"/>
            <w:noWrap w:val="0"/>
            <w:vAlign w:val="center"/>
          </w:tcPr>
          <w:p w14:paraId="0FF9F6C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0CECA60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254A2EC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6E487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B6B91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432B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78577DB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w:t>
            </w:r>
            <w:r>
              <w:rPr>
                <w:rFonts w:hint="eastAsia" w:ascii="仿宋_GB2312" w:hAnsi="仿宋_GB2312" w:eastAsia="仿宋_GB2312" w:cs="仿宋_GB2312"/>
                <w:color w:val="auto"/>
                <w:spacing w:val="-11"/>
                <w:sz w:val="21"/>
                <w:szCs w:val="21"/>
                <w:highlight w:val="none"/>
                <w:u w:val="none"/>
                <w:lang w:bidi="ar"/>
              </w:rPr>
              <w:t>同一人、属同一单位或者在同一单位缴纳社会保险</w:t>
            </w:r>
            <w:r>
              <w:rPr>
                <w:rFonts w:hint="eastAsia" w:ascii="仿宋_GB2312" w:hAnsi="仿宋_GB2312" w:eastAsia="仿宋_GB2312" w:cs="仿宋_GB2312"/>
                <w:color w:val="auto"/>
                <w:spacing w:val="-11"/>
                <w:kern w:val="2"/>
                <w:sz w:val="21"/>
                <w:szCs w:val="21"/>
                <w:highlight w:val="none"/>
                <w:u w:val="none"/>
                <w:lang w:eastAsia="zh-CN" w:bidi="ar"/>
              </w:rPr>
              <w:t>，则该几家供应商不得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40B0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056122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4</w:t>
            </w:r>
          </w:p>
        </w:tc>
        <w:tc>
          <w:tcPr>
            <w:tcW w:w="2146" w:type="dxa"/>
            <w:noWrap w:val="0"/>
            <w:vAlign w:val="center"/>
          </w:tcPr>
          <w:p w14:paraId="36A6586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不同供应商的单位负责人是否为同一人</w:t>
            </w:r>
          </w:p>
        </w:tc>
        <w:tc>
          <w:tcPr>
            <w:tcW w:w="3257" w:type="dxa"/>
            <w:noWrap w:val="0"/>
            <w:vAlign w:val="center"/>
          </w:tcPr>
          <w:p w14:paraId="33A5D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2834" w:right="0" w:hanging="2444" w:hangingChars="130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280D599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w:t>
            </w:r>
            <w:r>
              <w:rPr>
                <w:rFonts w:hint="eastAsia" w:ascii="仿宋_GB2312" w:hAnsi="仿宋_GB2312" w:eastAsia="仿宋_GB2312" w:cs="仿宋_GB2312"/>
                <w:color w:val="auto"/>
                <w:spacing w:val="-11"/>
                <w:sz w:val="21"/>
                <w:szCs w:val="21"/>
                <w:highlight w:val="none"/>
                <w:u w:val="none"/>
                <w:vertAlign w:val="baseline"/>
                <w:lang w:val="en-US" w:eastAsia="zh-CN" w:bidi="ar"/>
              </w:rPr>
              <w:t>c</w:t>
            </w:r>
            <w:r>
              <w:rPr>
                <w:rFonts w:hint="eastAsia" w:ascii="仿宋_GB2312" w:hAnsi="仿宋_GB2312" w:eastAsia="仿宋_GB2312" w:cs="仿宋_GB2312"/>
                <w:color w:val="auto"/>
                <w:spacing w:val="-11"/>
                <w:sz w:val="21"/>
                <w:szCs w:val="21"/>
                <w:highlight w:val="none"/>
                <w:u w:val="none"/>
                <w:vertAlign w:val="baseline"/>
                <w:lang w:eastAsia="zh-CN" w:bidi="ar"/>
              </w:rPr>
              <w:t>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6EF748F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232D4B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201583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152B4E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17FE1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9E16C6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16924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若为同一人，则该几家供应商不得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FB9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68" w:type="dxa"/>
            <w:noWrap w:val="0"/>
            <w:vAlign w:val="center"/>
          </w:tcPr>
          <w:p w14:paraId="52018E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5</w:t>
            </w:r>
          </w:p>
        </w:tc>
        <w:tc>
          <w:tcPr>
            <w:tcW w:w="2146" w:type="dxa"/>
            <w:noWrap w:val="0"/>
            <w:vAlign w:val="center"/>
          </w:tcPr>
          <w:p w14:paraId="7A6BF92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eastAsia="zh-CN" w:bidi="ar"/>
              </w:rPr>
              <w:t>不同供应商之间是否</w:t>
            </w:r>
            <w:r>
              <w:rPr>
                <w:rFonts w:hint="eastAsia" w:ascii="仿宋_GB2312" w:hAnsi="仿宋_GB2312" w:eastAsia="仿宋_GB2312" w:cs="仿宋_GB2312"/>
                <w:color w:val="auto"/>
                <w:spacing w:val="-11"/>
                <w:kern w:val="2"/>
                <w:sz w:val="21"/>
                <w:szCs w:val="21"/>
                <w:highlight w:val="none"/>
                <w:u w:val="none"/>
                <w:lang w:bidi="ar"/>
              </w:rPr>
              <w:t>存在直接控股、管理关系</w:t>
            </w:r>
          </w:p>
        </w:tc>
        <w:tc>
          <w:tcPr>
            <w:tcW w:w="3257" w:type="dxa"/>
            <w:noWrap w:val="0"/>
            <w:vAlign w:val="center"/>
          </w:tcPr>
          <w:p w14:paraId="5FA73D8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7A3E488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（https://www.gsxt.gov.cn/index.html）、机关赋码和事业单位登记管理网（http://www.gjsy.gov.cn/sydwfrxxcx/）、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7170A9B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057252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5AA5CBE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E4C5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032A482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6D5E3DA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5819F7E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kern w:val="2"/>
                <w:sz w:val="21"/>
                <w:szCs w:val="21"/>
                <w:highlight w:val="none"/>
                <w:u w:val="none"/>
                <w:lang w:eastAsia="zh-CN" w:bidi="ar"/>
              </w:rPr>
              <w:t>若存在直接控股、管理关系，则该几家供应商不得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6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7A7D7C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6</w:t>
            </w:r>
          </w:p>
        </w:tc>
        <w:tc>
          <w:tcPr>
            <w:tcW w:w="2146" w:type="dxa"/>
            <w:noWrap w:val="0"/>
            <w:vAlign w:val="center"/>
          </w:tcPr>
          <w:p w14:paraId="5FC973B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kern w:val="2"/>
                <w:sz w:val="21"/>
                <w:szCs w:val="21"/>
                <w:highlight w:val="none"/>
                <w:u w:val="none"/>
                <w:lang w:bidi="ar"/>
              </w:rPr>
              <w:t>为采购项目提供整体设计、规范编制或者项目管理、监理、检测等服务的供应商，</w:t>
            </w:r>
            <w:r>
              <w:rPr>
                <w:rFonts w:hint="eastAsia" w:ascii="仿宋_GB2312" w:hAnsi="仿宋_GB2312" w:eastAsia="仿宋_GB2312" w:cs="仿宋_GB2312"/>
                <w:color w:val="auto"/>
                <w:spacing w:val="-11"/>
                <w:kern w:val="2"/>
                <w:sz w:val="21"/>
                <w:szCs w:val="21"/>
                <w:highlight w:val="none"/>
                <w:u w:val="none"/>
                <w:lang w:eastAsia="zh-CN" w:bidi="ar"/>
              </w:rPr>
              <w:t>是否</w:t>
            </w:r>
            <w:r>
              <w:rPr>
                <w:rFonts w:hint="eastAsia" w:ascii="仿宋_GB2312" w:hAnsi="仿宋_GB2312" w:eastAsia="仿宋_GB2312" w:cs="仿宋_GB2312"/>
                <w:color w:val="auto"/>
                <w:spacing w:val="-11"/>
                <w:kern w:val="2"/>
                <w:sz w:val="21"/>
                <w:szCs w:val="21"/>
                <w:highlight w:val="none"/>
                <w:u w:val="none"/>
                <w:lang w:bidi="ar"/>
              </w:rPr>
              <w:t>参加</w:t>
            </w:r>
            <w:r>
              <w:rPr>
                <w:rFonts w:hint="eastAsia" w:ascii="仿宋_GB2312" w:hAnsi="仿宋_GB2312" w:eastAsia="仿宋_GB2312" w:cs="仿宋_GB2312"/>
                <w:color w:val="auto"/>
                <w:spacing w:val="-11"/>
                <w:kern w:val="2"/>
                <w:sz w:val="21"/>
                <w:szCs w:val="21"/>
                <w:highlight w:val="none"/>
                <w:u w:val="none"/>
                <w:lang w:eastAsia="zh-CN" w:bidi="ar"/>
              </w:rPr>
              <w:t>了</w:t>
            </w:r>
            <w:r>
              <w:rPr>
                <w:rFonts w:hint="eastAsia" w:ascii="仿宋_GB2312" w:hAnsi="仿宋_GB2312" w:eastAsia="仿宋_GB2312" w:cs="仿宋_GB2312"/>
                <w:color w:val="auto"/>
                <w:spacing w:val="-11"/>
                <w:kern w:val="2"/>
                <w:sz w:val="21"/>
                <w:szCs w:val="21"/>
                <w:highlight w:val="none"/>
                <w:u w:val="none"/>
                <w:lang w:bidi="ar"/>
              </w:rPr>
              <w:t>该采购项目的其他采购活动</w:t>
            </w:r>
          </w:p>
        </w:tc>
        <w:tc>
          <w:tcPr>
            <w:tcW w:w="3257" w:type="dxa"/>
            <w:noWrap w:val="0"/>
            <w:vAlign w:val="center"/>
          </w:tcPr>
          <w:p w14:paraId="676FF01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采购人内部排查</w:t>
            </w:r>
          </w:p>
        </w:tc>
        <w:tc>
          <w:tcPr>
            <w:tcW w:w="1150" w:type="dxa"/>
            <w:noWrap w:val="0"/>
            <w:vAlign w:val="center"/>
          </w:tcPr>
          <w:p w14:paraId="6F23824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4D74A8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043129E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031FD49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422557F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6A4BBA2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644" w:type="dxa"/>
            <w:noWrap w:val="0"/>
            <w:vAlign w:val="center"/>
          </w:tcPr>
          <w:p w14:paraId="17249EC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采用单一来源方式的除外。若选择“是”，则属于审查不通过。</w:t>
            </w:r>
          </w:p>
        </w:tc>
      </w:tr>
      <w:tr w14:paraId="578B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1" w:type="dxa"/>
            <w:gridSpan w:val="3"/>
            <w:noWrap w:val="0"/>
            <w:vAlign w:val="center"/>
          </w:tcPr>
          <w:p w14:paraId="3625CB7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审查结论</w:t>
            </w:r>
          </w:p>
        </w:tc>
        <w:tc>
          <w:tcPr>
            <w:tcW w:w="1150" w:type="dxa"/>
            <w:noWrap w:val="0"/>
            <w:vAlign w:val="center"/>
          </w:tcPr>
          <w:p w14:paraId="3CFEB5A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737A6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D013D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500EBCF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0AA013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FC3B50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3EAFADB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w:t>
            </w:r>
          </w:p>
        </w:tc>
      </w:tr>
      <w:tr w14:paraId="1C74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65" w:type="dxa"/>
            <w:gridSpan w:val="7"/>
            <w:noWrap w:val="0"/>
            <w:vAlign w:val="center"/>
          </w:tcPr>
          <w:p w14:paraId="6CAA1B8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564" w:firstLineChars="30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审查人员签名：                                          审查日期：</w:t>
            </w:r>
          </w:p>
        </w:tc>
      </w:tr>
    </w:tbl>
    <w:p w14:paraId="4D79F9F6">
      <w:pPr>
        <w:pStyle w:val="32"/>
        <w:widowControl/>
        <w:numPr>
          <w:ilvl w:val="0"/>
          <w:numId w:val="0"/>
        </w:numPr>
        <w:spacing w:line="360" w:lineRule="auto"/>
        <w:ind w:left="0" w:leftChars="0" w:firstLine="0" w:firstLineChars="0"/>
        <w:jc w:val="left"/>
        <w:outlineLvl w:val="1"/>
        <w:rPr>
          <w:rFonts w:hAnsi="宋体"/>
        </w:rPr>
      </w:pPr>
      <w:r>
        <w:rPr>
          <w:rFonts w:hint="eastAsia" w:hAnsi="宋体"/>
          <w:lang w:val="en-US" w:eastAsia="zh-CN"/>
        </w:rPr>
        <w:t>1.</w:t>
      </w:r>
      <w:r>
        <w:rPr>
          <w:rFonts w:hint="eastAsia" w:hAnsi="宋体"/>
        </w:rPr>
        <w:t>开标</w:t>
      </w:r>
    </w:p>
    <w:p w14:paraId="0369ECD0">
      <w:pPr>
        <w:pStyle w:val="32"/>
        <w:widowControl/>
        <w:numPr>
          <w:ilvl w:val="1"/>
          <w:numId w:val="10"/>
        </w:numPr>
        <w:spacing w:line="360" w:lineRule="auto"/>
        <w:ind w:firstLineChars="0"/>
        <w:jc w:val="left"/>
        <w:rPr>
          <w:rFonts w:hAnsi="宋体"/>
          <w:color w:val="auto"/>
        </w:rPr>
      </w:pPr>
      <w:r>
        <w:rPr>
          <w:rFonts w:hint="eastAsia" w:ascii="宋体" w:hAnsi="宋体" w:cs="宋体"/>
          <w:szCs w:val="21"/>
          <w:lang w:val="en-US" w:eastAsia="zh-CN"/>
        </w:rPr>
        <w:t>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3FE2B93C">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1D2020F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开标过程应当由采购人相关工作人员负责记录，由参加开标的各投标人代表和相关工作人员签字确认。</w:t>
      </w:r>
    </w:p>
    <w:p w14:paraId="7AC09916">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5224829E">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投标人未参加开标的，视同认可开标结果。</w:t>
      </w:r>
    </w:p>
    <w:p w14:paraId="06CA2A8F">
      <w:pPr>
        <w:pStyle w:val="32"/>
        <w:widowControl/>
        <w:numPr>
          <w:ilvl w:val="0"/>
          <w:numId w:val="10"/>
        </w:numPr>
        <w:spacing w:line="360" w:lineRule="auto"/>
        <w:ind w:left="425" w:leftChars="0" w:hanging="425" w:firstLineChars="0"/>
        <w:jc w:val="left"/>
        <w:outlineLvl w:val="1"/>
        <w:rPr>
          <w:rFonts w:hAnsi="宋体"/>
        </w:rPr>
      </w:pPr>
      <w:r>
        <w:rPr>
          <w:rFonts w:hint="eastAsia" w:hAnsi="宋体"/>
        </w:rPr>
        <w:t>评标委员会的组成</w:t>
      </w:r>
    </w:p>
    <w:p w14:paraId="3509FA96">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评标委员会依法组建，由5人单数组成。</w:t>
      </w:r>
    </w:p>
    <w:p w14:paraId="78A0413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D550C9C">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参加采购活动前3年内与供应商存在劳动关系；</w:t>
      </w:r>
    </w:p>
    <w:p w14:paraId="415C13EA">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参加采购活动前3年内担任供应商的董事、监事；</w:t>
      </w:r>
    </w:p>
    <w:p w14:paraId="7F82D60C">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参加采购活动前3年内是供应商的控股股东或者实际控制人；</w:t>
      </w:r>
    </w:p>
    <w:p w14:paraId="03BCF695">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与供应商的法定代表人或者负责人有夫妻、直系血亲、三代以内旁系血亲或者近姻亲关系；</w:t>
      </w:r>
    </w:p>
    <w:p w14:paraId="6558117E">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与供应商有其他可能影响采购活动公平、公正进行的关系。</w:t>
      </w:r>
    </w:p>
    <w:p w14:paraId="6E7F319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评标委员会和有关工作人员不得透露对投标文件的评审和比较以及与评标有关的其他情况。</w:t>
      </w:r>
    </w:p>
    <w:p w14:paraId="73C401BF">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评标委员会负责具体评标事务，并独立履行下列职责：</w:t>
      </w:r>
    </w:p>
    <w:p w14:paraId="0FFF6028">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审查、评价投标文件是否符合招标文件的商务、技术等实质性要求；</w:t>
      </w:r>
    </w:p>
    <w:p w14:paraId="032848C8">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要求投标人对投标文件有关事项作出澄清或者说明；</w:t>
      </w:r>
    </w:p>
    <w:p w14:paraId="397EAD7C">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对投标文件进行比较和评价；</w:t>
      </w:r>
    </w:p>
    <w:p w14:paraId="623C2705">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确定中标候选人名单；</w:t>
      </w:r>
    </w:p>
    <w:p w14:paraId="65F715F6">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4E7C51F4">
      <w:pPr>
        <w:pStyle w:val="32"/>
        <w:widowControl/>
        <w:numPr>
          <w:ilvl w:val="1"/>
          <w:numId w:val="10"/>
        </w:numPr>
        <w:spacing w:line="360" w:lineRule="auto"/>
        <w:ind w:firstLineChars="0"/>
        <w:jc w:val="left"/>
        <w:rPr>
          <w:rFonts w:ascii="宋体" w:hAnsi="宋体" w:cs="宋体"/>
          <w:szCs w:val="21"/>
          <w:lang w:eastAsia="zh-TW"/>
        </w:rPr>
      </w:pP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3189A38B">
      <w:pPr>
        <w:pStyle w:val="32"/>
        <w:widowControl/>
        <w:numPr>
          <w:ilvl w:val="1"/>
          <w:numId w:val="10"/>
        </w:numPr>
        <w:spacing w:line="360" w:lineRule="auto"/>
        <w:ind w:firstLineChars="0"/>
        <w:jc w:val="left"/>
        <w:rPr>
          <w:rFonts w:ascii="宋体" w:hAnsi="宋体" w:cs="宋体"/>
          <w:szCs w:val="21"/>
        </w:rPr>
      </w:pPr>
      <w:r>
        <w:t>评标委员会决定投标的响应性只根据投标文件中提供的材料内容，而不依据外部的材料证据</w:t>
      </w:r>
      <w:r>
        <w:rPr>
          <w:rFonts w:hint="eastAsia" w:ascii="宋体" w:hAnsi="宋体" w:cs="宋体"/>
          <w:szCs w:val="21"/>
        </w:rPr>
        <w:t>。</w:t>
      </w:r>
    </w:p>
    <w:p w14:paraId="03C8DD9D">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22CC7225">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0C501BB">
      <w:pPr>
        <w:pStyle w:val="32"/>
        <w:widowControl/>
        <w:numPr>
          <w:ilvl w:val="0"/>
          <w:numId w:val="10"/>
        </w:numPr>
        <w:spacing w:line="360" w:lineRule="auto"/>
        <w:ind w:left="425" w:leftChars="0" w:hanging="425" w:firstLineChars="0"/>
        <w:jc w:val="left"/>
        <w:outlineLvl w:val="1"/>
        <w:rPr>
          <w:rFonts w:hAnsi="宋体"/>
          <w:b/>
        </w:rPr>
      </w:pPr>
      <w:r>
        <w:rPr>
          <w:rFonts w:hint="eastAsia" w:hAnsi="宋体"/>
          <w:b/>
        </w:rPr>
        <w:t>评标（适用综合评分法）：</w:t>
      </w:r>
    </w:p>
    <w:p w14:paraId="7870AC05">
      <w:pPr>
        <w:pStyle w:val="32"/>
        <w:widowControl/>
        <w:numPr>
          <w:ilvl w:val="1"/>
          <w:numId w:val="10"/>
        </w:numPr>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评标方法：</w:t>
      </w:r>
      <w:r>
        <w:rPr>
          <w:rFonts w:hint="eastAsia" w:asciiTheme="minorEastAsia" w:hAnsiTheme="minorEastAsia" w:eastAsiaTheme="minorEastAsia" w:cstheme="minorEastAsia"/>
        </w:rPr>
        <w:t>综合评分法，是指投标文件满足招标文件全部实质性要求，且按照评审因素的量化指标评审得分最高的投标人为中标候选人的评标方法。</w:t>
      </w:r>
    </w:p>
    <w:p w14:paraId="155A0CC0">
      <w:pPr>
        <w:pStyle w:val="32"/>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评标总得分＝F1×A1＋F2×A2＋……＋Fn×An </w:t>
      </w:r>
    </w:p>
    <w:p w14:paraId="560A9136">
      <w:pPr>
        <w:pStyle w:val="32"/>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F1、F2……Fn分别为各项评审因素的得分； </w:t>
      </w:r>
    </w:p>
    <w:p w14:paraId="4275035B">
      <w:pPr>
        <w:pStyle w:val="32"/>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A1、A2、……An 分别为各项评审因素所占的权重(A1＋A2＋……＋An＝1)。</w:t>
      </w:r>
    </w:p>
    <w:p w14:paraId="028D05FE">
      <w:pPr>
        <w:pStyle w:val="32"/>
        <w:widowControl/>
        <w:numPr>
          <w:ilvl w:val="1"/>
          <w:numId w:val="10"/>
        </w:numPr>
        <w:spacing w:line="360" w:lineRule="auto"/>
        <w:ind w:left="567" w:leftChars="0" w:hanging="567" w:firstLineChars="0"/>
        <w:jc w:val="left"/>
        <w:outlineLvl w:val="9"/>
        <w:rPr>
          <w:rFonts w:ascii="宋体" w:hAnsi="宋体"/>
          <w:bCs/>
          <w:szCs w:val="21"/>
        </w:rPr>
      </w:pPr>
      <w:r>
        <w:rPr>
          <w:rFonts w:hint="eastAsia" w:ascii="宋体" w:hAnsi="宋体"/>
          <w:bCs/>
          <w:szCs w:val="21"/>
        </w:rPr>
        <w:t>评标步骤：</w:t>
      </w:r>
    </w:p>
    <w:p w14:paraId="5FC91109">
      <w:pPr>
        <w:pStyle w:val="32"/>
        <w:widowControl/>
        <w:numPr>
          <w:ilvl w:val="2"/>
          <w:numId w:val="10"/>
        </w:numPr>
        <w:spacing w:line="360" w:lineRule="auto"/>
        <w:ind w:firstLineChars="0"/>
        <w:jc w:val="left"/>
        <w:rPr>
          <w:rFonts w:ascii="宋体" w:cs="宋体"/>
          <w:szCs w:val="21"/>
        </w:rPr>
      </w:pPr>
      <w:r>
        <w:rPr>
          <w:rFonts w:hint="eastAsia" w:ascii="宋体" w:hAnsi="宋体"/>
          <w:bCs/>
          <w:szCs w:val="21"/>
        </w:rPr>
        <w:t>资格性审查：</w:t>
      </w:r>
      <w:r>
        <w:rPr>
          <w:rFonts w:hint="eastAsia" w:ascii="宋体" w:cs="宋体"/>
          <w:szCs w:val="21"/>
        </w:rPr>
        <w:t>开标结束后，采购人应当依法对投标人的资格进行审查，详见《资格性审查表》。对初步被认定为资格性审查不合格的，可实行告知投标当事人，以让其核证、澄清事实。未通过资格性审查的投标人，不进入符合性审查。</w:t>
      </w:r>
    </w:p>
    <w:p w14:paraId="529BB135">
      <w:pPr>
        <w:pStyle w:val="32"/>
        <w:widowControl/>
        <w:numPr>
          <w:ilvl w:val="2"/>
          <w:numId w:val="10"/>
        </w:numPr>
        <w:spacing w:line="360" w:lineRule="auto"/>
        <w:ind w:firstLineChars="0"/>
        <w:jc w:val="left"/>
        <w:rPr>
          <w:rFonts w:ascii="宋体" w:cs="宋体"/>
          <w:szCs w:val="21"/>
        </w:rPr>
      </w:pPr>
      <w:r>
        <w:rPr>
          <w:rFonts w:hint="eastAsia" w:ascii="宋体" w:cs="宋体"/>
          <w:szCs w:val="21"/>
        </w:rPr>
        <w:t>符合性审查：评标委员会应当对符合资格的投标人的投标文件进行符合性审查，详见《符合性审查表》，以确定其是否满足招标文件的实质性要求。</w:t>
      </w:r>
      <w:r>
        <w:rPr>
          <w:rFonts w:hint="eastAsia" w:ascii="宋体" w:hAnsi="宋体" w:cs="宋体"/>
          <w:szCs w:val="21"/>
        </w:rPr>
        <w:t>评标委员会对初步被认定为符合性审查不合格或无效投标者可实行告知</w:t>
      </w:r>
      <w:r>
        <w:rPr>
          <w:rFonts w:hint="eastAsia" w:ascii="宋体" w:cs="宋体"/>
          <w:szCs w:val="21"/>
        </w:rPr>
        <w:t>投标当事人</w:t>
      </w:r>
      <w:r>
        <w:rPr>
          <w:rFonts w:hint="eastAsia" w:ascii="宋体" w:hAnsi="宋体" w:cs="宋体"/>
          <w:szCs w:val="21"/>
        </w:rPr>
        <w:t>，由评标委员会主任或采购人代表将集体意见现场及时告知投标当事人，以让其核证、澄清事实。</w:t>
      </w:r>
      <w:r>
        <w:rPr>
          <w:rFonts w:hint="eastAsia" w:ascii="宋体" w:cs="宋体"/>
          <w:szCs w:val="21"/>
        </w:rPr>
        <w:t>未通过符合性审查的投标人，不进入技术、商务和价格评审。</w:t>
      </w:r>
    </w:p>
    <w:p w14:paraId="0D1CCEE9">
      <w:pPr>
        <w:pStyle w:val="32"/>
        <w:widowControl/>
        <w:numPr>
          <w:ilvl w:val="2"/>
          <w:numId w:val="10"/>
        </w:numPr>
        <w:spacing w:line="360" w:lineRule="auto"/>
        <w:ind w:left="709" w:leftChars="0" w:hanging="709" w:firstLineChars="0"/>
        <w:jc w:val="left"/>
        <w:outlineLvl w:val="9"/>
        <w:rPr>
          <w:rFonts w:ascii="宋体" w:cs="宋体"/>
          <w:szCs w:val="21"/>
        </w:rPr>
      </w:pPr>
      <w:r>
        <w:rPr>
          <w:rFonts w:hint="eastAsia" w:ascii="宋体" w:cs="宋体"/>
          <w:szCs w:val="21"/>
        </w:rPr>
        <w:t>详细评审及推荐中标候选人：</w:t>
      </w:r>
    </w:p>
    <w:p w14:paraId="30D9F3BE">
      <w:pPr>
        <w:pStyle w:val="32"/>
        <w:widowControl/>
        <w:numPr>
          <w:ilvl w:val="3"/>
          <w:numId w:val="10"/>
        </w:numPr>
        <w:spacing w:line="360" w:lineRule="auto"/>
        <w:ind w:firstLineChars="0"/>
        <w:jc w:val="left"/>
        <w:rPr>
          <w:rFonts w:ascii="宋体" w:cs="宋体"/>
          <w:szCs w:val="21"/>
        </w:rPr>
      </w:pPr>
      <w:r>
        <w:rPr>
          <w:rFonts w:hint="eastAsia" w:ascii="宋体" w:cs="宋体"/>
          <w:szCs w:val="21"/>
        </w:rPr>
        <w:t>评标委员会对符合性审查合格的投标文件进行商务和技术评估，综合比较与评价，具体技术、商务、价格部分的评审因素详见《综合评分表》。</w:t>
      </w:r>
    </w:p>
    <w:p w14:paraId="47706F0B">
      <w:pPr>
        <w:pStyle w:val="32"/>
        <w:widowControl/>
        <w:numPr>
          <w:ilvl w:val="3"/>
          <w:numId w:val="10"/>
        </w:numPr>
        <w:spacing w:line="360" w:lineRule="auto"/>
        <w:ind w:firstLineChars="0"/>
        <w:jc w:val="left"/>
        <w:rPr>
          <w:rFonts w:ascii="宋体" w:cs="宋体"/>
          <w:szCs w:val="21"/>
        </w:rPr>
      </w:pPr>
      <w:r>
        <w:rPr>
          <w:rFonts w:hint="eastAsia" w:ascii="宋体" w:hAnsi="宋体"/>
          <w:bCs/>
        </w:rPr>
        <w:t>评标过程中，不得去掉报价中的最高报价和最低报价。</w:t>
      </w:r>
    </w:p>
    <w:p w14:paraId="117599AE">
      <w:pPr>
        <w:pStyle w:val="32"/>
        <w:widowControl/>
        <w:numPr>
          <w:ilvl w:val="3"/>
          <w:numId w:val="10"/>
        </w:numPr>
        <w:spacing w:line="360" w:lineRule="auto"/>
        <w:ind w:firstLineChars="0"/>
        <w:jc w:val="left"/>
        <w:rPr>
          <w:rFonts w:ascii="宋体" w:hAnsi="宋体"/>
          <w:szCs w:val="21"/>
        </w:rPr>
      </w:pPr>
      <w:bookmarkStart w:id="17" w:name="EB067d940baba349e582b898bfd18c9719"/>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17"/>
      <w:r>
        <w:rPr>
          <w:rFonts w:hint="eastAsia" w:ascii="宋体" w:hAnsi="宋体" w:cs="宋体"/>
          <w:szCs w:val="21"/>
        </w:rPr>
        <w:t>得分。</w:t>
      </w:r>
    </w:p>
    <w:p w14:paraId="27E7C87F">
      <w:pPr>
        <w:pStyle w:val="32"/>
        <w:widowControl/>
        <w:numPr>
          <w:ilvl w:val="3"/>
          <w:numId w:val="10"/>
        </w:numPr>
        <w:spacing w:line="360" w:lineRule="auto"/>
        <w:ind w:firstLineChars="0"/>
        <w:jc w:val="left"/>
        <w:rPr>
          <w:rFonts w:ascii="宋体" w:hAnsi="宋体" w:cs="宋体"/>
          <w:szCs w:val="21"/>
        </w:rPr>
      </w:pPr>
      <w:r>
        <w:rPr>
          <w:rFonts w:hint="eastAsia" w:ascii="宋体" w:hAnsi="宋体" w:cs="宋体"/>
          <w:szCs w:val="21"/>
        </w:rPr>
        <w:t>使用综合评分法的采购项目，单一产品采购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7DA2FCBC">
      <w:pPr>
        <w:pStyle w:val="32"/>
        <w:widowControl/>
        <w:numPr>
          <w:ilvl w:val="3"/>
          <w:numId w:val="10"/>
        </w:numPr>
        <w:spacing w:line="360" w:lineRule="auto"/>
        <w:ind w:firstLineChars="0"/>
        <w:jc w:val="left"/>
        <w:rPr>
          <w:rFonts w:ascii="宋体" w:hAnsi="宋体"/>
          <w:color w:val="auto"/>
          <w:szCs w:val="21"/>
        </w:rPr>
      </w:pPr>
      <w:r>
        <w:rPr>
          <w:rFonts w:hint="eastAsia" w:ascii="宋体" w:hAnsi="宋体"/>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A76680">
      <w:pPr>
        <w:pStyle w:val="32"/>
        <w:widowControl/>
        <w:numPr>
          <w:ilvl w:val="3"/>
          <w:numId w:val="10"/>
        </w:numPr>
        <w:spacing w:line="360" w:lineRule="auto"/>
        <w:ind w:firstLineChars="0"/>
        <w:jc w:val="left"/>
        <w:rPr>
          <w:rFonts w:ascii="宋体" w:hAnsi="宋体"/>
          <w:color w:val="auto"/>
          <w:szCs w:val="21"/>
        </w:rPr>
      </w:pPr>
      <w:r>
        <w:rPr>
          <w:rFonts w:hint="eastAsia" w:ascii="宋体" w:hAnsi="宋体"/>
          <w:color w:val="auto"/>
          <w:szCs w:val="21"/>
        </w:rPr>
        <w:t>推荐综合得分排名第一的投标人为第一中标候选人，排名第二的投标人为第二中标候选人，排名第三的投标人为第三中标候选人。</w:t>
      </w:r>
    </w:p>
    <w:p w14:paraId="230B4121">
      <w:pPr>
        <w:pStyle w:val="32"/>
        <w:widowControl/>
        <w:numPr>
          <w:ilvl w:val="3"/>
          <w:numId w:val="10"/>
        </w:numPr>
        <w:spacing w:line="360" w:lineRule="auto"/>
        <w:ind w:firstLineChars="0"/>
        <w:jc w:val="left"/>
        <w:rPr>
          <w:rFonts w:ascii="宋体" w:hAnsi="宋体"/>
          <w:szCs w:val="21"/>
        </w:rPr>
      </w:pPr>
      <w:r>
        <w:rPr>
          <w:rFonts w:hint="eastAsia" w:ascii="宋体" w:hAnsi="宋体"/>
          <w:szCs w:val="21"/>
        </w:rPr>
        <w:t>第一中标候选人并列的，由采购人采取随机抽取的方式确定中标人。</w:t>
      </w:r>
    </w:p>
    <w:p w14:paraId="7D3E3CAA">
      <w:pPr>
        <w:pStyle w:val="26"/>
        <w:widowControl/>
        <w:numPr>
          <w:ilvl w:val="0"/>
          <w:numId w:val="10"/>
        </w:numPr>
        <w:spacing w:line="360" w:lineRule="auto"/>
        <w:ind w:left="425" w:leftChars="0" w:hanging="425" w:firstLineChars="0"/>
        <w:jc w:val="left"/>
        <w:outlineLvl w:val="1"/>
        <w:rPr>
          <w:rFonts w:ascii="宋体" w:hAnsi="宋体"/>
          <w:b/>
          <w:szCs w:val="21"/>
        </w:rPr>
      </w:pPr>
      <w:r>
        <w:rPr>
          <w:rFonts w:hint="eastAsia" w:ascii="宋体" w:hAnsi="宋体"/>
          <w:b/>
          <w:szCs w:val="21"/>
        </w:rPr>
        <w:t>定标</w:t>
      </w:r>
    </w:p>
    <w:p w14:paraId="4BEC88FB">
      <w:pPr>
        <w:pStyle w:val="26"/>
        <w:widowControl/>
        <w:numPr>
          <w:ilvl w:val="1"/>
          <w:numId w:val="10"/>
        </w:numPr>
        <w:spacing w:line="360" w:lineRule="auto"/>
        <w:ind w:left="426" w:hanging="426" w:firstLineChars="0"/>
        <w:jc w:val="left"/>
        <w:rPr>
          <w:rFonts w:ascii="宋体" w:hAnsi="宋体"/>
          <w:szCs w:val="21"/>
        </w:rPr>
      </w:pP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71BEEE2A">
      <w:pPr>
        <w:pStyle w:val="26"/>
        <w:widowControl/>
        <w:numPr>
          <w:ilvl w:val="1"/>
          <w:numId w:val="10"/>
        </w:numPr>
        <w:spacing w:line="360" w:lineRule="auto"/>
        <w:ind w:left="426" w:hanging="426" w:firstLineChars="0"/>
        <w:jc w:val="left"/>
        <w:rPr>
          <w:rFonts w:ascii="宋体" w:hAnsi="宋体"/>
          <w:szCs w:val="21"/>
        </w:rPr>
      </w:pPr>
      <w:r>
        <w:rPr>
          <w:rFonts w:hint="eastAsia" w:ascii="宋体" w:hAnsi="宋体"/>
          <w:szCs w:val="21"/>
        </w:rPr>
        <w:t>中标人拒绝与采购人签订合同的，可以重新开展政府采购活动。</w:t>
      </w:r>
    </w:p>
    <w:p w14:paraId="3949C5CA">
      <w:pPr>
        <w:pStyle w:val="32"/>
        <w:widowControl/>
        <w:numPr>
          <w:ilvl w:val="0"/>
          <w:numId w:val="10"/>
        </w:numPr>
        <w:spacing w:line="360" w:lineRule="auto"/>
        <w:ind w:left="425" w:leftChars="0" w:hanging="425" w:firstLineChars="0"/>
        <w:jc w:val="left"/>
        <w:outlineLvl w:val="1"/>
        <w:rPr>
          <w:rFonts w:ascii="宋体" w:hAnsi="宋体"/>
          <w:b/>
          <w:szCs w:val="21"/>
        </w:rPr>
      </w:pPr>
      <w:r>
        <w:rPr>
          <w:rFonts w:ascii="宋体" w:hAnsi="宋体"/>
          <w:b/>
          <w:szCs w:val="21"/>
        </w:rPr>
        <w:t>特别说明</w:t>
      </w:r>
    </w:p>
    <w:p w14:paraId="70EEA8B4">
      <w:pPr>
        <w:pStyle w:val="32"/>
        <w:widowControl/>
        <w:numPr>
          <w:ilvl w:val="1"/>
          <w:numId w:val="10"/>
        </w:numPr>
        <w:spacing w:line="360" w:lineRule="auto"/>
        <w:ind w:left="567" w:leftChars="0" w:hanging="567" w:firstLineChars="0"/>
        <w:jc w:val="left"/>
        <w:outlineLvl w:val="2"/>
        <w:rPr>
          <w:rFonts w:ascii="宋体" w:hAnsi="宋体"/>
          <w:szCs w:val="21"/>
        </w:rPr>
      </w:pPr>
      <w:r>
        <w:rPr>
          <w:rFonts w:hint="eastAsia" w:ascii="宋体" w:hAnsi="宋体"/>
          <w:szCs w:val="21"/>
        </w:rPr>
        <w:t>有下列情形之一的，视为投标人串通投标，其投标无效：</w:t>
      </w:r>
    </w:p>
    <w:p w14:paraId="776BF247">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不同投标人的投标文件由同一单位或者个人编制；</w:t>
      </w:r>
    </w:p>
    <w:p w14:paraId="45D516EA">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不同投标人委托同一单位或者个人办理投标事宜；</w:t>
      </w:r>
    </w:p>
    <w:p w14:paraId="09F72BB8">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不同投标人的投标文件载明的项目管理成员或者联系人员为同一人；</w:t>
      </w:r>
    </w:p>
    <w:p w14:paraId="16ACA07F">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不同投标人的投标文件异常一致或者投标报价呈规律性差异；</w:t>
      </w:r>
    </w:p>
    <w:p w14:paraId="421D9A7B">
      <w:pPr>
        <w:pStyle w:val="32"/>
        <w:widowControl/>
        <w:numPr>
          <w:ilvl w:val="2"/>
          <w:numId w:val="10"/>
        </w:numPr>
        <w:spacing w:line="360" w:lineRule="auto"/>
        <w:ind w:left="709" w:leftChars="0" w:hanging="709" w:firstLineChars="0"/>
        <w:jc w:val="left"/>
        <w:outlineLvl w:val="9"/>
        <w:rPr>
          <w:rFonts w:ascii="宋体" w:hAnsi="宋体"/>
          <w:szCs w:val="21"/>
        </w:rPr>
      </w:pPr>
      <w:r>
        <w:rPr>
          <w:rFonts w:hint="eastAsia" w:ascii="宋体" w:hAnsi="宋体"/>
          <w:szCs w:val="21"/>
        </w:rPr>
        <w:t>不同投标人的投标文件相互混装；</w:t>
      </w:r>
    </w:p>
    <w:p w14:paraId="2FAB76F9">
      <w:pPr>
        <w:pStyle w:val="32"/>
        <w:widowControl/>
        <w:numPr>
          <w:ilvl w:val="1"/>
          <w:numId w:val="10"/>
        </w:numPr>
        <w:spacing w:line="360" w:lineRule="auto"/>
        <w:ind w:left="567" w:leftChars="0" w:hanging="567" w:firstLineChars="0"/>
        <w:jc w:val="left"/>
        <w:outlineLvl w:val="2"/>
        <w:rPr>
          <w:rFonts w:ascii="宋体" w:hAnsi="宋体"/>
          <w:szCs w:val="21"/>
        </w:rPr>
      </w:pPr>
      <w:r>
        <w:rPr>
          <w:rFonts w:hint="eastAsia" w:ascii="宋体" w:hAnsi="宋体"/>
          <w:szCs w:val="21"/>
        </w:rPr>
        <w:t>投标人存在下列情况之一的，投标无效：</w:t>
      </w:r>
    </w:p>
    <w:p w14:paraId="2B978D18">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投标文件未按招标文件要求签署、盖章的；</w:t>
      </w:r>
    </w:p>
    <w:p w14:paraId="4BAD3AB5">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不具备招标文件中规定的资格要求的；</w:t>
      </w:r>
    </w:p>
    <w:p w14:paraId="72EC76C4">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报价超过招标文件中规定的预算金额或者最高限价的；</w:t>
      </w:r>
    </w:p>
    <w:p w14:paraId="62626DC9">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投标文件含有采购人不能接受的附加条件的;</w:t>
      </w:r>
    </w:p>
    <w:p w14:paraId="55F4A46C">
      <w:pPr>
        <w:pStyle w:val="32"/>
        <w:widowControl/>
        <w:numPr>
          <w:ilvl w:val="2"/>
          <w:numId w:val="10"/>
        </w:numPr>
        <w:spacing w:line="360" w:lineRule="auto"/>
        <w:ind w:firstLineChars="0"/>
        <w:jc w:val="left"/>
        <w:rPr>
          <w:rFonts w:hint="eastAsia" w:ascii="宋体" w:hAnsi="宋体"/>
          <w:szCs w:val="21"/>
        </w:rPr>
      </w:pPr>
      <w:r>
        <w:rPr>
          <w:rFonts w:hint="eastAsia" w:ascii="宋体" w:hAnsi="宋体"/>
          <w:szCs w:val="21"/>
        </w:rPr>
        <w:t>法律、法规和招标文件规定的其他无效情形。</w:t>
      </w:r>
    </w:p>
    <w:p w14:paraId="32DBCFA2">
      <w:pPr>
        <w:pStyle w:val="32"/>
        <w:widowControl/>
        <w:numPr>
          <w:ilvl w:val="1"/>
          <w:numId w:val="10"/>
        </w:numPr>
        <w:spacing w:line="360" w:lineRule="auto"/>
        <w:ind w:left="567" w:leftChars="0" w:hanging="567" w:firstLineChars="0"/>
        <w:jc w:val="left"/>
        <w:rPr>
          <w:rFonts w:hint="eastAsia" w:ascii="宋体" w:hAnsi="宋体"/>
          <w:szCs w:val="21"/>
        </w:rPr>
      </w:pPr>
      <w:r>
        <w:rPr>
          <w:rFonts w:hint="eastAsia" w:ascii="宋体" w:hAnsi="宋体"/>
          <w:szCs w:val="21"/>
        </w:rPr>
        <w:t>废标</w:t>
      </w:r>
    </w:p>
    <w:p w14:paraId="10C28F40">
      <w:pPr>
        <w:pStyle w:val="32"/>
        <w:widowControl/>
        <w:numPr>
          <w:ilvl w:val="2"/>
          <w:numId w:val="10"/>
        </w:numPr>
        <w:spacing w:line="360" w:lineRule="auto"/>
        <w:ind w:left="709" w:leftChars="0" w:hanging="709" w:firstLineChars="0"/>
        <w:jc w:val="left"/>
        <w:outlineLvl w:val="9"/>
        <w:rPr>
          <w:rFonts w:ascii="宋体" w:hAnsi="宋体"/>
          <w:szCs w:val="21"/>
        </w:rPr>
      </w:pPr>
      <w:r>
        <w:rPr>
          <w:rFonts w:ascii="宋体" w:hAnsi="宋体"/>
          <w:szCs w:val="21"/>
        </w:rPr>
        <w:t>在招标采购中，出现下列情形之一的，应予废标</w:t>
      </w:r>
      <w:r>
        <w:rPr>
          <w:rFonts w:hint="eastAsia" w:ascii="宋体" w:hAnsi="宋体"/>
          <w:szCs w:val="21"/>
        </w:rPr>
        <w:t>。</w:t>
      </w:r>
    </w:p>
    <w:p w14:paraId="7667ED95">
      <w:pPr>
        <w:pStyle w:val="32"/>
        <w:widowControl/>
        <w:numPr>
          <w:ilvl w:val="2"/>
          <w:numId w:val="10"/>
        </w:numPr>
        <w:spacing w:line="360" w:lineRule="auto"/>
        <w:ind w:firstLineChars="0"/>
        <w:jc w:val="left"/>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7C0BA65F">
      <w:pPr>
        <w:pStyle w:val="32"/>
        <w:widowControl/>
        <w:numPr>
          <w:ilvl w:val="2"/>
          <w:numId w:val="10"/>
        </w:numPr>
        <w:spacing w:line="360" w:lineRule="auto"/>
        <w:ind w:firstLineChars="0"/>
        <w:jc w:val="left"/>
        <w:rPr>
          <w:rFonts w:ascii="宋体" w:hAnsi="宋体"/>
          <w:szCs w:val="21"/>
        </w:rPr>
      </w:pPr>
      <w:r>
        <w:rPr>
          <w:rFonts w:ascii="宋体" w:hAnsi="宋体"/>
          <w:szCs w:val="21"/>
        </w:rPr>
        <w:t>出现影响采购公正的违法、违规行为的；</w:t>
      </w:r>
    </w:p>
    <w:p w14:paraId="55C2363F">
      <w:pPr>
        <w:pStyle w:val="32"/>
        <w:widowControl/>
        <w:numPr>
          <w:ilvl w:val="2"/>
          <w:numId w:val="10"/>
        </w:numPr>
        <w:spacing w:line="360" w:lineRule="auto"/>
        <w:ind w:firstLineChars="0"/>
        <w:jc w:val="left"/>
        <w:rPr>
          <w:rFonts w:ascii="宋体" w:hAnsi="宋体"/>
          <w:szCs w:val="21"/>
        </w:rPr>
      </w:pPr>
      <w:r>
        <w:rPr>
          <w:rFonts w:ascii="宋体" w:hAnsi="宋体"/>
          <w:szCs w:val="21"/>
        </w:rPr>
        <w:t>投标人的报价均超过了采购预算，采购人不能支付的；</w:t>
      </w:r>
    </w:p>
    <w:p w14:paraId="4B57E99D">
      <w:pPr>
        <w:pStyle w:val="32"/>
        <w:widowControl/>
        <w:numPr>
          <w:ilvl w:val="2"/>
          <w:numId w:val="10"/>
        </w:numPr>
        <w:spacing w:line="360" w:lineRule="auto"/>
        <w:ind w:firstLineChars="0"/>
        <w:jc w:val="left"/>
        <w:rPr>
          <w:rFonts w:ascii="宋体" w:hAnsi="宋体"/>
          <w:szCs w:val="21"/>
        </w:rPr>
      </w:pPr>
      <w:r>
        <w:rPr>
          <w:rFonts w:ascii="宋体" w:hAnsi="宋体"/>
          <w:szCs w:val="21"/>
        </w:rPr>
        <w:t>因重大变故，采购任务取消的</w:t>
      </w:r>
      <w:r>
        <w:rPr>
          <w:rFonts w:hint="eastAsia" w:ascii="宋体" w:hAnsi="宋体"/>
          <w:szCs w:val="21"/>
        </w:rPr>
        <w:t>。</w:t>
      </w:r>
    </w:p>
    <w:p w14:paraId="462F3870">
      <w:pPr>
        <w:pStyle w:val="32"/>
        <w:widowControl/>
        <w:numPr>
          <w:ilvl w:val="0"/>
          <w:numId w:val="10"/>
        </w:numPr>
        <w:spacing w:line="360" w:lineRule="auto"/>
        <w:ind w:left="425" w:leftChars="0" w:hanging="425" w:firstLineChars="0"/>
        <w:jc w:val="left"/>
        <w:outlineLvl w:val="1"/>
        <w:rPr>
          <w:rFonts w:hint="default" w:ascii="宋体" w:hAnsi="宋体" w:eastAsiaTheme="minorEastAsia"/>
          <w:b/>
          <w:bCs/>
          <w:szCs w:val="21"/>
          <w:lang w:val="en-US" w:eastAsia="zh-CN"/>
        </w:rPr>
      </w:pPr>
      <w:r>
        <w:rPr>
          <w:rFonts w:hint="eastAsia" w:ascii="宋体" w:hAnsi="宋体"/>
          <w:b/>
          <w:bCs/>
          <w:szCs w:val="21"/>
          <w:lang w:val="en-US" w:eastAsia="zh-CN"/>
        </w:rPr>
        <w:t>其他事宜说明</w:t>
      </w:r>
    </w:p>
    <w:p w14:paraId="4B96D31C">
      <w:pPr>
        <w:pStyle w:val="32"/>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6.1.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61FF9DAA">
      <w:pPr>
        <w:pStyle w:val="32"/>
        <w:widowControl/>
        <w:numPr>
          <w:ilvl w:val="0"/>
          <w:numId w:val="0"/>
        </w:numPr>
        <w:spacing w:line="360" w:lineRule="auto"/>
        <w:ind w:leftChars="0"/>
        <w:jc w:val="left"/>
        <w:rPr>
          <w:rFonts w:hint="eastAsia" w:asciiTheme="minorEastAsia" w:hAnsiTheme="minorEastAsia"/>
          <w:szCs w:val="21"/>
          <w:lang w:val="en-US" w:eastAsia="zh-CN"/>
        </w:rPr>
      </w:pPr>
      <w:r>
        <w:rPr>
          <w:rFonts w:hint="eastAsia" w:ascii="宋体" w:hAnsi="宋体"/>
          <w:szCs w:val="21"/>
          <w:lang w:val="en-US" w:eastAsia="zh-CN"/>
        </w:rPr>
        <w:t>6.2. 该项目</w:t>
      </w:r>
      <w:r>
        <w:rPr>
          <w:rFonts w:hint="eastAsia" w:asciiTheme="minorEastAsia" w:hAnsiTheme="minorEastAsia" w:eastAsiaTheme="minorEastAsia"/>
          <w:szCs w:val="21"/>
        </w:rPr>
        <w:t>中标供应商数量</w:t>
      </w:r>
      <w:r>
        <w:rPr>
          <w:rFonts w:hint="eastAsia" w:asciiTheme="minorEastAsia" w:hAnsiTheme="minorEastAsia"/>
          <w:szCs w:val="21"/>
          <w:lang w:val="en-US" w:eastAsia="zh-CN"/>
        </w:rPr>
        <w:t>为一家。</w:t>
      </w:r>
    </w:p>
    <w:p w14:paraId="091AE675">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asciiTheme="minorEastAsia" w:hAnsiTheme="minorEastAsia"/>
          <w:szCs w:val="21"/>
          <w:lang w:val="en-US" w:eastAsia="zh-CN"/>
        </w:rPr>
        <w:t xml:space="preserve">6.3. </w:t>
      </w:r>
      <w:r>
        <w:rPr>
          <w:rFonts w:hint="eastAsia" w:cs="Arial" w:asciiTheme="minorEastAsia" w:hAnsiTheme="minorEastAsia" w:eastAsiaTheme="minorEastAsia"/>
          <w:bCs/>
          <w:kern w:val="0"/>
          <w:szCs w:val="21"/>
        </w:rPr>
        <w:t>本项目不安排现场踏勘。</w:t>
      </w:r>
    </w:p>
    <w:p w14:paraId="4C27887E">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Arial" w:asciiTheme="minorEastAsia" w:hAnsiTheme="minorEastAsia"/>
          <w:bCs/>
          <w:kern w:val="0"/>
          <w:szCs w:val="21"/>
          <w:lang w:val="en-US" w:eastAsia="zh-CN"/>
        </w:rPr>
        <w:t xml:space="preserve">6.4. </w:t>
      </w:r>
      <w:r>
        <w:rPr>
          <w:rFonts w:hint="eastAsia" w:cs="Arial" w:asciiTheme="minorEastAsia" w:hAnsiTheme="minorEastAsia" w:eastAsiaTheme="minorEastAsia"/>
          <w:bCs/>
          <w:kern w:val="0"/>
          <w:szCs w:val="21"/>
        </w:rPr>
        <w:t>本项目不安排现场演示。</w:t>
      </w:r>
    </w:p>
    <w:p w14:paraId="013A9618">
      <w:pPr>
        <w:pStyle w:val="32"/>
        <w:widowControl/>
        <w:numPr>
          <w:ilvl w:val="0"/>
          <w:numId w:val="0"/>
        </w:numPr>
        <w:spacing w:line="360" w:lineRule="auto"/>
        <w:ind w:leftChars="0"/>
        <w:jc w:val="left"/>
        <w:rPr>
          <w:rFonts w:hint="eastAsia" w:cs="宋体" w:asciiTheme="minorEastAsia" w:hAnsiTheme="minorEastAsia"/>
          <w:spacing w:val="1"/>
          <w:kern w:val="0"/>
          <w:szCs w:val="21"/>
          <w:lang w:val="en-US" w:eastAsia="zh-CN"/>
        </w:rPr>
      </w:pPr>
      <w:r>
        <w:rPr>
          <w:rFonts w:hint="eastAsia" w:cs="Arial" w:asciiTheme="minorEastAsia" w:hAnsiTheme="minorEastAsia"/>
          <w:bCs/>
          <w:kern w:val="0"/>
          <w:szCs w:val="21"/>
          <w:lang w:val="en-US" w:eastAsia="zh-CN"/>
        </w:rPr>
        <w:t>6.5. 本项目</w:t>
      </w:r>
      <w:r>
        <w:rPr>
          <w:rFonts w:hint="eastAsia" w:cs="宋体" w:asciiTheme="minorEastAsia" w:hAnsiTheme="minorEastAsia" w:eastAsiaTheme="minorEastAsia"/>
          <w:spacing w:val="1"/>
          <w:kern w:val="0"/>
          <w:szCs w:val="21"/>
        </w:rPr>
        <w:t>资金来源</w:t>
      </w:r>
      <w:r>
        <w:rPr>
          <w:rFonts w:hint="eastAsia" w:cs="宋体" w:asciiTheme="minorEastAsia" w:hAnsiTheme="minorEastAsia"/>
          <w:spacing w:val="1"/>
          <w:kern w:val="0"/>
          <w:szCs w:val="21"/>
          <w:lang w:val="en-US" w:eastAsia="zh-CN"/>
        </w:rPr>
        <w:t>为自筹资金。</w:t>
      </w:r>
    </w:p>
    <w:p w14:paraId="0C471FF4">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宋体" w:asciiTheme="minorEastAsia" w:hAnsiTheme="minorEastAsia"/>
          <w:spacing w:val="1"/>
          <w:kern w:val="0"/>
          <w:szCs w:val="21"/>
          <w:lang w:val="en-US" w:eastAsia="zh-CN"/>
        </w:rPr>
        <w:t>6.6. 本</w:t>
      </w:r>
      <w:r>
        <w:rPr>
          <w:rFonts w:hint="eastAsia" w:cs="Arial" w:asciiTheme="minorEastAsia" w:hAnsiTheme="minorEastAsia" w:eastAsiaTheme="minorEastAsia"/>
          <w:bCs/>
          <w:kern w:val="0"/>
          <w:szCs w:val="21"/>
          <w:lang w:val="en-US" w:eastAsia="zh-CN"/>
        </w:rPr>
        <w:t>项目</w:t>
      </w:r>
      <w:r>
        <w:rPr>
          <w:rFonts w:hint="eastAsia" w:cs="Arial" w:asciiTheme="minorEastAsia" w:hAnsiTheme="minorEastAsia" w:eastAsiaTheme="minorEastAsia"/>
          <w:bCs/>
          <w:kern w:val="0"/>
          <w:szCs w:val="21"/>
        </w:rPr>
        <w:t>投标有效期从提交投标文件的截止之日起</w:t>
      </w:r>
      <w:r>
        <w:rPr>
          <w:rFonts w:hint="eastAsia" w:cs="Arial" w:asciiTheme="minorEastAsia" w:hAnsiTheme="minorEastAsia" w:eastAsiaTheme="minorEastAsia"/>
          <w:bCs/>
          <w:kern w:val="0"/>
          <w:szCs w:val="21"/>
          <w:lang w:val="en-US" w:eastAsia="zh-CN"/>
        </w:rPr>
        <w:t>120</w:t>
      </w:r>
      <w:r>
        <w:rPr>
          <w:rFonts w:hint="eastAsia" w:cs="Arial" w:asciiTheme="minorEastAsia" w:hAnsiTheme="minorEastAsia" w:eastAsiaTheme="minorEastAsia"/>
          <w:bCs/>
          <w:kern w:val="0"/>
          <w:szCs w:val="21"/>
        </w:rPr>
        <w:t>日历日内有效。</w:t>
      </w:r>
    </w:p>
    <w:p w14:paraId="36370E08">
      <w:pPr>
        <w:pStyle w:val="32"/>
        <w:widowControl/>
        <w:numPr>
          <w:ilvl w:val="0"/>
          <w:numId w:val="0"/>
        </w:numPr>
        <w:spacing w:line="360" w:lineRule="auto"/>
        <w:ind w:leftChars="0"/>
        <w:jc w:val="left"/>
        <w:rPr>
          <w:rFonts w:hint="default" w:cs="Arial" w:asciiTheme="minorEastAsia" w:hAnsiTheme="minorEastAsia" w:eastAsiaTheme="minorEastAsia"/>
          <w:bCs/>
          <w:kern w:val="0"/>
          <w:szCs w:val="21"/>
          <w:lang w:val="en-US" w:eastAsia="zh-CN"/>
        </w:rPr>
      </w:pPr>
      <w:r>
        <w:rPr>
          <w:rFonts w:hint="eastAsia" w:cs="Arial" w:asciiTheme="minorEastAsia" w:hAnsiTheme="minorEastAsia"/>
          <w:bCs/>
          <w:kern w:val="0"/>
          <w:szCs w:val="21"/>
          <w:lang w:val="en-US" w:eastAsia="zh-CN"/>
        </w:rPr>
        <w:t>6.7. 本项目不允许</w:t>
      </w:r>
      <w:r>
        <w:rPr>
          <w:rFonts w:cs="Arial" w:asciiTheme="minorEastAsia" w:hAnsiTheme="minorEastAsia" w:eastAsiaTheme="minorEastAsia"/>
          <w:bCs/>
          <w:kern w:val="0"/>
          <w:szCs w:val="21"/>
        </w:rPr>
        <w:t>提交备选方案</w:t>
      </w:r>
      <w:r>
        <w:rPr>
          <w:rFonts w:hint="eastAsia" w:cs="Arial" w:asciiTheme="minorEastAsia" w:hAnsiTheme="minorEastAsia"/>
          <w:bCs/>
          <w:kern w:val="0"/>
          <w:szCs w:val="21"/>
          <w:lang w:val="en-US" w:eastAsia="zh-CN"/>
        </w:rPr>
        <w:t>或替代方案。</w:t>
      </w:r>
    </w:p>
    <w:p w14:paraId="3CAB0B6D">
      <w:pPr>
        <w:pStyle w:val="32"/>
        <w:widowControl/>
        <w:numPr>
          <w:ilvl w:val="0"/>
          <w:numId w:val="0"/>
        </w:numPr>
        <w:spacing w:line="360" w:lineRule="auto"/>
        <w:ind w:leftChars="0"/>
        <w:jc w:val="left"/>
        <w:rPr>
          <w:rFonts w:hint="default" w:asciiTheme="minorEastAsia" w:hAnsiTheme="minorEastAsia"/>
          <w:szCs w:val="21"/>
          <w:lang w:val="en-US" w:eastAsia="zh-CN"/>
        </w:rPr>
      </w:pPr>
    </w:p>
    <w:p w14:paraId="1025FF3E">
      <w:pPr>
        <w:rPr>
          <w:rFonts w:ascii="宋体" w:hAnsi="宋体"/>
          <w:szCs w:val="21"/>
        </w:rPr>
      </w:pPr>
      <w:r>
        <w:rPr>
          <w:rFonts w:hint="eastAsia" w:ascii="宋体" w:hAnsi="宋体"/>
          <w:szCs w:val="21"/>
        </w:rPr>
        <w:br w:type="page"/>
      </w:r>
    </w:p>
    <w:p w14:paraId="1B56CBFB">
      <w:pPr>
        <w:pStyle w:val="3"/>
        <w:numPr>
          <w:ilvl w:val="0"/>
          <w:numId w:val="0"/>
        </w:numPr>
        <w:spacing w:line="240" w:lineRule="auto"/>
        <w:ind w:leftChars="0"/>
        <w:jc w:val="center"/>
        <w:outlineLvl w:val="0"/>
        <w:rPr>
          <w:rFonts w:asciiTheme="majorEastAsia" w:hAnsiTheme="majorEastAsia" w:eastAsiaTheme="majorEastAsia"/>
          <w:sz w:val="32"/>
          <w:szCs w:val="32"/>
        </w:rPr>
      </w:pPr>
      <w:bookmarkStart w:id="18" w:name="_Toc14800"/>
      <w:bookmarkStart w:id="19" w:name="_Toc435515292"/>
      <w:bookmarkStart w:id="20" w:name="_Toc1246"/>
      <w:bookmarkStart w:id="21" w:name="_Toc8080"/>
      <w:bookmarkStart w:id="22" w:name="_Toc435514852"/>
      <w:r>
        <w:rPr>
          <w:rFonts w:hint="eastAsia" w:asciiTheme="majorEastAsia" w:hAnsiTheme="majorEastAsia" w:eastAsiaTheme="majorEastAsia"/>
          <w:sz w:val="32"/>
          <w:szCs w:val="32"/>
          <w:lang w:val="en-US" w:eastAsia="zh-CN"/>
        </w:rPr>
        <w:t xml:space="preserve">第五章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8"/>
      <w:bookmarkEnd w:id="19"/>
      <w:bookmarkEnd w:id="20"/>
      <w:bookmarkEnd w:id="21"/>
      <w:bookmarkEnd w:id="22"/>
    </w:p>
    <w:tbl>
      <w:tblPr>
        <w:tblStyle w:val="1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0168BCD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5DD6665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4F96A7D5">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24E0C28B">
            <w:pPr>
              <w:pStyle w:val="5"/>
              <w:keepNext w:val="0"/>
              <w:keepLines w:val="0"/>
              <w:suppressLineNumbers w:val="0"/>
              <w:spacing w:before="0" w:beforeAutospacing="0" w:afterAutospacing="0" w:line="360" w:lineRule="auto"/>
              <w:ind w:left="0" w:right="0"/>
              <w:jc w:val="center"/>
              <w:rPr>
                <w:rFonts w:hint="default" w:ascii="黑体" w:eastAsia="黑体"/>
                <w:b/>
                <w:sz w:val="72"/>
                <w:szCs w:val="72"/>
              </w:rPr>
            </w:pPr>
            <w:r>
              <w:rPr>
                <w:rFonts w:hint="eastAsia" w:ascii="黑体" w:eastAsia="黑体"/>
                <w:b/>
                <w:sz w:val="72"/>
                <w:szCs w:val="72"/>
              </w:rPr>
              <w:t>投 标 文 件</w:t>
            </w:r>
          </w:p>
          <w:p w14:paraId="056E2451">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408DEE70">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F535991">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8F76FDC">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投标人名称：</w:t>
            </w:r>
          </w:p>
          <w:p w14:paraId="3E773E6D">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投标人地址：</w:t>
            </w:r>
          </w:p>
          <w:p w14:paraId="578B5057">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eastAsia" w:ascii="仿宋_GB2312" w:eastAsia="仿宋_GB2312"/>
                <w:b/>
                <w:sz w:val="28"/>
                <w:szCs w:val="28"/>
              </w:rPr>
            </w:pPr>
          </w:p>
          <w:p w14:paraId="29748A16">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default" w:ascii="仿宋_GB2312" w:eastAsia="仿宋_GB2312"/>
                <w:b/>
                <w:sz w:val="32"/>
              </w:rPr>
            </w:pPr>
            <w:r>
              <w:rPr>
                <w:rFonts w:hint="eastAsia" w:ascii="仿宋_GB2312" w:eastAsia="仿宋_GB2312"/>
                <w:b/>
                <w:sz w:val="28"/>
                <w:szCs w:val="28"/>
              </w:rPr>
              <w:t>开标之前不得启封</w:t>
            </w:r>
          </w:p>
        </w:tc>
      </w:tr>
    </w:tbl>
    <w:p w14:paraId="24A46D78">
      <w:bookmarkStart w:id="23" w:name="_Toc435514865"/>
      <w:bookmarkStart w:id="24" w:name="_Toc435515305"/>
      <w:r>
        <w:rPr>
          <w:rFonts w:hint="eastAsia"/>
        </w:rPr>
        <w:br w:type="page"/>
      </w:r>
    </w:p>
    <w:p w14:paraId="5B3C692F">
      <w:pPr>
        <w:pStyle w:val="3"/>
        <w:numPr>
          <w:ilvl w:val="0"/>
          <w:numId w:val="0"/>
        </w:numPr>
        <w:spacing w:line="240" w:lineRule="auto"/>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25" w:name="_Toc28307"/>
      <w:bookmarkStart w:id="26" w:name="_Toc29334"/>
      <w:r>
        <w:rPr>
          <w:rFonts w:hint="eastAsia" w:cs="宋体" w:asciiTheme="majorEastAsia" w:hAnsiTheme="majorEastAsia" w:eastAsiaTheme="majorEastAsia"/>
          <w:kern w:val="2"/>
          <w:sz w:val="30"/>
          <w:szCs w:val="30"/>
          <w:lang w:val="en-US" w:eastAsia="zh-CN" w:bidi="ar-SA"/>
        </w:rPr>
        <w:t>（一）资格性自查表</w:t>
      </w:r>
    </w:p>
    <w:tbl>
      <w:tblPr>
        <w:tblStyle w:val="16"/>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keepNext w:val="0"/>
              <w:keepLines w:val="0"/>
              <w:suppressLineNumbers w:val="0"/>
              <w:spacing w:before="0" w:beforeAutospacing="0" w:after="0" w:afterAutospacing="0"/>
              <w:ind w:left="36" w:leftChars="17" w:right="0"/>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keepNext w:val="0"/>
              <w:keepLines w:val="0"/>
              <w:suppressLineNumbers w:val="0"/>
              <w:spacing w:before="0" w:beforeAutospacing="0" w:after="0" w:afterAutospacing="0"/>
              <w:ind w:left="0"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0"/>
        </w:numPr>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（二）符合性自查表</w:t>
      </w:r>
    </w:p>
    <w:tbl>
      <w:tblPr>
        <w:tblStyle w:val="16"/>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0" w:leftChars="0" w:firstLine="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（三）警示情形自查确认表</w:t>
      </w: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611745D">
      <w:pPr>
        <w:pStyle w:val="3"/>
        <w:numPr>
          <w:ilvl w:val="0"/>
          <w:numId w:val="9"/>
        </w:numPr>
        <w:spacing w:line="240" w:lineRule="auto"/>
        <w:ind w:left="0" w:leftChars="0" w:firstLine="0" w:firstLineChars="0"/>
        <w:jc w:val="center"/>
        <w:outlineLvl w:val="0"/>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综合评分指引</w:t>
      </w:r>
    </w:p>
    <w:p w14:paraId="168FCB66">
      <w:pPr>
        <w:adjustRightInd w:val="0"/>
        <w:snapToGrid w:val="0"/>
        <w:spacing w:line="300" w:lineRule="auto"/>
        <w:ind w:firstLine="420" w:firstLineChars="200"/>
        <w:rPr>
          <w:rFonts w:ascii="宋体" w:hAnsi="宋体"/>
          <w:szCs w:val="21"/>
        </w:rPr>
      </w:pPr>
      <w:r>
        <w:rPr>
          <w:rFonts w:hint="eastAsia" w:ascii="宋体" w:hAnsi="宋体"/>
          <w:szCs w:val="21"/>
        </w:rPr>
        <w:t>对于“</w:t>
      </w:r>
      <w:r>
        <w:rPr>
          <w:rFonts w:hint="eastAsia" w:ascii="宋体" w:hAnsi="宋体"/>
          <w:b/>
          <w:szCs w:val="21"/>
        </w:rPr>
        <w:t>综合评分指引”</w:t>
      </w:r>
      <w:r>
        <w:rPr>
          <w:rFonts w:hint="eastAsia" w:ascii="宋体" w:hAnsi="宋体"/>
          <w:szCs w:val="21"/>
        </w:rPr>
        <w:t>请投标人按照招标文件</w:t>
      </w:r>
      <w:r>
        <w:rPr>
          <w:rFonts w:hint="eastAsia" w:ascii="宋体" w:hAnsi="宋体"/>
          <w:b/>
          <w:szCs w:val="21"/>
        </w:rPr>
        <w:t>评标信息评分细则表</w:t>
      </w:r>
      <w:r>
        <w:rPr>
          <w:rFonts w:hint="eastAsia" w:ascii="宋体" w:hAnsi="宋体"/>
          <w:szCs w:val="21"/>
        </w:rPr>
        <w:t>内容，根据各评分项目以</w:t>
      </w:r>
      <w:r>
        <w:rPr>
          <w:rFonts w:hint="eastAsia" w:ascii="宋体" w:hAnsi="宋体"/>
          <w:b/>
          <w:szCs w:val="21"/>
        </w:rPr>
        <w:t>自上而下</w:t>
      </w:r>
      <w:r>
        <w:rPr>
          <w:rFonts w:hint="eastAsia" w:ascii="宋体" w:hAnsi="宋体"/>
          <w:szCs w:val="21"/>
        </w:rPr>
        <w:t>的顺序编制。因项目次序混乱而影响评标效率及评标结果者，投标人自负其责。</w:t>
      </w:r>
    </w:p>
    <w:p w14:paraId="257ABC5B">
      <w:pPr>
        <w:adjustRightInd w:val="0"/>
        <w:snapToGrid w:val="0"/>
        <w:spacing w:line="300" w:lineRule="auto"/>
        <w:rPr>
          <w:rFonts w:ascii="宋体" w:hAnsi="宋体"/>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2636"/>
        <w:gridCol w:w="3367"/>
      </w:tblGrid>
      <w:tr w14:paraId="58E4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01" w:type="dxa"/>
            <w:vAlign w:val="center"/>
          </w:tcPr>
          <w:p w14:paraId="7098C0A7">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评分因素</w:t>
            </w:r>
          </w:p>
        </w:tc>
        <w:tc>
          <w:tcPr>
            <w:tcW w:w="2636" w:type="dxa"/>
            <w:vAlign w:val="center"/>
          </w:tcPr>
          <w:p w14:paraId="2F23BF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评分准则</w:t>
            </w:r>
          </w:p>
        </w:tc>
        <w:tc>
          <w:tcPr>
            <w:tcW w:w="3367" w:type="dxa"/>
            <w:vAlign w:val="center"/>
          </w:tcPr>
          <w:p w14:paraId="097497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证明文件</w:t>
            </w:r>
          </w:p>
        </w:tc>
      </w:tr>
      <w:tr w14:paraId="44BB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01" w:type="dxa"/>
            <w:vAlign w:val="center"/>
          </w:tcPr>
          <w:p w14:paraId="4C8851E2">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24BA1A3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28CF5B8">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7CA2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001" w:type="dxa"/>
            <w:vAlign w:val="center"/>
          </w:tcPr>
          <w:p w14:paraId="61AE6F4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7BF120A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7FC47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6AC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01" w:type="dxa"/>
            <w:vAlign w:val="center"/>
          </w:tcPr>
          <w:p w14:paraId="725CDC1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F7544B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00DAD86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5F6D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001" w:type="dxa"/>
            <w:vAlign w:val="center"/>
          </w:tcPr>
          <w:p w14:paraId="133B850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D6C3D8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8257C3">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24C0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0E5EF5F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C0DE59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2D667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D72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6E5F3AE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18F6629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5A69511D">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r w14:paraId="09BA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7360DA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0D1FA4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7C5C56C">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bl>
    <w:p w14:paraId="360D7A47">
      <w:pPr>
        <w:numPr>
          <w:ilvl w:val="0"/>
          <w:numId w:val="0"/>
        </w:numPr>
        <w:ind w:leftChars="0"/>
        <w:rPr>
          <w:rFonts w:hint="eastAsia"/>
          <w:lang w:val="en-US" w:eastAsia="zh-CN"/>
        </w:rPr>
      </w:pPr>
    </w:p>
    <w:p w14:paraId="1B2C3062">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3652D17">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163C87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CA0D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24022B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C0E4DD3">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7186ED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48117D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D3A274">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F674D68">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4115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D7BB6C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6D7C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4C12BA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（五）</w:t>
      </w:r>
      <w:r>
        <w:rPr>
          <w:rFonts w:hint="eastAsia" w:asciiTheme="majorEastAsia" w:hAnsiTheme="majorEastAsia" w:eastAsiaTheme="majorEastAsia"/>
          <w:sz w:val="30"/>
          <w:szCs w:val="30"/>
          <w:lang w:val="en-US" w:eastAsia="zh-CN"/>
        </w:rPr>
        <w:t>营业执</w:t>
      </w:r>
      <w:r>
        <w:rPr>
          <w:rFonts w:hint="eastAsia" w:cs="宋体" w:asciiTheme="majorEastAsia" w:hAnsiTheme="majorEastAsia" w:eastAsiaTheme="majorEastAsia"/>
          <w:sz w:val="30"/>
          <w:szCs w:val="30"/>
        </w:rPr>
        <w:t>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5"/>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（六）诚信及信用信息证明</w:t>
      </w:r>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http://www.gjsy.gov.cn/sydwfrxxcx/）、全国社会组织信用信息公示平台（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27" w:name="_Toc12322"/>
      <w:r>
        <w:rPr>
          <w:rFonts w:hint="eastAsia" w:cs="宋体" w:asciiTheme="majorEastAsia" w:hAnsiTheme="majorEastAsia" w:eastAsiaTheme="majorEastAsia"/>
          <w:kern w:val="2"/>
          <w:sz w:val="30"/>
          <w:szCs w:val="30"/>
          <w:lang w:val="en-US" w:eastAsia="zh-CN" w:bidi="ar-SA"/>
        </w:rPr>
        <w:t>（七）</w:t>
      </w:r>
      <w:r>
        <w:rPr>
          <w:rFonts w:hint="eastAsia" w:asciiTheme="majorEastAsia" w:hAnsiTheme="majorEastAsia" w:eastAsiaTheme="majorEastAsia"/>
          <w:sz w:val="30"/>
          <w:szCs w:val="30"/>
        </w:rPr>
        <w:t>供应商基本情况表</w:t>
      </w:r>
      <w:bookmarkEnd w:id="27"/>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45A0A5D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1B42BE4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93FE52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83A26E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5FD7B4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19B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2F47493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D911DD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C0051F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48729E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E035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D102E7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5A708A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50CDBC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39CE7BC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B62990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BC94FC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6B2E6F3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2A7418A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6AA7347A">
      <w:pPr>
        <w:bidi w:val="0"/>
        <w:rPr>
          <w:rFonts w:hint="eastAsia"/>
        </w:rPr>
      </w:pPr>
    </w:p>
    <w:p w14:paraId="66A8E52C">
      <w:pPr>
        <w:rPr>
          <w:rFonts w:hint="eastAsia" w:ascii="宋体" w:hAnsi="宋体" w:eastAsia="宋体" w:cs="宋体"/>
          <w:sz w:val="30"/>
          <w:szCs w:val="30"/>
        </w:rPr>
      </w:pPr>
      <w:r>
        <w:rPr>
          <w:rFonts w:hint="eastAsia" w:ascii="宋体" w:hAnsi="宋体" w:eastAsia="宋体" w:cs="宋体"/>
          <w:sz w:val="30"/>
          <w:szCs w:val="30"/>
        </w:rPr>
        <w:br w:type="page"/>
      </w:r>
    </w:p>
    <w:p w14:paraId="76C3BE37">
      <w:pPr>
        <w:pStyle w:val="3"/>
        <w:numPr>
          <w:ilvl w:val="0"/>
          <w:numId w:val="0"/>
        </w:numPr>
        <w:spacing w:line="240" w:lineRule="auto"/>
        <w:ind w:left="420" w:leftChars="0" w:hanging="420" w:firstLineChars="0"/>
        <w:jc w:val="center"/>
        <w:outlineLvl w:val="0"/>
        <w:rPr>
          <w:rFonts w:asciiTheme="majorEastAsia" w:hAnsiTheme="majorEastAsia" w:eastAsiaTheme="majorEastAsia"/>
          <w:color w:val="auto"/>
          <w:sz w:val="30"/>
          <w:szCs w:val="30"/>
        </w:rPr>
      </w:pPr>
      <w:bookmarkStart w:id="28" w:name="_Toc2074"/>
      <w:bookmarkStart w:id="29" w:name="_Toc30875"/>
      <w:r>
        <w:rPr>
          <w:rFonts w:hint="eastAsia" w:cs="宋体" w:asciiTheme="majorEastAsia" w:hAnsiTheme="majorEastAsia" w:eastAsiaTheme="majorEastAsia"/>
          <w:color w:val="auto"/>
          <w:kern w:val="2"/>
          <w:sz w:val="30"/>
          <w:szCs w:val="30"/>
          <w:lang w:val="en-US" w:eastAsia="zh-CN" w:bidi="ar-SA"/>
        </w:rPr>
        <w:t>（八）</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28"/>
      <w:bookmarkEnd w:id="29"/>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29"/>
        <w:spacing w:before="120" w:after="120" w:line="276" w:lineRule="auto"/>
        <w:ind w:left="0" w:leftChars="0" w:firstLine="0" w:firstLineChars="0"/>
        <w:rPr>
          <w:rFonts w:hint="eastAsia"/>
          <w:b/>
          <w:color w:val="auto"/>
          <w:sz w:val="24"/>
        </w:rPr>
      </w:pPr>
    </w:p>
    <w:p w14:paraId="4B1D9CBC">
      <w:pPr>
        <w:pStyle w:val="29"/>
        <w:spacing w:before="120" w:after="120" w:line="276" w:lineRule="auto"/>
        <w:ind w:firstLine="482"/>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9"/>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30" w:name="_Hlk72259001"/>
      <w:r>
        <w:rPr>
          <w:rFonts w:hint="eastAsia"/>
          <w:b/>
          <w:bCs/>
          <w:color w:val="auto"/>
        </w:rPr>
        <w:t>招标文件</w:t>
      </w:r>
      <w:bookmarkEnd w:id="30"/>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4C31D22">
      <w:pPr>
        <w:pStyle w:val="5"/>
        <w:rPr>
          <w:color w:val="auto"/>
        </w:rPr>
      </w:pPr>
    </w:p>
    <w:p w14:paraId="04F8DE87">
      <w:pPr>
        <w:spacing w:after="60"/>
        <w:jc w:val="center"/>
        <w:outlineLvl w:val="1"/>
        <w:rPr>
          <w:b/>
          <w:color w:val="auto"/>
        </w:rPr>
      </w:pPr>
      <w:r>
        <w:rPr>
          <w:rFonts w:hint="eastAsia"/>
          <w:b/>
          <w:color w:val="auto"/>
        </w:rPr>
        <w:t>1、中小企业声明函</w:t>
      </w:r>
    </w:p>
    <w:p w14:paraId="260C3881">
      <w:pPr>
        <w:pStyle w:val="5"/>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5"/>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5"/>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1"/>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1"/>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5"/>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3533FC00">
      <w:pPr>
        <w:rPr>
          <w:color w:val="auto"/>
        </w:rPr>
      </w:pPr>
      <w:r>
        <w:rPr>
          <w:color w:val="auto"/>
        </w:rPr>
        <w:br w:type="page"/>
      </w:r>
    </w:p>
    <w:p w14:paraId="406BD766">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31" w:name="_Toc8245"/>
      <w:r>
        <w:rPr>
          <w:rFonts w:hint="eastAsia" w:cs="宋体" w:asciiTheme="majorEastAsia" w:hAnsiTheme="majorEastAsia" w:eastAsiaTheme="majorEastAsia"/>
          <w:kern w:val="2"/>
          <w:sz w:val="30"/>
          <w:szCs w:val="30"/>
          <w:lang w:val="en-US" w:eastAsia="zh-CN" w:bidi="ar-SA"/>
        </w:rPr>
        <w:t>（九）</w:t>
      </w:r>
      <w:r>
        <w:rPr>
          <w:rFonts w:hint="eastAsia" w:asciiTheme="majorEastAsia" w:hAnsiTheme="majorEastAsia" w:eastAsiaTheme="majorEastAsia"/>
          <w:sz w:val="30"/>
          <w:szCs w:val="30"/>
        </w:rPr>
        <w:t>开标一览表(报价表)</w:t>
      </w:r>
      <w:bookmarkEnd w:id="26"/>
      <w:bookmarkEnd w:id="31"/>
    </w:p>
    <w:bookmarkEnd w:id="23"/>
    <w:bookmarkEnd w:id="24"/>
    <w:tbl>
      <w:tblPr>
        <w:tblStyle w:val="16"/>
        <w:tblW w:w="10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65"/>
        <w:gridCol w:w="1870"/>
        <w:gridCol w:w="1435"/>
        <w:gridCol w:w="1078"/>
        <w:gridCol w:w="2612"/>
      </w:tblGrid>
      <w:tr w14:paraId="1F687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38" w:type="dxa"/>
            <w:tcBorders>
              <w:top w:val="single" w:color="auto" w:sz="12" w:space="0"/>
              <w:bottom w:val="single" w:color="auto" w:sz="12" w:space="0"/>
            </w:tcBorders>
            <w:shd w:val="clear" w:color="auto" w:fill="EEECE1"/>
            <w:vAlign w:val="center"/>
          </w:tcPr>
          <w:p w14:paraId="12F100D1">
            <w:pPr>
              <w:keepNext w:val="0"/>
              <w:keepLines w:val="0"/>
              <w:suppressLineNumbers w:val="0"/>
              <w:spacing w:before="0" w:beforeAutospacing="0" w:after="0" w:afterAutospacing="0"/>
              <w:ind w:left="0" w:right="0"/>
              <w:jc w:val="center"/>
              <w:rPr>
                <w:rFonts w:hint="default" w:ascii="宋体" w:eastAsia="宋体"/>
                <w:b/>
                <w:color w:val="auto"/>
                <w:szCs w:val="21"/>
                <w:lang w:val="en-US" w:eastAsia="zh-CN"/>
              </w:rPr>
            </w:pPr>
            <w:r>
              <w:rPr>
                <w:rFonts w:hint="eastAsia" w:ascii="宋体"/>
                <w:b/>
                <w:color w:val="auto"/>
                <w:szCs w:val="21"/>
                <w:lang w:val="en-US" w:eastAsia="zh-CN"/>
              </w:rPr>
              <w:t>采购编号</w:t>
            </w:r>
          </w:p>
        </w:tc>
        <w:tc>
          <w:tcPr>
            <w:tcW w:w="1665" w:type="dxa"/>
            <w:tcBorders>
              <w:top w:val="single" w:color="auto" w:sz="12" w:space="0"/>
              <w:bottom w:val="single" w:color="auto" w:sz="12" w:space="0"/>
            </w:tcBorders>
            <w:shd w:val="clear" w:color="auto" w:fill="EEECE1"/>
            <w:vAlign w:val="center"/>
          </w:tcPr>
          <w:p w14:paraId="7DF2F416">
            <w:pPr>
              <w:keepNext w:val="0"/>
              <w:keepLines w:val="0"/>
              <w:suppressLineNumbers w:val="0"/>
              <w:spacing w:before="0" w:beforeAutospacing="0" w:after="0" w:afterAutospacing="0"/>
              <w:ind w:left="0" w:right="0"/>
              <w:jc w:val="center"/>
              <w:rPr>
                <w:rFonts w:hint="default" w:ascii="宋体" w:eastAsia="宋体" w:hAnsiTheme="minorHAnsi" w:cstheme="minorBidi"/>
                <w:b/>
                <w:color w:val="auto"/>
                <w:kern w:val="2"/>
                <w:sz w:val="21"/>
                <w:szCs w:val="21"/>
                <w:lang w:val="en-US" w:eastAsia="zh-CN" w:bidi="ar-SA"/>
              </w:rPr>
            </w:pPr>
            <w:r>
              <w:rPr>
                <w:rFonts w:hint="eastAsia" w:ascii="宋体"/>
                <w:b/>
                <w:color w:val="auto"/>
                <w:szCs w:val="21"/>
                <w:lang w:val="en-US" w:eastAsia="zh-CN"/>
              </w:rPr>
              <w:t>采购名称</w:t>
            </w:r>
          </w:p>
        </w:tc>
        <w:tc>
          <w:tcPr>
            <w:tcW w:w="1870" w:type="dxa"/>
            <w:tcBorders>
              <w:top w:val="single" w:color="auto" w:sz="12" w:space="0"/>
              <w:bottom w:val="single" w:color="auto" w:sz="12" w:space="0"/>
            </w:tcBorders>
            <w:shd w:val="clear" w:color="auto" w:fill="EEECE1"/>
            <w:vAlign w:val="center"/>
          </w:tcPr>
          <w:p w14:paraId="760D13ED">
            <w:pPr>
              <w:keepNext w:val="0"/>
              <w:keepLines w:val="0"/>
              <w:suppressLineNumbers w:val="0"/>
              <w:tabs>
                <w:tab w:val="left" w:pos="8364"/>
              </w:tabs>
              <w:snapToGrid w:val="0"/>
              <w:spacing w:before="0" w:beforeAutospacing="0" w:after="0" w:afterAutospacing="0"/>
              <w:ind w:left="0" w:right="-58"/>
              <w:jc w:val="center"/>
              <w:rPr>
                <w:rFonts w:hint="eastAsia" w:ascii="宋体" w:hAnsi="宋体" w:eastAsia="宋体" w:cs="宋体"/>
                <w:b/>
                <w:szCs w:val="21"/>
                <w:highlight w:val="none"/>
              </w:rPr>
            </w:pPr>
            <w:r>
              <w:rPr>
                <w:rFonts w:hint="eastAsia" w:ascii="宋体" w:hAnsi="宋体" w:eastAsia="宋体" w:cs="宋体"/>
                <w:b/>
                <w:szCs w:val="21"/>
                <w:highlight w:val="none"/>
              </w:rPr>
              <w:t>制造商、原产地</w:t>
            </w:r>
          </w:p>
          <w:p w14:paraId="0FC0ABDC">
            <w:pPr>
              <w:keepNext w:val="0"/>
              <w:keepLines w:val="0"/>
              <w:suppressLineNumbers w:val="0"/>
              <w:spacing w:before="0" w:beforeAutospacing="0" w:after="0" w:afterAutospacing="0"/>
              <w:ind w:left="0" w:right="0"/>
              <w:jc w:val="center"/>
              <w:rPr>
                <w:rFonts w:hint="eastAsia" w:ascii="宋体"/>
                <w:b/>
                <w:color w:val="auto"/>
                <w:szCs w:val="21"/>
              </w:rPr>
            </w:pP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435" w:type="dxa"/>
            <w:tcBorders>
              <w:top w:val="single" w:color="auto" w:sz="12" w:space="0"/>
              <w:bottom w:val="single" w:color="auto" w:sz="12" w:space="0"/>
            </w:tcBorders>
            <w:shd w:val="clear" w:color="auto" w:fill="EEECE1"/>
            <w:vAlign w:val="center"/>
          </w:tcPr>
          <w:p w14:paraId="65458354">
            <w:pPr>
              <w:keepNext w:val="0"/>
              <w:keepLines w:val="0"/>
              <w:suppressLineNumbers w:val="0"/>
              <w:spacing w:before="0" w:beforeAutospacing="0" w:after="0" w:afterAutospacing="0"/>
              <w:ind w:left="0" w:right="0"/>
              <w:jc w:val="center"/>
              <w:rPr>
                <w:rFonts w:hint="eastAsia" w:ascii="宋体" w:hAnsi="宋体" w:cs="宋体"/>
                <w:b/>
                <w:color w:val="FF0000"/>
                <w:szCs w:val="21"/>
                <w:highlight w:val="none"/>
                <w:lang w:eastAsia="zh-CN"/>
              </w:rPr>
            </w:pPr>
            <w:r>
              <w:rPr>
                <w:rFonts w:hint="eastAsia" w:ascii="宋体" w:hAnsi="宋体" w:eastAsia="宋体" w:cs="宋体"/>
                <w:b/>
                <w:szCs w:val="21"/>
                <w:highlight w:val="none"/>
              </w:rPr>
              <w:t>品牌、型号</w:t>
            </w: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078" w:type="dxa"/>
            <w:tcBorders>
              <w:top w:val="single" w:color="auto" w:sz="12" w:space="0"/>
              <w:bottom w:val="single" w:color="auto" w:sz="12" w:space="0"/>
            </w:tcBorders>
            <w:shd w:val="clear" w:color="auto" w:fill="EEECE1"/>
            <w:vAlign w:val="center"/>
          </w:tcPr>
          <w:p w14:paraId="0DE0CD21">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ascii="宋体"/>
                <w:b/>
                <w:color w:val="auto"/>
                <w:szCs w:val="21"/>
              </w:rPr>
              <w:t>数量</w:t>
            </w:r>
          </w:p>
        </w:tc>
        <w:tc>
          <w:tcPr>
            <w:tcW w:w="2612" w:type="dxa"/>
            <w:tcBorders>
              <w:top w:val="single" w:color="auto" w:sz="12" w:space="0"/>
              <w:bottom w:val="single" w:color="auto" w:sz="12" w:space="0"/>
            </w:tcBorders>
            <w:shd w:val="clear" w:color="auto" w:fill="EEECE1"/>
            <w:vAlign w:val="center"/>
          </w:tcPr>
          <w:p w14:paraId="07C9EA11">
            <w:pPr>
              <w:keepNext w:val="0"/>
              <w:keepLines w:val="0"/>
              <w:suppressLineNumbers w:val="0"/>
              <w:spacing w:before="0" w:beforeAutospacing="0" w:after="0" w:afterAutospacing="0"/>
              <w:ind w:left="0" w:right="0"/>
              <w:jc w:val="center"/>
              <w:rPr>
                <w:rFonts w:hint="eastAsia" w:hAnsi="宋体"/>
                <w:b/>
                <w:color w:val="auto"/>
                <w:vertAlign w:val="baseline"/>
                <w:lang w:val="en-US" w:eastAsia="zh-CN"/>
              </w:rPr>
            </w:pPr>
            <w:r>
              <w:rPr>
                <w:rFonts w:hint="eastAsia" w:hAnsi="宋体"/>
                <w:b/>
                <w:color w:val="auto"/>
                <w:vertAlign w:val="baseline"/>
                <w:lang w:val="en-US" w:eastAsia="zh-CN"/>
              </w:rPr>
              <w:t>投标报价</w:t>
            </w:r>
          </w:p>
          <w:p w14:paraId="21427E9E">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hAnsi="宋体"/>
                <w:b/>
                <w:color w:val="auto"/>
                <w:vertAlign w:val="baseline"/>
                <w:lang w:val="en-US" w:eastAsia="zh-CN"/>
              </w:rPr>
              <w:t>（人民币 万元）</w:t>
            </w:r>
          </w:p>
        </w:tc>
      </w:tr>
      <w:tr w14:paraId="090F9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638" w:type="dxa"/>
            <w:tcBorders>
              <w:top w:val="single" w:color="auto" w:sz="12" w:space="0"/>
              <w:bottom w:val="single" w:color="auto" w:sz="12" w:space="0"/>
            </w:tcBorders>
            <w:vAlign w:val="center"/>
          </w:tcPr>
          <w:p w14:paraId="27FCC3B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665" w:type="dxa"/>
            <w:tcBorders>
              <w:top w:val="single" w:color="auto" w:sz="12" w:space="0"/>
              <w:bottom w:val="single" w:color="auto" w:sz="12" w:space="0"/>
            </w:tcBorders>
            <w:vAlign w:val="center"/>
          </w:tcPr>
          <w:p w14:paraId="431C6ED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napToGrid/>
                <w:color w:val="auto"/>
                <w:spacing w:val="0"/>
                <w:kern w:val="2"/>
                <w:sz w:val="21"/>
                <w:szCs w:val="24"/>
                <w:lang w:val="en-US" w:eastAsia="zh-CN" w:bidi="ar-SA"/>
              </w:rPr>
            </w:pPr>
          </w:p>
        </w:tc>
        <w:tc>
          <w:tcPr>
            <w:tcW w:w="1870" w:type="dxa"/>
            <w:tcBorders>
              <w:top w:val="single" w:color="auto" w:sz="12" w:space="0"/>
              <w:bottom w:val="single" w:color="auto" w:sz="12" w:space="0"/>
            </w:tcBorders>
            <w:vAlign w:val="center"/>
          </w:tcPr>
          <w:p w14:paraId="53030D5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435" w:type="dxa"/>
            <w:tcBorders>
              <w:top w:val="single" w:color="auto" w:sz="12" w:space="0"/>
              <w:bottom w:val="single" w:color="auto" w:sz="12" w:space="0"/>
            </w:tcBorders>
            <w:vAlign w:val="center"/>
          </w:tcPr>
          <w:p w14:paraId="5CAF2A8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078" w:type="dxa"/>
            <w:tcBorders>
              <w:top w:val="single" w:color="auto" w:sz="12" w:space="0"/>
              <w:bottom w:val="single" w:color="auto" w:sz="12" w:space="0"/>
            </w:tcBorders>
            <w:vAlign w:val="center"/>
          </w:tcPr>
          <w:p w14:paraId="7E633B9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2612" w:type="dxa"/>
            <w:tcBorders>
              <w:top w:val="single" w:color="auto" w:sz="12" w:space="0"/>
              <w:bottom w:val="single" w:color="auto" w:sz="12" w:space="0"/>
            </w:tcBorders>
            <w:vAlign w:val="center"/>
          </w:tcPr>
          <w:p w14:paraId="6885F932">
            <w:pPr>
              <w:pStyle w:val="30"/>
              <w:keepLines w:val="0"/>
              <w:suppressLineNumbers w:val="0"/>
              <w:spacing w:beforeAutospacing="0" w:afterAutospacing="0" w:line="240" w:lineRule="auto"/>
              <w:ind w:left="0" w:right="0"/>
              <w:rPr>
                <w:rFonts w:hint="default" w:ascii="宋体"/>
                <w:bCs/>
                <w:color w:val="auto"/>
                <w:szCs w:val="21"/>
                <w:u w:val="single"/>
              </w:rPr>
            </w:pPr>
          </w:p>
        </w:tc>
      </w:tr>
      <w:tr w14:paraId="71680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298" w:type="dxa"/>
            <w:gridSpan w:val="6"/>
            <w:tcBorders>
              <w:top w:val="single" w:color="auto" w:sz="12" w:space="0"/>
              <w:bottom w:val="single" w:color="auto" w:sz="12" w:space="0"/>
            </w:tcBorders>
            <w:vAlign w:val="center"/>
          </w:tcPr>
          <w:p w14:paraId="366CD76F">
            <w:pPr>
              <w:keepNext w:val="0"/>
              <w:keepLines w:val="0"/>
              <w:suppressLineNumbers w:val="0"/>
              <w:spacing w:before="0" w:beforeAutospacing="0" w:after="0" w:afterAutospacing="0"/>
              <w:ind w:left="0" w:right="0"/>
              <w:jc w:val="left"/>
              <w:rPr>
                <w:rFonts w:hint="default" w:ascii="宋体"/>
                <w:bCs/>
                <w:color w:val="auto"/>
                <w:szCs w:val="21"/>
                <w:u w:val="single"/>
                <w:lang w:val="en-US"/>
              </w:rPr>
            </w:pPr>
            <w:r>
              <w:rPr>
                <w:rFonts w:hint="eastAsia" w:hAnsi="宋体"/>
                <w:b/>
                <w:color w:val="auto"/>
                <w:vertAlign w:val="baseline"/>
                <w:lang w:val="en-US" w:eastAsia="zh-CN"/>
              </w:rPr>
              <w:t>投标报价（人民币 万元）小写：                大写：</w:t>
            </w:r>
          </w:p>
        </w:tc>
      </w:tr>
    </w:tbl>
    <w:p w14:paraId="2F8AE64B">
      <w:pPr>
        <w:pStyle w:val="31"/>
      </w:pPr>
    </w:p>
    <w:p w14:paraId="3E7E1871">
      <w:pPr>
        <w:pStyle w:val="31"/>
      </w:pPr>
    </w:p>
    <w:p w14:paraId="65FD6EFB">
      <w:pPr>
        <w:pStyle w:val="31"/>
      </w:pPr>
    </w:p>
    <w:p w14:paraId="599AE3DB">
      <w:pPr>
        <w:spacing w:line="360" w:lineRule="auto"/>
        <w:rPr>
          <w:rFonts w:hint="default"/>
          <w:b/>
          <w:bCs/>
          <w:highlight w:val="lightGray"/>
          <w:u w:val="single"/>
          <w:lang w:val="en-US"/>
        </w:rPr>
      </w:pPr>
      <w:r>
        <w:rPr>
          <w:rFonts w:hint="eastAsia"/>
          <w:b/>
          <w:bCs/>
          <w:sz w:val="24"/>
          <w:lang w:val="en-US" w:eastAsia="zh-CN"/>
        </w:rPr>
        <w:t>投标人签字：</w:t>
      </w:r>
      <w:r>
        <w:rPr>
          <w:rFonts w:hint="eastAsia"/>
          <w:b/>
          <w:bCs/>
          <w:sz w:val="24"/>
          <w:u w:val="single"/>
          <w:lang w:val="en-US" w:eastAsia="zh-CN"/>
        </w:rPr>
        <w:t xml:space="preserve">                     </w:t>
      </w:r>
    </w:p>
    <w:p w14:paraId="73B46FE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AE07D80">
      <w:pPr>
        <w:spacing w:line="360" w:lineRule="auto"/>
        <w:outlineLvl w:val="9"/>
        <w:rPr>
          <w:rFonts w:hint="eastAsia"/>
          <w:b/>
          <w:sz w:val="24"/>
        </w:rPr>
      </w:pPr>
      <w:r>
        <w:rPr>
          <w:rFonts w:hint="eastAsia"/>
          <w:b/>
          <w:sz w:val="24"/>
        </w:rPr>
        <w:t>（此处加盖投标人单位公章）</w:t>
      </w:r>
    </w:p>
    <w:p w14:paraId="7D974DDB">
      <w:pPr>
        <w:spacing w:line="360" w:lineRule="auto"/>
        <w:rPr>
          <w:rFonts w:hint="eastAsia"/>
          <w:b/>
          <w:bCs/>
          <w:sz w:val="24"/>
        </w:rPr>
      </w:pPr>
      <w:r>
        <w:rPr>
          <w:rFonts w:hint="eastAsia"/>
          <w:b/>
          <w:bCs/>
          <w:sz w:val="24"/>
        </w:rPr>
        <w:t>日期：       年     月    日</w:t>
      </w:r>
    </w:p>
    <w:p w14:paraId="3E729C9D">
      <w:pPr>
        <w:pStyle w:val="5"/>
        <w:rPr>
          <w:rFonts w:hint="default"/>
          <w:lang w:val="en-US" w:eastAsia="zh-CN"/>
        </w:rPr>
      </w:pPr>
    </w:p>
    <w:p w14:paraId="29AA90E5">
      <w:pPr>
        <w:spacing w:line="400" w:lineRule="exact"/>
        <w:rPr>
          <w:rFonts w:ascii="宋体" w:hAnsi="宋体"/>
          <w:szCs w:val="21"/>
        </w:rPr>
      </w:pPr>
      <w:r>
        <w:rPr>
          <w:rFonts w:hint="eastAsia" w:ascii="宋体" w:hAnsi="宋体"/>
          <w:szCs w:val="21"/>
        </w:rPr>
        <w:t>备注：</w:t>
      </w:r>
    </w:p>
    <w:p w14:paraId="461A862F">
      <w:pPr>
        <w:numPr>
          <w:ilvl w:val="1"/>
          <w:numId w:val="11"/>
        </w:numPr>
        <w:tabs>
          <w:tab w:val="left" w:pos="360"/>
          <w:tab w:val="clear" w:pos="1620"/>
        </w:tabs>
        <w:snapToGrid w:val="0"/>
        <w:spacing w:line="360" w:lineRule="auto"/>
        <w:ind w:left="360" w:leftChars="0" w:hanging="360" w:firstLineChars="0"/>
        <w:outlineLvl w:val="9"/>
        <w:rPr>
          <w:rFonts w:ascii="宋体" w:hAnsi="宋体"/>
          <w:szCs w:val="21"/>
        </w:rPr>
      </w:pPr>
      <w:r>
        <w:rPr>
          <w:rFonts w:hint="eastAsia" w:ascii="宋体" w:hAnsi="宋体"/>
        </w:rPr>
        <w:t>投标报价的小数点后保留两位有效数</w:t>
      </w:r>
      <w:r>
        <w:rPr>
          <w:rFonts w:hint="eastAsia" w:ascii="宋体" w:hAnsi="宋体"/>
          <w:szCs w:val="21"/>
        </w:rPr>
        <w:t>。</w:t>
      </w:r>
    </w:p>
    <w:p w14:paraId="0226C8E6">
      <w:pPr>
        <w:numPr>
          <w:ilvl w:val="1"/>
          <w:numId w:val="11"/>
        </w:numPr>
        <w:tabs>
          <w:tab w:val="left" w:pos="360"/>
          <w:tab w:val="left" w:pos="840"/>
          <w:tab w:val="clear" w:pos="1620"/>
        </w:tabs>
        <w:snapToGrid w:val="0"/>
        <w:spacing w:line="360" w:lineRule="auto"/>
        <w:ind w:left="360"/>
      </w:pPr>
      <w:r>
        <w:rPr>
          <w:rFonts w:hint="eastAsia"/>
        </w:rPr>
        <w:t>除招标文件另有规定外，投标文件内不得含有任何对本报价进行价格折扣的说明或资料，否则为无效投标。</w:t>
      </w:r>
    </w:p>
    <w:p w14:paraId="63A99683">
      <w:pPr>
        <w:numPr>
          <w:ilvl w:val="1"/>
          <w:numId w:val="11"/>
        </w:numPr>
        <w:tabs>
          <w:tab w:val="left" w:pos="360"/>
          <w:tab w:val="left" w:pos="840"/>
          <w:tab w:val="clear" w:pos="1620"/>
        </w:tabs>
        <w:snapToGrid w:val="0"/>
        <w:spacing w:line="360" w:lineRule="auto"/>
        <w:ind w:left="360"/>
      </w:pPr>
      <w:r>
        <w:rPr>
          <w:rFonts w:hint="eastAsia"/>
        </w:rPr>
        <w:t>投标报价</w:t>
      </w:r>
      <w:r>
        <w:rPr>
          <w:rFonts w:hint="eastAsia"/>
          <w:lang w:val="en-US" w:eastAsia="zh-CN"/>
        </w:rPr>
        <w:t>不得超过挂网公告的预算价格，否则为无效投标</w:t>
      </w:r>
      <w:r>
        <w:rPr>
          <w:rFonts w:hint="eastAsia"/>
        </w:rPr>
        <w:t>。</w:t>
      </w:r>
    </w:p>
    <w:p w14:paraId="2B15EBBF">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投标人须按要求填写所有信息，不得随意更改本表格式。</w:t>
      </w:r>
    </w:p>
    <w:p w14:paraId="6497BC59">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此表是投标文件的必要文件，是投标文件的组成部分，封装在一个信封中，作为唱标之用。</w:t>
      </w:r>
    </w:p>
    <w:p w14:paraId="15DE9748">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w:t>
      </w:r>
      <w:r>
        <w:rPr>
          <w:rFonts w:hint="eastAsia" w:ascii="宋体" w:hAnsi="宋体" w:eastAsia="宋体" w:cs="宋体"/>
          <w:szCs w:val="21"/>
          <w:highlight w:val="none"/>
          <w:lang w:val="en-US" w:eastAsia="zh-CN"/>
        </w:rPr>
        <w:t>做</w:t>
      </w:r>
      <w:r>
        <w:rPr>
          <w:rFonts w:hint="eastAsia" w:ascii="宋体" w:hAnsi="宋体" w:eastAsia="宋体" w:cs="宋体"/>
          <w:szCs w:val="21"/>
          <w:highlight w:val="none"/>
        </w:rPr>
        <w:t>相应处理。</w:t>
      </w:r>
    </w:p>
    <w:p w14:paraId="015DCFDE">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详细填写所投货物的制造商名称；若所投产品属于定制类的非量产货物或无具体品牌型号的货物，可以不填写品牌、型号等信息，但应当标注投标产品为定制产品。招标文件已要求提供核心产品的，供应商必须明确所投核心产品的品牌。</w:t>
      </w:r>
    </w:p>
    <w:p w14:paraId="3DCB839C">
      <w:pPr>
        <w:pStyle w:val="5"/>
        <w:rPr>
          <w:rFonts w:hint="default" w:ascii="宋体" w:hAnsi="宋体" w:eastAsiaTheme="minorEastAsia" w:cstheme="minorBidi"/>
          <w:kern w:val="2"/>
          <w:sz w:val="21"/>
          <w:szCs w:val="24"/>
          <w:lang w:val="en-US" w:eastAsia="zh-CN" w:bidi="ar-SA"/>
        </w:rPr>
      </w:pPr>
    </w:p>
    <w:p w14:paraId="27349781">
      <w:pPr>
        <w:tabs>
          <w:tab w:val="left" w:pos="1200"/>
        </w:tabs>
        <w:snapToGrid w:val="0"/>
        <w:spacing w:line="360" w:lineRule="auto"/>
        <w:ind w:left="360"/>
        <w:rPr>
          <w:color w:val="FF0000"/>
        </w:rPr>
      </w:pPr>
    </w:p>
    <w:p w14:paraId="54F1A10B">
      <w:pPr>
        <w:spacing w:line="400" w:lineRule="exact"/>
        <w:rPr>
          <w:rFonts w:ascii="宋体" w:hAnsi="宋体"/>
          <w:b/>
          <w:bCs/>
          <w:szCs w:val="21"/>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57D675F">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eastAsia="zh-CN"/>
        </w:rPr>
      </w:pPr>
      <w:bookmarkStart w:id="32" w:name="_Toc6350"/>
      <w:bookmarkStart w:id="33" w:name="_Toc435514866"/>
      <w:bookmarkStart w:id="34" w:name="_Toc275865611"/>
      <w:bookmarkStart w:id="35" w:name="_Toc435515306"/>
      <w:bookmarkStart w:id="36" w:name="_Toc22031"/>
      <w:bookmarkStart w:id="37" w:name="_Toc192662843"/>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rPr>
        <w:t>投标报价</w:t>
      </w:r>
      <w:r>
        <w:rPr>
          <w:rFonts w:hint="eastAsia" w:asciiTheme="majorEastAsia" w:hAnsiTheme="majorEastAsia" w:eastAsiaTheme="majorEastAsia"/>
          <w:sz w:val="30"/>
          <w:szCs w:val="30"/>
          <w:lang w:val="en-US" w:eastAsia="zh-CN"/>
        </w:rPr>
        <w:t>明细</w:t>
      </w:r>
      <w:r>
        <w:rPr>
          <w:rFonts w:hint="eastAsia" w:asciiTheme="majorEastAsia" w:hAnsiTheme="majorEastAsia" w:eastAsiaTheme="majorEastAsia"/>
          <w:sz w:val="30"/>
          <w:szCs w:val="30"/>
        </w:rPr>
        <w:t>表</w:t>
      </w:r>
      <w:bookmarkEnd w:id="32"/>
      <w:bookmarkEnd w:id="33"/>
      <w:bookmarkEnd w:id="34"/>
      <w:bookmarkEnd w:id="35"/>
      <w:bookmarkEnd w:id="36"/>
      <w:bookmarkEnd w:id="37"/>
    </w:p>
    <w:tbl>
      <w:tblPr>
        <w:tblStyle w:val="16"/>
        <w:tblW w:w="8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050"/>
        <w:gridCol w:w="990"/>
        <w:gridCol w:w="990"/>
        <w:gridCol w:w="750"/>
        <w:gridCol w:w="870"/>
        <w:gridCol w:w="1020"/>
        <w:gridCol w:w="968"/>
        <w:gridCol w:w="725"/>
      </w:tblGrid>
      <w:tr w14:paraId="30F3E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34" w:type="dxa"/>
            <w:tcBorders>
              <w:top w:val="single" w:color="auto" w:sz="12" w:space="0"/>
              <w:bottom w:val="double" w:color="auto" w:sz="4" w:space="0"/>
            </w:tcBorders>
            <w:shd w:val="clear" w:color="auto" w:fill="EEECE1"/>
            <w:vAlign w:val="center"/>
          </w:tcPr>
          <w:p w14:paraId="5F5EBF4D">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序号</w:t>
            </w:r>
          </w:p>
        </w:tc>
        <w:tc>
          <w:tcPr>
            <w:tcW w:w="1050" w:type="dxa"/>
            <w:tcBorders>
              <w:top w:val="single" w:color="auto" w:sz="12" w:space="0"/>
              <w:bottom w:val="double" w:color="auto" w:sz="4" w:space="0"/>
            </w:tcBorders>
            <w:shd w:val="clear" w:color="auto" w:fill="EEECE1"/>
            <w:vAlign w:val="center"/>
          </w:tcPr>
          <w:p w14:paraId="5915C804">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产品</w:t>
            </w:r>
          </w:p>
          <w:p w14:paraId="384D549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名称</w:t>
            </w:r>
          </w:p>
        </w:tc>
        <w:tc>
          <w:tcPr>
            <w:tcW w:w="990" w:type="dxa"/>
            <w:tcBorders>
              <w:top w:val="single" w:color="auto" w:sz="12" w:space="0"/>
              <w:bottom w:val="double" w:color="auto" w:sz="4" w:space="0"/>
            </w:tcBorders>
            <w:shd w:val="clear" w:color="auto" w:fill="EEECE1"/>
            <w:vAlign w:val="center"/>
          </w:tcPr>
          <w:p w14:paraId="4F87A1A6">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规格</w:t>
            </w:r>
            <w:r>
              <w:rPr>
                <w:rFonts w:hint="eastAsia" w:ascii="宋体" w:hAnsi="宋体"/>
                <w:lang w:val="en-US" w:eastAsia="zh-CN"/>
              </w:rPr>
              <w:t xml:space="preserve">  </w:t>
            </w:r>
            <w:r>
              <w:rPr>
                <w:rFonts w:hint="default" w:ascii="宋体" w:hAnsi="宋体"/>
              </w:rPr>
              <w:t>型号</w:t>
            </w:r>
          </w:p>
        </w:tc>
        <w:tc>
          <w:tcPr>
            <w:tcW w:w="990" w:type="dxa"/>
            <w:tcBorders>
              <w:top w:val="single" w:color="auto" w:sz="12" w:space="0"/>
              <w:bottom w:val="double" w:color="auto" w:sz="4" w:space="0"/>
            </w:tcBorders>
            <w:shd w:val="clear" w:color="auto" w:fill="EEECE1"/>
            <w:vAlign w:val="center"/>
          </w:tcPr>
          <w:p w14:paraId="69A5DBCF">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品牌</w:t>
            </w:r>
          </w:p>
        </w:tc>
        <w:tc>
          <w:tcPr>
            <w:tcW w:w="750" w:type="dxa"/>
            <w:tcBorders>
              <w:top w:val="single" w:color="auto" w:sz="12" w:space="0"/>
              <w:bottom w:val="double" w:color="auto" w:sz="4" w:space="0"/>
            </w:tcBorders>
            <w:shd w:val="clear" w:color="auto" w:fill="EEECE1"/>
            <w:vAlign w:val="center"/>
          </w:tcPr>
          <w:p w14:paraId="22B38E5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单位</w:t>
            </w:r>
          </w:p>
        </w:tc>
        <w:tc>
          <w:tcPr>
            <w:tcW w:w="870" w:type="dxa"/>
            <w:tcBorders>
              <w:top w:val="single" w:color="auto" w:sz="12" w:space="0"/>
              <w:bottom w:val="double" w:color="auto" w:sz="4" w:space="0"/>
            </w:tcBorders>
            <w:shd w:val="clear" w:color="auto" w:fill="EEECE1"/>
            <w:vAlign w:val="center"/>
          </w:tcPr>
          <w:p w14:paraId="3C4AF9D9">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数量</w:t>
            </w:r>
          </w:p>
        </w:tc>
        <w:tc>
          <w:tcPr>
            <w:tcW w:w="1020" w:type="dxa"/>
            <w:tcBorders>
              <w:top w:val="single" w:color="auto" w:sz="12" w:space="0"/>
              <w:bottom w:val="double" w:color="auto" w:sz="4" w:space="0"/>
            </w:tcBorders>
            <w:shd w:val="clear" w:color="auto" w:fill="EEECE1"/>
            <w:vAlign w:val="center"/>
          </w:tcPr>
          <w:p w14:paraId="1D2B96D2">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单价</w:t>
            </w:r>
            <w:r>
              <w:rPr>
                <w:rFonts w:hint="eastAsia" w:ascii="宋体" w:hAnsi="宋体"/>
                <w:lang w:val="en-US" w:eastAsia="zh-CN"/>
              </w:rPr>
              <w:t xml:space="preserve">   </w:t>
            </w:r>
            <w:r>
              <w:rPr>
                <w:rFonts w:hint="default" w:ascii="宋体" w:hAnsi="宋体"/>
              </w:rPr>
              <w:t>（</w:t>
            </w:r>
            <w:r>
              <w:rPr>
                <w:rFonts w:hint="eastAsia" w:ascii="宋体" w:hAnsi="宋体"/>
                <w:lang w:val="en-US" w:eastAsia="zh-CN"/>
              </w:rPr>
              <w:t>万</w:t>
            </w:r>
            <w:r>
              <w:rPr>
                <w:rFonts w:hint="default" w:ascii="宋体" w:hAnsi="宋体"/>
              </w:rPr>
              <w:t>元）</w:t>
            </w:r>
          </w:p>
        </w:tc>
        <w:tc>
          <w:tcPr>
            <w:tcW w:w="968" w:type="dxa"/>
            <w:tcBorders>
              <w:top w:val="single" w:color="auto" w:sz="12" w:space="0"/>
              <w:bottom w:val="double" w:color="auto" w:sz="4" w:space="0"/>
            </w:tcBorders>
            <w:shd w:val="clear" w:color="auto" w:fill="EEECE1"/>
            <w:vAlign w:val="center"/>
          </w:tcPr>
          <w:p w14:paraId="122C5C98">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合计</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万</w:t>
            </w:r>
            <w:r>
              <w:rPr>
                <w:rFonts w:hint="eastAsia" w:ascii="宋体" w:hAnsi="宋体"/>
              </w:rPr>
              <w:t>元）</w:t>
            </w:r>
          </w:p>
        </w:tc>
        <w:tc>
          <w:tcPr>
            <w:tcW w:w="725" w:type="dxa"/>
            <w:tcBorders>
              <w:top w:val="single" w:color="auto" w:sz="12" w:space="0"/>
              <w:bottom w:val="double" w:color="auto" w:sz="4" w:space="0"/>
            </w:tcBorders>
            <w:shd w:val="clear" w:color="auto" w:fill="EEECE1"/>
            <w:vAlign w:val="center"/>
          </w:tcPr>
          <w:p w14:paraId="26BB7D70">
            <w:pPr>
              <w:keepNext w:val="0"/>
              <w:keepLines w:val="0"/>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备注</w:t>
            </w:r>
          </w:p>
        </w:tc>
      </w:tr>
      <w:tr w14:paraId="3D7BC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6ADCBEC4">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w:t>
            </w:r>
          </w:p>
        </w:tc>
        <w:tc>
          <w:tcPr>
            <w:tcW w:w="1050" w:type="dxa"/>
            <w:vAlign w:val="center"/>
          </w:tcPr>
          <w:p w14:paraId="587D43AF">
            <w:pPr>
              <w:keepNext w:val="0"/>
              <w:keepLines w:val="0"/>
              <w:suppressLineNumbers w:val="0"/>
              <w:spacing w:before="0" w:beforeAutospacing="0" w:after="0" w:afterAutospacing="0"/>
              <w:ind w:left="0" w:right="0"/>
              <w:jc w:val="center"/>
              <w:rPr>
                <w:rFonts w:hint="default"/>
              </w:rPr>
            </w:pPr>
          </w:p>
        </w:tc>
        <w:tc>
          <w:tcPr>
            <w:tcW w:w="990" w:type="dxa"/>
            <w:vAlign w:val="center"/>
          </w:tcPr>
          <w:p w14:paraId="1FBD9E86">
            <w:pPr>
              <w:keepNext w:val="0"/>
              <w:keepLines w:val="0"/>
              <w:suppressLineNumbers w:val="0"/>
              <w:spacing w:before="0" w:beforeAutospacing="0" w:after="0" w:afterAutospacing="0"/>
              <w:ind w:left="0" w:right="0"/>
              <w:jc w:val="center"/>
              <w:rPr>
                <w:rFonts w:hint="default"/>
              </w:rPr>
            </w:pPr>
          </w:p>
        </w:tc>
        <w:tc>
          <w:tcPr>
            <w:tcW w:w="990" w:type="dxa"/>
            <w:vAlign w:val="center"/>
          </w:tcPr>
          <w:p w14:paraId="4F5FDCC7">
            <w:pPr>
              <w:keepNext w:val="0"/>
              <w:keepLines w:val="0"/>
              <w:suppressLineNumbers w:val="0"/>
              <w:spacing w:before="0" w:beforeAutospacing="0" w:after="0" w:afterAutospacing="0"/>
              <w:ind w:left="0" w:right="0"/>
              <w:jc w:val="center"/>
              <w:rPr>
                <w:rFonts w:hint="default"/>
              </w:rPr>
            </w:pPr>
          </w:p>
        </w:tc>
        <w:tc>
          <w:tcPr>
            <w:tcW w:w="750" w:type="dxa"/>
            <w:vAlign w:val="center"/>
          </w:tcPr>
          <w:p w14:paraId="5DEBA6A7">
            <w:pPr>
              <w:keepNext w:val="0"/>
              <w:keepLines w:val="0"/>
              <w:suppressLineNumbers w:val="0"/>
              <w:spacing w:before="0" w:beforeAutospacing="0" w:after="0" w:afterAutospacing="0"/>
              <w:ind w:left="0" w:right="0"/>
              <w:jc w:val="center"/>
              <w:rPr>
                <w:rFonts w:hint="default"/>
              </w:rPr>
            </w:pPr>
          </w:p>
        </w:tc>
        <w:tc>
          <w:tcPr>
            <w:tcW w:w="870" w:type="dxa"/>
            <w:vAlign w:val="center"/>
          </w:tcPr>
          <w:p w14:paraId="150DCEB5">
            <w:pPr>
              <w:keepNext w:val="0"/>
              <w:keepLines w:val="0"/>
              <w:suppressLineNumbers w:val="0"/>
              <w:spacing w:before="0" w:beforeAutospacing="0" w:after="0" w:afterAutospacing="0"/>
              <w:ind w:left="0" w:right="0"/>
              <w:jc w:val="center"/>
              <w:rPr>
                <w:rFonts w:hint="default"/>
              </w:rPr>
            </w:pPr>
          </w:p>
        </w:tc>
        <w:tc>
          <w:tcPr>
            <w:tcW w:w="1020" w:type="dxa"/>
            <w:vAlign w:val="center"/>
          </w:tcPr>
          <w:p w14:paraId="0B6ACCDB">
            <w:pPr>
              <w:keepNext w:val="0"/>
              <w:keepLines w:val="0"/>
              <w:suppressLineNumbers w:val="0"/>
              <w:spacing w:before="0" w:beforeAutospacing="0" w:after="0" w:afterAutospacing="0"/>
              <w:ind w:left="0" w:right="0"/>
              <w:jc w:val="center"/>
              <w:rPr>
                <w:rFonts w:hint="default"/>
              </w:rPr>
            </w:pPr>
          </w:p>
        </w:tc>
        <w:tc>
          <w:tcPr>
            <w:tcW w:w="968" w:type="dxa"/>
            <w:vAlign w:val="center"/>
          </w:tcPr>
          <w:p w14:paraId="7BBE7B51">
            <w:pPr>
              <w:keepNext w:val="0"/>
              <w:keepLines w:val="0"/>
              <w:suppressLineNumbers w:val="0"/>
              <w:spacing w:before="0" w:beforeAutospacing="0" w:after="0" w:afterAutospacing="0"/>
              <w:ind w:left="0" w:right="0"/>
              <w:jc w:val="center"/>
              <w:rPr>
                <w:rFonts w:hint="default"/>
              </w:rPr>
            </w:pPr>
          </w:p>
        </w:tc>
        <w:tc>
          <w:tcPr>
            <w:tcW w:w="725" w:type="dxa"/>
            <w:vAlign w:val="center"/>
          </w:tcPr>
          <w:p w14:paraId="3A11F0BB">
            <w:pPr>
              <w:keepNext w:val="0"/>
              <w:keepLines w:val="0"/>
              <w:suppressLineNumbers w:val="0"/>
              <w:spacing w:before="0" w:beforeAutospacing="0" w:after="0" w:afterAutospacing="0"/>
              <w:ind w:left="0" w:right="0"/>
              <w:jc w:val="center"/>
              <w:rPr>
                <w:rFonts w:hint="default"/>
              </w:rPr>
            </w:pPr>
          </w:p>
        </w:tc>
      </w:tr>
      <w:tr w14:paraId="5F9A3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D8B611E">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p>
        </w:tc>
        <w:tc>
          <w:tcPr>
            <w:tcW w:w="1050" w:type="dxa"/>
            <w:vAlign w:val="center"/>
          </w:tcPr>
          <w:p w14:paraId="70669F5F">
            <w:pPr>
              <w:keepNext w:val="0"/>
              <w:keepLines w:val="0"/>
              <w:suppressLineNumbers w:val="0"/>
              <w:spacing w:before="0" w:beforeAutospacing="0" w:after="0" w:afterAutospacing="0"/>
              <w:ind w:left="0" w:right="0"/>
              <w:jc w:val="center"/>
              <w:rPr>
                <w:rFonts w:hint="default"/>
              </w:rPr>
            </w:pPr>
          </w:p>
        </w:tc>
        <w:tc>
          <w:tcPr>
            <w:tcW w:w="990" w:type="dxa"/>
            <w:vAlign w:val="center"/>
          </w:tcPr>
          <w:p w14:paraId="41ED0F8E">
            <w:pPr>
              <w:keepNext w:val="0"/>
              <w:keepLines w:val="0"/>
              <w:suppressLineNumbers w:val="0"/>
              <w:spacing w:before="0" w:beforeAutospacing="0" w:after="0" w:afterAutospacing="0"/>
              <w:ind w:left="0" w:right="0"/>
              <w:jc w:val="center"/>
              <w:rPr>
                <w:rFonts w:hint="default"/>
              </w:rPr>
            </w:pPr>
          </w:p>
        </w:tc>
        <w:tc>
          <w:tcPr>
            <w:tcW w:w="990" w:type="dxa"/>
            <w:vAlign w:val="center"/>
          </w:tcPr>
          <w:p w14:paraId="222424AE">
            <w:pPr>
              <w:keepNext w:val="0"/>
              <w:keepLines w:val="0"/>
              <w:suppressLineNumbers w:val="0"/>
              <w:spacing w:before="0" w:beforeAutospacing="0" w:after="0" w:afterAutospacing="0"/>
              <w:ind w:left="0" w:right="0"/>
              <w:jc w:val="center"/>
              <w:rPr>
                <w:rFonts w:hint="default"/>
              </w:rPr>
            </w:pPr>
          </w:p>
        </w:tc>
        <w:tc>
          <w:tcPr>
            <w:tcW w:w="750" w:type="dxa"/>
            <w:vAlign w:val="center"/>
          </w:tcPr>
          <w:p w14:paraId="72412A1D">
            <w:pPr>
              <w:keepNext w:val="0"/>
              <w:keepLines w:val="0"/>
              <w:suppressLineNumbers w:val="0"/>
              <w:spacing w:before="0" w:beforeAutospacing="0" w:after="0" w:afterAutospacing="0"/>
              <w:ind w:left="0" w:right="0"/>
              <w:jc w:val="center"/>
              <w:rPr>
                <w:rFonts w:hint="default"/>
              </w:rPr>
            </w:pPr>
          </w:p>
        </w:tc>
        <w:tc>
          <w:tcPr>
            <w:tcW w:w="870" w:type="dxa"/>
            <w:vAlign w:val="center"/>
          </w:tcPr>
          <w:p w14:paraId="257186F2">
            <w:pPr>
              <w:keepNext w:val="0"/>
              <w:keepLines w:val="0"/>
              <w:suppressLineNumbers w:val="0"/>
              <w:spacing w:before="0" w:beforeAutospacing="0" w:after="0" w:afterAutospacing="0"/>
              <w:ind w:left="0" w:right="0"/>
              <w:jc w:val="center"/>
              <w:rPr>
                <w:rFonts w:hint="default"/>
              </w:rPr>
            </w:pPr>
          </w:p>
        </w:tc>
        <w:tc>
          <w:tcPr>
            <w:tcW w:w="1020" w:type="dxa"/>
            <w:vAlign w:val="center"/>
          </w:tcPr>
          <w:p w14:paraId="42E249AF">
            <w:pPr>
              <w:keepNext w:val="0"/>
              <w:keepLines w:val="0"/>
              <w:suppressLineNumbers w:val="0"/>
              <w:spacing w:before="0" w:beforeAutospacing="0" w:after="0" w:afterAutospacing="0"/>
              <w:ind w:left="0" w:right="0"/>
              <w:jc w:val="center"/>
              <w:rPr>
                <w:rFonts w:hint="default"/>
              </w:rPr>
            </w:pPr>
          </w:p>
        </w:tc>
        <w:tc>
          <w:tcPr>
            <w:tcW w:w="968" w:type="dxa"/>
            <w:vAlign w:val="center"/>
          </w:tcPr>
          <w:p w14:paraId="5C60D203">
            <w:pPr>
              <w:keepNext w:val="0"/>
              <w:keepLines w:val="0"/>
              <w:suppressLineNumbers w:val="0"/>
              <w:spacing w:before="0" w:beforeAutospacing="0" w:after="0" w:afterAutospacing="0"/>
              <w:ind w:left="0" w:right="0"/>
              <w:jc w:val="center"/>
              <w:rPr>
                <w:rFonts w:hint="default"/>
              </w:rPr>
            </w:pPr>
          </w:p>
        </w:tc>
        <w:tc>
          <w:tcPr>
            <w:tcW w:w="725" w:type="dxa"/>
            <w:vAlign w:val="center"/>
          </w:tcPr>
          <w:p w14:paraId="5A6C1D5A">
            <w:pPr>
              <w:keepNext w:val="0"/>
              <w:keepLines w:val="0"/>
              <w:suppressLineNumbers w:val="0"/>
              <w:spacing w:before="0" w:beforeAutospacing="0" w:after="0" w:afterAutospacing="0"/>
              <w:ind w:left="0" w:right="0"/>
              <w:jc w:val="center"/>
              <w:rPr>
                <w:rFonts w:hint="default"/>
              </w:rPr>
            </w:pPr>
          </w:p>
        </w:tc>
      </w:tr>
      <w:tr w14:paraId="19275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6FB0D31">
            <w:pPr>
              <w:keepNext w:val="0"/>
              <w:keepLines w:val="0"/>
              <w:suppressLineNumbers w:val="0"/>
              <w:spacing w:before="0" w:beforeAutospacing="0" w:after="0" w:afterAutospacing="0"/>
              <w:ind w:left="0" w:right="0"/>
              <w:jc w:val="center"/>
              <w:rPr>
                <w:rFonts w:hint="eastAsia" w:eastAsiaTheme="minorEastAsia"/>
                <w:lang w:eastAsia="zh-CN"/>
              </w:rPr>
            </w:pPr>
            <w:r>
              <w:rPr>
                <w:rFonts w:hint="eastAsia"/>
                <w:lang w:val="en-US" w:eastAsia="zh-CN"/>
              </w:rPr>
              <w:t>3</w:t>
            </w:r>
          </w:p>
        </w:tc>
        <w:tc>
          <w:tcPr>
            <w:tcW w:w="1050" w:type="dxa"/>
            <w:vAlign w:val="center"/>
          </w:tcPr>
          <w:p w14:paraId="745F5712">
            <w:pPr>
              <w:keepNext w:val="0"/>
              <w:keepLines w:val="0"/>
              <w:suppressLineNumbers w:val="0"/>
              <w:spacing w:before="0" w:beforeAutospacing="0" w:after="0" w:afterAutospacing="0"/>
              <w:ind w:left="0" w:right="0"/>
              <w:jc w:val="center"/>
              <w:rPr>
                <w:rFonts w:hint="default"/>
              </w:rPr>
            </w:pPr>
          </w:p>
        </w:tc>
        <w:tc>
          <w:tcPr>
            <w:tcW w:w="990" w:type="dxa"/>
            <w:vAlign w:val="center"/>
          </w:tcPr>
          <w:p w14:paraId="77BF9D43">
            <w:pPr>
              <w:keepNext w:val="0"/>
              <w:keepLines w:val="0"/>
              <w:suppressLineNumbers w:val="0"/>
              <w:spacing w:before="0" w:beforeAutospacing="0" w:after="0" w:afterAutospacing="0"/>
              <w:ind w:left="0" w:right="0"/>
              <w:jc w:val="center"/>
              <w:rPr>
                <w:rFonts w:hint="default"/>
              </w:rPr>
            </w:pPr>
          </w:p>
        </w:tc>
        <w:tc>
          <w:tcPr>
            <w:tcW w:w="990" w:type="dxa"/>
            <w:vAlign w:val="center"/>
          </w:tcPr>
          <w:p w14:paraId="0A5DC4D5">
            <w:pPr>
              <w:keepNext w:val="0"/>
              <w:keepLines w:val="0"/>
              <w:suppressLineNumbers w:val="0"/>
              <w:spacing w:before="0" w:beforeAutospacing="0" w:after="0" w:afterAutospacing="0"/>
              <w:ind w:left="0" w:right="0"/>
              <w:jc w:val="center"/>
              <w:rPr>
                <w:rFonts w:hint="default"/>
              </w:rPr>
            </w:pPr>
          </w:p>
        </w:tc>
        <w:tc>
          <w:tcPr>
            <w:tcW w:w="750" w:type="dxa"/>
            <w:vAlign w:val="center"/>
          </w:tcPr>
          <w:p w14:paraId="10A066A4">
            <w:pPr>
              <w:keepNext w:val="0"/>
              <w:keepLines w:val="0"/>
              <w:suppressLineNumbers w:val="0"/>
              <w:spacing w:before="0" w:beforeAutospacing="0" w:after="0" w:afterAutospacing="0"/>
              <w:ind w:left="0" w:right="0"/>
              <w:jc w:val="center"/>
              <w:rPr>
                <w:rFonts w:hint="default"/>
              </w:rPr>
            </w:pPr>
          </w:p>
        </w:tc>
        <w:tc>
          <w:tcPr>
            <w:tcW w:w="870" w:type="dxa"/>
            <w:vAlign w:val="center"/>
          </w:tcPr>
          <w:p w14:paraId="7B558961">
            <w:pPr>
              <w:keepNext w:val="0"/>
              <w:keepLines w:val="0"/>
              <w:suppressLineNumbers w:val="0"/>
              <w:spacing w:before="0" w:beforeAutospacing="0" w:after="0" w:afterAutospacing="0"/>
              <w:ind w:left="0" w:right="0"/>
              <w:jc w:val="center"/>
              <w:rPr>
                <w:rFonts w:hint="default"/>
              </w:rPr>
            </w:pPr>
          </w:p>
        </w:tc>
        <w:tc>
          <w:tcPr>
            <w:tcW w:w="1020" w:type="dxa"/>
            <w:vAlign w:val="center"/>
          </w:tcPr>
          <w:p w14:paraId="7E193032">
            <w:pPr>
              <w:keepNext w:val="0"/>
              <w:keepLines w:val="0"/>
              <w:suppressLineNumbers w:val="0"/>
              <w:spacing w:before="0" w:beforeAutospacing="0" w:after="0" w:afterAutospacing="0"/>
              <w:ind w:left="0" w:right="0"/>
              <w:jc w:val="center"/>
              <w:rPr>
                <w:rFonts w:hint="default"/>
              </w:rPr>
            </w:pPr>
          </w:p>
        </w:tc>
        <w:tc>
          <w:tcPr>
            <w:tcW w:w="968" w:type="dxa"/>
            <w:vAlign w:val="center"/>
          </w:tcPr>
          <w:p w14:paraId="50C0846A">
            <w:pPr>
              <w:keepNext w:val="0"/>
              <w:keepLines w:val="0"/>
              <w:suppressLineNumbers w:val="0"/>
              <w:spacing w:before="0" w:beforeAutospacing="0" w:after="0" w:afterAutospacing="0"/>
              <w:ind w:left="0" w:right="0"/>
              <w:jc w:val="center"/>
              <w:rPr>
                <w:rFonts w:hint="default"/>
              </w:rPr>
            </w:pPr>
          </w:p>
        </w:tc>
        <w:tc>
          <w:tcPr>
            <w:tcW w:w="725" w:type="dxa"/>
            <w:vAlign w:val="center"/>
          </w:tcPr>
          <w:p w14:paraId="1AB98162">
            <w:pPr>
              <w:keepNext w:val="0"/>
              <w:keepLines w:val="0"/>
              <w:suppressLineNumbers w:val="0"/>
              <w:spacing w:before="0" w:beforeAutospacing="0" w:after="0" w:afterAutospacing="0"/>
              <w:ind w:left="0" w:right="0"/>
              <w:jc w:val="center"/>
              <w:rPr>
                <w:rFonts w:hint="default"/>
              </w:rPr>
            </w:pPr>
          </w:p>
        </w:tc>
      </w:tr>
      <w:tr w14:paraId="47AF0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37BEBF6">
            <w:pPr>
              <w:keepNext w:val="0"/>
              <w:keepLines w:val="0"/>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4</w:t>
            </w:r>
          </w:p>
        </w:tc>
        <w:tc>
          <w:tcPr>
            <w:tcW w:w="1050" w:type="dxa"/>
            <w:vAlign w:val="center"/>
          </w:tcPr>
          <w:p w14:paraId="7C2988EE">
            <w:pPr>
              <w:keepNext w:val="0"/>
              <w:keepLines w:val="0"/>
              <w:suppressLineNumbers w:val="0"/>
              <w:spacing w:before="0" w:beforeAutospacing="0" w:after="0" w:afterAutospacing="0"/>
              <w:ind w:left="0" w:right="0"/>
              <w:jc w:val="center"/>
              <w:rPr>
                <w:rFonts w:hint="default"/>
              </w:rPr>
            </w:pPr>
          </w:p>
        </w:tc>
        <w:tc>
          <w:tcPr>
            <w:tcW w:w="990" w:type="dxa"/>
            <w:vAlign w:val="center"/>
          </w:tcPr>
          <w:p w14:paraId="29A2E49B">
            <w:pPr>
              <w:keepNext w:val="0"/>
              <w:keepLines w:val="0"/>
              <w:suppressLineNumbers w:val="0"/>
              <w:spacing w:before="0" w:beforeAutospacing="0" w:after="0" w:afterAutospacing="0"/>
              <w:ind w:left="0" w:right="0"/>
              <w:jc w:val="center"/>
              <w:rPr>
                <w:rFonts w:hint="default"/>
              </w:rPr>
            </w:pPr>
          </w:p>
        </w:tc>
        <w:tc>
          <w:tcPr>
            <w:tcW w:w="990" w:type="dxa"/>
            <w:vAlign w:val="center"/>
          </w:tcPr>
          <w:p w14:paraId="63DDBB0D">
            <w:pPr>
              <w:keepNext w:val="0"/>
              <w:keepLines w:val="0"/>
              <w:suppressLineNumbers w:val="0"/>
              <w:spacing w:before="0" w:beforeAutospacing="0" w:after="0" w:afterAutospacing="0"/>
              <w:ind w:left="0" w:right="0"/>
              <w:jc w:val="center"/>
              <w:rPr>
                <w:rFonts w:hint="default"/>
              </w:rPr>
            </w:pPr>
          </w:p>
        </w:tc>
        <w:tc>
          <w:tcPr>
            <w:tcW w:w="750" w:type="dxa"/>
            <w:vAlign w:val="center"/>
          </w:tcPr>
          <w:p w14:paraId="097E2DB7">
            <w:pPr>
              <w:keepNext w:val="0"/>
              <w:keepLines w:val="0"/>
              <w:suppressLineNumbers w:val="0"/>
              <w:spacing w:before="0" w:beforeAutospacing="0" w:after="0" w:afterAutospacing="0"/>
              <w:ind w:left="0" w:right="0"/>
              <w:jc w:val="center"/>
              <w:rPr>
                <w:rFonts w:hint="default"/>
              </w:rPr>
            </w:pPr>
          </w:p>
        </w:tc>
        <w:tc>
          <w:tcPr>
            <w:tcW w:w="870" w:type="dxa"/>
            <w:vAlign w:val="center"/>
          </w:tcPr>
          <w:p w14:paraId="06F59F69">
            <w:pPr>
              <w:keepNext w:val="0"/>
              <w:keepLines w:val="0"/>
              <w:suppressLineNumbers w:val="0"/>
              <w:spacing w:before="0" w:beforeAutospacing="0" w:after="0" w:afterAutospacing="0"/>
              <w:ind w:left="0" w:right="0"/>
              <w:jc w:val="center"/>
              <w:rPr>
                <w:rFonts w:hint="default"/>
              </w:rPr>
            </w:pPr>
          </w:p>
        </w:tc>
        <w:tc>
          <w:tcPr>
            <w:tcW w:w="1020" w:type="dxa"/>
            <w:vAlign w:val="center"/>
          </w:tcPr>
          <w:p w14:paraId="7033E8FE">
            <w:pPr>
              <w:keepNext w:val="0"/>
              <w:keepLines w:val="0"/>
              <w:suppressLineNumbers w:val="0"/>
              <w:spacing w:before="0" w:beforeAutospacing="0" w:after="0" w:afterAutospacing="0"/>
              <w:ind w:left="0" w:right="0"/>
              <w:jc w:val="center"/>
              <w:rPr>
                <w:rFonts w:hint="default"/>
              </w:rPr>
            </w:pPr>
          </w:p>
        </w:tc>
        <w:tc>
          <w:tcPr>
            <w:tcW w:w="968" w:type="dxa"/>
            <w:vAlign w:val="center"/>
          </w:tcPr>
          <w:p w14:paraId="190F58CD">
            <w:pPr>
              <w:keepNext w:val="0"/>
              <w:keepLines w:val="0"/>
              <w:suppressLineNumbers w:val="0"/>
              <w:spacing w:before="0" w:beforeAutospacing="0" w:after="0" w:afterAutospacing="0"/>
              <w:ind w:left="0" w:right="0"/>
              <w:jc w:val="center"/>
              <w:rPr>
                <w:rFonts w:hint="default"/>
              </w:rPr>
            </w:pPr>
          </w:p>
        </w:tc>
        <w:tc>
          <w:tcPr>
            <w:tcW w:w="725" w:type="dxa"/>
            <w:vAlign w:val="center"/>
          </w:tcPr>
          <w:p w14:paraId="0069FDC3">
            <w:pPr>
              <w:keepNext w:val="0"/>
              <w:keepLines w:val="0"/>
              <w:suppressLineNumbers w:val="0"/>
              <w:spacing w:before="0" w:beforeAutospacing="0" w:after="0" w:afterAutospacing="0"/>
              <w:ind w:left="0" w:right="0"/>
              <w:jc w:val="center"/>
              <w:rPr>
                <w:rFonts w:hint="default"/>
              </w:rPr>
            </w:pPr>
          </w:p>
        </w:tc>
      </w:tr>
      <w:tr w14:paraId="304F6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3D46894B">
            <w:pPr>
              <w:keepNext w:val="0"/>
              <w:keepLines w:val="0"/>
              <w:suppressLineNumbers w:val="0"/>
              <w:spacing w:before="0" w:beforeAutospacing="0" w:after="0" w:afterAutospacing="0"/>
              <w:ind w:left="0" w:right="0"/>
              <w:jc w:val="center"/>
              <w:rPr>
                <w:rFonts w:hint="eastAsia"/>
              </w:rPr>
            </w:pPr>
            <w:r>
              <w:rPr>
                <w:rFonts w:hint="eastAsia"/>
              </w:rPr>
              <w:t>……</w:t>
            </w:r>
          </w:p>
        </w:tc>
        <w:tc>
          <w:tcPr>
            <w:tcW w:w="1050" w:type="dxa"/>
            <w:vAlign w:val="center"/>
          </w:tcPr>
          <w:p w14:paraId="6D7736AA">
            <w:pPr>
              <w:keepNext w:val="0"/>
              <w:keepLines w:val="0"/>
              <w:suppressLineNumbers w:val="0"/>
              <w:spacing w:before="0" w:beforeAutospacing="0" w:after="0" w:afterAutospacing="0"/>
              <w:ind w:left="0" w:right="0"/>
              <w:jc w:val="center"/>
              <w:rPr>
                <w:rFonts w:hint="default"/>
              </w:rPr>
            </w:pPr>
          </w:p>
        </w:tc>
        <w:tc>
          <w:tcPr>
            <w:tcW w:w="990" w:type="dxa"/>
            <w:vAlign w:val="center"/>
          </w:tcPr>
          <w:p w14:paraId="1CE8CDF5">
            <w:pPr>
              <w:keepNext w:val="0"/>
              <w:keepLines w:val="0"/>
              <w:suppressLineNumbers w:val="0"/>
              <w:spacing w:before="0" w:beforeAutospacing="0" w:after="0" w:afterAutospacing="0"/>
              <w:ind w:left="0" w:right="0"/>
              <w:jc w:val="center"/>
              <w:rPr>
                <w:rFonts w:hint="default"/>
              </w:rPr>
            </w:pPr>
          </w:p>
        </w:tc>
        <w:tc>
          <w:tcPr>
            <w:tcW w:w="990" w:type="dxa"/>
            <w:vAlign w:val="center"/>
          </w:tcPr>
          <w:p w14:paraId="0A436446">
            <w:pPr>
              <w:keepNext w:val="0"/>
              <w:keepLines w:val="0"/>
              <w:suppressLineNumbers w:val="0"/>
              <w:spacing w:before="0" w:beforeAutospacing="0" w:after="0" w:afterAutospacing="0"/>
              <w:ind w:left="0" w:right="0"/>
              <w:jc w:val="center"/>
              <w:rPr>
                <w:rFonts w:hint="default"/>
              </w:rPr>
            </w:pPr>
          </w:p>
        </w:tc>
        <w:tc>
          <w:tcPr>
            <w:tcW w:w="750" w:type="dxa"/>
            <w:vAlign w:val="center"/>
          </w:tcPr>
          <w:p w14:paraId="793DB9AB">
            <w:pPr>
              <w:keepNext w:val="0"/>
              <w:keepLines w:val="0"/>
              <w:suppressLineNumbers w:val="0"/>
              <w:spacing w:before="0" w:beforeAutospacing="0" w:after="0" w:afterAutospacing="0"/>
              <w:ind w:left="0" w:right="0"/>
              <w:jc w:val="center"/>
              <w:rPr>
                <w:rFonts w:hint="default"/>
              </w:rPr>
            </w:pPr>
          </w:p>
        </w:tc>
        <w:tc>
          <w:tcPr>
            <w:tcW w:w="870" w:type="dxa"/>
            <w:vAlign w:val="center"/>
          </w:tcPr>
          <w:p w14:paraId="572BDF3D">
            <w:pPr>
              <w:keepNext w:val="0"/>
              <w:keepLines w:val="0"/>
              <w:suppressLineNumbers w:val="0"/>
              <w:spacing w:before="0" w:beforeAutospacing="0" w:after="0" w:afterAutospacing="0"/>
              <w:ind w:left="0" w:right="0"/>
              <w:jc w:val="center"/>
              <w:rPr>
                <w:rFonts w:hint="default"/>
              </w:rPr>
            </w:pPr>
          </w:p>
        </w:tc>
        <w:tc>
          <w:tcPr>
            <w:tcW w:w="1020" w:type="dxa"/>
            <w:vAlign w:val="center"/>
          </w:tcPr>
          <w:p w14:paraId="0D5FDA0D">
            <w:pPr>
              <w:keepNext w:val="0"/>
              <w:keepLines w:val="0"/>
              <w:suppressLineNumbers w:val="0"/>
              <w:spacing w:before="0" w:beforeAutospacing="0" w:after="0" w:afterAutospacing="0"/>
              <w:ind w:left="0" w:right="0"/>
              <w:jc w:val="center"/>
              <w:rPr>
                <w:rFonts w:hint="default"/>
              </w:rPr>
            </w:pPr>
          </w:p>
        </w:tc>
        <w:tc>
          <w:tcPr>
            <w:tcW w:w="968" w:type="dxa"/>
            <w:vAlign w:val="center"/>
          </w:tcPr>
          <w:p w14:paraId="4386A38B">
            <w:pPr>
              <w:keepNext w:val="0"/>
              <w:keepLines w:val="0"/>
              <w:suppressLineNumbers w:val="0"/>
              <w:spacing w:before="0" w:beforeAutospacing="0" w:after="0" w:afterAutospacing="0"/>
              <w:ind w:left="0" w:right="0"/>
              <w:jc w:val="center"/>
              <w:rPr>
                <w:rFonts w:hint="default"/>
              </w:rPr>
            </w:pPr>
          </w:p>
        </w:tc>
        <w:tc>
          <w:tcPr>
            <w:tcW w:w="725" w:type="dxa"/>
            <w:vAlign w:val="center"/>
          </w:tcPr>
          <w:p w14:paraId="3AE151F1">
            <w:pPr>
              <w:keepNext w:val="0"/>
              <w:keepLines w:val="0"/>
              <w:suppressLineNumbers w:val="0"/>
              <w:spacing w:before="0" w:beforeAutospacing="0" w:after="0" w:afterAutospacing="0"/>
              <w:ind w:left="0" w:right="0"/>
              <w:jc w:val="center"/>
              <w:rPr>
                <w:rFonts w:hint="default"/>
              </w:rPr>
            </w:pPr>
          </w:p>
        </w:tc>
      </w:tr>
      <w:tr w14:paraId="7C2BA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299453B2">
            <w:pPr>
              <w:keepNext w:val="0"/>
              <w:keepLines w:val="0"/>
              <w:suppressLineNumbers w:val="0"/>
              <w:spacing w:before="0" w:beforeAutospacing="0" w:after="0" w:afterAutospacing="0"/>
              <w:ind w:left="0" w:right="0"/>
              <w:jc w:val="center"/>
              <w:rPr>
                <w:rFonts w:hint="eastAsia" w:ascii="宋体" w:hAnsi="宋体" w:eastAsiaTheme="minorEastAsia"/>
                <w:lang w:eastAsia="zh-CN"/>
              </w:rPr>
            </w:pPr>
            <w:r>
              <w:rPr>
                <w:rFonts w:hint="eastAsia" w:ascii="宋体" w:hAnsi="宋体"/>
              </w:rPr>
              <w:t>总计</w:t>
            </w:r>
          </w:p>
        </w:tc>
        <w:tc>
          <w:tcPr>
            <w:tcW w:w="7363" w:type="dxa"/>
            <w:gridSpan w:val="8"/>
            <w:vAlign w:val="center"/>
          </w:tcPr>
          <w:p w14:paraId="44A20969">
            <w:pPr>
              <w:keepNext w:val="0"/>
              <w:keepLines w:val="0"/>
              <w:suppressLineNumbers w:val="0"/>
              <w:spacing w:before="0" w:beforeAutospacing="0" w:after="0" w:afterAutospacing="0"/>
              <w:ind w:left="0" w:right="0"/>
              <w:rPr>
                <w:rFonts w:hint="default"/>
              </w:rPr>
            </w:pPr>
            <w:r>
              <w:rPr>
                <w:rFonts w:hint="eastAsia"/>
                <w:lang w:val="en-US" w:eastAsia="zh-CN"/>
              </w:rPr>
              <w:t>小写：</w:t>
            </w:r>
            <w:r>
              <w:rPr>
                <w:rFonts w:hint="eastAsia"/>
              </w:rPr>
              <w:t xml:space="preserve">            大写：</w:t>
            </w:r>
          </w:p>
        </w:tc>
      </w:tr>
    </w:tbl>
    <w:p w14:paraId="74DB6181">
      <w:pPr>
        <w:widowControl/>
        <w:wordWrap w:val="0"/>
        <w:spacing w:line="360" w:lineRule="auto"/>
        <w:jc w:val="left"/>
        <w:rPr>
          <w:rFonts w:ascii="ˎ̥" w:hAnsi="ˎ̥" w:cs="宋体"/>
          <w:kern w:val="0"/>
          <w:sz w:val="18"/>
          <w:szCs w:val="18"/>
        </w:rPr>
      </w:pPr>
    </w:p>
    <w:p w14:paraId="6AA29BC1">
      <w:pPr>
        <w:pStyle w:val="5"/>
      </w:pPr>
    </w:p>
    <w:p w14:paraId="14D6F199">
      <w:pPr>
        <w:spacing w:line="360" w:lineRule="auto"/>
        <w:rPr>
          <w:b/>
          <w:bCs/>
          <w:sz w:val="24"/>
        </w:rPr>
      </w:pPr>
      <w:r>
        <w:rPr>
          <w:rFonts w:hint="eastAsia"/>
          <w:b/>
          <w:bCs/>
          <w:sz w:val="24"/>
          <w:lang w:val="en-US" w:eastAsia="zh-CN"/>
        </w:rPr>
        <w:t>投标人签字：</w:t>
      </w:r>
      <w:r>
        <w:rPr>
          <w:rFonts w:hint="eastAsia"/>
          <w:b/>
          <w:bCs/>
          <w:sz w:val="24"/>
          <w:u w:val="single"/>
          <w:lang w:val="en-US" w:eastAsia="zh-CN"/>
        </w:rPr>
        <w:t xml:space="preserve">                     </w:t>
      </w:r>
    </w:p>
    <w:p w14:paraId="32FD1D14">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58704B5">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4E0D3D7E">
      <w:pPr>
        <w:spacing w:line="360" w:lineRule="auto"/>
        <w:outlineLvl w:val="9"/>
        <w:rPr>
          <w:sz w:val="24"/>
        </w:rPr>
      </w:pPr>
      <w:r>
        <w:rPr>
          <w:rFonts w:hint="eastAsia"/>
          <w:b/>
          <w:sz w:val="24"/>
        </w:rPr>
        <w:t>（此处加盖投标人单位公章）</w:t>
      </w:r>
    </w:p>
    <w:p w14:paraId="2F80012B">
      <w:pPr>
        <w:tabs>
          <w:tab w:val="left" w:pos="567"/>
        </w:tabs>
        <w:snapToGrid w:val="0"/>
        <w:spacing w:line="360" w:lineRule="auto"/>
        <w:rPr>
          <w:rFonts w:ascii="宋体" w:hAnsi="宋体"/>
        </w:rPr>
      </w:pPr>
    </w:p>
    <w:p w14:paraId="7578DAC9">
      <w:pPr>
        <w:tabs>
          <w:tab w:val="left" w:pos="567"/>
        </w:tabs>
        <w:snapToGrid w:val="0"/>
        <w:spacing w:line="360" w:lineRule="auto"/>
        <w:rPr>
          <w:rFonts w:ascii="宋体" w:hAnsi="宋体"/>
        </w:rPr>
      </w:pPr>
      <w:r>
        <w:rPr>
          <w:rFonts w:hint="eastAsia" w:ascii="宋体" w:hAnsi="宋体"/>
        </w:rPr>
        <w:t>注：</w:t>
      </w:r>
    </w:p>
    <w:p w14:paraId="10109930">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此表为《开标一览表(报价表)》的报价明细表。</w:t>
      </w:r>
    </w:p>
    <w:p w14:paraId="60C88164">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所有价格均以人民币作为货币单位填写及计算。</w:t>
      </w:r>
    </w:p>
    <w:p w14:paraId="08644903">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该表格式仅作参考，投标人的详细报价表格式可自定。</w:t>
      </w:r>
    </w:p>
    <w:p w14:paraId="57712ECD">
      <w:pPr>
        <w:pStyle w:val="3"/>
        <w:numPr>
          <w:ilvl w:val="0"/>
          <w:numId w:val="0"/>
        </w:numPr>
        <w:spacing w:line="240" w:lineRule="auto"/>
        <w:ind w:left="420" w:leftChars="0" w:hanging="420" w:firstLineChars="0"/>
        <w:jc w:val="center"/>
        <w:outlineLvl w:val="9"/>
        <w:rPr>
          <w:rFonts w:ascii="宋体" w:hAnsi="宋体"/>
          <w:color w:val="000000"/>
        </w:rPr>
      </w:pPr>
    </w:p>
    <w:p w14:paraId="37B42F00">
      <w:pPr>
        <w:rPr>
          <w:rFonts w:ascii="宋体" w:hAnsi="宋体"/>
          <w:color w:val="000000"/>
        </w:rPr>
      </w:pPr>
    </w:p>
    <w:p w14:paraId="48A26FD0">
      <w:pPr>
        <w:pStyle w:val="5"/>
        <w:rPr>
          <w:rFonts w:ascii="宋体" w:hAnsi="宋体"/>
          <w:color w:val="000000"/>
        </w:rPr>
      </w:pPr>
    </w:p>
    <w:p w14:paraId="1EE00335">
      <w:pPr>
        <w:rPr>
          <w:rFonts w:ascii="宋体" w:hAnsi="宋体"/>
          <w:color w:val="000000"/>
        </w:rPr>
      </w:pPr>
    </w:p>
    <w:p w14:paraId="074A18CC">
      <w:pPr>
        <w:pStyle w:val="5"/>
        <w:rPr>
          <w:rFonts w:ascii="宋体" w:hAnsi="宋体"/>
          <w:color w:val="000000"/>
        </w:rPr>
      </w:pPr>
    </w:p>
    <w:p w14:paraId="1EAF0F35">
      <w:pPr>
        <w:rPr>
          <w:rFonts w:ascii="宋体" w:hAnsi="宋体"/>
          <w:color w:val="000000"/>
        </w:rPr>
      </w:pPr>
    </w:p>
    <w:p w14:paraId="561C5F22">
      <w:pPr>
        <w:pStyle w:val="5"/>
        <w:rPr>
          <w:rFonts w:ascii="宋体" w:hAnsi="宋体"/>
          <w:color w:val="000000"/>
        </w:rPr>
      </w:pPr>
    </w:p>
    <w:p w14:paraId="68A50261">
      <w:pPr>
        <w:rPr>
          <w:rFonts w:ascii="宋体" w:hAnsi="宋体"/>
          <w:color w:val="000000"/>
        </w:rPr>
      </w:pPr>
    </w:p>
    <w:p w14:paraId="7E8FC21E">
      <w:pPr>
        <w:pStyle w:val="5"/>
        <w:rPr>
          <w:rFonts w:ascii="宋体" w:hAnsi="宋体"/>
          <w:color w:val="000000"/>
        </w:rPr>
      </w:pPr>
    </w:p>
    <w:p w14:paraId="25AF6C6E">
      <w:pPr>
        <w:rPr>
          <w:rFonts w:ascii="宋体" w:hAnsi="宋体"/>
          <w:color w:val="000000"/>
        </w:rPr>
      </w:pPr>
    </w:p>
    <w:p w14:paraId="51E2905D">
      <w:pPr>
        <w:pStyle w:val="5"/>
      </w:pPr>
    </w:p>
    <w:p w14:paraId="48791E83">
      <w:pPr>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（十一）产品配置清单</w:t>
      </w:r>
    </w:p>
    <w:tbl>
      <w:tblPr>
        <w:tblStyle w:val="16"/>
        <w:tblW w:w="4996"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02"/>
        <w:gridCol w:w="1359"/>
        <w:gridCol w:w="1446"/>
        <w:gridCol w:w="1098"/>
        <w:gridCol w:w="1350"/>
        <w:gridCol w:w="2391"/>
        <w:gridCol w:w="957"/>
      </w:tblGrid>
      <w:tr w14:paraId="59B3688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27"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27C78ED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序号</w:t>
            </w:r>
          </w:p>
        </w:tc>
        <w:tc>
          <w:tcPr>
            <w:tcW w:w="73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81144DE">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品名</w:t>
            </w:r>
          </w:p>
        </w:tc>
        <w:tc>
          <w:tcPr>
            <w:tcW w:w="785"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7AE266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规格说明</w:t>
            </w:r>
          </w:p>
        </w:tc>
        <w:tc>
          <w:tcPr>
            <w:tcW w:w="596"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3EDABADF">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采购数量</w:t>
            </w:r>
          </w:p>
        </w:tc>
        <w:tc>
          <w:tcPr>
            <w:tcW w:w="733"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46D0FDD2">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投标</w:t>
            </w:r>
            <w:r>
              <w:rPr>
                <w:rFonts w:hint="eastAsia" w:ascii="宋体" w:hAnsi="宋体"/>
                <w:highlight w:val="none"/>
              </w:rPr>
              <w:t>数量</w:t>
            </w:r>
          </w:p>
        </w:tc>
        <w:tc>
          <w:tcPr>
            <w:tcW w:w="129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616CA0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偏离情况（填写“正偏离、</w:t>
            </w:r>
            <w:r>
              <w:rPr>
                <w:rFonts w:hint="eastAsia" w:ascii="宋体" w:hAnsi="宋体"/>
                <w:highlight w:val="none"/>
                <w:lang w:val="en-US" w:eastAsia="zh-CN"/>
              </w:rPr>
              <w:t>无偏离</w:t>
            </w:r>
            <w:r>
              <w:rPr>
                <w:rFonts w:hint="eastAsia" w:ascii="宋体" w:hAnsi="宋体"/>
                <w:highlight w:val="none"/>
              </w:rPr>
              <w:t>或负偏离”）</w:t>
            </w:r>
          </w:p>
        </w:tc>
        <w:tc>
          <w:tcPr>
            <w:tcW w:w="519"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281F3E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备注</w:t>
            </w:r>
          </w:p>
        </w:tc>
      </w:tr>
      <w:tr w14:paraId="0C11FD5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double" w:color="auto" w:sz="4" w:space="0"/>
              <w:left w:val="single" w:color="auto" w:sz="4" w:space="0"/>
              <w:bottom w:val="single" w:color="auto" w:sz="4" w:space="0"/>
              <w:right w:val="single" w:color="auto" w:sz="4" w:space="0"/>
            </w:tcBorders>
            <w:vAlign w:val="center"/>
          </w:tcPr>
          <w:p w14:paraId="226BB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738" w:type="pct"/>
            <w:tcBorders>
              <w:top w:val="double" w:color="auto" w:sz="4" w:space="0"/>
              <w:left w:val="single" w:color="auto" w:sz="4" w:space="0"/>
              <w:bottom w:val="single" w:color="auto" w:sz="4" w:space="0"/>
              <w:right w:val="single" w:color="auto" w:sz="4" w:space="0"/>
            </w:tcBorders>
            <w:vAlign w:val="center"/>
          </w:tcPr>
          <w:p w14:paraId="49504AD2">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double" w:color="auto" w:sz="4" w:space="0"/>
              <w:left w:val="single" w:color="auto" w:sz="4" w:space="0"/>
              <w:bottom w:val="single" w:color="auto" w:sz="4" w:space="0"/>
              <w:right w:val="single" w:color="auto" w:sz="4" w:space="0"/>
            </w:tcBorders>
            <w:vAlign w:val="center"/>
          </w:tcPr>
          <w:p w14:paraId="399BD18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double" w:color="auto" w:sz="4" w:space="0"/>
              <w:left w:val="single" w:color="auto" w:sz="4" w:space="0"/>
              <w:bottom w:val="single" w:color="auto" w:sz="4" w:space="0"/>
              <w:right w:val="single" w:color="auto" w:sz="4" w:space="0"/>
            </w:tcBorders>
            <w:vAlign w:val="center"/>
          </w:tcPr>
          <w:p w14:paraId="681D123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double" w:color="auto" w:sz="4" w:space="0"/>
              <w:left w:val="single" w:color="auto" w:sz="4" w:space="0"/>
              <w:bottom w:val="single" w:color="auto" w:sz="4" w:space="0"/>
              <w:right w:val="single" w:color="auto" w:sz="4" w:space="0"/>
            </w:tcBorders>
            <w:vAlign w:val="center"/>
          </w:tcPr>
          <w:p w14:paraId="11E35DC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double" w:color="auto" w:sz="4" w:space="0"/>
              <w:left w:val="single" w:color="auto" w:sz="4" w:space="0"/>
              <w:bottom w:val="single" w:color="auto" w:sz="4" w:space="0"/>
              <w:right w:val="single" w:color="auto" w:sz="4" w:space="0"/>
            </w:tcBorders>
            <w:vAlign w:val="center"/>
          </w:tcPr>
          <w:p w14:paraId="3B9FCC3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double" w:color="auto" w:sz="4" w:space="0"/>
              <w:left w:val="single" w:color="auto" w:sz="4" w:space="0"/>
              <w:bottom w:val="single" w:color="auto" w:sz="4" w:space="0"/>
              <w:right w:val="single" w:color="auto" w:sz="4" w:space="0"/>
            </w:tcBorders>
            <w:vAlign w:val="center"/>
          </w:tcPr>
          <w:p w14:paraId="6742F55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610D879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6EAC12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738" w:type="pct"/>
            <w:tcBorders>
              <w:top w:val="single" w:color="auto" w:sz="4" w:space="0"/>
              <w:left w:val="single" w:color="auto" w:sz="4" w:space="0"/>
              <w:bottom w:val="single" w:color="auto" w:sz="4" w:space="0"/>
              <w:right w:val="single" w:color="auto" w:sz="4" w:space="0"/>
            </w:tcBorders>
            <w:vAlign w:val="center"/>
          </w:tcPr>
          <w:p w14:paraId="5E3D5F7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FA75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220495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7270A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BAF619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6906FD8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1656BA9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17C54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w:t>
            </w:r>
          </w:p>
        </w:tc>
        <w:tc>
          <w:tcPr>
            <w:tcW w:w="738" w:type="pct"/>
            <w:tcBorders>
              <w:top w:val="single" w:color="auto" w:sz="4" w:space="0"/>
              <w:left w:val="single" w:color="auto" w:sz="4" w:space="0"/>
              <w:bottom w:val="single" w:color="auto" w:sz="4" w:space="0"/>
              <w:right w:val="single" w:color="auto" w:sz="4" w:space="0"/>
            </w:tcBorders>
            <w:vAlign w:val="center"/>
          </w:tcPr>
          <w:p w14:paraId="25216D35">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247AEBA6">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6192661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2241BF8">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0A80945A">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11E0420E">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0B6946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33DA7F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w:t>
            </w:r>
          </w:p>
        </w:tc>
        <w:tc>
          <w:tcPr>
            <w:tcW w:w="738" w:type="pct"/>
            <w:tcBorders>
              <w:top w:val="single" w:color="auto" w:sz="4" w:space="0"/>
              <w:left w:val="single" w:color="auto" w:sz="4" w:space="0"/>
              <w:bottom w:val="single" w:color="auto" w:sz="4" w:space="0"/>
              <w:right w:val="single" w:color="auto" w:sz="4" w:space="0"/>
            </w:tcBorders>
            <w:vAlign w:val="center"/>
          </w:tcPr>
          <w:p w14:paraId="34C2F6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14A87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5108311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FE7BB6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FBC13D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343D8A2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B343FC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050012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5</w:t>
            </w:r>
          </w:p>
        </w:tc>
        <w:tc>
          <w:tcPr>
            <w:tcW w:w="738" w:type="pct"/>
            <w:tcBorders>
              <w:top w:val="single" w:color="auto" w:sz="4" w:space="0"/>
              <w:left w:val="single" w:color="auto" w:sz="4" w:space="0"/>
              <w:bottom w:val="single" w:color="auto" w:sz="4" w:space="0"/>
              <w:right w:val="single" w:color="auto" w:sz="4" w:space="0"/>
            </w:tcBorders>
            <w:vAlign w:val="center"/>
          </w:tcPr>
          <w:p w14:paraId="3DF3997D">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37F8DD0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134A4BC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26568D7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F72E6A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CE24A0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4ACF3B7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CE6BB2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w:t>
            </w:r>
          </w:p>
        </w:tc>
        <w:tc>
          <w:tcPr>
            <w:tcW w:w="738" w:type="pct"/>
            <w:tcBorders>
              <w:top w:val="single" w:color="auto" w:sz="4" w:space="0"/>
              <w:left w:val="single" w:color="auto" w:sz="4" w:space="0"/>
              <w:bottom w:val="single" w:color="auto" w:sz="4" w:space="0"/>
              <w:right w:val="single" w:color="auto" w:sz="4" w:space="0"/>
            </w:tcBorders>
            <w:vAlign w:val="center"/>
          </w:tcPr>
          <w:p w14:paraId="5869EB8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0594AAA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67A414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42933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9713A4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5E5BAD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bl>
    <w:p w14:paraId="21CB7445">
      <w:pPr>
        <w:rPr>
          <w:rFonts w:asciiTheme="minorEastAsia" w:hAnsiTheme="minorEastAsia" w:cstheme="minorEastAsia"/>
          <w:szCs w:val="21"/>
        </w:rPr>
      </w:pPr>
    </w:p>
    <w:p w14:paraId="76382B3F">
      <w:pPr>
        <w:pStyle w:val="9"/>
        <w:numPr>
          <w:ilvl w:val="0"/>
          <w:numId w:val="0"/>
        </w:numPr>
        <w:tabs>
          <w:tab w:val="left" w:pos="540"/>
        </w:tabs>
        <w:adjustRightInd w:val="0"/>
        <w:snapToGrid w:val="0"/>
        <w:spacing w:line="360" w:lineRule="auto"/>
        <w:ind w:leftChars="0"/>
        <w:rPr>
          <w:rFonts w:hint="eastAsia" w:ascii="宋体" w:hAnsi="宋体"/>
        </w:rPr>
      </w:pPr>
      <w:r>
        <w:rPr>
          <w:rFonts w:hint="eastAsia" w:ascii="宋体" w:hAnsi="宋体"/>
        </w:rPr>
        <w:t>注：</w:t>
      </w:r>
    </w:p>
    <w:p w14:paraId="40CC3990">
      <w:pPr>
        <w:pStyle w:val="9"/>
        <w:numPr>
          <w:ilvl w:val="0"/>
          <w:numId w:val="13"/>
        </w:numPr>
        <w:tabs>
          <w:tab w:val="left" w:pos="540"/>
          <w:tab w:val="clear" w:pos="312"/>
        </w:tabs>
        <w:adjustRightInd w:val="0"/>
        <w:snapToGrid w:val="0"/>
        <w:spacing w:line="360" w:lineRule="auto"/>
        <w:ind w:leftChars="0"/>
        <w:rPr>
          <w:rFonts w:hint="eastAsia" w:ascii="宋体" w:hAnsi="宋体" w:eastAsia="宋体" w:cs="Times New Roman"/>
          <w:lang w:val="en-US" w:eastAsia="zh-CN"/>
        </w:rPr>
      </w:pPr>
      <w:r>
        <w:rPr>
          <w:rFonts w:hint="eastAsia" w:ascii="宋体" w:hAnsi="宋体" w:eastAsia="宋体" w:cs="Times New Roman"/>
        </w:rPr>
        <w:t>此表为项目采购标的清单的</w:t>
      </w:r>
      <w:r>
        <w:rPr>
          <w:rFonts w:hint="eastAsia" w:ascii="宋体" w:hAnsi="宋体" w:eastAsia="宋体" w:cs="Times New Roman"/>
          <w:lang w:val="en-US" w:eastAsia="zh-CN"/>
        </w:rPr>
        <w:t>响应情况表。</w:t>
      </w:r>
    </w:p>
    <w:p w14:paraId="5C82DA66">
      <w:pPr>
        <w:pStyle w:val="9"/>
        <w:numPr>
          <w:ilvl w:val="0"/>
          <w:numId w:val="13"/>
        </w:numPr>
        <w:tabs>
          <w:tab w:val="left" w:pos="540"/>
          <w:tab w:val="clear" w:pos="312"/>
        </w:tabs>
        <w:adjustRightInd w:val="0"/>
        <w:snapToGrid w:val="0"/>
        <w:spacing w:line="360" w:lineRule="auto"/>
        <w:ind w:leftChars="0"/>
        <w:rPr>
          <w:rFonts w:hint="default" w:ascii="宋体" w:hAnsi="宋体" w:eastAsia="宋体" w:cs="Times New Roman"/>
          <w:lang w:val="en-US" w:eastAsia="zh-CN"/>
        </w:rPr>
      </w:pPr>
      <w:r>
        <w:rPr>
          <w:rFonts w:hint="eastAsia" w:ascii="宋体" w:hAnsi="宋体" w:eastAsia="宋体" w:cs="Times New Roman"/>
          <w:lang w:val="en-US" w:eastAsia="zh-CN"/>
        </w:rPr>
        <w:t>投标人需根据招标文件采购数量如实填写投标数量。</w:t>
      </w:r>
    </w:p>
    <w:p w14:paraId="71BC2208">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768874C">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4C5FED8B">
      <w:pPr>
        <w:pStyle w:val="9"/>
        <w:numPr>
          <w:ilvl w:val="0"/>
          <w:numId w:val="0"/>
        </w:numPr>
        <w:tabs>
          <w:tab w:val="left" w:pos="540"/>
        </w:tabs>
        <w:adjustRightInd w:val="0"/>
        <w:snapToGrid w:val="0"/>
        <w:spacing w:line="360" w:lineRule="auto"/>
        <w:rPr>
          <w:rFonts w:hint="default" w:ascii="宋体" w:hAnsi="宋体" w:eastAsia="宋体" w:cs="Times New Roman"/>
          <w:lang w:val="en-US" w:eastAsia="zh-CN"/>
        </w:rPr>
      </w:pPr>
    </w:p>
    <w:p w14:paraId="51884ACB">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r>
        <w:rPr>
          <w:rFonts w:ascii="宋体" w:hAnsi="宋体"/>
          <w:color w:val="000000"/>
        </w:rPr>
        <w:br w:type="page"/>
      </w:r>
      <w:bookmarkStart w:id="38" w:name="_Toc275865605"/>
      <w:bookmarkStart w:id="39" w:name="_Toc435515294"/>
      <w:bookmarkStart w:id="40" w:name="_Toc1762"/>
      <w:bookmarkStart w:id="41" w:name="_Toc20322_WPSOffice_Level1"/>
      <w:bookmarkStart w:id="42" w:name="_Toc24434"/>
      <w:bookmarkStart w:id="43" w:name="_Toc435514854"/>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十二</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投标函</w:t>
      </w:r>
      <w:bookmarkEnd w:id="38"/>
      <w:bookmarkEnd w:id="39"/>
      <w:bookmarkEnd w:id="40"/>
      <w:bookmarkEnd w:id="41"/>
      <w:bookmarkEnd w:id="42"/>
      <w:bookmarkEnd w:id="43"/>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1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1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lang w:val="en-US" w:eastAsia="zh-CN"/>
        </w:rPr>
        <w:t>120</w:t>
      </w:r>
      <w:r>
        <w:rPr>
          <w:rFonts w:hint="eastAsia" w:ascii="宋体" w:hAnsi="宋体"/>
          <w:b/>
        </w:rPr>
        <w:t>日历日内有效。</w:t>
      </w:r>
    </w:p>
    <w:p w14:paraId="78A9D3C3">
      <w:pPr>
        <w:numPr>
          <w:ilvl w:val="0"/>
          <w:numId w:val="14"/>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1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1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1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1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1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1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1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14"/>
        </w:numPr>
        <w:tabs>
          <w:tab w:val="clear" w:pos="780"/>
        </w:tabs>
        <w:snapToGrid w:val="0"/>
        <w:spacing w:line="360" w:lineRule="auto"/>
        <w:ind w:left="426" w:leftChars="0" w:hanging="360" w:firstLineChars="0"/>
        <w:outlineLvl w:val="9"/>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9"/>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44" w:name="_Toc4649"/>
      <w:bookmarkStart w:id="45" w:name="_Toc275865606"/>
      <w:bookmarkStart w:id="46" w:name="_Toc24650"/>
      <w:bookmarkStart w:id="47" w:name="_Toc435515295"/>
      <w:bookmarkStart w:id="48" w:name="_Toc435514855"/>
      <w:r>
        <w:rPr>
          <w:rFonts w:hint="eastAsia" w:cs="宋体" w:asciiTheme="majorEastAsia" w:hAnsiTheme="majorEastAsia" w:eastAsiaTheme="majorEastAsia"/>
          <w:kern w:val="2"/>
          <w:sz w:val="30"/>
          <w:szCs w:val="30"/>
          <w:lang w:val="en-US" w:eastAsia="zh-CN" w:bidi="ar-SA"/>
        </w:rPr>
        <w:t>（十三）</w:t>
      </w:r>
      <w:r>
        <w:rPr>
          <w:rFonts w:hint="eastAsia" w:asciiTheme="majorEastAsia" w:hAnsiTheme="majorEastAsia" w:eastAsiaTheme="majorEastAsia"/>
          <w:sz w:val="30"/>
          <w:szCs w:val="30"/>
        </w:rPr>
        <w:t>投标人资格声明函</w:t>
      </w:r>
      <w:bookmarkEnd w:id="44"/>
      <w:bookmarkEnd w:id="45"/>
      <w:bookmarkEnd w:id="46"/>
      <w:bookmarkEnd w:id="47"/>
      <w:bookmarkEnd w:id="48"/>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6"/>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15"/>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5"/>
        </w:numPr>
        <w:spacing w:line="360" w:lineRule="auto"/>
        <w:ind w:left="0" w:leftChars="0" w:right="-815" w:rightChars="0" w:firstLine="420" w:firstLineChars="200"/>
        <w:outlineLvl w:val="9"/>
        <w:rPr>
          <w:rFonts w:ascii="宋体" w:hAnsi="宋体"/>
          <w:szCs w:val="21"/>
        </w:rPr>
      </w:pPr>
      <w:r>
        <w:rPr>
          <w:rFonts w:hint="eastAsia" w:ascii="宋体" w:hAnsi="宋体"/>
          <w:szCs w:val="21"/>
        </w:rPr>
        <w:t>我公司对本招标项目所提供的货物或服务未侵犯知识产权。</w:t>
      </w:r>
    </w:p>
    <w:p w14:paraId="6CC207C4">
      <w:pPr>
        <w:numPr>
          <w:ilvl w:val="0"/>
          <w:numId w:val="15"/>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5"/>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5"/>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15"/>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15"/>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15"/>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15"/>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15"/>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5"/>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9"/>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9"/>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0"/>
        <w:rPr>
          <w:rFonts w:hint="eastAsia" w:ascii="宋体" w:hAnsi="宋体" w:eastAsia="宋体" w:cs="宋体"/>
          <w:b/>
          <w:bCs/>
          <w:color w:val="auto"/>
          <w:sz w:val="36"/>
          <w:szCs w:val="36"/>
          <w:highlight w:val="none"/>
        </w:rPr>
      </w:pPr>
      <w:bookmarkStart w:id="49" w:name="_承诺函"/>
      <w:bookmarkEnd w:id="49"/>
      <w:bookmarkStart w:id="50" w:name="_Toc24149"/>
      <w:bookmarkStart w:id="51" w:name="_Toc50736477"/>
      <w:bookmarkStart w:id="52" w:name="_Toc435514859"/>
      <w:bookmarkStart w:id="53" w:name="_Toc50737297"/>
      <w:bookmarkStart w:id="54" w:name="_Toc435515299"/>
      <w:bookmarkStart w:id="55" w:name="_Toc52165081"/>
      <w:bookmarkStart w:id="56" w:name="_Toc50737329"/>
      <w:bookmarkStart w:id="57" w:name="_Toc27672"/>
      <w:bookmarkStart w:id="58" w:name="_Toc275865607"/>
      <w:bookmarkStart w:id="59" w:name="_Toc50737296"/>
      <w:bookmarkStart w:id="60" w:name="_Toc50736476"/>
      <w:bookmarkStart w:id="61" w:name="_Toc50737328"/>
      <w:bookmarkStart w:id="62" w:name="_Toc50691034"/>
      <w:bookmarkStart w:id="63" w:name="_Toc52165080"/>
      <w:r>
        <w:rPr>
          <w:rFonts w:hint="eastAsia" w:cs="宋体" w:asciiTheme="majorEastAsia" w:hAnsiTheme="majorEastAsia" w:eastAsiaTheme="majorEastAsia"/>
          <w:kern w:val="2"/>
          <w:sz w:val="30"/>
          <w:szCs w:val="30"/>
          <w:lang w:val="en-US" w:eastAsia="zh-CN" w:bidi="ar-SA"/>
        </w:rPr>
        <w:t>（十四）政府采购违法行为风险知悉确认书</w:t>
      </w:r>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33"/>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ind w:left="0" w:leftChars="0" w:firstLine="0" w:firstLineChars="0"/>
        <w:jc w:val="center"/>
        <w:outlineLvl w:val="0"/>
        <w:rPr>
          <w:rFonts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法定代表人授权委托书</w:t>
      </w:r>
      <w:bookmarkEnd w:id="50"/>
      <w:bookmarkEnd w:id="51"/>
      <w:bookmarkEnd w:id="52"/>
      <w:bookmarkEnd w:id="53"/>
      <w:bookmarkEnd w:id="54"/>
      <w:bookmarkEnd w:id="55"/>
      <w:bookmarkEnd w:id="56"/>
      <w:bookmarkEnd w:id="57"/>
      <w:bookmarkEnd w:id="58"/>
    </w:p>
    <w:p w14:paraId="232C51C3">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9"/>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9"/>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5"/>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64" w:name="_Toc435514860"/>
      <w:bookmarkStart w:id="65" w:name="_Toc435515300"/>
      <w:bookmarkStart w:id="66" w:name="_Toc14289"/>
      <w:bookmarkStart w:id="67" w:name="_Toc275865608"/>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46D4BB7D">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Theme="majorEastAsia" w:hAnsiTheme="majorEastAsia" w:eastAsiaTheme="majorEastAsia"/>
          <w:sz w:val="30"/>
          <w:szCs w:val="30"/>
        </w:rPr>
        <w:br w:type="page"/>
      </w:r>
    </w:p>
    <w:bookmarkEnd w:id="59"/>
    <w:bookmarkEnd w:id="60"/>
    <w:bookmarkEnd w:id="61"/>
    <w:bookmarkEnd w:id="62"/>
    <w:bookmarkEnd w:id="63"/>
    <w:bookmarkEnd w:id="64"/>
    <w:bookmarkEnd w:id="65"/>
    <w:bookmarkEnd w:id="66"/>
    <w:bookmarkEnd w:id="67"/>
    <w:p w14:paraId="0DE7F0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68" w:name="_Toc6666"/>
      <w:bookmarkStart w:id="69" w:name="_Toc7067"/>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68"/>
    </w:p>
    <w:p w14:paraId="183B5364">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3A73B24C">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8A4F398">
      <w:pPr>
        <w:spacing w:line="360" w:lineRule="auto"/>
        <w:jc w:val="center"/>
        <w:rPr>
          <w:rFonts w:hint="eastAsia" w:ascii="宋体" w:hAnsi="宋体" w:eastAsia="宋体" w:cs="宋体"/>
          <w:bCs/>
          <w:color w:val="auto"/>
          <w:sz w:val="21"/>
          <w:szCs w:val="21"/>
        </w:rPr>
      </w:pPr>
    </w:p>
    <w:p w14:paraId="213D1939">
      <w:pPr>
        <w:pStyle w:val="5"/>
        <w:tabs>
          <w:tab w:val="left" w:pos="562"/>
          <w:tab w:val="left" w:pos="3372"/>
          <w:tab w:val="left" w:pos="3653"/>
        </w:tabs>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(说明:被授权人（授权代表）社保证明文件仅</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为核查供应商是否存在《深圳经济特区政府采购条例实施细则》第七十九条规定的“项目投标授权代表人不得在同一单位或者在同一单位缴纳社会保险”的情形，该证明文件不</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 xml:space="preserve">为废标条款。投标供应商应知悉《深圳经济特区政府采购条例实施细则》第七十九条的规定，如供应商未提供被授权人（授权代表）社保证明文件，且出现“项目投标授权代表人在同一单位或者在同一单位缴纳社会保险”情形的，投标供应商应承担相应的法律责任) </w:t>
      </w:r>
    </w:p>
    <w:p w14:paraId="08E7BD5D">
      <w:r>
        <w:br w:type="page"/>
      </w:r>
    </w:p>
    <w:p w14:paraId="7B3B68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0" w:name="_Toc24233"/>
      <w:r>
        <w:rPr>
          <w:rFonts w:hint="eastAsia" w:cs="宋体" w:asciiTheme="majorEastAsia" w:hAnsiTheme="majorEastAsia" w:eastAsiaTheme="majorEastAsia"/>
          <w:kern w:val="2"/>
          <w:sz w:val="30"/>
          <w:szCs w:val="30"/>
          <w:lang w:val="en-US" w:eastAsia="zh-CN" w:bidi="ar-SA"/>
        </w:rPr>
        <w:t>（十七）</w:t>
      </w:r>
      <w:r>
        <w:rPr>
          <w:rFonts w:hint="eastAsia" w:asciiTheme="majorEastAsia" w:hAnsiTheme="majorEastAsia" w:eastAsiaTheme="majorEastAsia"/>
          <w:sz w:val="30"/>
          <w:szCs w:val="30"/>
        </w:rPr>
        <w:t>法定代表人证明书</w:t>
      </w:r>
      <w:bookmarkEnd w:id="69"/>
      <w:bookmarkEnd w:id="70"/>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9"/>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5E66CA1E">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outlineLvl w:val="0"/>
        <w:rPr>
          <w:rFonts w:ascii="宋体" w:hAnsi="宋体" w:eastAsia="宋体"/>
          <w:sz w:val="30"/>
          <w:szCs w:val="30"/>
        </w:rPr>
      </w:pPr>
      <w:bookmarkStart w:id="71" w:name="_Toc24644"/>
      <w:r>
        <w:rPr>
          <w:rFonts w:hint="eastAsia" w:ascii="宋体" w:hAnsi="宋体" w:eastAsia="宋体" w:cs="宋体"/>
          <w:kern w:val="2"/>
          <w:sz w:val="30"/>
          <w:szCs w:val="30"/>
          <w:lang w:val="en-US" w:eastAsia="zh-CN" w:bidi="ar-SA"/>
        </w:rPr>
        <w:t>（十八）</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71"/>
    </w:p>
    <w:p w14:paraId="0263054A">
      <w:pPr>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p>
    <w:p w14:paraId="4E6988C2">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outlineLvl w:val="0"/>
        <w:rPr>
          <w:rFonts w:ascii="宋体" w:hAnsi="宋体" w:eastAsia="宋体"/>
          <w:color w:val="auto"/>
          <w:sz w:val="30"/>
          <w:szCs w:val="30"/>
        </w:rPr>
      </w:pPr>
      <w:bookmarkStart w:id="72" w:name="_Toc25910"/>
      <w:bookmarkStart w:id="73" w:name="_Toc11352"/>
      <w:bookmarkStart w:id="74" w:name="_Toc777"/>
      <w:bookmarkStart w:id="75" w:name="_Toc7126"/>
      <w:bookmarkStart w:id="76" w:name="_Toc15871"/>
      <w:bookmarkStart w:id="77" w:name="_Toc2305"/>
      <w:r>
        <w:rPr>
          <w:rFonts w:hint="eastAsia" w:ascii="宋体" w:hAnsi="宋体" w:eastAsia="宋体" w:cs="宋体"/>
          <w:color w:val="auto"/>
          <w:kern w:val="2"/>
          <w:sz w:val="30"/>
          <w:szCs w:val="30"/>
          <w:lang w:val="en-US" w:eastAsia="zh-CN" w:bidi="ar-SA"/>
        </w:rPr>
        <w:t>（十九）</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72"/>
      <w:bookmarkEnd w:id="73"/>
      <w:bookmarkEnd w:id="74"/>
      <w:bookmarkEnd w:id="75"/>
      <w:bookmarkEnd w:id="76"/>
      <w:bookmarkEnd w:id="77"/>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5"/>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006300D">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bookmarkStart w:id="78" w:name="_Toc8619"/>
      <w:bookmarkStart w:id="79" w:name="_Toc435515308"/>
      <w:bookmarkStart w:id="80" w:name="_Toc435514868"/>
      <w:r>
        <w:rPr>
          <w:rFonts w:hint="eastAsia" w:asciiTheme="majorEastAsia" w:hAnsiTheme="majorEastAsia" w:eastAsiaTheme="majorEastAsia"/>
          <w:sz w:val="30"/>
          <w:szCs w:val="30"/>
        </w:rPr>
        <w:br w:type="page"/>
      </w:r>
    </w:p>
    <w:p w14:paraId="6F888131">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81" w:name="_Toc29264"/>
      <w:r>
        <w:rPr>
          <w:rFonts w:hint="eastAsia" w:cs="宋体" w:asciiTheme="majorEastAsia" w:hAnsiTheme="majorEastAsia" w:eastAsiaTheme="majorEastAsia"/>
          <w:kern w:val="2"/>
          <w:sz w:val="30"/>
          <w:szCs w:val="30"/>
          <w:lang w:val="en-US" w:eastAsia="zh-CN" w:bidi="ar-SA"/>
        </w:rPr>
        <w:t>（二十）</w:t>
      </w:r>
      <w:r>
        <w:rPr>
          <w:rFonts w:hint="eastAsia" w:asciiTheme="majorEastAsia" w:hAnsiTheme="majorEastAsia" w:eastAsiaTheme="majorEastAsia"/>
          <w:sz w:val="30"/>
          <w:szCs w:val="30"/>
        </w:rPr>
        <w:t>技术规格偏离表</w:t>
      </w:r>
      <w:bookmarkEnd w:id="81"/>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600754F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2F5E61B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E47F2F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2491D04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A8C1FC9">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7964FF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1D64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6ED6CC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3E6648D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3EF56D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FBF78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DF9696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E433214">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4BAB58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00B2E8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220D7B6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FB38C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7405FAE">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0997BCF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0EE07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8E8214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D4E48A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5C6801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D058D3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42660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428964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015303A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BDA9829">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69E79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53128E0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1EE0E7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67486C06">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2376D43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5E8BBAD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BF324C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AD49B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47EF3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562BABE">
      <w:pPr>
        <w:rPr>
          <w:rFonts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26710D5F">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82" w:name="_Toc1851"/>
      <w:r>
        <w:rPr>
          <w:rFonts w:hint="eastAsia" w:cs="宋体" w:asciiTheme="majorEastAsia" w:hAnsiTheme="majorEastAsia" w:eastAsiaTheme="majorEastAsia"/>
          <w:kern w:val="2"/>
          <w:sz w:val="30"/>
          <w:szCs w:val="30"/>
          <w:lang w:val="en-US" w:eastAsia="zh-CN" w:bidi="ar-SA"/>
        </w:rPr>
        <w:t>（二十一）</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78"/>
      <w:bookmarkEnd w:id="82"/>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1C7FE1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E3F4AE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4721E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91D2ADB">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4141B8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9B22E1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7B37A5E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CD5563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173AC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2D282E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F34C41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07101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95AB4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D97C41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FA1D5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DF40B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3B51D46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B65CDB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08BE62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0DFCF1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AE040F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bookmarkEnd w:id="79"/>
    <w:bookmarkEnd w:id="80"/>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bookmarkStart w:id="83" w:name="_Toc173553195"/>
      <w:bookmarkStart w:id="84" w:name="_Toc435515318"/>
      <w:bookmarkStart w:id="85" w:name="_Toc275865626"/>
      <w:bookmarkStart w:id="86" w:name="_Toc435514878"/>
    </w:p>
    <w:p w14:paraId="57099E2D">
      <w:pPr>
        <w:pStyle w:val="3"/>
        <w:numPr>
          <w:ilvl w:val="0"/>
          <w:numId w:val="0"/>
        </w:numPr>
        <w:jc w:val="center"/>
        <w:outlineLvl w:val="9"/>
        <w:rPr>
          <w:rFonts w:hint="eastAsia" w:ascii="宋体" w:hAnsi="宋体" w:cs="宋体" w:eastAsiaTheme="minorEastAsia"/>
          <w:kern w:val="2"/>
          <w:sz w:val="30"/>
          <w:szCs w:val="30"/>
          <w:lang w:val="en-US" w:eastAsia="zh-CN" w:bidi="ar-SA"/>
        </w:rPr>
      </w:pPr>
      <w:bookmarkStart w:id="87" w:name="_Toc5084"/>
      <w:bookmarkStart w:id="88" w:name="_Toc24015580"/>
      <w:bookmarkStart w:id="89" w:name="_Toc23178"/>
    </w:p>
    <w:p w14:paraId="7A683F8F">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34D72260">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16B3BBAB">
      <w:pPr>
        <w:pStyle w:val="3"/>
        <w:numPr>
          <w:ilvl w:val="0"/>
          <w:numId w:val="0"/>
        </w:numPr>
        <w:ind w:left="0" w:leftChars="0" w:firstLine="0" w:firstLineChars="0"/>
        <w:jc w:val="center"/>
        <w:outlineLvl w:val="0"/>
        <w:rPr>
          <w:rFonts w:ascii="宋体" w:hAnsi="宋体"/>
          <w:sz w:val="30"/>
          <w:szCs w:val="30"/>
        </w:rPr>
      </w:pPr>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二十二</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9"/>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2E0EBD0A">
      <w:pPr>
        <w:numPr>
          <w:ilvl w:val="0"/>
          <w:numId w:val="0"/>
        </w:numPr>
        <w:ind w:left="0" w:leftChars="0" w:firstLine="0" w:firstLineChars="0"/>
        <w:jc w:val="center"/>
        <w:outlineLvl w:val="0"/>
        <w:rPr>
          <w:rFonts w:hint="eastAsia" w:asciiTheme="minorEastAsia" w:hAnsiTheme="minorEastAsia" w:cstheme="minorEastAsia"/>
          <w:sz w:val="30"/>
          <w:szCs w:val="30"/>
        </w:rPr>
      </w:pP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kern w:val="2"/>
          <w:sz w:val="30"/>
          <w:szCs w:val="30"/>
          <w:lang w:val="en-US" w:eastAsia="zh-CN" w:bidi="ar-SA"/>
        </w:rPr>
        <w:t>二十三</w:t>
      </w: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sz w:val="30"/>
          <w:szCs w:val="30"/>
        </w:rPr>
        <w:t>售后服务承诺</w:t>
      </w:r>
    </w:p>
    <w:p w14:paraId="37889004">
      <w:pPr>
        <w:numPr>
          <w:ilvl w:val="0"/>
          <w:numId w:val="0"/>
        </w:numPr>
        <w:rPr>
          <w:rFonts w:hint="eastAsia" w:asciiTheme="minorEastAsia" w:hAnsiTheme="minorEastAsia" w:cstheme="minorEastAsia"/>
          <w:sz w:val="24"/>
        </w:rPr>
      </w:pPr>
    </w:p>
    <w:p w14:paraId="0C827B89">
      <w:pPr>
        <w:widowControl/>
        <w:spacing w:after="200" w:line="220" w:lineRule="atLeast"/>
        <w:jc w:val="center"/>
        <w:outlineLvl w:val="1"/>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14:paraId="4F2BE074">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14:paraId="0E78352C">
      <w:pPr>
        <w:ind w:firstLine="420" w:firstLineChars="200"/>
        <w:rPr>
          <w:rFonts w:ascii="宋体" w:hAnsi="宋体" w:cs="宋体"/>
          <w:szCs w:val="21"/>
        </w:rPr>
      </w:pPr>
      <w:r>
        <w:rPr>
          <w:rFonts w:ascii="宋体" w:hAnsi="宋体" w:cs="宋体"/>
          <w:szCs w:val="21"/>
        </w:rPr>
        <w:t>在您的支持和信任之下，为保障您的利益，使您得到更好更优质的服务，我司在此做出如下承诺：</w:t>
      </w:r>
    </w:p>
    <w:p w14:paraId="20163C6E">
      <w:pPr>
        <w:numPr>
          <w:ilvl w:val="0"/>
          <w:numId w:val="16"/>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p>
    <w:p w14:paraId="3F31591F">
      <w:pPr>
        <w:numPr>
          <w:ilvl w:val="0"/>
          <w:numId w:val="16"/>
        </w:numPr>
        <w:ind w:left="210" w:hanging="210" w:hangingChars="100"/>
        <w:rPr>
          <w:szCs w:val="21"/>
        </w:rPr>
      </w:pPr>
      <w:r>
        <w:rPr>
          <w:rFonts w:ascii="宋体" w:hAnsi="宋体" w:cs="宋体"/>
          <w:szCs w:val="21"/>
        </w:rPr>
        <w:t>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年以上的维修经验的技术员为需方进行培训，使其能独立完成与设备、系统有关的各项操作，以及使用时注意的事项和常见简单故障的处理，保证用户对仪器能进行熟练的操作和日常维护。</w:t>
      </w:r>
    </w:p>
    <w:p w14:paraId="3062E996">
      <w:pPr>
        <w:ind w:left="210" w:hanging="210" w:hangingChars="100"/>
      </w:pPr>
      <w:r>
        <w:rPr>
          <w:rFonts w:hint="eastAsia" w:ascii="宋体" w:hAnsi="宋体" w:cs="宋体"/>
          <w:szCs w:val="21"/>
          <w:lang w:val="en-US" w:eastAsia="zh-CN"/>
        </w:rPr>
        <w:t>三、</w:t>
      </w:r>
      <w:r>
        <w:rPr>
          <w:rFonts w:ascii="宋体" w:hAnsi="宋体" w:cs="宋体"/>
          <w:szCs w:val="21"/>
        </w:rPr>
        <w:t>维护保养服务</w:t>
      </w:r>
      <w:r>
        <w:rPr>
          <w:rFonts w:ascii="宋体" w:hAnsi="宋体" w:cs="宋体"/>
          <w:szCs w:val="21"/>
        </w:rPr>
        <w:br w:type="textWrapping"/>
      </w:r>
      <w:r>
        <w:rPr>
          <w:rFonts w:ascii="宋体" w:hAnsi="宋体" w:cs="宋体"/>
          <w:szCs w:val="21"/>
        </w:rPr>
        <w:t>我们保证为货物提供整机免</w:t>
      </w:r>
      <w:r>
        <w:rPr>
          <w:rFonts w:ascii="宋体" w:hAnsi="宋体" w:cs="宋体"/>
          <w:color w:val="000000" w:themeColor="text1"/>
          <w:szCs w:val="21"/>
          <w14:textFill>
            <w14:solidFill>
              <w14:schemeClr w14:val="tx1"/>
            </w14:solidFill>
          </w14:textFill>
        </w:rPr>
        <w:t>费</w:t>
      </w:r>
      <w:r>
        <w:rPr>
          <w:rFonts w:ascii="宋体" w:hAnsi="宋体" w:cs="宋体"/>
          <w:color w:val="000000" w:themeColor="text1"/>
          <w:szCs w:val="21"/>
          <w:highlight w:val="yellow"/>
          <w14:textFill>
            <w14:solidFill>
              <w14:schemeClr w14:val="tx1"/>
            </w14:solidFill>
          </w14:textFill>
        </w:rPr>
        <w:t>保修期</w:t>
      </w:r>
      <w:r>
        <w:rPr>
          <w:rFonts w:hint="eastAsia" w:ascii="宋体" w:hAnsi="宋体" w:cs="宋体"/>
          <w:color w:val="000000" w:themeColor="text1"/>
          <w:szCs w:val="21"/>
          <w:highlight w:val="yellow"/>
          <w14:textFill>
            <w14:solidFill>
              <w14:schemeClr w14:val="tx1"/>
            </w14:solidFill>
          </w14:textFill>
        </w:rPr>
        <w:t>叁</w:t>
      </w:r>
      <w:r>
        <w:rPr>
          <w:rFonts w:ascii="宋体" w:hAnsi="宋体" w:cs="宋体"/>
          <w:color w:val="000000" w:themeColor="text1"/>
          <w:szCs w:val="21"/>
          <w:highlight w:val="yellow"/>
          <w14:textFill>
            <w14:solidFill>
              <w14:schemeClr w14:val="tx1"/>
            </w14:solidFill>
          </w14:textFill>
        </w:rPr>
        <w:t>年</w:t>
      </w:r>
      <w:r>
        <w:rPr>
          <w:rFonts w:ascii="宋体" w:hAnsi="宋体" w:cs="宋体"/>
          <w:szCs w:val="21"/>
        </w:rPr>
        <w:t>，终身有偿维修。年度定期预防性维护保养次数应</w:t>
      </w:r>
      <w:r>
        <w:rPr>
          <w:rFonts w:ascii="宋体" w:hAnsi="宋体" w:cs="宋体"/>
          <w:szCs w:val="21"/>
          <w:highlight w:val="yellow"/>
        </w:rPr>
        <w:t>不少于2次</w:t>
      </w:r>
      <w:r>
        <w:rPr>
          <w:rFonts w:hint="eastAsia" w:ascii="宋体" w:hAnsi="宋体" w:cs="宋体"/>
          <w:szCs w:val="21"/>
          <w:highlight w:val="yellow"/>
          <w:lang w:eastAsia="zh-CN"/>
        </w:rPr>
        <w:t>。</w:t>
      </w:r>
      <w:r>
        <w:rPr>
          <w:rFonts w:ascii="宋体" w:hAnsi="宋体" w:cs="宋体"/>
          <w:szCs w:val="21"/>
        </w:rPr>
        <w:br w:type="textWrapping"/>
      </w:r>
      <w:r>
        <w:rPr>
          <w:rFonts w:ascii="宋体" w:hAnsi="宋体" w:cs="宋体"/>
          <w:szCs w:val="21"/>
        </w:rPr>
        <w:t>1．</w:t>
      </w:r>
      <w:r>
        <w:rPr>
          <w:rFonts w:hint="eastAsia" w:ascii="宋体" w:hAnsi="宋体" w:cs="宋体"/>
          <w:szCs w:val="21"/>
          <w:lang w:val="en-US" w:eastAsia="zh-CN"/>
        </w:rPr>
        <w:t>仪器</w:t>
      </w:r>
      <w:r>
        <w:rPr>
          <w:rFonts w:ascii="宋体" w:hAnsi="宋体" w:cs="宋体"/>
          <w:szCs w:val="21"/>
        </w:rPr>
        <w:t>的正常保养</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2．</w:t>
      </w:r>
      <w:r>
        <w:rPr>
          <w:rFonts w:hint="eastAsia" w:ascii="宋体" w:hAnsi="宋体" w:cs="宋体"/>
          <w:szCs w:val="21"/>
          <w:lang w:val="en-US" w:eastAsia="zh-CN"/>
        </w:rPr>
        <w:t>仪器</w:t>
      </w:r>
      <w:r>
        <w:rPr>
          <w:rFonts w:ascii="宋体" w:hAnsi="宋体" w:cs="宋体"/>
          <w:szCs w:val="21"/>
        </w:rPr>
        <w:t>性能的检测。 </w:t>
      </w:r>
    </w:p>
    <w:p w14:paraId="0D53EFF2">
      <w:pPr>
        <w:ind w:left="210" w:hanging="210" w:hangingChars="100"/>
      </w:pPr>
      <w:r>
        <w:rPr>
          <w:rFonts w:hint="eastAsia"/>
          <w:lang w:val="en-US" w:eastAsia="zh-CN"/>
        </w:rPr>
        <w:t>四、</w:t>
      </w:r>
      <w:r>
        <w:t>免费保修期内外所提供服务</w:t>
      </w:r>
      <w:r>
        <w:br w:type="textWrapping"/>
      </w:r>
      <w:r>
        <w:t>1.保修期内免费更换零配件、免工时保修时间从验收签字起计算。在质保期内我方将严格遵守中华人民共和国的相关法律和法规对货物提供“三包”等售后服务</w:t>
      </w:r>
      <w:r>
        <w:rPr>
          <w:rFonts w:hint="eastAsia"/>
        </w:rPr>
        <w:t>。</w:t>
      </w:r>
    </w:p>
    <w:p w14:paraId="536B31BE">
      <w:pPr>
        <w:ind w:left="210" w:leftChars="100" w:firstLine="0" w:firstLineChars="0"/>
      </w:pPr>
      <w:r>
        <w:rPr>
          <w:highlight w:val="yellow"/>
        </w:rPr>
        <w:t>2.由我方提供售后服务，2小时内响应，8小时维修到位（不可抗力情况除外）。消耗品和零配件供应及时，特殊情况下可提供备用机</w:t>
      </w:r>
      <w:r>
        <w:t>。</w:t>
      </w:r>
      <w:r>
        <w:rPr>
          <w:rFonts w:hint="eastAsia"/>
        </w:rPr>
        <w:t xml:space="preserve">   </w:t>
      </w:r>
    </w:p>
    <w:p w14:paraId="44D01A4A">
      <w:pPr>
        <w:outlineLvl w:val="9"/>
      </w:pPr>
      <w:r>
        <w:rPr>
          <w:rFonts w:hint="eastAsia"/>
        </w:rPr>
        <w:t>五、信息化服务</w:t>
      </w:r>
    </w:p>
    <w:p w14:paraId="1263201E">
      <w:pPr>
        <w:ind w:left="210" w:leftChars="100" w:firstLine="210" w:firstLineChars="100"/>
      </w:pPr>
      <w:r>
        <w:rPr>
          <w:rFonts w:hint="eastAsia"/>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14:paraId="783B0E99">
      <w:pPr>
        <w:numPr>
          <w:ilvl w:val="0"/>
          <w:numId w:val="0"/>
        </w:numPr>
        <w:rPr>
          <w:rFonts w:hint="eastAsia" w:ascii="宋体" w:hAnsi="宋体" w:cs="宋体"/>
          <w:color w:val="000000" w:themeColor="text1"/>
          <w:szCs w:val="21"/>
          <w:lang w:eastAsia="zh-CN"/>
          <w14:textFill>
            <w14:solidFill>
              <w14:schemeClr w14:val="tx1"/>
            </w14:solidFill>
          </w14:textFill>
        </w:rPr>
      </w:pPr>
    </w:p>
    <w:p w14:paraId="0CE62F1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8FC25D">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A806D6A">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2FE106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A407C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5E40BD2">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（二十四）</w:t>
      </w:r>
      <w:bookmarkEnd w:id="87"/>
      <w:r>
        <w:rPr>
          <w:rFonts w:hint="eastAsia" w:cs="宋体" w:asciiTheme="majorEastAsia" w:hAnsiTheme="majorEastAsia" w:eastAsiaTheme="majorEastAsia"/>
          <w:kern w:val="2"/>
          <w:sz w:val="30"/>
          <w:szCs w:val="30"/>
          <w:lang w:val="en-US" w:eastAsia="zh-CN" w:bidi="ar-SA"/>
        </w:rPr>
        <w:t>技术保障措施</w:t>
      </w:r>
    </w:p>
    <w:p w14:paraId="32448156">
      <w:pPr>
        <w:keepNext w:val="0"/>
        <w:keepLines w:val="0"/>
        <w:widowControl/>
        <w:suppressLineNumbers w:val="0"/>
        <w:jc w:val="center"/>
        <w:textAlignment w:val="center"/>
        <w:outlineLvl w:val="9"/>
        <w:rPr>
          <w:rFonts w:hint="default"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05FF5B71">
      <w:pPr>
        <w:pStyle w:val="3"/>
        <w:numPr>
          <w:ilvl w:val="0"/>
          <w:numId w:val="0"/>
        </w:numPr>
        <w:spacing w:line="240" w:lineRule="auto"/>
        <w:ind w:left="0" w:leftChars="0" w:firstLine="0" w:firstLineChars="0"/>
        <w:jc w:val="center"/>
        <w:outlineLvl w:val="9"/>
        <w:rPr>
          <w:rFonts w:hint="eastAsia" w:asciiTheme="majorEastAsia" w:hAnsiTheme="majorEastAsia" w:eastAsiaTheme="majorEastAsia"/>
          <w:sz w:val="30"/>
          <w:szCs w:val="30"/>
        </w:rPr>
      </w:pPr>
    </w:p>
    <w:p w14:paraId="142BDA7C">
      <w:pPr>
        <w:widowControl w:val="0"/>
        <w:numPr>
          <w:ilvl w:val="0"/>
          <w:numId w:val="0"/>
        </w:numPr>
        <w:jc w:val="both"/>
        <w:rPr>
          <w:rFonts w:hint="eastAsia"/>
          <w:sz w:val="32"/>
          <w:szCs w:val="32"/>
          <w:lang w:val="en-US" w:eastAsia="zh-CN"/>
        </w:rPr>
      </w:pPr>
    </w:p>
    <w:p w14:paraId="386EC165">
      <w:pPr>
        <w:widowControl w:val="0"/>
        <w:numPr>
          <w:ilvl w:val="0"/>
          <w:numId w:val="0"/>
        </w:numPr>
        <w:jc w:val="both"/>
        <w:rPr>
          <w:rFonts w:hint="eastAsia"/>
          <w:sz w:val="32"/>
          <w:szCs w:val="32"/>
          <w:lang w:val="en-US" w:eastAsia="zh-CN"/>
        </w:rPr>
      </w:pPr>
    </w:p>
    <w:p w14:paraId="50E0B4B0">
      <w:pPr>
        <w:widowControl w:val="0"/>
        <w:numPr>
          <w:ilvl w:val="0"/>
          <w:numId w:val="0"/>
        </w:numPr>
        <w:jc w:val="both"/>
        <w:rPr>
          <w:rFonts w:hint="eastAsia"/>
          <w:sz w:val="32"/>
          <w:szCs w:val="32"/>
          <w:lang w:val="en-US" w:eastAsia="zh-CN"/>
        </w:rPr>
      </w:pPr>
    </w:p>
    <w:p w14:paraId="07EB7E8B">
      <w:pPr>
        <w:widowControl w:val="0"/>
        <w:numPr>
          <w:ilvl w:val="0"/>
          <w:numId w:val="0"/>
        </w:numPr>
        <w:jc w:val="both"/>
        <w:rPr>
          <w:rFonts w:hint="eastAsia"/>
          <w:sz w:val="32"/>
          <w:szCs w:val="32"/>
          <w:lang w:val="en-US" w:eastAsia="zh-CN"/>
        </w:rPr>
      </w:pPr>
    </w:p>
    <w:p w14:paraId="379CB4BF">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bookmarkStart w:id="90" w:name="_Toc435514882"/>
      <w:bookmarkStart w:id="91" w:name="_Toc435515322"/>
    </w:p>
    <w:p w14:paraId="44FBB5B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9EE82B4">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7ED4A22">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40D7815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7E0C35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0B94A02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D17910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564217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CC54C3A">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FE501F5">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68A0206">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88D070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1CB9269">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4048E0C">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1F0C58A0">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95C51CB">
      <w:pPr>
        <w:pStyle w:val="15"/>
        <w:numPr>
          <w:ilvl w:val="0"/>
          <w:numId w:val="0"/>
        </w:numPr>
        <w:ind w:left="0" w:leftChars="0" w:firstLine="0" w:firstLineChars="0"/>
        <w:jc w:val="both"/>
        <w:rPr>
          <w:rFonts w:hint="eastAsia" w:asciiTheme="majorEastAsia" w:hAnsiTheme="majorEastAsia" w:eastAsiaTheme="minorEastAsia" w:cstheme="minorBidi"/>
          <w:kern w:val="2"/>
          <w:sz w:val="32"/>
          <w:szCs w:val="32"/>
          <w:lang w:val="en-US" w:eastAsia="zh-CN" w:bidi="ar-SA"/>
        </w:rPr>
      </w:pPr>
    </w:p>
    <w:p w14:paraId="451040B1">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（二十五）有效业绩</w:t>
      </w:r>
    </w:p>
    <w:p w14:paraId="4A0B5855">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40FEC72">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7FDCF3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F9ADBB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E12505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D9A2BD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34E2CF8">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（二十六）履约评价</w:t>
      </w:r>
    </w:p>
    <w:p w14:paraId="7FB48CE9">
      <w:pPr>
        <w:pStyle w:val="15"/>
        <w:widowControl w:val="0"/>
        <w:numPr>
          <w:ilvl w:val="0"/>
          <w:numId w:val="0"/>
        </w:numPr>
        <w:spacing w:line="560" w:lineRule="exact"/>
        <w:jc w:val="center"/>
        <w:rPr>
          <w:rFonts w:hint="eastAsia" w:asciiTheme="majorEastAsia" w:hAnsiTheme="majorEastAsia"/>
          <w:sz w:val="32"/>
          <w:szCs w:val="32"/>
        </w:rPr>
      </w:pPr>
    </w:p>
    <w:p w14:paraId="1E64563B">
      <w:pPr>
        <w:pStyle w:val="15"/>
        <w:widowControl w:val="0"/>
        <w:numPr>
          <w:ilvl w:val="0"/>
          <w:numId w:val="0"/>
        </w:numPr>
        <w:spacing w:line="560" w:lineRule="exact"/>
        <w:jc w:val="center"/>
        <w:rPr>
          <w:rFonts w:hint="eastAsia" w:asciiTheme="majorEastAsia" w:hAnsiTheme="majorEastAsia"/>
          <w:sz w:val="32"/>
          <w:szCs w:val="32"/>
        </w:rPr>
      </w:pPr>
    </w:p>
    <w:p w14:paraId="1E9153AC">
      <w:pPr>
        <w:pStyle w:val="15"/>
        <w:widowControl w:val="0"/>
        <w:numPr>
          <w:ilvl w:val="0"/>
          <w:numId w:val="0"/>
        </w:numPr>
        <w:spacing w:line="560" w:lineRule="exact"/>
        <w:jc w:val="center"/>
        <w:rPr>
          <w:rFonts w:hint="eastAsia" w:asciiTheme="majorEastAsia" w:hAnsiTheme="majorEastAsia"/>
          <w:sz w:val="32"/>
          <w:szCs w:val="32"/>
        </w:rPr>
      </w:pPr>
    </w:p>
    <w:p w14:paraId="5F101BCF">
      <w:pPr>
        <w:pStyle w:val="15"/>
        <w:widowControl w:val="0"/>
        <w:numPr>
          <w:ilvl w:val="0"/>
          <w:numId w:val="0"/>
        </w:numPr>
        <w:spacing w:line="560" w:lineRule="exact"/>
        <w:jc w:val="center"/>
        <w:rPr>
          <w:rFonts w:hint="eastAsia" w:asciiTheme="majorEastAsia" w:hAnsiTheme="majorEastAsia"/>
          <w:sz w:val="32"/>
          <w:szCs w:val="32"/>
        </w:rPr>
      </w:pPr>
    </w:p>
    <w:p w14:paraId="1F62F63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56082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4735608">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8ED6084">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2381D1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FEEA16C">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C4C8B4E">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14721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EA864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5E3BA20">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DE647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DE47B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64A1AEF9">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BEBDA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64AB9C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F802E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1974B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175A2CD7">
      <w:pPr>
        <w:snapToGrid w:val="0"/>
        <w:ind w:left="0" w:leftChars="0" w:firstLine="0" w:firstLineChars="0"/>
        <w:jc w:val="center"/>
        <w:rPr>
          <w:rFonts w:hint="eastAsia" w:asciiTheme="majorEastAsia" w:hAnsiTheme="majorEastAsia" w:eastAsiaTheme="majorEastAsia"/>
          <w:sz w:val="30"/>
          <w:szCs w:val="30"/>
          <w:lang w:eastAsia="zh-CN"/>
        </w:rPr>
      </w:pPr>
    </w:p>
    <w:p w14:paraId="46420AF4">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二十七</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质保期</w:t>
      </w:r>
    </w:p>
    <w:p w14:paraId="1535852E">
      <w:pPr>
        <w:snapToGrid w:val="0"/>
        <w:ind w:left="0" w:leftChars="0" w:firstLine="0" w:firstLineChars="0"/>
        <w:jc w:val="center"/>
        <w:outlineLvl w:val="9"/>
        <w:rPr>
          <w:rFonts w:hint="eastAsia" w:asciiTheme="majorEastAsia" w:hAnsiTheme="majorEastAsia" w:eastAsiaTheme="minorEastAsia" w:cstheme="minorBidi"/>
          <w:kern w:val="2"/>
          <w:sz w:val="30"/>
          <w:szCs w:val="30"/>
          <w:lang w:val="en-US" w:eastAsia="zh-CN" w:bidi="ar-SA"/>
        </w:rPr>
      </w:pPr>
      <w:r>
        <w:rPr>
          <w:rFonts w:hint="eastAsia" w:asciiTheme="majorEastAsia" w:hAnsiTheme="majorEastAsia" w:eastAsiaTheme="minorEastAsia" w:cstheme="minorBidi"/>
          <w:kern w:val="2"/>
          <w:sz w:val="30"/>
          <w:szCs w:val="30"/>
          <w:lang w:val="en-US" w:eastAsia="zh-CN" w:bidi="ar-SA"/>
        </w:rPr>
        <w:t>（根据投标人情况提供承诺，格式自拟）</w:t>
      </w:r>
    </w:p>
    <w:p w14:paraId="1785BFA1">
      <w:pPr>
        <w:jc w:val="center"/>
        <w:rPr>
          <w:rFonts w:hint="eastAsia" w:asciiTheme="majorEastAsia" w:hAnsiTheme="majorEastAsia" w:eastAsiaTheme="majorEastAsia"/>
          <w:sz w:val="30"/>
          <w:szCs w:val="30"/>
          <w:lang w:eastAsia="zh-CN"/>
        </w:rPr>
      </w:pPr>
    </w:p>
    <w:p w14:paraId="076E8443">
      <w:pPr>
        <w:pStyle w:val="5"/>
        <w:rPr>
          <w:rFonts w:hint="eastAsia" w:asciiTheme="majorEastAsia" w:hAnsiTheme="majorEastAsia" w:eastAsiaTheme="majorEastAsia"/>
          <w:sz w:val="30"/>
          <w:szCs w:val="30"/>
          <w:lang w:eastAsia="zh-CN"/>
        </w:rPr>
      </w:pPr>
    </w:p>
    <w:p w14:paraId="6F8BD450">
      <w:pPr>
        <w:rPr>
          <w:rFonts w:hint="eastAsia" w:asciiTheme="majorEastAsia" w:hAnsiTheme="majorEastAsia" w:eastAsiaTheme="majorEastAsia"/>
          <w:sz w:val="30"/>
          <w:szCs w:val="30"/>
          <w:lang w:eastAsia="zh-CN"/>
        </w:rPr>
      </w:pPr>
    </w:p>
    <w:p w14:paraId="51439EBE">
      <w:pPr>
        <w:rPr>
          <w:rFonts w:hint="eastAsia" w:asciiTheme="majorEastAsia" w:hAnsiTheme="majorEastAsia" w:eastAsiaTheme="majorEastAsia"/>
          <w:sz w:val="30"/>
          <w:szCs w:val="30"/>
          <w:lang w:eastAsia="zh-CN"/>
        </w:rPr>
      </w:pPr>
    </w:p>
    <w:p w14:paraId="70E44D4C">
      <w:pPr>
        <w:rPr>
          <w:rFonts w:hint="eastAsia" w:asciiTheme="majorEastAsia" w:hAnsiTheme="majorEastAsia" w:eastAsiaTheme="majorEastAsia"/>
          <w:sz w:val="30"/>
          <w:szCs w:val="30"/>
          <w:lang w:eastAsia="zh-CN"/>
        </w:rPr>
      </w:pPr>
    </w:p>
    <w:p w14:paraId="77D7B746">
      <w:pPr>
        <w:rPr>
          <w:rFonts w:hint="eastAsia" w:asciiTheme="majorEastAsia" w:hAnsiTheme="majorEastAsia" w:eastAsiaTheme="majorEastAsia"/>
          <w:sz w:val="30"/>
          <w:szCs w:val="30"/>
          <w:lang w:eastAsia="zh-CN"/>
        </w:rPr>
      </w:pPr>
    </w:p>
    <w:p w14:paraId="5D61D772">
      <w:pPr>
        <w:rPr>
          <w:rFonts w:hint="eastAsia" w:asciiTheme="majorEastAsia" w:hAnsiTheme="majorEastAsia" w:eastAsiaTheme="majorEastAsia"/>
          <w:sz w:val="30"/>
          <w:szCs w:val="30"/>
          <w:lang w:eastAsia="zh-CN"/>
        </w:rPr>
      </w:pPr>
    </w:p>
    <w:p w14:paraId="4D3D118A">
      <w:pPr>
        <w:rPr>
          <w:rFonts w:hint="eastAsia" w:asciiTheme="majorEastAsia" w:hAnsiTheme="majorEastAsia" w:eastAsiaTheme="majorEastAsia"/>
          <w:sz w:val="30"/>
          <w:szCs w:val="30"/>
          <w:lang w:eastAsia="zh-CN"/>
        </w:rPr>
      </w:pPr>
    </w:p>
    <w:p w14:paraId="5302882E">
      <w:pPr>
        <w:rPr>
          <w:rFonts w:hint="eastAsia" w:asciiTheme="majorEastAsia" w:hAnsiTheme="majorEastAsia" w:eastAsiaTheme="majorEastAsia"/>
          <w:sz w:val="30"/>
          <w:szCs w:val="30"/>
          <w:lang w:eastAsia="zh-CN"/>
        </w:rPr>
      </w:pPr>
    </w:p>
    <w:p w14:paraId="295B4F01">
      <w:pPr>
        <w:rPr>
          <w:rFonts w:hint="eastAsia" w:asciiTheme="majorEastAsia" w:hAnsiTheme="majorEastAsia" w:eastAsiaTheme="majorEastAsia"/>
          <w:sz w:val="30"/>
          <w:szCs w:val="30"/>
          <w:lang w:eastAsia="zh-CN"/>
        </w:rPr>
      </w:pPr>
    </w:p>
    <w:p w14:paraId="1A606DEA">
      <w:pPr>
        <w:rPr>
          <w:rFonts w:hint="eastAsia" w:asciiTheme="majorEastAsia" w:hAnsiTheme="majorEastAsia" w:eastAsiaTheme="majorEastAsia"/>
          <w:sz w:val="30"/>
          <w:szCs w:val="30"/>
          <w:lang w:eastAsia="zh-CN"/>
        </w:rPr>
      </w:pPr>
    </w:p>
    <w:p w14:paraId="726B63A6">
      <w:pPr>
        <w:rPr>
          <w:rFonts w:hint="eastAsia" w:asciiTheme="majorEastAsia" w:hAnsiTheme="majorEastAsia" w:eastAsiaTheme="majorEastAsia"/>
          <w:sz w:val="30"/>
          <w:szCs w:val="30"/>
          <w:lang w:eastAsia="zh-CN"/>
        </w:rPr>
      </w:pPr>
    </w:p>
    <w:p w14:paraId="5D363DC9">
      <w:pPr>
        <w:rPr>
          <w:rFonts w:hint="eastAsia" w:asciiTheme="majorEastAsia" w:hAnsiTheme="majorEastAsia" w:eastAsiaTheme="majorEastAsia"/>
          <w:sz w:val="30"/>
          <w:szCs w:val="30"/>
          <w:lang w:eastAsia="zh-CN"/>
        </w:rPr>
      </w:pPr>
    </w:p>
    <w:p w14:paraId="55ED6738">
      <w:pPr>
        <w:rPr>
          <w:rFonts w:hint="eastAsia" w:asciiTheme="majorEastAsia" w:hAnsiTheme="majorEastAsia" w:eastAsiaTheme="majorEastAsia"/>
          <w:sz w:val="30"/>
          <w:szCs w:val="30"/>
          <w:lang w:eastAsia="zh-CN"/>
        </w:rPr>
      </w:pPr>
    </w:p>
    <w:p w14:paraId="44188481">
      <w:pPr>
        <w:rPr>
          <w:rFonts w:hint="eastAsia" w:asciiTheme="majorEastAsia" w:hAnsiTheme="majorEastAsia" w:eastAsiaTheme="majorEastAsia"/>
          <w:sz w:val="30"/>
          <w:szCs w:val="30"/>
          <w:lang w:eastAsia="zh-CN"/>
        </w:rPr>
      </w:pPr>
    </w:p>
    <w:p w14:paraId="0E08CF18">
      <w:pPr>
        <w:rPr>
          <w:rFonts w:hint="eastAsia" w:asciiTheme="majorEastAsia" w:hAnsiTheme="majorEastAsia" w:eastAsiaTheme="majorEastAsia"/>
          <w:sz w:val="30"/>
          <w:szCs w:val="30"/>
          <w:lang w:eastAsia="zh-CN"/>
        </w:rPr>
      </w:pPr>
    </w:p>
    <w:p w14:paraId="54F7E3A7">
      <w:pPr>
        <w:rPr>
          <w:rFonts w:hint="eastAsia" w:asciiTheme="majorEastAsia" w:hAnsiTheme="majorEastAsia" w:eastAsiaTheme="majorEastAsia"/>
          <w:sz w:val="30"/>
          <w:szCs w:val="30"/>
          <w:lang w:eastAsia="zh-CN"/>
        </w:rPr>
      </w:pPr>
    </w:p>
    <w:p w14:paraId="4FD042A8">
      <w:pPr>
        <w:rPr>
          <w:rFonts w:hint="eastAsia" w:asciiTheme="majorEastAsia" w:hAnsiTheme="majorEastAsia" w:eastAsiaTheme="majorEastAsia"/>
          <w:sz w:val="30"/>
          <w:szCs w:val="30"/>
          <w:lang w:eastAsia="zh-CN"/>
        </w:rPr>
      </w:pPr>
    </w:p>
    <w:p w14:paraId="4B38098E">
      <w:pPr>
        <w:rPr>
          <w:rFonts w:hint="eastAsia" w:asciiTheme="majorEastAsia" w:hAnsiTheme="majorEastAsia" w:eastAsiaTheme="majorEastAsia"/>
          <w:sz w:val="30"/>
          <w:szCs w:val="30"/>
          <w:lang w:eastAsia="zh-CN"/>
        </w:rPr>
      </w:pPr>
    </w:p>
    <w:p w14:paraId="29E48FF0">
      <w:pPr>
        <w:rPr>
          <w:rFonts w:hint="eastAsia" w:asciiTheme="majorEastAsia" w:hAnsiTheme="majorEastAsia" w:eastAsiaTheme="majorEastAsia"/>
          <w:sz w:val="30"/>
          <w:szCs w:val="30"/>
          <w:lang w:eastAsia="zh-CN"/>
        </w:rPr>
      </w:pPr>
    </w:p>
    <w:p w14:paraId="6E958AAC">
      <w:pPr>
        <w:rPr>
          <w:rFonts w:hint="eastAsia" w:asciiTheme="majorEastAsia" w:hAnsiTheme="majorEastAsia" w:eastAsiaTheme="majorEastAsia"/>
          <w:sz w:val="30"/>
          <w:szCs w:val="30"/>
          <w:lang w:eastAsia="zh-CN"/>
        </w:rPr>
      </w:pPr>
    </w:p>
    <w:p w14:paraId="3323938C">
      <w:pPr>
        <w:pStyle w:val="15"/>
        <w:numPr>
          <w:ilvl w:val="0"/>
          <w:numId w:val="0"/>
        </w:numPr>
        <w:ind w:left="0" w:leftChars="0" w:firstLine="0" w:firstLineChars="0"/>
        <w:jc w:val="center"/>
        <w:outlineLvl w:val="0"/>
        <w:rPr>
          <w:rFonts w:hint="eastAsia" w:asciiTheme="majorEastAsia" w:hAnsiTheme="majorEastAsia"/>
          <w:sz w:val="30"/>
          <w:szCs w:val="30"/>
        </w:rPr>
      </w:pP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cstheme="minorBidi"/>
          <w:kern w:val="2"/>
          <w:sz w:val="30"/>
          <w:szCs w:val="30"/>
          <w:lang w:val="en-US" w:eastAsia="zh-CN" w:bidi="ar-SA"/>
        </w:rPr>
        <w:t>二十八</w:t>
      </w: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sz w:val="30"/>
          <w:szCs w:val="30"/>
        </w:rPr>
        <w:t>所投设备参数及产品注册时的检测报告</w:t>
      </w:r>
      <w:r>
        <w:rPr>
          <w:rFonts w:hint="eastAsia" w:asciiTheme="majorEastAsia" w:hAnsiTheme="majorEastAsia"/>
          <w:sz w:val="30"/>
          <w:szCs w:val="30"/>
          <w:lang w:val="en-US" w:eastAsia="zh-CN"/>
        </w:rPr>
        <w:t xml:space="preserve">            </w:t>
      </w:r>
    </w:p>
    <w:p w14:paraId="40472A44">
      <w:pPr>
        <w:rPr>
          <w:rFonts w:hint="eastAsia" w:asciiTheme="majorEastAsia" w:hAnsiTheme="majorEastAsia" w:eastAsiaTheme="majorEastAsia"/>
          <w:sz w:val="30"/>
          <w:szCs w:val="30"/>
          <w:lang w:eastAsia="zh-CN"/>
        </w:rPr>
      </w:pPr>
    </w:p>
    <w:p w14:paraId="7588BA56">
      <w:pPr>
        <w:pStyle w:val="5"/>
        <w:rPr>
          <w:rFonts w:hint="eastAsia" w:asciiTheme="majorEastAsia" w:hAnsiTheme="majorEastAsia" w:eastAsiaTheme="majorEastAsia"/>
          <w:sz w:val="30"/>
          <w:szCs w:val="30"/>
          <w:lang w:eastAsia="zh-CN"/>
        </w:rPr>
      </w:pPr>
    </w:p>
    <w:p w14:paraId="17CABD36">
      <w:pPr>
        <w:rPr>
          <w:rFonts w:hint="eastAsia" w:asciiTheme="majorEastAsia" w:hAnsiTheme="majorEastAsia" w:eastAsiaTheme="majorEastAsia"/>
          <w:sz w:val="30"/>
          <w:szCs w:val="30"/>
          <w:lang w:eastAsia="zh-CN"/>
        </w:rPr>
      </w:pPr>
    </w:p>
    <w:p w14:paraId="4EFA4CC0">
      <w:pPr>
        <w:pStyle w:val="5"/>
        <w:rPr>
          <w:rFonts w:hint="eastAsia" w:asciiTheme="majorEastAsia" w:hAnsiTheme="majorEastAsia" w:eastAsiaTheme="majorEastAsia"/>
          <w:sz w:val="30"/>
          <w:szCs w:val="30"/>
          <w:lang w:eastAsia="zh-CN"/>
        </w:rPr>
      </w:pPr>
    </w:p>
    <w:p w14:paraId="4BD30BB8">
      <w:pPr>
        <w:rPr>
          <w:rFonts w:hint="eastAsia" w:asciiTheme="majorEastAsia" w:hAnsiTheme="majorEastAsia" w:eastAsiaTheme="majorEastAsia"/>
          <w:sz w:val="30"/>
          <w:szCs w:val="30"/>
          <w:lang w:eastAsia="zh-CN"/>
        </w:rPr>
      </w:pPr>
    </w:p>
    <w:p w14:paraId="67DAEE38">
      <w:pPr>
        <w:pStyle w:val="5"/>
        <w:rPr>
          <w:rFonts w:hint="eastAsia" w:asciiTheme="majorEastAsia" w:hAnsiTheme="majorEastAsia" w:eastAsiaTheme="majorEastAsia"/>
          <w:sz w:val="30"/>
          <w:szCs w:val="30"/>
          <w:lang w:eastAsia="zh-CN"/>
        </w:rPr>
      </w:pPr>
    </w:p>
    <w:p w14:paraId="0C2C9215">
      <w:pPr>
        <w:rPr>
          <w:rFonts w:hint="eastAsia" w:asciiTheme="majorEastAsia" w:hAnsiTheme="majorEastAsia" w:eastAsiaTheme="majorEastAsia"/>
          <w:sz w:val="30"/>
          <w:szCs w:val="30"/>
          <w:lang w:eastAsia="zh-CN"/>
        </w:rPr>
      </w:pPr>
    </w:p>
    <w:p w14:paraId="23AEC420">
      <w:pPr>
        <w:pStyle w:val="5"/>
        <w:rPr>
          <w:rFonts w:hint="eastAsia" w:asciiTheme="majorEastAsia" w:hAnsiTheme="majorEastAsia" w:eastAsiaTheme="majorEastAsia"/>
          <w:sz w:val="30"/>
          <w:szCs w:val="30"/>
          <w:lang w:eastAsia="zh-CN"/>
        </w:rPr>
      </w:pPr>
    </w:p>
    <w:p w14:paraId="1DA4F157">
      <w:pPr>
        <w:rPr>
          <w:rFonts w:hint="eastAsia" w:asciiTheme="majorEastAsia" w:hAnsiTheme="majorEastAsia" w:eastAsiaTheme="majorEastAsia"/>
          <w:sz w:val="30"/>
          <w:szCs w:val="30"/>
          <w:lang w:eastAsia="zh-CN"/>
        </w:rPr>
      </w:pPr>
    </w:p>
    <w:p w14:paraId="2612965B">
      <w:pPr>
        <w:pStyle w:val="5"/>
        <w:rPr>
          <w:rFonts w:hint="eastAsia" w:asciiTheme="majorEastAsia" w:hAnsiTheme="majorEastAsia" w:eastAsiaTheme="majorEastAsia"/>
          <w:sz w:val="30"/>
          <w:szCs w:val="30"/>
          <w:lang w:eastAsia="zh-CN"/>
        </w:rPr>
      </w:pPr>
    </w:p>
    <w:p w14:paraId="42B2449E">
      <w:pPr>
        <w:rPr>
          <w:rFonts w:hint="eastAsia" w:asciiTheme="majorEastAsia" w:hAnsiTheme="majorEastAsia" w:eastAsiaTheme="majorEastAsia"/>
          <w:sz w:val="30"/>
          <w:szCs w:val="30"/>
          <w:lang w:eastAsia="zh-CN"/>
        </w:rPr>
      </w:pPr>
    </w:p>
    <w:p w14:paraId="2AE8F28C">
      <w:pPr>
        <w:pStyle w:val="5"/>
        <w:rPr>
          <w:rFonts w:hint="eastAsia" w:asciiTheme="majorEastAsia" w:hAnsiTheme="majorEastAsia" w:eastAsiaTheme="majorEastAsia"/>
          <w:sz w:val="30"/>
          <w:szCs w:val="30"/>
          <w:lang w:eastAsia="zh-CN"/>
        </w:rPr>
      </w:pPr>
    </w:p>
    <w:p w14:paraId="1C6F6F6C">
      <w:pPr>
        <w:rPr>
          <w:rFonts w:hint="eastAsia" w:asciiTheme="majorEastAsia" w:hAnsiTheme="majorEastAsia" w:eastAsiaTheme="majorEastAsia"/>
          <w:sz w:val="30"/>
          <w:szCs w:val="30"/>
          <w:lang w:eastAsia="zh-CN"/>
        </w:rPr>
      </w:pPr>
    </w:p>
    <w:p w14:paraId="461EB672">
      <w:pPr>
        <w:pStyle w:val="5"/>
        <w:rPr>
          <w:rFonts w:hint="eastAsia" w:asciiTheme="majorEastAsia" w:hAnsiTheme="majorEastAsia" w:eastAsiaTheme="majorEastAsia"/>
          <w:sz w:val="30"/>
          <w:szCs w:val="30"/>
          <w:lang w:eastAsia="zh-CN"/>
        </w:rPr>
      </w:pPr>
    </w:p>
    <w:p w14:paraId="303E52EE">
      <w:pPr>
        <w:rPr>
          <w:rFonts w:hint="eastAsia" w:asciiTheme="majorEastAsia" w:hAnsiTheme="majorEastAsia" w:eastAsiaTheme="majorEastAsia"/>
          <w:sz w:val="30"/>
          <w:szCs w:val="30"/>
          <w:lang w:eastAsia="zh-CN"/>
        </w:rPr>
      </w:pPr>
    </w:p>
    <w:p w14:paraId="46B53A22">
      <w:pPr>
        <w:pStyle w:val="5"/>
        <w:rPr>
          <w:rFonts w:hint="eastAsia" w:asciiTheme="majorEastAsia" w:hAnsiTheme="majorEastAsia" w:eastAsiaTheme="majorEastAsia"/>
          <w:sz w:val="30"/>
          <w:szCs w:val="30"/>
          <w:lang w:eastAsia="zh-CN"/>
        </w:rPr>
      </w:pPr>
    </w:p>
    <w:p w14:paraId="6412A59E">
      <w:pPr>
        <w:pStyle w:val="5"/>
        <w:rPr>
          <w:rFonts w:hint="eastAsia"/>
          <w:lang w:eastAsia="zh-CN"/>
        </w:rPr>
      </w:pPr>
    </w:p>
    <w:p w14:paraId="706D9213">
      <w:pPr>
        <w:rPr>
          <w:rFonts w:hint="eastAsia"/>
          <w:lang w:eastAsia="zh-CN"/>
        </w:rPr>
      </w:pPr>
    </w:p>
    <w:p w14:paraId="565BAA7E">
      <w:pPr>
        <w:rPr>
          <w:rFonts w:hint="eastAsia"/>
          <w:lang w:eastAsia="zh-CN"/>
        </w:rPr>
      </w:pPr>
    </w:p>
    <w:p w14:paraId="0D900A92">
      <w:pPr>
        <w:rPr>
          <w:rFonts w:hint="eastAsia"/>
          <w:lang w:eastAsia="zh-CN"/>
        </w:rPr>
      </w:pPr>
    </w:p>
    <w:p w14:paraId="22E4BFDB">
      <w:pPr>
        <w:rPr>
          <w:rFonts w:hint="eastAsia"/>
          <w:lang w:eastAsia="zh-CN"/>
        </w:rPr>
      </w:pPr>
    </w:p>
    <w:p w14:paraId="7D5BD77E">
      <w:pPr>
        <w:snapToGrid w:val="0"/>
        <w:ind w:left="0" w:leftChars="0" w:firstLine="0" w:firstLineChars="0"/>
        <w:jc w:val="center"/>
        <w:outlineLvl w:val="9"/>
        <w:rPr>
          <w:rFonts w:hint="eastAsia" w:asciiTheme="majorEastAsia" w:hAnsiTheme="majorEastAsia" w:eastAsiaTheme="majorEastAsia"/>
          <w:sz w:val="30"/>
          <w:szCs w:val="30"/>
          <w:lang w:eastAsia="zh-CN"/>
        </w:rPr>
      </w:pPr>
    </w:p>
    <w:p w14:paraId="5F0A14F1">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二十九</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招标文件要求的其他内容及投标人认为需要加以说明其他内容</w:t>
      </w:r>
    </w:p>
    <w:p w14:paraId="37883878">
      <w:pPr>
        <w:rPr>
          <w:rFonts w:hint="eastAsia"/>
          <w:lang w:eastAsia="zh-CN"/>
        </w:rPr>
      </w:pPr>
    </w:p>
    <w:p w14:paraId="7D6A1082">
      <w:pPr>
        <w:rPr>
          <w:rFonts w:hint="eastAsia"/>
          <w:lang w:eastAsia="zh-CN"/>
        </w:rPr>
      </w:pP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199634B8">
      <w:pPr>
        <w:rPr>
          <w:rFonts w:hint="eastAsia"/>
          <w:lang w:eastAsia="zh-CN"/>
        </w:rPr>
      </w:pPr>
    </w:p>
    <w:p w14:paraId="70B5E125">
      <w:pPr>
        <w:rPr>
          <w:rFonts w:hint="eastAsia"/>
          <w:lang w:eastAsia="zh-CN"/>
        </w:rPr>
      </w:pPr>
    </w:p>
    <w:p w14:paraId="5F19ED12">
      <w:pPr>
        <w:rPr>
          <w:rFonts w:hint="eastAsia"/>
          <w:lang w:eastAsia="zh-CN"/>
        </w:rPr>
      </w:pPr>
    </w:p>
    <w:p w14:paraId="738613B9">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5F270169">
      <w:pPr>
        <w:rPr>
          <w:rFonts w:hint="eastAsia"/>
          <w:lang w:eastAsia="zh-CN"/>
        </w:rPr>
      </w:pPr>
    </w:p>
    <w:p w14:paraId="1D421011">
      <w:pPr>
        <w:rPr>
          <w:rFonts w:hint="eastAsia"/>
          <w:lang w:eastAsia="zh-CN"/>
        </w:rPr>
      </w:pPr>
    </w:p>
    <w:p w14:paraId="7562AB98">
      <w:pPr>
        <w:rPr>
          <w:rFonts w:hint="eastAsia"/>
          <w:lang w:eastAsia="zh-CN"/>
        </w:rPr>
      </w:pPr>
    </w:p>
    <w:p w14:paraId="69F1EB36">
      <w:pPr>
        <w:rPr>
          <w:rFonts w:hint="eastAsia"/>
          <w:lang w:eastAsia="zh-CN"/>
        </w:rPr>
      </w:pPr>
    </w:p>
    <w:p w14:paraId="2C91AA8B">
      <w:pPr>
        <w:rPr>
          <w:rFonts w:hint="eastAsia"/>
          <w:lang w:eastAsia="zh-CN"/>
        </w:rPr>
      </w:pPr>
    </w:p>
    <w:p w14:paraId="79333D8D">
      <w:pPr>
        <w:rPr>
          <w:rFonts w:hint="eastAsia"/>
          <w:lang w:eastAsia="zh-CN"/>
        </w:rPr>
      </w:pPr>
    </w:p>
    <w:p w14:paraId="7501A7C1">
      <w:pPr>
        <w:rPr>
          <w:rFonts w:hint="eastAsia"/>
          <w:lang w:eastAsia="zh-CN"/>
        </w:rPr>
      </w:pPr>
    </w:p>
    <w:p w14:paraId="4145D5CE">
      <w:pPr>
        <w:rPr>
          <w:rFonts w:hint="eastAsia"/>
          <w:lang w:eastAsia="zh-CN"/>
        </w:rPr>
      </w:pPr>
    </w:p>
    <w:p w14:paraId="2EA21846">
      <w:pPr>
        <w:rPr>
          <w:rFonts w:hint="eastAsia"/>
          <w:lang w:eastAsia="zh-CN"/>
        </w:rPr>
      </w:pPr>
    </w:p>
    <w:p w14:paraId="54EC5EB0">
      <w:pPr>
        <w:rPr>
          <w:rFonts w:hint="eastAsia"/>
          <w:lang w:eastAsia="zh-CN"/>
        </w:rPr>
      </w:pPr>
    </w:p>
    <w:bookmarkEnd w:id="83"/>
    <w:bookmarkEnd w:id="84"/>
    <w:bookmarkEnd w:id="85"/>
    <w:bookmarkEnd w:id="86"/>
    <w:bookmarkEnd w:id="88"/>
    <w:bookmarkEnd w:id="89"/>
    <w:bookmarkEnd w:id="90"/>
    <w:bookmarkEnd w:id="91"/>
    <w:p w14:paraId="5AFDC160">
      <w:pPr>
        <w:pStyle w:val="3"/>
        <w:numPr>
          <w:ilvl w:val="0"/>
          <w:numId w:val="0"/>
        </w:numPr>
        <w:spacing w:line="240" w:lineRule="auto"/>
        <w:jc w:val="both"/>
        <w:outlineLvl w:val="9"/>
        <w:rPr>
          <w:rFonts w:hint="eastAsia" w:asciiTheme="majorEastAsia" w:hAnsiTheme="majorEastAsia" w:eastAsiaTheme="majorEastAsia"/>
          <w:sz w:val="30"/>
          <w:szCs w:val="30"/>
          <w:lang w:val="en-US" w:eastAsia="zh-CN"/>
        </w:rPr>
      </w:pPr>
      <w:bookmarkStart w:id="92" w:name="_Toc1658"/>
      <w:bookmarkStart w:id="93" w:name="_Toc435516650"/>
      <w:bookmarkStart w:id="94" w:name="_Toc435174933"/>
      <w:bookmarkStart w:id="95" w:name="_Toc11652"/>
      <w:bookmarkStart w:id="96" w:name="_Toc438223136"/>
    </w:p>
    <w:p w14:paraId="4844EB47">
      <w:pPr>
        <w:pStyle w:val="3"/>
        <w:numPr>
          <w:ilvl w:val="0"/>
          <w:numId w:val="0"/>
        </w:numPr>
        <w:spacing w:line="240" w:lineRule="auto"/>
        <w:ind w:left="420" w:leftChars="0" w:hanging="420" w:firstLineChars="0"/>
        <w:jc w:val="center"/>
        <w:outlineLvl w:val="0"/>
        <w:rPr>
          <w:rFonts w:asciiTheme="majorEastAsia" w:hAnsiTheme="majorEastAsia" w:eastAsiaTheme="majorEastAsia"/>
          <w:sz w:val="32"/>
          <w:szCs w:val="32"/>
        </w:rPr>
      </w:pPr>
      <w:bookmarkStart w:id="97" w:name="_Toc21111"/>
      <w:r>
        <w:rPr>
          <w:rFonts w:hint="eastAsia" w:asciiTheme="majorEastAsia" w:hAnsiTheme="majorEastAsia" w:eastAsiaTheme="majorEastAsia"/>
          <w:sz w:val="32"/>
          <w:szCs w:val="32"/>
          <w:lang w:val="en-US" w:eastAsia="zh-CN"/>
        </w:rPr>
        <w:t xml:space="preserve">第六章 </w:t>
      </w:r>
      <w:r>
        <w:rPr>
          <w:rFonts w:asciiTheme="majorEastAsia" w:hAnsiTheme="majorEastAsia" w:eastAsiaTheme="majorEastAsia"/>
          <w:sz w:val="32"/>
          <w:szCs w:val="32"/>
          <w:lang w:eastAsia="zh-TW"/>
        </w:rPr>
        <w:t>说 明</w:t>
      </w:r>
      <w:bookmarkEnd w:id="92"/>
      <w:bookmarkEnd w:id="93"/>
      <w:bookmarkEnd w:id="94"/>
      <w:bookmarkEnd w:id="95"/>
      <w:bookmarkEnd w:id="96"/>
      <w:bookmarkEnd w:id="97"/>
      <w:bookmarkStart w:id="98" w:name="_Toc292267791"/>
    </w:p>
    <w:bookmarkEnd w:id="98"/>
    <w:p w14:paraId="6C6C625E">
      <w:pPr>
        <w:numPr>
          <w:ilvl w:val="0"/>
          <w:numId w:val="17"/>
        </w:numPr>
        <w:autoSpaceDE w:val="0"/>
        <w:autoSpaceDN w:val="0"/>
        <w:adjustRightInd w:val="0"/>
        <w:snapToGrid w:val="0"/>
        <w:spacing w:line="360" w:lineRule="auto"/>
        <w:outlineLvl w:val="1"/>
        <w:rPr>
          <w:rFonts w:ascii="宋体" w:hAnsi="宋体"/>
          <w:b/>
          <w:bCs/>
          <w:szCs w:val="21"/>
        </w:rPr>
      </w:pPr>
      <w:bookmarkStart w:id="99" w:name="_Toc23054"/>
      <w:r>
        <w:rPr>
          <w:rFonts w:hint="eastAsia" w:ascii="宋体" w:hAnsi="宋体"/>
          <w:b/>
          <w:bCs/>
          <w:szCs w:val="21"/>
        </w:rPr>
        <w:t>适用范围</w:t>
      </w:r>
      <w:bookmarkEnd w:id="99"/>
    </w:p>
    <w:p w14:paraId="5425D084">
      <w:pPr>
        <w:numPr>
          <w:ilvl w:val="1"/>
          <w:numId w:val="17"/>
        </w:numPr>
        <w:autoSpaceDE w:val="0"/>
        <w:autoSpaceDN w:val="0"/>
        <w:adjustRightInd w:val="0"/>
        <w:snapToGrid w:val="0"/>
        <w:spacing w:line="360" w:lineRule="auto"/>
        <w:ind w:left="567" w:leftChars="0" w:hanging="567" w:firstLineChars="0"/>
        <w:jc w:val="left"/>
        <w:outlineLvl w:val="9"/>
        <w:rPr>
          <w:rFonts w:ascii="宋体" w:hAnsi="宋体"/>
          <w:b/>
          <w:bCs/>
          <w:szCs w:val="21"/>
        </w:rPr>
      </w:pPr>
      <w:r>
        <w:rPr>
          <w:rFonts w:hint="eastAsia" w:ascii="宋体" w:hAnsi="宋体"/>
          <w:szCs w:val="21"/>
        </w:rPr>
        <w:t>本招标文件适用于本投标邀请中所述采购项目。</w:t>
      </w:r>
    </w:p>
    <w:p w14:paraId="7B029138">
      <w:pPr>
        <w:numPr>
          <w:ilvl w:val="0"/>
          <w:numId w:val="17"/>
        </w:numPr>
        <w:autoSpaceDE w:val="0"/>
        <w:autoSpaceDN w:val="0"/>
        <w:adjustRightInd w:val="0"/>
        <w:snapToGrid w:val="0"/>
        <w:spacing w:line="360" w:lineRule="auto"/>
        <w:ind w:left="449" w:hanging="449" w:hangingChars="213"/>
        <w:outlineLvl w:val="1"/>
        <w:rPr>
          <w:rFonts w:ascii="宋体" w:hAnsi="宋体"/>
          <w:b/>
          <w:bCs/>
          <w:strike/>
          <w:szCs w:val="21"/>
        </w:rPr>
      </w:pPr>
      <w:bookmarkStart w:id="100" w:name="_Toc28379"/>
      <w:r>
        <w:rPr>
          <w:rFonts w:hint="eastAsia" w:ascii="宋体" w:hAnsi="宋体"/>
          <w:b/>
          <w:szCs w:val="21"/>
        </w:rPr>
        <w:t>定义</w:t>
      </w:r>
      <w:bookmarkEnd w:id="100"/>
    </w:p>
    <w:p w14:paraId="293D86D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中标人是指经法定程序确定并授予合同的投标人。</w:t>
      </w:r>
    </w:p>
    <w:p w14:paraId="08E946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01" w:name="_Toc4681"/>
      <w:r>
        <w:rPr>
          <w:rFonts w:hint="eastAsia" w:ascii="宋体" w:hAnsi="宋体"/>
          <w:b/>
          <w:bCs/>
          <w:szCs w:val="21"/>
        </w:rPr>
        <w:t>合格的货物和服务</w:t>
      </w:r>
      <w:bookmarkEnd w:id="101"/>
    </w:p>
    <w:p w14:paraId="6CA79C08">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02" w:name="_Toc27847"/>
      <w:r>
        <w:rPr>
          <w:rFonts w:hint="eastAsia" w:ascii="宋体" w:hAnsi="宋体"/>
          <w:b/>
          <w:bCs/>
          <w:szCs w:val="21"/>
        </w:rPr>
        <w:t>其他</w:t>
      </w:r>
      <w:bookmarkEnd w:id="102"/>
    </w:p>
    <w:p w14:paraId="20835FFD">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7"/>
        </w:numPr>
        <w:adjustRightInd w:val="0"/>
        <w:snapToGrid w:val="0"/>
        <w:spacing w:line="360" w:lineRule="auto"/>
        <w:rPr>
          <w:rFonts w:cs="宋体" w:asciiTheme="minorEastAsia" w:hAnsiTheme="minorEastAsia" w:eastAsiaTheme="minorEastAsia"/>
          <w:bCs/>
          <w:color w:val="auto"/>
          <w:szCs w:val="21"/>
          <w:highlight w:val="none"/>
        </w:rPr>
      </w:pPr>
      <w:bookmarkStart w:id="103"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04" w:name="_Hlk21591509"/>
      <w:r>
        <w:rPr>
          <w:rFonts w:hint="eastAsia" w:asciiTheme="minorEastAsia" w:hAnsiTheme="minorEastAsia" w:eastAsiaTheme="minorEastAsia"/>
          <w:color w:val="auto"/>
          <w:szCs w:val="21"/>
          <w:highlight w:val="none"/>
        </w:rPr>
        <w:t>供应商限制参与政府采购</w:t>
      </w:r>
      <w:bookmarkEnd w:id="104"/>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03"/>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71E88C04">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05" w:name="_Toc435516652"/>
      <w:bookmarkStart w:id="106" w:name="_Toc435174935"/>
      <w:bookmarkStart w:id="107" w:name="_Toc438223138"/>
      <w:bookmarkStart w:id="108" w:name="_Toc15510"/>
      <w:bookmarkStart w:id="109" w:name="_Toc22222"/>
      <w:r>
        <w:rPr>
          <w:rFonts w:hint="eastAsia" w:asciiTheme="majorEastAsia" w:hAnsiTheme="majorEastAsia" w:eastAsiaTheme="majorEastAsia"/>
          <w:sz w:val="30"/>
          <w:szCs w:val="30"/>
          <w:lang w:eastAsia="zh-TW"/>
        </w:rPr>
        <w:t>投标文件的编制</w:t>
      </w:r>
      <w:bookmarkEnd w:id="105"/>
      <w:bookmarkEnd w:id="106"/>
      <w:bookmarkEnd w:id="107"/>
      <w:bookmarkEnd w:id="108"/>
      <w:bookmarkEnd w:id="109"/>
    </w:p>
    <w:p w14:paraId="5EBD4F7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0" w:name="_Toc27317"/>
      <w:r>
        <w:rPr>
          <w:rFonts w:hint="eastAsia" w:ascii="宋体" w:hAnsi="宋体"/>
          <w:b/>
          <w:bCs/>
          <w:szCs w:val="21"/>
        </w:rPr>
        <w:t>投标的语言</w:t>
      </w:r>
      <w:bookmarkEnd w:id="110"/>
    </w:p>
    <w:p w14:paraId="60E51897">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1" w:name="_Toc2446"/>
      <w:r>
        <w:rPr>
          <w:rFonts w:hint="eastAsia" w:ascii="宋体" w:hAnsi="宋体"/>
          <w:b/>
          <w:bCs/>
          <w:szCs w:val="21"/>
        </w:rPr>
        <w:t>投标文件的构成</w:t>
      </w:r>
      <w:bookmarkEnd w:id="111"/>
    </w:p>
    <w:p w14:paraId="57D603E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7"/>
        </w:numPr>
        <w:autoSpaceDE w:val="0"/>
        <w:autoSpaceDN w:val="0"/>
        <w:adjustRightInd w:val="0"/>
        <w:snapToGrid w:val="0"/>
        <w:spacing w:line="360" w:lineRule="auto"/>
        <w:ind w:left="567" w:leftChars="0" w:hanging="567" w:firstLineChars="0"/>
        <w:outlineLvl w:val="9"/>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2" w:name="_Toc11091"/>
      <w:r>
        <w:rPr>
          <w:rFonts w:hint="eastAsia" w:ascii="宋体" w:hAnsi="宋体"/>
          <w:b/>
          <w:bCs/>
          <w:szCs w:val="21"/>
        </w:rPr>
        <w:t>投标文件的编写</w:t>
      </w:r>
      <w:bookmarkEnd w:id="112"/>
    </w:p>
    <w:p w14:paraId="3AA1BCA5">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7"/>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3" w:name="_Toc7497"/>
      <w:r>
        <w:rPr>
          <w:rFonts w:hint="eastAsia" w:ascii="宋体" w:hAnsi="宋体"/>
          <w:b/>
          <w:bCs/>
          <w:szCs w:val="21"/>
        </w:rPr>
        <w:t>投标报价</w:t>
      </w:r>
      <w:bookmarkEnd w:id="113"/>
    </w:p>
    <w:p w14:paraId="34667E9C">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7"/>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7"/>
        </w:numPr>
        <w:tabs>
          <w:tab w:val="left" w:pos="851"/>
        </w:tabs>
        <w:autoSpaceDE w:val="0"/>
        <w:autoSpaceDN w:val="0"/>
        <w:adjustRightInd w:val="0"/>
        <w:snapToGrid w:val="0"/>
        <w:spacing w:line="360" w:lineRule="auto"/>
        <w:ind w:left="567" w:leftChars="0" w:hanging="567" w:firstLineChars="0"/>
        <w:jc w:val="left"/>
        <w:outlineLvl w:val="9"/>
        <w:rPr>
          <w:rFonts w:ascii="宋体" w:hAnsi="宋体" w:cs="宋体"/>
          <w:szCs w:val="21"/>
        </w:rPr>
      </w:pPr>
      <w:r>
        <w:rPr>
          <w:rFonts w:hint="eastAsia" w:ascii="宋体" w:hAnsi="宋体" w:cs="宋体"/>
          <w:szCs w:val="21"/>
        </w:rPr>
        <w:t>对于报价免费的内容须标明“免费”。</w:t>
      </w:r>
    </w:p>
    <w:p w14:paraId="3708B8C6">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4" w:name="_Toc2827"/>
      <w:r>
        <w:rPr>
          <w:rFonts w:hint="eastAsia" w:ascii="宋体" w:hAnsi="宋体"/>
          <w:b/>
          <w:bCs/>
          <w:szCs w:val="21"/>
        </w:rPr>
        <w:t>投标货币</w:t>
      </w:r>
      <w:bookmarkEnd w:id="114"/>
    </w:p>
    <w:p w14:paraId="75F25268">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投标人所提供的货物和服务均应以人民币报价。</w:t>
      </w:r>
    </w:p>
    <w:p w14:paraId="74EED5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5" w:name="_Toc23174"/>
      <w:r>
        <w:rPr>
          <w:rFonts w:hint="eastAsia" w:ascii="宋体" w:hAnsi="宋体"/>
          <w:b/>
          <w:bCs/>
          <w:szCs w:val="21"/>
        </w:rPr>
        <w:t>联合体投标</w:t>
      </w:r>
      <w:bookmarkEnd w:id="115"/>
    </w:p>
    <w:p w14:paraId="1C1E2EC5">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7"/>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7"/>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6" w:name="_Toc14020"/>
      <w:r>
        <w:rPr>
          <w:rFonts w:hint="eastAsia" w:ascii="宋体" w:hAnsi="宋体"/>
          <w:b/>
          <w:bCs/>
          <w:szCs w:val="21"/>
        </w:rPr>
        <w:t>证明投标人合格和资格的文件</w:t>
      </w:r>
      <w:bookmarkEnd w:id="116"/>
    </w:p>
    <w:p w14:paraId="5439B54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7" w:name="_Toc17198"/>
      <w:r>
        <w:rPr>
          <w:rFonts w:ascii="宋体" w:hAnsi="宋体"/>
          <w:b/>
          <w:bCs/>
          <w:szCs w:val="21"/>
        </w:rPr>
        <w:t>证明投标标的的合格性和符合招标文件规定的文件</w:t>
      </w:r>
      <w:bookmarkEnd w:id="117"/>
    </w:p>
    <w:p w14:paraId="6B9702A6">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7"/>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8" w:name="_Toc20270"/>
      <w:r>
        <w:rPr>
          <w:rFonts w:hint="eastAsia" w:ascii="宋体" w:hAnsi="宋体"/>
          <w:b/>
          <w:bCs/>
          <w:szCs w:val="21"/>
        </w:rPr>
        <w:t>投标文件的式样和签署、密封</w:t>
      </w:r>
      <w:bookmarkEnd w:id="118"/>
    </w:p>
    <w:p w14:paraId="669ADE1D">
      <w:pPr>
        <w:numPr>
          <w:ilvl w:val="1"/>
          <w:numId w:val="17"/>
        </w:numPr>
        <w:autoSpaceDE w:val="0"/>
        <w:autoSpaceDN w:val="0"/>
        <w:adjustRightInd w:val="0"/>
        <w:snapToGrid w:val="0"/>
        <w:spacing w:line="360" w:lineRule="auto"/>
        <w:rPr>
          <w:rFonts w:ascii="宋体" w:hAnsi="宋体" w:cs="黑体"/>
          <w:b/>
          <w:bCs/>
          <w:szCs w:val="21"/>
        </w:rPr>
      </w:pPr>
      <w:bookmarkStart w:id="119" w:name="_Toc438223139"/>
      <w:bookmarkStart w:id="120" w:name="_Toc435174936"/>
      <w:bookmarkStart w:id="121" w:name="_Toc435516653"/>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7"/>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7"/>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7"/>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outlineLvl w:val="9"/>
        <w:rPr>
          <w:rFonts w:asciiTheme="majorEastAsia" w:hAnsiTheme="majorEastAsia" w:eastAsiaTheme="majorEastAsia"/>
          <w:sz w:val="30"/>
          <w:szCs w:val="30"/>
          <w:lang w:eastAsia="zh-TW"/>
        </w:rPr>
      </w:pPr>
      <w:bookmarkStart w:id="122" w:name="_Toc5252"/>
      <w:bookmarkStart w:id="123" w:name="_Toc28883"/>
      <w:r>
        <w:rPr>
          <w:rFonts w:hint="eastAsia" w:asciiTheme="majorEastAsia" w:hAnsiTheme="majorEastAsia" w:eastAsiaTheme="majorEastAsia"/>
          <w:sz w:val="30"/>
          <w:szCs w:val="30"/>
          <w:lang w:eastAsia="zh-TW"/>
        </w:rPr>
        <w:t>投标文件的递交</w:t>
      </w:r>
      <w:bookmarkEnd w:id="119"/>
      <w:bookmarkEnd w:id="120"/>
      <w:bookmarkEnd w:id="121"/>
      <w:bookmarkEnd w:id="122"/>
      <w:bookmarkEnd w:id="123"/>
    </w:p>
    <w:p w14:paraId="340197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4" w:name="_Toc13202"/>
      <w:r>
        <w:rPr>
          <w:rFonts w:hint="eastAsia" w:ascii="宋体" w:hAnsi="宋体"/>
          <w:b/>
          <w:bCs/>
          <w:szCs w:val="21"/>
        </w:rPr>
        <w:t>投标文件递交</w:t>
      </w:r>
      <w:bookmarkEnd w:id="124"/>
    </w:p>
    <w:p w14:paraId="6CF7C752">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5" w:name="_Toc22017"/>
      <w:r>
        <w:rPr>
          <w:rFonts w:hint="eastAsia" w:ascii="宋体" w:hAnsi="宋体"/>
          <w:b/>
          <w:bCs/>
          <w:szCs w:val="21"/>
        </w:rPr>
        <w:t>投标文件的修改和撤回、撤销</w:t>
      </w:r>
      <w:bookmarkEnd w:id="125"/>
    </w:p>
    <w:p w14:paraId="6E8E5B6D">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6" w:name="_Toc18853"/>
      <w:r>
        <w:rPr>
          <w:rFonts w:hint="eastAsia" w:ascii="宋体" w:hAnsi="宋体"/>
          <w:b/>
          <w:bCs/>
          <w:szCs w:val="21"/>
        </w:rPr>
        <w:t>质疑</w:t>
      </w:r>
      <w:bookmarkEnd w:id="126"/>
    </w:p>
    <w:p w14:paraId="6D72A899">
      <w:pPr>
        <w:numPr>
          <w:ilvl w:val="1"/>
          <w:numId w:val="17"/>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17"/>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质疑期限：</w:t>
      </w:r>
    </w:p>
    <w:p w14:paraId="495E23B1">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7"/>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提交要求：</w:t>
      </w:r>
    </w:p>
    <w:p w14:paraId="119713E8">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7"/>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7"/>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7"/>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17"/>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7" w:name="_Toc19729"/>
      <w:r>
        <w:rPr>
          <w:rFonts w:hint="eastAsia" w:ascii="宋体" w:hAnsi="宋体"/>
          <w:b/>
          <w:bCs/>
          <w:szCs w:val="21"/>
        </w:rPr>
        <w:t>中标通知书</w:t>
      </w:r>
      <w:bookmarkEnd w:id="127"/>
    </w:p>
    <w:p w14:paraId="0275F8BA">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28" w:name="_Toc20050"/>
      <w:bookmarkStart w:id="129" w:name="_Toc435174938"/>
      <w:bookmarkStart w:id="130" w:name="_Toc6704"/>
      <w:bookmarkStart w:id="131" w:name="_Toc438223141"/>
      <w:bookmarkStart w:id="132" w:name="_Toc435516655"/>
      <w:r>
        <w:rPr>
          <w:rFonts w:hint="eastAsia" w:asciiTheme="majorEastAsia" w:hAnsiTheme="majorEastAsia" w:eastAsiaTheme="majorEastAsia"/>
          <w:sz w:val="30"/>
          <w:szCs w:val="30"/>
          <w:lang w:eastAsia="zh-TW"/>
        </w:rPr>
        <w:t>授予合同</w:t>
      </w:r>
      <w:bookmarkEnd w:id="128"/>
      <w:bookmarkEnd w:id="129"/>
      <w:bookmarkEnd w:id="130"/>
      <w:bookmarkEnd w:id="131"/>
      <w:bookmarkEnd w:id="132"/>
    </w:p>
    <w:p w14:paraId="58EF3211">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33" w:name="_Toc5467"/>
      <w:bookmarkStart w:id="134" w:name="_Toc23713"/>
      <w:r>
        <w:rPr>
          <w:rFonts w:hint="eastAsia" w:ascii="宋体" w:hAnsi="宋体"/>
          <w:b/>
          <w:bCs/>
          <w:szCs w:val="21"/>
        </w:rPr>
        <w:t>合同的订立</w:t>
      </w:r>
      <w:bookmarkEnd w:id="133"/>
      <w:bookmarkEnd w:id="134"/>
    </w:p>
    <w:p w14:paraId="4D85A81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35" w:name="_Toc5053"/>
      <w:bookmarkStart w:id="136" w:name="_Toc560"/>
      <w:r>
        <w:rPr>
          <w:rFonts w:hint="eastAsia" w:ascii="宋体" w:hAnsi="宋体"/>
          <w:b/>
          <w:bCs/>
          <w:szCs w:val="21"/>
        </w:rPr>
        <w:t>合同的履行</w:t>
      </w:r>
      <w:bookmarkEnd w:id="135"/>
      <w:bookmarkEnd w:id="136"/>
    </w:p>
    <w:p w14:paraId="5265F92B">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69486AA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5BEFF04B">
      <w:pPr>
        <w:pStyle w:val="2"/>
        <w:widowControl/>
        <w:numPr>
          <w:ilvl w:val="0"/>
          <w:numId w:val="0"/>
        </w:numPr>
        <w:spacing w:before="0" w:beforeAutospacing="0" w:after="0" w:afterAutospacing="0"/>
        <w:ind w:left="0" w:leftChars="0" w:firstLine="0" w:firstLineChars="0"/>
        <w:jc w:val="both"/>
        <w:outlineLvl w:val="9"/>
        <w:rPr>
          <w:rFonts w:hint="eastAsia" w:ascii="黑体" w:hAnsi="宋体" w:eastAsia="黑体" w:cs="黑体"/>
          <w:b/>
          <w:bCs/>
          <w:kern w:val="44"/>
          <w:sz w:val="44"/>
          <w:szCs w:val="44"/>
        </w:rPr>
      </w:pPr>
    </w:p>
    <w:p w14:paraId="7C824B0E">
      <w:pPr>
        <w:rPr>
          <w:rFonts w:hint="eastAsia" w:ascii="黑体" w:hAnsi="宋体" w:eastAsia="黑体" w:cs="黑体"/>
          <w:b/>
          <w:bCs/>
          <w:kern w:val="44"/>
          <w:sz w:val="44"/>
          <w:szCs w:val="44"/>
        </w:rPr>
      </w:pPr>
    </w:p>
    <w:p w14:paraId="147A696C">
      <w:pPr>
        <w:rPr>
          <w:rFonts w:hint="eastAsia" w:ascii="黑体" w:hAnsi="宋体" w:eastAsia="黑体" w:cs="黑体"/>
          <w:b/>
          <w:bCs/>
          <w:kern w:val="44"/>
          <w:sz w:val="44"/>
          <w:szCs w:val="44"/>
        </w:rPr>
      </w:pPr>
    </w:p>
    <w:p w14:paraId="52E2D744">
      <w:pPr>
        <w:rPr>
          <w:rFonts w:hint="eastAsia" w:ascii="黑体" w:hAnsi="宋体" w:eastAsia="黑体" w:cs="黑体"/>
          <w:b/>
          <w:bCs/>
          <w:kern w:val="44"/>
          <w:sz w:val="44"/>
          <w:szCs w:val="44"/>
        </w:rPr>
      </w:pPr>
    </w:p>
    <w:p w14:paraId="7E978A4C">
      <w:pPr>
        <w:rPr>
          <w:rFonts w:hint="eastAsia" w:ascii="黑体" w:hAnsi="宋体" w:eastAsia="黑体" w:cs="黑体"/>
          <w:b/>
          <w:bCs/>
          <w:kern w:val="44"/>
          <w:sz w:val="44"/>
          <w:szCs w:val="44"/>
        </w:rPr>
      </w:pPr>
    </w:p>
    <w:p w14:paraId="5BF0ADAF">
      <w:pPr>
        <w:pStyle w:val="2"/>
        <w:widowControl/>
        <w:numPr>
          <w:ilvl w:val="0"/>
          <w:numId w:val="0"/>
        </w:numPr>
        <w:spacing w:before="0" w:beforeAutospacing="0" w:after="0" w:afterAutospacing="0"/>
        <w:ind w:left="0" w:leftChars="0" w:firstLine="0" w:firstLineChars="0"/>
        <w:jc w:val="center"/>
        <w:outlineLvl w:val="9"/>
        <w:rPr>
          <w:rFonts w:hint="eastAsia" w:ascii="黑体" w:hAnsi="宋体" w:eastAsia="黑体" w:cs="Times New Roman"/>
          <w:kern w:val="2"/>
          <w:sz w:val="21"/>
          <w:szCs w:val="21"/>
        </w:rPr>
      </w:pPr>
      <w:bookmarkStart w:id="137" w:name="_Toc6953"/>
      <w:r>
        <w:rPr>
          <w:rFonts w:hint="eastAsia" w:ascii="黑体" w:hAnsi="宋体" w:eastAsia="黑体" w:cs="黑体"/>
          <w:b/>
          <w:bCs/>
          <w:kern w:val="44"/>
          <w:sz w:val="44"/>
          <w:szCs w:val="44"/>
        </w:rPr>
        <w:t>合同格式</w:t>
      </w:r>
      <w:bookmarkEnd w:id="137"/>
    </w:p>
    <w:p w14:paraId="1622449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b/>
          <w:bCs/>
          <w:color w:val="FF0000"/>
          <w:kern w:val="2"/>
          <w:sz w:val="21"/>
          <w:szCs w:val="21"/>
          <w:highlight w:val="none"/>
          <w:lang w:val="en-US" w:eastAsia="zh-CN" w:bidi="ar"/>
        </w:rPr>
        <w:t>（此部分仅供参考，具体以实际签订为准）</w:t>
      </w:r>
    </w:p>
    <w:p w14:paraId="32C6D4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44919E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9180E1A">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BC13EC6">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仿宋"/>
          <w:b/>
          <w:bCs w:val="0"/>
          <w:kern w:val="2"/>
          <w:sz w:val="32"/>
          <w:szCs w:val="32"/>
          <w:lang w:val="en-US" w:eastAsia="zh-CN" w:bidi="ar"/>
        </w:rPr>
        <w:t>合同编号：Ftey-sb-202408-0XX</w:t>
      </w:r>
    </w:p>
    <w:p w14:paraId="7BDB2344">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7B5A5D2C">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1954386D">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6023CF0F">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Times New Roman"/>
          <w:b/>
          <w:bCs w:val="0"/>
          <w:kern w:val="2"/>
          <w:sz w:val="21"/>
          <w:szCs w:val="21"/>
          <w:lang w:val="en-US" w:eastAsia="zh-CN" w:bidi="ar"/>
        </w:rPr>
        <w:t xml:space="preserve"> </w:t>
      </w:r>
    </w:p>
    <w:p w14:paraId="02EDA3B9">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72"/>
          <w:szCs w:val="72"/>
        </w:rPr>
      </w:pPr>
      <w:r>
        <w:rPr>
          <w:rFonts w:hint="eastAsia" w:ascii="宋体" w:hAnsi="宋体" w:eastAsia="宋体" w:cs="宋体"/>
          <w:b/>
          <w:bCs/>
          <w:kern w:val="2"/>
          <w:sz w:val="72"/>
          <w:szCs w:val="72"/>
          <w:lang w:val="en-US" w:eastAsia="zh-CN" w:bidi="ar"/>
        </w:rPr>
        <w:t>福田区卫生系统医用设备采购合同</w:t>
      </w:r>
    </w:p>
    <w:p w14:paraId="511DCED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814D1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FCEDB1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A9CD24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E3DE5F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042832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FDD660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14:paraId="379846F8">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rPr>
      </w:pPr>
      <w:r>
        <w:rPr>
          <w:rFonts w:hint="eastAsia" w:ascii="仿宋_GB2312" w:hAnsi="Times New Roman" w:eastAsia="仿宋_GB2312" w:cs="仿宋_GB2312"/>
          <w:bCs/>
          <w:kern w:val="2"/>
          <w:sz w:val="32"/>
          <w:szCs w:val="32"/>
          <w:lang w:val="en-US" w:eastAsia="zh-CN" w:bidi="ar"/>
        </w:rPr>
        <w:t>项目名称：</w:t>
      </w:r>
      <w:r>
        <w:rPr>
          <w:rFonts w:hint="eastAsia" w:ascii="仿宋_GB2312" w:hAnsi="Times New Roman" w:eastAsia="仿宋_GB2312" w:cs="仿宋_GB2312"/>
          <w:bCs/>
          <w:kern w:val="2"/>
          <w:sz w:val="32"/>
          <w:szCs w:val="32"/>
          <w:u w:val="single"/>
          <w:lang w:val="en-US" w:eastAsia="zh-CN" w:bidi="ar"/>
        </w:rPr>
        <w:t xml:space="preserve">                               </w:t>
      </w:r>
    </w:p>
    <w:p w14:paraId="5FE8EE7C">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甲    方：</w:t>
      </w:r>
      <w:r>
        <w:rPr>
          <w:rFonts w:hint="eastAsia" w:ascii="仿宋_GB2312" w:hAnsi="Times New Roman" w:eastAsia="仿宋_GB2312" w:cs="仿宋_GB2312"/>
          <w:kern w:val="2"/>
          <w:sz w:val="32"/>
          <w:szCs w:val="32"/>
          <w:u w:val="single"/>
          <w:lang w:val="en-US" w:eastAsia="zh-CN" w:bidi="ar"/>
        </w:rPr>
        <w:t xml:space="preserve">    深圳市福田区第二人民医院   </w:t>
      </w:r>
    </w:p>
    <w:p w14:paraId="391FCCB2">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乙    方：</w:t>
      </w:r>
      <w:r>
        <w:rPr>
          <w:rFonts w:hint="eastAsia" w:ascii="仿宋_GB2312" w:hAnsi="Times New Roman" w:eastAsia="仿宋_GB2312" w:cs="仿宋_GB2312"/>
          <w:bCs/>
          <w:kern w:val="2"/>
          <w:sz w:val="32"/>
          <w:szCs w:val="32"/>
          <w:u w:val="single"/>
          <w:lang w:val="en-US" w:eastAsia="zh-CN" w:bidi="ar"/>
        </w:rPr>
        <w:t xml:space="preserve">                           </w:t>
      </w:r>
      <w:r>
        <w:rPr>
          <w:rFonts w:hint="eastAsia" w:ascii="仿宋_GB2312" w:hAnsi="Times New Roman" w:eastAsia="仿宋_GB2312" w:cs="仿宋_GB2312"/>
          <w:bCs/>
          <w:color w:val="FF0000"/>
          <w:kern w:val="2"/>
          <w:sz w:val="32"/>
          <w:szCs w:val="32"/>
          <w:u w:val="single"/>
          <w:lang w:val="en-US" w:eastAsia="zh-CN" w:bidi="ar"/>
        </w:rPr>
        <w:t xml:space="preserve"> </w:t>
      </w:r>
      <w:r>
        <w:rPr>
          <w:rFonts w:hint="eastAsia" w:ascii="仿宋_GB2312" w:hAnsi="Times New Roman" w:eastAsia="仿宋_GB2312" w:cs="仿宋_GB2312"/>
          <w:bCs/>
          <w:kern w:val="2"/>
          <w:sz w:val="32"/>
          <w:szCs w:val="32"/>
          <w:u w:val="single"/>
          <w:lang w:val="en-US" w:eastAsia="zh-CN" w:bidi="ar"/>
        </w:rPr>
        <w:t xml:space="preserve">   </w:t>
      </w:r>
    </w:p>
    <w:p w14:paraId="4F59B20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07517EA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68A6130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1C86A09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7D7A78B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3A196AB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br w:type="page"/>
      </w:r>
    </w:p>
    <w:p w14:paraId="5DDCA062">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方正小标宋简体" w:hAnsi="方正小标宋简体" w:eastAsia="方正小标宋简体" w:cs="方正小标宋简体"/>
          <w:kern w:val="2"/>
          <w:sz w:val="44"/>
          <w:szCs w:val="44"/>
          <w:lang w:val="en-US" w:eastAsia="zh-CN" w:bidi="ar"/>
        </w:rPr>
        <w:t>福田区卫生系统医用设备采购合同</w:t>
      </w:r>
      <w:r>
        <w:rPr>
          <w:rFonts w:hint="eastAsia" w:ascii="宋体" w:hAnsi="宋体" w:eastAsia="宋体" w:cs="Times New Roman"/>
          <w:b/>
          <w:bCs w:val="0"/>
          <w:kern w:val="2"/>
          <w:sz w:val="24"/>
          <w:szCs w:val="24"/>
          <w:lang w:val="en-US" w:eastAsia="zh-CN" w:bidi="ar"/>
        </w:rPr>
        <w:t xml:space="preserve"> </w:t>
      </w:r>
    </w:p>
    <w:p w14:paraId="79729736">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甲方（采购人）：深圳市福田区第二人民医院</w:t>
      </w:r>
    </w:p>
    <w:p w14:paraId="3C39095F">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法定代表人/负责人或授权代表：赵蓉</w:t>
      </w:r>
    </w:p>
    <w:p w14:paraId="02A429C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地址：深圳市福田区梅林街道中康路27号</w:t>
      </w:r>
    </w:p>
    <w:p w14:paraId="314251D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联系电话：0755-83279817</w:t>
      </w:r>
    </w:p>
    <w:p w14:paraId="305A9A1D">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E127DCF">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color w:val="000000" w:themeColor="text1"/>
          <w:kern w:val="2"/>
          <w:sz w:val="28"/>
          <w:szCs w:val="28"/>
          <w:u w:val="single"/>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乙方（供应商）：</w:t>
      </w:r>
    </w:p>
    <w:p w14:paraId="52868DAA">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法定代表人或授权代表：</w:t>
      </w:r>
    </w:p>
    <w:p w14:paraId="697044E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地址：</w:t>
      </w:r>
    </w:p>
    <w:p w14:paraId="76DC256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w:t>
      </w:r>
    </w:p>
    <w:p w14:paraId="5D062FA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default" w:ascii="Times New Roman" w:hAnsi="Times New Roman" w:eastAsia="宋体" w:cs="Times New Roman"/>
          <w:kern w:val="2"/>
          <w:sz w:val="21"/>
          <w:szCs w:val="21"/>
        </w:rPr>
      </w:pPr>
      <w:r>
        <w:rPr>
          <w:rFonts w:hint="eastAsia" w:ascii="仿宋_GB2312" w:hAnsi="Times New Roman" w:eastAsia="仿宋_GB2312" w:cs="仿宋_GB2312"/>
          <w:color w:val="000000"/>
          <w:kern w:val="2"/>
          <w:sz w:val="28"/>
          <w:szCs w:val="28"/>
          <w:lang w:val="en-US" w:eastAsia="zh-CN" w:bidi="ar"/>
        </w:rPr>
        <w:t>甲、乙双方</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根据 2024年XX月XX日“XXXX”（招标编号：XXXX）采购项目的结果，按照《中华人民共和国民法典》《中华人民共和国</w:t>
      </w:r>
      <w:r>
        <w:rPr>
          <w:rFonts w:hint="eastAsia" w:ascii="仿宋_GB2312" w:hAnsi="Times New Roman" w:eastAsia="仿宋_GB2312" w:cs="仿宋_GB2312"/>
          <w:kern w:val="2"/>
          <w:sz w:val="28"/>
          <w:szCs w:val="28"/>
          <w:lang w:val="en-US" w:eastAsia="zh-CN" w:bidi="ar"/>
        </w:rPr>
        <w:t>政府采购法》《深圳经济特区政府采购条例》《深圳经济特区政府采购条例实施细则》等相关法律法规的规定，经双方协商一致，达成以下合同条款：</w:t>
      </w:r>
    </w:p>
    <w:p w14:paraId="5E99CF32">
      <w:pPr>
        <w:keepNext w:val="0"/>
        <w:keepLines w:val="0"/>
        <w:widowControl w:val="0"/>
        <w:suppressLineNumbers w:val="0"/>
        <w:adjustRightInd w:val="0"/>
        <w:snapToGrid w:val="0"/>
        <w:spacing w:before="0" w:beforeAutospacing="0" w:after="0" w:afterAutospacing="0" w:line="560" w:lineRule="exact"/>
        <w:ind w:left="0" w:leftChars="0" w:right="0" w:right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第一条  合同标的</w:t>
      </w:r>
    </w:p>
    <w:tbl>
      <w:tblPr>
        <w:tblStyle w:val="16"/>
        <w:tblW w:w="63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2"/>
        <w:gridCol w:w="1001"/>
        <w:gridCol w:w="870"/>
        <w:gridCol w:w="1083"/>
        <w:gridCol w:w="1116"/>
        <w:gridCol w:w="658"/>
        <w:gridCol w:w="794"/>
        <w:gridCol w:w="554"/>
        <w:gridCol w:w="1275"/>
        <w:gridCol w:w="1162"/>
        <w:gridCol w:w="465"/>
        <w:gridCol w:w="474"/>
        <w:gridCol w:w="801"/>
      </w:tblGrid>
      <w:tr w14:paraId="3FD0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1F0EB10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序号</w:t>
            </w:r>
          </w:p>
        </w:tc>
        <w:tc>
          <w:tcPr>
            <w:tcW w:w="1058" w:type="dxa"/>
            <w:tcBorders>
              <w:top w:val="single" w:color="auto" w:sz="4" w:space="0"/>
              <w:left w:val="nil"/>
              <w:bottom w:val="single" w:color="auto" w:sz="4" w:space="0"/>
              <w:right w:val="single" w:color="auto" w:sz="4" w:space="0"/>
            </w:tcBorders>
            <w:shd w:val="clear" w:color="auto" w:fill="auto"/>
            <w:vAlign w:val="center"/>
          </w:tcPr>
          <w:p w14:paraId="78A0430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w:t>
            </w:r>
          </w:p>
          <w:p w14:paraId="50AC90B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名称</w:t>
            </w:r>
          </w:p>
        </w:tc>
        <w:tc>
          <w:tcPr>
            <w:tcW w:w="919" w:type="dxa"/>
            <w:tcBorders>
              <w:top w:val="single" w:color="auto" w:sz="4" w:space="0"/>
              <w:left w:val="nil"/>
              <w:bottom w:val="single" w:color="auto" w:sz="4" w:space="0"/>
              <w:right w:val="single" w:color="auto" w:sz="4" w:space="0"/>
            </w:tcBorders>
            <w:shd w:val="clear" w:color="auto" w:fill="auto"/>
            <w:vAlign w:val="center"/>
          </w:tcPr>
          <w:p w14:paraId="07CCF94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产地</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品牌</w:t>
            </w:r>
          </w:p>
        </w:tc>
        <w:tc>
          <w:tcPr>
            <w:tcW w:w="1144" w:type="dxa"/>
            <w:tcBorders>
              <w:top w:val="single" w:color="auto" w:sz="4" w:space="0"/>
              <w:left w:val="nil"/>
              <w:bottom w:val="single" w:color="auto" w:sz="4" w:space="0"/>
              <w:right w:val="single" w:color="auto" w:sz="4" w:space="0"/>
            </w:tcBorders>
            <w:shd w:val="clear" w:color="auto" w:fill="auto"/>
            <w:vAlign w:val="center"/>
          </w:tcPr>
          <w:p w14:paraId="36E0222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规格型号</w:t>
            </w:r>
          </w:p>
        </w:tc>
        <w:tc>
          <w:tcPr>
            <w:tcW w:w="1179" w:type="dxa"/>
            <w:tcBorders>
              <w:top w:val="single" w:color="auto" w:sz="4" w:space="0"/>
              <w:left w:val="nil"/>
              <w:bottom w:val="single" w:color="auto" w:sz="4" w:space="0"/>
              <w:right w:val="single" w:color="auto" w:sz="4" w:space="0"/>
            </w:tcBorders>
            <w:shd w:val="clear" w:color="auto" w:fill="auto"/>
            <w:vAlign w:val="center"/>
          </w:tcPr>
          <w:p w14:paraId="06BCE06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注册证名</w:t>
            </w:r>
          </w:p>
        </w:tc>
        <w:tc>
          <w:tcPr>
            <w:tcW w:w="695" w:type="dxa"/>
            <w:tcBorders>
              <w:top w:val="single" w:color="auto" w:sz="4" w:space="0"/>
              <w:left w:val="nil"/>
              <w:bottom w:val="single" w:color="auto" w:sz="4" w:space="0"/>
              <w:right w:val="single" w:color="auto" w:sz="4" w:space="0"/>
            </w:tcBorders>
            <w:shd w:val="clear" w:color="auto" w:fill="auto"/>
            <w:vAlign w:val="center"/>
          </w:tcPr>
          <w:p w14:paraId="48A7958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注册证号</w:t>
            </w:r>
          </w:p>
        </w:tc>
        <w:tc>
          <w:tcPr>
            <w:tcW w:w="839" w:type="dxa"/>
            <w:tcBorders>
              <w:top w:val="single" w:color="auto" w:sz="4" w:space="0"/>
              <w:left w:val="nil"/>
              <w:bottom w:val="single" w:color="auto" w:sz="4" w:space="0"/>
              <w:right w:val="single" w:color="auto" w:sz="4" w:space="0"/>
            </w:tcBorders>
            <w:shd w:val="clear" w:color="auto" w:fill="auto"/>
            <w:vAlign w:val="center"/>
          </w:tcPr>
          <w:p w14:paraId="3193F87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单位</w:t>
            </w:r>
          </w:p>
        </w:tc>
        <w:tc>
          <w:tcPr>
            <w:tcW w:w="585" w:type="dxa"/>
            <w:tcBorders>
              <w:top w:val="single" w:color="auto" w:sz="4" w:space="0"/>
              <w:left w:val="nil"/>
              <w:bottom w:val="single" w:color="auto" w:sz="4" w:space="0"/>
              <w:right w:val="single" w:color="auto" w:sz="4" w:space="0"/>
            </w:tcBorders>
            <w:shd w:val="clear" w:color="auto" w:fill="auto"/>
            <w:vAlign w:val="center"/>
          </w:tcPr>
          <w:p w14:paraId="2F52B8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数量</w:t>
            </w:r>
          </w:p>
        </w:tc>
        <w:tc>
          <w:tcPr>
            <w:tcW w:w="1347" w:type="dxa"/>
            <w:tcBorders>
              <w:top w:val="single" w:color="auto" w:sz="4" w:space="0"/>
              <w:left w:val="nil"/>
              <w:bottom w:val="single" w:color="auto" w:sz="4" w:space="0"/>
              <w:right w:val="single" w:color="auto" w:sz="4" w:space="0"/>
            </w:tcBorders>
            <w:shd w:val="clear" w:color="auto" w:fill="auto"/>
            <w:vAlign w:val="center"/>
          </w:tcPr>
          <w:p w14:paraId="6DB72FA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单价（元）</w:t>
            </w:r>
          </w:p>
        </w:tc>
        <w:tc>
          <w:tcPr>
            <w:tcW w:w="1228" w:type="dxa"/>
            <w:tcBorders>
              <w:top w:val="single" w:color="auto" w:sz="4" w:space="0"/>
              <w:left w:val="nil"/>
              <w:bottom w:val="single" w:color="auto" w:sz="4" w:space="0"/>
              <w:right w:val="single" w:color="auto" w:sz="4" w:space="0"/>
            </w:tcBorders>
            <w:shd w:val="clear" w:color="auto" w:fill="auto"/>
            <w:vAlign w:val="center"/>
          </w:tcPr>
          <w:p w14:paraId="5793F15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总价（元）</w:t>
            </w:r>
          </w:p>
        </w:tc>
        <w:tc>
          <w:tcPr>
            <w:tcW w:w="491" w:type="dxa"/>
            <w:tcBorders>
              <w:top w:val="single" w:color="auto" w:sz="4" w:space="0"/>
              <w:left w:val="nil"/>
              <w:bottom w:val="single" w:color="auto" w:sz="4" w:space="0"/>
              <w:right w:val="single" w:color="auto" w:sz="4" w:space="0"/>
            </w:tcBorders>
            <w:shd w:val="clear" w:color="auto" w:fill="auto"/>
            <w:vAlign w:val="center"/>
          </w:tcPr>
          <w:p w14:paraId="54EF476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随机配件</w:t>
            </w:r>
          </w:p>
        </w:tc>
        <w:tc>
          <w:tcPr>
            <w:tcW w:w="501" w:type="dxa"/>
            <w:tcBorders>
              <w:top w:val="single" w:color="auto" w:sz="4" w:space="0"/>
              <w:left w:val="nil"/>
              <w:bottom w:val="single" w:color="auto" w:sz="4" w:space="0"/>
              <w:right w:val="single" w:color="auto" w:sz="4" w:space="0"/>
            </w:tcBorders>
            <w:shd w:val="clear" w:color="auto" w:fill="auto"/>
            <w:vAlign w:val="center"/>
          </w:tcPr>
          <w:p w14:paraId="3AF54D1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使用科室</w:t>
            </w:r>
          </w:p>
        </w:tc>
        <w:tc>
          <w:tcPr>
            <w:tcW w:w="846" w:type="dxa"/>
            <w:tcBorders>
              <w:top w:val="single" w:color="auto" w:sz="4" w:space="0"/>
              <w:left w:val="nil"/>
              <w:bottom w:val="single" w:color="auto" w:sz="4" w:space="0"/>
              <w:right w:val="single" w:color="auto" w:sz="4" w:space="0"/>
            </w:tcBorders>
            <w:shd w:val="clear" w:color="auto" w:fill="auto"/>
            <w:vAlign w:val="center"/>
          </w:tcPr>
          <w:p w14:paraId="058F805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设备用途</w:t>
            </w:r>
          </w:p>
        </w:tc>
      </w:tr>
      <w:tr w14:paraId="6BFB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2D8498A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1058" w:type="dxa"/>
            <w:tcBorders>
              <w:top w:val="single" w:color="auto" w:sz="4" w:space="0"/>
              <w:left w:val="nil"/>
              <w:bottom w:val="single" w:color="auto" w:sz="4" w:space="0"/>
              <w:right w:val="single" w:color="auto" w:sz="4" w:space="0"/>
            </w:tcBorders>
            <w:shd w:val="clear" w:color="auto" w:fill="auto"/>
            <w:vAlign w:val="center"/>
          </w:tcPr>
          <w:p w14:paraId="2DC1999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28E6FA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44" w:type="dxa"/>
            <w:tcBorders>
              <w:top w:val="single" w:color="auto" w:sz="4" w:space="0"/>
              <w:left w:val="nil"/>
              <w:bottom w:val="single" w:color="auto" w:sz="4" w:space="0"/>
              <w:right w:val="single" w:color="auto" w:sz="4" w:space="0"/>
            </w:tcBorders>
            <w:shd w:val="clear" w:color="auto" w:fill="auto"/>
            <w:vAlign w:val="center"/>
          </w:tcPr>
          <w:p w14:paraId="10DCF5B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79" w:type="dxa"/>
            <w:tcBorders>
              <w:top w:val="single" w:color="auto" w:sz="4" w:space="0"/>
              <w:left w:val="nil"/>
              <w:bottom w:val="single" w:color="auto" w:sz="4" w:space="0"/>
              <w:right w:val="single" w:color="auto" w:sz="4" w:space="0"/>
            </w:tcBorders>
            <w:shd w:val="clear" w:color="auto" w:fill="auto"/>
            <w:vAlign w:val="center"/>
          </w:tcPr>
          <w:p w14:paraId="02ACD99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695" w:type="dxa"/>
            <w:tcBorders>
              <w:top w:val="single" w:color="auto" w:sz="4" w:space="0"/>
              <w:left w:val="nil"/>
              <w:bottom w:val="single" w:color="auto" w:sz="4" w:space="0"/>
              <w:right w:val="single" w:color="auto" w:sz="4" w:space="0"/>
            </w:tcBorders>
            <w:shd w:val="clear" w:color="auto" w:fill="auto"/>
            <w:vAlign w:val="center"/>
          </w:tcPr>
          <w:p w14:paraId="5C20AFF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839" w:type="dxa"/>
            <w:tcBorders>
              <w:top w:val="single" w:color="auto" w:sz="4" w:space="0"/>
              <w:left w:val="nil"/>
              <w:bottom w:val="single" w:color="auto" w:sz="4" w:space="0"/>
              <w:right w:val="single" w:color="auto" w:sz="4" w:space="0"/>
            </w:tcBorders>
            <w:shd w:val="clear" w:color="auto" w:fill="auto"/>
            <w:vAlign w:val="center"/>
          </w:tcPr>
          <w:p w14:paraId="3776F7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6A1BBB9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2B32764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14:paraId="644A5CF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491" w:type="dxa"/>
            <w:tcBorders>
              <w:top w:val="single" w:color="auto" w:sz="4" w:space="0"/>
              <w:left w:val="nil"/>
              <w:bottom w:val="single" w:color="auto" w:sz="4" w:space="0"/>
              <w:right w:val="single" w:color="auto" w:sz="4" w:space="0"/>
            </w:tcBorders>
            <w:shd w:val="clear" w:color="auto" w:fill="auto"/>
            <w:vAlign w:val="center"/>
          </w:tcPr>
          <w:p w14:paraId="5CBC594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r>
              <w:rPr>
                <w:rFonts w:hint="eastAsia" w:ascii="宋体" w:hAnsi="宋体" w:eastAsia="宋体" w:cs="宋体"/>
                <w:kern w:val="2"/>
                <w:sz w:val="21"/>
                <w:szCs w:val="21"/>
                <w:lang w:val="en-US" w:eastAsia="zh-CN" w:bidi="ar"/>
              </w:rPr>
              <w:t>详见配置清单</w:t>
            </w:r>
          </w:p>
        </w:tc>
        <w:tc>
          <w:tcPr>
            <w:tcW w:w="501" w:type="dxa"/>
            <w:tcBorders>
              <w:top w:val="single" w:color="auto" w:sz="4" w:space="0"/>
              <w:left w:val="nil"/>
              <w:bottom w:val="single" w:color="auto" w:sz="4" w:space="0"/>
              <w:right w:val="single" w:color="auto" w:sz="4" w:space="0"/>
            </w:tcBorders>
            <w:shd w:val="clear" w:color="auto" w:fill="auto"/>
            <w:vAlign w:val="top"/>
          </w:tcPr>
          <w:p w14:paraId="69888EB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p>
        </w:tc>
        <w:tc>
          <w:tcPr>
            <w:tcW w:w="846" w:type="dxa"/>
            <w:tcBorders>
              <w:top w:val="single" w:color="auto" w:sz="4" w:space="0"/>
              <w:left w:val="nil"/>
              <w:bottom w:val="single" w:color="auto" w:sz="4" w:space="0"/>
              <w:right w:val="single" w:color="auto" w:sz="4" w:space="0"/>
            </w:tcBorders>
            <w:shd w:val="clear" w:color="auto" w:fill="auto"/>
            <w:vAlign w:val="top"/>
          </w:tcPr>
          <w:p w14:paraId="7AACBBB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2F048FA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55CF718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r>
      <w:tr w14:paraId="3378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7" w:hRule="atLeast"/>
          <w:jc w:val="center"/>
        </w:trPr>
        <w:tc>
          <w:tcPr>
            <w:tcW w:w="11373"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46583CD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合计人民币：</w:t>
            </w:r>
            <w:r>
              <w:rPr>
                <w:rFonts w:hint="default" w:ascii="Times New Roman" w:hAnsi="Times New Roman" w:eastAsia="宋体" w:cs="Times New Roman"/>
                <w:kern w:val="2"/>
                <w:sz w:val="21"/>
                <w:szCs w:val="21"/>
                <w:lang w:val="en-US" w:eastAsia="zh-CN" w:bidi="ar"/>
              </w:rPr>
              <w:t>XXXX</w:t>
            </w:r>
            <w:r>
              <w:rPr>
                <w:rFonts w:hint="eastAsia" w:ascii="宋体" w:hAnsi="宋体" w:eastAsia="宋体" w:cs="宋体"/>
                <w:kern w:val="2"/>
                <w:sz w:val="21"/>
                <w:szCs w:val="21"/>
                <w:lang w:val="en-US" w:eastAsia="zh-CN" w:bidi="ar"/>
              </w:rPr>
              <w:t xml:space="preserve">元整（￥ </w:t>
            </w:r>
            <w:r>
              <w:rPr>
                <w:rFonts w:hint="default" w:ascii="Times New Roman" w:hAnsi="Times New Roman" w:eastAsia="宋体" w:cs="Times New Roman"/>
                <w:kern w:val="2"/>
                <w:sz w:val="21"/>
                <w:szCs w:val="21"/>
                <w:lang w:val="en-US" w:eastAsia="zh-CN" w:bidi="ar"/>
              </w:rPr>
              <w:t>XXXX.00</w:t>
            </w:r>
            <w:r>
              <w:rPr>
                <w:rFonts w:hint="eastAsia" w:ascii="宋体" w:hAnsi="宋体" w:eastAsia="宋体" w:cs="宋体"/>
                <w:kern w:val="2"/>
                <w:sz w:val="21"/>
                <w:szCs w:val="21"/>
                <w:lang w:val="en-US" w:eastAsia="zh-CN" w:bidi="ar"/>
              </w:rPr>
              <w:t>元）</w:t>
            </w:r>
          </w:p>
        </w:tc>
      </w:tr>
    </w:tbl>
    <w:p w14:paraId="34CBD8B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 xml:space="preserve"> </w:t>
      </w:r>
    </w:p>
    <w:p w14:paraId="55128311">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第二条 合同价款</w:t>
      </w:r>
    </w:p>
    <w:p w14:paraId="2C6C2F13">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1.本合同项下甲乙双方买卖</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设备含税总价款为：大写人民币</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XXXX</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元整（￥</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 xml:space="preserve"> XXXX.00元</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）。此价款为甲方履行本合同义务而产生的一切费用，除此以外甲方不再对乙方承担任何支付价款或以外费用的责任。此价款包括但不限于报装费、设计费、设备</w:t>
      </w:r>
      <w:r>
        <w:rPr>
          <w:rFonts w:hint="eastAsia" w:ascii="仿宋_GB2312" w:hAnsi="Times New Roman" w:eastAsia="仿宋_GB2312" w:cs="仿宋_GB2312"/>
          <w:kern w:val="2"/>
          <w:sz w:val="28"/>
          <w:szCs w:val="28"/>
          <w:lang w:val="en-US" w:eastAsia="zh-CN" w:bidi="ar"/>
        </w:rPr>
        <w:t>制造费、包装费、仓储费、运输费、安装调试费、验收和保修期届满前备品备件费用以及与本合同设备及服务相关的税和费。合同总价款不因通货膨胀、市场行情等市场价格的变动而变动，但本合同另有约定的除外。</w:t>
      </w:r>
    </w:p>
    <w:p w14:paraId="00F9F27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
          <w:bCs w:val="0"/>
          <w:kern w:val="2"/>
          <w:sz w:val="28"/>
          <w:szCs w:val="28"/>
        </w:rPr>
      </w:pPr>
      <w:r>
        <w:rPr>
          <w:rFonts w:hint="eastAsia" w:ascii="仿宋_GB2312" w:hAnsi="Times New Roman" w:eastAsia="仿宋_GB2312" w:cs="仿宋_GB2312"/>
          <w:kern w:val="2"/>
          <w:sz w:val="28"/>
          <w:szCs w:val="28"/>
          <w:lang w:val="en-US" w:eastAsia="zh-CN" w:bidi="ar"/>
        </w:rPr>
        <w:t>2.合同价款的支付方式（双方应共同选择一项，并在所选项□内打“√”）：</w:t>
      </w:r>
    </w:p>
    <w:p w14:paraId="64AF812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一次性支付</w:t>
      </w:r>
    </w:p>
    <w:p w14:paraId="249405F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货到安装、调试验收合格后，乙方应按本合同全额价款出具正规税务发票，甲方财务科收到乙方发票等相关资料后</w:t>
      </w:r>
      <w:r>
        <w:rPr>
          <w:rFonts w:hint="eastAsia" w:ascii="仿宋_GB2312" w:hAnsi="Times New Roman" w:eastAsia="仿宋_GB2312" w:cs="仿宋_GB2312"/>
          <w:color w:val="000000"/>
          <w:kern w:val="2"/>
          <w:sz w:val="28"/>
          <w:szCs w:val="28"/>
          <w:u w:val="single"/>
          <w:lang w:val="en-US" w:eastAsia="zh-CN" w:bidi="ar"/>
        </w:rPr>
        <w:t>10</w:t>
      </w:r>
      <w:r>
        <w:rPr>
          <w:rFonts w:hint="eastAsia" w:ascii="仿宋_GB2312" w:hAnsi="Times New Roman" w:eastAsia="仿宋_GB2312" w:cs="仿宋_GB2312"/>
          <w:color w:val="000000"/>
          <w:kern w:val="2"/>
          <w:sz w:val="28"/>
          <w:szCs w:val="28"/>
          <w:lang w:val="en-US" w:eastAsia="zh-CN" w:bidi="ar"/>
        </w:rPr>
        <w:t>个工作日内向乙方支付合同全款。</w:t>
      </w:r>
    </w:p>
    <w:p w14:paraId="66857BA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分笔支付</w:t>
      </w:r>
    </w:p>
    <w:p w14:paraId="65E4F97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且财政资金下达后，乙方应按本合同全额价款出具正规税务发票，甲方财务科收到乙方发票等相关资料后15日内向乙方支付合同价款的90%；若财政当次下达资金未达合同价款的90%，则以当次实际下达资金为准，直至付款至合同价款的90%。货款余额（合同价款的10%）在项目结算并下达尾款资金后支付。</w:t>
      </w:r>
    </w:p>
    <w:p w14:paraId="7F6EF68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3.乙方指定的收款账户：</w:t>
      </w:r>
    </w:p>
    <w:p w14:paraId="1EA9958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户名：</w:t>
      </w:r>
    </w:p>
    <w:p w14:paraId="0832B23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银行账号</w:t>
      </w:r>
      <w:r>
        <w:rPr>
          <w:rFonts w:hint="eastAsia" w:ascii="仿宋_GB2312" w:hAnsi="Times New Roman" w:eastAsia="仿宋_GB2312" w:cs="仿宋_GB2312"/>
          <w:kern w:val="2"/>
          <w:sz w:val="28"/>
          <w:szCs w:val="28"/>
          <w:lang w:val="en-US" w:eastAsia="zh-CN" w:bidi="ar"/>
        </w:rPr>
        <w:t>：</w:t>
      </w:r>
    </w:p>
    <w:p w14:paraId="4660AF9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开户行：</w:t>
      </w:r>
    </w:p>
    <w:p w14:paraId="1AAFC1EE">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第三条  质量标准</w:t>
      </w:r>
    </w:p>
    <w:p w14:paraId="50F884C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1.乙方在本合同项下向甲方提供的</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质量和技术规格应符合以下标准：</w:t>
      </w:r>
    </w:p>
    <w:p w14:paraId="527B30E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（1）项目的中标通知书、招标文件、答疑及补充通知；</w:t>
      </w:r>
    </w:p>
    <w:p w14:paraId="0F52D3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（2）乙方的投标文件；</w:t>
      </w:r>
    </w:p>
    <w:p w14:paraId="32546F1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kern w:val="2"/>
          <w:sz w:val="28"/>
          <w:szCs w:val="28"/>
          <w:lang w:val="en-US" w:eastAsia="zh-CN" w:bidi="ar"/>
        </w:rPr>
        <w:t>（3）本合同附件</w:t>
      </w:r>
      <w:r>
        <w:rPr>
          <w:rFonts w:hint="eastAsia" w:ascii="仿宋_GB2312" w:hAnsi="Times New Roman" w:eastAsia="仿宋_GB2312" w:cs="仿宋_GB2312"/>
          <w:bCs/>
          <w:kern w:val="2"/>
          <w:sz w:val="28"/>
          <w:szCs w:val="28"/>
          <w:lang w:val="en-US" w:eastAsia="zh-CN" w:bidi="ar"/>
        </w:rPr>
        <w:t>的约定；</w:t>
      </w:r>
    </w:p>
    <w:p w14:paraId="3011BCE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（4）国家关于该类设备的设计和制造生产标准；</w:t>
      </w:r>
    </w:p>
    <w:p w14:paraId="59F70D4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（5）国家关于该类设备质量的行业标准；</w:t>
      </w:r>
    </w:p>
    <w:p w14:paraId="6855ACB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（6）符合国家有关安全、环保等规范和要求（乙方须提供设备测验报告）；</w:t>
      </w:r>
    </w:p>
    <w:p w14:paraId="76C7E72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（7）进口设备具有进口注册证书、《入境设备检验检疫证明》等中国海关商检合格证明</w:t>
      </w:r>
    </w:p>
    <w:p w14:paraId="475DF8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设备注册证名、产地品牌、规格型号应与在行政部门登记的注册证描述一致并在有效期内。消毒设备在注册证号栏中分别填入注册证号、卫生许可证号、卫生许可证批号。合同设备如属《中华人民共和国进口计量器具型式审查目录》或《中华人民共和国强制检定的工作计量器具目录》内的，乙方需提供计量合格证，所有上述证照办理的费用均包含在合同总价内。</w:t>
      </w:r>
    </w:p>
    <w:p w14:paraId="127CB9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3.如合同设备属于国家规定的强检设备，由乙方负责完成首次计量强制检定，验收前乙方必须附上计量检定合格报告。</w:t>
      </w:r>
    </w:p>
    <w:p w14:paraId="632E43A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w:t>
      </w:r>
      <w:r>
        <w:rPr>
          <w:rFonts w:hint="eastAsia" w:ascii="仿宋_GB2312" w:hAnsi="Times New Roman" w:eastAsia="仿宋_GB2312" w:cs="仿宋_GB2312"/>
          <w:bCs/>
          <w:color w:val="000000"/>
          <w:kern w:val="2"/>
          <w:sz w:val="28"/>
          <w:szCs w:val="28"/>
          <w:lang w:val="en-US" w:eastAsia="zh-CN" w:bidi="ar"/>
        </w:rPr>
        <w:t>如合同设备需要甲方信息端口，则由乙方负责甲方信息系统端口连接的安装工作及费用（包含信息系统方的接口开发费）。甲方协助乙方完成信息系统安装，确保设备稳定运行。</w:t>
      </w:r>
    </w:p>
    <w:p w14:paraId="2E910D0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 </w:t>
      </w:r>
    </w:p>
    <w:p w14:paraId="28EAC693">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第四条  质量保证及售后服务</w:t>
      </w:r>
    </w:p>
    <w:p w14:paraId="4A74E58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FF0000"/>
          <w:kern w:val="2"/>
          <w:sz w:val="28"/>
          <w:szCs w:val="28"/>
        </w:rPr>
      </w:pPr>
      <w:r>
        <w:rPr>
          <w:rFonts w:hint="eastAsia" w:ascii="仿宋_GB2312" w:hAnsi="Times New Roman" w:eastAsia="仿宋_GB2312" w:cs="仿宋_GB2312"/>
          <w:bCs/>
          <w:kern w:val="2"/>
          <w:sz w:val="28"/>
          <w:szCs w:val="28"/>
          <w:lang w:val="en-US" w:eastAsia="zh-CN" w:bidi="ar"/>
        </w:rPr>
        <w:t>1.乙方应保证设备是全新、未使用过的原装合格正品（包括零部件），设备到达甲方安装现场时外包装应完好无损，最新生产批次且经检验合格的产品。</w:t>
      </w:r>
    </w:p>
    <w:p w14:paraId="48CE813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2.乙方对本合同设备提供质</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保期</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3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年（</w:t>
      </w:r>
      <w:r>
        <w:rPr>
          <w:rFonts w:hint="eastAsia" w:ascii="仿宋_GB2312" w:hAnsi="Times New Roman" w:eastAsia="仿宋_GB2312" w:cs="仿宋_GB2312"/>
          <w:bCs/>
          <w:kern w:val="2"/>
          <w:sz w:val="28"/>
          <w:szCs w:val="28"/>
          <w:lang w:val="en-US" w:eastAsia="zh-CN" w:bidi="ar"/>
        </w:rPr>
        <w:t>自验收合格之日起算），终身维护。质保期内免费提供每年2次定期保养。设备出现故障时乙方应在接到甲方通知时4小时响应，24小时内到位，若乙方未能在24小时内消除障碍，甲方有权聘请第三方消除障碍，</w:t>
      </w:r>
      <w:r>
        <w:rPr>
          <w:rFonts w:hint="eastAsia" w:ascii="仿宋_GB2312" w:hAnsi="Times New Roman" w:eastAsia="仿宋_GB2312" w:cs="仿宋_GB2312"/>
          <w:kern w:val="2"/>
          <w:sz w:val="28"/>
          <w:szCs w:val="28"/>
          <w:lang w:val="en-US" w:eastAsia="zh-CN" w:bidi="ar"/>
        </w:rPr>
        <w:t>所发生的费用由乙方全部承担，乙方应于故障发生后</w:t>
      </w:r>
      <w:r>
        <w:rPr>
          <w:rFonts w:hint="eastAsia" w:ascii="仿宋_GB2312" w:hAnsi="Times New Roman" w:eastAsia="仿宋_GB2312" w:cs="仿宋_GB2312"/>
          <w:bCs/>
          <w:kern w:val="2"/>
          <w:sz w:val="28"/>
          <w:szCs w:val="28"/>
          <w:u w:val="single"/>
          <w:lang w:val="en-US" w:eastAsia="zh-CN" w:bidi="ar"/>
        </w:rPr>
        <w:t xml:space="preserve"> 15 </w:t>
      </w:r>
      <w:r>
        <w:rPr>
          <w:rFonts w:hint="eastAsia" w:ascii="仿宋_GB2312" w:hAnsi="Times New Roman" w:eastAsia="仿宋_GB2312" w:cs="仿宋_GB2312"/>
          <w:kern w:val="2"/>
          <w:sz w:val="28"/>
          <w:szCs w:val="28"/>
          <w:lang w:val="en-US" w:eastAsia="zh-CN" w:bidi="ar"/>
        </w:rPr>
        <w:t>日内支付。</w:t>
      </w:r>
    </w:p>
    <w:p w14:paraId="3867D0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3.质保期内非因甲方人为原因而出现的质量问题，由乙方负责包修、包换或者包退，并承担修理、调换或退货的实际费用。乙方不能修理或不能调换，按不能交货处理。</w:t>
      </w:r>
    </w:p>
    <w:p w14:paraId="2CF296AD">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必须提供由设备生产原厂签署承诺的合法有效的保修、维修证明（售后服务承诺函，盖厂家公章），厂家签署承诺的保修期应与投标供应商承诺的保修期一致；必须由原厂工程师及技术人员直接提供保修、维修、免费技术培训服务。</w:t>
      </w:r>
    </w:p>
    <w:p w14:paraId="00ADCC3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5.保修期届满后，乙方应按其在深圳地区同类产品的优惠价格提供维保服务，具体设备维护事宜由双方另行协商。</w:t>
      </w:r>
    </w:p>
    <w:p w14:paraId="41941F25">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第五条  进口设备手续（进口设备方使用该条款）</w:t>
      </w:r>
    </w:p>
    <w:p w14:paraId="214316D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乙方提供的进口设备必须具有合法的进口手续，并负责办理设备进口报关等手续。</w:t>
      </w:r>
    </w:p>
    <w:p w14:paraId="23575CE2">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第六条  包装</w:t>
      </w:r>
    </w:p>
    <w:p w14:paraId="3598D3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设备运输至本合同指定的交货地点所需要的包装，包装费用由乙方承担，包装物不返还，归甲方所有。设备的包装均应有良好的防湿、防锈、防潮、防雨、防腐及防碰撞的措施，符合产品标准关于包装的要求。凡由于包装问题造成的损失和由此产生的费用均由乙方承担。</w:t>
      </w:r>
    </w:p>
    <w:p w14:paraId="02E7C3D4">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第七条  交付</w:t>
      </w:r>
    </w:p>
    <w:p w14:paraId="24E4037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1.交货时间：合同签订并接甲方</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通知后</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w:t>
      </w:r>
    </w:p>
    <w:p w14:paraId="503DD4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2.交货地点：运输及卸车搬至甲方指定地点。运输费用及风险由乙方承担。在乙方将设备送至该交货地点前，甲方有权单方变更该交货地点，但应提前</w:t>
      </w:r>
      <w:r>
        <w:rPr>
          <w:rFonts w:hint="eastAsia" w:ascii="仿宋_GB2312" w:hAnsi="Times New Roman" w:eastAsia="仿宋_GB2312" w:cs="仿宋_GB2312"/>
          <w:bCs/>
          <w:kern w:val="2"/>
          <w:sz w:val="28"/>
          <w:szCs w:val="28"/>
          <w:u w:val="single"/>
          <w:lang w:val="en-US" w:eastAsia="zh-CN" w:bidi="ar"/>
        </w:rPr>
        <w:t xml:space="preserve"> 1 </w:t>
      </w:r>
      <w:r>
        <w:rPr>
          <w:rFonts w:hint="eastAsia" w:ascii="仿宋_GB2312" w:hAnsi="Times New Roman" w:eastAsia="仿宋_GB2312" w:cs="仿宋_GB2312"/>
          <w:bCs/>
          <w:kern w:val="2"/>
          <w:sz w:val="28"/>
          <w:szCs w:val="28"/>
          <w:lang w:val="en-US" w:eastAsia="zh-CN" w:bidi="ar"/>
        </w:rPr>
        <w:t>日通知乙方，乙方应无条件服从，因此产生的费用由乙方承担。</w:t>
      </w:r>
    </w:p>
    <w:p w14:paraId="1D62D960">
      <w:pPr>
        <w:pStyle w:val="14"/>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Calibri" w:eastAsia="仿宋_GB2312" w:cs="仿宋_GB2312"/>
          <w:bCs/>
          <w:kern w:val="2"/>
          <w:sz w:val="28"/>
          <w:szCs w:val="28"/>
          <w:lang w:val="en-US" w:eastAsia="zh-CN" w:bidi="ar"/>
        </w:rPr>
        <w:t>3.乙方应随设备向甲方交付设备中文版《使用说明书》等与本合同设备使用有关的所有资料。如为进口设备，乙方还应提供进口设备原产地证、检测报告、检验检疫证明、进口报关手续等资料。</w:t>
      </w:r>
    </w:p>
    <w:p w14:paraId="2780DE8F">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第八条  安装调试</w:t>
      </w:r>
    </w:p>
    <w:p w14:paraId="341EA76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000000" w:themeColor="text1"/>
          <w:kern w:val="2"/>
          <w:sz w:val="28"/>
          <w:szCs w:val="28"/>
          <w14:textFill>
            <w14:solidFill>
              <w14:schemeClr w14:val="tx1"/>
            </w14:solidFill>
          </w14:textFill>
        </w:rPr>
      </w:pPr>
      <w:r>
        <w:rPr>
          <w:rFonts w:hint="eastAsia" w:ascii="仿宋_GB2312" w:hAnsi="Times New Roman" w:eastAsia="仿宋_GB2312" w:cs="仿宋_GB2312"/>
          <w:bCs/>
          <w:kern w:val="2"/>
          <w:sz w:val="28"/>
          <w:szCs w:val="28"/>
          <w:lang w:val="en-US" w:eastAsia="zh-CN" w:bidi="ar"/>
        </w:rPr>
        <w:t>1.安装调试时间</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：自交货</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日内完成。</w:t>
      </w:r>
    </w:p>
    <w:p w14:paraId="5F47CA3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2.乙方负责合同项下设备的安装、调</w:t>
      </w:r>
      <w:r>
        <w:rPr>
          <w:rFonts w:hint="eastAsia" w:ascii="仿宋_GB2312" w:hAnsi="Times New Roman" w:eastAsia="仿宋_GB2312" w:cs="仿宋_GB2312"/>
          <w:bCs/>
          <w:kern w:val="2"/>
          <w:sz w:val="28"/>
          <w:szCs w:val="28"/>
          <w:lang w:val="en-US" w:eastAsia="zh-CN" w:bidi="ar"/>
        </w:rPr>
        <w:t>试，一切费用及责任由乙方承担。</w:t>
      </w:r>
    </w:p>
    <w:p w14:paraId="0950F28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设备安装需施工的，乙方应在合同签订前提供设备安装施工图纸，甲方与乙方共同签字确定安装场地施工方案，确保安装场地（包括消防、环保等）适合设备安装，如因乙方延迟提供材料或未及时签字确认方案等致设备无法如期安装所造成的损失由乙方承担。安装前乙方通知甲方使用科室、设备科三方共同到场开箱，并填写开箱记录。乙方应提供与设备相符且完整的资料，提供包括但不限于如下资料：①产品安装、操作和维修手册②中文版使用说明书③出厂合格证（进口产品提供进口报关单及检疫证明）④到货清单。</w:t>
      </w:r>
    </w:p>
    <w:p w14:paraId="4A93200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安装时须对安装场地及场地内的其他设备、设施有良好保护措施。如因乙方原因造成甲方场地或场地内其他设备、设施损坏，由乙方承担赔偿责任。如安装地点不适合应当书面通知甲方调换合适的地点，设备运送、安装调试以及计量检测所产生的费用由乙方负责。</w:t>
      </w:r>
    </w:p>
    <w:p w14:paraId="21A3797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Cs/>
          <w:kern w:val="2"/>
          <w:sz w:val="28"/>
          <w:szCs w:val="28"/>
          <w:lang w:val="en-US" w:eastAsia="zh-CN" w:bidi="ar"/>
        </w:rPr>
        <w:t>5.如乙方人员（包括受乙方委托提供送货、安装、调试等服务的人员）应提供安全、专业的服务，如在送货、安装、调试过程中造成乙方及乙方服务人员自身、甲方及甲方人员或者任何第三方的人身或财产损害，应由乙方自行承担责任；</w:t>
      </w:r>
    </w:p>
    <w:p w14:paraId="66E68496">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第九条  验收</w:t>
      </w:r>
    </w:p>
    <w:p w14:paraId="5A4AD28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1.验收时间：设备安装调试完毕，并正常运行后</w:t>
      </w:r>
      <w:r>
        <w:rPr>
          <w:rFonts w:hint="eastAsia" w:ascii="仿宋_GB2312" w:hAnsi="Times New Roman" w:eastAsia="仿宋_GB2312" w:cs="仿宋_GB2312"/>
          <w:bCs/>
          <w:color w:val="FF0000"/>
          <w:kern w:val="2"/>
          <w:sz w:val="28"/>
          <w:szCs w:val="28"/>
          <w:u w:val="single"/>
          <w:lang w:val="en-US" w:eastAsia="zh-CN" w:bidi="ar"/>
        </w:rPr>
        <w:t xml:space="preserve">  </w:t>
      </w:r>
      <w:r>
        <w:rPr>
          <w:rFonts w:hint="eastAsia" w:ascii="仿宋_GB2312" w:hAnsi="Times New Roman" w:eastAsia="仿宋_GB2312" w:cs="仿宋_GB2312"/>
          <w:bCs/>
          <w:kern w:val="2"/>
          <w:sz w:val="28"/>
          <w:szCs w:val="28"/>
          <w:lang w:val="en-US" w:eastAsia="zh-CN" w:bidi="ar"/>
        </w:rPr>
        <w:t>日内。</w:t>
      </w:r>
    </w:p>
    <w:p w14:paraId="666954D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验收日期前乙方必须完成合同约定的各项培训，包括对甲方相关人员进行设备使用培训及日常保养培训并提供培训记录。现场验收时乙方提供必要的技术支持并协助甲方完成各项指标和功能的测试，否则因验收延误产生的后果由乙方负责。</w:t>
      </w:r>
    </w:p>
    <w:p w14:paraId="5628763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3.合同设备安装调试完毕后，乙方应及时书面提请验收。甲乙双方共同对</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的包装、外观、数量、商标、型号、规格、质量以及设备随附单证、资料等进行验收。经双方验收后，由双方共同签署验收报告。乙方提供的设备及其随附物件的风险在经验收合格后转移至甲方。因乙方未及时书面提请验收造成付款延误的，由乙方自行承担责任。</w:t>
      </w:r>
    </w:p>
    <w:p w14:paraId="6085CCA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验收按本合同要求及国家有关的规定、规范进行。验收时如发现所交付的设备有短装、次品、损坏或其它不符合本合同规定之情形者，甲方可作现场记录，或由甲乙双方签署备忘录。此现场记录或备忘录可用作换货、补充缺失、更换损坏部件和追责的有效证据。由此产生的有关费用由乙方承担。乙方提供的各种文件载明的内容必须真实，甲方对产品的技术数据置疑时，有权要求乙方按照双方认可的第三方检测机构出具的检验方法进行检测（检测费用由乙方承担），检测结果必须证明乙方提供的技术数据是真实的，否则视为不合格。</w:t>
      </w:r>
    </w:p>
    <w:p w14:paraId="738C1179">
      <w:pPr>
        <w:keepNext w:val="0"/>
        <w:keepLines w:val="0"/>
        <w:widowControl w:val="0"/>
        <w:suppressLineNumbers w:val="0"/>
        <w:tabs>
          <w:tab w:val="left" w:pos="780"/>
        </w:tabs>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验收发现设备短装、损坏或质量不符合本合同之规定，不论何种原因导致，在甲方提出换货要求的情况下，乙方应及时安排换货，以保证合同设备如期安装、通过验收。换货的相关费用和相应后果由乙方承担，验收时间不予顺延。</w:t>
      </w:r>
    </w:p>
    <w:p w14:paraId="581AEB88">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第十条 权利保证</w:t>
      </w:r>
    </w:p>
    <w:p w14:paraId="6DEBE08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乙方保证所提供的设备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设备造成的全部损失、律师费、诉讼费、取证费、差旅费、保全费、担保费、鉴证费、公证费、执行费以及间接损失等。</w:t>
      </w:r>
    </w:p>
    <w:p w14:paraId="0E5F35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2.乙方保证所提供的设备符合招标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设备的损失及因纠纷造成的其他损失（如被保全等）、甲方为解决纠纷支出的律师费、诉讼费、保全费、担保费、差旅费、鉴证费、公证费、执行费等全部费用以及全部间接损失。</w:t>
      </w:r>
    </w:p>
    <w:p w14:paraId="74A5506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3.如有关法院、仲裁机构或行政机关禁止甲方继续使用本合同项目下设备的部分或全部，乙方应酌情采取以下措施之一：</w:t>
      </w:r>
    </w:p>
    <w:p w14:paraId="68CEDF5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（1）使甲方重新免费获得使用上述设备的权利； </w:t>
      </w:r>
    </w:p>
    <w:p w14:paraId="1CBDBA2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（2）免费更换或改造上述设备，使甲方不受上述禁令限制继续使用该设备。</w:t>
      </w:r>
    </w:p>
    <w:p w14:paraId="748CF3D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乙方采取上述措施不能免除乙方就甲方因此遭受的损失进行赔偿的义务。</w:t>
      </w:r>
    </w:p>
    <w:p w14:paraId="034A79A9">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第十一条  违约责任</w:t>
      </w:r>
    </w:p>
    <w:p w14:paraId="2DAF2192">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1.甲方无正当理由拒收设备、拒付设备款的，甲方向乙方偿付其所拒收设备总值的</w:t>
      </w:r>
      <w:r>
        <w:rPr>
          <w:rFonts w:hint="eastAsia" w:ascii="仿宋_GB2312" w:hAnsi="Times New Roman" w:eastAsia="仿宋_GB2312" w:cs="仿宋_GB2312"/>
          <w:kern w:val="2"/>
          <w:sz w:val="28"/>
          <w:szCs w:val="28"/>
          <w:u w:val="single"/>
          <w:lang w:val="en-US" w:eastAsia="zh-CN" w:bidi="ar"/>
        </w:rPr>
        <w:t xml:space="preserve"> 10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73CAB818">
      <w:pPr>
        <w:pStyle w:val="43"/>
        <w:widowControl/>
        <w:adjustRightInd w:val="0"/>
        <w:snapToGrid w:val="0"/>
        <w:spacing w:line="560" w:lineRule="exact"/>
        <w:ind w:left="0" w:firstLine="602"/>
        <w:jc w:val="left"/>
        <w:rPr>
          <w:rFonts w:hint="default" w:ascii="Calibri" w:hAnsi="Calibri" w:eastAsia="宋体" w:cs="Times New Roman"/>
          <w:kern w:val="2"/>
          <w:sz w:val="24"/>
          <w:szCs w:val="24"/>
        </w:rPr>
      </w:pPr>
      <w:r>
        <w:rPr>
          <w:rFonts w:hint="eastAsia" w:ascii="仿宋_GB2312" w:eastAsia="仿宋_GB2312" w:cs="仿宋_GB2312"/>
          <w:bCs/>
          <w:kern w:val="2"/>
          <w:sz w:val="28"/>
          <w:szCs w:val="28"/>
        </w:rPr>
        <w:t>2.甲方逾期付设备款的，甲方向乙方每日偿付欠款总额</w:t>
      </w:r>
      <w:r>
        <w:rPr>
          <w:rFonts w:hint="eastAsia" w:ascii="仿宋_GB2312" w:eastAsia="仿宋_GB2312" w:cs="仿宋_GB2312"/>
          <w:kern w:val="2"/>
          <w:sz w:val="28"/>
          <w:szCs w:val="28"/>
          <w:u w:val="single"/>
        </w:rPr>
        <w:t xml:space="preserve">  1  </w:t>
      </w:r>
      <w:r>
        <w:rPr>
          <w:rFonts w:hint="eastAsia" w:ascii="仿宋_GB2312" w:eastAsia="仿宋_GB2312" w:cs="仿宋_GB2312"/>
          <w:kern w:val="2"/>
          <w:sz w:val="28"/>
          <w:szCs w:val="28"/>
        </w:rPr>
        <w:t>‰</w:t>
      </w:r>
      <w:r>
        <w:rPr>
          <w:rFonts w:hint="eastAsia" w:ascii="仿宋_GB2312" w:eastAsia="仿宋_GB2312" w:cs="仿宋_GB2312"/>
          <w:bCs/>
          <w:kern w:val="2"/>
          <w:sz w:val="28"/>
          <w:szCs w:val="28"/>
        </w:rPr>
        <w:t>的违约金，违约金总额最高不超过逾期支付设备款项的5%。但因甲方使用的是财政资金，甲方应在约定期限内办理财政支付申请手续（不含政府财政支付部门审核的时间）。因财政支付流程造成的延误，应视为甲方依约履行，甲方不承担任何逾期付款的违约责任。</w:t>
      </w:r>
    </w:p>
    <w:p w14:paraId="443668E0">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3.乙方逾期交付设备的，每逾期1日，乙方向甲方偿付</w:t>
      </w:r>
      <w:r>
        <w:rPr>
          <w:rFonts w:hint="eastAsia" w:ascii="仿宋_GB2312" w:hAnsi="Times New Roman" w:eastAsia="仿宋_GB2312" w:cs="仿宋_GB2312"/>
          <w:bCs/>
          <w:kern w:val="2"/>
          <w:sz w:val="28"/>
          <w:szCs w:val="28"/>
          <w:lang w:val="en-US" w:eastAsia="zh-CN" w:bidi="ar"/>
        </w:rPr>
        <w:t>本合同总价款</w:t>
      </w:r>
      <w:r>
        <w:rPr>
          <w:rFonts w:hint="eastAsia" w:ascii="仿宋_GB2312" w:hAnsi="Times New Roman" w:eastAsia="仿宋_GB2312" w:cs="仿宋_GB2312"/>
          <w:kern w:val="2"/>
          <w:sz w:val="28"/>
          <w:szCs w:val="28"/>
          <w:u w:val="single"/>
          <w:lang w:val="en-US" w:eastAsia="zh-CN" w:bidi="ar"/>
        </w:rPr>
        <w:t xml:space="preserve">  5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r>
        <w:rPr>
          <w:rFonts w:hint="eastAsia" w:ascii="仿宋_GB2312" w:hAnsi="Times New Roman" w:eastAsia="仿宋_GB2312" w:cs="仿宋_GB2312"/>
          <w:kern w:val="2"/>
          <w:sz w:val="28"/>
          <w:szCs w:val="28"/>
          <w:lang w:val="en-US" w:eastAsia="zh-CN" w:bidi="ar"/>
        </w:rPr>
        <w:t>。如乙方逾期交货达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日，甲方有权单方解除合同，同时乙方应向甲方</w:t>
      </w:r>
      <w:r>
        <w:rPr>
          <w:rFonts w:hint="eastAsia" w:ascii="仿宋_GB2312" w:hAnsi="Times New Roman" w:eastAsia="仿宋_GB2312" w:cs="仿宋_GB2312"/>
          <w:bCs/>
          <w:kern w:val="2"/>
          <w:sz w:val="28"/>
          <w:szCs w:val="28"/>
          <w:lang w:val="en-US" w:eastAsia="zh-CN" w:bidi="ar"/>
        </w:rPr>
        <w:t>支付合同总价款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25819B11">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4.乙方所交付的设备品种、型号、规格、质量标准等不符合合同约定的，甲方有权要求乙方进行退换货处理;设备已安装的，乙方须按照甲方要求的时间、方式拆除处置乙方设备，由此产生一切费用（含恢复原状费用）由乙方承担。乙方在甲方要求时间内不予处置的，甲方有权自行处置，乙方应向甲方支付货款总额</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％的违约金。乙方因退换货造成逾期交货的，按本条第3点的约定执行。</w:t>
      </w:r>
    </w:p>
    <w:p w14:paraId="6F6DC6D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5.在乙方承诺的或国家规定的质量保证期内（取两者中最长的期限），如经乙方两次维修或更换，设备仍不能达到合同约定的质量标准，甲方有权单方解除合同，乙方应退回全部货款并赔偿甲方因此遭受的损失，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46B6D9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6.乙方未履行本合同项下的其他义务或违反招标文件的要求或其在投标文件中的相关承诺的，乙方须在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内改正，未能在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内改正且无正当理由的，甲方有权单方解除合同，乙方应退回全部货款，同时乙方应向甲方支付合同总价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B50EAB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7.乙方在承担上述一项或多项违约责任后，仍应继续履行合同规定的义务（甲方解除合同的除外）。甲方未能及时追究乙方的任何一项违约责任并不表明甲方放弃追究乙方该项或其他违约责任。</w:t>
      </w:r>
    </w:p>
    <w:p w14:paraId="7DCC9C7C">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8.合同双方认为应补充的内容（不违反招投标文件及相关法律法规）：</w:t>
      </w:r>
      <w:r>
        <w:rPr>
          <w:rFonts w:hint="eastAsia" w:ascii="仿宋_GB2312" w:hAnsi="Times New Roman" w:eastAsia="仿宋_GB2312" w:cs="仿宋_GB2312"/>
          <w:kern w:val="2"/>
          <w:sz w:val="28"/>
          <w:szCs w:val="28"/>
          <w:u w:val="single"/>
          <w:lang w:val="en-US" w:eastAsia="zh-CN" w:bidi="ar"/>
        </w:rPr>
        <w:t xml:space="preserve">   无   </w:t>
      </w:r>
    </w:p>
    <w:p w14:paraId="6FF5175D">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第十二条  不可抗力</w:t>
      </w:r>
    </w:p>
    <w:p w14:paraId="4E4FA3D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4）</w:t>
      </w:r>
      <w:r>
        <w:rPr>
          <w:rFonts w:hint="eastAsia" w:ascii="仿宋_GB2312" w:hAnsi="Times New Roman" w:eastAsia="仿宋_GB2312" w:cs="仿宋_GB2312"/>
          <w:kern w:val="2"/>
          <w:sz w:val="28"/>
          <w:szCs w:val="28"/>
          <w:lang w:val="en-US" w:eastAsia="zh-CN" w:bidi="ar"/>
        </w:rPr>
        <w:t>突发公共卫生事件</w:t>
      </w:r>
      <w:r>
        <w:rPr>
          <w:rFonts w:hint="eastAsia" w:ascii="仿宋_GB2312" w:hAnsi="Times New Roman" w:eastAsia="仿宋_GB2312" w:cs="仿宋_GB2312"/>
          <w:bCs/>
          <w:kern w:val="2"/>
          <w:sz w:val="28"/>
          <w:szCs w:val="28"/>
          <w:lang w:val="en-US" w:eastAsia="zh-CN" w:bidi="ar"/>
        </w:rPr>
        <w:t>等。</w:t>
      </w:r>
    </w:p>
    <w:p w14:paraId="033C406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4278B0B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3170BE3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6116D662">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u w:val="single"/>
        </w:rPr>
      </w:pPr>
      <w:r>
        <w:rPr>
          <w:rFonts w:hint="eastAsia" w:ascii="仿宋_GB2312" w:hAnsi="Times New Roman" w:eastAsia="仿宋_GB2312" w:cs="仿宋_GB2312"/>
          <w:b/>
          <w:bCs w:val="0"/>
          <w:kern w:val="2"/>
          <w:sz w:val="28"/>
          <w:szCs w:val="28"/>
          <w:lang w:val="en-US" w:eastAsia="zh-CN" w:bidi="ar"/>
        </w:rPr>
        <w:t>第十三条 变更、终止条款</w:t>
      </w:r>
    </w:p>
    <w:p w14:paraId="7473535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1.除继续履行将损害国家利益和社会公共利益的外，双方不得擅自变更或者终止合同，确有需要的，甲乙双方应根据相关规定完成合同变更程序。</w:t>
      </w:r>
    </w:p>
    <w:p w14:paraId="7A67EE9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2.如继续履行将损害国家利益和社会公共利益的，主张变更或终止权利一方应在终止事件或情形发生时通知另一方。双方另行签订变更或终止协议。</w:t>
      </w:r>
    </w:p>
    <w:p w14:paraId="6227716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kern w:val="2"/>
          <w:sz w:val="28"/>
          <w:szCs w:val="28"/>
          <w:lang w:val="en-US" w:eastAsia="zh-CN" w:bidi="ar"/>
        </w:rPr>
        <w:t>3.合同履行期间，相关法律、法规、规章、规范性文件和政策发生变化或者颁布新的规定，导致本合同的履行依据发生变化的，双方可以按照修改后或者新的规定执行，并另行签订变更协议。</w:t>
      </w:r>
    </w:p>
    <w:p w14:paraId="694F3FFF">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第十四条  争议解决</w:t>
      </w:r>
    </w:p>
    <w:p w14:paraId="54A4032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1.因设备的质量问题发生争议，由国家和市政府指定的技术单位进行质量鉴定，该鉴定结论是终局的，甲乙双方应当接受。</w:t>
      </w:r>
    </w:p>
    <w:p w14:paraId="4488280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2.因履行本合同引起的或与本合同有关的争议，甲、乙双方应首先通过友好协商解决，如果协商不能解决争议，则向甲方所在地有管辖权的人民法院提起诉讼。</w:t>
      </w:r>
    </w:p>
    <w:p w14:paraId="4DE7BD5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3.有关本协议的效力、解释及可执行性的所有问题均应当受中华人民共和国法律管辖并按照其法律进行解释。</w:t>
      </w:r>
    </w:p>
    <w:p w14:paraId="1308FC55">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第十五条  保密责任</w:t>
      </w:r>
    </w:p>
    <w:p w14:paraId="0122AC3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7847E6C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bCs/>
          <w:kern w:val="2"/>
          <w:sz w:val="28"/>
          <w:szCs w:val="28"/>
          <w:lang w:val="en-US" w:eastAsia="zh-CN" w:bidi="ar"/>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255E804D">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第十六条  通信送达</w:t>
      </w:r>
    </w:p>
    <w:p w14:paraId="624E538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1.乙方履行本合同的指定联系人及授</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权代表为</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；职务</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销售经理</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；联系电话</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；电子邮箱</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。在履行合同过程中，该指定联系人及授权代表的行为、意思表示及对甲方所作的任何</w:t>
      </w:r>
      <w:r>
        <w:rPr>
          <w:rFonts w:hint="eastAsia" w:ascii="仿宋_GB2312" w:hAnsi="Times New Roman" w:eastAsia="仿宋_GB2312" w:cs="仿宋_GB2312"/>
          <w:bCs/>
          <w:kern w:val="2"/>
          <w:sz w:val="28"/>
          <w:szCs w:val="28"/>
          <w:lang w:val="en-US" w:eastAsia="zh-CN" w:bidi="ar"/>
        </w:rPr>
        <w:t>承诺、通知等，都对乙方直接具有约束力；甲方通知送达该联系人及授权代表时，即视为通知送达乙方。</w:t>
      </w:r>
    </w:p>
    <w:p w14:paraId="339E78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2.乙方的指定联系人、授权代表的信息发生变化的，或乙方联系地址、电话等发生变化的，应提前5个工作日书面通知到甲方。否则相关送达的不利后果及责任，由乙方自行承担。</w:t>
      </w:r>
    </w:p>
    <w:p w14:paraId="5543FC9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3.如上述地址无法送达的，以双方当事人的注册地址作为送达地址。</w:t>
      </w:r>
    </w:p>
    <w:p w14:paraId="1C321F4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第十七条  廉洁合作</w:t>
      </w:r>
    </w:p>
    <w:p w14:paraId="4300A40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14E0434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8E4A2A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第十八条  附则</w:t>
      </w:r>
    </w:p>
    <w:p w14:paraId="21CD95D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1.本合同一式</w:t>
      </w:r>
      <w:r>
        <w:rPr>
          <w:rFonts w:hint="eastAsia" w:ascii="仿宋_GB2312" w:hAnsi="Times New Roman" w:eastAsia="仿宋_GB2312" w:cs="仿宋_GB2312"/>
          <w:kern w:val="2"/>
          <w:sz w:val="28"/>
          <w:szCs w:val="28"/>
          <w:u w:val="single"/>
          <w:lang w:val="en-US" w:eastAsia="zh-CN" w:bidi="ar"/>
        </w:rPr>
        <w:t xml:space="preserve"> 陆 </w:t>
      </w:r>
      <w:r>
        <w:rPr>
          <w:rFonts w:hint="eastAsia" w:ascii="仿宋_GB2312" w:hAnsi="Times New Roman" w:eastAsia="仿宋_GB2312" w:cs="仿宋_GB2312"/>
          <w:bCs/>
          <w:kern w:val="2"/>
          <w:sz w:val="28"/>
          <w:szCs w:val="28"/>
          <w:lang w:val="en-US" w:eastAsia="zh-CN" w:bidi="ar"/>
        </w:rPr>
        <w:t>份，甲方执</w:t>
      </w:r>
      <w:r>
        <w:rPr>
          <w:rFonts w:hint="eastAsia" w:ascii="仿宋_GB2312" w:hAnsi="Times New Roman" w:eastAsia="仿宋_GB2312" w:cs="仿宋_GB2312"/>
          <w:kern w:val="2"/>
          <w:sz w:val="28"/>
          <w:szCs w:val="28"/>
          <w:u w:val="single"/>
          <w:lang w:val="en-US" w:eastAsia="zh-CN" w:bidi="ar"/>
        </w:rPr>
        <w:t xml:space="preserve"> 伍 </w:t>
      </w:r>
      <w:r>
        <w:rPr>
          <w:rFonts w:hint="eastAsia" w:ascii="仿宋_GB2312" w:hAnsi="Times New Roman" w:eastAsia="仿宋_GB2312" w:cs="仿宋_GB2312"/>
          <w:bCs/>
          <w:kern w:val="2"/>
          <w:sz w:val="28"/>
          <w:szCs w:val="28"/>
          <w:lang w:val="en-US" w:eastAsia="zh-CN" w:bidi="ar"/>
        </w:rPr>
        <w:t>份、乙方执</w:t>
      </w:r>
      <w:r>
        <w:rPr>
          <w:rFonts w:hint="eastAsia" w:ascii="仿宋_GB2312" w:hAnsi="Times New Roman" w:eastAsia="仿宋_GB2312" w:cs="仿宋_GB2312"/>
          <w:kern w:val="2"/>
          <w:sz w:val="28"/>
          <w:szCs w:val="28"/>
          <w:u w:val="single"/>
          <w:lang w:val="en-US" w:eastAsia="zh-CN" w:bidi="ar"/>
        </w:rPr>
        <w:t xml:space="preserve"> 壹 </w:t>
      </w:r>
      <w:r>
        <w:rPr>
          <w:rFonts w:hint="eastAsia" w:ascii="仿宋_GB2312" w:hAnsi="Times New Roman" w:eastAsia="仿宋_GB2312" w:cs="仿宋_GB2312"/>
          <w:bCs/>
          <w:kern w:val="2"/>
          <w:sz w:val="28"/>
          <w:szCs w:val="28"/>
          <w:lang w:val="en-US" w:eastAsia="zh-CN" w:bidi="ar"/>
        </w:rPr>
        <w:t>份，具有同等法律效力。本合同自双方法定代表人或有权代理人签字并加盖双方公章或合同专用章之日起生效。</w:t>
      </w:r>
    </w:p>
    <w:p w14:paraId="30BA3AC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2.本合同未尽事宜，由双方协商处理，经协商一致可签订补充协议。</w:t>
      </w:r>
    </w:p>
    <w:p w14:paraId="30A3ABE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3.如有设备相关耗材、试剂或易损器械，设备及主要维修配件，乙方应提供并分别列出它们的优惠价格。</w:t>
      </w:r>
    </w:p>
    <w:p w14:paraId="7F4E540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第十九条  合同组成文件</w:t>
      </w:r>
    </w:p>
    <w:p w14:paraId="7EADE49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下列文件为本合同的组成部分，并构成一个整体，需综合解释、相互补充。如果下列文件内容出现不一致的情形，在保证按照采购文件确定的事项的前提下，组成本合同的多个文件的优先适用顺序如下：</w:t>
      </w:r>
    </w:p>
    <w:p w14:paraId="66D58A3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1.本合同及其附件、补充合同、变更协议；</w:t>
      </w:r>
    </w:p>
    <w:p w14:paraId="28FF17B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2.中标通知书；</w:t>
      </w:r>
    </w:p>
    <w:p w14:paraId="566848FE">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3.投标文件（含澄清或者说明文件）；</w:t>
      </w:r>
    </w:p>
    <w:p w14:paraId="5702877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4.招标文件（含澄清或者修改文件）；</w:t>
      </w:r>
    </w:p>
    <w:p w14:paraId="7FBE8B5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5.其他相关采购文件。</w:t>
      </w:r>
    </w:p>
    <w:p w14:paraId="1DBDB0B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附件一：中标通知书</w:t>
      </w:r>
    </w:p>
    <w:p w14:paraId="1CDC973A">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附件二：廉洁合作承诺书（企业承诺）</w:t>
      </w:r>
    </w:p>
    <w:p w14:paraId="79CA7C50">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附件三：廉洁从业承诺书（员工承诺）</w:t>
      </w:r>
    </w:p>
    <w:p w14:paraId="1EFC61B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附件四：配置清单</w:t>
      </w:r>
    </w:p>
    <w:p w14:paraId="138DABC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附件五：技术偏离表</w:t>
      </w:r>
    </w:p>
    <w:p w14:paraId="00F6C0A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附件六：售后服务承诺（含厂家）</w:t>
      </w:r>
    </w:p>
    <w:p w14:paraId="501FDF1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附件七：每年二次的维护计划</w:t>
      </w:r>
    </w:p>
    <w:p w14:paraId="61B1BB1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6F7AE8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7BF623C">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283FF78">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br w:type="page"/>
      </w:r>
    </w:p>
    <w:p w14:paraId="7094F3A3">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（本页无正文</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，为《XXXX》签署页</w:t>
      </w:r>
      <w:r>
        <w:rPr>
          <w:rFonts w:hint="eastAsia" w:ascii="仿宋_GB2312" w:hAnsi="Times New Roman" w:eastAsia="仿宋_GB2312" w:cs="仿宋_GB2312"/>
          <w:kern w:val="2"/>
          <w:sz w:val="28"/>
          <w:szCs w:val="28"/>
          <w:lang w:val="en-US" w:eastAsia="zh-CN" w:bidi="ar"/>
        </w:rPr>
        <w:t>）</w:t>
      </w:r>
    </w:p>
    <w:p w14:paraId="4F8276B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2EEB678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5D9DE3D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tbl>
      <w:tblPr>
        <w:tblStyle w:val="17"/>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362"/>
        <w:gridCol w:w="4160"/>
      </w:tblGrid>
      <w:tr w14:paraId="13BE996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14D854B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甲方：深圳市福田区第二人民医院</w:t>
            </w:r>
          </w:p>
        </w:tc>
        <w:tc>
          <w:tcPr>
            <w:tcW w:w="2441" w:type="pct"/>
            <w:tcBorders>
              <w:top w:val="nil"/>
              <w:left w:val="nil"/>
              <w:bottom w:val="nil"/>
              <w:right w:val="nil"/>
            </w:tcBorders>
            <w:shd w:val="clear" w:color="auto" w:fill="auto"/>
            <w:vAlign w:val="top"/>
          </w:tcPr>
          <w:p w14:paraId="3C71B5C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乙方：</w:t>
            </w:r>
          </w:p>
        </w:tc>
      </w:tr>
      <w:tr w14:paraId="223952E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73E393E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地址：深圳市福田区梅林街道</w:t>
            </w:r>
          </w:p>
          <w:p w14:paraId="01358CA2">
            <w:pPr>
              <w:keepNext w:val="0"/>
              <w:keepLines w:val="0"/>
              <w:widowControl w:val="0"/>
              <w:suppressLineNumbers w:val="0"/>
              <w:spacing w:before="0" w:beforeAutospacing="0" w:after="0" w:afterAutospacing="0" w:line="360" w:lineRule="auto"/>
              <w:ind w:left="0" w:right="0" w:firstLine="840" w:firstLineChars="3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中康路27号</w:t>
            </w:r>
          </w:p>
        </w:tc>
        <w:tc>
          <w:tcPr>
            <w:tcW w:w="2441" w:type="pct"/>
            <w:tcBorders>
              <w:top w:val="nil"/>
              <w:left w:val="nil"/>
              <w:bottom w:val="nil"/>
              <w:right w:val="nil"/>
            </w:tcBorders>
            <w:shd w:val="clear" w:color="auto" w:fill="auto"/>
            <w:vAlign w:val="top"/>
          </w:tcPr>
          <w:p w14:paraId="344D2F8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址：</w:t>
            </w:r>
          </w:p>
        </w:tc>
      </w:tr>
      <w:tr w14:paraId="1DC6AC5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4BC953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p w14:paraId="2A2D2CB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4DAE673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tc>
      </w:tr>
      <w:tr w14:paraId="338836D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F1B7B5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p w14:paraId="2B13E927">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69E7D06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tc>
      </w:tr>
      <w:tr w14:paraId="066AEE4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9AF21A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话：0755-83279817</w:t>
            </w:r>
          </w:p>
        </w:tc>
        <w:tc>
          <w:tcPr>
            <w:tcW w:w="2441" w:type="pct"/>
            <w:tcBorders>
              <w:top w:val="nil"/>
              <w:left w:val="nil"/>
              <w:bottom w:val="nil"/>
              <w:right w:val="nil"/>
            </w:tcBorders>
            <w:shd w:val="clear" w:color="auto" w:fill="auto"/>
            <w:vAlign w:val="top"/>
          </w:tcPr>
          <w:p w14:paraId="245F03F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w:t>
            </w:r>
          </w:p>
        </w:tc>
      </w:tr>
      <w:tr w14:paraId="1B11505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CD57FB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开户银行：建行深圳梅林支行</w:t>
            </w:r>
          </w:p>
        </w:tc>
        <w:tc>
          <w:tcPr>
            <w:tcW w:w="2441" w:type="pct"/>
            <w:tcBorders>
              <w:top w:val="nil"/>
              <w:left w:val="nil"/>
              <w:bottom w:val="nil"/>
              <w:right w:val="nil"/>
            </w:tcBorders>
            <w:shd w:val="clear" w:color="auto" w:fill="auto"/>
            <w:vAlign w:val="top"/>
          </w:tcPr>
          <w:p w14:paraId="0C5397A8">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w:t>
            </w:r>
          </w:p>
        </w:tc>
      </w:tr>
      <w:tr w14:paraId="3641142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EA15F9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号：44201550900051002164</w:t>
            </w:r>
          </w:p>
        </w:tc>
        <w:tc>
          <w:tcPr>
            <w:tcW w:w="2441" w:type="pct"/>
            <w:tcBorders>
              <w:top w:val="nil"/>
              <w:left w:val="nil"/>
              <w:bottom w:val="nil"/>
              <w:right w:val="nil"/>
            </w:tcBorders>
            <w:shd w:val="clear" w:color="auto" w:fill="auto"/>
            <w:vAlign w:val="top"/>
          </w:tcPr>
          <w:p w14:paraId="05A37C2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w:t>
            </w:r>
          </w:p>
        </w:tc>
      </w:tr>
      <w:tr w14:paraId="5467284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4C27A9F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c>
          <w:tcPr>
            <w:tcW w:w="2441" w:type="pct"/>
            <w:tcBorders>
              <w:top w:val="nil"/>
              <w:left w:val="nil"/>
              <w:bottom w:val="nil"/>
              <w:right w:val="nil"/>
            </w:tcBorders>
            <w:shd w:val="clear" w:color="auto" w:fill="auto"/>
            <w:vAlign w:val="top"/>
          </w:tcPr>
          <w:p w14:paraId="73E6F56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r>
    </w:tbl>
    <w:p w14:paraId="48D2DAA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FDF13A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6B3E0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F751C3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3BA9FD39">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仿宋_GB2312" w:eastAsia="仿宋_GB2312" w:cs="仿宋_GB2312"/>
          <w:b/>
          <w:bCs/>
          <w:kern w:val="0"/>
          <w:sz w:val="28"/>
          <w:szCs w:val="28"/>
        </w:rPr>
      </w:pPr>
      <w:r>
        <w:rPr>
          <w:rFonts w:hint="eastAsia" w:ascii="仿宋_GB2312" w:hAnsi="Times New Roman" w:eastAsia="仿宋_GB2312" w:cs="仿宋_GB2312"/>
          <w:b/>
          <w:bCs/>
          <w:kern w:val="0"/>
          <w:sz w:val="28"/>
          <w:szCs w:val="28"/>
          <w:lang w:val="en-US" w:eastAsia="zh-CN" w:bidi="ar"/>
        </w:rPr>
        <w:t>附件一：中标通知书</w:t>
      </w:r>
    </w:p>
    <w:p w14:paraId="3C84B435">
      <w:pPr>
        <w:keepNext w:val="0"/>
        <w:keepLines w:val="0"/>
        <w:widowControl/>
        <w:suppressLineNumbers w:val="0"/>
        <w:spacing w:before="0" w:beforeAutospacing="0" w:after="0" w:afterAutospacing="0"/>
        <w:ind w:left="0" w:right="0"/>
        <w:jc w:val="left"/>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 xml:space="preserve"> </w:t>
      </w:r>
    </w:p>
    <w:p w14:paraId="37E6A5D3">
      <w:pPr>
        <w:keepNext w:val="0"/>
        <w:keepLines w:val="0"/>
        <w:widowControl/>
        <w:suppressLineNumbers w:val="0"/>
        <w:spacing w:before="0" w:beforeAutospacing="0" w:after="0" w:afterAutospacing="0"/>
        <w:ind w:left="0" w:right="0"/>
        <w:jc w:val="left"/>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2"/>
          <w:sz w:val="28"/>
          <w:szCs w:val="28"/>
          <w:lang w:val="en-US" w:eastAsia="zh-CN" w:bidi="ar"/>
        </w:rPr>
        <w:br w:type="page"/>
      </w:r>
    </w:p>
    <w:p w14:paraId="362DF27A">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方正小标宋_GBK" w:hAnsi="方正小标宋_GBK" w:eastAsia="方正小标宋_GBK" w:cs="方正小标宋_GBK"/>
          <w:b/>
          <w:bCs/>
          <w:kern w:val="0"/>
          <w:sz w:val="44"/>
          <w:szCs w:val="44"/>
        </w:rPr>
      </w:pPr>
      <w:r>
        <w:rPr>
          <w:rFonts w:hint="eastAsia" w:ascii="仿宋_GB2312" w:hAnsi="Times New Roman" w:eastAsia="仿宋_GB2312" w:cs="仿宋_GB2312"/>
          <w:b/>
          <w:bCs w:val="0"/>
          <w:kern w:val="0"/>
          <w:sz w:val="28"/>
          <w:szCs w:val="28"/>
          <w:lang w:val="en-US" w:eastAsia="zh-CN" w:bidi="ar"/>
        </w:rPr>
        <w:t>附件二：廉洁合作承诺书（企业承诺）</w:t>
      </w:r>
    </w:p>
    <w:p w14:paraId="3F649317">
      <w:pPr>
        <w:pStyle w:val="14"/>
        <w:keepNext w:val="0"/>
        <w:keepLines w:val="0"/>
        <w:widowControl/>
        <w:suppressLineNumbers w:val="0"/>
        <w:tabs>
          <w:tab w:val="left" w:pos="7497"/>
        </w:tabs>
        <w:spacing w:before="0" w:beforeAutospacing="1" w:after="120" w:afterLines="50" w:afterAutospacing="0" w:line="600" w:lineRule="exact"/>
        <w:ind w:left="0" w:right="0"/>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廉洁合作承诺书</w:t>
      </w:r>
    </w:p>
    <w:p w14:paraId="70CCDE80">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（企业承诺）</w:t>
      </w:r>
    </w:p>
    <w:p w14:paraId="0C7FE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本公司决定参加项目投标。为维护公平竞争的市场秩序，促进企业廉洁从业、诚实守信，特承诺如下：</w:t>
      </w:r>
    </w:p>
    <w:p w14:paraId="5498C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一、严格遵守《中华人民共和国招标投标法》、《中华人民共和国政府采购法》等法律法规，决不发生以下行为：</w:t>
      </w:r>
    </w:p>
    <w:p w14:paraId="05B6A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1.以他人名义投标，允许其他单位或个人使用本单位资质投标；</w:t>
      </w:r>
    </w:p>
    <w:p w14:paraId="30DBB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2.提供虚假材料，或以其他方式弄虚作假骗取中标；</w:t>
      </w:r>
    </w:p>
    <w:p w14:paraId="6CDDC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3.与招标人或者其他投标人相互串通投标；</w:t>
      </w:r>
    </w:p>
    <w:p w14:paraId="56CFF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4.中标后将项目转包，或违法分包；</w:t>
      </w:r>
    </w:p>
    <w:p w14:paraId="27320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5.中标后与招标人签订背离投标文件及合同实质性内容的私下协议；</w:t>
      </w:r>
    </w:p>
    <w:p w14:paraId="19B58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6.其他违反招标投标、政府采购等法律法规的行为。</w:t>
      </w:r>
    </w:p>
    <w:p w14:paraId="680C4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二、不以任何理由给予采购单位、主管部门、相关单位及其工作人员以下好处：</w:t>
      </w:r>
    </w:p>
    <w:p w14:paraId="6BCA9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0F4FE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3776D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7BD19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4.提供宴请、健身、旅游、娱乐等高消费活动； </w:t>
      </w:r>
    </w:p>
    <w:p w14:paraId="6CB9B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73BFB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三、不以任何理由为采购单位、主管部门、相关单位的工作人员及其配偶、子女等亲属的工作安排以及出国（境）等提供方便。</w:t>
      </w:r>
    </w:p>
    <w:p w14:paraId="68BC2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四、自觉接受有关部门和派驻廉政监察组等机构的监督，积极配合采购单位开展廉政文化进工程工作，加强廉洁从业环境宣传、项目管理制度建设，多种形式开展廉洁教育。</w:t>
      </w:r>
    </w:p>
    <w:p w14:paraId="19F8A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上述承诺如有违反，愿接受录入诚信档案的处理，构成违纪违法的，由相关部门依纪依法作出处理。</w:t>
      </w:r>
    </w:p>
    <w:p w14:paraId="4877F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（本承诺书由投标人法定代表人签名，并加盖公章；一式贰份，采购单位与履约供应商各持壹份。）</w:t>
      </w:r>
    </w:p>
    <w:p w14:paraId="150BE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 xml:space="preserve"> </w:t>
      </w:r>
    </w:p>
    <w:p w14:paraId="76269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  </w:t>
      </w:r>
    </w:p>
    <w:p w14:paraId="17047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法定代表人签名：</w:t>
      </w:r>
    </w:p>
    <w:p w14:paraId="67FFC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承诺单位（公章）：</w:t>
      </w:r>
    </w:p>
    <w:p w14:paraId="70C02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0"/>
          <w:sz w:val="28"/>
          <w:szCs w:val="28"/>
          <w:lang w:val="en-US" w:eastAsia="zh-CN" w:bidi="ar"/>
        </w:rPr>
        <w:t>承诺日期：</w:t>
      </w:r>
      <w:r>
        <w:rPr>
          <w:rFonts w:hint="eastAsia" w:ascii="仿宋_GB2312" w:hAnsi="Times New Roman" w:eastAsia="仿宋_GB2312" w:cs="仿宋_GB2312"/>
          <w:kern w:val="2"/>
          <w:sz w:val="28"/>
          <w:szCs w:val="28"/>
          <w:lang w:val="en-US" w:eastAsia="zh-CN" w:bidi="ar"/>
        </w:rPr>
        <w:br w:type="page"/>
      </w:r>
    </w:p>
    <w:p w14:paraId="26DE5847">
      <w:pPr>
        <w:keepNext w:val="0"/>
        <w:keepLines w:val="0"/>
        <w:widowControl/>
        <w:suppressLineNumbers w:val="0"/>
        <w:spacing w:before="0" w:beforeAutospacing="0" w:after="0" w:afterAutospacing="0"/>
        <w:ind w:left="0" w:leftChars="0" w:right="0" w:rightChars="0"/>
        <w:jc w:val="left"/>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附件三：廉洁从业承诺书（员工承诺）</w:t>
      </w:r>
    </w:p>
    <w:p w14:paraId="15EB66DC">
      <w:pPr>
        <w:keepNext w:val="0"/>
        <w:keepLines w:val="0"/>
        <w:widowControl/>
        <w:suppressLineNumbers w:val="0"/>
        <w:spacing w:before="0" w:beforeAutospacing="0" w:after="0" w:afterAutospacing="0"/>
        <w:ind w:left="0" w:right="0"/>
        <w:jc w:val="center"/>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lang w:val="en-US" w:eastAsia="zh-CN" w:bidi="ar"/>
        </w:rPr>
        <w:t>廉洁从业承诺书</w:t>
      </w:r>
    </w:p>
    <w:p w14:paraId="36F8610E">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（员工承诺）</w:t>
      </w:r>
    </w:p>
    <w:p w14:paraId="160FF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本人决定自愿参加本项目。为了更好的树立公司对外形象，更好地打造公司的品牌，促进个人廉洁从业、诚实守信，特承诺如下：</w:t>
      </w:r>
    </w:p>
    <w:p w14:paraId="14C70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一、不以任何理由给予采购单位、主管部门、相关单位及其工作人员以下好处：</w:t>
      </w:r>
    </w:p>
    <w:p w14:paraId="37FDC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73AF2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409FE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6CE6F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4.提供宴请、健身、旅游、娱乐等高消费活动；</w:t>
      </w:r>
    </w:p>
    <w:p w14:paraId="49386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291ED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二、不以任何理由为采购单位、主管部门、相关单位的工作人员及其配偶、子女等亲属的工作安排以及出国（境）等提供方便。</w:t>
      </w:r>
    </w:p>
    <w:p w14:paraId="164A1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三、自觉接受有关部门和派驻廉政监察组等机构的监督。</w:t>
      </w:r>
    </w:p>
    <w:p w14:paraId="419BE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以上承诺接受公司和广大员工的监督。本人如有违反承诺，自愿承担违诺责任和法律后果。</w:t>
      </w:r>
    </w:p>
    <w:p w14:paraId="1B3B6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（本承诺书由项目人员签名，一式贰份。公司与项目人员各持壹份。）</w:t>
      </w:r>
    </w:p>
    <w:p w14:paraId="0CBF6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承诺人：</w:t>
      </w:r>
    </w:p>
    <w:p w14:paraId="797BA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承诺日期：</w:t>
      </w:r>
    </w:p>
    <w:p w14:paraId="328685BE">
      <w:pPr>
        <w:pStyle w:val="14"/>
        <w:keepNext w:val="0"/>
        <w:keepLines w:val="0"/>
        <w:widowControl/>
        <w:suppressLineNumbers w:val="0"/>
        <w:adjustRightInd w:val="0"/>
        <w:snapToGrid w:val="0"/>
        <w:spacing w:before="0" w:beforeAutospacing="1" w:after="0" w:afterAutospacing="1" w:line="579" w:lineRule="exact"/>
        <w:ind w:left="0" w:right="0"/>
        <w:jc w:val="left"/>
        <w:rPr>
          <w:rFonts w:hint="default" w:ascii="Times New Roman" w:hAnsi="Times New Roman" w:cs="Times New Roman"/>
          <w:color w:val="FFFFFF"/>
          <w:kern w:val="2"/>
          <w:sz w:val="16"/>
          <w:szCs w:val="16"/>
          <w:shd w:val="clear" w:fill="000000"/>
        </w:rPr>
      </w:pPr>
      <w:r>
        <w:rPr>
          <w:rFonts w:hint="eastAsia" w:ascii="仿宋_GB2312" w:hAnsi="Times New Roman" w:eastAsia="仿宋_GB2312" w:cs="仿宋_GB2312"/>
          <w:b/>
          <w:bCs/>
          <w:kern w:val="0"/>
          <w:sz w:val="28"/>
          <w:szCs w:val="28"/>
          <w:lang w:val="en-US" w:eastAsia="zh-CN" w:bidi="ar"/>
        </w:rPr>
        <w:t>附件四：配置清单</w:t>
      </w:r>
    </w:p>
    <w:p w14:paraId="042C0A6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0F829A2F">
      <w:pPr>
        <w:keepNext w:val="0"/>
        <w:keepLines w:val="0"/>
        <w:widowControl w:val="0"/>
        <w:suppressLineNumbers w:val="0"/>
        <w:spacing w:before="0" w:beforeAutospacing="0" w:after="0" w:afterAutospacing="0"/>
        <w:ind w:left="0" w:right="0"/>
        <w:jc w:val="left"/>
        <w:rPr>
          <w:rFonts w:hint="eastAsia" w:ascii="仿宋" w:hAnsi="仿宋" w:eastAsia="仿宋" w:cs="Times New Roman"/>
          <w:b/>
          <w:bCs w:val="0"/>
          <w:color w:val="FF0000"/>
          <w:kern w:val="2"/>
          <w:sz w:val="28"/>
          <w:szCs w:val="28"/>
        </w:rPr>
      </w:pPr>
      <w:r>
        <w:rPr>
          <w:rFonts w:hint="eastAsia" w:ascii="仿宋" w:hAnsi="仿宋" w:eastAsia="仿宋" w:cs="仿宋"/>
          <w:b/>
          <w:bCs w:val="0"/>
          <w:kern w:val="2"/>
          <w:sz w:val="28"/>
          <w:szCs w:val="28"/>
          <w:lang w:val="en-US" w:eastAsia="zh-CN" w:bidi="ar"/>
        </w:rPr>
        <w:t>附件五：技术参数偏离表</w:t>
      </w:r>
    </w:p>
    <w:p w14:paraId="4881B7C8">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74263C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24BB280">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122DB13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
          <w:bCs/>
          <w:kern w:val="2"/>
          <w:sz w:val="28"/>
          <w:szCs w:val="28"/>
          <w:lang w:val="en-US" w:eastAsia="zh-CN" w:bidi="ar"/>
        </w:rPr>
        <w:t>附件六：售后服务承诺（含厂家）</w:t>
      </w:r>
    </w:p>
    <w:p w14:paraId="6EDEECB2">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43C1B1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0"/>
          <w:sz w:val="32"/>
          <w:szCs w:val="32"/>
        </w:rPr>
      </w:pPr>
      <w:r>
        <w:rPr>
          <w:rFonts w:hint="eastAsia" w:ascii="仿宋_GB2312" w:hAnsi="Times New Roman" w:eastAsia="仿宋_GB2312" w:cs="仿宋_GB2312"/>
          <w:b/>
          <w:bCs/>
          <w:kern w:val="2"/>
          <w:sz w:val="28"/>
          <w:szCs w:val="28"/>
          <w:lang w:val="en-US" w:eastAsia="zh-CN" w:bidi="ar"/>
        </w:rPr>
        <w:t>附件七：每年二次的维护计划</w:t>
      </w:r>
    </w:p>
    <w:p w14:paraId="6D05C46A">
      <w:pPr>
        <w:pStyle w:val="21"/>
        <w:ind w:left="0" w:leftChars="0" w:firstLine="0" w:firstLineChars="0"/>
        <w:rPr>
          <w:rFonts w:hint="eastAsia" w:ascii="宋体" w:hAnsi="宋体" w:cs="宋体"/>
          <w:color w:val="000000" w:themeColor="text1"/>
          <w:szCs w:val="21"/>
          <w:lang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CDD45D3-DD41-4774-ADFC-64F55311F2FF}"/>
  </w:font>
  <w:font w:name="黑体">
    <w:panose1 w:val="02010609060101010101"/>
    <w:charset w:val="86"/>
    <w:family w:val="auto"/>
    <w:pitch w:val="default"/>
    <w:sig w:usb0="800002BF" w:usb1="38CF7CFA" w:usb2="00000016" w:usb3="00000000" w:csb0="00040001" w:csb1="00000000"/>
    <w:embedRegular r:id="rId2" w:fontKey="{6E561DC0-119C-4787-89E3-2FBCF8EC6630}"/>
  </w:font>
  <w:font w:name="Courier New">
    <w:panose1 w:val="02070309020205020404"/>
    <w:charset w:val="01"/>
    <w:family w:val="modern"/>
    <w:pitch w:val="default"/>
    <w:sig w:usb0="E0002EFF" w:usb1="C0007843" w:usb2="00000009" w:usb3="00000000" w:csb0="400001FF" w:csb1="FFFF0000"/>
    <w:embedRegular r:id="rId3" w:fontKey="{08F2ED05-2D9A-4275-A5A6-08512712D42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95DB499B-C605-45E6-9B08-316BBA8237FB}"/>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5" w:fontKey="{DBBDB189-9E66-41BF-B8F1-82704CBD36B6}"/>
  </w:font>
  <w:font w:name="微软雅黑">
    <w:panose1 w:val="020B0503020204020204"/>
    <w:charset w:val="86"/>
    <w:family w:val="swiss"/>
    <w:pitch w:val="default"/>
    <w:sig w:usb0="80000287" w:usb1="2ACF3C50" w:usb2="00000016" w:usb3="00000000" w:csb0="0004001F" w:csb1="00000000"/>
  </w:font>
  <w:font w:name="华文宋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6" w:fontKey="{5626FA31-E98C-4F99-B2D0-504D143D6706}"/>
  </w:font>
  <w:font w:name="Wingdings 2">
    <w:panose1 w:val="05020102010507070707"/>
    <w:charset w:val="00"/>
    <w:family w:val="auto"/>
    <w:pitch w:val="default"/>
    <w:sig w:usb0="00000000" w:usb1="00000000" w:usb2="00000000" w:usb3="00000000" w:csb0="80000000" w:csb1="00000000"/>
    <w:embedRegular r:id="rId7" w:fontKey="{63A9A5CF-C809-4F15-B214-17322B092316}"/>
  </w:font>
  <w:font w:name="方正仿宋_GBK">
    <w:altName w:val="微软雅黑"/>
    <w:panose1 w:val="00000000000000000000"/>
    <w:charset w:val="86"/>
    <w:family w:val="auto"/>
    <w:pitch w:val="default"/>
    <w:sig w:usb0="00000000" w:usb1="00000000" w:usb2="00000000" w:usb3="00000000" w:csb0="00040000" w:csb1="00000000"/>
    <w:embedRegular r:id="rId8" w:fontKey="{8C7B1FCA-29E2-4BBA-AD21-0CF2FFB53CB5}"/>
  </w:font>
  <w:font w:name="ˎ̥">
    <w:altName w:val="Times New Roman"/>
    <w:panose1 w:val="00000000000000000000"/>
    <w:charset w:val="00"/>
    <w:family w:val="roman"/>
    <w:pitch w:val="default"/>
    <w:sig w:usb0="00000000" w:usb1="00000000" w:usb2="00000000" w:usb3="00000000" w:csb0="00040001" w:csb1="00000000"/>
    <w:embedRegular r:id="rId9" w:fontKey="{98AE20D0-C585-481D-A612-EA8A4112C5E6}"/>
  </w:font>
  <w:font w:name="方正小标宋简体">
    <w:panose1 w:val="02010600010101010101"/>
    <w:charset w:val="86"/>
    <w:family w:val="auto"/>
    <w:pitch w:val="default"/>
    <w:sig w:usb0="00000001" w:usb1="080E0000" w:usb2="00000000" w:usb3="00000000" w:csb0="00040000" w:csb1="00000000"/>
    <w:embedRegular r:id="rId10" w:fontKey="{7C20B487-E2CA-4889-AE26-3E7B17DC6C1C}"/>
  </w:font>
  <w:font w:name="方正小标宋_GBK">
    <w:panose1 w:val="02000000000000000000"/>
    <w:charset w:val="86"/>
    <w:family w:val="auto"/>
    <w:pitch w:val="default"/>
    <w:sig w:usb0="A00002BF" w:usb1="38CF7CFA" w:usb2="00082016" w:usb3="00000000" w:csb0="00040001" w:csb1="00000000"/>
    <w:embedRegular r:id="rId11" w:fontKey="{8CFFFD98-F110-43E5-8318-565813B3BA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0"/>
      <w:jc w:val="center"/>
      <w:rPr>
        <w:rStyle w:val="19"/>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p w14:paraId="5AE7A01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1"/>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313"/>
    <w:multiLevelType w:val="singleLevel"/>
    <w:tmpl w:val="C2FF3313"/>
    <w:lvl w:ilvl="0" w:tentative="0">
      <w:start w:val="3"/>
      <w:numFmt w:val="chineseCounting"/>
      <w:suff w:val="space"/>
      <w:lvlText w:val="（%1）"/>
      <w:lvlJc w:val="left"/>
      <w:rPr>
        <w:rFonts w:hint="eastAsia"/>
      </w:rPr>
    </w:lvl>
  </w:abstractNum>
  <w:abstractNum w:abstractNumId="1">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D9602B2F"/>
    <w:multiLevelType w:val="singleLevel"/>
    <w:tmpl w:val="D9602B2F"/>
    <w:lvl w:ilvl="0" w:tentative="0">
      <w:start w:val="1"/>
      <w:numFmt w:val="chineseCounting"/>
      <w:suff w:val="space"/>
      <w:lvlText w:val="%1、"/>
      <w:lvlJc w:val="left"/>
      <w:rPr>
        <w:rFonts w:hint="eastAsia"/>
      </w:rPr>
    </w:lvl>
  </w:abstractNum>
  <w:abstractNum w:abstractNumId="3">
    <w:nsid w:val="F4421C38"/>
    <w:multiLevelType w:val="singleLevel"/>
    <w:tmpl w:val="F4421C38"/>
    <w:lvl w:ilvl="0" w:tentative="0">
      <w:start w:val="1"/>
      <w:numFmt w:val="chineseCounting"/>
      <w:suff w:val="space"/>
      <w:lvlText w:val="第%1章"/>
      <w:lvlJc w:val="left"/>
      <w:rPr>
        <w:rFonts w:hint="eastAsia"/>
      </w:rPr>
    </w:lvl>
  </w:abstractNum>
  <w:abstractNum w:abstractNumId="4">
    <w:nsid w:val="07486699"/>
    <w:multiLevelType w:val="singleLevel"/>
    <w:tmpl w:val="07486699"/>
    <w:lvl w:ilvl="0" w:tentative="0">
      <w:start w:val="1"/>
      <w:numFmt w:val="decimal"/>
      <w:lvlText w:val="%1."/>
      <w:lvlJc w:val="left"/>
      <w:pPr>
        <w:tabs>
          <w:tab w:val="left" w:pos="312"/>
        </w:tabs>
      </w:pPr>
    </w:lvl>
  </w:abstractNum>
  <w:abstractNum w:abstractNumId="5">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507A66DD"/>
    <w:multiLevelType w:val="singleLevel"/>
    <w:tmpl w:val="507A66DD"/>
    <w:lvl w:ilvl="0" w:tentative="0">
      <w:start w:val="5"/>
      <w:numFmt w:val="chineseCounting"/>
      <w:suff w:val="nothing"/>
      <w:lvlText w:val="%1、"/>
      <w:lvlJc w:val="left"/>
      <w:rPr>
        <w:rFonts w:hint="eastAsia"/>
      </w:rPr>
    </w:lvl>
  </w:abstractNum>
  <w:abstractNum w:abstractNumId="10">
    <w:nsid w:val="59215DE2"/>
    <w:multiLevelType w:val="singleLevel"/>
    <w:tmpl w:val="59215DE2"/>
    <w:lvl w:ilvl="0" w:tentative="0">
      <w:start w:val="2"/>
      <w:numFmt w:val="decimal"/>
      <w:suff w:val="nothing"/>
      <w:lvlText w:val="（%1）"/>
      <w:lvlJc w:val="left"/>
    </w:lvl>
  </w:abstractNum>
  <w:abstractNum w:abstractNumId="1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2">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6042BE9B"/>
    <w:multiLevelType w:val="multilevel"/>
    <w:tmpl w:val="6042BE9B"/>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0"/>
  </w:num>
  <w:num w:numId="5">
    <w:abstractNumId w:val="9"/>
  </w:num>
  <w:num w:numId="6">
    <w:abstractNumId w:val="7"/>
  </w:num>
  <w:num w:numId="7">
    <w:abstractNumId w:val="5"/>
  </w:num>
  <w:num w:numId="8">
    <w:abstractNumId w:val="14"/>
  </w:num>
  <w:num w:numId="9">
    <w:abstractNumId w:val="0"/>
  </w:num>
  <w:num w:numId="10">
    <w:abstractNumId w:val="13"/>
  </w:num>
  <w:num w:numId="11">
    <w:abstractNumId w:val="8"/>
  </w:num>
  <w:num w:numId="12">
    <w:abstractNumId w:val="6"/>
  </w:num>
  <w:num w:numId="13">
    <w:abstractNumId w:val="4"/>
  </w:num>
  <w:num w:numId="14">
    <w:abstractNumId w:val="16"/>
  </w:num>
  <w:num w:numId="15">
    <w:abstractNumId w:val="1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DYyYmQ1ZDA0NDE2ZWMxMTVjMTBjNjZlNGMxZWM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46F3F65"/>
    <w:rsid w:val="047E7636"/>
    <w:rsid w:val="05830AC6"/>
    <w:rsid w:val="05C0366A"/>
    <w:rsid w:val="075E2523"/>
    <w:rsid w:val="07E349B0"/>
    <w:rsid w:val="080655EC"/>
    <w:rsid w:val="0F2B57C3"/>
    <w:rsid w:val="0F3833E7"/>
    <w:rsid w:val="0FEE1BDB"/>
    <w:rsid w:val="0FEF647A"/>
    <w:rsid w:val="113F716A"/>
    <w:rsid w:val="12DD6F01"/>
    <w:rsid w:val="13251FF4"/>
    <w:rsid w:val="133438E9"/>
    <w:rsid w:val="16FD7F75"/>
    <w:rsid w:val="182D25C2"/>
    <w:rsid w:val="19C34D79"/>
    <w:rsid w:val="1D0B2FB0"/>
    <w:rsid w:val="205729C5"/>
    <w:rsid w:val="230949B3"/>
    <w:rsid w:val="26A900A8"/>
    <w:rsid w:val="275859A0"/>
    <w:rsid w:val="29833AC2"/>
    <w:rsid w:val="2C3E49FC"/>
    <w:rsid w:val="2D18339C"/>
    <w:rsid w:val="2D8D5C78"/>
    <w:rsid w:val="2EE67D35"/>
    <w:rsid w:val="2F623005"/>
    <w:rsid w:val="32B950BA"/>
    <w:rsid w:val="32BB4225"/>
    <w:rsid w:val="348651FA"/>
    <w:rsid w:val="35294DAE"/>
    <w:rsid w:val="36865435"/>
    <w:rsid w:val="37B923C8"/>
    <w:rsid w:val="38AA1DD4"/>
    <w:rsid w:val="38E30E42"/>
    <w:rsid w:val="3B273268"/>
    <w:rsid w:val="3C844841"/>
    <w:rsid w:val="3D626DA6"/>
    <w:rsid w:val="3FB3156E"/>
    <w:rsid w:val="3FF9372A"/>
    <w:rsid w:val="4000052B"/>
    <w:rsid w:val="40624EF6"/>
    <w:rsid w:val="41B77024"/>
    <w:rsid w:val="437A1489"/>
    <w:rsid w:val="460D74FE"/>
    <w:rsid w:val="486B29D8"/>
    <w:rsid w:val="48C4659A"/>
    <w:rsid w:val="494A4D03"/>
    <w:rsid w:val="4A4B30A6"/>
    <w:rsid w:val="4E287B8F"/>
    <w:rsid w:val="4E2B2C17"/>
    <w:rsid w:val="4F7227C9"/>
    <w:rsid w:val="51CA5707"/>
    <w:rsid w:val="52662470"/>
    <w:rsid w:val="528965FF"/>
    <w:rsid w:val="54034D64"/>
    <w:rsid w:val="55223429"/>
    <w:rsid w:val="568336AC"/>
    <w:rsid w:val="58EB2CD9"/>
    <w:rsid w:val="5D045FFD"/>
    <w:rsid w:val="5DED21E0"/>
    <w:rsid w:val="5E533026"/>
    <w:rsid w:val="603040BD"/>
    <w:rsid w:val="63DA5557"/>
    <w:rsid w:val="66FB3482"/>
    <w:rsid w:val="68921DB9"/>
    <w:rsid w:val="69EE0DB5"/>
    <w:rsid w:val="6A507835"/>
    <w:rsid w:val="6B7258C3"/>
    <w:rsid w:val="6CA908B2"/>
    <w:rsid w:val="6FA3559F"/>
    <w:rsid w:val="70497201"/>
    <w:rsid w:val="7083201C"/>
    <w:rsid w:val="708A7E9A"/>
    <w:rsid w:val="70A95EF1"/>
    <w:rsid w:val="70C67989"/>
    <w:rsid w:val="73C80160"/>
    <w:rsid w:val="73F85F77"/>
    <w:rsid w:val="755469EE"/>
    <w:rsid w:val="76764645"/>
    <w:rsid w:val="77187ACC"/>
    <w:rsid w:val="77813724"/>
    <w:rsid w:val="780A23D9"/>
    <w:rsid w:val="786D4A31"/>
    <w:rsid w:val="78FA0D3D"/>
    <w:rsid w:val="7A2747BD"/>
    <w:rsid w:val="7A7430CC"/>
    <w:rsid w:val="7BC4348B"/>
    <w:rsid w:val="7CA61410"/>
    <w:rsid w:val="7D806106"/>
    <w:rsid w:val="7E370052"/>
    <w:rsid w:val="7ED1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outlineLvl w:val="1"/>
    </w:pPr>
    <w:rPr>
      <w:rFonts w:ascii="Cambria" w:hAnsi="Cambria" w:cs="宋体"/>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style>
  <w:style w:type="paragraph" w:styleId="5">
    <w:name w:val="Body Text"/>
    <w:basedOn w:val="1"/>
    <w:next w:val="1"/>
    <w:qFormat/>
    <w:uiPriority w:val="0"/>
    <w:pPr>
      <w:spacing w:after="120"/>
    </w:pPr>
  </w:style>
  <w:style w:type="paragraph" w:styleId="6">
    <w:name w:val="annotation text"/>
    <w:basedOn w:val="1"/>
    <w:qFormat/>
    <w:uiPriority w:val="0"/>
    <w:pPr>
      <w:jc w:val="left"/>
    </w:pPr>
    <w:rPr>
      <w:rFonts w:asciiTheme="minorHAnsi" w:hAnsiTheme="minorHAnsi" w:eastAsiaTheme="minorEastAsia" w:cstheme="minorBidi"/>
    </w:rPr>
  </w:style>
  <w:style w:type="paragraph" w:styleId="7">
    <w:name w:val="Body Text Indent"/>
    <w:basedOn w:val="1"/>
    <w:qFormat/>
    <w:uiPriority w:val="0"/>
    <w:pPr>
      <w:spacing w:line="560" w:lineRule="exact"/>
      <w:ind w:left="300"/>
    </w:pPr>
    <w:rPr>
      <w:sz w:val="24"/>
    </w:rPr>
  </w:style>
  <w:style w:type="paragraph" w:styleId="8">
    <w:name w:val="toc 3"/>
    <w:basedOn w:val="1"/>
    <w:next w:val="1"/>
    <w:semiHidden/>
    <w:unhideWhenUsed/>
    <w:qFormat/>
    <w:uiPriority w:val="39"/>
    <w:pPr>
      <w:ind w:left="840" w:leftChars="400"/>
    </w:pPr>
  </w:style>
  <w:style w:type="paragraph" w:styleId="9">
    <w:name w:val="Plain Text"/>
    <w:basedOn w:val="1"/>
    <w:link w:val="24"/>
    <w:semiHidden/>
    <w:unhideWhenUsed/>
    <w:qFormat/>
    <w:uiPriority w:val="99"/>
    <w:rPr>
      <w:rFonts w:ascii="宋体" w:hAnsi="Courier New" w:eastAsia="宋体" w:cs="Times New Roman"/>
      <w:szCs w:val="20"/>
    </w:rPr>
  </w:style>
  <w:style w:type="paragraph" w:styleId="10">
    <w:name w:val="footer"/>
    <w:basedOn w:val="1"/>
    <w:link w:val="23"/>
    <w:semiHidden/>
    <w:unhideWhenUsed/>
    <w:qFormat/>
    <w:uiPriority w:val="99"/>
    <w:pPr>
      <w:tabs>
        <w:tab w:val="center" w:pos="4153"/>
        <w:tab w:val="right" w:pos="8306"/>
      </w:tabs>
      <w:snapToGrid w:val="0"/>
      <w:jc w:val="left"/>
    </w:pPr>
    <w:rPr>
      <w:sz w:val="18"/>
      <w:szCs w:val="18"/>
    </w:rPr>
  </w:style>
  <w:style w:type="paragraph" w:styleId="11">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semiHidden/>
    <w:unhideWhenUsed/>
    <w:qFormat/>
    <w:uiPriority w:val="99"/>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5">
    <w:name w:val="Body Text First Indent 2"/>
    <w:basedOn w:val="7"/>
    <w:qFormat/>
    <w:uiPriority w:val="0"/>
    <w:pPr>
      <w:ind w:firstLine="420" w:firstLineChars="200"/>
    </w:pPr>
    <w:rPr>
      <w:sz w:val="21"/>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22">
    <w:name w:val="页眉 Char"/>
    <w:basedOn w:val="18"/>
    <w:link w:val="11"/>
    <w:semiHidden/>
    <w:qFormat/>
    <w:uiPriority w:val="99"/>
    <w:rPr>
      <w:sz w:val="18"/>
      <w:szCs w:val="18"/>
    </w:rPr>
  </w:style>
  <w:style w:type="character" w:customStyle="1" w:styleId="23">
    <w:name w:val="页脚 Char"/>
    <w:basedOn w:val="18"/>
    <w:link w:val="10"/>
    <w:semiHidden/>
    <w:qFormat/>
    <w:uiPriority w:val="99"/>
    <w:rPr>
      <w:sz w:val="18"/>
      <w:szCs w:val="18"/>
    </w:rPr>
  </w:style>
  <w:style w:type="character" w:customStyle="1" w:styleId="24">
    <w:name w:val="纯文本 Char"/>
    <w:basedOn w:val="18"/>
    <w:link w:val="9"/>
    <w:semiHidden/>
    <w:qFormat/>
    <w:uiPriority w:val="99"/>
    <w:rPr>
      <w:rFonts w:ascii="宋体" w:hAnsi="Courier New" w:eastAsia="宋体" w:cs="Times New Roman"/>
      <w:szCs w:val="20"/>
    </w:rPr>
  </w:style>
  <w:style w:type="paragraph" w:customStyle="1" w:styleId="25">
    <w:name w:val="列出段落11"/>
    <w:basedOn w:val="1"/>
    <w:qFormat/>
    <w:uiPriority w:val="0"/>
    <w:pPr>
      <w:ind w:firstLine="420" w:firstLineChars="200"/>
    </w:pPr>
  </w:style>
  <w:style w:type="paragraph" w:styleId="26">
    <w:name w:val="List Paragraph"/>
    <w:basedOn w:val="1"/>
    <w:autoRedefine/>
    <w:qFormat/>
    <w:uiPriority w:val="34"/>
    <w:pPr>
      <w:ind w:firstLine="420" w:firstLineChars="200"/>
    </w:pPr>
    <w:rPr>
      <w:rFonts w:ascii="Calibri" w:hAnsi="Calibri"/>
      <w:szCs w:val="22"/>
    </w:rPr>
  </w:style>
  <w:style w:type="character" w:customStyle="1" w:styleId="27">
    <w:name w:val="font11"/>
    <w:basedOn w:val="18"/>
    <w:qFormat/>
    <w:uiPriority w:val="0"/>
    <w:rPr>
      <w:rFonts w:hint="eastAsia" w:ascii="宋体" w:hAnsi="宋体" w:eastAsia="宋体" w:cs="宋体"/>
      <w:color w:val="000000"/>
      <w:sz w:val="24"/>
      <w:szCs w:val="24"/>
      <w:u w:val="none"/>
    </w:rPr>
  </w:style>
  <w:style w:type="character" w:customStyle="1" w:styleId="28">
    <w:name w:val="font41"/>
    <w:basedOn w:val="18"/>
    <w:qFormat/>
    <w:uiPriority w:val="0"/>
    <w:rPr>
      <w:rFonts w:hint="default" w:ascii="Times New Roman" w:hAnsi="Times New Roman" w:cs="Times New Roman"/>
      <w:color w:val="000000"/>
      <w:sz w:val="24"/>
      <w:szCs w:val="24"/>
      <w:u w:val="none"/>
    </w:rPr>
  </w:style>
  <w:style w:type="paragraph" w:customStyle="1" w:styleId="29">
    <w:name w:val="*正文"/>
    <w:basedOn w:val="1"/>
    <w:qFormat/>
    <w:uiPriority w:val="0"/>
    <w:pPr>
      <w:spacing w:line="360" w:lineRule="auto"/>
      <w:ind w:firstLine="200" w:firstLineChars="200"/>
    </w:pPr>
    <w:rPr>
      <w:rFonts w:ascii="宋体" w:hAnsi="宋体"/>
      <w:kern w:val="0"/>
      <w:sz w:val="22"/>
      <w:szCs w:val="24"/>
    </w:rPr>
  </w:style>
  <w:style w:type="paragraph" w:customStyle="1" w:styleId="3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
    <w:name w:val="_Style 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列出段落1"/>
    <w:basedOn w:val="1"/>
    <w:autoRedefine/>
    <w:qFormat/>
    <w:uiPriority w:val="34"/>
    <w:pPr>
      <w:ind w:firstLine="420" w:firstLineChars="200"/>
    </w:pPr>
  </w:style>
  <w:style w:type="table" w:customStyle="1" w:styleId="33">
    <w:name w:val="网格型1"/>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font21"/>
    <w:basedOn w:val="18"/>
    <w:qFormat/>
    <w:uiPriority w:val="0"/>
    <w:rPr>
      <w:rFonts w:hint="eastAsia" w:ascii="宋体" w:hAnsi="宋体" w:eastAsia="宋体" w:cs="宋体"/>
      <w:color w:val="000000"/>
      <w:sz w:val="22"/>
      <w:szCs w:val="22"/>
      <w:u w:val="none"/>
    </w:rPr>
  </w:style>
  <w:style w:type="character" w:customStyle="1" w:styleId="35">
    <w:name w:val="font71"/>
    <w:basedOn w:val="18"/>
    <w:qFormat/>
    <w:uiPriority w:val="0"/>
    <w:rPr>
      <w:rFonts w:hint="eastAsia" w:ascii="微软雅黑" w:hAnsi="微软雅黑" w:eastAsia="微软雅黑" w:cs="微软雅黑"/>
      <w:color w:val="FF0000"/>
      <w:sz w:val="22"/>
      <w:szCs w:val="22"/>
      <w:u w:val="none"/>
    </w:rPr>
  </w:style>
  <w:style w:type="character" w:customStyle="1" w:styleId="36">
    <w:name w:val="font81"/>
    <w:basedOn w:val="18"/>
    <w:qFormat/>
    <w:uiPriority w:val="0"/>
    <w:rPr>
      <w:rFonts w:hint="eastAsia" w:ascii="宋体" w:hAnsi="宋体" w:eastAsia="宋体" w:cs="宋体"/>
      <w:color w:val="000000"/>
      <w:sz w:val="22"/>
      <w:szCs w:val="22"/>
      <w:u w:val="none"/>
    </w:rPr>
  </w:style>
  <w:style w:type="character" w:customStyle="1" w:styleId="37">
    <w:name w:val="font91"/>
    <w:basedOn w:val="18"/>
    <w:qFormat/>
    <w:uiPriority w:val="0"/>
    <w:rPr>
      <w:rFonts w:hint="default" w:ascii="Times New Roman" w:hAnsi="Times New Roman" w:cs="Times New Roman"/>
      <w:color w:val="FF0000"/>
      <w:sz w:val="22"/>
      <w:szCs w:val="22"/>
      <w:u w:val="none"/>
    </w:rPr>
  </w:style>
  <w:style w:type="character" w:customStyle="1" w:styleId="38">
    <w:name w:val="font101"/>
    <w:basedOn w:val="18"/>
    <w:qFormat/>
    <w:uiPriority w:val="0"/>
    <w:rPr>
      <w:rFonts w:hint="eastAsia" w:ascii="宋体" w:hAnsi="宋体" w:eastAsia="宋体" w:cs="宋体"/>
      <w:color w:val="FF0000"/>
      <w:sz w:val="22"/>
      <w:szCs w:val="22"/>
      <w:u w:val="none"/>
    </w:rPr>
  </w:style>
  <w:style w:type="character" w:customStyle="1" w:styleId="39">
    <w:name w:val="font51"/>
    <w:basedOn w:val="18"/>
    <w:qFormat/>
    <w:uiPriority w:val="0"/>
    <w:rPr>
      <w:rFonts w:hint="default" w:ascii="华文宋体" w:hAnsi="华文宋体" w:eastAsia="华文宋体" w:cs="华文宋体"/>
      <w:color w:val="000000"/>
      <w:sz w:val="22"/>
      <w:szCs w:val="22"/>
      <w:u w:val="none"/>
    </w:rPr>
  </w:style>
  <w:style w:type="character" w:customStyle="1" w:styleId="40">
    <w:name w:val="font121"/>
    <w:basedOn w:val="18"/>
    <w:qFormat/>
    <w:uiPriority w:val="0"/>
    <w:rPr>
      <w:rFonts w:hint="default" w:ascii="华文宋体" w:hAnsi="华文宋体" w:eastAsia="华文宋体" w:cs="华文宋体"/>
      <w:color w:val="FF0000"/>
      <w:sz w:val="22"/>
      <w:szCs w:val="22"/>
      <w:u w:val="none"/>
    </w:rPr>
  </w:style>
  <w:style w:type="character" w:customStyle="1" w:styleId="41">
    <w:name w:val="font111"/>
    <w:basedOn w:val="18"/>
    <w:qFormat/>
    <w:uiPriority w:val="0"/>
    <w:rPr>
      <w:rFonts w:ascii="Arial" w:hAnsi="Arial" w:cs="Arial"/>
      <w:color w:val="000000"/>
      <w:sz w:val="22"/>
      <w:szCs w:val="22"/>
      <w:u w:val="none"/>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样式1 Char Char"/>
    <w:basedOn w:val="1"/>
    <w:qFormat/>
    <w:uiPriority w:val="0"/>
    <w:pPr>
      <w:keepNext w:val="0"/>
      <w:keepLines w:val="0"/>
      <w:widowControl w:val="0"/>
      <w:suppressLineNumbers w:val="0"/>
      <w:spacing w:before="0" w:beforeAutospacing="0" w:after="0" w:afterAutospacing="0" w:line="360" w:lineRule="auto"/>
      <w:ind w:left="0" w:right="0" w:firstLine="516" w:firstLineChars="215"/>
      <w:jc w:val="both"/>
    </w:pPr>
    <w:rPr>
      <w:rFonts w:hint="default" w:ascii="Calibri" w:hAnsi="Calibri"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4079</Words>
  <Characters>4141</Characters>
  <Lines>1</Lines>
  <Paragraphs>1</Paragraphs>
  <TotalTime>2</TotalTime>
  <ScaleCrop>false</ScaleCrop>
  <LinksUpToDate>false</LinksUpToDate>
  <CharactersWithSpaces>4509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2025-07-31T00:32:58Z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547A62FD038B404E9AE4119BF4837C39_13</vt:lpwstr>
  </property>
  <property fmtid="{D5CDD505-2E9C-101B-9397-08002B2CF9AE}" pid="4" name="KSOTemplateDocerSaveRecord">
    <vt:lpwstr>eyJoZGlkIjoiM2EyNDYyYmQ1ZDA0NDE2ZWMxMTVjMTBjNjZlNGMxZWMiLCJ1c2VySWQiOiIxOTQ5NzkyNTQifQ==</vt:lpwstr>
  </property>
</Properties>
</file>