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lang w:val="en-US" w:eastAsia="zh-CN"/>
        </w:rPr>
        <w:t>招标</w:t>
      </w:r>
      <w:r>
        <w:rPr>
          <w:rFonts w:hint="eastAsia" w:ascii="宋体" w:hAnsi="宋体" w:cs="宋体"/>
          <w:b/>
          <w:sz w:val="84"/>
          <w:szCs w:val="84"/>
          <w:highlight w:val="none"/>
        </w:rPr>
        <w:t>文件</w:t>
      </w:r>
    </w:p>
    <w:p w14:paraId="34849FF9">
      <w:pPr>
        <w:spacing w:line="500" w:lineRule="exact"/>
        <w:ind w:firstLine="301" w:firstLineChars="100"/>
        <w:jc w:val="left"/>
        <w:outlineLvl w:val="9"/>
        <w:rPr>
          <w:rFonts w:hint="eastAsia" w:ascii="宋体" w:hAnsi="宋体" w:eastAsia="宋体" w:cs="宋体"/>
          <w:b/>
          <w:bCs/>
          <w:sz w:val="30"/>
          <w:szCs w:val="30"/>
          <w:highlight w:val="none"/>
        </w:rPr>
      </w:pPr>
    </w:p>
    <w:p w14:paraId="3932F528">
      <w:pPr>
        <w:spacing w:line="500" w:lineRule="exact"/>
        <w:ind w:firstLine="301" w:firstLineChars="100"/>
        <w:jc w:val="left"/>
        <w:outlineLvl w:val="9"/>
        <w:rPr>
          <w:rFonts w:hint="eastAsia" w:ascii="宋体" w:hAnsi="宋体" w:eastAsia="宋体" w:cs="宋体"/>
          <w:b/>
          <w:bCs/>
          <w:sz w:val="30"/>
          <w:szCs w:val="30"/>
          <w:highlight w:val="none"/>
        </w:rPr>
      </w:pPr>
    </w:p>
    <w:p w14:paraId="05BC4B03">
      <w:pPr>
        <w:spacing w:line="500" w:lineRule="exact"/>
        <w:ind w:firstLine="301" w:firstLineChars="100"/>
        <w:jc w:val="left"/>
        <w:outlineLvl w:val="9"/>
        <w:rPr>
          <w:rFonts w:hint="eastAsia" w:ascii="宋体" w:hAnsi="宋体" w:eastAsia="宋体" w:cs="宋体"/>
          <w:b/>
          <w:bCs/>
          <w:sz w:val="30"/>
          <w:szCs w:val="30"/>
          <w:highlight w:val="none"/>
        </w:rPr>
      </w:pPr>
    </w:p>
    <w:p w14:paraId="3BEF486F">
      <w:pPr>
        <w:spacing w:line="500" w:lineRule="exact"/>
        <w:ind w:firstLine="301" w:firstLineChars="100"/>
        <w:jc w:val="left"/>
        <w:outlineLvl w:val="9"/>
        <w:rPr>
          <w:rFonts w:hint="eastAsia" w:ascii="宋体" w:hAnsi="宋体" w:eastAsia="宋体" w:cs="宋体"/>
          <w:b/>
          <w:bCs/>
          <w:sz w:val="30"/>
          <w:szCs w:val="30"/>
          <w:highlight w:val="none"/>
        </w:rPr>
      </w:pPr>
    </w:p>
    <w:p w14:paraId="28882CED">
      <w:pPr>
        <w:spacing w:line="500" w:lineRule="exact"/>
        <w:ind w:firstLine="301" w:firstLineChars="100"/>
        <w:jc w:val="left"/>
        <w:outlineLvl w:val="9"/>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FTEY-ZXCG-2025007</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301" w:firstLineChars="100"/>
        <w:jc w:val="left"/>
        <w:outlineLvl w:val="9"/>
        <w:rPr>
          <w:rFonts w:hint="eastAsia" w:ascii="宋体" w:hAnsi="宋体" w:eastAsia="宋体" w:cs="宋体"/>
          <w:b/>
          <w:bCs/>
          <w:sz w:val="30"/>
          <w:szCs w:val="30"/>
          <w:highlight w:val="none"/>
        </w:rPr>
      </w:pPr>
    </w:p>
    <w:p w14:paraId="4FAA5362">
      <w:pPr>
        <w:spacing w:line="500" w:lineRule="exact"/>
        <w:ind w:firstLine="301" w:firstLineChars="100"/>
        <w:jc w:val="left"/>
        <w:outlineLvl w:val="9"/>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项目名称：康复医学科WIFI建设项目</w:t>
      </w:r>
    </w:p>
    <w:p w14:paraId="25C36F80">
      <w:pPr>
        <w:spacing w:line="500" w:lineRule="exact"/>
        <w:ind w:firstLine="301" w:firstLineChars="100"/>
        <w:jc w:val="left"/>
        <w:outlineLvl w:val="9"/>
        <w:rPr>
          <w:rFonts w:hint="eastAsia" w:ascii="宋体" w:hAnsi="宋体" w:eastAsia="宋体" w:cs="宋体"/>
          <w:b/>
          <w:bCs/>
          <w:sz w:val="30"/>
          <w:szCs w:val="30"/>
          <w:highlight w:val="none"/>
        </w:rPr>
      </w:pPr>
    </w:p>
    <w:p w14:paraId="6E610C0D">
      <w:pPr>
        <w:spacing w:line="500" w:lineRule="exact"/>
        <w:ind w:firstLine="301" w:firstLineChars="100"/>
        <w:jc w:val="left"/>
        <w:outlineLvl w:val="9"/>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outlineLvl w:val="9"/>
        <w:rPr>
          <w:rFonts w:hint="eastAsia" w:ascii="宋体" w:hAnsi="宋体" w:eastAsia="宋体" w:cs="宋体"/>
          <w:b/>
          <w:bCs/>
          <w:sz w:val="30"/>
          <w:szCs w:val="30"/>
          <w:highlight w:val="none"/>
        </w:rPr>
      </w:pPr>
    </w:p>
    <w:p w14:paraId="2909C33A">
      <w:pPr>
        <w:spacing w:line="500" w:lineRule="exact"/>
        <w:ind w:firstLine="301" w:firstLineChars="100"/>
        <w:jc w:val="left"/>
        <w:outlineLvl w:val="9"/>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采购方式：</w:t>
      </w:r>
      <w:r>
        <w:rPr>
          <w:rFonts w:hint="eastAsia" w:ascii="宋体" w:hAnsi="宋体" w:eastAsia="宋体" w:cs="宋体"/>
          <w:b/>
          <w:bCs/>
          <w:sz w:val="30"/>
          <w:szCs w:val="30"/>
          <w:highlight w:val="none"/>
          <w:lang w:val="en-US" w:eastAsia="zh-CN"/>
        </w:rPr>
        <w:t>公开招标</w:t>
      </w:r>
    </w:p>
    <w:p w14:paraId="0060BBC4">
      <w:pPr>
        <w:spacing w:line="500" w:lineRule="exact"/>
        <w:ind w:firstLine="301" w:firstLineChars="100"/>
        <w:jc w:val="left"/>
        <w:outlineLvl w:val="9"/>
        <w:rPr>
          <w:rFonts w:hint="eastAsia" w:ascii="宋体" w:hAnsi="宋体" w:eastAsia="宋体" w:cs="宋体"/>
          <w:b/>
          <w:bCs/>
          <w:sz w:val="30"/>
          <w:szCs w:val="30"/>
          <w:highlight w:val="none"/>
        </w:rPr>
      </w:pPr>
    </w:p>
    <w:p w14:paraId="37C24CCC">
      <w:pPr>
        <w:spacing w:line="500" w:lineRule="exact"/>
        <w:ind w:firstLine="301" w:firstLineChars="100"/>
        <w:jc w:val="left"/>
        <w:outlineLvl w:val="9"/>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货币类型：人民币</w:t>
      </w:r>
    </w:p>
    <w:p w14:paraId="345C021C">
      <w:pPr>
        <w:pStyle w:val="23"/>
        <w:rPr>
          <w:rFonts w:hint="eastAsia"/>
        </w:rPr>
      </w:pPr>
    </w:p>
    <w:p w14:paraId="707A734E">
      <w:pPr>
        <w:pageBreakBefore/>
        <w:jc w:val="center"/>
        <w:outlineLvl w:val="9"/>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2"/>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四、请投标供应商阅读《政府采购违法行为风险知悉确认书》（内容详见“投标文件的格式、附件”中“招标文件要求的其他内容及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w:t>
      </w:r>
      <w:r>
        <w:rPr>
          <w:rFonts w:hint="eastAsia" w:ascii="仿宋" w:hAnsi="仿宋" w:eastAsia="仿宋" w:cs="仿宋"/>
          <w:color w:val="FF0000"/>
          <w:sz w:val="24"/>
          <w:lang w:val="en-US" w:eastAsia="zh-CN"/>
        </w:rPr>
        <w:t>符合</w:t>
      </w:r>
      <w:r>
        <w:rPr>
          <w:rFonts w:hint="eastAsia" w:ascii="仿宋" w:hAnsi="仿宋" w:eastAsia="仿宋" w:cs="仿宋"/>
          <w:color w:val="FF0000"/>
          <w:sz w:val="24"/>
        </w:rPr>
        <w:t>性审查条件。</w:t>
      </w:r>
    </w:p>
    <w:p w14:paraId="5FE753FE">
      <w:pPr>
        <w:pStyle w:val="2"/>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2"/>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2"/>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、请仔细检查投标文件是否已按招标文件要求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、招标项目内或所投包号内有多项设备或报价内容的，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27B2398E">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七</w:t>
      </w:r>
      <w:r>
        <w:rPr>
          <w:rFonts w:hint="eastAsia" w:ascii="宋体" w:hAnsi="宋体" w:cs="宋体"/>
          <w:sz w:val="24"/>
          <w:highlight w:val="none"/>
        </w:rPr>
        <w:t>、</w:t>
      </w:r>
      <w:r>
        <w:rPr>
          <w:rFonts w:hint="eastAsia" w:ascii="宋体" w:hAnsi="宋体" w:eastAsia="宋体" w:cs="宋体"/>
          <w:sz w:val="24"/>
          <w:highlight w:val="none"/>
        </w:rPr>
        <w:t>请在投标截止时间前3日以书面形式</w:t>
      </w:r>
      <w:r>
        <w:rPr>
          <w:rFonts w:hint="eastAsia" w:ascii="宋体" w:hAnsi="宋体" w:cs="宋体"/>
          <w:sz w:val="24"/>
          <w:highlight w:val="none"/>
          <w:lang w:val="en-US" w:eastAsia="zh-CN"/>
        </w:rPr>
        <w:t>或邮件</w:t>
      </w:r>
      <w:r>
        <w:rPr>
          <w:rFonts w:hint="eastAsia" w:ascii="宋体" w:hAnsi="宋体" w:eastAsia="宋体" w:cs="宋体"/>
          <w:sz w:val="24"/>
          <w:highlight w:val="none"/>
        </w:rPr>
        <w:t>通知</w:t>
      </w:r>
      <w:r>
        <w:rPr>
          <w:rFonts w:hint="eastAsia" w:ascii="宋体" w:hAnsi="宋体" w:eastAsia="宋体" w:cs="宋体"/>
          <w:sz w:val="24"/>
          <w:highlight w:val="none"/>
          <w:lang w:eastAsia="zh-CN"/>
        </w:rPr>
        <w:t>深圳市福田区第二人民医院</w:t>
      </w:r>
      <w:r>
        <w:rPr>
          <w:rFonts w:hint="eastAsia" w:ascii="宋体" w:hAnsi="宋体" w:eastAsia="宋体" w:cs="宋体"/>
          <w:sz w:val="24"/>
          <w:highlight w:val="none"/>
          <w:lang w:val="en-US" w:eastAsia="zh-CN"/>
        </w:rPr>
        <w:t>招标采购办</w:t>
      </w:r>
      <w:r>
        <w:rPr>
          <w:rFonts w:hint="eastAsia" w:ascii="宋体" w:hAnsi="宋体" w:eastAsia="宋体" w:cs="宋体"/>
          <w:sz w:val="24"/>
          <w:highlight w:val="none"/>
        </w:rPr>
        <w:t>是否参加投标。</w:t>
      </w:r>
    </w:p>
    <w:p w14:paraId="07EF87CD">
      <w:pPr>
        <w:tabs>
          <w:tab w:val="left" w:pos="851"/>
        </w:tabs>
        <w:spacing w:line="48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八、</w:t>
      </w:r>
      <w:r>
        <w:rPr>
          <w:rFonts w:hint="eastAsia" w:ascii="宋体" w:hAnsi="宋体" w:eastAsia="宋体" w:cs="宋体"/>
          <w:sz w:val="24"/>
          <w:highlight w:val="none"/>
        </w:rPr>
        <w:t>招标活动的最终解释权属于深圳市福田区第二人民医院。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（以上提示内容仅作一般事项提醒，如与实际招标项目要求有不一致，以招标文件为准）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9"/>
        <w:rPr>
          <w:rFonts w:hint="eastAsia" w:ascii="宋体" w:hAnsi="宋体" w:cs="宋体"/>
          <w:b/>
          <w:sz w:val="44"/>
          <w:szCs w:val="44"/>
          <w:highlight w:val="none"/>
        </w:rPr>
      </w:pPr>
      <w:bookmarkStart w:id="2" w:name="_Toc533608588"/>
    </w:p>
    <w:p w14:paraId="441CA6A9">
      <w:pPr>
        <w:jc w:val="both"/>
        <w:outlineLvl w:val="9"/>
        <w:rPr>
          <w:rFonts w:hint="eastAsia" w:ascii="宋体" w:hAnsi="宋体" w:cs="宋体"/>
          <w:b/>
          <w:sz w:val="44"/>
          <w:szCs w:val="44"/>
          <w:highlight w:val="none"/>
        </w:rPr>
      </w:pPr>
    </w:p>
    <w:p w14:paraId="53E4EDA1">
      <w:pPr>
        <w:jc w:val="center"/>
        <w:outlineLvl w:val="9"/>
        <w:rPr>
          <w:rFonts w:hint="eastAsia" w:ascii="宋体" w:hAnsi="宋体" w:cs="宋体"/>
          <w:b/>
          <w:sz w:val="44"/>
          <w:szCs w:val="44"/>
          <w:highlight w:val="none"/>
        </w:rPr>
      </w:pPr>
    </w:p>
    <w:sdt>
      <w:sdtPr>
        <w:rPr>
          <w:rFonts w:ascii="宋体" w:hAnsi="宋体" w:eastAsia="宋体" w:cs="Times New Roman"/>
          <w:kern w:val="2"/>
          <w:sz w:val="21"/>
          <w:szCs w:val="24"/>
          <w:lang w:val="en-US" w:eastAsia="zh-CN" w:bidi="ar-SA"/>
        </w:rPr>
        <w:id w:val="147469507"/>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09DCB231">
          <w:pPr>
            <w:spacing w:before="0" w:beforeLines="0" w:after="0" w:afterLines="0" w:line="240" w:lineRule="auto"/>
            <w:ind w:left="0" w:leftChars="0" w:right="0" w:rightChars="0" w:firstLine="0" w:firstLineChars="0"/>
            <w:jc w:val="center"/>
            <w:rPr>
              <w:sz w:val="48"/>
              <w:szCs w:val="56"/>
            </w:rPr>
          </w:pPr>
          <w:r>
            <w:rPr>
              <w:rFonts w:ascii="宋体" w:hAnsi="宋体" w:eastAsia="宋体"/>
              <w:sz w:val="48"/>
              <w:szCs w:val="56"/>
            </w:rPr>
            <w:t>目</w:t>
          </w:r>
          <w:r>
            <w:rPr>
              <w:rFonts w:hint="eastAsia" w:ascii="宋体" w:hAnsi="宋体" w:eastAsia="宋体"/>
              <w:sz w:val="48"/>
              <w:szCs w:val="56"/>
              <w:lang w:val="en-US" w:eastAsia="zh-CN"/>
            </w:rPr>
            <w:t xml:space="preserve">  </w:t>
          </w:r>
          <w:r>
            <w:rPr>
              <w:rFonts w:ascii="宋体" w:hAnsi="宋体" w:eastAsia="宋体"/>
              <w:sz w:val="48"/>
              <w:szCs w:val="56"/>
            </w:rPr>
            <w:t>录</w:t>
          </w:r>
        </w:p>
        <w:p w14:paraId="0A39890D">
          <w:pPr>
            <w:pStyle w:val="30"/>
            <w:tabs>
              <w:tab w:val="right" w:leader="dot" w:pos="8306"/>
            </w:tabs>
          </w:pPr>
        </w:p>
        <w:p w14:paraId="3AD84915">
          <w:pPr>
            <w:pStyle w:val="30"/>
            <w:tabs>
              <w:tab w:val="right" w:leader="dot" w:pos="8306"/>
            </w:tabs>
            <w:jc w:val="left"/>
            <w:rPr>
              <w:sz w:val="28"/>
              <w:szCs w:val="28"/>
            </w:rPr>
          </w:pPr>
          <w:r>
            <w:fldChar w:fldCharType="begin"/>
          </w:r>
          <w:r>
            <w:instrText xml:space="preserve">TOC \o "1-3" \h \u </w:instrText>
          </w:r>
          <w:r>
            <w:fldChar w:fldCharType="separate"/>
          </w:r>
          <w:r>
            <w:rPr>
              <w:sz w:val="28"/>
              <w:szCs w:val="28"/>
            </w:rPr>
            <w:fldChar w:fldCharType="begin"/>
          </w:r>
          <w:r>
            <w:rPr>
              <w:sz w:val="28"/>
              <w:szCs w:val="28"/>
            </w:rPr>
            <w:instrText xml:space="preserve"> HYPERLINK \l _Toc21912 </w:instrText>
          </w:r>
          <w:r>
            <w:rPr>
              <w:sz w:val="28"/>
              <w:szCs w:val="28"/>
            </w:rPr>
            <w:fldChar w:fldCharType="separate"/>
          </w:r>
          <w:r>
            <w:rPr>
              <w:rFonts w:hint="eastAsia" w:ascii="仿宋" w:hAnsi="仿宋" w:eastAsia="仿宋" w:cs="仿宋"/>
              <w:bCs/>
              <w:sz w:val="28"/>
              <w:szCs w:val="28"/>
              <w:highlight w:val="none"/>
            </w:rPr>
            <w:t>第一章  采购公告</w:t>
          </w:r>
          <w:r>
            <w:rPr>
              <w:sz w:val="28"/>
              <w:szCs w:val="28"/>
            </w:rPr>
            <w:fldChar w:fldCharType="end"/>
          </w:r>
        </w:p>
        <w:p w14:paraId="61FFDC65">
          <w:pPr>
            <w:pStyle w:val="30"/>
            <w:tabs>
              <w:tab w:val="right" w:leader="dot" w:pos="8306"/>
            </w:tabs>
            <w:jc w:val="left"/>
            <w:rPr>
              <w:sz w:val="28"/>
              <w:szCs w:val="28"/>
            </w:rPr>
          </w:pPr>
          <w:r>
            <w:rPr>
              <w:sz w:val="28"/>
              <w:szCs w:val="28"/>
            </w:rPr>
            <w:fldChar w:fldCharType="begin"/>
          </w:r>
          <w:r>
            <w:rPr>
              <w:sz w:val="28"/>
              <w:szCs w:val="28"/>
            </w:rPr>
            <w:instrText xml:space="preserve"> HYPERLINK \l _Toc1366 </w:instrText>
          </w:r>
          <w:r>
            <w:rPr>
              <w:sz w:val="28"/>
              <w:szCs w:val="28"/>
            </w:rPr>
            <w:fldChar w:fldCharType="separate"/>
          </w:r>
          <w:r>
            <w:rPr>
              <w:rFonts w:hint="eastAsia" w:ascii="仿宋" w:hAnsi="仿宋" w:eastAsia="仿宋" w:cs="仿宋"/>
              <w:bCs/>
              <w:sz w:val="28"/>
              <w:szCs w:val="28"/>
            </w:rPr>
            <w:t>第二章  关键信息</w:t>
          </w:r>
          <w:r>
            <w:rPr>
              <w:sz w:val="28"/>
              <w:szCs w:val="28"/>
            </w:rPr>
            <w:fldChar w:fldCharType="end"/>
          </w:r>
        </w:p>
        <w:p w14:paraId="45E28BE6">
          <w:pPr>
            <w:pStyle w:val="30"/>
            <w:tabs>
              <w:tab w:val="right" w:leader="dot" w:pos="8306"/>
            </w:tabs>
            <w:jc w:val="left"/>
            <w:rPr>
              <w:sz w:val="28"/>
              <w:szCs w:val="28"/>
            </w:rPr>
          </w:pPr>
          <w:r>
            <w:rPr>
              <w:sz w:val="28"/>
              <w:szCs w:val="28"/>
            </w:rPr>
            <w:fldChar w:fldCharType="begin"/>
          </w:r>
          <w:r>
            <w:rPr>
              <w:sz w:val="28"/>
              <w:szCs w:val="28"/>
            </w:rPr>
            <w:instrText xml:space="preserve"> HYPERLINK \l _Toc11111 </w:instrText>
          </w:r>
          <w:r>
            <w:rPr>
              <w:sz w:val="28"/>
              <w:szCs w:val="28"/>
            </w:rPr>
            <w:fldChar w:fldCharType="separate"/>
          </w:r>
          <w:r>
            <w:rPr>
              <w:rFonts w:hint="eastAsia" w:ascii="仿宋" w:hAnsi="仿宋" w:eastAsia="仿宋" w:cs="仿宋"/>
              <w:bCs/>
              <w:sz w:val="28"/>
              <w:szCs w:val="44"/>
            </w:rPr>
            <w:t xml:space="preserve">第三章  </w:t>
          </w:r>
          <w:r>
            <w:rPr>
              <w:rFonts w:hint="eastAsia" w:ascii="仿宋" w:hAnsi="仿宋" w:eastAsia="仿宋" w:cs="仿宋"/>
              <w:bCs/>
              <w:sz w:val="28"/>
              <w:szCs w:val="44"/>
              <w:lang w:val="en-US" w:eastAsia="zh-CN"/>
            </w:rPr>
            <w:t>采购</w:t>
          </w:r>
          <w:r>
            <w:rPr>
              <w:rFonts w:hint="eastAsia" w:ascii="仿宋" w:hAnsi="仿宋" w:eastAsia="仿宋" w:cs="仿宋"/>
              <w:bCs/>
              <w:sz w:val="28"/>
              <w:szCs w:val="44"/>
            </w:rPr>
            <w:t>项目</w:t>
          </w:r>
          <w:r>
            <w:rPr>
              <w:rFonts w:hint="eastAsia" w:ascii="仿宋" w:hAnsi="仿宋" w:eastAsia="仿宋" w:cs="仿宋"/>
              <w:bCs/>
              <w:sz w:val="28"/>
              <w:szCs w:val="44"/>
              <w:lang w:val="en-US" w:eastAsia="zh-CN"/>
            </w:rPr>
            <w:t>用户</w:t>
          </w:r>
          <w:r>
            <w:rPr>
              <w:rFonts w:hint="eastAsia" w:ascii="仿宋" w:hAnsi="仿宋" w:eastAsia="仿宋" w:cs="仿宋"/>
              <w:bCs/>
              <w:sz w:val="28"/>
              <w:szCs w:val="44"/>
            </w:rPr>
            <w:t>需求</w:t>
          </w:r>
          <w:r>
            <w:rPr>
              <w:rFonts w:hint="eastAsia" w:ascii="仿宋" w:hAnsi="仿宋" w:eastAsia="仿宋" w:cs="仿宋"/>
              <w:bCs/>
              <w:sz w:val="28"/>
              <w:szCs w:val="44"/>
              <w:lang w:val="en-US" w:eastAsia="zh-CN"/>
            </w:rPr>
            <w:t>书</w:t>
          </w:r>
          <w:r>
            <w:rPr>
              <w:sz w:val="28"/>
              <w:szCs w:val="28"/>
            </w:rPr>
            <w:fldChar w:fldCharType="end"/>
          </w:r>
        </w:p>
        <w:p w14:paraId="0360B272">
          <w:pPr>
            <w:pStyle w:val="30"/>
            <w:tabs>
              <w:tab w:val="right" w:leader="dot" w:pos="8306"/>
            </w:tabs>
            <w:jc w:val="left"/>
            <w:rPr>
              <w:sz w:val="28"/>
              <w:szCs w:val="28"/>
            </w:rPr>
          </w:pPr>
          <w:r>
            <w:rPr>
              <w:sz w:val="28"/>
              <w:szCs w:val="28"/>
            </w:rPr>
            <w:fldChar w:fldCharType="begin"/>
          </w:r>
          <w:r>
            <w:rPr>
              <w:sz w:val="28"/>
              <w:szCs w:val="28"/>
            </w:rPr>
            <w:instrText xml:space="preserve"> HYPERLINK \l _Toc7075 </w:instrText>
          </w:r>
          <w:r>
            <w:rPr>
              <w:sz w:val="28"/>
              <w:szCs w:val="28"/>
            </w:rPr>
            <w:fldChar w:fldCharType="separate"/>
          </w:r>
          <w:r>
            <w:rPr>
              <w:rFonts w:hint="eastAsia" w:ascii="仿宋" w:hAnsi="仿宋" w:eastAsia="仿宋" w:cs="仿宋"/>
              <w:bCs/>
              <w:sz w:val="28"/>
              <w:szCs w:val="28"/>
            </w:rPr>
            <w:t>第</w:t>
          </w:r>
          <w:r>
            <w:rPr>
              <w:rFonts w:hint="eastAsia" w:ascii="仿宋" w:hAnsi="仿宋" w:eastAsia="仿宋" w:cs="仿宋"/>
              <w:bCs/>
              <w:sz w:val="28"/>
              <w:szCs w:val="28"/>
              <w:lang w:val="en-US" w:eastAsia="zh-CN"/>
            </w:rPr>
            <w:t>四</w:t>
          </w:r>
          <w:r>
            <w:rPr>
              <w:rFonts w:hint="eastAsia" w:ascii="仿宋" w:hAnsi="仿宋" w:eastAsia="仿宋" w:cs="仿宋"/>
              <w:bCs/>
              <w:sz w:val="28"/>
              <w:szCs w:val="28"/>
            </w:rPr>
            <w:t xml:space="preserve">章  </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文件格式</w:t>
          </w:r>
          <w:r>
            <w:rPr>
              <w:sz w:val="28"/>
              <w:szCs w:val="28"/>
            </w:rPr>
            <w:fldChar w:fldCharType="end"/>
          </w:r>
        </w:p>
        <w:p w14:paraId="3C35D506">
          <w:pPr>
            <w:pStyle w:val="30"/>
            <w:tabs>
              <w:tab w:val="right" w:leader="dot" w:pos="8306"/>
            </w:tabs>
            <w:jc w:val="left"/>
            <w:rPr>
              <w:sz w:val="28"/>
              <w:szCs w:val="28"/>
            </w:rPr>
          </w:pPr>
          <w:r>
            <w:rPr>
              <w:sz w:val="28"/>
              <w:szCs w:val="28"/>
            </w:rPr>
            <w:fldChar w:fldCharType="begin"/>
          </w:r>
          <w:r>
            <w:rPr>
              <w:sz w:val="28"/>
              <w:szCs w:val="28"/>
            </w:rPr>
            <w:instrText xml:space="preserve"> HYPERLINK \l _Toc17528 </w:instrText>
          </w:r>
          <w:r>
            <w:rPr>
              <w:sz w:val="28"/>
              <w:szCs w:val="28"/>
            </w:rPr>
            <w:fldChar w:fldCharType="separate"/>
          </w:r>
          <w:r>
            <w:rPr>
              <w:rFonts w:hint="eastAsia" w:ascii="仿宋" w:hAnsi="仿宋" w:eastAsia="仿宋" w:cs="仿宋"/>
              <w:bCs/>
              <w:kern w:val="2"/>
              <w:sz w:val="28"/>
              <w:szCs w:val="48"/>
              <w:lang w:val="en-US" w:eastAsia="zh-CN" w:bidi="ar-SA"/>
            </w:rPr>
            <w:t>第五章  合同条款及格式</w:t>
          </w:r>
          <w:r>
            <w:rPr>
              <w:sz w:val="28"/>
              <w:szCs w:val="28"/>
            </w:rPr>
            <w:fldChar w:fldCharType="end"/>
          </w:r>
        </w:p>
        <w:p w14:paraId="38736E71">
          <w:pPr>
            <w:pStyle w:val="30"/>
            <w:tabs>
              <w:tab w:val="right" w:leader="dot" w:pos="8306"/>
            </w:tabs>
            <w:jc w:val="left"/>
            <w:rPr>
              <w:sz w:val="28"/>
              <w:szCs w:val="28"/>
            </w:rPr>
          </w:pPr>
          <w:r>
            <w:rPr>
              <w:sz w:val="28"/>
              <w:szCs w:val="28"/>
            </w:rPr>
            <w:fldChar w:fldCharType="begin"/>
          </w:r>
          <w:r>
            <w:rPr>
              <w:sz w:val="28"/>
              <w:szCs w:val="28"/>
            </w:rPr>
            <w:instrText xml:space="preserve"> HYPERLINK \l _Toc7553 </w:instrText>
          </w:r>
          <w:r>
            <w:rPr>
              <w:sz w:val="28"/>
              <w:szCs w:val="28"/>
            </w:rPr>
            <w:fldChar w:fldCharType="separate"/>
          </w:r>
          <w:r>
            <w:rPr>
              <w:rFonts w:hint="eastAsia" w:ascii="仿宋" w:hAnsi="仿宋" w:eastAsia="仿宋" w:cs="仿宋"/>
              <w:bCs/>
              <w:kern w:val="2"/>
              <w:sz w:val="28"/>
              <w:szCs w:val="48"/>
              <w:lang w:val="en-US" w:eastAsia="zh-CN" w:bidi="ar-SA"/>
            </w:rPr>
            <w:t>第六章  投标人须知</w:t>
          </w:r>
          <w:r>
            <w:rPr>
              <w:sz w:val="28"/>
              <w:szCs w:val="28"/>
            </w:rPr>
            <w:fldChar w:fldCharType="end"/>
          </w:r>
        </w:p>
        <w:p w14:paraId="1A66FBDD">
          <w:pPr>
            <w:pStyle w:val="34"/>
            <w:tabs>
              <w:tab w:val="right" w:leader="dot" w:pos="8306"/>
            </w:tabs>
          </w:pPr>
        </w:p>
        <w:p w14:paraId="1AB32F32">
          <w:r>
            <w:fldChar w:fldCharType="end"/>
          </w:r>
        </w:p>
      </w:sdtContent>
    </w:sdt>
    <w:p w14:paraId="4FC40361"/>
    <w:bookmarkEnd w:id="2"/>
    <w:p w14:paraId="332387A5">
      <w:pPr>
        <w:rPr>
          <w:rFonts w:hint="eastAsia" w:ascii="仿宋" w:hAnsi="仿宋" w:eastAsia="仿宋" w:cs="仿宋"/>
        </w:rPr>
      </w:pPr>
    </w:p>
    <w:p w14:paraId="6C576101">
      <w:pPr>
        <w:pStyle w:val="4"/>
        <w:pageBreakBefore/>
        <w:spacing w:line="415" w:lineRule="auto"/>
        <w:jc w:val="center"/>
        <w:outlineLvl w:val="0"/>
        <w:rPr>
          <w:rFonts w:hint="eastAsia" w:ascii="仿宋" w:hAnsi="仿宋" w:eastAsia="仿宋" w:cs="仿宋"/>
          <w:b/>
          <w:bCs/>
          <w:highlight w:val="none"/>
        </w:rPr>
      </w:pPr>
      <w:bookmarkStart w:id="3" w:name="_Toc21912"/>
      <w:bookmarkStart w:id="4" w:name="_Toc6319"/>
      <w:bookmarkStart w:id="5" w:name="_Toc34238554"/>
      <w:bookmarkStart w:id="6" w:name="_Toc26199"/>
      <w:r>
        <w:rPr>
          <w:rFonts w:hint="eastAsia" w:ascii="仿宋" w:hAnsi="仿宋" w:eastAsia="仿宋" w:cs="仿宋"/>
          <w:b/>
          <w:bCs/>
          <w:highlight w:val="none"/>
        </w:rPr>
        <w:t>第一章  采购公告</w:t>
      </w:r>
      <w:bookmarkEnd w:id="3"/>
      <w:bookmarkEnd w:id="4"/>
      <w:bookmarkEnd w:id="5"/>
      <w:bookmarkEnd w:id="6"/>
    </w:p>
    <w:p w14:paraId="72505164">
      <w:pPr>
        <w:adjustRightInd w:val="0"/>
        <w:snapToGrid w:val="0"/>
        <w:spacing w:line="400" w:lineRule="exact"/>
        <w:jc w:val="left"/>
        <w:outlineLvl w:val="0"/>
        <w:rPr>
          <w:rFonts w:hint="eastAsia" w:ascii="仿宋" w:hAnsi="仿宋" w:eastAsia="仿宋" w:cs="仿宋"/>
          <w:b/>
          <w:color w:val="000000" w:themeColor="text1"/>
          <w:sz w:val="24"/>
          <w:highlight w:val="none"/>
          <w14:textFill>
            <w14:solidFill>
              <w14:schemeClr w14:val="tx1"/>
            </w14:solidFill>
          </w14:textFill>
        </w:rPr>
      </w:pPr>
      <w:bookmarkStart w:id="7" w:name="_Toc28554"/>
      <w:bookmarkStart w:id="8" w:name="_Toc8736"/>
      <w:r>
        <w:rPr>
          <w:rFonts w:hint="eastAsia" w:ascii="仿宋" w:hAnsi="仿宋" w:eastAsia="仿宋" w:cs="仿宋"/>
          <w:b/>
          <w:color w:val="000000" w:themeColor="text1"/>
          <w:sz w:val="24"/>
          <w:highlight w:val="none"/>
          <w14:textFill>
            <w14:solidFill>
              <w14:schemeClr w14:val="tx1"/>
            </w14:solidFill>
          </w14:textFill>
        </w:rPr>
        <w:t>一、 项目基本情况</w:t>
      </w:r>
      <w:bookmarkEnd w:id="7"/>
      <w:bookmarkEnd w:id="8"/>
    </w:p>
    <w:p w14:paraId="45648542">
      <w:pPr>
        <w:adjustRightInd w:val="0"/>
        <w:snapToGrid w:val="0"/>
        <w:spacing w:line="400" w:lineRule="exact"/>
        <w:ind w:firstLine="480" w:firstLineChars="200"/>
        <w:jc w:val="left"/>
        <w:rPr>
          <w:rFonts w:hint="default" w:ascii="宋体" w:hAnsi="宋体" w:eastAsia="宋体" w:cs="宋体"/>
          <w:b/>
          <w:bCs/>
          <w:kern w:val="0"/>
          <w:szCs w:val="21"/>
          <w:highlight w:val="yellow"/>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1、项目编</w:t>
      </w:r>
      <w:r>
        <w:rPr>
          <w:rFonts w:hint="eastAsia" w:ascii="仿宋" w:hAnsi="仿宋" w:eastAsia="仿宋" w:cs="仿宋"/>
          <w:bCs/>
          <w:color w:val="000000" w:themeColor="text1"/>
          <w:sz w:val="24"/>
          <w:highlight w:val="none"/>
          <w14:textFill>
            <w14:solidFill>
              <w14:schemeClr w14:val="tx1"/>
            </w14:solidFill>
          </w14:textFill>
        </w:rPr>
        <w:t>号：</w:t>
      </w:r>
      <w:r>
        <w:rPr>
          <w:rFonts w:hint="eastAsia" w:ascii="宋体" w:hAnsi="宋体" w:eastAsia="宋体" w:cs="宋体"/>
          <w:b/>
          <w:bCs/>
          <w:kern w:val="0"/>
          <w:szCs w:val="21"/>
          <w:highlight w:val="none"/>
          <w:u w:val="single"/>
          <w:lang w:val="en-US" w:eastAsia="zh-CN" w:bidi="ar"/>
        </w:rPr>
        <w:t>FTEY-ZXCG-2025007</w:t>
      </w:r>
    </w:p>
    <w:p w14:paraId="3C954BD1">
      <w:pPr>
        <w:adjustRightInd w:val="0"/>
        <w:snapToGrid w:val="0"/>
        <w:spacing w:line="400" w:lineRule="exact"/>
        <w:ind w:firstLine="480" w:firstLineChars="200"/>
        <w:jc w:val="left"/>
        <w:rPr>
          <w:rFonts w:hint="eastAsia" w:ascii="宋体" w:hAnsi="宋体" w:eastAsia="宋体" w:cs="宋体"/>
          <w:b/>
          <w:bCs/>
          <w:kern w:val="0"/>
          <w:szCs w:val="21"/>
          <w:highlight w:val="none"/>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2、项目名称：</w:t>
      </w:r>
      <w:r>
        <w:rPr>
          <w:rFonts w:hint="eastAsia" w:ascii="宋体" w:hAnsi="宋体" w:eastAsia="宋体" w:cs="宋体"/>
          <w:b/>
          <w:bCs/>
          <w:kern w:val="0"/>
          <w:szCs w:val="21"/>
          <w:highlight w:val="none"/>
          <w:u w:val="single"/>
          <w:lang w:val="en-US" w:eastAsia="zh-CN" w:bidi="ar"/>
        </w:rPr>
        <w:t>康复医学科WIFI建设项目</w:t>
      </w:r>
    </w:p>
    <w:p w14:paraId="260A9C85">
      <w:pPr>
        <w:adjustRightInd w:val="0"/>
        <w:snapToGrid w:val="0"/>
        <w:spacing w:line="400" w:lineRule="exact"/>
        <w:ind w:firstLine="480" w:firstLineChars="2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宋体" w:hAnsi="宋体" w:eastAsia="宋体" w:cs="宋体"/>
          <w:b/>
          <w:bCs/>
          <w:kern w:val="0"/>
          <w:szCs w:val="21"/>
          <w:highlight w:val="none"/>
          <w:u w:val="single"/>
          <w:lang w:val="en-US" w:eastAsia="zh-CN" w:bidi="ar"/>
        </w:rPr>
        <w:t>公开招标</w:t>
      </w:r>
    </w:p>
    <w:p w14:paraId="0FF2C047">
      <w:pPr>
        <w:adjustRightInd w:val="0"/>
        <w:snapToGrid w:val="0"/>
        <w:spacing w:line="400" w:lineRule="exact"/>
        <w:ind w:firstLine="480" w:firstLineChars="2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623"/>
        <w:gridCol w:w="709"/>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623"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709"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2100" w:type="dxa"/>
            <w:noWrap w:val="0"/>
            <w:vAlign w:val="center"/>
          </w:tcPr>
          <w:p w14:paraId="31B45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Cs/>
                <w:color w:val="auto"/>
                <w:kern w:val="0"/>
                <w:sz w:val="21"/>
                <w:szCs w:val="21"/>
                <w:highlight w:val="none"/>
                <w:lang w:val="en-US" w:eastAsia="zh-CN"/>
              </w:rPr>
            </w:pPr>
            <w:r>
              <w:rPr>
                <w:rFonts w:hint="eastAsia"/>
                <w:highlight w:val="none"/>
              </w:rPr>
              <w:t>康复医学科WIFI建设项目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70</w:t>
            </w:r>
            <w:r>
              <w:rPr>
                <w:rFonts w:hint="eastAsia" w:ascii="宋体" w:hAnsi="宋体" w:eastAsia="宋体" w:cs="宋体"/>
                <w:bCs/>
                <w:color w:val="auto"/>
                <w:kern w:val="0"/>
                <w:sz w:val="21"/>
                <w:szCs w:val="21"/>
                <w:highlight w:val="none"/>
                <w:lang w:val="en-US" w:eastAsia="zh-CN"/>
              </w:rPr>
              <w:t>000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70</w:t>
            </w:r>
            <w:r>
              <w:rPr>
                <w:rFonts w:hint="eastAsia" w:ascii="宋体" w:hAnsi="宋体" w:eastAsia="宋体" w:cs="宋体"/>
                <w:bCs/>
                <w:color w:val="auto"/>
                <w:kern w:val="0"/>
                <w:sz w:val="21"/>
                <w:szCs w:val="21"/>
                <w:highlight w:val="none"/>
                <w:lang w:val="en-US" w:eastAsia="zh-CN"/>
              </w:rPr>
              <w:t>000</w:t>
            </w:r>
          </w:p>
        </w:tc>
        <w:tc>
          <w:tcPr>
            <w:tcW w:w="1623"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Cs/>
                <w:color w:val="auto"/>
                <w:kern w:val="0"/>
                <w:sz w:val="21"/>
                <w:szCs w:val="21"/>
                <w:highlight w:val="none"/>
                <w:lang w:val="en-US" w:eastAsia="zh-CN"/>
              </w:rPr>
            </w:pPr>
            <w:r>
              <w:rPr>
                <w:rFonts w:hint="eastAsia" w:ascii="仿宋" w:hAnsi="仿宋" w:eastAsia="仿宋" w:cs="仿宋"/>
                <w:bCs/>
                <w:color w:val="auto"/>
                <w:kern w:val="0"/>
                <w:sz w:val="24"/>
                <w:szCs w:val="24"/>
                <w:highlight w:val="none"/>
                <w:lang w:val="en-US" w:eastAsia="zh-CN"/>
              </w:rPr>
              <w:t>详见采购项目用户需求书</w:t>
            </w:r>
          </w:p>
        </w:tc>
        <w:tc>
          <w:tcPr>
            <w:tcW w:w="709"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71451A06">
      <w:pPr>
        <w:adjustRightInd w:val="0"/>
        <w:snapToGrid w:val="0"/>
        <w:spacing w:line="400" w:lineRule="exact"/>
        <w:jc w:val="left"/>
        <w:outlineLvl w:val="0"/>
        <w:rPr>
          <w:rFonts w:hint="eastAsia" w:ascii="仿宋" w:hAnsi="仿宋" w:eastAsia="仿宋" w:cs="仿宋"/>
          <w:b/>
          <w:color w:val="000000" w:themeColor="text1"/>
          <w:sz w:val="24"/>
          <w:highlight w:val="none"/>
          <w14:textFill>
            <w14:solidFill>
              <w14:schemeClr w14:val="tx1"/>
            </w14:solidFill>
          </w14:textFill>
        </w:rPr>
      </w:pPr>
      <w:bookmarkStart w:id="9" w:name="_Toc14259"/>
      <w:bookmarkStart w:id="10" w:name="_Toc32216"/>
      <w:r>
        <w:rPr>
          <w:rFonts w:hint="eastAsia" w:ascii="仿宋" w:hAnsi="仿宋" w:eastAsia="仿宋" w:cs="仿宋"/>
          <w:b/>
          <w:color w:val="000000" w:themeColor="text1"/>
          <w:sz w:val="24"/>
          <w:highlight w:val="none"/>
          <w14:textFill>
            <w14:solidFill>
              <w14:schemeClr w14:val="tx1"/>
            </w14:solidFill>
          </w14:textFill>
        </w:rPr>
        <w:t>二、</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bookmarkEnd w:id="9"/>
      <w:bookmarkEnd w:id="10"/>
    </w:p>
    <w:p w14:paraId="3965A73F">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1.投标人须是在中华人民共和国境内注册，具有独立法人资格或是具有独立承担民事责任的能力的其它组织（提供营业执照或事业单位法人证</w:t>
      </w:r>
      <w:r>
        <w:rPr>
          <w:rFonts w:hint="eastAsia" w:ascii="仿宋" w:hAnsi="仿宋" w:eastAsia="仿宋" w:cs="仿宋"/>
          <w:kern w:val="2"/>
          <w:sz w:val="24"/>
          <w:szCs w:val="24"/>
          <w:highlight w:val="none"/>
          <w:lang w:val="en-US" w:eastAsia="zh-CN" w:bidi="ar-SA"/>
        </w:rPr>
        <w:t>或其他证明材料复印件加盖公章</w:t>
      </w:r>
      <w:r>
        <w:rPr>
          <w:rFonts w:hint="eastAsia" w:ascii="仿宋" w:hAnsi="仿宋" w:eastAsia="仿宋" w:cs="仿宋"/>
          <w:kern w:val="2"/>
          <w:sz w:val="24"/>
          <w:szCs w:val="24"/>
          <w:highlight w:val="none"/>
          <w:lang w:val="zh-CN" w:eastAsia="zh-CN" w:bidi="ar-SA"/>
        </w:rPr>
        <w:t>，原件备查）；总公司或者分公司只允许一家投标，不允许同时参与本项目投标，以分公司名义参与投标的，须提供总公司出具的愿为其参与本项目投标的行为以及履约等行为承担民事责任的加盖总公司公章的授权函，以及提供总、分公司的营业执照扫描件；</w:t>
      </w:r>
    </w:p>
    <w:p w14:paraId="40D29140">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2.投标人满足《中华人民共和国政府采购法》第二十二条规定的条件（由供应商在《政府采购投标及履约承诺函》中作出声明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0CEB4BE3">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3.参与本项目政府采购活动时不存在被有关部门禁止参与政府采购活动且在有效期内的情况；参与本项目投标前三年内，在经营活动中没有重大违法记录。（由供应商在《政府采购投标及履约承诺函》中作出声明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12BB1E51">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4</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未被列入失信被执行人、重大税收违法失信主体、政府采购严重违法失信行为记录名单</w:t>
      </w:r>
      <w:r>
        <w:rPr>
          <w:rFonts w:hint="eastAsia" w:ascii="仿宋" w:hAnsi="仿宋" w:eastAsia="仿宋" w:cs="仿宋"/>
          <w:kern w:val="2"/>
          <w:sz w:val="24"/>
          <w:szCs w:val="24"/>
          <w:highlight w:val="none"/>
          <w:lang w:val="zh-CN" w:eastAsia="zh-CN" w:bidi="ar-SA"/>
        </w:rPr>
        <w:t>；不存在《深圳市财政局政府采购供应商信用信息管理办法》（深财规〔2023〕3 号）列明的严重违法失信行为（由供应商在《政府采购投标及履约承诺函》中作出声明）；</w:t>
      </w:r>
    </w:p>
    <w:p w14:paraId="71EAD05E">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5</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yellow"/>
          <w:lang w:val="zh-CN" w:eastAsia="zh-CN" w:bidi="ar-SA"/>
        </w:rPr>
        <w:t>本项目不接受联合体投标，不允许转包分包</w:t>
      </w:r>
      <w:r>
        <w:rPr>
          <w:rFonts w:hint="eastAsia" w:ascii="仿宋" w:hAnsi="仿宋" w:eastAsia="仿宋" w:cs="仿宋"/>
          <w:kern w:val="2"/>
          <w:sz w:val="24"/>
          <w:szCs w:val="24"/>
          <w:highlight w:val="none"/>
          <w:lang w:val="zh-CN" w:eastAsia="zh-CN" w:bidi="ar-SA"/>
        </w:rPr>
        <w:t>（由供应商在《政府采购投标及履约承诺函》中作出声明）。</w:t>
      </w:r>
    </w:p>
    <w:p w14:paraId="421CC62C">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6</w:t>
      </w:r>
      <w:r>
        <w:rPr>
          <w:rFonts w:hint="eastAsia" w:ascii="仿宋" w:hAnsi="仿宋" w:eastAsia="仿宋" w:cs="仿宋"/>
          <w:kern w:val="2"/>
          <w:sz w:val="24"/>
          <w:szCs w:val="24"/>
          <w:highlight w:val="none"/>
          <w:lang w:val="zh-CN" w:eastAsia="zh-CN" w:bidi="ar-SA"/>
        </w:rPr>
        <w:t>.除单一来源采购，为采购项目提供整体设计、规范编制或者项目管理、监理、检测等服务的供应商，不得再参加该采购项目的其他采购活动（由供应商在《政府采购投标及履约承诺函》中作出声明）。</w:t>
      </w:r>
    </w:p>
    <w:p w14:paraId="2E02C0D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76B071E5">
      <w:pPr>
        <w:pStyle w:val="291"/>
        <w:adjustRightInd w:val="0"/>
        <w:snapToGrid w:val="0"/>
        <w:spacing w:line="400" w:lineRule="exact"/>
        <w:ind w:left="260" w:leftChars="0" w:hanging="260" w:hangingChars="108"/>
        <w:jc w:val="left"/>
        <w:outlineLvl w:val="0"/>
        <w:rPr>
          <w:rFonts w:hint="eastAsia" w:ascii="仿宋" w:hAnsi="仿宋" w:eastAsia="仿宋" w:cs="仿宋"/>
          <w:b/>
          <w:color w:val="000000" w:themeColor="text1"/>
          <w:sz w:val="24"/>
          <w:highlight w:val="none"/>
          <w:lang w:eastAsia="zh-CN"/>
          <w14:textFill>
            <w14:solidFill>
              <w14:schemeClr w14:val="tx1"/>
            </w14:solidFill>
          </w14:textFill>
        </w:rPr>
      </w:pPr>
      <w:bookmarkStart w:id="11" w:name="_Toc13254"/>
      <w:bookmarkStart w:id="12" w:name="_Toc12080"/>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color w:val="000000" w:themeColor="text1"/>
          <w:sz w:val="24"/>
          <w:highlight w:val="none"/>
          <w:lang w:eastAsia="zh-CN"/>
          <w14:textFill>
            <w14:solidFill>
              <w14:schemeClr w14:val="tx1"/>
            </w14:solidFill>
          </w14:textFill>
        </w:rPr>
        <w:t>招标文件</w:t>
      </w:r>
      <w:bookmarkEnd w:id="11"/>
      <w:bookmarkEnd w:id="12"/>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2025年8月7日—8月15日下午16:00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3746FCBE">
      <w:pPr>
        <w:pStyle w:val="291"/>
        <w:adjustRightInd w:val="0"/>
        <w:snapToGrid w:val="0"/>
        <w:spacing w:line="400" w:lineRule="exact"/>
        <w:ind w:left="480" w:firstLine="0" w:firstLineChars="0"/>
        <w:jc w:val="left"/>
        <w:rPr>
          <w:rFonts w:hint="eastAsia" w:ascii="仿宋" w:hAnsi="仿宋" w:eastAsia="仿宋" w:cs="仿宋"/>
          <w:sz w:val="24"/>
          <w:highlight w:val="none"/>
          <w:lang w:val="en-US" w:eastAsia="zh-CN"/>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的供应商须</w:t>
      </w:r>
      <w:r>
        <w:rPr>
          <w:rFonts w:hint="eastAsia" w:ascii="仿宋" w:hAnsi="仿宋" w:eastAsia="仿宋" w:cs="仿宋"/>
          <w:sz w:val="24"/>
          <w:highlight w:val="none"/>
          <w:lang w:val="en-US" w:eastAsia="zh-CN"/>
        </w:rPr>
        <w:t>在报名时间内</w:t>
      </w:r>
    </w:p>
    <w:p w14:paraId="2F995207">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4D1A7521">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报名文件及招标</w:t>
      </w:r>
      <w:r>
        <w:rPr>
          <w:rFonts w:hint="eastAsia" w:ascii="仿宋" w:hAnsi="仿宋" w:eastAsia="仿宋" w:cs="仿宋"/>
          <w:b/>
          <w:color w:val="000000" w:themeColor="text1"/>
          <w:sz w:val="24"/>
          <w:highlight w:val="none"/>
          <w14:textFill>
            <w14:solidFill>
              <w14:schemeClr w14:val="tx1"/>
            </w14:solidFill>
          </w14:textFill>
        </w:rPr>
        <w:t>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outlineLvl w:val="0"/>
        <w:rPr>
          <w:rFonts w:hint="eastAsia" w:ascii="仿宋" w:hAnsi="仿宋" w:eastAsia="仿宋" w:cs="仿宋"/>
          <w:b/>
          <w:color w:val="000000" w:themeColor="text1"/>
          <w:sz w:val="24"/>
          <w:highlight w:val="none"/>
          <w14:textFill>
            <w14:solidFill>
              <w14:schemeClr w14:val="tx1"/>
            </w14:solidFill>
          </w14:textFill>
        </w:rPr>
      </w:pPr>
      <w:bookmarkStart w:id="13" w:name="_Toc29776"/>
      <w:bookmarkStart w:id="14" w:name="_Toc23322"/>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bookmarkEnd w:id="13"/>
      <w:bookmarkEnd w:id="14"/>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8</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20</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8</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20</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下午2</w:t>
      </w:r>
      <w:r>
        <w:rPr>
          <w:rFonts w:hint="eastAsia" w:ascii="仿宋" w:hAnsi="仿宋" w:eastAsia="仿宋" w:cs="仿宋"/>
          <w:color w:val="000000" w:themeColor="text1"/>
          <w:sz w:val="24"/>
          <w:highlight w:val="yellow"/>
          <w:lang w:eastAsia="zh-CN"/>
          <w14:textFill>
            <w14:solidFill>
              <w14:schemeClr w14:val="tx1"/>
            </w14:solidFill>
          </w14:textFill>
        </w:rPr>
        <w:t>：</w:t>
      </w:r>
      <w:r>
        <w:rPr>
          <w:rFonts w:hint="eastAsia" w:ascii="仿宋" w:hAnsi="仿宋" w:eastAsia="仿宋" w:cs="仿宋"/>
          <w:color w:val="000000" w:themeColor="text1"/>
          <w:sz w:val="24"/>
          <w:highlight w:val="yellow"/>
          <w:lang w:val="en-US" w:eastAsia="zh-CN"/>
          <w14:textFill>
            <w14:solidFill>
              <w14:schemeClr w14:val="tx1"/>
            </w14:solidFill>
          </w14:textFill>
        </w:rPr>
        <w:t>3</w:t>
      </w:r>
      <w:r>
        <w:rPr>
          <w:rFonts w:hint="eastAsia" w:ascii="仿宋" w:hAnsi="仿宋" w:eastAsia="仿宋" w:cs="仿宋"/>
          <w:color w:val="000000" w:themeColor="text1"/>
          <w:sz w:val="24"/>
          <w:highlight w:val="yellow"/>
          <w14:textFill>
            <w14:solidFill>
              <w14:schemeClr w14:val="tx1"/>
            </w14:solidFill>
          </w14:textFill>
        </w:rPr>
        <w:t>0分</w:t>
      </w:r>
      <w:bookmarkStart w:id="224" w:name="_GoBack"/>
      <w:bookmarkEnd w:id="224"/>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3CA0C31C">
      <w:pPr>
        <w:adjustRightInd w:val="0"/>
        <w:snapToGrid w:val="0"/>
        <w:spacing w:line="400" w:lineRule="exact"/>
        <w:jc w:val="left"/>
        <w:outlineLvl w:val="0"/>
        <w:rPr>
          <w:rFonts w:hint="eastAsia" w:ascii="仿宋" w:hAnsi="仿宋" w:eastAsia="仿宋" w:cs="仿宋"/>
          <w:b/>
          <w:color w:val="000000" w:themeColor="text1"/>
          <w:sz w:val="24"/>
          <w:highlight w:val="none"/>
          <w14:textFill>
            <w14:solidFill>
              <w14:schemeClr w14:val="tx1"/>
            </w14:solidFill>
          </w14:textFill>
        </w:rPr>
      </w:pPr>
      <w:bookmarkStart w:id="15" w:name="_Toc23720"/>
      <w:bookmarkStart w:id="16" w:name="_Toc4007"/>
      <w:r>
        <w:rPr>
          <w:rFonts w:hint="eastAsia" w:ascii="仿宋" w:hAnsi="仿宋" w:eastAsia="仿宋" w:cs="仿宋"/>
          <w:b/>
          <w:color w:val="000000" w:themeColor="text1"/>
          <w:sz w:val="24"/>
          <w:highlight w:val="none"/>
          <w14:textFill>
            <w14:solidFill>
              <w14:schemeClr w14:val="tx1"/>
            </w14:solidFill>
          </w14:textFill>
        </w:rPr>
        <w:t>五、公告期限</w:t>
      </w:r>
      <w:bookmarkEnd w:id="15"/>
      <w:bookmarkEnd w:id="16"/>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个工作日。</w:t>
      </w:r>
    </w:p>
    <w:p w14:paraId="6BDEC9E1">
      <w:pPr>
        <w:adjustRightInd w:val="0"/>
        <w:snapToGrid w:val="0"/>
        <w:spacing w:line="400" w:lineRule="exact"/>
        <w:jc w:val="left"/>
        <w:outlineLvl w:val="0"/>
        <w:rPr>
          <w:rFonts w:hint="eastAsia" w:ascii="仿宋" w:hAnsi="仿宋" w:eastAsia="仿宋" w:cs="仿宋"/>
          <w:b/>
          <w:color w:val="000000" w:themeColor="text1"/>
          <w:sz w:val="24"/>
          <w:highlight w:val="none"/>
          <w14:textFill>
            <w14:solidFill>
              <w14:schemeClr w14:val="tx1"/>
            </w14:solidFill>
          </w14:textFill>
        </w:rPr>
      </w:pPr>
      <w:bookmarkStart w:id="17" w:name="_Toc21200"/>
      <w:bookmarkStart w:id="18" w:name="_Toc23274"/>
      <w:r>
        <w:rPr>
          <w:rFonts w:hint="eastAsia" w:ascii="仿宋" w:hAnsi="仿宋" w:eastAsia="仿宋" w:cs="仿宋"/>
          <w:b/>
          <w:color w:val="000000" w:themeColor="text1"/>
          <w:sz w:val="24"/>
          <w:highlight w:val="none"/>
          <w14:textFill>
            <w14:solidFill>
              <w14:schemeClr w14:val="tx1"/>
            </w14:solidFill>
          </w14:textFill>
        </w:rPr>
        <w:t>六、其他补充事宜：</w:t>
      </w:r>
      <w:bookmarkEnd w:id="17"/>
      <w:bookmarkEnd w:id="18"/>
    </w:p>
    <w:p w14:paraId="2DFE11EE">
      <w:pPr>
        <w:adjustRightInd w:val="0"/>
        <w:snapToGrid w:val="0"/>
        <w:spacing w:line="400" w:lineRule="exact"/>
        <w:ind w:firstLine="482" w:firstLineChars="200"/>
        <w:jc w:val="left"/>
        <w:outlineLvl w:val="1"/>
        <w:rPr>
          <w:rFonts w:hint="eastAsia" w:ascii="仿宋" w:hAnsi="仿宋" w:eastAsia="仿宋" w:cs="仿宋"/>
          <w:b/>
          <w:color w:val="000000" w:themeColor="text1"/>
          <w:sz w:val="24"/>
          <w:highlight w:val="none"/>
          <w14:textFill>
            <w14:solidFill>
              <w14:schemeClr w14:val="tx1"/>
            </w14:solidFill>
          </w14:textFill>
        </w:rPr>
      </w:pPr>
      <w:bookmarkStart w:id="19" w:name="_Toc18686"/>
      <w:bookmarkStart w:id="20" w:name="_Toc7055"/>
      <w:r>
        <w:rPr>
          <w:rFonts w:hint="eastAsia" w:ascii="仿宋" w:hAnsi="仿宋" w:eastAsia="仿宋" w:cs="仿宋"/>
          <w:b/>
          <w:color w:val="000000" w:themeColor="text1"/>
          <w:sz w:val="24"/>
          <w:highlight w:val="none"/>
          <w14:textFill>
            <w14:solidFill>
              <w14:schemeClr w14:val="tx1"/>
            </w14:solidFill>
          </w14:textFill>
        </w:rPr>
        <w:t>1、澄清及答疑事项：</w:t>
      </w:r>
      <w:bookmarkEnd w:id="19"/>
      <w:bookmarkEnd w:id="20"/>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请于投标截止日五日前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23663668">
      <w:pPr>
        <w:numPr>
          <w:ilvl w:val="0"/>
          <w:numId w:val="11"/>
        </w:numPr>
        <w:adjustRightInd w:val="0"/>
        <w:snapToGrid w:val="0"/>
        <w:spacing w:line="400" w:lineRule="exact"/>
        <w:ind w:firstLine="482" w:firstLineChars="200"/>
        <w:jc w:val="left"/>
        <w:outlineLvl w:val="1"/>
        <w:rPr>
          <w:rFonts w:hint="eastAsia" w:ascii="仿宋" w:hAnsi="仿宋" w:eastAsia="仿宋" w:cs="仿宋"/>
          <w:b/>
          <w:color w:val="000000" w:themeColor="text1"/>
          <w:sz w:val="24"/>
          <w:highlight w:val="none"/>
          <w14:textFill>
            <w14:solidFill>
              <w14:schemeClr w14:val="tx1"/>
            </w14:solidFill>
          </w14:textFill>
        </w:rPr>
      </w:pPr>
      <w:bookmarkStart w:id="21" w:name="_Toc22552"/>
      <w:bookmarkStart w:id="22" w:name="_Toc11424"/>
      <w:r>
        <w:rPr>
          <w:rFonts w:hint="eastAsia" w:ascii="仿宋" w:hAnsi="仿宋" w:eastAsia="仿宋" w:cs="仿宋"/>
          <w:b/>
          <w:color w:val="000000" w:themeColor="text1"/>
          <w:sz w:val="24"/>
          <w:highlight w:val="none"/>
          <w14:textFill>
            <w14:solidFill>
              <w14:schemeClr w14:val="tx1"/>
            </w14:solidFill>
          </w14:textFill>
        </w:rPr>
        <w:t>重要提示：</w:t>
      </w:r>
      <w:bookmarkEnd w:id="21"/>
      <w:bookmarkEnd w:id="22"/>
    </w:p>
    <w:p w14:paraId="1B3EE826">
      <w:pPr>
        <w:numPr>
          <w:ilvl w:val="0"/>
          <w:numId w:val="0"/>
        </w:numPr>
        <w:adjustRightInd w:val="0"/>
        <w:snapToGrid w:val="0"/>
        <w:spacing w:line="400" w:lineRule="exact"/>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1.投标报名的供应商因任何原因无法应标，请在开标时间前3日内以书面形式通知招标采购办（弃标函，格式自拟，加盖公章发送至报名邮箱）。若未通知，视为能够如期应标。</w:t>
      </w:r>
    </w:p>
    <w:p w14:paraId="6627CD63">
      <w:pPr>
        <w:pStyle w:val="2"/>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2.投标人有义务在招标活动期间浏览深圳市福田区第二人民医院网站（https://www.ft2yy.cn/）。相关公告在上述媒体上公布之日即视为有效送达，不再另行通知。</w:t>
      </w:r>
    </w:p>
    <w:p w14:paraId="2F0B5E9C">
      <w:pPr>
        <w:adjustRightInd w:val="0"/>
        <w:snapToGrid w:val="0"/>
        <w:spacing w:line="400" w:lineRule="exact"/>
        <w:jc w:val="left"/>
        <w:outlineLvl w:val="0"/>
        <w:rPr>
          <w:rFonts w:hint="eastAsia" w:ascii="仿宋" w:hAnsi="仿宋" w:eastAsia="仿宋" w:cs="仿宋"/>
          <w:b/>
          <w:sz w:val="24"/>
          <w:highlight w:val="none"/>
        </w:rPr>
      </w:pPr>
      <w:bookmarkStart w:id="23" w:name="_Toc1011"/>
      <w:bookmarkStart w:id="24" w:name="_Toc12470"/>
      <w:r>
        <w:rPr>
          <w:rFonts w:hint="eastAsia" w:ascii="仿宋" w:hAnsi="仿宋" w:eastAsia="仿宋" w:cs="仿宋"/>
          <w:b/>
          <w:sz w:val="24"/>
          <w:highlight w:val="none"/>
        </w:rPr>
        <w:t>七、对本项目提出询问，请按以下方式联系。</w:t>
      </w:r>
      <w:bookmarkEnd w:id="23"/>
      <w:bookmarkEnd w:id="24"/>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18F9B1D0">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3414EC8E">
      <w:pPr>
        <w:pStyle w:val="2"/>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2"/>
        <w:rPr>
          <w:rFonts w:hint="eastAsia"/>
        </w:rPr>
      </w:pPr>
    </w:p>
    <w:p w14:paraId="760AB80B">
      <w:pPr>
        <w:pStyle w:val="4"/>
        <w:pageBreakBefore/>
        <w:spacing w:line="415" w:lineRule="auto"/>
        <w:jc w:val="center"/>
        <w:outlineLvl w:val="0"/>
        <w:rPr>
          <w:rFonts w:hint="eastAsia" w:ascii="仿宋" w:hAnsi="仿宋" w:eastAsia="仿宋" w:cs="仿宋"/>
          <w:b/>
          <w:bCs/>
        </w:rPr>
      </w:pPr>
      <w:bookmarkStart w:id="25" w:name="_Toc14284"/>
      <w:bookmarkStart w:id="26" w:name="_Toc1366"/>
      <w:r>
        <w:rPr>
          <w:rFonts w:hint="eastAsia" w:ascii="仿宋" w:hAnsi="仿宋" w:eastAsia="仿宋" w:cs="仿宋"/>
          <w:b/>
          <w:bCs/>
        </w:rPr>
        <w:t>第二章  关键信息</w:t>
      </w:r>
      <w:bookmarkEnd w:id="25"/>
      <w:bookmarkEnd w:id="26"/>
    </w:p>
    <w:p w14:paraId="612FB107">
      <w:pPr>
        <w:pStyle w:val="5"/>
        <w:jc w:val="center"/>
        <w:outlineLvl w:val="9"/>
        <w:rPr>
          <w:rFonts w:hint="eastAsia" w:ascii="仿宋" w:hAnsi="仿宋" w:eastAsia="仿宋" w:cs="仿宋"/>
          <w:sz w:val="28"/>
          <w:szCs w:val="28"/>
        </w:rPr>
      </w:pPr>
      <w:bookmarkStart w:id="27" w:name="_Toc2861"/>
      <w:r>
        <w:rPr>
          <w:rFonts w:hint="eastAsia" w:ascii="仿宋" w:hAnsi="仿宋" w:eastAsia="仿宋" w:cs="仿宋"/>
          <w:sz w:val="28"/>
          <w:szCs w:val="28"/>
        </w:rPr>
        <w:t>表一、投标须知前附表</w:t>
      </w:r>
      <w:bookmarkEnd w:id="2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rPr>
            </w:pPr>
            <w:r>
              <w:rPr>
                <w:rFonts w:hint="eastAsia" w:ascii="仿宋" w:hAnsi="仿宋" w:eastAsia="仿宋" w:cs="仿宋"/>
                <w:highlight w:val="none"/>
                <w:lang w:val="zh-CN"/>
              </w:rPr>
              <w:t>项目类型</w:t>
            </w:r>
          </w:p>
        </w:tc>
        <w:tc>
          <w:tcPr>
            <w:tcW w:w="5455" w:type="dxa"/>
            <w:vAlign w:val="center"/>
          </w:tcPr>
          <w:p w14:paraId="7F80C700">
            <w:pPr>
              <w:keepNext w:val="0"/>
              <w:keepLines w:val="0"/>
              <w:suppressLineNumbers w:val="0"/>
              <w:spacing w:before="0" w:beforeAutospacing="0" w:after="0" w:afterAutospacing="0"/>
              <w:ind w:left="0" w:leftChars="0" w:right="0" w:rightChars="0"/>
              <w:rPr>
                <w:rFonts w:hint="default" w:ascii="仿宋" w:hAnsi="仿宋" w:eastAsia="仿宋" w:cs="仿宋"/>
                <w:highlight w:val="none"/>
                <w:lang w:val="en-US"/>
              </w:rPr>
            </w:pPr>
            <w:r>
              <w:rPr>
                <w:rFonts w:hint="eastAsia" w:ascii="仿宋" w:hAnsi="仿宋" w:eastAsia="仿宋" w:cs="仿宋"/>
                <w:highlight w:val="none"/>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rPr>
            </w:pPr>
            <w:r>
              <w:rPr>
                <w:rFonts w:hint="eastAsia" w:ascii="仿宋" w:hAnsi="仿宋" w:eastAsia="仿宋" w:cs="仿宋"/>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leftChars="0" w:right="0" w:right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公开招标</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rPr>
            </w:pPr>
            <w:r>
              <w:rPr>
                <w:rFonts w:hint="eastAsia" w:ascii="仿宋" w:hAnsi="仿宋" w:eastAsia="仿宋" w:cs="仿宋"/>
                <w:highlight w:val="none"/>
                <w:lang w:val="zh-CN"/>
              </w:rPr>
              <w:t>资金来源</w:t>
            </w:r>
          </w:p>
        </w:tc>
        <w:tc>
          <w:tcPr>
            <w:tcW w:w="5455" w:type="dxa"/>
            <w:vAlign w:val="center"/>
          </w:tcPr>
          <w:p w14:paraId="61170082">
            <w:pPr>
              <w:keepNext w:val="0"/>
              <w:keepLines w:val="0"/>
              <w:suppressLineNumbers w:val="0"/>
              <w:spacing w:before="0" w:beforeAutospacing="0" w:after="0" w:afterAutospacing="0"/>
              <w:ind w:left="0" w:leftChars="0" w:right="0" w:right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自筹资金</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shd w:val="clear" w:color="auto" w:fill="auto"/>
            <w:vAlign w:val="center"/>
          </w:tcPr>
          <w:p w14:paraId="3B67E7CD">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eastAsia="zh-CN"/>
              </w:rPr>
            </w:pPr>
            <w:r>
              <w:rPr>
                <w:rFonts w:hint="eastAsia" w:ascii="仿宋" w:hAnsi="仿宋" w:eastAsia="仿宋" w:cs="仿宋"/>
                <w:highlight w:val="none"/>
                <w:lang w:val="zh-CN"/>
              </w:rPr>
              <w:t>评标方法</w:t>
            </w:r>
          </w:p>
        </w:tc>
        <w:tc>
          <w:tcPr>
            <w:tcW w:w="5455" w:type="dxa"/>
            <w:shd w:val="clear" w:color="auto" w:fill="auto"/>
            <w:vAlign w:val="center"/>
          </w:tcPr>
          <w:p w14:paraId="2D212512">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综合评分</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shd w:val="clear" w:color="auto" w:fill="auto"/>
            <w:vAlign w:val="center"/>
          </w:tcPr>
          <w:p w14:paraId="31280B3B">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en-US" w:eastAsia="zh-CN"/>
              </w:rPr>
            </w:pPr>
            <w:r>
              <w:rPr>
                <w:rFonts w:hint="eastAsia" w:ascii="仿宋" w:hAnsi="仿宋" w:eastAsia="仿宋" w:cs="仿宋"/>
                <w:highlight w:val="none"/>
              </w:rPr>
              <w:t>现场踏勘</w:t>
            </w:r>
          </w:p>
        </w:tc>
        <w:tc>
          <w:tcPr>
            <w:tcW w:w="5455" w:type="dxa"/>
            <w:shd w:val="clear" w:color="auto" w:fill="auto"/>
            <w:vAlign w:val="center"/>
          </w:tcPr>
          <w:p w14:paraId="74A92FE5">
            <w:pPr>
              <w:keepNext w:val="0"/>
              <w:keepLines w:val="0"/>
              <w:suppressLineNumbers w:val="0"/>
              <w:spacing w:before="0" w:beforeAutospacing="0" w:after="0" w:afterAutospacing="0"/>
              <w:ind w:left="0" w:leftChars="0" w:right="0" w:rightChars="0"/>
              <w:rPr>
                <w:rFonts w:hint="eastAsia" w:ascii="仿宋" w:hAnsi="仿宋" w:eastAsia="仿宋" w:cs="仿宋"/>
                <w:highlight w:val="none"/>
              </w:rPr>
            </w:pPr>
            <w:r>
              <w:rPr>
                <w:rFonts w:hint="eastAsia" w:ascii="仿宋" w:hAnsi="仿宋" w:eastAsia="仿宋" w:cs="仿宋"/>
                <w:highlight w:val="none"/>
              </w:rPr>
              <w:t xml:space="preserve">本项目是否组织供应商进行现场踏勘： </w:t>
            </w:r>
            <w:r>
              <w:rPr>
                <w:rFonts w:hint="eastAsia" w:asciiTheme="majorEastAsia" w:hAnsiTheme="majorEastAsia" w:eastAsiaTheme="majorEastAsia" w:cstheme="majorEastAsia"/>
                <w:sz w:val="21"/>
                <w:szCs w:val="21"/>
                <w:lang w:eastAsia="zh-CN"/>
              </w:rPr>
              <w:t>□</w:t>
            </w:r>
            <w:r>
              <w:rPr>
                <w:rFonts w:hint="eastAsia" w:ascii="仿宋" w:hAnsi="仿宋" w:eastAsia="仿宋" w:cs="仿宋"/>
                <w:highlight w:val="none"/>
              </w:rPr>
              <w:t xml:space="preserve">是 </w:t>
            </w:r>
            <w:r>
              <w:rPr>
                <w:rFonts w:hint="eastAsia" w:asciiTheme="majorEastAsia" w:hAnsiTheme="majorEastAsia" w:eastAsiaTheme="majorEastAsia" w:cstheme="majorEastAsia"/>
                <w:sz w:val="21"/>
                <w:szCs w:val="21"/>
                <w:lang w:eastAsia="zh-CN"/>
              </w:rPr>
              <w:t>☑</w:t>
            </w:r>
            <w:r>
              <w:rPr>
                <w:rFonts w:hint="eastAsia" w:ascii="仿宋" w:hAnsi="仿宋" w:eastAsia="仿宋" w:cs="仿宋"/>
                <w:highlight w:val="none"/>
              </w:rPr>
              <w:t>否</w:t>
            </w:r>
          </w:p>
          <w:p w14:paraId="3686831C">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eastAsia="zh-CN"/>
              </w:rPr>
            </w:pPr>
            <w:r>
              <w:rPr>
                <w:rFonts w:hint="eastAsia" w:ascii="仿宋" w:hAnsi="仿宋" w:eastAsia="仿宋" w:cs="仿宋"/>
                <w:highlight w:val="none"/>
              </w:rPr>
              <w:t>时间、地址、联系人、联系方式等</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shd w:val="clear" w:color="auto" w:fill="auto"/>
            <w:vAlign w:val="center"/>
          </w:tcPr>
          <w:p w14:paraId="5D4402DA">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rPr>
              <w:t>联合体投标</w:t>
            </w:r>
          </w:p>
        </w:tc>
        <w:tc>
          <w:tcPr>
            <w:tcW w:w="5455" w:type="dxa"/>
            <w:shd w:val="clear" w:color="auto" w:fill="auto"/>
            <w:vAlign w:val="center"/>
          </w:tcPr>
          <w:p w14:paraId="644C1577">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rPr>
              <w:t>不允许</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shd w:val="clear" w:color="auto" w:fill="auto"/>
            <w:vAlign w:val="center"/>
          </w:tcPr>
          <w:p w14:paraId="3C1B289F">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lang w:val="zh-CN"/>
              </w:rPr>
              <w:t>供应商的替代方案</w:t>
            </w:r>
          </w:p>
        </w:tc>
        <w:tc>
          <w:tcPr>
            <w:tcW w:w="5455" w:type="dxa"/>
            <w:shd w:val="clear" w:color="auto" w:fill="auto"/>
            <w:vAlign w:val="center"/>
          </w:tcPr>
          <w:p w14:paraId="3F216725">
            <w:pPr>
              <w:keepNext w:val="0"/>
              <w:keepLines w:val="0"/>
              <w:suppressLineNumbers w:val="0"/>
              <w:spacing w:before="0" w:beforeAutospacing="0" w:after="0" w:afterAutospacing="0"/>
              <w:ind w:left="0" w:leftChars="0" w:right="0" w:rightChars="0"/>
              <w:rPr>
                <w:rFonts w:hint="default" w:ascii="仿宋" w:hAnsi="仿宋" w:eastAsia="仿宋" w:cs="仿宋"/>
                <w:kern w:val="2"/>
                <w:sz w:val="21"/>
                <w:szCs w:val="24"/>
                <w:highlight w:val="none"/>
                <w:lang w:val="en-US" w:eastAsia="zh-CN" w:bidi="ar-SA"/>
              </w:rPr>
            </w:pPr>
            <w:r>
              <w:rPr>
                <w:rFonts w:hint="eastAsia" w:ascii="仿宋" w:hAnsi="仿宋" w:eastAsia="仿宋" w:cs="仿宋"/>
                <w:highlight w:val="none"/>
                <w:lang w:val="zh-CN"/>
              </w:rPr>
              <w:t>不允许</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shd w:val="clear" w:color="auto" w:fill="auto"/>
            <w:vAlign w:val="center"/>
          </w:tcPr>
          <w:p w14:paraId="44CA5AD2">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lang w:val="zh-CN"/>
              </w:rPr>
              <w:t>谈判有效期</w:t>
            </w:r>
          </w:p>
        </w:tc>
        <w:tc>
          <w:tcPr>
            <w:tcW w:w="5455" w:type="dxa"/>
            <w:shd w:val="clear" w:color="auto" w:fill="auto"/>
            <w:vAlign w:val="center"/>
          </w:tcPr>
          <w:p w14:paraId="72269C20">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lang w:val="en-US" w:eastAsia="zh-CN"/>
              </w:rPr>
              <w:t>120</w:t>
            </w:r>
            <w:r>
              <w:rPr>
                <w:rFonts w:hint="eastAsia" w:ascii="仿宋" w:hAnsi="仿宋" w:eastAsia="仿宋" w:cs="仿宋"/>
                <w:highlight w:val="none"/>
                <w:lang w:val="zh-CN"/>
              </w:rPr>
              <w:t>日</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6886D47">
            <w:pPr>
              <w:keepNext w:val="0"/>
              <w:keepLines w:val="0"/>
              <w:suppressLineNumbers w:val="0"/>
              <w:spacing w:before="0" w:beforeAutospacing="0" w:after="0" w:afterAutospacing="0"/>
              <w:ind w:left="0" w:leftChars="0" w:right="0" w:right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所属行业</w:t>
            </w:r>
          </w:p>
        </w:tc>
        <w:tc>
          <w:tcPr>
            <w:tcW w:w="5455" w:type="dxa"/>
            <w:vAlign w:val="center"/>
          </w:tcPr>
          <w:p w14:paraId="1D09A604">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eastAsia="zh-CN"/>
              </w:rPr>
            </w:pPr>
            <w:r>
              <w:rPr>
                <w:rFonts w:hint="eastAsia" w:ascii="仿宋" w:hAnsi="仿宋" w:eastAsia="仿宋" w:cs="仿宋"/>
                <w:highlight w:val="none"/>
                <w:lang w:val="en-US" w:eastAsia="zh-CN"/>
              </w:rPr>
              <w:t>其他服务</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rPr>
            </w:pPr>
            <w:r>
              <w:rPr>
                <w:rFonts w:hint="eastAsia" w:ascii="仿宋" w:hAnsi="仿宋" w:eastAsia="仿宋" w:cs="仿宋"/>
                <w:highlight w:val="none"/>
                <w:lang w:val="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eastAsia="zh-CN"/>
              </w:rPr>
            </w:pPr>
            <w:r>
              <w:rPr>
                <w:rFonts w:hint="eastAsia" w:ascii="仿宋" w:hAnsi="仿宋" w:eastAsia="仿宋" w:cs="仿宋"/>
                <w:highlight w:val="none"/>
                <w:lang w:val="en-US" w:eastAsia="zh-CN"/>
              </w:rPr>
              <w:t>否</w:t>
            </w:r>
          </w:p>
        </w:tc>
      </w:tr>
      <w:tr w14:paraId="5C29B6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shd w:val="clear" w:color="auto" w:fill="auto"/>
            <w:vAlign w:val="center"/>
          </w:tcPr>
          <w:p w14:paraId="0E4EAA56">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lang w:val="zh-CN"/>
              </w:rPr>
              <w:t>谈判投标文件份数</w:t>
            </w:r>
          </w:p>
        </w:tc>
        <w:tc>
          <w:tcPr>
            <w:tcW w:w="5455" w:type="dxa"/>
            <w:shd w:val="clear" w:color="auto" w:fill="auto"/>
            <w:vAlign w:val="center"/>
          </w:tcPr>
          <w:p w14:paraId="36474764">
            <w:pPr>
              <w:keepNext w:val="0"/>
              <w:keepLines w:val="0"/>
              <w:suppressLineNumbers w:val="0"/>
              <w:spacing w:before="0" w:beforeAutospacing="0" w:after="0" w:afterAutospacing="0"/>
              <w:ind w:left="0" w:leftChars="0" w:right="0" w:rightChars="0"/>
              <w:rPr>
                <w:rFonts w:hint="eastAsia" w:ascii="仿宋" w:hAnsi="仿宋" w:eastAsia="仿宋" w:cs="仿宋"/>
                <w:highlight w:val="none"/>
              </w:rPr>
            </w:pPr>
            <w:r>
              <w:rPr>
                <w:rFonts w:hint="eastAsia" w:ascii="仿宋" w:hAnsi="仿宋" w:eastAsia="仿宋" w:cs="仿宋"/>
                <w:highlight w:val="none"/>
              </w:rPr>
              <w:t>1、纸质</w:t>
            </w:r>
            <w:r>
              <w:rPr>
                <w:rFonts w:hint="eastAsia" w:ascii="仿宋" w:hAnsi="仿宋" w:eastAsia="仿宋" w:cs="仿宋"/>
                <w:highlight w:val="none"/>
                <w:lang w:eastAsia="zh-CN"/>
              </w:rPr>
              <w:t>投标</w:t>
            </w:r>
            <w:r>
              <w:rPr>
                <w:rFonts w:hint="eastAsia" w:ascii="仿宋" w:hAnsi="仿宋" w:eastAsia="仿宋" w:cs="仿宋"/>
                <w:highlight w:val="none"/>
              </w:rPr>
              <w:t>文件（正本一份、副本</w:t>
            </w:r>
            <w:r>
              <w:rPr>
                <w:rFonts w:hint="eastAsia" w:ascii="仿宋" w:hAnsi="仿宋" w:eastAsia="仿宋" w:cs="仿宋"/>
                <w:highlight w:val="none"/>
                <w:lang w:val="en-US" w:eastAsia="zh-CN"/>
              </w:rPr>
              <w:t>五</w:t>
            </w:r>
            <w:r>
              <w:rPr>
                <w:rFonts w:hint="eastAsia" w:ascii="仿宋" w:hAnsi="仿宋" w:eastAsia="仿宋" w:cs="仿宋"/>
                <w:highlight w:val="none"/>
              </w:rPr>
              <w:t>份，正本必须加盖公章，副本允许使用正本的复印件</w:t>
            </w:r>
            <w:r>
              <w:rPr>
                <w:rFonts w:hint="eastAsia" w:ascii="仿宋" w:hAnsi="仿宋" w:eastAsia="仿宋" w:cs="仿宋"/>
                <w:highlight w:val="none"/>
                <w:lang w:val="en-US" w:eastAsia="zh-CN"/>
              </w:rPr>
              <w:t>加盖骑缝章</w:t>
            </w:r>
            <w:r>
              <w:rPr>
                <w:rFonts w:hint="eastAsia" w:ascii="仿宋" w:hAnsi="仿宋" w:eastAsia="仿宋" w:cs="仿宋"/>
                <w:highlight w:val="none"/>
              </w:rPr>
              <w:t>）</w:t>
            </w:r>
            <w:r>
              <w:rPr>
                <w:rFonts w:hint="eastAsia" w:ascii="仿宋" w:hAnsi="仿宋" w:eastAsia="仿宋" w:cs="仿宋"/>
                <w:highlight w:val="none"/>
                <w:lang w:eastAsia="zh-CN"/>
              </w:rPr>
              <w:t>，</w:t>
            </w:r>
            <w:r>
              <w:rPr>
                <w:rFonts w:hint="eastAsia" w:ascii="仿宋" w:hAnsi="仿宋" w:eastAsia="仿宋" w:cs="仿宋"/>
                <w:highlight w:val="none"/>
                <w:lang w:val="en-US" w:eastAsia="zh-CN"/>
              </w:rPr>
              <w:t>投标文件首页注明正本、副本字样；按招标文件要求顺序装订成册，并在密封处加盖公章。</w:t>
            </w:r>
          </w:p>
          <w:p w14:paraId="077B8529">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lang w:val="en-US" w:eastAsia="zh-CN"/>
              </w:rPr>
              <w:t>2、</w:t>
            </w:r>
            <w:r>
              <w:rPr>
                <w:rFonts w:hint="eastAsia" w:ascii="仿宋" w:hAnsi="仿宋" w:eastAsia="仿宋" w:cs="仿宋"/>
                <w:highlight w:val="none"/>
                <w:lang w:eastAsia="zh-CN"/>
              </w:rPr>
              <w:t>电子投标文件</w:t>
            </w:r>
            <w:r>
              <w:rPr>
                <w:rFonts w:hint="eastAsia" w:ascii="仿宋" w:hAnsi="仿宋" w:eastAsia="仿宋" w:cs="仿宋"/>
                <w:highlight w:val="none"/>
                <w:lang w:val="en-US" w:eastAsia="zh-CN"/>
              </w:rPr>
              <w:t>U盘</w:t>
            </w:r>
            <w:r>
              <w:rPr>
                <w:rFonts w:hint="eastAsia" w:ascii="仿宋" w:hAnsi="仿宋" w:eastAsia="仿宋" w:cs="仿宋"/>
                <w:highlight w:val="none"/>
                <w:lang w:eastAsia="zh-CN"/>
              </w:rPr>
              <w:t>与“开标一览表”</w:t>
            </w:r>
            <w:r>
              <w:rPr>
                <w:rFonts w:hint="eastAsia" w:ascii="仿宋" w:hAnsi="仿宋" w:eastAsia="仿宋" w:cs="仿宋"/>
                <w:highlight w:val="none"/>
                <w:lang w:val="en-US" w:eastAsia="zh-CN"/>
              </w:rPr>
              <w:t>一起</w:t>
            </w:r>
            <w:r>
              <w:rPr>
                <w:rFonts w:hint="eastAsia" w:ascii="仿宋" w:hAnsi="仿宋" w:eastAsia="仿宋" w:cs="仿宋"/>
                <w:highlight w:val="none"/>
                <w:lang w:eastAsia="zh-CN"/>
              </w:rPr>
              <w:t>装入文</w:t>
            </w:r>
            <w:r>
              <w:rPr>
                <w:rFonts w:hint="eastAsia" w:ascii="仿宋" w:hAnsi="仿宋" w:eastAsia="仿宋" w:cs="仿宋"/>
                <w:highlight w:val="none"/>
                <w:lang w:val="en-US" w:eastAsia="zh-CN"/>
              </w:rPr>
              <w:t>件袋密封密封，并在密封处加盖公章。（提交加盖公章的PDF电子投标文件正本，文件命名为：“项目名称+投标单位名称”拷贝至无病毒无密码的U盘）</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2185" w:type="dxa"/>
            <w:vAlign w:val="center"/>
          </w:tcPr>
          <w:p w14:paraId="46AE4A8B">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val="zh-CN"/>
              </w:rPr>
            </w:pPr>
            <w:r>
              <w:rPr>
                <w:rFonts w:hint="eastAsia" w:ascii="仿宋" w:hAnsi="仿宋" w:eastAsia="仿宋" w:cs="仿宋"/>
                <w:highlight w:val="none"/>
              </w:rPr>
              <w:t>中标候选人</w:t>
            </w:r>
          </w:p>
        </w:tc>
        <w:tc>
          <w:tcPr>
            <w:tcW w:w="5455" w:type="dxa"/>
            <w:vAlign w:val="center"/>
          </w:tcPr>
          <w:p w14:paraId="61BC3DC7">
            <w:pPr>
              <w:keepNext w:val="0"/>
              <w:keepLines w:val="0"/>
              <w:suppressLineNumbers w:val="0"/>
              <w:spacing w:before="0" w:beforeAutospacing="0" w:after="0" w:afterAutospacing="0"/>
              <w:ind w:left="0" w:leftChars="0" w:right="0" w:rightChars="0"/>
              <w:rPr>
                <w:rFonts w:hint="eastAsia" w:ascii="仿宋" w:hAnsi="仿宋" w:eastAsia="仿宋" w:cs="仿宋"/>
                <w:highlight w:val="none"/>
                <w:lang w:eastAsia="zh-CN"/>
              </w:rPr>
            </w:pPr>
            <w:r>
              <w:rPr>
                <w:rFonts w:hint="eastAsia" w:ascii="仿宋" w:hAnsi="仿宋" w:eastAsia="仿宋" w:cs="仿宋"/>
                <w:highlight w:val="none"/>
              </w:rPr>
              <w:t>评标委员会推荐排名</w:t>
            </w:r>
            <w:r>
              <w:rPr>
                <w:rFonts w:hint="eastAsia" w:ascii="仿宋" w:hAnsi="仿宋" w:eastAsia="仿宋" w:cs="仿宋"/>
                <w:highlight w:val="none"/>
                <w:lang w:eastAsia="zh-CN"/>
              </w:rPr>
              <w:t>第一的</w:t>
            </w:r>
            <w:r>
              <w:rPr>
                <w:rFonts w:hint="eastAsia" w:ascii="仿宋" w:hAnsi="仿宋" w:eastAsia="仿宋" w:cs="仿宋"/>
                <w:highlight w:val="none"/>
              </w:rPr>
              <w:t>投标人为</w:t>
            </w:r>
            <w:r>
              <w:rPr>
                <w:rFonts w:hint="eastAsia" w:ascii="仿宋" w:hAnsi="仿宋" w:eastAsia="仿宋" w:cs="仿宋"/>
                <w:highlight w:val="none"/>
                <w:lang w:eastAsia="zh-CN"/>
              </w:rPr>
              <w:t>第一</w:t>
            </w:r>
            <w:r>
              <w:rPr>
                <w:rFonts w:hint="eastAsia" w:ascii="仿宋" w:hAnsi="仿宋" w:eastAsia="仿宋" w:cs="仿宋"/>
                <w:highlight w:val="none"/>
              </w:rPr>
              <w:t>候选中标供应商</w:t>
            </w:r>
            <w:r>
              <w:rPr>
                <w:rFonts w:hint="eastAsia" w:ascii="仿宋" w:hAnsi="仿宋" w:eastAsia="仿宋" w:cs="仿宋"/>
                <w:highlight w:val="none"/>
                <w:lang w:eastAsia="zh-CN"/>
              </w:rPr>
              <w:t>，</w:t>
            </w:r>
            <w:r>
              <w:rPr>
                <w:rFonts w:hint="eastAsia" w:ascii="仿宋" w:hAnsi="仿宋" w:eastAsia="仿宋" w:cs="仿宋"/>
                <w:highlight w:val="none"/>
              </w:rPr>
              <w:t>排名第二的投标人为第二候选中标供应商</w:t>
            </w:r>
            <w:r>
              <w:rPr>
                <w:rFonts w:hint="eastAsia" w:ascii="仿宋" w:hAnsi="仿宋" w:eastAsia="仿宋" w:cs="仿宋"/>
                <w:highlight w:val="none"/>
                <w:lang w:eastAsia="zh-CN"/>
              </w:rPr>
              <w:t>，</w:t>
            </w:r>
            <w:r>
              <w:rPr>
                <w:rFonts w:hint="eastAsia" w:ascii="仿宋" w:hAnsi="仿宋" w:eastAsia="仿宋" w:cs="仿宋"/>
                <w:highlight w:val="none"/>
              </w:rPr>
              <w:t>排名第三的投标人为第三候选中标供应商</w:t>
            </w:r>
            <w:r>
              <w:rPr>
                <w:rFonts w:hint="eastAsia" w:ascii="仿宋" w:hAnsi="仿宋" w:eastAsia="仿宋" w:cs="仿宋"/>
                <w:highlight w:val="none"/>
                <w:lang w:eastAsia="zh-CN"/>
              </w:rPr>
              <w:t>。</w:t>
            </w:r>
          </w:p>
          <w:p w14:paraId="56317E17">
            <w:pPr>
              <w:keepNext w:val="0"/>
              <w:keepLines w:val="0"/>
              <w:suppressLineNumbers w:val="0"/>
              <w:spacing w:before="0" w:beforeAutospacing="0" w:after="0" w:afterAutospacing="0"/>
              <w:ind w:left="0" w:leftChars="0" w:right="0" w:rightChars="0"/>
              <w:rPr>
                <w:rFonts w:hint="default" w:ascii="仿宋" w:hAnsi="仿宋" w:eastAsia="仿宋" w:cs="仿宋"/>
                <w:highlight w:val="none"/>
                <w:lang w:val="en-US" w:eastAsia="zh-CN"/>
              </w:rPr>
            </w:pPr>
            <w:r>
              <w:rPr>
                <w:rFonts w:hint="eastAsia" w:ascii="仿宋" w:hAnsi="仿宋" w:eastAsia="仿宋" w:cs="仿宋"/>
                <w:highlight w:val="none"/>
              </w:rPr>
              <w:t>中标供应商放弃中标资格的</w:t>
            </w:r>
            <w:r>
              <w:rPr>
                <w:rFonts w:hint="eastAsia" w:ascii="仿宋" w:hAnsi="仿宋" w:eastAsia="仿宋" w:cs="仿宋"/>
                <w:highlight w:val="none"/>
                <w:lang w:eastAsia="zh-CN"/>
              </w:rPr>
              <w:t>或</w:t>
            </w:r>
            <w:r>
              <w:rPr>
                <w:rFonts w:hint="eastAsia" w:ascii="仿宋" w:hAnsi="仿宋" w:eastAsia="仿宋" w:cs="仿宋"/>
                <w:highlight w:val="none"/>
              </w:rPr>
              <w:t>中标资格被依法确认无效的</w:t>
            </w:r>
            <w:r>
              <w:rPr>
                <w:rFonts w:hint="eastAsia" w:ascii="仿宋" w:hAnsi="仿宋" w:eastAsia="仿宋" w:cs="仿宋"/>
                <w:highlight w:val="none"/>
                <w:lang w:eastAsia="zh-CN"/>
              </w:rPr>
              <w:t>，</w:t>
            </w:r>
            <w:r>
              <w:rPr>
                <w:rFonts w:hint="eastAsia" w:ascii="仿宋" w:hAnsi="仿宋" w:eastAsia="仿宋" w:cs="仿宋"/>
                <w:highlight w:val="none"/>
              </w:rPr>
              <w:t>因情况紧急，重新组织采购不能满足采购人要求</w:t>
            </w:r>
            <w:r>
              <w:rPr>
                <w:rFonts w:hint="eastAsia" w:ascii="仿宋" w:hAnsi="仿宋" w:eastAsia="仿宋" w:cs="仿宋"/>
                <w:highlight w:val="none"/>
                <w:lang w:eastAsia="zh-CN"/>
              </w:rPr>
              <w:t>时</w:t>
            </w:r>
            <w:r>
              <w:rPr>
                <w:rFonts w:hint="eastAsia" w:ascii="仿宋" w:hAnsi="仿宋" w:eastAsia="仿宋" w:cs="仿宋"/>
                <w:highlight w:val="none"/>
              </w:rPr>
              <w:t>，可</w:t>
            </w:r>
            <w:r>
              <w:rPr>
                <w:rFonts w:hint="eastAsia" w:ascii="仿宋" w:hAnsi="仿宋" w:eastAsia="仿宋" w:cs="仿宋"/>
                <w:highlight w:val="none"/>
                <w:lang w:eastAsia="zh-CN"/>
              </w:rPr>
              <w:t>依法</w:t>
            </w:r>
            <w:r>
              <w:rPr>
                <w:rFonts w:hint="eastAsia" w:ascii="仿宋" w:hAnsi="仿宋" w:eastAsia="仿宋" w:cs="仿宋"/>
                <w:highlight w:val="none"/>
              </w:rPr>
              <w:t>从其他候选中标供应商中确定替补中标供应商</w:t>
            </w:r>
            <w:r>
              <w:rPr>
                <w:rFonts w:hint="eastAsia" w:ascii="仿宋" w:hAnsi="仿宋" w:eastAsia="仿宋" w:cs="仿宋"/>
                <w:highlight w:val="none"/>
                <w:lang w:eastAsia="zh-CN"/>
              </w:rPr>
              <w:t>。</w:t>
            </w:r>
          </w:p>
        </w:tc>
      </w:tr>
    </w:tbl>
    <w:p w14:paraId="4D3A452D">
      <w:pPr>
        <w:pStyle w:val="5"/>
        <w:pageBreakBefore/>
        <w:spacing w:line="415" w:lineRule="auto"/>
        <w:jc w:val="center"/>
        <w:outlineLvl w:val="0"/>
        <w:rPr>
          <w:rFonts w:hint="eastAsia" w:ascii="仿宋" w:hAnsi="仿宋" w:eastAsia="仿宋" w:cs="仿宋"/>
          <w:sz w:val="28"/>
          <w:szCs w:val="28"/>
          <w:lang w:val="en-US" w:eastAsia="zh-CN"/>
        </w:rPr>
      </w:pPr>
      <w:bookmarkStart w:id="28" w:name="bt总则"/>
      <w:bookmarkEnd w:id="28"/>
      <w:bookmarkStart w:id="29" w:name="_Toc17614"/>
      <w:bookmarkStart w:id="30" w:name="_Toc8986"/>
      <w:bookmarkStart w:id="31" w:name="_Toc258"/>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w:t>
      </w:r>
      <w:bookmarkEnd w:id="29"/>
      <w:r>
        <w:rPr>
          <w:rFonts w:hint="eastAsia" w:ascii="仿宋" w:hAnsi="仿宋" w:eastAsia="仿宋" w:cs="仿宋"/>
          <w:sz w:val="28"/>
          <w:szCs w:val="28"/>
          <w:lang w:val="en-US" w:eastAsia="zh-CN"/>
        </w:rPr>
        <w:t>表</w:t>
      </w:r>
      <w:bookmarkEnd w:id="30"/>
      <w:bookmarkEnd w:id="31"/>
    </w:p>
    <w:p w14:paraId="1F5DB2B1">
      <w:pPr>
        <w:jc w:val="center"/>
        <w:rPr>
          <w:rFonts w:hint="eastAsia"/>
          <w:b/>
        </w:rPr>
      </w:pPr>
      <w:r>
        <w:rPr>
          <w:rFonts w:hint="eastAsia"/>
          <w:b/>
        </w:rPr>
        <w:t>（凡有下列情形之一的，</w:t>
      </w:r>
      <w:r>
        <w:rPr>
          <w:rFonts w:hint="eastAsia"/>
          <w:b/>
          <w:color w:val="FF0000"/>
        </w:rPr>
        <w:t>初审不通过，投标无效</w:t>
      </w:r>
      <w:r>
        <w:rPr>
          <w:rFonts w:hint="eastAsia"/>
          <w:b/>
        </w:rPr>
        <w:t>）</w:t>
      </w:r>
    </w:p>
    <w:p w14:paraId="51C8BB0C">
      <w:pPr>
        <w:jc w:val="center"/>
        <w:rPr>
          <w:rFonts w:hint="eastAsia"/>
          <w:b/>
        </w:rPr>
      </w:pPr>
    </w:p>
    <w:tbl>
      <w:tblPr>
        <w:tblStyle w:val="44"/>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458"/>
      </w:tblGrid>
      <w:tr w14:paraId="687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35D6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2AD65AF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260C3710">
            <w:pPr>
              <w:keepNext w:val="0"/>
              <w:keepLines w:val="0"/>
              <w:suppressLineNumbers w:val="0"/>
              <w:spacing w:before="0" w:beforeAutospacing="0" w:after="0" w:afterAutospacing="0"/>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26D95E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19C3369A">
            <w:pPr>
              <w:keepNext w:val="0"/>
              <w:keepLines w:val="0"/>
              <w:suppressLineNumbers w:val="0"/>
              <w:spacing w:before="0" w:beforeAutospacing="0" w:after="0" w:afterAutospacing="0"/>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符合</w:t>
            </w:r>
            <w:r>
              <w:rPr>
                <w:rFonts w:hint="eastAsia" w:ascii="仿宋" w:hAnsi="仿宋" w:eastAsia="仿宋" w:cs="仿宋"/>
                <w:b/>
                <w:color w:val="000000" w:themeColor="text1"/>
                <w:sz w:val="24"/>
                <w14:textFill>
                  <w14:solidFill>
                    <w14:schemeClr w14:val="tx1"/>
                  </w14:solidFill>
                </w14:textFill>
              </w:rPr>
              <w:t>性检查表</w:t>
            </w:r>
          </w:p>
        </w:tc>
      </w:tr>
      <w:tr w14:paraId="37D8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7369D2E3">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lang w:val="en-US" w:eastAsia="zh-CN"/>
                <w14:textFill>
                  <w14:solidFill>
                    <w14:schemeClr w14:val="tx1"/>
                  </w14:solidFill>
                </w14:textFill>
              </w:rPr>
              <w:t>未</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78DCF49D">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458" w:type="dxa"/>
            <w:vAlign w:val="center"/>
          </w:tcPr>
          <w:p w14:paraId="39012047">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lang w:val="en-US" w:eastAsia="zh-CN"/>
                <w14:textFill>
                  <w14:solidFill>
                    <w14:schemeClr w14:val="tx1"/>
                  </w14:solidFill>
                </w14:textFill>
              </w:rPr>
              <w:t>招标</w:t>
            </w:r>
            <w:r>
              <w:rPr>
                <w:rFonts w:hint="eastAsia" w:ascii="仿宋" w:hAnsi="仿宋" w:eastAsia="仿宋" w:cs="仿宋"/>
                <w:color w:val="000000" w:themeColor="text1"/>
                <w:sz w:val="24"/>
                <w14:textFill>
                  <w14:solidFill>
                    <w14:schemeClr w14:val="tx1"/>
                  </w14:solidFill>
                </w14:textFill>
              </w:rPr>
              <w:t>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未</w:t>
            </w:r>
            <w:r>
              <w:rPr>
                <w:rFonts w:hint="eastAsia" w:ascii="仿宋" w:hAnsi="仿宋" w:eastAsia="仿宋" w:cs="仿宋"/>
                <w:color w:val="000000" w:themeColor="text1"/>
                <w:sz w:val="24"/>
                <w14:textFill>
                  <w14:solidFill>
                    <w14:schemeClr w14:val="tx1"/>
                  </w14:solidFill>
                </w14:textFill>
              </w:rPr>
              <w:t>同时提供两套或两套以上的投标方案</w:t>
            </w:r>
          </w:p>
        </w:tc>
      </w:tr>
      <w:tr w14:paraId="75C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458" w:type="dxa"/>
            <w:vAlign w:val="center"/>
          </w:tcPr>
          <w:p w14:paraId="0E791669">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14:textFill>
                  <w14:solidFill>
                    <w14:schemeClr w14:val="tx1"/>
                  </w14:solidFill>
                </w14:textFill>
              </w:rPr>
              <w:t>按照招标文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458" w:type="dxa"/>
            <w:vAlign w:val="center"/>
          </w:tcPr>
          <w:p w14:paraId="58F093A5">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14:textFill>
                  <w14:solidFill>
                    <w14:schemeClr w14:val="tx1"/>
                  </w14:solidFill>
                </w14:textFill>
              </w:rPr>
              <w:t>分项报价或投标总价</w:t>
            </w:r>
            <w:r>
              <w:rPr>
                <w:rFonts w:hint="eastAsia" w:ascii="仿宋" w:hAnsi="仿宋" w:eastAsia="仿宋" w:cs="仿宋"/>
                <w:color w:val="000000" w:themeColor="text1"/>
                <w:sz w:val="24"/>
                <w:lang w:val="en-US" w:eastAsia="zh-CN"/>
                <w14:textFill>
                  <w14:solidFill>
                    <w14:schemeClr w14:val="tx1"/>
                  </w14:solidFill>
                </w14:textFill>
              </w:rPr>
              <w:t>不</w:t>
            </w:r>
            <w:r>
              <w:rPr>
                <w:rFonts w:hint="eastAsia" w:ascii="仿宋" w:hAnsi="仿宋" w:eastAsia="仿宋" w:cs="仿宋"/>
                <w:color w:val="000000" w:themeColor="text1"/>
                <w:sz w:val="24"/>
                <w14:textFill>
                  <w14:solidFill>
                    <w14:schemeClr w14:val="tx1"/>
                  </w14:solidFill>
                </w14:textFill>
              </w:rPr>
              <w:t>高于限价，或按照</w:t>
            </w:r>
            <w:r>
              <w:rPr>
                <w:rFonts w:hint="eastAsia" w:ascii="仿宋" w:hAnsi="仿宋" w:eastAsia="仿宋" w:cs="仿宋"/>
                <w:color w:val="000000" w:themeColor="text1"/>
                <w:sz w:val="24"/>
                <w:lang w:val="en-US" w:eastAsia="zh-CN"/>
                <w14:textFill>
                  <w14:solidFill>
                    <w14:schemeClr w14:val="tx1"/>
                  </w14:solidFill>
                </w14:textFill>
              </w:rPr>
              <w:t>招标</w:t>
            </w:r>
            <w:r>
              <w:rPr>
                <w:rFonts w:hint="eastAsia" w:ascii="仿宋" w:hAnsi="仿宋" w:eastAsia="仿宋" w:cs="仿宋"/>
                <w:color w:val="000000" w:themeColor="text1"/>
                <w:sz w:val="24"/>
                <w14:textFill>
                  <w14:solidFill>
                    <w14:schemeClr w14:val="tx1"/>
                  </w14:solidFill>
                </w14:textFill>
              </w:rPr>
              <w:t>文件的报价要求进行报价的</w:t>
            </w:r>
          </w:p>
        </w:tc>
      </w:tr>
      <w:tr w14:paraId="451F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458" w:type="dxa"/>
            <w:vAlign w:val="center"/>
          </w:tcPr>
          <w:p w14:paraId="088CE393">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lang w:val="en-US" w:eastAsia="zh-CN"/>
                <w14:textFill>
                  <w14:solidFill>
                    <w14:schemeClr w14:val="tx1"/>
                  </w14:solidFill>
                </w14:textFill>
              </w:rPr>
              <w:t>评审委员会</w:t>
            </w:r>
            <w:r>
              <w:rPr>
                <w:rFonts w:hint="eastAsia" w:ascii="仿宋" w:hAnsi="仿宋" w:eastAsia="仿宋" w:cs="仿宋"/>
                <w:color w:val="000000" w:themeColor="text1"/>
                <w:sz w:val="24"/>
                <w14:textFill>
                  <w14:solidFill>
                    <w14:schemeClr w14:val="tx1"/>
                  </w14:solidFill>
                </w14:textFill>
              </w:rPr>
              <w:t>认为</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的报价明显低于其他通过</w:t>
            </w:r>
            <w:r>
              <w:rPr>
                <w:rFonts w:hint="eastAsia" w:ascii="仿宋" w:hAnsi="仿宋" w:eastAsia="仿宋" w:cs="仿宋"/>
                <w:color w:val="000000" w:themeColor="text1"/>
                <w:sz w:val="24"/>
                <w:lang w:val="en-US" w:eastAsia="zh-CN"/>
                <w14:textFill>
                  <w14:solidFill>
                    <w14:schemeClr w14:val="tx1"/>
                  </w14:solidFill>
                </w14:textFill>
              </w:rPr>
              <w:t>符合</w:t>
            </w:r>
            <w:r>
              <w:rPr>
                <w:rFonts w:hint="eastAsia" w:ascii="仿宋" w:hAnsi="仿宋" w:eastAsia="仿宋" w:cs="仿宋"/>
                <w:color w:val="000000" w:themeColor="text1"/>
                <w:sz w:val="24"/>
                <w14:textFill>
                  <w14:solidFill>
                    <w14:schemeClr w14:val="tx1"/>
                  </w14:solidFill>
                </w14:textFill>
              </w:rPr>
              <w:t>性审查</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的报价，有可能影响产品质量或者不能诚信履约的，</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不能在合理的时间内提供书面说明，或无法提交相关证明材料，</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不能证明其报价合理性的（若</w:t>
            </w:r>
            <w:r>
              <w:rPr>
                <w:rFonts w:hint="eastAsia" w:ascii="仿宋" w:hAnsi="仿宋" w:eastAsia="仿宋" w:cs="仿宋"/>
                <w:color w:val="000000" w:themeColor="text1"/>
                <w:sz w:val="24"/>
                <w:lang w:val="en-US" w:eastAsia="zh-CN"/>
                <w14:textFill>
                  <w14:solidFill>
                    <w14:schemeClr w14:val="tx1"/>
                  </w14:solidFill>
                </w14:textFill>
              </w:rPr>
              <w:t>评审委员会</w:t>
            </w:r>
            <w:r>
              <w:rPr>
                <w:rFonts w:hint="eastAsia" w:ascii="仿宋" w:hAnsi="仿宋" w:eastAsia="仿宋" w:cs="仿宋"/>
                <w:color w:val="000000" w:themeColor="text1"/>
                <w:sz w:val="24"/>
                <w14:textFill>
                  <w14:solidFill>
                    <w14:schemeClr w14:val="tx1"/>
                  </w14:solidFill>
                </w14:textFill>
              </w:rPr>
              <w:t>成员对是否须由</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作出报价合理性说明，以及书面说明是否采纳等判断不一致的，按照“少数服从多数”的原则确定</w:t>
            </w:r>
            <w:r>
              <w:rPr>
                <w:rFonts w:hint="eastAsia" w:ascii="仿宋" w:hAnsi="仿宋" w:eastAsia="仿宋" w:cs="仿宋"/>
                <w:color w:val="000000" w:themeColor="text1"/>
                <w:sz w:val="24"/>
                <w:lang w:val="en-US" w:eastAsia="zh-CN"/>
                <w14:textFill>
                  <w14:solidFill>
                    <w14:schemeClr w14:val="tx1"/>
                  </w14:solidFill>
                </w14:textFill>
              </w:rPr>
              <w:t>评审委员会</w:t>
            </w:r>
            <w:r>
              <w:rPr>
                <w:rFonts w:hint="eastAsia" w:ascii="仿宋" w:hAnsi="仿宋" w:eastAsia="仿宋" w:cs="仿宋"/>
                <w:color w:val="000000" w:themeColor="text1"/>
                <w:sz w:val="24"/>
                <w14:textFill>
                  <w14:solidFill>
                    <w14:schemeClr w14:val="tx1"/>
                  </w14:solidFill>
                </w14:textFill>
              </w:rPr>
              <w:t>的意见，投标文件的轻微瑕疵、非关键内容不得作为认定投标无效的依据）</w:t>
            </w:r>
          </w:p>
        </w:tc>
      </w:tr>
      <w:tr w14:paraId="46F7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458" w:type="dxa"/>
            <w:vAlign w:val="center"/>
          </w:tcPr>
          <w:p w14:paraId="7281091E">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14:textFill>
                  <w14:solidFill>
                    <w14:schemeClr w14:val="tx1"/>
                  </w14:solidFill>
                </w14:textFill>
              </w:rPr>
              <w:t>采购标的/服务清单/报价等任意一类未出现有缺漏项或响应不全；</w:t>
            </w:r>
          </w:p>
        </w:tc>
      </w:tr>
      <w:tr w14:paraId="42D7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458" w:type="dxa"/>
            <w:vAlign w:val="center"/>
          </w:tcPr>
          <w:p w14:paraId="788ABF32">
            <w:pPr>
              <w:keepNext w:val="0"/>
              <w:keepLines w:val="0"/>
              <w:suppressLineNumbers w:val="0"/>
              <w:spacing w:before="0" w:beforeAutospacing="0" w:after="0" w:afterAutospacing="0"/>
              <w:ind w:left="0" w:leftChars="0" w:right="0" w:rightChars="0"/>
              <w:rPr>
                <w:rFonts w:hint="eastAsia" w:ascii="仿宋" w:hAnsi="仿宋" w:eastAsia="仿宋" w:cs="仿宋"/>
                <w:sz w:val="32"/>
                <w:szCs w:val="32"/>
              </w:rPr>
            </w:pPr>
            <w:r>
              <w:rPr>
                <w:rFonts w:hint="eastAsia" w:ascii="仿宋" w:hAnsi="仿宋" w:eastAsia="仿宋" w:cs="仿宋"/>
                <w:color w:val="000000" w:themeColor="text1"/>
                <w:sz w:val="24"/>
                <w14:textFill>
                  <w14:solidFill>
                    <w14:schemeClr w14:val="tx1"/>
                  </w14:solidFill>
                </w14:textFill>
              </w:rPr>
              <w:t>所投货物、服务在技术、商务等方面实质性满足招标文件要求的（是否实质性满足招标文件要求，由评审委员会根据《实质性条款响应情况表》做出评判）</w:t>
            </w:r>
          </w:p>
        </w:tc>
      </w:tr>
      <w:tr w14:paraId="4C9F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458" w:type="dxa"/>
            <w:vAlign w:val="center"/>
          </w:tcPr>
          <w:p w14:paraId="492F5CB9">
            <w:pPr>
              <w:keepNext w:val="0"/>
              <w:keepLines w:val="0"/>
              <w:suppressLineNumbers w:val="0"/>
              <w:spacing w:before="0" w:beforeAutospacing="0" w:after="0" w:afterAutospacing="0"/>
              <w:ind w:left="0" w:leftChars="0" w:right="0" w:rightChars="0"/>
              <w:rPr>
                <w:rFonts w:hint="eastAsia" w:ascii="仿宋" w:hAnsi="仿宋" w:eastAsia="仿宋" w:cs="仿宋"/>
                <w:sz w:val="24"/>
                <w:szCs w:val="32"/>
              </w:rPr>
            </w:pPr>
            <w:r>
              <w:rPr>
                <w:rFonts w:hint="eastAsia" w:ascii="仿宋" w:hAnsi="仿宋" w:eastAsia="仿宋" w:cs="仿宋"/>
                <w:color w:val="000000" w:themeColor="text1"/>
                <w:sz w:val="24"/>
                <w:lang w:val="en-US" w:eastAsia="zh-CN"/>
                <w14:textFill>
                  <w14:solidFill>
                    <w14:schemeClr w14:val="tx1"/>
                  </w14:solidFill>
                </w14:textFill>
              </w:rPr>
              <w:t>投标文件未附有采购人或招标需求不能接受的条件</w:t>
            </w:r>
          </w:p>
        </w:tc>
      </w:tr>
      <w:tr w14:paraId="3D34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458" w:type="dxa"/>
            <w:vAlign w:val="center"/>
          </w:tcPr>
          <w:p w14:paraId="6BB278CF">
            <w:pPr>
              <w:keepNext w:val="0"/>
              <w:keepLines w:val="0"/>
              <w:suppressLineNumbers w:val="0"/>
              <w:spacing w:before="0" w:beforeAutospacing="0" w:after="0" w:afterAutospacing="0"/>
              <w:ind w:left="0" w:leftChars="0" w:right="0" w:rightChars="0"/>
              <w:rPr>
                <w:rFonts w:hint="eastAsia" w:ascii="仿宋" w:hAnsi="仿宋" w:eastAsia="仿宋" w:cs="仿宋"/>
                <w:sz w:val="24"/>
                <w:szCs w:val="32"/>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outlineLvl w:val="0"/>
        <w:rPr>
          <w:rFonts w:hint="eastAsia" w:ascii="仿宋" w:hAnsi="仿宋" w:eastAsia="仿宋" w:cs="仿宋"/>
          <w:sz w:val="28"/>
          <w:szCs w:val="28"/>
          <w:highlight w:val="none"/>
        </w:rPr>
      </w:pPr>
      <w:bookmarkStart w:id="32" w:name="_Toc1486"/>
      <w:bookmarkStart w:id="33" w:name="_Toc27339"/>
      <w:bookmarkStart w:id="34" w:name="_Toc8820"/>
      <w:r>
        <w:rPr>
          <w:rFonts w:hint="eastAsia" w:ascii="仿宋" w:hAnsi="仿宋" w:eastAsia="仿宋" w:cs="仿宋"/>
          <w:sz w:val="28"/>
          <w:szCs w:val="28"/>
          <w:highlight w:val="none"/>
        </w:rPr>
        <w:t>表三、评标信息</w:t>
      </w:r>
      <w:bookmarkEnd w:id="32"/>
      <w:bookmarkEnd w:id="33"/>
      <w:bookmarkEnd w:id="34"/>
    </w:p>
    <w:p w14:paraId="35E4CF46">
      <w:pPr>
        <w:spacing w:line="390" w:lineRule="exact"/>
        <w:ind w:firstLine="426" w:firstLineChars="202"/>
        <w:jc w:val="left"/>
        <w:outlineLvl w:val="1"/>
        <w:rPr>
          <w:rFonts w:hint="eastAsia" w:ascii="仿宋" w:hAnsi="仿宋" w:eastAsia="仿宋" w:cs="仿宋"/>
          <w:b/>
          <w:sz w:val="21"/>
          <w:szCs w:val="21"/>
        </w:rPr>
      </w:pPr>
      <w:bookmarkStart w:id="35" w:name="_Toc15610"/>
      <w:bookmarkStart w:id="36" w:name="_Toc1267"/>
      <w:bookmarkStart w:id="37" w:name="_Toc30120"/>
      <w:r>
        <w:rPr>
          <w:rFonts w:hint="eastAsia" w:ascii="仿宋" w:hAnsi="仿宋" w:eastAsia="仿宋" w:cs="仿宋"/>
          <w:b/>
          <w:sz w:val="21"/>
          <w:szCs w:val="21"/>
        </w:rPr>
        <w:t>1、评标方法</w:t>
      </w:r>
      <w:bookmarkEnd w:id="35"/>
      <w:bookmarkEnd w:id="36"/>
    </w:p>
    <w:p w14:paraId="31F0D892">
      <w:pPr>
        <w:snapToGrid w:val="0"/>
        <w:spacing w:line="360" w:lineRule="auto"/>
        <w:ind w:firstLine="411" w:firstLineChars="196"/>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评标方法分为最低价法、综合评分法及法律、法规允许的其它评标办法</w:t>
      </w:r>
      <w:r>
        <w:rPr>
          <w:rFonts w:hint="eastAsia" w:ascii="仿宋" w:hAnsi="仿宋" w:eastAsia="仿宋" w:cs="仿宋"/>
          <w:sz w:val="21"/>
          <w:szCs w:val="21"/>
          <w:highlight w:val="none"/>
          <w:lang w:eastAsia="zh-CN"/>
        </w:rPr>
        <w:t>：</w:t>
      </w:r>
    </w:p>
    <w:p w14:paraId="65AADA80">
      <w:pPr>
        <w:snapToGrid w:val="0"/>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最低价法，是指完全满足招标文件实质性要求，按照报价由低到高的顺序，依据招标文件中规定的数量或者比例推荐候选中标供应商。</w:t>
      </w:r>
    </w:p>
    <w:p w14:paraId="0B4E4E8D">
      <w:pPr>
        <w:snapToGrid w:val="0"/>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综合评分法，是指在满足招标文件全部实质性要求的前提下，按照招标文件中规定的各项因素进行综合评审，评审总得分</w:t>
      </w:r>
      <w:r>
        <w:rPr>
          <w:rFonts w:hint="eastAsia" w:ascii="仿宋" w:hAnsi="仿宋" w:eastAsia="仿宋" w:cs="仿宋"/>
          <w:color w:val="auto"/>
          <w:sz w:val="21"/>
          <w:szCs w:val="21"/>
          <w:highlight w:val="none"/>
          <w:lang w:val="en-US" w:eastAsia="zh-CN"/>
        </w:rPr>
        <w:t>由</w:t>
      </w:r>
      <w:r>
        <w:rPr>
          <w:rFonts w:hint="eastAsia" w:ascii="仿宋" w:hAnsi="仿宋" w:eastAsia="仿宋" w:cs="仿宋"/>
          <w:color w:val="auto"/>
          <w:sz w:val="21"/>
          <w:szCs w:val="21"/>
          <w:highlight w:val="none"/>
        </w:rPr>
        <w:t>高到低顺序</w:t>
      </w:r>
      <w:r>
        <w:rPr>
          <w:rFonts w:hint="eastAsia" w:ascii="仿宋" w:hAnsi="仿宋" w:eastAsia="仿宋" w:cs="仿宋"/>
          <w:color w:val="auto"/>
          <w:sz w:val="21"/>
          <w:szCs w:val="21"/>
          <w:highlight w:val="none"/>
          <w:lang w:val="en-US" w:eastAsia="zh-CN"/>
        </w:rPr>
        <w:t>进行排名，</w:t>
      </w:r>
      <w:r>
        <w:rPr>
          <w:rFonts w:hint="eastAsia" w:ascii="仿宋" w:hAnsi="仿宋" w:eastAsia="仿宋" w:cs="仿宋"/>
          <w:color w:val="auto"/>
          <w:sz w:val="21"/>
          <w:szCs w:val="21"/>
          <w:highlight w:val="none"/>
        </w:rPr>
        <w:t>排名</w:t>
      </w:r>
      <w:r>
        <w:rPr>
          <w:rFonts w:hint="eastAsia" w:ascii="仿宋" w:hAnsi="仿宋" w:eastAsia="仿宋" w:cs="仿宋"/>
          <w:color w:val="auto"/>
          <w:sz w:val="21"/>
          <w:szCs w:val="21"/>
          <w:highlight w:val="none"/>
          <w:lang w:val="en-US" w:eastAsia="zh-CN"/>
        </w:rPr>
        <w:t>第一</w:t>
      </w:r>
      <w:r>
        <w:rPr>
          <w:rFonts w:hint="eastAsia" w:ascii="仿宋" w:hAnsi="仿宋" w:eastAsia="仿宋" w:cs="仿宋"/>
          <w:color w:val="auto"/>
          <w:sz w:val="21"/>
          <w:szCs w:val="21"/>
          <w:highlight w:val="none"/>
        </w:rPr>
        <w:t>的投标人，作为推荐的</w:t>
      </w:r>
      <w:r>
        <w:rPr>
          <w:rFonts w:hint="eastAsia" w:ascii="仿宋" w:hAnsi="仿宋" w:eastAsia="仿宋" w:cs="仿宋"/>
          <w:color w:val="auto"/>
          <w:sz w:val="21"/>
          <w:szCs w:val="21"/>
          <w:highlight w:val="none"/>
          <w:lang w:val="en-US" w:eastAsia="zh-CN"/>
        </w:rPr>
        <w:t>第一</w:t>
      </w:r>
      <w:r>
        <w:rPr>
          <w:rFonts w:hint="eastAsia" w:ascii="仿宋" w:hAnsi="仿宋" w:eastAsia="仿宋" w:cs="仿宋"/>
          <w:color w:val="auto"/>
          <w:sz w:val="21"/>
          <w:szCs w:val="21"/>
          <w:highlight w:val="none"/>
        </w:rPr>
        <w:t>候选中标供应商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以此类推</w:t>
      </w:r>
      <w:r>
        <w:rPr>
          <w:rFonts w:hint="eastAsia" w:ascii="仿宋" w:hAnsi="仿宋" w:eastAsia="仿宋" w:cs="仿宋"/>
          <w:color w:val="auto"/>
          <w:sz w:val="21"/>
          <w:szCs w:val="21"/>
          <w:highlight w:val="none"/>
        </w:rPr>
        <w:t>。</w:t>
      </w:r>
    </w:p>
    <w:p w14:paraId="4DC5168B">
      <w:pPr>
        <w:snapToGrid w:val="0"/>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确定中标供应商按评审后得分由高到低顺序排列。得分相同的，按投标报价由低到高顺序排列。得分且投标报价相同的，按技术指标或服务方案优劣顺序排列。</w:t>
      </w:r>
    </w:p>
    <w:p w14:paraId="44A7FF92">
      <w:pPr>
        <w:snapToGrid w:val="0"/>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评审委员会对每个通过资格性检查和符合性检查且报价不超过预算控制金额的投标供应商进行评审、打分，然后汇总每个投标供应商每项评分因素的评分。</w:t>
      </w:r>
    </w:p>
    <w:p w14:paraId="73174B78">
      <w:pPr>
        <w:spacing w:line="390" w:lineRule="exact"/>
        <w:ind w:firstLine="422" w:firstLineChars="200"/>
        <w:jc w:val="left"/>
        <w:outlineLvl w:val="1"/>
        <w:rPr>
          <w:rFonts w:hint="eastAsia" w:ascii="仿宋" w:hAnsi="仿宋" w:eastAsia="仿宋" w:cs="仿宋"/>
          <w:b/>
          <w:sz w:val="21"/>
          <w:szCs w:val="21"/>
        </w:rPr>
      </w:pPr>
      <w:bookmarkStart w:id="38" w:name="_Toc15458"/>
      <w:bookmarkStart w:id="39" w:name="_Toc12559"/>
      <w:r>
        <w:rPr>
          <w:rFonts w:hint="eastAsia" w:ascii="仿宋" w:hAnsi="仿宋" w:eastAsia="仿宋" w:cs="仿宋"/>
          <w:b/>
          <w:sz w:val="21"/>
          <w:szCs w:val="21"/>
          <w:lang w:bidi="ar"/>
        </w:rPr>
        <w:t>2、关于投标报价的注意事项</w:t>
      </w:r>
      <w:bookmarkEnd w:id="38"/>
      <w:bookmarkEnd w:id="39"/>
    </w:p>
    <w:p w14:paraId="6BC60A6E">
      <w:pPr>
        <w:spacing w:line="390" w:lineRule="exact"/>
        <w:ind w:firstLine="420" w:firstLineChars="200"/>
        <w:rPr>
          <w:rFonts w:hint="eastAsia" w:ascii="仿宋" w:hAnsi="仿宋" w:eastAsia="仿宋" w:cs="仿宋"/>
          <w:bCs/>
          <w:sz w:val="21"/>
          <w:szCs w:val="21"/>
          <w:lang w:bidi="ar"/>
        </w:rPr>
      </w:pPr>
      <w:r>
        <w:rPr>
          <w:rFonts w:hint="eastAsia" w:ascii="仿宋" w:hAnsi="仿宋" w:eastAsia="仿宋" w:cs="仿宋"/>
          <w:bCs/>
          <w:sz w:val="21"/>
          <w:szCs w:val="21"/>
          <w:lang w:bidi="ar"/>
        </w:rPr>
        <w:t>根据财政部87号令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审委员会成员对是否须由投标人做出报价合理性说明，以及书面说明是否采纳等判断不一致的，按照“少数服从多数”的原则确定评审委员会的意见。</w:t>
      </w:r>
    </w:p>
    <w:p w14:paraId="1D9074D5">
      <w:pPr>
        <w:spacing w:line="390" w:lineRule="exact"/>
        <w:ind w:firstLine="422" w:firstLineChars="200"/>
        <w:outlineLvl w:val="1"/>
        <w:rPr>
          <w:rFonts w:hint="eastAsia" w:ascii="仿宋" w:hAnsi="仿宋" w:eastAsia="仿宋" w:cs="仿宋"/>
          <w:b/>
          <w:bCs/>
          <w:sz w:val="21"/>
          <w:szCs w:val="21"/>
        </w:rPr>
      </w:pPr>
      <w:bookmarkStart w:id="40" w:name="_Toc8623"/>
      <w:bookmarkStart w:id="41" w:name="_Toc7933"/>
      <w:r>
        <w:rPr>
          <w:rFonts w:hint="eastAsia" w:ascii="仿宋" w:hAnsi="仿宋" w:eastAsia="仿宋" w:cs="仿宋"/>
          <w:b/>
          <w:bCs/>
          <w:sz w:val="21"/>
          <w:szCs w:val="21"/>
          <w:lang w:bidi="ar"/>
        </w:rPr>
        <w:t>3、关于享受优惠政策的主体及价格扣除比例</w:t>
      </w:r>
      <w:bookmarkEnd w:id="40"/>
      <w:bookmarkEnd w:id="41"/>
    </w:p>
    <w:p w14:paraId="4E5D5DA0">
      <w:pPr>
        <w:spacing w:line="390" w:lineRule="exact"/>
        <w:ind w:firstLine="424" w:firstLineChars="202"/>
        <w:jc w:val="left"/>
        <w:rPr>
          <w:rFonts w:hint="eastAsia" w:ascii="仿宋" w:hAnsi="仿宋" w:eastAsia="仿宋" w:cs="仿宋"/>
          <w:sz w:val="21"/>
          <w:szCs w:val="21"/>
          <w:lang w:bidi="ar"/>
        </w:rPr>
      </w:pPr>
      <w:r>
        <w:rPr>
          <w:rFonts w:hint="eastAsia" w:ascii="仿宋" w:hAnsi="仿宋" w:eastAsia="仿宋" w:cs="仿宋"/>
          <w:sz w:val="21"/>
          <w:szCs w:val="21"/>
          <w:lang w:bidi="ar"/>
        </w:rPr>
        <w:t>（1）小型企业、微型企业、监狱企业、残疾人福利性单位提供本企业制造的货物，承担的工程或服务，或者提供其他符合优惠主体资格条件企业制造的货物，对其所投产品的价格给予</w:t>
      </w:r>
      <w:r>
        <w:rPr>
          <w:rFonts w:hint="eastAsia" w:ascii="仿宋" w:hAnsi="仿宋" w:eastAsia="仿宋" w:cs="仿宋"/>
          <w:sz w:val="21"/>
          <w:szCs w:val="21"/>
          <w:highlight w:val="yellow"/>
          <w:lang w:bidi="ar"/>
        </w:rPr>
        <w:t>10%</w:t>
      </w:r>
      <w:r>
        <w:rPr>
          <w:rFonts w:hint="eastAsia" w:ascii="仿宋" w:hAnsi="仿宋" w:eastAsia="仿宋" w:cs="仿宋"/>
          <w:sz w:val="21"/>
          <w:szCs w:val="21"/>
          <w:lang w:bidi="ar"/>
        </w:rPr>
        <w:t>的扣除，用扣除后的价格参与评审，具体扣除比例由采购人确定。满足多项优惠政策的企业，不重复享受多项价格扣除政策。</w:t>
      </w:r>
    </w:p>
    <w:p w14:paraId="7BCC6582">
      <w:pPr>
        <w:spacing w:line="390" w:lineRule="exact"/>
        <w:ind w:firstLine="424" w:firstLineChars="202"/>
        <w:jc w:val="left"/>
        <w:rPr>
          <w:rFonts w:hint="eastAsia" w:ascii="仿宋" w:hAnsi="仿宋" w:eastAsia="仿宋" w:cs="仿宋"/>
          <w:sz w:val="21"/>
          <w:szCs w:val="21"/>
          <w:lang w:bidi="ar"/>
        </w:rPr>
      </w:pPr>
      <w:r>
        <w:rPr>
          <w:rFonts w:hint="eastAsia" w:ascii="仿宋" w:hAnsi="仿宋" w:eastAsia="仿宋" w:cs="仿宋"/>
          <w:sz w:val="21"/>
          <w:szCs w:val="21"/>
          <w:lang w:bidi="ar"/>
        </w:rPr>
        <w:t>（2）中小企业参加政府采购活动，应当按照国务院批准的《中小企业划型标准规定》（工信部联企业〔2011〕300号）、《金融业企业划型标准规定》（银发〔2015〕309号）和《财政部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 号）的规定，出具《中小企业声明函》，《中小企业声明函》中相关企业所属行业应当与采购标的所属行业相一致。</w:t>
      </w:r>
    </w:p>
    <w:p w14:paraId="55214C11">
      <w:pPr>
        <w:spacing w:line="390" w:lineRule="exact"/>
        <w:ind w:firstLine="424" w:firstLineChars="202"/>
        <w:jc w:val="left"/>
        <w:rPr>
          <w:rFonts w:hint="eastAsia" w:ascii="仿宋" w:hAnsi="仿宋" w:eastAsia="仿宋" w:cs="仿宋"/>
          <w:sz w:val="21"/>
          <w:szCs w:val="21"/>
        </w:rPr>
      </w:pPr>
      <w:r>
        <w:rPr>
          <w:rFonts w:hint="eastAsia" w:ascii="仿宋" w:hAnsi="仿宋" w:eastAsia="仿宋" w:cs="仿宋"/>
          <w:sz w:val="21"/>
          <w:szCs w:val="21"/>
          <w:lang w:bidi="ar"/>
        </w:rPr>
        <w:t>（3）</w:t>
      </w:r>
      <w:r>
        <w:rPr>
          <w:rFonts w:hint="eastAsia" w:ascii="仿宋" w:hAnsi="仿宋" w:eastAsia="仿宋" w:cs="仿宋"/>
          <w:sz w:val="21"/>
          <w:szCs w:val="21"/>
          <w:lang w:val="en-US" w:eastAsia="zh-CN" w:bidi="ar"/>
        </w:rPr>
        <w:t>投标单位</w:t>
      </w:r>
      <w:r>
        <w:rPr>
          <w:rFonts w:hint="eastAsia" w:ascii="仿宋" w:hAnsi="仿宋" w:eastAsia="仿宋" w:cs="仿宋"/>
          <w:sz w:val="21"/>
          <w:szCs w:val="21"/>
        </w:rPr>
        <w:t>根据《工业和信息化部、国家统计局、国家发展和改革委员会、财政部关于印发中小企业划型标准规定的通知》（工信部联企业〔2011〕300号），</w:t>
      </w:r>
      <w:r>
        <w:rPr>
          <w:rFonts w:hint="eastAsia" w:ascii="仿宋" w:hAnsi="仿宋" w:eastAsia="仿宋" w:cs="仿宋"/>
          <w:sz w:val="21"/>
          <w:szCs w:val="21"/>
          <w:lang w:val="en-US" w:eastAsia="zh-CN"/>
        </w:rPr>
        <w:t>确定</w:t>
      </w:r>
      <w:r>
        <w:rPr>
          <w:rFonts w:hint="eastAsia" w:ascii="仿宋" w:hAnsi="仿宋" w:eastAsia="仿宋" w:cs="仿宋"/>
          <w:sz w:val="21"/>
          <w:szCs w:val="21"/>
        </w:rPr>
        <w:t>本项目采购标的对应的中小企业划分标准所属行业，</w:t>
      </w:r>
      <w:r>
        <w:rPr>
          <w:rFonts w:hint="eastAsia" w:ascii="仿宋" w:hAnsi="仿宋" w:eastAsia="仿宋" w:cs="仿宋"/>
          <w:b/>
          <w:bCs/>
          <w:sz w:val="21"/>
          <w:szCs w:val="21"/>
        </w:rPr>
        <w:t>《中小企业声明函》中制造商、承接/承建企业所属行业应当与招标文件要求的行业相一致</w:t>
      </w:r>
      <w:r>
        <w:rPr>
          <w:rFonts w:hint="eastAsia" w:ascii="仿宋" w:hAnsi="仿宋" w:eastAsia="仿宋" w:cs="仿宋"/>
          <w:sz w:val="21"/>
          <w:szCs w:val="21"/>
        </w:rPr>
        <w:t>。</w:t>
      </w:r>
    </w:p>
    <w:p w14:paraId="2AB9B19F">
      <w:pPr>
        <w:spacing w:before="120" w:beforeLines="50" w:after="120" w:afterLines="50" w:line="400" w:lineRule="exact"/>
        <w:ind w:firstLine="420" w:firstLineChars="200"/>
        <w:rPr>
          <w:rFonts w:hint="eastAsia" w:ascii="仿宋" w:hAnsi="仿宋" w:eastAsia="仿宋" w:cs="仿宋"/>
          <w:sz w:val="21"/>
          <w:szCs w:val="21"/>
          <w:lang w:bidi="ar"/>
        </w:rPr>
      </w:pPr>
      <w:r>
        <w:rPr>
          <w:rFonts w:hint="eastAsia" w:ascii="仿宋" w:hAnsi="仿宋" w:eastAsia="仿宋" w:cs="仿宋"/>
          <w:sz w:val="21"/>
          <w:szCs w:val="21"/>
          <w:lang w:bidi="ar"/>
        </w:rPr>
        <w:t>（4）优惠主体资格的认定资料为《中小企业声明函》、《残疾人福利性单位声明函》、《监狱企业声明函》以及《含有小型、微型企业的联合体声明函》等承诺性质的资料；监狱企业或者代理提供监狱企业货物的供应商如须享受优惠政策，除上述资料外，还须提供省级以上监狱管理局、戒毒管理局出具的监狱企业证明文件。</w:t>
      </w:r>
    </w:p>
    <w:p w14:paraId="3CA13B9C">
      <w:pPr>
        <w:spacing w:before="120" w:beforeLines="50" w:after="120" w:afterLines="50" w:line="400" w:lineRule="exact"/>
        <w:ind w:firstLine="420" w:firstLineChars="200"/>
        <w:rPr>
          <w:rFonts w:hint="eastAsia" w:ascii="仿宋" w:hAnsi="仿宋" w:eastAsia="仿宋" w:cs="仿宋"/>
          <w:sz w:val="21"/>
          <w:szCs w:val="21"/>
          <w:lang w:bidi="ar"/>
        </w:rPr>
      </w:pPr>
      <w:r>
        <w:rPr>
          <w:rFonts w:hint="eastAsia" w:ascii="仿宋" w:hAnsi="仿宋" w:eastAsia="仿宋" w:cs="仿宋"/>
          <w:sz w:val="21"/>
          <w:szCs w:val="21"/>
          <w:highlight w:val="yellow"/>
          <w:lang w:val="en-US" w:eastAsia="zh-CN" w:bidi="ar"/>
        </w:rPr>
        <w:t>本项目适用综合评分法，</w:t>
      </w:r>
      <w:r>
        <w:rPr>
          <w:rFonts w:hint="eastAsia" w:ascii="仿宋" w:hAnsi="仿宋" w:eastAsia="仿宋" w:cs="仿宋"/>
          <w:sz w:val="21"/>
          <w:szCs w:val="21"/>
          <w:lang w:val="en-US" w:eastAsia="zh-CN" w:bidi="ar"/>
        </w:rPr>
        <w:t>评审委员会专家</w:t>
      </w:r>
      <w:r>
        <w:rPr>
          <w:rFonts w:hint="eastAsia" w:ascii="仿宋" w:hAnsi="仿宋" w:eastAsia="仿宋" w:cs="仿宋"/>
          <w:sz w:val="21"/>
          <w:szCs w:val="21"/>
          <w:lang w:bidi="ar"/>
        </w:rPr>
        <w:t>在评标时，按照以下量化的评审因素，对进入该阶段评审的各投标文件进行分析和比较</w:t>
      </w:r>
      <w:r>
        <w:rPr>
          <w:rFonts w:hint="eastAsia" w:ascii="仿宋" w:hAnsi="仿宋" w:eastAsia="仿宋" w:cs="仿宋"/>
          <w:sz w:val="21"/>
          <w:szCs w:val="21"/>
          <w:lang w:eastAsia="zh-CN" w:bidi="ar"/>
        </w:rPr>
        <w:t>（</w:t>
      </w:r>
      <w:bookmarkStart w:id="42" w:name="EB067d940baba349e582b898bfd18c9719"/>
      <w:r>
        <w:rPr>
          <w:rFonts w:ascii="宋体" w:hAnsi="宋体" w:cs="宋体"/>
          <w:szCs w:val="21"/>
        </w:rPr>
        <w:t>综合</w:t>
      </w:r>
      <w:r>
        <w:rPr>
          <w:rFonts w:hint="eastAsia" w:ascii="宋体" w:hAnsi="宋体" w:cs="宋体"/>
          <w:szCs w:val="21"/>
        </w:rPr>
        <w:t>得分</w:t>
      </w:r>
      <w:r>
        <w:rPr>
          <w:rFonts w:ascii="宋体" w:hAnsi="宋体" w:cs="宋体"/>
          <w:szCs w:val="21"/>
        </w:rPr>
        <w:t>=技术</w:t>
      </w:r>
      <w:r>
        <w:rPr>
          <w:rFonts w:hint="eastAsia" w:ascii="宋体" w:hAnsi="宋体" w:cs="宋体"/>
          <w:szCs w:val="21"/>
        </w:rPr>
        <w:t>得分</w:t>
      </w:r>
      <w:r>
        <w:rPr>
          <w:rFonts w:ascii="宋体" w:hAnsi="宋体" w:cs="宋体"/>
          <w:szCs w:val="21"/>
        </w:rPr>
        <w:t>+商务</w:t>
      </w:r>
      <w:r>
        <w:rPr>
          <w:rFonts w:hint="eastAsia" w:ascii="宋体" w:hAnsi="宋体" w:cs="宋体"/>
          <w:szCs w:val="21"/>
        </w:rPr>
        <w:t>得分</w:t>
      </w:r>
      <w:r>
        <w:rPr>
          <w:rFonts w:ascii="宋体" w:hAnsi="宋体" w:cs="宋体"/>
          <w:szCs w:val="21"/>
        </w:rPr>
        <w:t>+价格</w:t>
      </w:r>
      <w:bookmarkEnd w:id="42"/>
      <w:r>
        <w:rPr>
          <w:rFonts w:hint="eastAsia" w:ascii="宋体" w:hAnsi="宋体" w:cs="宋体"/>
          <w:szCs w:val="21"/>
        </w:rPr>
        <w:t>得分</w:t>
      </w:r>
      <w:r>
        <w:rPr>
          <w:rFonts w:hint="eastAsia" w:ascii="仿宋" w:hAnsi="仿宋" w:eastAsia="仿宋" w:cs="仿宋"/>
          <w:sz w:val="21"/>
          <w:szCs w:val="21"/>
          <w:lang w:eastAsia="zh-CN" w:bidi="ar"/>
        </w:rPr>
        <w:t>）</w:t>
      </w:r>
      <w:r>
        <w:rPr>
          <w:rFonts w:hint="eastAsia" w:ascii="仿宋" w:hAnsi="仿宋" w:eastAsia="仿宋" w:cs="仿宋"/>
          <w:sz w:val="21"/>
          <w:szCs w:val="21"/>
          <w:lang w:bidi="ar"/>
        </w:rPr>
        <w:t>：</w:t>
      </w:r>
    </w:p>
    <w:p w14:paraId="48283F33">
      <w:pPr>
        <w:spacing w:before="120" w:beforeLines="50" w:after="120" w:afterLines="50" w:line="400" w:lineRule="exact"/>
        <w:ind w:firstLine="422" w:firstLineChars="200"/>
        <w:jc w:val="center"/>
        <w:rPr>
          <w:rFonts w:hint="eastAsia" w:ascii="仿宋" w:hAnsi="仿宋" w:eastAsia="仿宋" w:cs="仿宋"/>
          <w:szCs w:val="21"/>
        </w:rPr>
      </w:pPr>
      <w:r>
        <w:rPr>
          <w:rFonts w:hint="eastAsia" w:ascii="宋体" w:hAnsi="宋体"/>
          <w:b/>
          <w:bCs/>
          <w:szCs w:val="21"/>
        </w:rPr>
        <w:t>评分细则表</w:t>
      </w:r>
    </w:p>
    <w:tbl>
      <w:tblPr>
        <w:tblStyle w:val="44"/>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755"/>
        <w:gridCol w:w="643"/>
        <w:gridCol w:w="1127"/>
        <w:gridCol w:w="4218"/>
      </w:tblGrid>
      <w:tr w14:paraId="4890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826" w:type="pct"/>
            <w:gridSpan w:val="3"/>
            <w:tcBorders>
              <w:top w:val="single" w:color="auto" w:sz="4" w:space="0"/>
              <w:left w:val="single" w:color="auto" w:sz="4" w:space="0"/>
              <w:bottom w:val="single" w:color="auto" w:sz="4" w:space="0"/>
              <w:right w:val="single" w:color="auto" w:sz="4" w:space="0"/>
            </w:tcBorders>
            <w:noWrap w:val="0"/>
            <w:vAlign w:val="center"/>
          </w:tcPr>
          <w:p w14:paraId="6CFCB95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评分项</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371A33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lang w:eastAsia="zh-CN"/>
              </w:rPr>
            </w:pPr>
            <w:r>
              <w:rPr>
                <w:rFonts w:hint="eastAsia" w:asciiTheme="majorEastAsia" w:hAnsiTheme="majorEastAsia" w:eastAsiaTheme="majorEastAsia" w:cstheme="majorEastAsia"/>
                <w:b/>
                <w:color w:val="auto"/>
                <w:sz w:val="21"/>
                <w:szCs w:val="21"/>
                <w:highlight w:val="none"/>
                <w:u w:val="none"/>
                <w:lang w:val="en-US" w:eastAsia="zh-CN"/>
              </w:rPr>
              <w:t>分值</w:t>
            </w:r>
          </w:p>
        </w:tc>
      </w:tr>
      <w:tr w14:paraId="4C66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826" w:type="pct"/>
            <w:gridSpan w:val="3"/>
            <w:tcBorders>
              <w:top w:val="single" w:color="auto" w:sz="4" w:space="0"/>
              <w:left w:val="single" w:color="auto" w:sz="4" w:space="0"/>
              <w:bottom w:val="single" w:color="auto" w:sz="4" w:space="0"/>
              <w:right w:val="single" w:color="auto" w:sz="4" w:space="0"/>
            </w:tcBorders>
            <w:noWrap w:val="0"/>
            <w:vAlign w:val="center"/>
          </w:tcPr>
          <w:p w14:paraId="0C3EA92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一、价格部分</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6BEDF2A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10分</w:t>
            </w:r>
          </w:p>
        </w:tc>
      </w:tr>
      <w:tr w14:paraId="5E49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135012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价格分采用低价优先法计算，即满足招标文件要求且投标价格最低的投标报价为评标基准价，其价格分为满分。其他投标人的价格分统一按照下列公式计算：</w:t>
            </w:r>
          </w:p>
          <w:p w14:paraId="0C06121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投标报价得分=(评标基准价／投标报价)×10</w:t>
            </w:r>
          </w:p>
        </w:tc>
      </w:tr>
      <w:tr w14:paraId="4901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6" w:type="pct"/>
            <w:gridSpan w:val="3"/>
            <w:tcBorders>
              <w:top w:val="single" w:color="auto" w:sz="4" w:space="0"/>
              <w:left w:val="single" w:color="auto" w:sz="4" w:space="0"/>
              <w:bottom w:val="single" w:color="auto" w:sz="4" w:space="0"/>
              <w:right w:val="single" w:color="auto" w:sz="4" w:space="0"/>
            </w:tcBorders>
            <w:noWrap w:val="0"/>
            <w:vAlign w:val="center"/>
          </w:tcPr>
          <w:p w14:paraId="0C8D3C9B">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lang w:val="zh-CN"/>
              </w:rPr>
              <w:t>二、</w:t>
            </w:r>
            <w:r>
              <w:rPr>
                <w:rFonts w:hint="eastAsia" w:asciiTheme="majorEastAsia" w:hAnsiTheme="majorEastAsia" w:eastAsiaTheme="majorEastAsia" w:cstheme="majorEastAsia"/>
                <w:b/>
                <w:color w:val="auto"/>
                <w:sz w:val="21"/>
                <w:szCs w:val="21"/>
                <w:highlight w:val="none"/>
                <w:u w:val="none"/>
              </w:rPr>
              <w:t>技术部分</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4394467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lang w:val="en-US" w:eastAsia="zh-CN"/>
              </w:rPr>
              <w:t>44</w:t>
            </w:r>
            <w:r>
              <w:rPr>
                <w:rFonts w:hint="eastAsia" w:asciiTheme="majorEastAsia" w:hAnsiTheme="majorEastAsia" w:eastAsiaTheme="majorEastAsia" w:cstheme="majorEastAsia"/>
                <w:b/>
                <w:color w:val="auto"/>
                <w:sz w:val="21"/>
                <w:szCs w:val="21"/>
                <w:highlight w:val="none"/>
                <w:u w:val="none"/>
              </w:rPr>
              <w:t>分</w:t>
            </w:r>
          </w:p>
        </w:tc>
      </w:tr>
      <w:tr w14:paraId="14F9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6241520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序号</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7A31DD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评分因素</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27310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具体分值</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7949472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评分细则</w:t>
            </w:r>
          </w:p>
        </w:tc>
      </w:tr>
      <w:tr w14:paraId="2B1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194A87F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32AB54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kern w:val="0"/>
                <w:sz w:val="21"/>
                <w:szCs w:val="21"/>
                <w:highlight w:val="none"/>
                <w:u w:val="none"/>
              </w:rPr>
            </w:pPr>
            <w:r>
              <w:rPr>
                <w:rFonts w:hint="eastAsia" w:asciiTheme="majorEastAsia" w:hAnsiTheme="majorEastAsia" w:eastAsiaTheme="majorEastAsia" w:cstheme="majorEastAsia"/>
                <w:color w:val="auto"/>
                <w:sz w:val="21"/>
                <w:szCs w:val="21"/>
                <w:highlight w:val="none"/>
                <w:u w:val="none"/>
              </w:rPr>
              <w:t>项目服务方案</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2238399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rPr>
              <w:t>1</w:t>
            </w:r>
            <w:r>
              <w:rPr>
                <w:rFonts w:hint="eastAsia" w:asciiTheme="majorEastAsia" w:hAnsiTheme="majorEastAsia" w:eastAsiaTheme="majorEastAsia" w:cstheme="majorEastAsia"/>
                <w:color w:val="auto"/>
                <w:sz w:val="21"/>
                <w:szCs w:val="21"/>
                <w:highlight w:val="none"/>
                <w:u w:val="none"/>
                <w:lang w:val="en-US" w:eastAsia="zh-CN"/>
              </w:rPr>
              <w:t>5</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787DFB1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19A88B5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根据招标文件</w:t>
            </w:r>
            <w:r>
              <w:rPr>
                <w:rFonts w:hint="eastAsia" w:asciiTheme="majorEastAsia" w:hAnsiTheme="majorEastAsia" w:eastAsiaTheme="majorEastAsia" w:cstheme="majorEastAsia"/>
                <w:color w:val="auto"/>
                <w:sz w:val="21"/>
                <w:szCs w:val="21"/>
                <w:highlight w:val="none"/>
                <w:u w:val="none"/>
                <w:lang w:val="en-US" w:eastAsia="zh-CN"/>
              </w:rPr>
              <w:t>内容</w:t>
            </w:r>
            <w:r>
              <w:rPr>
                <w:rFonts w:hint="eastAsia" w:asciiTheme="majorEastAsia" w:hAnsiTheme="majorEastAsia" w:eastAsiaTheme="majorEastAsia" w:cstheme="majorEastAsia"/>
                <w:color w:val="auto"/>
                <w:sz w:val="21"/>
                <w:szCs w:val="21"/>
                <w:highlight w:val="none"/>
                <w:u w:val="none"/>
              </w:rPr>
              <w:t>要求提供实施方案，内容应包括：</w:t>
            </w:r>
          </w:p>
          <w:p w14:paraId="0A6A382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 xml:space="preserve">1.项目现状分析； </w:t>
            </w:r>
          </w:p>
          <w:p w14:paraId="7495AF9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 xml:space="preserve">2.项目实施总体方案； </w:t>
            </w:r>
          </w:p>
          <w:p w14:paraId="1DB59E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3.项目</w:t>
            </w:r>
            <w:r>
              <w:rPr>
                <w:rFonts w:hint="eastAsia" w:asciiTheme="majorEastAsia" w:hAnsiTheme="majorEastAsia" w:eastAsiaTheme="majorEastAsia" w:cstheme="majorEastAsia"/>
                <w:color w:val="auto"/>
                <w:sz w:val="21"/>
                <w:szCs w:val="21"/>
                <w:highlight w:val="none"/>
                <w:u w:val="none"/>
                <w:lang w:val="en-US" w:eastAsia="zh-CN"/>
              </w:rPr>
              <w:t>实施</w:t>
            </w:r>
            <w:r>
              <w:rPr>
                <w:rFonts w:hint="eastAsia" w:asciiTheme="majorEastAsia" w:hAnsiTheme="majorEastAsia" w:eastAsiaTheme="majorEastAsia" w:cstheme="majorEastAsia"/>
                <w:color w:val="auto"/>
                <w:sz w:val="21"/>
                <w:szCs w:val="21"/>
                <w:highlight w:val="none"/>
                <w:u w:val="none"/>
              </w:rPr>
              <w:t xml:space="preserve">计划； </w:t>
            </w:r>
          </w:p>
          <w:p w14:paraId="735C718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 xml:space="preserve">4.项目管理方案； </w:t>
            </w:r>
          </w:p>
          <w:p w14:paraId="12B8BFD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rPr>
              <w:t>5.项目服务保障方案</w:t>
            </w:r>
            <w:r>
              <w:rPr>
                <w:rFonts w:hint="eastAsia" w:asciiTheme="majorEastAsia" w:hAnsiTheme="majorEastAsia" w:eastAsiaTheme="majorEastAsia" w:cstheme="majorEastAsia"/>
                <w:color w:val="auto"/>
                <w:sz w:val="21"/>
                <w:szCs w:val="21"/>
                <w:highlight w:val="none"/>
                <w:u w:val="none"/>
                <w:lang w:eastAsia="zh-CN"/>
              </w:rPr>
              <w:t>。</w:t>
            </w:r>
          </w:p>
          <w:p w14:paraId="34F7BE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04C6122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每提供上述任意一项内容得</w:t>
            </w:r>
            <w:r>
              <w:rPr>
                <w:rFonts w:hint="eastAsia" w:asciiTheme="majorEastAsia" w:hAnsiTheme="majorEastAsia" w:eastAsiaTheme="majorEastAsia" w:cstheme="majorEastAsia"/>
                <w:color w:val="auto"/>
                <w:sz w:val="21"/>
                <w:szCs w:val="21"/>
                <w:highlight w:val="none"/>
                <w:u w:val="none"/>
                <w:lang w:val="en-US" w:eastAsia="zh-CN"/>
              </w:rPr>
              <w:t xml:space="preserve"> 2</w:t>
            </w:r>
            <w:r>
              <w:rPr>
                <w:rFonts w:hint="eastAsia" w:asciiTheme="majorEastAsia" w:hAnsiTheme="majorEastAsia" w:eastAsiaTheme="majorEastAsia" w:cstheme="majorEastAsia"/>
                <w:color w:val="auto"/>
                <w:sz w:val="21"/>
                <w:szCs w:val="21"/>
                <w:highlight w:val="none"/>
                <w:u w:val="none"/>
              </w:rPr>
              <w:t>分，本小项累计最高得</w:t>
            </w:r>
            <w:r>
              <w:rPr>
                <w:rFonts w:hint="eastAsia" w:asciiTheme="majorEastAsia" w:hAnsiTheme="majorEastAsia" w:eastAsiaTheme="majorEastAsia" w:cstheme="majorEastAsia"/>
                <w:color w:val="auto"/>
                <w:sz w:val="21"/>
                <w:szCs w:val="21"/>
                <w:highlight w:val="none"/>
                <w:u w:val="none"/>
                <w:lang w:val="en-US" w:eastAsia="zh-CN"/>
              </w:rPr>
              <w:t xml:space="preserve">  10 </w:t>
            </w:r>
            <w:r>
              <w:rPr>
                <w:rFonts w:hint="eastAsia" w:asciiTheme="majorEastAsia" w:hAnsiTheme="majorEastAsia" w:eastAsiaTheme="majorEastAsia" w:cstheme="majorEastAsia"/>
                <w:color w:val="auto"/>
                <w:sz w:val="21"/>
                <w:szCs w:val="21"/>
                <w:highlight w:val="none"/>
                <w:u w:val="none"/>
              </w:rPr>
              <w:t>分；</w:t>
            </w:r>
          </w:p>
          <w:p w14:paraId="2796D0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在此基础上，专家根据各供应商的具体响应内容按照量化的评审因素指标进一步评审：</w:t>
            </w:r>
          </w:p>
          <w:p w14:paraId="429326B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1.方案整体科学合理、针对性强、可操作性强，评审为优的，加</w:t>
            </w:r>
            <w:r>
              <w:rPr>
                <w:rFonts w:hint="eastAsia" w:asciiTheme="majorEastAsia" w:hAnsiTheme="majorEastAsia" w:eastAsiaTheme="majorEastAsia" w:cstheme="majorEastAsia"/>
                <w:color w:val="auto"/>
                <w:sz w:val="21"/>
                <w:szCs w:val="21"/>
                <w:highlight w:val="none"/>
                <w:u w:val="none"/>
                <w:lang w:val="en-US" w:eastAsia="zh-CN"/>
              </w:rPr>
              <w:t xml:space="preserve"> 5 </w:t>
            </w:r>
            <w:r>
              <w:rPr>
                <w:rFonts w:hint="eastAsia" w:asciiTheme="majorEastAsia" w:hAnsiTheme="majorEastAsia" w:eastAsiaTheme="majorEastAsia" w:cstheme="majorEastAsia"/>
                <w:color w:val="auto"/>
                <w:sz w:val="21"/>
                <w:szCs w:val="21"/>
                <w:highlight w:val="none"/>
                <w:u w:val="none"/>
              </w:rPr>
              <w:t>分；</w:t>
            </w:r>
          </w:p>
          <w:p w14:paraId="7EF99D3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2.方案较合理、有一定针对性、一定可操作性，评审为良的，加</w:t>
            </w:r>
            <w:r>
              <w:rPr>
                <w:rFonts w:hint="eastAsia" w:asciiTheme="majorEastAsia" w:hAnsiTheme="majorEastAsia" w:eastAsiaTheme="majorEastAsia" w:cstheme="majorEastAsia"/>
                <w:color w:val="auto"/>
                <w:sz w:val="21"/>
                <w:szCs w:val="21"/>
                <w:highlight w:val="none"/>
                <w:u w:val="none"/>
                <w:lang w:val="en-US" w:eastAsia="zh-CN"/>
              </w:rPr>
              <w:t xml:space="preserve"> 3 </w:t>
            </w:r>
            <w:r>
              <w:rPr>
                <w:rFonts w:hint="eastAsia" w:asciiTheme="majorEastAsia" w:hAnsiTheme="majorEastAsia" w:eastAsiaTheme="majorEastAsia" w:cstheme="majorEastAsia"/>
                <w:color w:val="auto"/>
                <w:sz w:val="21"/>
                <w:szCs w:val="21"/>
                <w:highlight w:val="none"/>
                <w:u w:val="none"/>
              </w:rPr>
              <w:t>分；</w:t>
            </w:r>
          </w:p>
          <w:p w14:paraId="206950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3.方案不尽合理、针对性一般、可操作性一般，评审为中的，加</w:t>
            </w:r>
            <w:r>
              <w:rPr>
                <w:rFonts w:hint="eastAsia" w:asciiTheme="majorEastAsia" w:hAnsiTheme="majorEastAsia" w:eastAsiaTheme="majorEastAsia" w:cstheme="majorEastAsia"/>
                <w:color w:val="auto"/>
                <w:sz w:val="21"/>
                <w:szCs w:val="21"/>
                <w:highlight w:val="none"/>
                <w:u w:val="none"/>
                <w:lang w:val="en-US" w:eastAsia="zh-CN"/>
              </w:rPr>
              <w:t xml:space="preserve"> 1</w:t>
            </w:r>
            <w:r>
              <w:rPr>
                <w:rFonts w:hint="eastAsia" w:asciiTheme="majorEastAsia" w:hAnsiTheme="majorEastAsia" w:eastAsiaTheme="majorEastAsia" w:cstheme="majorEastAsia"/>
                <w:color w:val="auto"/>
                <w:sz w:val="21"/>
                <w:szCs w:val="21"/>
                <w:highlight w:val="none"/>
                <w:u w:val="none"/>
              </w:rPr>
              <w:t>分；</w:t>
            </w:r>
          </w:p>
          <w:p w14:paraId="749919A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4.方案不合理、无针对性、无可操作性，评审为差的，加0分。</w:t>
            </w:r>
          </w:p>
        </w:tc>
      </w:tr>
      <w:tr w14:paraId="0DAF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596ED58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CDCB373">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质量保障措施</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A913B6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rPr>
              <w:t>6</w:t>
            </w:r>
          </w:p>
        </w:tc>
        <w:tc>
          <w:tcPr>
            <w:tcW w:w="3173" w:type="pct"/>
            <w:gridSpan w:val="2"/>
            <w:tcBorders>
              <w:top w:val="single" w:color="auto" w:sz="4" w:space="0"/>
              <w:left w:val="single" w:color="auto" w:sz="4" w:space="0"/>
              <w:bottom w:val="single" w:color="auto" w:sz="4" w:space="0"/>
              <w:right w:val="single" w:color="auto" w:sz="4" w:space="0"/>
            </w:tcBorders>
            <w:noWrap w:val="0"/>
            <w:vAlign w:val="top"/>
          </w:tcPr>
          <w:p w14:paraId="6239B84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1AE1B65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根据招标文件</w:t>
            </w:r>
            <w:r>
              <w:rPr>
                <w:rFonts w:hint="eastAsia" w:asciiTheme="majorEastAsia" w:hAnsiTheme="majorEastAsia" w:eastAsiaTheme="majorEastAsia" w:cstheme="majorEastAsia"/>
                <w:color w:val="auto"/>
                <w:sz w:val="21"/>
                <w:szCs w:val="21"/>
                <w:highlight w:val="none"/>
                <w:u w:val="none"/>
                <w:lang w:val="en-US" w:eastAsia="zh-CN"/>
              </w:rPr>
              <w:t>内容</w:t>
            </w:r>
            <w:r>
              <w:rPr>
                <w:rFonts w:hint="eastAsia" w:asciiTheme="majorEastAsia" w:hAnsiTheme="majorEastAsia" w:eastAsiaTheme="majorEastAsia" w:cstheme="majorEastAsia"/>
                <w:color w:val="auto"/>
                <w:sz w:val="21"/>
                <w:szCs w:val="21"/>
                <w:highlight w:val="none"/>
                <w:u w:val="none"/>
              </w:rPr>
              <w:t>要求提供质量保障措施方案，内容应包括：</w:t>
            </w:r>
          </w:p>
          <w:p w14:paraId="48A1815F">
            <w:pPr>
              <w:pStyle w:val="36"/>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1.项目质量，项目进度，项目阶段目标；</w:t>
            </w:r>
          </w:p>
          <w:p w14:paraId="35761241">
            <w:pPr>
              <w:pStyle w:val="36"/>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2.项目组织架构，项目过程控制；</w:t>
            </w:r>
          </w:p>
          <w:p w14:paraId="40EB4D62">
            <w:pPr>
              <w:pStyle w:val="36"/>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rPr>
              <w:t>3.项目保障措施及项目风险管控进行综合评价</w:t>
            </w:r>
            <w:r>
              <w:rPr>
                <w:rFonts w:hint="eastAsia" w:asciiTheme="majorEastAsia" w:hAnsiTheme="majorEastAsia" w:eastAsiaTheme="majorEastAsia" w:cstheme="majorEastAsia"/>
                <w:color w:val="auto"/>
                <w:sz w:val="21"/>
                <w:szCs w:val="21"/>
                <w:highlight w:val="none"/>
                <w:u w:val="none"/>
                <w:lang w:eastAsia="zh-CN"/>
              </w:rPr>
              <w:t>。</w:t>
            </w:r>
          </w:p>
          <w:p w14:paraId="6BDD18D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3A4E99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每提供上述任意一项内容得</w:t>
            </w:r>
            <w:r>
              <w:rPr>
                <w:rFonts w:hint="eastAsia" w:asciiTheme="majorEastAsia" w:hAnsiTheme="majorEastAsia" w:eastAsiaTheme="majorEastAsia" w:cstheme="majorEastAsia"/>
                <w:color w:val="auto"/>
                <w:sz w:val="21"/>
                <w:szCs w:val="21"/>
                <w:highlight w:val="none"/>
                <w:u w:val="none"/>
                <w:lang w:val="en-US" w:eastAsia="zh-CN"/>
              </w:rPr>
              <w:t xml:space="preserve"> 1</w:t>
            </w:r>
            <w:r>
              <w:rPr>
                <w:rFonts w:hint="eastAsia" w:asciiTheme="majorEastAsia" w:hAnsiTheme="majorEastAsia" w:eastAsiaTheme="majorEastAsia" w:cstheme="majorEastAsia"/>
                <w:color w:val="auto"/>
                <w:sz w:val="21"/>
                <w:szCs w:val="21"/>
                <w:highlight w:val="none"/>
                <w:u w:val="none"/>
              </w:rPr>
              <w:t>分，本小项累计最高得</w:t>
            </w:r>
            <w:r>
              <w:rPr>
                <w:rFonts w:hint="eastAsia" w:asciiTheme="majorEastAsia" w:hAnsiTheme="majorEastAsia" w:eastAsiaTheme="majorEastAsia" w:cstheme="majorEastAsia"/>
                <w:color w:val="auto"/>
                <w:sz w:val="21"/>
                <w:szCs w:val="21"/>
                <w:highlight w:val="none"/>
                <w:u w:val="none"/>
                <w:lang w:val="en-US" w:eastAsia="zh-CN"/>
              </w:rPr>
              <w:t xml:space="preserve">  3 </w:t>
            </w:r>
            <w:r>
              <w:rPr>
                <w:rFonts w:hint="eastAsia" w:asciiTheme="majorEastAsia" w:hAnsiTheme="majorEastAsia" w:eastAsiaTheme="majorEastAsia" w:cstheme="majorEastAsia"/>
                <w:color w:val="auto"/>
                <w:sz w:val="21"/>
                <w:szCs w:val="21"/>
                <w:highlight w:val="none"/>
                <w:u w:val="none"/>
              </w:rPr>
              <w:t>分；</w:t>
            </w:r>
          </w:p>
          <w:p w14:paraId="759BA15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在此基础上，专家根据各供应商的具体响应内容按照量化的评审因素指标进一步评审：</w:t>
            </w:r>
          </w:p>
          <w:p w14:paraId="48875A8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1.方案整体科学合理、针对性强、可操作性强，评审为优的，加</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w:t>
            </w:r>
          </w:p>
          <w:p w14:paraId="493A22B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2.方案较合理、有一定针对性、一定可操作性，评审为良的，加</w:t>
            </w:r>
            <w:r>
              <w:rPr>
                <w:rFonts w:hint="eastAsia" w:asciiTheme="majorEastAsia" w:hAnsiTheme="majorEastAsia" w:eastAsiaTheme="majorEastAsia" w:cstheme="majorEastAsia"/>
                <w:color w:val="auto"/>
                <w:sz w:val="21"/>
                <w:szCs w:val="21"/>
                <w:highlight w:val="none"/>
                <w:u w:val="none"/>
                <w:lang w:val="en-US" w:eastAsia="zh-CN"/>
              </w:rPr>
              <w:t xml:space="preserve"> 2</w:t>
            </w:r>
            <w:r>
              <w:rPr>
                <w:rFonts w:hint="eastAsia" w:asciiTheme="majorEastAsia" w:hAnsiTheme="majorEastAsia" w:eastAsiaTheme="majorEastAsia" w:cstheme="majorEastAsia"/>
                <w:color w:val="auto"/>
                <w:sz w:val="21"/>
                <w:szCs w:val="21"/>
                <w:highlight w:val="none"/>
                <w:u w:val="none"/>
              </w:rPr>
              <w:t>分；</w:t>
            </w:r>
          </w:p>
          <w:p w14:paraId="3E65ABD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3.方案不尽合理、针对性一般、可操作性一般，评审为中的，加</w:t>
            </w:r>
            <w:r>
              <w:rPr>
                <w:rFonts w:hint="eastAsia" w:asciiTheme="majorEastAsia" w:hAnsiTheme="majorEastAsia" w:eastAsiaTheme="majorEastAsia" w:cstheme="majorEastAsia"/>
                <w:color w:val="auto"/>
                <w:sz w:val="21"/>
                <w:szCs w:val="21"/>
                <w:highlight w:val="none"/>
                <w:u w:val="none"/>
                <w:lang w:val="en-US" w:eastAsia="zh-CN"/>
              </w:rPr>
              <w:t xml:space="preserve"> 1 </w:t>
            </w:r>
            <w:r>
              <w:rPr>
                <w:rFonts w:hint="eastAsia" w:asciiTheme="majorEastAsia" w:hAnsiTheme="majorEastAsia" w:eastAsiaTheme="majorEastAsia" w:cstheme="majorEastAsia"/>
                <w:color w:val="auto"/>
                <w:sz w:val="21"/>
                <w:szCs w:val="21"/>
                <w:highlight w:val="none"/>
                <w:u w:val="none"/>
              </w:rPr>
              <w:t>分；</w:t>
            </w:r>
          </w:p>
          <w:p w14:paraId="2D0F7B7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4.方案不合理、无针对性、无可操作性，评审为差的，加0分。</w:t>
            </w:r>
          </w:p>
        </w:tc>
      </w:tr>
      <w:tr w14:paraId="3193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00673FF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7FF4D3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kern w:val="0"/>
                <w:sz w:val="21"/>
                <w:szCs w:val="21"/>
                <w:highlight w:val="none"/>
                <w:u w:val="none"/>
              </w:rPr>
            </w:pPr>
            <w:r>
              <w:rPr>
                <w:rFonts w:hint="eastAsia" w:asciiTheme="majorEastAsia" w:hAnsiTheme="majorEastAsia" w:eastAsiaTheme="majorEastAsia" w:cstheme="majorEastAsia"/>
                <w:color w:val="auto"/>
                <w:sz w:val="21"/>
                <w:szCs w:val="21"/>
                <w:highlight w:val="none"/>
                <w:u w:val="none"/>
              </w:rPr>
              <w:t>项目重点难点分析、应对措施及相关的合理化建议</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0225141">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rPr>
              <w:t>6</w:t>
            </w:r>
          </w:p>
        </w:tc>
        <w:tc>
          <w:tcPr>
            <w:tcW w:w="3173" w:type="pct"/>
            <w:gridSpan w:val="2"/>
            <w:tcBorders>
              <w:top w:val="single" w:color="auto" w:sz="4" w:space="0"/>
              <w:left w:val="single" w:color="auto" w:sz="4" w:space="0"/>
              <w:bottom w:val="single" w:color="auto" w:sz="4" w:space="0"/>
              <w:right w:val="single" w:color="auto" w:sz="4" w:space="0"/>
            </w:tcBorders>
            <w:noWrap w:val="0"/>
            <w:vAlign w:val="top"/>
          </w:tcPr>
          <w:p w14:paraId="491B8D0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4368B3E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根据招标文件</w:t>
            </w:r>
            <w:r>
              <w:rPr>
                <w:rFonts w:hint="eastAsia" w:asciiTheme="majorEastAsia" w:hAnsiTheme="majorEastAsia" w:eastAsiaTheme="majorEastAsia" w:cstheme="majorEastAsia"/>
                <w:color w:val="auto"/>
                <w:sz w:val="21"/>
                <w:szCs w:val="21"/>
                <w:highlight w:val="none"/>
                <w:u w:val="none"/>
                <w:lang w:val="en-US" w:eastAsia="zh-CN"/>
              </w:rPr>
              <w:t>服务</w:t>
            </w:r>
            <w:r>
              <w:rPr>
                <w:rFonts w:hint="eastAsia" w:asciiTheme="majorEastAsia" w:hAnsiTheme="majorEastAsia" w:eastAsiaTheme="majorEastAsia" w:cstheme="majorEastAsia"/>
                <w:color w:val="auto"/>
                <w:sz w:val="21"/>
                <w:szCs w:val="21"/>
                <w:highlight w:val="none"/>
                <w:u w:val="none"/>
              </w:rPr>
              <w:t>要求提供方案，内容应包括：</w:t>
            </w:r>
          </w:p>
          <w:p w14:paraId="6E7F12A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1.重点难点分析情况；</w:t>
            </w:r>
          </w:p>
          <w:p w14:paraId="7151CB7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2.重点难点的应对解决措施；</w:t>
            </w:r>
          </w:p>
          <w:p w14:paraId="3F1840CC">
            <w:pPr>
              <w:pStyle w:val="36"/>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rPr>
              <w:t>3.重点难点的相关合理化建议</w:t>
            </w:r>
            <w:r>
              <w:rPr>
                <w:rFonts w:hint="eastAsia" w:asciiTheme="majorEastAsia" w:hAnsiTheme="majorEastAsia" w:eastAsiaTheme="majorEastAsia" w:cstheme="majorEastAsia"/>
                <w:color w:val="auto"/>
                <w:sz w:val="21"/>
                <w:szCs w:val="21"/>
                <w:highlight w:val="none"/>
                <w:u w:val="none"/>
                <w:lang w:eastAsia="zh-CN"/>
              </w:rPr>
              <w:t>。</w:t>
            </w:r>
          </w:p>
          <w:p w14:paraId="32F9661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5ECB505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每提供上述任意一项内容得</w:t>
            </w:r>
            <w:r>
              <w:rPr>
                <w:rFonts w:hint="eastAsia" w:asciiTheme="majorEastAsia" w:hAnsiTheme="majorEastAsia" w:eastAsiaTheme="majorEastAsia" w:cstheme="majorEastAsia"/>
                <w:color w:val="auto"/>
                <w:sz w:val="21"/>
                <w:szCs w:val="21"/>
                <w:highlight w:val="none"/>
                <w:u w:val="none"/>
                <w:lang w:val="en-US" w:eastAsia="zh-CN"/>
              </w:rPr>
              <w:t xml:space="preserve"> 1</w:t>
            </w:r>
            <w:r>
              <w:rPr>
                <w:rFonts w:hint="eastAsia" w:asciiTheme="majorEastAsia" w:hAnsiTheme="majorEastAsia" w:eastAsiaTheme="majorEastAsia" w:cstheme="majorEastAsia"/>
                <w:color w:val="auto"/>
                <w:sz w:val="21"/>
                <w:szCs w:val="21"/>
                <w:highlight w:val="none"/>
                <w:u w:val="none"/>
              </w:rPr>
              <w:t>分，本小项累计最高得</w:t>
            </w:r>
            <w:r>
              <w:rPr>
                <w:rFonts w:hint="eastAsia" w:asciiTheme="majorEastAsia" w:hAnsiTheme="majorEastAsia" w:eastAsiaTheme="majorEastAsia" w:cstheme="majorEastAsia"/>
                <w:color w:val="auto"/>
                <w:sz w:val="21"/>
                <w:szCs w:val="21"/>
                <w:highlight w:val="none"/>
                <w:u w:val="none"/>
                <w:lang w:val="en-US" w:eastAsia="zh-CN"/>
              </w:rPr>
              <w:t xml:space="preserve">  3 </w:t>
            </w:r>
            <w:r>
              <w:rPr>
                <w:rFonts w:hint="eastAsia" w:asciiTheme="majorEastAsia" w:hAnsiTheme="majorEastAsia" w:eastAsiaTheme="majorEastAsia" w:cstheme="majorEastAsia"/>
                <w:color w:val="auto"/>
                <w:sz w:val="21"/>
                <w:szCs w:val="21"/>
                <w:highlight w:val="none"/>
                <w:u w:val="none"/>
              </w:rPr>
              <w:t>分；</w:t>
            </w:r>
          </w:p>
          <w:p w14:paraId="5D4C3D2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在此基础上，专家根据各供应商的具体响应内容按照量化的评审因素指标进一步评审：</w:t>
            </w:r>
          </w:p>
          <w:p w14:paraId="669596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1.方案整体科学合理、针对性强、可操作性强，评审为优的，加</w:t>
            </w:r>
            <w:r>
              <w:rPr>
                <w:rFonts w:hint="eastAsia" w:asciiTheme="majorEastAsia" w:hAnsiTheme="majorEastAsia" w:eastAsiaTheme="majorEastAsia" w:cstheme="majorEastAsia"/>
                <w:color w:val="auto"/>
                <w:sz w:val="21"/>
                <w:szCs w:val="21"/>
                <w:highlight w:val="none"/>
                <w:u w:val="none"/>
                <w:lang w:val="en-US" w:eastAsia="zh-CN"/>
              </w:rPr>
              <w:t xml:space="preserve"> 3</w:t>
            </w:r>
            <w:r>
              <w:rPr>
                <w:rFonts w:hint="eastAsia" w:asciiTheme="majorEastAsia" w:hAnsiTheme="majorEastAsia" w:eastAsiaTheme="majorEastAsia" w:cstheme="majorEastAsia"/>
                <w:color w:val="auto"/>
                <w:sz w:val="21"/>
                <w:szCs w:val="21"/>
                <w:highlight w:val="none"/>
                <w:u w:val="none"/>
              </w:rPr>
              <w:t>分；</w:t>
            </w:r>
          </w:p>
          <w:p w14:paraId="494340B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2.方案较合理、有一定针对性、一定可操作性，评审为良的，加</w:t>
            </w:r>
            <w:r>
              <w:rPr>
                <w:rFonts w:hint="eastAsia" w:asciiTheme="majorEastAsia" w:hAnsiTheme="majorEastAsia" w:eastAsiaTheme="majorEastAsia" w:cstheme="majorEastAsia"/>
                <w:color w:val="auto"/>
                <w:sz w:val="21"/>
                <w:szCs w:val="21"/>
                <w:highlight w:val="none"/>
                <w:u w:val="none"/>
                <w:lang w:val="en-US" w:eastAsia="zh-CN"/>
              </w:rPr>
              <w:t xml:space="preserve">2 </w:t>
            </w:r>
            <w:r>
              <w:rPr>
                <w:rFonts w:hint="eastAsia" w:asciiTheme="majorEastAsia" w:hAnsiTheme="majorEastAsia" w:eastAsiaTheme="majorEastAsia" w:cstheme="majorEastAsia"/>
                <w:color w:val="auto"/>
                <w:sz w:val="21"/>
                <w:szCs w:val="21"/>
                <w:highlight w:val="none"/>
                <w:u w:val="none"/>
              </w:rPr>
              <w:t>分；</w:t>
            </w:r>
          </w:p>
          <w:p w14:paraId="70424D8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3.方案不尽合理、针对性一般、可操作性一般，评审为中的，加</w:t>
            </w:r>
            <w:r>
              <w:rPr>
                <w:rFonts w:hint="eastAsia" w:asciiTheme="majorEastAsia" w:hAnsiTheme="majorEastAsia" w:eastAsiaTheme="majorEastAsia" w:cstheme="majorEastAsia"/>
                <w:color w:val="auto"/>
                <w:sz w:val="21"/>
                <w:szCs w:val="21"/>
                <w:highlight w:val="none"/>
                <w:u w:val="none"/>
                <w:lang w:val="en-US" w:eastAsia="zh-CN"/>
              </w:rPr>
              <w:t xml:space="preserve"> 1 </w:t>
            </w:r>
            <w:r>
              <w:rPr>
                <w:rFonts w:hint="eastAsia" w:asciiTheme="majorEastAsia" w:hAnsiTheme="majorEastAsia" w:eastAsiaTheme="majorEastAsia" w:cstheme="majorEastAsia"/>
                <w:color w:val="auto"/>
                <w:sz w:val="21"/>
                <w:szCs w:val="21"/>
                <w:highlight w:val="none"/>
                <w:u w:val="none"/>
              </w:rPr>
              <w:t>分；</w:t>
            </w:r>
          </w:p>
          <w:p w14:paraId="349171B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4.方案不合理、无针对性、无可操作性，评审为差的，加0分。</w:t>
            </w:r>
          </w:p>
        </w:tc>
      </w:tr>
      <w:tr w14:paraId="53E9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11584CB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05CC9BDA">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拟安排的项目负责人情况（仅限一人）</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F4F834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bidi="ar"/>
              </w:rPr>
              <w:t>5</w:t>
            </w:r>
          </w:p>
        </w:tc>
        <w:tc>
          <w:tcPr>
            <w:tcW w:w="3173" w:type="pct"/>
            <w:gridSpan w:val="2"/>
            <w:tcBorders>
              <w:top w:val="single" w:color="auto" w:sz="4" w:space="0"/>
              <w:left w:val="single" w:color="auto" w:sz="4" w:space="0"/>
              <w:bottom w:val="single" w:color="auto" w:sz="4" w:space="0"/>
              <w:right w:val="single" w:color="auto" w:sz="4" w:space="0"/>
            </w:tcBorders>
            <w:noWrap w:val="0"/>
            <w:vAlign w:val="top"/>
          </w:tcPr>
          <w:p w14:paraId="50C8E41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6625FD1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项目负责人须为投标人自有员工（以社保为准），具有研究生学历</w:t>
            </w:r>
            <w:r>
              <w:rPr>
                <w:rFonts w:hint="eastAsia" w:asciiTheme="majorEastAsia" w:hAnsiTheme="majorEastAsia" w:eastAsiaTheme="majorEastAsia" w:cstheme="majorEastAsia"/>
                <w:color w:val="auto"/>
                <w:sz w:val="21"/>
                <w:szCs w:val="21"/>
                <w:highlight w:val="none"/>
                <w:u w:val="none"/>
                <w:lang w:val="en-US" w:eastAsia="zh-CN"/>
              </w:rPr>
              <w:t>，</w:t>
            </w:r>
            <w:r>
              <w:rPr>
                <w:rFonts w:hint="eastAsia" w:asciiTheme="majorEastAsia" w:hAnsiTheme="majorEastAsia" w:eastAsiaTheme="majorEastAsia" w:cstheme="majorEastAsia"/>
                <w:color w:val="auto"/>
                <w:sz w:val="21"/>
                <w:szCs w:val="21"/>
                <w:highlight w:val="none"/>
                <w:u w:val="none"/>
              </w:rPr>
              <w:t>不满足此项不得分。</w:t>
            </w:r>
          </w:p>
          <w:p w14:paraId="6CFC99A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在此基础上，满足以下</w:t>
            </w:r>
            <w:r>
              <w:rPr>
                <w:rFonts w:hint="eastAsia" w:asciiTheme="majorEastAsia" w:hAnsiTheme="majorEastAsia" w:eastAsiaTheme="majorEastAsia" w:cstheme="majorEastAsia"/>
                <w:color w:val="auto"/>
                <w:sz w:val="21"/>
                <w:szCs w:val="21"/>
                <w:highlight w:val="none"/>
                <w:u w:val="none"/>
                <w:lang w:val="en-US" w:eastAsia="zh-CN"/>
              </w:rPr>
              <w:t>5</w:t>
            </w:r>
            <w:r>
              <w:rPr>
                <w:rFonts w:hint="eastAsia" w:asciiTheme="majorEastAsia" w:hAnsiTheme="majorEastAsia" w:eastAsiaTheme="majorEastAsia" w:cstheme="majorEastAsia"/>
                <w:color w:val="auto"/>
                <w:sz w:val="21"/>
                <w:szCs w:val="21"/>
                <w:highlight w:val="none"/>
                <w:u w:val="none"/>
              </w:rPr>
              <w:t>项得满分，</w:t>
            </w:r>
            <w:r>
              <w:rPr>
                <w:rFonts w:hint="eastAsia" w:asciiTheme="majorEastAsia" w:hAnsiTheme="majorEastAsia" w:eastAsiaTheme="majorEastAsia" w:cstheme="majorEastAsia"/>
                <w:color w:val="auto"/>
                <w:sz w:val="21"/>
                <w:szCs w:val="21"/>
                <w:highlight w:val="none"/>
                <w:u w:val="none"/>
                <w:lang w:val="en-US" w:eastAsia="zh-CN"/>
              </w:rPr>
              <w:t>每</w:t>
            </w:r>
            <w:r>
              <w:rPr>
                <w:rFonts w:hint="eastAsia" w:asciiTheme="majorEastAsia" w:hAnsiTheme="majorEastAsia" w:eastAsiaTheme="majorEastAsia" w:cstheme="majorEastAsia"/>
                <w:color w:val="auto"/>
                <w:sz w:val="21"/>
                <w:szCs w:val="21"/>
                <w:highlight w:val="none"/>
                <w:u w:val="none"/>
              </w:rPr>
              <w:t>满足</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项得</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分，其余情况不得分：</w:t>
            </w:r>
          </w:p>
          <w:p w14:paraId="55C4708D">
            <w:pPr>
              <w:keepNext w:val="0"/>
              <w:keepLines w:val="0"/>
              <w:pageBreakBefore w:val="0"/>
              <w:widowControl w:val="0"/>
              <w:suppressLineNumbers w:val="0"/>
              <w:shd w:val="clear"/>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1.具有工业和信息化部（工信部）教育与考试中心统一颁发的高级网络工程师证书；</w:t>
            </w:r>
          </w:p>
          <w:p w14:paraId="0EC0FB17">
            <w:pPr>
              <w:keepNext w:val="0"/>
              <w:keepLines w:val="0"/>
              <w:pageBreakBefore w:val="0"/>
              <w:widowControl w:val="0"/>
              <w:suppressLineNumbers w:val="0"/>
              <w:shd w:val="clear"/>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2.具有工业和信息化部（工信部）教育与考试中心统一颁发的高级网络信息安全工程师证书；</w:t>
            </w:r>
          </w:p>
          <w:p w14:paraId="77945E65">
            <w:pPr>
              <w:keepNext w:val="0"/>
              <w:keepLines w:val="0"/>
              <w:pageBreakBefore w:val="0"/>
              <w:widowControl w:val="0"/>
              <w:suppressLineNumbers w:val="0"/>
              <w:shd w:val="clear"/>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3.具有IT服务项目经理（ITSS）证书；</w:t>
            </w:r>
          </w:p>
          <w:p w14:paraId="3F5E2A62">
            <w:pPr>
              <w:keepNext w:val="0"/>
              <w:keepLines w:val="0"/>
              <w:pageBreakBefore w:val="0"/>
              <w:widowControl w:val="0"/>
              <w:suppressLineNumbers w:val="0"/>
              <w:shd w:val="clear"/>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4.具有零信任专家CZTP证书；</w:t>
            </w:r>
          </w:p>
          <w:p w14:paraId="4CBF1A0F">
            <w:pPr>
              <w:keepNext w:val="0"/>
              <w:keepLines w:val="0"/>
              <w:pageBreakBefore w:val="0"/>
              <w:widowControl w:val="0"/>
              <w:suppressLineNumbers w:val="0"/>
              <w:shd w:val="clear"/>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5.具有工业和信息化部（工信部）教育与考试中心统一颁发的安防系统工程师（高级）证书；</w:t>
            </w:r>
          </w:p>
          <w:p w14:paraId="76C9C8EF">
            <w:pPr>
              <w:keepNext w:val="0"/>
              <w:keepLines w:val="0"/>
              <w:pageBreakBefore w:val="0"/>
              <w:widowControl w:val="0"/>
              <w:numPr>
                <w:ilvl w:val="0"/>
                <w:numId w:val="12"/>
              </w:numPr>
              <w:suppressLineNumbers w:val="0"/>
              <w:kinsoku/>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评分依据：</w:t>
            </w:r>
          </w:p>
          <w:p w14:paraId="25986FF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1.要求提供社会保险参保单位为投标人的近三个月（含开标当月）中任意一个月的社保证明作为本单位员工的证明依据</w:t>
            </w:r>
            <w:r>
              <w:rPr>
                <w:rFonts w:hint="eastAsia" w:asciiTheme="majorEastAsia" w:hAnsiTheme="majorEastAsia" w:eastAsiaTheme="majorEastAsia" w:cstheme="majorEastAsia"/>
                <w:color w:val="auto"/>
                <w:sz w:val="21"/>
                <w:szCs w:val="21"/>
                <w:highlight w:val="none"/>
                <w:u w:val="none"/>
                <w:lang w:eastAsia="zh-CN"/>
              </w:rPr>
              <w:t>。</w:t>
            </w:r>
            <w:r>
              <w:rPr>
                <w:rFonts w:hint="eastAsia" w:asciiTheme="majorEastAsia" w:hAnsiTheme="majorEastAsia" w:eastAsiaTheme="majorEastAsia" w:cstheme="majorEastAsia"/>
                <w:color w:val="auto"/>
                <w:sz w:val="21"/>
                <w:szCs w:val="21"/>
                <w:highlight w:val="none"/>
                <w:u w:val="none"/>
              </w:rPr>
              <w:t>若供应商成立不足三个月的，需提供成立情况说明函(格式自拟)，无需提供相关人员社保，亦可得分。</w:t>
            </w:r>
          </w:p>
          <w:p w14:paraId="0E776C5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提供学历证书及学信网查询记录。对于较早颁发的学历证书,学信网无法查询的,除要求提供证书扫描件,需要提供其他佐证材料(如毕业院校或人力资源和社会保障部等颁发机构或监管机构等单位出具的证明),在海外留学并取得学历的,学信网无法查询的,可提供教育部留学服务中心出具的国外学历认证证书扫描件【或教育部留学服务中心网站（http://zwfw.cscse.edu.cn/）在线查询截图】。</w:t>
            </w:r>
          </w:p>
          <w:p w14:paraId="4175DD2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3.提供证书扫描件，若人员证书为协会颁发的，则还需要提供该协会在全国社会组织信用信息公示平台（网址https://xxgs.chinanpo.mca.gov.cn)的查询“正常”页面截图。</w:t>
            </w:r>
          </w:p>
          <w:p w14:paraId="14A27FF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lang w:val="en-US" w:eastAsia="zh-CN"/>
              </w:rPr>
              <w:t>4</w:t>
            </w:r>
            <w:r>
              <w:rPr>
                <w:rFonts w:hint="eastAsia" w:asciiTheme="majorEastAsia" w:hAnsiTheme="majorEastAsia" w:eastAsiaTheme="majorEastAsia" w:cstheme="majorEastAsia"/>
                <w:color w:val="auto"/>
                <w:sz w:val="21"/>
                <w:szCs w:val="21"/>
                <w:highlight w:val="none"/>
                <w:u w:val="none"/>
              </w:rPr>
              <w:t>.评分中出现无证明资料或者专家无法凭所提供资料判断是否得分的情况，一律做不得分处理。</w:t>
            </w:r>
          </w:p>
        </w:tc>
      </w:tr>
      <w:tr w14:paraId="7A6C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6413A23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5</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A7197C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bidi="ar"/>
              </w:rPr>
            </w:pPr>
            <w:r>
              <w:rPr>
                <w:rFonts w:hint="eastAsia" w:asciiTheme="majorEastAsia" w:hAnsiTheme="majorEastAsia" w:eastAsiaTheme="majorEastAsia" w:cstheme="majorEastAsia"/>
                <w:color w:val="auto"/>
                <w:sz w:val="21"/>
                <w:szCs w:val="21"/>
                <w:highlight w:val="none"/>
                <w:u w:val="none"/>
              </w:rPr>
              <w:t>拟安排的项目主要团队成员（主要技术人员）情况（项目负责人除外）</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6D979F5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val="en-US" w:eastAsia="zh-CN" w:bidi="ar"/>
              </w:rPr>
            </w:pPr>
            <w:r>
              <w:rPr>
                <w:rFonts w:hint="eastAsia" w:asciiTheme="majorEastAsia" w:hAnsiTheme="majorEastAsia" w:eastAsiaTheme="majorEastAsia" w:cstheme="majorEastAsia"/>
                <w:color w:val="auto"/>
                <w:sz w:val="21"/>
                <w:szCs w:val="21"/>
                <w:highlight w:val="none"/>
                <w:u w:val="none"/>
                <w:lang w:val="en-US" w:eastAsia="zh-CN" w:bidi="ar"/>
              </w:rPr>
              <w:t>12</w:t>
            </w:r>
          </w:p>
        </w:tc>
        <w:tc>
          <w:tcPr>
            <w:tcW w:w="3173" w:type="pct"/>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074F7CA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085875E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拟安排项目团队成员为投标单位员工（以社保为准），否则该人员本项不得分。在此基础上：</w:t>
            </w:r>
          </w:p>
          <w:p w14:paraId="1083BA3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1.技术负责人（仅限1人）：</w:t>
            </w:r>
          </w:p>
          <w:p w14:paraId="1337F24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（1）具有本科或以上学历；</w:t>
            </w:r>
          </w:p>
          <w:p w14:paraId="5DAF4E1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）具有工业和信息化部教育与考试中心</w:t>
            </w:r>
            <w:r>
              <w:rPr>
                <w:rFonts w:hint="eastAsia" w:asciiTheme="majorEastAsia" w:hAnsiTheme="majorEastAsia" w:eastAsiaTheme="majorEastAsia" w:cstheme="majorEastAsia"/>
                <w:color w:val="auto"/>
                <w:sz w:val="21"/>
                <w:szCs w:val="21"/>
                <w:highlight w:val="none"/>
                <w:u w:val="none"/>
                <w:lang w:val="en-US" w:eastAsia="zh-CN"/>
              </w:rPr>
              <w:t>颁发的</w:t>
            </w:r>
            <w:r>
              <w:rPr>
                <w:rFonts w:hint="eastAsia" w:asciiTheme="majorEastAsia" w:hAnsiTheme="majorEastAsia" w:eastAsiaTheme="majorEastAsia" w:cstheme="majorEastAsia"/>
                <w:color w:val="auto"/>
                <w:sz w:val="21"/>
                <w:szCs w:val="21"/>
                <w:highlight w:val="none"/>
                <w:u w:val="none"/>
              </w:rPr>
              <w:t>网络与信息安全管理师证书；</w:t>
            </w:r>
          </w:p>
          <w:p w14:paraId="0EEF954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以上</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项，全部满足得</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分，满足任意</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项得</w:t>
            </w:r>
            <w:r>
              <w:rPr>
                <w:rFonts w:hint="eastAsia" w:asciiTheme="majorEastAsia" w:hAnsiTheme="majorEastAsia" w:eastAsiaTheme="majorEastAsia" w:cstheme="majorEastAsia"/>
                <w:color w:val="auto"/>
                <w:sz w:val="21"/>
                <w:szCs w:val="21"/>
                <w:highlight w:val="none"/>
                <w:u w:val="none"/>
                <w:lang w:val="en-US" w:eastAsia="zh-CN"/>
              </w:rPr>
              <w:t>1.5</w:t>
            </w:r>
            <w:r>
              <w:rPr>
                <w:rFonts w:hint="eastAsia" w:asciiTheme="majorEastAsia" w:hAnsiTheme="majorEastAsia" w:eastAsiaTheme="majorEastAsia" w:cstheme="majorEastAsia"/>
                <w:color w:val="auto"/>
                <w:sz w:val="21"/>
                <w:szCs w:val="21"/>
                <w:highlight w:val="none"/>
                <w:u w:val="none"/>
              </w:rPr>
              <w:t>分，满足任意2项得</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分，其他情况不得分。</w:t>
            </w:r>
          </w:p>
          <w:p w14:paraId="4D0DA9E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2.弱电负责人（任意一人满足以下要求即可）</w:t>
            </w:r>
            <w:r>
              <w:rPr>
                <w:rFonts w:hint="eastAsia" w:asciiTheme="majorEastAsia" w:hAnsiTheme="majorEastAsia" w:eastAsiaTheme="majorEastAsia" w:cstheme="majorEastAsia"/>
                <w:color w:val="auto"/>
                <w:sz w:val="21"/>
                <w:szCs w:val="21"/>
                <w:highlight w:val="none"/>
                <w:u w:val="none"/>
              </w:rPr>
              <w:t>：</w:t>
            </w:r>
          </w:p>
          <w:p w14:paraId="0257586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（1）具有智能建筑弱电高级工程师证书；</w:t>
            </w:r>
          </w:p>
          <w:p w14:paraId="3E2BD72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）具有高级安全防范工程师证书；</w:t>
            </w:r>
          </w:p>
          <w:p w14:paraId="778825F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以上</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项，一人同时全部满足得</w:t>
            </w:r>
            <w:r>
              <w:rPr>
                <w:rFonts w:hint="eastAsia" w:asciiTheme="majorEastAsia" w:hAnsiTheme="majorEastAsia" w:eastAsiaTheme="majorEastAsia" w:cstheme="majorEastAsia"/>
                <w:color w:val="auto"/>
                <w:sz w:val="21"/>
                <w:szCs w:val="21"/>
                <w:highlight w:val="none"/>
                <w:u w:val="none"/>
                <w:lang w:val="en-US" w:eastAsia="zh-CN"/>
              </w:rPr>
              <w:t>4</w:t>
            </w:r>
            <w:r>
              <w:rPr>
                <w:rFonts w:hint="eastAsia" w:asciiTheme="majorEastAsia" w:hAnsiTheme="majorEastAsia" w:eastAsiaTheme="majorEastAsia" w:cstheme="majorEastAsia"/>
                <w:color w:val="auto"/>
                <w:sz w:val="21"/>
                <w:szCs w:val="21"/>
                <w:highlight w:val="none"/>
                <w:u w:val="none"/>
              </w:rPr>
              <w:t>分，满足任意</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项得</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分，其他情况不得分，此项最高得</w:t>
            </w:r>
            <w:r>
              <w:rPr>
                <w:rFonts w:hint="eastAsia" w:asciiTheme="majorEastAsia" w:hAnsiTheme="majorEastAsia" w:eastAsiaTheme="majorEastAsia" w:cstheme="majorEastAsia"/>
                <w:color w:val="auto"/>
                <w:sz w:val="21"/>
                <w:szCs w:val="21"/>
                <w:highlight w:val="none"/>
                <w:u w:val="none"/>
                <w:lang w:val="en-US" w:eastAsia="zh-CN"/>
              </w:rPr>
              <w:t>4</w:t>
            </w:r>
            <w:r>
              <w:rPr>
                <w:rFonts w:hint="eastAsia" w:asciiTheme="majorEastAsia" w:hAnsiTheme="majorEastAsia" w:eastAsiaTheme="majorEastAsia" w:cstheme="majorEastAsia"/>
                <w:color w:val="auto"/>
                <w:sz w:val="21"/>
                <w:szCs w:val="21"/>
                <w:highlight w:val="none"/>
                <w:u w:val="none"/>
              </w:rPr>
              <w:t>分。</w:t>
            </w:r>
          </w:p>
          <w:p w14:paraId="3B72CE9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3.团队成员（除项目负责人、技术负责人、弱电负责人外其他人员累计得分）：</w:t>
            </w:r>
          </w:p>
          <w:p w14:paraId="6CBBF6E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（1）具有通信类中级或以上工程师专业职称的得1分；</w:t>
            </w:r>
          </w:p>
          <w:p w14:paraId="1C4536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（2）具有网络信息安全工程师证书或注册信息安全专业人员（CISP）证书得1分；</w:t>
            </w:r>
          </w:p>
          <w:p w14:paraId="20B3CE3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（3）具有智能建筑弱电高级工程师证书，得1分；</w:t>
            </w:r>
          </w:p>
          <w:p w14:paraId="393FD8D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（4）具有综合布线工程师证书，得1分；</w:t>
            </w:r>
          </w:p>
          <w:p w14:paraId="77F537D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（5）具有网络安全架构师证书，得1分；</w:t>
            </w:r>
          </w:p>
          <w:p w14:paraId="51FFA737">
            <w:pPr>
              <w:keepNext w:val="0"/>
              <w:keepLines w:val="0"/>
              <w:pageBreakBefore w:val="0"/>
              <w:widowControl w:val="0"/>
              <w:numPr>
                <w:ilvl w:val="0"/>
                <w:numId w:val="13"/>
              </w:numPr>
              <w:suppressLineNumbers w:val="0"/>
              <w:kinsoku/>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lang w:val="en-US" w:eastAsia="zh-CN"/>
              </w:rPr>
              <w:t>同一人符合多个条件不可重复得分，每一项最高的1分，</w:t>
            </w:r>
            <w:r>
              <w:rPr>
                <w:rFonts w:hint="eastAsia" w:asciiTheme="majorEastAsia" w:hAnsiTheme="majorEastAsia" w:eastAsiaTheme="majorEastAsia" w:cstheme="majorEastAsia"/>
                <w:color w:val="auto"/>
                <w:sz w:val="21"/>
                <w:szCs w:val="21"/>
                <w:highlight w:val="none"/>
                <w:u w:val="none"/>
              </w:rPr>
              <w:t>以上</w:t>
            </w:r>
            <w:r>
              <w:rPr>
                <w:rFonts w:hint="eastAsia" w:asciiTheme="majorEastAsia" w:hAnsiTheme="majorEastAsia" w:eastAsiaTheme="majorEastAsia" w:cstheme="majorEastAsia"/>
                <w:color w:val="auto"/>
                <w:sz w:val="21"/>
                <w:szCs w:val="21"/>
                <w:highlight w:val="none"/>
                <w:u w:val="none"/>
                <w:lang w:val="en-US" w:eastAsia="zh-CN"/>
              </w:rPr>
              <w:t>项</w:t>
            </w:r>
            <w:r>
              <w:rPr>
                <w:rFonts w:hint="eastAsia" w:asciiTheme="majorEastAsia" w:hAnsiTheme="majorEastAsia" w:eastAsiaTheme="majorEastAsia" w:cstheme="majorEastAsia"/>
                <w:color w:val="auto"/>
                <w:sz w:val="21"/>
                <w:szCs w:val="21"/>
                <w:highlight w:val="none"/>
                <w:u w:val="none"/>
              </w:rPr>
              <w:t>累计计分，最高得5分。</w:t>
            </w:r>
          </w:p>
          <w:p w14:paraId="7EAF59D7">
            <w:pPr>
              <w:keepNext w:val="0"/>
              <w:keepLines w:val="0"/>
              <w:pageBreakBefore w:val="0"/>
              <w:widowControl w:val="0"/>
              <w:numPr>
                <w:ilvl w:val="0"/>
                <w:numId w:val="13"/>
              </w:numPr>
              <w:suppressLineNumbers w:val="0"/>
              <w:kinsoku/>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评分依据：</w:t>
            </w:r>
          </w:p>
          <w:p w14:paraId="128F40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1.要求提供社会保险参保单位为投标人的近三个月（含开标当月）中任意一个月的社保证明作为本单位员工的证明依据</w:t>
            </w:r>
            <w:r>
              <w:rPr>
                <w:rFonts w:hint="eastAsia" w:asciiTheme="majorEastAsia" w:hAnsiTheme="majorEastAsia" w:eastAsiaTheme="majorEastAsia" w:cstheme="majorEastAsia"/>
                <w:color w:val="auto"/>
                <w:sz w:val="21"/>
                <w:szCs w:val="21"/>
                <w:highlight w:val="none"/>
                <w:u w:val="none"/>
                <w:lang w:eastAsia="zh-CN"/>
              </w:rPr>
              <w:t>。</w:t>
            </w:r>
            <w:r>
              <w:rPr>
                <w:rFonts w:hint="eastAsia" w:asciiTheme="majorEastAsia" w:hAnsiTheme="majorEastAsia" w:eastAsiaTheme="majorEastAsia" w:cstheme="majorEastAsia"/>
                <w:color w:val="auto"/>
                <w:sz w:val="21"/>
                <w:szCs w:val="21"/>
                <w:highlight w:val="none"/>
                <w:u w:val="none"/>
              </w:rPr>
              <w:t>若供应商成立不足三个月的，需提供成立情况说明函(格式自拟)，无需提供相关人员社保，亦可得分。</w:t>
            </w:r>
          </w:p>
          <w:p w14:paraId="68B8F85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提供学历证书及学信网查询记录。对于较早颁发的学历证书,学信网无法查询的,除要求提供证书扫描件,需要提供其他佐证材料(如毕业院校或人力资源和社会保障部等颁发机构或监管机构等单位出具的证明),在海外留学并取得学历的,学信网无法查询的,可提供教育部留学服务中心出具的国外学历认证证书扫描件【或教育部留学服务中心网站（http://zwfw.cscse.edu.cn/）在线查询截图】。</w:t>
            </w:r>
          </w:p>
          <w:p w14:paraId="5E9514C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3.提供证书扫描件，若人员证书为协会颁发的，则还需要提供该协会在全国社会组织信用信息公示平台（网址https://xxgs.chinanpo.mca.gov.cn)的查询“正常”页面截图。</w:t>
            </w:r>
          </w:p>
          <w:p w14:paraId="7503E16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kern w:val="2"/>
                <w:sz w:val="21"/>
                <w:szCs w:val="21"/>
                <w:highlight w:val="none"/>
                <w:u w:val="none"/>
                <w:lang w:val="en-US" w:eastAsia="zh-CN" w:bidi="ar-SA"/>
              </w:rPr>
            </w:pPr>
            <w:r>
              <w:rPr>
                <w:rFonts w:hint="eastAsia" w:asciiTheme="majorEastAsia" w:hAnsiTheme="majorEastAsia" w:eastAsiaTheme="majorEastAsia" w:cstheme="majorEastAsia"/>
                <w:color w:val="auto"/>
                <w:sz w:val="21"/>
                <w:szCs w:val="21"/>
                <w:highlight w:val="none"/>
                <w:u w:val="none"/>
                <w:lang w:val="en-US" w:eastAsia="zh-CN"/>
              </w:rPr>
              <w:t>4.</w:t>
            </w:r>
            <w:r>
              <w:rPr>
                <w:rFonts w:hint="eastAsia" w:asciiTheme="majorEastAsia" w:hAnsiTheme="majorEastAsia" w:eastAsiaTheme="majorEastAsia" w:cstheme="majorEastAsia"/>
                <w:color w:val="auto"/>
                <w:sz w:val="21"/>
                <w:szCs w:val="21"/>
                <w:highlight w:val="none"/>
                <w:u w:val="none"/>
              </w:rPr>
              <w:t>评分中出现无证明资料或者专家无法凭所提供资料判断是否得分的情况，一律做不得分处理。</w:t>
            </w:r>
          </w:p>
        </w:tc>
      </w:tr>
      <w:tr w14:paraId="48AD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6" w:type="pct"/>
            <w:gridSpan w:val="3"/>
            <w:tcBorders>
              <w:top w:val="single" w:color="auto" w:sz="4" w:space="0"/>
              <w:left w:val="single" w:color="auto" w:sz="4" w:space="0"/>
              <w:bottom w:val="single" w:color="auto" w:sz="4" w:space="0"/>
              <w:right w:val="single" w:color="auto" w:sz="4" w:space="0"/>
            </w:tcBorders>
            <w:noWrap w:val="0"/>
            <w:vAlign w:val="center"/>
          </w:tcPr>
          <w:p w14:paraId="0912084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三、</w:t>
            </w:r>
            <w:r>
              <w:rPr>
                <w:rFonts w:hint="eastAsia" w:asciiTheme="majorEastAsia" w:hAnsiTheme="majorEastAsia" w:eastAsiaTheme="majorEastAsia" w:cstheme="majorEastAsia"/>
                <w:b/>
                <w:color w:val="auto"/>
                <w:sz w:val="21"/>
                <w:szCs w:val="21"/>
                <w:highlight w:val="none"/>
                <w:u w:val="none"/>
                <w:lang w:val="zh-CN"/>
              </w:rPr>
              <w:t>商务部分</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215E819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lang w:val="en-US" w:eastAsia="zh-CN"/>
              </w:rPr>
              <w:t>41</w:t>
            </w:r>
            <w:r>
              <w:rPr>
                <w:rFonts w:hint="eastAsia" w:asciiTheme="majorEastAsia" w:hAnsiTheme="majorEastAsia" w:eastAsiaTheme="majorEastAsia" w:cstheme="majorEastAsia"/>
                <w:b/>
                <w:color w:val="auto"/>
                <w:sz w:val="21"/>
                <w:szCs w:val="21"/>
                <w:highlight w:val="none"/>
                <w:u w:val="none"/>
              </w:rPr>
              <w:t>分</w:t>
            </w:r>
          </w:p>
        </w:tc>
      </w:tr>
      <w:tr w14:paraId="0803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2E70C49A">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序号</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49BEBED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评分因素</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6D8FE66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具体分值</w:t>
            </w:r>
          </w:p>
        </w:tc>
        <w:tc>
          <w:tcPr>
            <w:tcW w:w="669" w:type="pct"/>
            <w:tcBorders>
              <w:top w:val="single" w:color="auto" w:sz="4" w:space="0"/>
              <w:left w:val="single" w:color="auto" w:sz="4" w:space="0"/>
              <w:bottom w:val="single" w:color="auto" w:sz="4" w:space="0"/>
              <w:right w:val="single" w:color="auto" w:sz="4" w:space="0"/>
            </w:tcBorders>
            <w:noWrap w:val="0"/>
            <w:vAlign w:val="center"/>
          </w:tcPr>
          <w:p w14:paraId="64755C3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评标方式</w:t>
            </w:r>
          </w:p>
        </w:tc>
        <w:tc>
          <w:tcPr>
            <w:tcW w:w="2504" w:type="pct"/>
            <w:tcBorders>
              <w:top w:val="single" w:color="auto" w:sz="4" w:space="0"/>
              <w:left w:val="single" w:color="auto" w:sz="4" w:space="0"/>
              <w:bottom w:val="single" w:color="auto" w:sz="4" w:space="0"/>
              <w:right w:val="single" w:color="auto" w:sz="4" w:space="0"/>
            </w:tcBorders>
            <w:noWrap w:val="0"/>
            <w:vAlign w:val="center"/>
          </w:tcPr>
          <w:p w14:paraId="1D9C746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评分准则</w:t>
            </w:r>
          </w:p>
        </w:tc>
      </w:tr>
      <w:tr w14:paraId="0892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4603D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A74F9C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同类项目业绩</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9ADCF9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bidi="ar"/>
              </w:rPr>
              <w:t>1</w:t>
            </w:r>
            <w:r>
              <w:rPr>
                <w:rFonts w:hint="eastAsia" w:asciiTheme="majorEastAsia" w:hAnsiTheme="majorEastAsia" w:eastAsiaTheme="majorEastAsia" w:cstheme="majorEastAsia"/>
                <w:color w:val="auto"/>
                <w:sz w:val="21"/>
                <w:szCs w:val="21"/>
                <w:highlight w:val="none"/>
                <w:u w:val="none"/>
                <w:lang w:val="en-US" w:eastAsia="zh-CN" w:bidi="ar"/>
              </w:rPr>
              <w:t>0</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5BA36694">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1AD3EB8D">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投标人自202</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年1月1日至本项目投标截止</w:t>
            </w:r>
            <w:r>
              <w:rPr>
                <w:rFonts w:hint="eastAsia" w:asciiTheme="majorEastAsia" w:hAnsiTheme="majorEastAsia" w:eastAsiaTheme="majorEastAsia" w:cstheme="majorEastAsia"/>
                <w:color w:val="auto"/>
                <w:sz w:val="21"/>
                <w:szCs w:val="21"/>
                <w:highlight w:val="none"/>
                <w:u w:val="none"/>
                <w:lang w:val="en-US" w:eastAsia="zh-CN"/>
              </w:rPr>
              <w:t>日</w:t>
            </w:r>
            <w:r>
              <w:rPr>
                <w:rFonts w:hint="eastAsia" w:asciiTheme="majorEastAsia" w:hAnsiTheme="majorEastAsia" w:eastAsiaTheme="majorEastAsia" w:cstheme="majorEastAsia"/>
                <w:color w:val="auto"/>
                <w:sz w:val="21"/>
                <w:szCs w:val="21"/>
                <w:highlight w:val="none"/>
                <w:u w:val="none"/>
              </w:rPr>
              <w:t>（以合同签订日期为准）：具有</w:t>
            </w:r>
            <w:r>
              <w:rPr>
                <w:rFonts w:hint="eastAsia" w:asciiTheme="majorEastAsia" w:hAnsiTheme="majorEastAsia" w:eastAsiaTheme="majorEastAsia" w:cstheme="majorEastAsia"/>
                <w:color w:val="auto"/>
                <w:sz w:val="21"/>
                <w:szCs w:val="21"/>
                <w:highlight w:val="none"/>
                <w:u w:val="none"/>
                <w:lang w:val="en-US" w:eastAsia="zh-CN"/>
              </w:rPr>
              <w:t>WiFi服务或</w:t>
            </w:r>
            <w:r>
              <w:rPr>
                <w:rFonts w:hint="eastAsia" w:asciiTheme="majorEastAsia" w:hAnsiTheme="majorEastAsia" w:eastAsiaTheme="majorEastAsia" w:cstheme="majorEastAsia"/>
                <w:color w:val="auto"/>
                <w:sz w:val="21"/>
                <w:szCs w:val="21"/>
                <w:highlight w:val="none"/>
                <w:u w:val="none"/>
              </w:rPr>
              <w:t>WLAN服务类（同类项目描述），每提供一个项目</w:t>
            </w:r>
            <w:r>
              <w:rPr>
                <w:rFonts w:hint="eastAsia" w:asciiTheme="majorEastAsia" w:hAnsiTheme="majorEastAsia" w:eastAsiaTheme="majorEastAsia" w:cstheme="majorEastAsia"/>
                <w:color w:val="auto"/>
                <w:sz w:val="21"/>
                <w:szCs w:val="21"/>
                <w:highlight w:val="none"/>
                <w:u w:val="none"/>
                <w:lang w:val="en-US" w:eastAsia="zh-CN"/>
              </w:rPr>
              <w:t>得2</w:t>
            </w:r>
            <w:r>
              <w:rPr>
                <w:rFonts w:hint="eastAsia" w:asciiTheme="majorEastAsia" w:hAnsiTheme="majorEastAsia" w:eastAsiaTheme="majorEastAsia" w:cstheme="majorEastAsia"/>
                <w:color w:val="auto"/>
                <w:sz w:val="21"/>
                <w:szCs w:val="21"/>
                <w:highlight w:val="none"/>
                <w:u w:val="none"/>
              </w:rPr>
              <w:t>分，最高得</w:t>
            </w:r>
            <w:r>
              <w:rPr>
                <w:rFonts w:hint="eastAsia" w:asciiTheme="majorEastAsia" w:hAnsiTheme="majorEastAsia" w:eastAsiaTheme="majorEastAsia" w:cstheme="majorEastAsia"/>
                <w:color w:val="auto"/>
                <w:sz w:val="21"/>
                <w:szCs w:val="21"/>
                <w:highlight w:val="none"/>
                <w:u w:val="none"/>
                <w:lang w:val="en-US" w:eastAsia="zh-CN"/>
              </w:rPr>
              <w:t>10</w:t>
            </w:r>
            <w:r>
              <w:rPr>
                <w:rFonts w:hint="eastAsia" w:asciiTheme="majorEastAsia" w:hAnsiTheme="majorEastAsia" w:eastAsiaTheme="majorEastAsia" w:cstheme="majorEastAsia"/>
                <w:color w:val="auto"/>
                <w:sz w:val="21"/>
                <w:szCs w:val="21"/>
                <w:highlight w:val="none"/>
                <w:u w:val="none"/>
              </w:rPr>
              <w:t>分。</w:t>
            </w:r>
          </w:p>
          <w:p w14:paraId="086CD334">
            <w:pPr>
              <w:pStyle w:val="2"/>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（二）评分依据：</w:t>
            </w:r>
          </w:p>
          <w:p w14:paraId="2002849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1.提供合同关键页（包括但不限于合同的项目名称、服务内容、签订日期、合同双方签字盖章页）。</w:t>
            </w:r>
          </w:p>
        </w:tc>
      </w:tr>
      <w:tr w14:paraId="5BF2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3D6079A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49F34A4F">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履约评价</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021845B">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bidi="ar"/>
              </w:rPr>
              <w:t>5</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46138249">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firstLine="422" w:firstLineChars="20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一、评审内容：</w:t>
            </w:r>
          </w:p>
          <w:p w14:paraId="74DD598C">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人上述经评审有效的“同类项目业绩”，提供服务单位的履约评价或验收材料，评价结果为“优”或“优秀”或“满意”或“合格”或“通过”或其他同等及以上评价的，每提供1份满足要求的履约评价或验收材料得</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分，本项累计最高得</w:t>
            </w:r>
            <w:r>
              <w:rPr>
                <w:rFonts w:hint="eastAsia" w:asciiTheme="majorEastAsia" w:hAnsiTheme="majorEastAsia" w:eastAsiaTheme="majorEastAsia" w:cstheme="majorEastAsia"/>
                <w:color w:val="auto"/>
                <w:sz w:val="21"/>
                <w:szCs w:val="21"/>
                <w:highlight w:val="none"/>
                <w:u w:val="none"/>
                <w:lang w:val="en-US" w:eastAsia="zh-CN"/>
              </w:rPr>
              <w:t>5</w:t>
            </w:r>
            <w:r>
              <w:rPr>
                <w:rFonts w:hint="eastAsia" w:asciiTheme="majorEastAsia" w:hAnsiTheme="majorEastAsia" w:eastAsiaTheme="majorEastAsia" w:cstheme="majorEastAsia"/>
                <w:color w:val="auto"/>
                <w:sz w:val="21"/>
                <w:szCs w:val="21"/>
                <w:highlight w:val="none"/>
                <w:u w:val="none"/>
              </w:rPr>
              <w:t>分。</w:t>
            </w:r>
          </w:p>
          <w:p w14:paraId="02592C57">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firstLine="422" w:firstLineChars="20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2829D47C">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auto"/>
                <w:sz w:val="21"/>
                <w:szCs w:val="21"/>
                <w:highlight w:val="none"/>
                <w:u w:val="none"/>
                <w:lang w:val="zh-CN"/>
              </w:rPr>
            </w:pPr>
            <w:r>
              <w:rPr>
                <w:rFonts w:hint="eastAsia" w:asciiTheme="majorEastAsia" w:hAnsiTheme="majorEastAsia" w:eastAsiaTheme="majorEastAsia" w:cstheme="majorEastAsia"/>
                <w:color w:val="auto"/>
                <w:sz w:val="21"/>
                <w:szCs w:val="21"/>
                <w:highlight w:val="none"/>
                <w:u w:val="none"/>
              </w:rPr>
              <w:t>1.</w:t>
            </w:r>
            <w:r>
              <w:rPr>
                <w:rFonts w:hint="eastAsia" w:asciiTheme="majorEastAsia" w:hAnsiTheme="majorEastAsia" w:eastAsiaTheme="majorEastAsia" w:cstheme="majorEastAsia"/>
                <w:color w:val="auto"/>
                <w:sz w:val="21"/>
                <w:szCs w:val="21"/>
                <w:highlight w:val="none"/>
                <w:u w:val="none"/>
                <w:lang w:val="zh-CN"/>
              </w:rPr>
              <w:t>提供</w:t>
            </w:r>
            <w:r>
              <w:rPr>
                <w:rFonts w:hint="eastAsia" w:asciiTheme="majorEastAsia" w:hAnsiTheme="majorEastAsia" w:eastAsiaTheme="majorEastAsia" w:cstheme="majorEastAsia"/>
                <w:color w:val="auto"/>
                <w:sz w:val="21"/>
                <w:szCs w:val="21"/>
                <w:highlight w:val="none"/>
                <w:u w:val="none"/>
                <w:lang w:eastAsia="zh-Hans"/>
              </w:rPr>
              <w:t>加盖合同甲方公章（或甲方业务章项目履约（验收）评价证明文件；</w:t>
            </w:r>
            <w:r>
              <w:rPr>
                <w:rFonts w:hint="eastAsia" w:asciiTheme="majorEastAsia" w:hAnsiTheme="majorEastAsia" w:eastAsiaTheme="majorEastAsia" w:cstheme="majorEastAsia"/>
                <w:color w:val="auto"/>
                <w:sz w:val="21"/>
                <w:szCs w:val="21"/>
                <w:highlight w:val="none"/>
                <w:u w:val="none"/>
                <w:lang w:val="zh-CN"/>
              </w:rPr>
              <w:t>如提交的证明材料其评价结果没有结论而仅是打分的（比如打100分、98分等的）不计分。</w:t>
            </w:r>
          </w:p>
          <w:p w14:paraId="44A4237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2.以上资料原件备查，评分中出现无证明资料或专家无法凭所提供资料判断是否得分的情况，一律作不得分处理。</w:t>
            </w:r>
          </w:p>
        </w:tc>
      </w:tr>
      <w:tr w14:paraId="1A6F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34E6D9E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05CD2C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lang w:val="en-US" w:eastAsia="zh-CN"/>
              </w:rPr>
              <w:t>投标人认证</w:t>
            </w:r>
            <w:r>
              <w:rPr>
                <w:rFonts w:hint="eastAsia" w:asciiTheme="majorEastAsia" w:hAnsiTheme="majorEastAsia" w:eastAsiaTheme="majorEastAsia" w:cstheme="majorEastAsia"/>
                <w:color w:val="auto"/>
                <w:sz w:val="21"/>
                <w:szCs w:val="21"/>
                <w:highlight w:val="none"/>
                <w:u w:val="none"/>
              </w:rPr>
              <w:t>情况</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654183B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bidi="ar"/>
              </w:rPr>
              <w:t>6</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264E8EE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评审标准</w:t>
            </w:r>
          </w:p>
          <w:p w14:paraId="16398C9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投标人具有以下资质：</w:t>
            </w:r>
          </w:p>
          <w:p w14:paraId="27911DA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1.投标人具备TL9000电讯业质量管理体系认证；</w:t>
            </w:r>
          </w:p>
          <w:p w14:paraId="4A7BF7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2.投标人具备ISO27001信息安全管理体系认证；</w:t>
            </w:r>
          </w:p>
          <w:p w14:paraId="479A603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.投标人具备ISO28000供应链安全管理体系认证证书</w:t>
            </w:r>
            <w:r>
              <w:rPr>
                <w:rFonts w:hint="eastAsia" w:asciiTheme="majorEastAsia" w:hAnsiTheme="majorEastAsia" w:eastAsiaTheme="majorEastAsia" w:cstheme="majorEastAsia"/>
                <w:color w:val="auto"/>
                <w:sz w:val="21"/>
                <w:szCs w:val="21"/>
                <w:highlight w:val="none"/>
                <w:u w:val="none"/>
                <w:lang w:eastAsia="zh-CN"/>
              </w:rPr>
              <w:t>；</w:t>
            </w:r>
          </w:p>
          <w:p w14:paraId="227CB2E1">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每提供一个有效的</w:t>
            </w:r>
            <w:r>
              <w:rPr>
                <w:rFonts w:hint="eastAsia" w:asciiTheme="majorEastAsia" w:hAnsiTheme="majorEastAsia" w:eastAsiaTheme="majorEastAsia" w:cstheme="majorEastAsia"/>
                <w:color w:val="auto"/>
                <w:sz w:val="21"/>
                <w:szCs w:val="21"/>
                <w:highlight w:val="none"/>
                <w:u w:val="none"/>
                <w:lang w:val="en-US" w:eastAsia="zh-CN"/>
              </w:rPr>
              <w:t>证书</w:t>
            </w:r>
            <w:r>
              <w:rPr>
                <w:rFonts w:hint="eastAsia" w:asciiTheme="majorEastAsia" w:hAnsiTheme="majorEastAsia" w:eastAsiaTheme="majorEastAsia" w:cstheme="majorEastAsia"/>
                <w:color w:val="auto"/>
                <w:sz w:val="21"/>
                <w:szCs w:val="21"/>
                <w:highlight w:val="none"/>
                <w:u w:val="none"/>
              </w:rPr>
              <w:t>得</w:t>
            </w:r>
            <w:r>
              <w:rPr>
                <w:rFonts w:hint="eastAsia" w:asciiTheme="majorEastAsia" w:hAnsiTheme="majorEastAsia" w:eastAsiaTheme="majorEastAsia" w:cstheme="majorEastAsia"/>
                <w:color w:val="auto"/>
                <w:sz w:val="21"/>
                <w:szCs w:val="21"/>
                <w:highlight w:val="none"/>
                <w:u w:val="none"/>
                <w:lang w:val="en-US" w:eastAsia="zh-CN"/>
              </w:rPr>
              <w:t xml:space="preserve"> 2 </w:t>
            </w:r>
            <w:r>
              <w:rPr>
                <w:rFonts w:hint="eastAsia" w:asciiTheme="majorEastAsia" w:hAnsiTheme="majorEastAsia" w:eastAsiaTheme="majorEastAsia" w:cstheme="majorEastAsia"/>
                <w:color w:val="auto"/>
                <w:sz w:val="21"/>
                <w:szCs w:val="21"/>
                <w:highlight w:val="none"/>
                <w:u w:val="none"/>
              </w:rPr>
              <w:t>分，以此类推，最高不超过</w:t>
            </w:r>
            <w:r>
              <w:rPr>
                <w:rFonts w:hint="eastAsia" w:asciiTheme="majorEastAsia" w:hAnsiTheme="majorEastAsia" w:eastAsiaTheme="majorEastAsia" w:cstheme="majorEastAsia"/>
                <w:color w:val="auto"/>
                <w:kern w:val="0"/>
                <w:sz w:val="21"/>
                <w:szCs w:val="21"/>
                <w:highlight w:val="none"/>
                <w:u w:val="none"/>
              </w:rPr>
              <w:t xml:space="preserve"> </w:t>
            </w:r>
            <w:r>
              <w:rPr>
                <w:rFonts w:hint="eastAsia" w:asciiTheme="majorEastAsia" w:hAnsiTheme="majorEastAsia" w:eastAsiaTheme="majorEastAsia" w:cstheme="majorEastAsia"/>
                <w:color w:val="auto"/>
                <w:kern w:val="0"/>
                <w:sz w:val="21"/>
                <w:szCs w:val="21"/>
                <w:highlight w:val="none"/>
                <w:u w:val="none"/>
                <w:lang w:val="en-US" w:eastAsia="zh-CN"/>
              </w:rPr>
              <w:t>6</w:t>
            </w:r>
            <w:r>
              <w:rPr>
                <w:rFonts w:hint="eastAsia" w:asciiTheme="majorEastAsia" w:hAnsiTheme="majorEastAsia" w:eastAsiaTheme="majorEastAsia" w:cstheme="majorEastAsia"/>
                <w:color w:val="auto"/>
                <w:sz w:val="21"/>
                <w:szCs w:val="21"/>
                <w:highlight w:val="none"/>
                <w:u w:val="none"/>
              </w:rPr>
              <w:t>分。不提供或者不能有效证明的，得0分。</w:t>
            </w:r>
          </w:p>
          <w:p w14:paraId="12E58E1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color w:val="auto"/>
                <w:sz w:val="21"/>
                <w:szCs w:val="21"/>
                <w:highlight w:val="none"/>
                <w:u w:val="none"/>
              </w:rPr>
            </w:pPr>
            <w:r>
              <w:rPr>
                <w:rFonts w:hint="eastAsia" w:asciiTheme="majorEastAsia" w:hAnsiTheme="majorEastAsia" w:eastAsiaTheme="majorEastAsia" w:cstheme="majorEastAsia"/>
                <w:b/>
                <w:color w:val="auto"/>
                <w:sz w:val="21"/>
                <w:szCs w:val="21"/>
                <w:highlight w:val="none"/>
                <w:u w:val="none"/>
              </w:rPr>
              <w:t>证明文件：</w:t>
            </w:r>
          </w:p>
          <w:p w14:paraId="7646262A">
            <w:pPr>
              <w:pStyle w:val="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b w:val="0"/>
                <w:bCs w:val="0"/>
                <w:color w:val="auto"/>
                <w:sz w:val="21"/>
                <w:szCs w:val="21"/>
                <w:highlight w:val="none"/>
                <w:u w:val="none"/>
              </w:rPr>
            </w:pPr>
            <w:r>
              <w:rPr>
                <w:rFonts w:hint="eastAsia" w:asciiTheme="majorEastAsia" w:hAnsiTheme="majorEastAsia" w:eastAsiaTheme="majorEastAsia" w:cstheme="majorEastAsia"/>
                <w:b w:val="0"/>
                <w:bCs w:val="0"/>
                <w:color w:val="auto"/>
                <w:sz w:val="21"/>
                <w:szCs w:val="21"/>
                <w:highlight w:val="none"/>
                <w:u w:val="none"/>
              </w:rPr>
              <w:t>1.提供认证证书</w:t>
            </w:r>
            <w:r>
              <w:rPr>
                <w:rFonts w:hint="eastAsia" w:asciiTheme="majorEastAsia" w:hAnsiTheme="majorEastAsia" w:eastAsiaTheme="majorEastAsia" w:cstheme="majorEastAsia"/>
                <w:b w:val="0"/>
                <w:bCs w:val="0"/>
                <w:color w:val="auto"/>
                <w:sz w:val="21"/>
                <w:szCs w:val="21"/>
                <w:highlight w:val="none"/>
                <w:u w:val="none"/>
                <w:lang w:val="en-US" w:eastAsia="zh-CN"/>
              </w:rPr>
              <w:t>扫描件</w:t>
            </w:r>
            <w:r>
              <w:rPr>
                <w:rFonts w:hint="eastAsia" w:asciiTheme="majorEastAsia" w:hAnsiTheme="majorEastAsia" w:eastAsiaTheme="majorEastAsia" w:cstheme="majorEastAsia"/>
                <w:b w:val="0"/>
                <w:bCs w:val="0"/>
                <w:color w:val="auto"/>
                <w:sz w:val="21"/>
                <w:szCs w:val="21"/>
                <w:highlight w:val="none"/>
                <w:u w:val="none"/>
              </w:rPr>
              <w:t>；同时提供在全国认证认可信息公共服务平台（认e云）（http://cx.cnca.cn）查询截图且显示有效及证书编号一致；</w:t>
            </w:r>
          </w:p>
          <w:p w14:paraId="3563FA3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105" w:firstLineChars="5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b w:val="0"/>
                <w:bCs w:val="0"/>
                <w:color w:val="auto"/>
                <w:sz w:val="21"/>
                <w:szCs w:val="21"/>
                <w:highlight w:val="none"/>
                <w:u w:val="none"/>
              </w:rPr>
              <w:t>2.评分中出现无证明资料或专家无法凭所提供资料判断是否得分的情况，一律作不得分处理。</w:t>
            </w:r>
          </w:p>
        </w:tc>
      </w:tr>
      <w:tr w14:paraId="2F88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148F5B2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4</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2C27B2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自主知识产权产品（创新、设计）情况</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2DE26AF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lang w:val="en-US" w:eastAsia="zh-CN" w:bidi="ar"/>
              </w:rPr>
              <w:t>10</w:t>
            </w:r>
          </w:p>
        </w:tc>
        <w:tc>
          <w:tcPr>
            <w:tcW w:w="3173" w:type="pct"/>
            <w:gridSpan w:val="2"/>
            <w:tcBorders>
              <w:top w:val="single" w:color="auto" w:sz="4" w:space="0"/>
              <w:left w:val="single" w:color="auto" w:sz="4" w:space="0"/>
              <w:bottom w:val="single" w:color="auto" w:sz="4" w:space="0"/>
              <w:right w:val="single" w:color="auto" w:sz="4" w:space="0"/>
            </w:tcBorders>
            <w:noWrap w:val="0"/>
            <w:vAlign w:val="top"/>
          </w:tcPr>
          <w:p w14:paraId="059E736D">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205A9B66">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1.可对互联网流量进行牵引清洗，具备与“流量牵引”相关的软件著作权证书的，得</w:t>
            </w:r>
            <w:r>
              <w:rPr>
                <w:rFonts w:hint="eastAsia" w:asciiTheme="majorEastAsia" w:hAnsiTheme="majorEastAsia" w:eastAsiaTheme="majorEastAsia" w:cstheme="majorEastAsia"/>
                <w:color w:val="auto"/>
                <w:sz w:val="21"/>
                <w:szCs w:val="21"/>
                <w:highlight w:val="none"/>
                <w:u w:val="none"/>
                <w:lang w:val="en-US" w:eastAsia="zh-CN"/>
              </w:rPr>
              <w:t>5</w:t>
            </w:r>
            <w:r>
              <w:rPr>
                <w:rFonts w:hint="eastAsia" w:asciiTheme="majorEastAsia" w:hAnsiTheme="majorEastAsia" w:eastAsiaTheme="majorEastAsia" w:cstheme="majorEastAsia"/>
                <w:color w:val="auto"/>
                <w:sz w:val="21"/>
                <w:szCs w:val="21"/>
                <w:highlight w:val="none"/>
                <w:u w:val="none"/>
              </w:rPr>
              <w:t>分；否则不得分。</w:t>
            </w:r>
          </w:p>
          <w:p w14:paraId="7E5021CB">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2.可就近对攻击源流量进行压制，具备与“流量压制”相关的软件著作权证书的，得</w:t>
            </w:r>
            <w:r>
              <w:rPr>
                <w:rFonts w:hint="eastAsia" w:asciiTheme="majorEastAsia" w:hAnsiTheme="majorEastAsia" w:eastAsiaTheme="majorEastAsia" w:cstheme="majorEastAsia"/>
                <w:color w:val="auto"/>
                <w:sz w:val="21"/>
                <w:szCs w:val="21"/>
                <w:highlight w:val="none"/>
                <w:u w:val="none"/>
                <w:lang w:val="en-US" w:eastAsia="zh-CN"/>
              </w:rPr>
              <w:t>5</w:t>
            </w:r>
            <w:r>
              <w:rPr>
                <w:rFonts w:hint="eastAsia" w:asciiTheme="majorEastAsia" w:hAnsiTheme="majorEastAsia" w:eastAsiaTheme="majorEastAsia" w:cstheme="majorEastAsia"/>
                <w:color w:val="auto"/>
                <w:sz w:val="21"/>
                <w:szCs w:val="21"/>
                <w:highlight w:val="none"/>
                <w:u w:val="none"/>
              </w:rPr>
              <w:t>分；否则不得分。</w:t>
            </w:r>
          </w:p>
          <w:p w14:paraId="5EC0D4EC">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每提供一个得</w:t>
            </w:r>
            <w:r>
              <w:rPr>
                <w:rFonts w:hint="eastAsia" w:asciiTheme="majorEastAsia" w:hAnsiTheme="majorEastAsia" w:eastAsiaTheme="majorEastAsia" w:cstheme="majorEastAsia"/>
                <w:color w:val="auto"/>
                <w:sz w:val="21"/>
                <w:szCs w:val="21"/>
                <w:highlight w:val="none"/>
                <w:u w:val="none"/>
                <w:lang w:val="en-US" w:eastAsia="zh-CN"/>
              </w:rPr>
              <w:t xml:space="preserve"> 5 </w:t>
            </w:r>
            <w:r>
              <w:rPr>
                <w:rFonts w:hint="eastAsia" w:asciiTheme="majorEastAsia" w:hAnsiTheme="majorEastAsia" w:eastAsiaTheme="majorEastAsia" w:cstheme="majorEastAsia"/>
                <w:color w:val="auto"/>
                <w:sz w:val="21"/>
                <w:szCs w:val="21"/>
                <w:highlight w:val="none"/>
                <w:u w:val="none"/>
              </w:rPr>
              <w:t>分，以此类推，最高不超过</w:t>
            </w:r>
            <w:r>
              <w:rPr>
                <w:rFonts w:hint="eastAsia" w:asciiTheme="majorEastAsia" w:hAnsiTheme="majorEastAsia" w:eastAsiaTheme="majorEastAsia" w:cstheme="majorEastAsia"/>
                <w:color w:val="auto"/>
                <w:sz w:val="21"/>
                <w:szCs w:val="21"/>
                <w:highlight w:val="none"/>
                <w:u w:val="none"/>
                <w:lang w:val="en-US" w:eastAsia="zh-CN"/>
              </w:rPr>
              <w:t xml:space="preserve"> 10 </w:t>
            </w:r>
            <w:r>
              <w:rPr>
                <w:rFonts w:hint="eastAsia" w:asciiTheme="majorEastAsia" w:hAnsiTheme="majorEastAsia" w:eastAsiaTheme="majorEastAsia" w:cstheme="majorEastAsia"/>
                <w:color w:val="auto"/>
                <w:sz w:val="21"/>
                <w:szCs w:val="21"/>
                <w:highlight w:val="none"/>
                <w:u w:val="none"/>
              </w:rPr>
              <w:t>分。不提供或者不能有效证明的，得0分。</w:t>
            </w:r>
          </w:p>
          <w:p w14:paraId="0854E579">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4686CB83">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1.提供计算机软件著作权登记证书（著作权人须为投标人）；【或提供专利证书（著作权人须为投标人）】；</w:t>
            </w:r>
          </w:p>
          <w:p w14:paraId="6625C38D">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2.（如接受租赁</w:t>
            </w:r>
            <w:r>
              <w:rPr>
                <w:rFonts w:hint="eastAsia" w:asciiTheme="majorEastAsia" w:hAnsiTheme="majorEastAsia" w:eastAsiaTheme="majorEastAsia" w:cstheme="majorEastAsia"/>
                <w:color w:val="auto"/>
                <w:sz w:val="21"/>
                <w:szCs w:val="21"/>
                <w:highlight w:val="none"/>
                <w:u w:val="none"/>
                <w:lang w:val="en-US" w:eastAsia="zh-CN"/>
              </w:rPr>
              <w:t>保留</w:t>
            </w:r>
            <w:r>
              <w:rPr>
                <w:rFonts w:hint="eastAsia" w:asciiTheme="majorEastAsia" w:hAnsiTheme="majorEastAsia" w:eastAsiaTheme="majorEastAsia" w:cstheme="majorEastAsia"/>
                <w:color w:val="auto"/>
                <w:sz w:val="21"/>
                <w:szCs w:val="21"/>
                <w:highlight w:val="none"/>
                <w:u w:val="none"/>
              </w:rPr>
              <w:t>）提供购买或租赁的计算机软件著作权登记证书（著作权人须为出售/出租方）和购买合同（或租赁合同）；【或提供购买或租赁的专利证书（著作权人须为出售/出租方）和购买合同（或租赁合同）】；</w:t>
            </w:r>
          </w:p>
          <w:p w14:paraId="28DF2032">
            <w:pPr>
              <w:keepNext w:val="0"/>
              <w:keepLines w:val="0"/>
              <w:pageBreakBefore w:val="0"/>
              <w:widowControl w:val="0"/>
              <w:suppressLineNumbers w:val="0"/>
              <w:kinsoku/>
              <w:overflowPunct/>
              <w:topLinePunct w:val="0"/>
              <w:autoSpaceDE/>
              <w:autoSpaceDN/>
              <w:bidi w:val="0"/>
              <w:adjustRightInd w:val="0"/>
              <w:snapToGrid w:val="0"/>
              <w:spacing w:before="0" w:beforeAutospacing="0" w:after="16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3.评分中出现无证明资料或专家无法凭所提供资料判断是否得分的情况，一律作不得分处理。</w:t>
            </w:r>
          </w:p>
        </w:tc>
      </w:tr>
      <w:tr w14:paraId="3880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39F7A05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p>
        </w:tc>
        <w:tc>
          <w:tcPr>
            <w:tcW w:w="1042" w:type="pct"/>
            <w:tcBorders>
              <w:top w:val="single" w:color="auto" w:sz="4" w:space="0"/>
              <w:left w:val="single" w:color="auto" w:sz="4" w:space="0"/>
              <w:bottom w:val="single" w:color="auto" w:sz="4" w:space="0"/>
              <w:right w:val="single" w:color="auto" w:sz="4" w:space="0"/>
            </w:tcBorders>
            <w:noWrap w:val="0"/>
            <w:vAlign w:val="center"/>
          </w:tcPr>
          <w:p w14:paraId="0A86E80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互联网资源情况</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362DE8F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lang w:val="en-US" w:eastAsia="zh-CN" w:bidi="ar"/>
              </w:rPr>
              <w:t>10</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686F16C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352B896D">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投标人互联网资源情况。</w:t>
            </w:r>
          </w:p>
          <w:p w14:paraId="4BBF7864">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评分标准：</w:t>
            </w:r>
          </w:p>
          <w:p w14:paraId="4897CB97">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1、根据有效投标人</w:t>
            </w:r>
            <w:r>
              <w:rPr>
                <w:rFonts w:hint="eastAsia" w:asciiTheme="majorEastAsia" w:hAnsiTheme="majorEastAsia" w:eastAsiaTheme="majorEastAsia" w:cstheme="majorEastAsia"/>
                <w:color w:val="auto"/>
                <w:kern w:val="0"/>
                <w:sz w:val="21"/>
                <w:szCs w:val="21"/>
                <w:highlight w:val="none"/>
                <w:u w:val="none"/>
              </w:rPr>
              <w:t>（或所属通信运营商）</w:t>
            </w:r>
            <w:r>
              <w:rPr>
                <w:rFonts w:hint="eastAsia" w:asciiTheme="majorEastAsia" w:hAnsiTheme="majorEastAsia" w:eastAsiaTheme="majorEastAsia" w:cstheme="majorEastAsia"/>
                <w:color w:val="auto"/>
                <w:sz w:val="21"/>
                <w:szCs w:val="21"/>
                <w:highlight w:val="none"/>
                <w:u w:val="none"/>
              </w:rPr>
              <w:t>国际出口带宽量，按照《中国互联网络发展状况统计报告》的统计报告上的排名进行评分：</w:t>
            </w:r>
          </w:p>
          <w:p w14:paraId="6A5C3D41">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排名第一的得</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w:t>
            </w:r>
          </w:p>
          <w:p w14:paraId="400E94F6">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排名第二的得</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分；</w:t>
            </w:r>
          </w:p>
          <w:p w14:paraId="011B2F0C">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排名第三的得</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分；</w:t>
            </w:r>
          </w:p>
          <w:p w14:paraId="3F130D5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其余不得分。</w:t>
            </w:r>
          </w:p>
          <w:p w14:paraId="5C2D78E6">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2、根据有效投标人</w:t>
            </w:r>
            <w:r>
              <w:rPr>
                <w:rFonts w:hint="eastAsia" w:asciiTheme="majorEastAsia" w:hAnsiTheme="majorEastAsia" w:eastAsiaTheme="majorEastAsia" w:cstheme="majorEastAsia"/>
                <w:color w:val="auto"/>
                <w:kern w:val="0"/>
                <w:sz w:val="21"/>
                <w:szCs w:val="21"/>
                <w:highlight w:val="none"/>
                <w:u w:val="none"/>
              </w:rPr>
              <w:t>（或所属通信运营商）拥有IPv4地址量</w:t>
            </w:r>
            <w:r>
              <w:rPr>
                <w:rFonts w:hint="eastAsia" w:asciiTheme="majorEastAsia" w:hAnsiTheme="majorEastAsia" w:eastAsiaTheme="majorEastAsia" w:cstheme="majorEastAsia"/>
                <w:color w:val="auto"/>
                <w:sz w:val="21"/>
                <w:szCs w:val="21"/>
                <w:highlight w:val="none"/>
                <w:u w:val="none"/>
              </w:rPr>
              <w:t>：</w:t>
            </w:r>
          </w:p>
          <w:p w14:paraId="290E65FF">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排名第一的得</w:t>
            </w:r>
            <w:r>
              <w:rPr>
                <w:rFonts w:hint="eastAsia" w:asciiTheme="majorEastAsia" w:hAnsiTheme="majorEastAsia" w:eastAsiaTheme="majorEastAsia" w:cstheme="majorEastAsia"/>
                <w:color w:val="auto"/>
                <w:sz w:val="21"/>
                <w:szCs w:val="21"/>
                <w:highlight w:val="none"/>
                <w:u w:val="none"/>
                <w:lang w:val="en-US" w:eastAsia="zh-CN"/>
              </w:rPr>
              <w:t>4</w:t>
            </w:r>
            <w:r>
              <w:rPr>
                <w:rFonts w:hint="eastAsia" w:asciiTheme="majorEastAsia" w:hAnsiTheme="majorEastAsia" w:eastAsiaTheme="majorEastAsia" w:cstheme="majorEastAsia"/>
                <w:color w:val="auto"/>
                <w:sz w:val="21"/>
                <w:szCs w:val="21"/>
                <w:highlight w:val="none"/>
                <w:u w:val="none"/>
              </w:rPr>
              <w:t>分；</w:t>
            </w:r>
          </w:p>
          <w:p w14:paraId="1AA85B9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排名第二的得</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w:t>
            </w:r>
          </w:p>
          <w:p w14:paraId="467897F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排名第三的得</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分；</w:t>
            </w:r>
          </w:p>
          <w:p w14:paraId="77DD0733">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其余不得分。</w:t>
            </w:r>
          </w:p>
          <w:p w14:paraId="28A487F0">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3、根据有效投标人</w:t>
            </w:r>
            <w:r>
              <w:rPr>
                <w:rFonts w:hint="eastAsia" w:asciiTheme="majorEastAsia" w:hAnsiTheme="majorEastAsia" w:eastAsiaTheme="majorEastAsia" w:cstheme="majorEastAsia"/>
                <w:color w:val="auto"/>
                <w:kern w:val="0"/>
                <w:sz w:val="21"/>
                <w:szCs w:val="21"/>
                <w:highlight w:val="none"/>
                <w:u w:val="none"/>
              </w:rPr>
              <w:t>（或所属通信运营商）拥有IPv6地址量</w:t>
            </w:r>
            <w:r>
              <w:rPr>
                <w:rFonts w:hint="eastAsia" w:asciiTheme="majorEastAsia" w:hAnsiTheme="majorEastAsia" w:eastAsiaTheme="majorEastAsia" w:cstheme="majorEastAsia"/>
                <w:color w:val="auto"/>
                <w:sz w:val="21"/>
                <w:szCs w:val="21"/>
                <w:highlight w:val="none"/>
                <w:u w:val="none"/>
              </w:rPr>
              <w:t>：</w:t>
            </w:r>
          </w:p>
          <w:p w14:paraId="3BF866C0">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排名第一的得</w:t>
            </w:r>
            <w:r>
              <w:rPr>
                <w:rFonts w:hint="eastAsia" w:asciiTheme="majorEastAsia" w:hAnsiTheme="majorEastAsia" w:eastAsiaTheme="majorEastAsia" w:cstheme="majorEastAsia"/>
                <w:color w:val="auto"/>
                <w:sz w:val="21"/>
                <w:szCs w:val="21"/>
                <w:highlight w:val="none"/>
                <w:u w:val="none"/>
                <w:lang w:val="en-US" w:eastAsia="zh-CN"/>
              </w:rPr>
              <w:t>3</w:t>
            </w:r>
            <w:r>
              <w:rPr>
                <w:rFonts w:hint="eastAsia" w:asciiTheme="majorEastAsia" w:hAnsiTheme="majorEastAsia" w:eastAsiaTheme="majorEastAsia" w:cstheme="majorEastAsia"/>
                <w:color w:val="auto"/>
                <w:sz w:val="21"/>
                <w:szCs w:val="21"/>
                <w:highlight w:val="none"/>
                <w:u w:val="none"/>
              </w:rPr>
              <w:t>分；</w:t>
            </w:r>
          </w:p>
          <w:p w14:paraId="7EA22054">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排名第二的得</w:t>
            </w:r>
            <w:r>
              <w:rPr>
                <w:rFonts w:hint="eastAsia" w:asciiTheme="majorEastAsia" w:hAnsiTheme="majorEastAsia" w:eastAsiaTheme="majorEastAsia" w:cstheme="majorEastAsia"/>
                <w:color w:val="auto"/>
                <w:sz w:val="21"/>
                <w:szCs w:val="21"/>
                <w:highlight w:val="none"/>
                <w:u w:val="none"/>
                <w:lang w:val="en-US" w:eastAsia="zh-CN"/>
              </w:rPr>
              <w:t>2</w:t>
            </w:r>
            <w:r>
              <w:rPr>
                <w:rFonts w:hint="eastAsia" w:asciiTheme="majorEastAsia" w:hAnsiTheme="majorEastAsia" w:eastAsiaTheme="majorEastAsia" w:cstheme="majorEastAsia"/>
                <w:color w:val="auto"/>
                <w:sz w:val="21"/>
                <w:szCs w:val="21"/>
                <w:highlight w:val="none"/>
                <w:u w:val="none"/>
              </w:rPr>
              <w:t>分；</w:t>
            </w:r>
          </w:p>
          <w:p w14:paraId="09B62204">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排名第三的得</w:t>
            </w:r>
            <w:r>
              <w:rPr>
                <w:rFonts w:hint="eastAsia" w:asciiTheme="majorEastAsia" w:hAnsiTheme="majorEastAsia" w:eastAsiaTheme="majorEastAsia" w:cstheme="majorEastAsia"/>
                <w:color w:val="auto"/>
                <w:sz w:val="21"/>
                <w:szCs w:val="21"/>
                <w:highlight w:val="none"/>
                <w:u w:val="none"/>
                <w:lang w:val="en-US" w:eastAsia="zh-CN"/>
              </w:rPr>
              <w:t>1</w:t>
            </w:r>
            <w:r>
              <w:rPr>
                <w:rFonts w:hint="eastAsia" w:asciiTheme="majorEastAsia" w:hAnsiTheme="majorEastAsia" w:eastAsiaTheme="majorEastAsia" w:cstheme="majorEastAsia"/>
                <w:color w:val="auto"/>
                <w:sz w:val="21"/>
                <w:szCs w:val="21"/>
                <w:highlight w:val="none"/>
                <w:u w:val="none"/>
              </w:rPr>
              <w:t>分；</w:t>
            </w:r>
          </w:p>
          <w:p w14:paraId="3EE5237C">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其余不得分。</w:t>
            </w:r>
          </w:p>
          <w:p w14:paraId="1FA37E2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15B0847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提供中国互联网络信息中心任意一年发布的中国互联网络发展状态统计报告中关于互联网资源的数据排名截图及查询链接，未提供或提供不清晰不得分。评分中出现无证明资料或专家无法凭所提供资料判断是否得分的情况，一律作不得分处理。以分公司或分支机构为主体的投标人，总公司或集团</w:t>
            </w:r>
            <w:r>
              <w:rPr>
                <w:rFonts w:hint="eastAsia" w:asciiTheme="majorEastAsia" w:hAnsiTheme="majorEastAsia" w:eastAsiaTheme="majorEastAsia" w:cstheme="majorEastAsia"/>
                <w:color w:val="auto"/>
                <w:sz w:val="21"/>
                <w:szCs w:val="21"/>
                <w:highlight w:val="none"/>
                <w:u w:val="none"/>
                <w:lang w:val="en-US" w:eastAsia="zh-CN"/>
              </w:rPr>
              <w:t>排名</w:t>
            </w:r>
            <w:r>
              <w:rPr>
                <w:rFonts w:hint="eastAsia" w:asciiTheme="majorEastAsia" w:hAnsiTheme="majorEastAsia" w:eastAsiaTheme="majorEastAsia" w:cstheme="majorEastAsia"/>
                <w:color w:val="auto"/>
                <w:sz w:val="21"/>
                <w:szCs w:val="21"/>
                <w:highlight w:val="none"/>
                <w:u w:val="none"/>
              </w:rPr>
              <w:t>可作为得分依据。</w:t>
            </w:r>
          </w:p>
        </w:tc>
      </w:tr>
      <w:tr w14:paraId="7D34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4F86671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5</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296AD07">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诚信评审</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0FC49706">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5</w:t>
            </w:r>
          </w:p>
        </w:tc>
        <w:tc>
          <w:tcPr>
            <w:tcW w:w="3173" w:type="pct"/>
            <w:gridSpan w:val="2"/>
            <w:tcBorders>
              <w:top w:val="single" w:color="auto" w:sz="4" w:space="0"/>
              <w:left w:val="single" w:color="auto" w:sz="4" w:space="0"/>
              <w:bottom w:val="single" w:color="auto" w:sz="4" w:space="0"/>
              <w:right w:val="single" w:color="auto" w:sz="4" w:space="0"/>
            </w:tcBorders>
            <w:noWrap w:val="0"/>
            <w:vAlign w:val="center"/>
          </w:tcPr>
          <w:p w14:paraId="0611981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（一）评分内容：</w:t>
            </w:r>
          </w:p>
          <w:p w14:paraId="110D022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rPr>
            </w:pPr>
            <w:r>
              <w:rPr>
                <w:rFonts w:hint="eastAsia" w:asciiTheme="majorEastAsia" w:hAnsiTheme="majorEastAsia" w:eastAsiaTheme="majorEastAsia" w:cstheme="majorEastAsia"/>
                <w:color w:val="auto"/>
                <w:sz w:val="21"/>
                <w:szCs w:val="21"/>
                <w:highlight w:val="none"/>
                <w:u w:val="none"/>
              </w:rPr>
              <w:t>投标人存在《深圳市财政局政府采购供应商信用信息管理办法》（深财规〔2023〕3 号）列明的一般行政处罚信息、一般违法失信记录信息的，本项不得分，不存在上述情形的本项得满分。</w:t>
            </w:r>
          </w:p>
          <w:p w14:paraId="198F1D8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auto"/>
                <w:sz w:val="21"/>
                <w:szCs w:val="21"/>
                <w:highlight w:val="none"/>
                <w:u w:val="none"/>
              </w:rPr>
            </w:pPr>
            <w:r>
              <w:rPr>
                <w:rFonts w:hint="eastAsia" w:asciiTheme="majorEastAsia" w:hAnsiTheme="majorEastAsia" w:eastAsiaTheme="majorEastAsia" w:cstheme="majorEastAsia"/>
                <w:b/>
                <w:bCs/>
                <w:color w:val="auto"/>
                <w:sz w:val="21"/>
                <w:szCs w:val="21"/>
                <w:highlight w:val="none"/>
                <w:u w:val="none"/>
              </w:rPr>
              <w:t>（二）评分依据:</w:t>
            </w:r>
          </w:p>
          <w:p w14:paraId="1818AE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auto"/>
                <w:sz w:val="21"/>
                <w:szCs w:val="21"/>
                <w:highlight w:val="none"/>
                <w:u w:val="none"/>
                <w:lang w:eastAsia="zh-CN"/>
              </w:rPr>
            </w:pPr>
            <w:r>
              <w:rPr>
                <w:rFonts w:hint="eastAsia" w:asciiTheme="majorEastAsia" w:hAnsiTheme="majorEastAsia" w:eastAsiaTheme="majorEastAsia" w:cstheme="majorEastAsia"/>
                <w:color w:val="auto"/>
                <w:sz w:val="21"/>
                <w:szCs w:val="21"/>
                <w:highlight w:val="none"/>
                <w:u w:val="none"/>
              </w:rPr>
              <w:t>通过“信用中国”（www.creditchina.gov.cn）、“中国政府采购网”（www.ccgp.gov.cn）、“深圳市政府采购监管网”</w:t>
            </w:r>
            <w:r>
              <w:rPr>
                <w:rFonts w:hint="eastAsia" w:asciiTheme="majorEastAsia" w:hAnsiTheme="majorEastAsia" w:eastAsiaTheme="majorEastAsia" w:cstheme="majorEastAsia"/>
                <w:color w:val="auto"/>
                <w:sz w:val="21"/>
                <w:szCs w:val="21"/>
                <w:highlight w:val="none"/>
                <w:u w:val="none"/>
                <w:lang w:val="en-US" w:eastAsia="zh-CN"/>
              </w:rPr>
              <w:t>等</w:t>
            </w:r>
            <w:r>
              <w:rPr>
                <w:rFonts w:hint="eastAsia" w:asciiTheme="majorEastAsia" w:hAnsiTheme="majorEastAsia" w:eastAsiaTheme="majorEastAsia" w:cstheme="majorEastAsia"/>
                <w:color w:val="auto"/>
                <w:sz w:val="21"/>
                <w:szCs w:val="21"/>
                <w:highlight w:val="none"/>
                <w:u w:val="none"/>
              </w:rPr>
              <w:t>（http://zfcg.sz.gov.cn）查询供应商信用信息</w:t>
            </w:r>
            <w:r>
              <w:rPr>
                <w:rFonts w:hint="eastAsia" w:asciiTheme="majorEastAsia" w:hAnsiTheme="majorEastAsia" w:eastAsiaTheme="majorEastAsia" w:cstheme="majorEastAsia"/>
                <w:color w:val="auto"/>
                <w:sz w:val="21"/>
                <w:szCs w:val="21"/>
                <w:highlight w:val="none"/>
                <w:u w:val="none"/>
                <w:lang w:eastAsia="zh-CN"/>
              </w:rPr>
              <w:t>。</w:t>
            </w:r>
          </w:p>
        </w:tc>
      </w:tr>
    </w:tbl>
    <w:p w14:paraId="012AD039">
      <w:pPr>
        <w:bidi w:val="0"/>
        <w:jc w:val="center"/>
        <w:rPr>
          <w:rFonts w:hint="eastAsia" w:ascii="仿宋" w:hAnsi="仿宋" w:eastAsia="仿宋" w:cs="仿宋"/>
          <w:b/>
          <w:bCs/>
          <w:sz w:val="28"/>
          <w:szCs w:val="28"/>
        </w:rPr>
      </w:pPr>
    </w:p>
    <w:p w14:paraId="4C2443A4">
      <w:pPr>
        <w:bidi w:val="0"/>
        <w:jc w:val="center"/>
        <w:rPr>
          <w:rFonts w:hint="eastAsia" w:ascii="仿宋" w:hAnsi="仿宋" w:eastAsia="仿宋" w:cs="仿宋"/>
          <w:b/>
          <w:bCs/>
          <w:sz w:val="28"/>
          <w:szCs w:val="28"/>
        </w:rPr>
      </w:pPr>
    </w:p>
    <w:p w14:paraId="4C75BD68">
      <w:pPr>
        <w:bidi w:val="0"/>
        <w:jc w:val="center"/>
        <w:rPr>
          <w:rFonts w:hint="eastAsia" w:ascii="仿宋" w:hAnsi="仿宋" w:eastAsia="仿宋" w:cs="仿宋"/>
          <w:b/>
          <w:bCs/>
          <w:sz w:val="28"/>
          <w:szCs w:val="28"/>
        </w:rPr>
      </w:pPr>
    </w:p>
    <w:p w14:paraId="69D19BB4">
      <w:pPr>
        <w:bidi w:val="0"/>
        <w:jc w:val="center"/>
        <w:rPr>
          <w:rFonts w:hint="eastAsia" w:ascii="仿宋" w:hAnsi="仿宋" w:eastAsia="仿宋" w:cs="仿宋"/>
          <w:b/>
          <w:bCs/>
          <w:sz w:val="28"/>
          <w:szCs w:val="28"/>
        </w:rPr>
      </w:pPr>
    </w:p>
    <w:p w14:paraId="01663898">
      <w:pPr>
        <w:bidi w:val="0"/>
        <w:jc w:val="center"/>
        <w:rPr>
          <w:rFonts w:hint="eastAsia" w:ascii="仿宋" w:hAnsi="仿宋" w:eastAsia="仿宋" w:cs="仿宋"/>
          <w:b/>
          <w:bCs/>
          <w:sz w:val="28"/>
          <w:szCs w:val="28"/>
        </w:rPr>
      </w:pPr>
    </w:p>
    <w:p w14:paraId="057B4C22">
      <w:pPr>
        <w:bidi w:val="0"/>
        <w:jc w:val="center"/>
        <w:rPr>
          <w:rFonts w:hint="eastAsia" w:ascii="仿宋" w:hAnsi="仿宋" w:eastAsia="仿宋" w:cs="仿宋"/>
          <w:b/>
          <w:bCs/>
          <w:sz w:val="28"/>
          <w:szCs w:val="28"/>
        </w:rPr>
      </w:pPr>
    </w:p>
    <w:p w14:paraId="164CCFB1">
      <w:pPr>
        <w:bidi w:val="0"/>
        <w:jc w:val="center"/>
        <w:rPr>
          <w:rFonts w:hint="eastAsia" w:ascii="仿宋" w:hAnsi="仿宋" w:eastAsia="仿宋" w:cs="仿宋"/>
          <w:b/>
          <w:bCs/>
          <w:sz w:val="28"/>
          <w:szCs w:val="28"/>
        </w:rPr>
      </w:pPr>
    </w:p>
    <w:p w14:paraId="42B93B96">
      <w:pPr>
        <w:bidi w:val="0"/>
        <w:jc w:val="center"/>
        <w:rPr>
          <w:rFonts w:hint="eastAsia" w:ascii="仿宋" w:hAnsi="仿宋" w:eastAsia="仿宋" w:cs="仿宋"/>
          <w:b/>
          <w:bCs/>
          <w:sz w:val="28"/>
          <w:szCs w:val="28"/>
        </w:rPr>
      </w:pPr>
    </w:p>
    <w:p w14:paraId="24534372">
      <w:pPr>
        <w:bidi w:val="0"/>
        <w:jc w:val="both"/>
        <w:outlineLvl w:val="0"/>
        <w:rPr>
          <w:rFonts w:hint="eastAsia" w:ascii="仿宋" w:hAnsi="仿宋" w:eastAsia="仿宋" w:cs="仿宋"/>
          <w:b/>
          <w:bCs/>
          <w:sz w:val="28"/>
          <w:szCs w:val="28"/>
        </w:rPr>
      </w:pPr>
      <w:bookmarkStart w:id="43" w:name="_Toc11111"/>
    </w:p>
    <w:p w14:paraId="13A2875C">
      <w:pPr>
        <w:bidi w:val="0"/>
        <w:jc w:val="center"/>
        <w:outlineLvl w:val="0"/>
        <w:rPr>
          <w:rFonts w:hint="eastAsia" w:ascii="仿宋" w:hAnsi="仿宋" w:eastAsia="仿宋" w:cs="仿宋"/>
          <w:b/>
          <w:bCs/>
          <w:sz w:val="28"/>
          <w:szCs w:val="28"/>
        </w:rPr>
      </w:pPr>
    </w:p>
    <w:p w14:paraId="0A506E5D">
      <w:pPr>
        <w:bidi w:val="0"/>
        <w:jc w:val="center"/>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37"/>
      <w:bookmarkStart w:id="44" w:name="_Toc99549957"/>
      <w:bookmarkStart w:id="45" w:name="_Toc15940"/>
      <w:bookmarkStart w:id="46" w:name="_Toc54943417"/>
      <w:r>
        <w:rPr>
          <w:rFonts w:hint="eastAsia" w:ascii="仿宋" w:hAnsi="仿宋" w:eastAsia="仿宋" w:cs="仿宋"/>
          <w:b/>
          <w:bCs/>
          <w:sz w:val="28"/>
          <w:szCs w:val="28"/>
          <w:lang w:val="en-US" w:eastAsia="zh-CN"/>
        </w:rPr>
        <w:t>书</w:t>
      </w:r>
      <w:bookmarkEnd w:id="43"/>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2"/>
        <w:rPr>
          <w:rFonts w:hint="eastAsia"/>
          <w:color w:val="FF0000"/>
          <w:highlight w:val="none"/>
        </w:rPr>
      </w:pPr>
    </w:p>
    <w:p w14:paraId="186CF72B">
      <w:pPr>
        <w:bidi w:val="0"/>
        <w:outlineLvl w:val="0"/>
        <w:rPr>
          <w:rFonts w:hint="eastAsia" w:ascii="仿宋" w:hAnsi="仿宋" w:eastAsia="仿宋" w:cs="仿宋"/>
          <w:b/>
          <w:bCs/>
          <w:color w:val="FF0000"/>
          <w:sz w:val="28"/>
          <w:szCs w:val="28"/>
          <w:highlight w:val="none"/>
        </w:rPr>
      </w:pPr>
      <w:bookmarkStart w:id="47" w:name="_Toc15527"/>
      <w:bookmarkStart w:id="48" w:name="_Toc28430"/>
      <w:r>
        <w:rPr>
          <w:rFonts w:hint="eastAsia" w:ascii="仿宋" w:hAnsi="仿宋" w:eastAsia="仿宋" w:cs="仿宋"/>
          <w:b/>
          <w:bCs/>
          <w:color w:val="FF0000"/>
          <w:sz w:val="24"/>
          <w:szCs w:val="24"/>
          <w:highlight w:val="none"/>
          <w:lang w:val="en-US" w:eastAsia="zh-CN"/>
        </w:rPr>
        <w:t>一、</w:t>
      </w:r>
      <w:bookmarkEnd w:id="44"/>
      <w:bookmarkEnd w:id="45"/>
      <w:bookmarkEnd w:id="46"/>
      <w:bookmarkStart w:id="49" w:name="_Toc97624961"/>
      <w:bookmarkStart w:id="50" w:name="_Toc54717590"/>
      <w:bookmarkStart w:id="51"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bookmarkEnd w:id="47"/>
      <w:bookmarkEnd w:id="48"/>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3655"/>
        <w:gridCol w:w="706"/>
        <w:gridCol w:w="718"/>
        <w:gridCol w:w="1785"/>
        <w:gridCol w:w="1108"/>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21"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2144"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414"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421"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1047"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eastAsia="zh-CN"/>
              </w:rPr>
            </w:pPr>
            <w:r>
              <w:rPr>
                <w:rFonts w:hint="eastAsia" w:ascii="仿宋" w:hAnsi="仿宋" w:eastAsia="仿宋" w:cs="仿宋"/>
                <w:b/>
                <w:bCs/>
                <w:color w:val="FF0000"/>
                <w:sz w:val="24"/>
                <w:highlight w:val="none"/>
                <w:lang w:val="en-US" w:eastAsia="zh-CN"/>
              </w:rPr>
              <w:t>预算金额</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（元）</w:t>
            </w:r>
          </w:p>
        </w:tc>
        <w:tc>
          <w:tcPr>
            <w:tcW w:w="650"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备注</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21"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2144" w:type="pct"/>
            <w:vAlign w:val="center"/>
          </w:tcPr>
          <w:p w14:paraId="19DC34BE">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lang w:eastAsia="zh-CN"/>
              </w:rPr>
            </w:pPr>
            <w:r>
              <w:rPr>
                <w:rFonts w:hint="eastAsia" w:ascii="仿宋" w:hAnsi="仿宋" w:eastAsia="仿宋" w:cs="仿宋"/>
                <w:bCs/>
                <w:color w:val="FF0000"/>
                <w:sz w:val="24"/>
                <w:highlight w:val="none"/>
                <w:lang w:val="en-US" w:eastAsia="zh-CN"/>
              </w:rPr>
              <w:t>康复医学科WIFI建设项目</w:t>
            </w:r>
          </w:p>
        </w:tc>
        <w:tc>
          <w:tcPr>
            <w:tcW w:w="414" w:type="pct"/>
            <w:vAlign w:val="center"/>
          </w:tcPr>
          <w:p w14:paraId="17C3BB30">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仿宋" w:hAnsi="仿宋" w:eastAsia="仿宋" w:cs="仿宋"/>
                <w:bCs/>
                <w:color w:val="FF0000"/>
                <w:sz w:val="24"/>
                <w:highlight w:val="none"/>
              </w:rPr>
              <w:t>1</w:t>
            </w:r>
          </w:p>
        </w:tc>
        <w:tc>
          <w:tcPr>
            <w:tcW w:w="421" w:type="pct"/>
            <w:vAlign w:val="center"/>
          </w:tcPr>
          <w:p w14:paraId="158A8075">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仿宋" w:hAnsi="仿宋" w:eastAsia="仿宋" w:cs="仿宋"/>
                <w:bCs/>
                <w:color w:val="FF0000"/>
                <w:sz w:val="24"/>
                <w:highlight w:val="none"/>
              </w:rPr>
              <w:t>项</w:t>
            </w:r>
          </w:p>
        </w:tc>
        <w:tc>
          <w:tcPr>
            <w:tcW w:w="1047" w:type="pct"/>
            <w:vAlign w:val="center"/>
          </w:tcPr>
          <w:p w14:paraId="68571145">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lang w:eastAsia="zh-CN"/>
              </w:rPr>
            </w:pPr>
            <w:r>
              <w:rPr>
                <w:rFonts w:hint="eastAsia" w:ascii="仿宋" w:hAnsi="仿宋" w:eastAsia="仿宋" w:cs="仿宋"/>
                <w:bCs/>
                <w:color w:val="FF0000"/>
                <w:sz w:val="24"/>
                <w:highlight w:val="none"/>
                <w:lang w:val="en-US" w:eastAsia="zh-CN"/>
              </w:rPr>
              <w:t>70</w:t>
            </w:r>
            <w:r>
              <w:rPr>
                <w:rFonts w:hint="eastAsia" w:ascii="仿宋" w:hAnsi="仿宋" w:eastAsia="仿宋" w:cs="仿宋"/>
                <w:bCs/>
                <w:color w:val="FF0000"/>
                <w:sz w:val="24"/>
                <w:highlight w:val="none"/>
              </w:rPr>
              <w:t>,000.00</w:t>
            </w:r>
          </w:p>
        </w:tc>
        <w:tc>
          <w:tcPr>
            <w:tcW w:w="650" w:type="pct"/>
            <w:vAlign w:val="center"/>
          </w:tcPr>
          <w:p w14:paraId="2F48A6E9">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p>
        </w:tc>
      </w:tr>
      <w:bookmarkEnd w:id="49"/>
      <w:bookmarkEnd w:id="50"/>
      <w:bookmarkEnd w:id="51"/>
    </w:tbl>
    <w:p w14:paraId="6D5CCEF4">
      <w:pPr>
        <w:numPr>
          <w:ilvl w:val="0"/>
          <w:numId w:val="14"/>
        </w:numPr>
        <w:bidi w:val="0"/>
        <w:spacing w:line="240" w:lineRule="auto"/>
        <w:outlineLvl w:val="0"/>
        <w:rPr>
          <w:rFonts w:hint="eastAsia" w:ascii="仿宋" w:hAnsi="仿宋" w:eastAsia="仿宋" w:cs="仿宋"/>
          <w:b/>
          <w:bCs/>
          <w:color w:val="FF0000"/>
          <w:sz w:val="24"/>
          <w:szCs w:val="24"/>
          <w:highlight w:val="none"/>
          <w:lang w:val="en-US" w:eastAsia="zh-CN"/>
        </w:rPr>
      </w:pPr>
      <w:bookmarkStart w:id="52" w:name="_Toc11228"/>
      <w:bookmarkStart w:id="53" w:name="_Toc31219"/>
      <w:r>
        <w:rPr>
          <w:rFonts w:hint="eastAsia" w:ascii="仿宋" w:hAnsi="仿宋" w:eastAsia="仿宋" w:cs="仿宋"/>
          <w:b/>
          <w:bCs/>
          <w:color w:val="FF0000"/>
          <w:sz w:val="24"/>
          <w:szCs w:val="24"/>
          <w:highlight w:val="none"/>
          <w:lang w:val="en-US" w:eastAsia="zh-CN"/>
        </w:rPr>
        <w:t>项目概况</w:t>
      </w:r>
      <w:bookmarkEnd w:id="52"/>
      <w:bookmarkEnd w:id="53"/>
    </w:p>
    <w:p w14:paraId="0DE4BC3D">
      <w:pPr>
        <w:ind w:left="0" w:leftChars="0" w:firstLine="420" w:firstLineChars="175"/>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FF0000"/>
          <w:kern w:val="2"/>
          <w:sz w:val="24"/>
          <w:szCs w:val="24"/>
          <w:highlight w:val="none"/>
          <w:lang w:val="en-US" w:eastAsia="zh-CN" w:bidi="ar-SA"/>
        </w:rPr>
        <w:t>为深圳市</w:t>
      </w:r>
      <w:r>
        <w:rPr>
          <w:rFonts w:hint="default" w:ascii="仿宋" w:hAnsi="仿宋" w:eastAsia="仿宋" w:cs="仿宋"/>
          <w:color w:val="FF0000"/>
          <w:kern w:val="2"/>
          <w:sz w:val="24"/>
          <w:szCs w:val="24"/>
          <w:highlight w:val="none"/>
          <w:lang w:val="en-US" w:eastAsia="zh-CN" w:bidi="ar-SA"/>
        </w:rPr>
        <w:t>福田区第二人民医院</w:t>
      </w:r>
      <w:r>
        <w:rPr>
          <w:rFonts w:hint="eastAsia" w:ascii="仿宋" w:hAnsi="仿宋" w:eastAsia="仿宋" w:cs="仿宋"/>
          <w:color w:val="FF0000"/>
          <w:kern w:val="2"/>
          <w:sz w:val="24"/>
          <w:szCs w:val="24"/>
          <w:highlight w:val="none"/>
          <w:lang w:val="en-US" w:eastAsia="zh-CN" w:bidi="ar-SA"/>
        </w:rPr>
        <w:t>龙尾院区5、8、9三层楼购买无线WiFi覆盖服务，合计33个AP及配套网络设备、上网线路。</w:t>
      </w:r>
    </w:p>
    <w:p w14:paraId="66046B3B">
      <w:pPr>
        <w:numPr>
          <w:ilvl w:val="0"/>
          <w:numId w:val="14"/>
        </w:numPr>
        <w:bidi w:val="0"/>
        <w:spacing w:line="240" w:lineRule="auto"/>
        <w:outlineLvl w:val="0"/>
        <w:rPr>
          <w:rFonts w:hint="eastAsia" w:ascii="仿宋" w:hAnsi="仿宋" w:eastAsia="仿宋" w:cs="仿宋"/>
          <w:b/>
          <w:bCs/>
          <w:color w:val="FF0000"/>
          <w:sz w:val="24"/>
          <w:szCs w:val="24"/>
          <w:highlight w:val="none"/>
          <w:lang w:val="en-US" w:eastAsia="zh-CN"/>
        </w:rPr>
      </w:pPr>
      <w:bookmarkStart w:id="54" w:name="_Toc25106"/>
      <w:bookmarkStart w:id="55" w:name="_Toc12003"/>
      <w:r>
        <w:rPr>
          <w:rFonts w:hint="eastAsia" w:ascii="仿宋" w:hAnsi="仿宋" w:eastAsia="仿宋" w:cs="仿宋"/>
          <w:b/>
          <w:bCs/>
          <w:color w:val="FF0000"/>
          <w:sz w:val="24"/>
          <w:szCs w:val="24"/>
          <w:highlight w:val="none"/>
          <w:lang w:val="en-US" w:eastAsia="zh-CN"/>
        </w:rPr>
        <w:t>投标人资格要求</w:t>
      </w:r>
      <w:bookmarkEnd w:id="54"/>
      <w:bookmarkEnd w:id="55"/>
    </w:p>
    <w:p w14:paraId="18048543">
      <w:pPr>
        <w:ind w:left="0" w:leftChars="0" w:firstLine="420" w:firstLineChars="175"/>
        <w:rPr>
          <w:rFonts w:hint="eastAsia" w:ascii="仿宋" w:hAnsi="仿宋" w:eastAsia="仿宋" w:cs="仿宋"/>
          <w:color w:val="FF0000"/>
          <w:kern w:val="2"/>
          <w:sz w:val="24"/>
          <w:szCs w:val="24"/>
          <w:highlight w:val="none"/>
          <w:lang w:val="zh-CN" w:eastAsia="zh-CN" w:bidi="ar-SA"/>
        </w:rPr>
      </w:pPr>
      <w:bookmarkStart w:id="56" w:name="_Toc11742"/>
      <w:bookmarkStart w:id="57" w:name="_Toc27944"/>
      <w:r>
        <w:rPr>
          <w:rFonts w:hint="eastAsia" w:ascii="仿宋" w:hAnsi="仿宋" w:eastAsia="仿宋" w:cs="仿宋"/>
          <w:color w:val="FF0000"/>
          <w:kern w:val="2"/>
          <w:sz w:val="24"/>
          <w:szCs w:val="24"/>
          <w:highlight w:val="none"/>
          <w:lang w:val="zh-CN" w:eastAsia="zh-CN" w:bidi="ar-SA"/>
        </w:rPr>
        <w:t>1.投标人须是在中华人民共和国境内注册，具有独立法人资格或是具有独立承担民事责任的能力的其它组织（提供营业执照或事业单位法人证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kern w:val="2"/>
          <w:sz w:val="24"/>
          <w:szCs w:val="24"/>
          <w:highlight w:val="none"/>
          <w:lang w:val="en-US" w:eastAsia="zh-CN" w:bidi="ar-SA"/>
        </w:rPr>
        <w:t>或其他证明材料复印件加盖公章</w:t>
      </w:r>
      <w:r>
        <w:rPr>
          <w:rFonts w:hint="eastAsia" w:ascii="仿宋" w:hAnsi="仿宋" w:eastAsia="仿宋" w:cs="仿宋"/>
          <w:color w:val="FF0000"/>
          <w:kern w:val="2"/>
          <w:sz w:val="24"/>
          <w:szCs w:val="24"/>
          <w:highlight w:val="none"/>
          <w:lang w:val="zh-CN" w:eastAsia="zh-CN" w:bidi="ar-SA"/>
        </w:rPr>
        <w:t>，原件备查）；总公司或者分公司只允许一家投标，不允许同时参与本项目投标，以分公司名义参与投标的，须提供总公司出具的愿为其参与本项目投标的行为以及履约等行为承担民事责任的加盖总公司公章的授权函，以及提供总、分公司的营业执照扫描件；</w:t>
      </w:r>
    </w:p>
    <w:p w14:paraId="42783D08">
      <w:pPr>
        <w:ind w:left="0" w:leftChars="0" w:firstLine="420" w:firstLineChars="175"/>
        <w:rPr>
          <w:rFonts w:hint="eastAsia" w:ascii="仿宋" w:hAnsi="仿宋" w:eastAsia="仿宋" w:cs="仿宋"/>
          <w:color w:val="FF0000"/>
          <w:kern w:val="2"/>
          <w:sz w:val="24"/>
          <w:szCs w:val="24"/>
          <w:highlight w:val="none"/>
          <w:lang w:val="zh-CN" w:eastAsia="zh-CN" w:bidi="ar-SA"/>
        </w:rPr>
      </w:pPr>
      <w:r>
        <w:rPr>
          <w:rFonts w:hint="eastAsia" w:ascii="仿宋" w:hAnsi="仿宋" w:eastAsia="仿宋" w:cs="仿宋"/>
          <w:color w:val="FF0000"/>
          <w:kern w:val="2"/>
          <w:sz w:val="24"/>
          <w:szCs w:val="24"/>
          <w:highlight w:val="none"/>
          <w:lang w:val="zh-CN" w:eastAsia="zh-CN" w:bidi="ar-SA"/>
        </w:rPr>
        <w:t>2.投标人满足《中华人民共和国政府采购法》第二十二条规定的条件（由供应商在《政府采购投标及履约承诺函》中作出声明</w:t>
      </w:r>
      <w:r>
        <w:rPr>
          <w:rFonts w:hint="eastAsia" w:ascii="仿宋" w:hAnsi="仿宋" w:eastAsia="仿宋" w:cs="仿宋"/>
          <w:color w:val="FF0000"/>
          <w:kern w:val="2"/>
          <w:sz w:val="24"/>
          <w:szCs w:val="24"/>
          <w:highlight w:val="none"/>
          <w:lang w:val="en-US" w:eastAsia="zh-CN" w:bidi="ar-SA"/>
        </w:rPr>
        <w:t>，加盖公章</w:t>
      </w:r>
      <w:r>
        <w:rPr>
          <w:rFonts w:hint="eastAsia" w:ascii="仿宋" w:hAnsi="仿宋" w:eastAsia="仿宋" w:cs="仿宋"/>
          <w:color w:val="FF0000"/>
          <w:kern w:val="2"/>
          <w:sz w:val="24"/>
          <w:szCs w:val="24"/>
          <w:highlight w:val="none"/>
          <w:lang w:val="zh-CN" w:eastAsia="zh-CN" w:bidi="ar-SA"/>
        </w:rPr>
        <w:t>）；</w:t>
      </w:r>
    </w:p>
    <w:p w14:paraId="3C295BD3">
      <w:pPr>
        <w:ind w:left="0" w:leftChars="0" w:firstLine="420" w:firstLineChars="175"/>
        <w:rPr>
          <w:rFonts w:hint="eastAsia" w:ascii="仿宋" w:hAnsi="仿宋" w:eastAsia="仿宋" w:cs="仿宋"/>
          <w:color w:val="FF0000"/>
          <w:kern w:val="2"/>
          <w:sz w:val="24"/>
          <w:szCs w:val="24"/>
          <w:highlight w:val="none"/>
          <w:lang w:val="zh-CN" w:eastAsia="zh-CN" w:bidi="ar-SA"/>
        </w:rPr>
      </w:pPr>
      <w:r>
        <w:rPr>
          <w:rFonts w:hint="eastAsia" w:ascii="仿宋" w:hAnsi="仿宋" w:eastAsia="仿宋" w:cs="仿宋"/>
          <w:color w:val="FF0000"/>
          <w:kern w:val="2"/>
          <w:sz w:val="24"/>
          <w:szCs w:val="24"/>
          <w:highlight w:val="none"/>
          <w:lang w:val="zh-CN" w:eastAsia="zh-CN" w:bidi="ar-SA"/>
        </w:rPr>
        <w:t>3.参与本项目政府采购活动时不存在被有关部门禁止参与政府采购活动且在有效期内的情况；参与本项目投标前三年内，在经营活动中没有重大违法记录。（由供应商在《政府采购投标及履约承诺函》中作出声明</w:t>
      </w:r>
      <w:r>
        <w:rPr>
          <w:rFonts w:hint="eastAsia" w:ascii="仿宋" w:hAnsi="仿宋" w:eastAsia="仿宋" w:cs="仿宋"/>
          <w:color w:val="FF0000"/>
          <w:kern w:val="2"/>
          <w:sz w:val="24"/>
          <w:szCs w:val="24"/>
          <w:highlight w:val="none"/>
          <w:lang w:val="en-US" w:eastAsia="zh-CN" w:bidi="ar-SA"/>
        </w:rPr>
        <w:t>，加盖公章</w:t>
      </w:r>
      <w:r>
        <w:rPr>
          <w:rFonts w:hint="eastAsia" w:ascii="仿宋" w:hAnsi="仿宋" w:eastAsia="仿宋" w:cs="仿宋"/>
          <w:color w:val="FF0000"/>
          <w:kern w:val="2"/>
          <w:sz w:val="24"/>
          <w:szCs w:val="24"/>
          <w:highlight w:val="none"/>
          <w:lang w:val="zh-CN" w:eastAsia="zh-CN" w:bidi="ar-SA"/>
        </w:rPr>
        <w:t>）；</w:t>
      </w:r>
    </w:p>
    <w:p w14:paraId="1A885AA5">
      <w:pPr>
        <w:ind w:left="0" w:leftChars="0" w:firstLine="420" w:firstLineChars="175"/>
        <w:rPr>
          <w:rFonts w:hint="eastAsia" w:ascii="仿宋" w:hAnsi="仿宋" w:eastAsia="仿宋" w:cs="仿宋"/>
          <w:color w:val="FF0000"/>
          <w:kern w:val="2"/>
          <w:sz w:val="24"/>
          <w:szCs w:val="24"/>
          <w:highlight w:val="none"/>
          <w:lang w:val="zh-CN" w:eastAsia="zh-CN" w:bidi="ar-SA"/>
        </w:rPr>
      </w:pPr>
      <w:r>
        <w:rPr>
          <w:rFonts w:hint="eastAsia" w:ascii="仿宋" w:hAnsi="仿宋" w:eastAsia="仿宋" w:cs="仿宋"/>
          <w:color w:val="FF0000"/>
          <w:kern w:val="2"/>
          <w:sz w:val="24"/>
          <w:szCs w:val="24"/>
          <w:highlight w:val="none"/>
          <w:lang w:val="en-US" w:eastAsia="zh-CN" w:bidi="ar-SA"/>
        </w:rPr>
        <w:t>4</w:t>
      </w:r>
      <w:r>
        <w:rPr>
          <w:rFonts w:hint="eastAsia" w:ascii="仿宋" w:hAnsi="仿宋" w:eastAsia="仿宋" w:cs="仿宋"/>
          <w:color w:val="FF0000"/>
          <w:kern w:val="2"/>
          <w:sz w:val="24"/>
          <w:szCs w:val="24"/>
          <w:highlight w:val="none"/>
          <w:lang w:val="zh-CN" w:eastAsia="zh-CN" w:bidi="ar-SA"/>
        </w:rPr>
        <w:t>.</w:t>
      </w:r>
      <w:r>
        <w:rPr>
          <w:rFonts w:hint="eastAsia" w:ascii="仿宋" w:hAnsi="仿宋" w:eastAsia="仿宋" w:cs="仿宋"/>
          <w:color w:val="FF0000"/>
          <w:kern w:val="2"/>
          <w:sz w:val="24"/>
          <w:szCs w:val="24"/>
          <w:highlight w:val="none"/>
          <w:lang w:val="en-US" w:eastAsia="zh-CN" w:bidi="ar-SA"/>
        </w:rPr>
        <w:t>未被列入失信被执行人、重大税收违法失信主体、政府采购严重违法失信行为记录名单</w:t>
      </w:r>
      <w:r>
        <w:rPr>
          <w:rFonts w:hint="eastAsia" w:ascii="仿宋" w:hAnsi="仿宋" w:eastAsia="仿宋" w:cs="仿宋"/>
          <w:color w:val="FF0000"/>
          <w:kern w:val="2"/>
          <w:sz w:val="24"/>
          <w:szCs w:val="24"/>
          <w:highlight w:val="none"/>
          <w:lang w:val="zh-CN" w:eastAsia="zh-CN" w:bidi="ar-SA"/>
        </w:rPr>
        <w:t>；不存在《深圳市财政局政府采购供应商信用信息管理办法》（深财规〔2023〕3 号）列明的严重违法失信行为（由供应商在《政府采购投标及履约承诺函》中作出声明）；</w:t>
      </w:r>
    </w:p>
    <w:p w14:paraId="4874DFFC">
      <w:pPr>
        <w:ind w:left="0" w:leftChars="0" w:firstLine="420" w:firstLineChars="175"/>
        <w:rPr>
          <w:rFonts w:hint="eastAsia" w:ascii="仿宋" w:hAnsi="仿宋" w:eastAsia="仿宋" w:cs="仿宋"/>
          <w:color w:val="FF0000"/>
          <w:kern w:val="2"/>
          <w:sz w:val="24"/>
          <w:szCs w:val="24"/>
          <w:highlight w:val="none"/>
          <w:lang w:val="zh-CN" w:eastAsia="zh-CN" w:bidi="ar-SA"/>
        </w:rPr>
      </w:pPr>
      <w:r>
        <w:rPr>
          <w:rFonts w:hint="eastAsia" w:ascii="仿宋" w:hAnsi="仿宋" w:eastAsia="仿宋" w:cs="仿宋"/>
          <w:color w:val="FF0000"/>
          <w:kern w:val="2"/>
          <w:sz w:val="24"/>
          <w:szCs w:val="24"/>
          <w:highlight w:val="none"/>
          <w:lang w:val="en-US" w:eastAsia="zh-CN" w:bidi="ar-SA"/>
        </w:rPr>
        <w:t>5</w:t>
      </w:r>
      <w:r>
        <w:rPr>
          <w:rFonts w:hint="eastAsia" w:ascii="仿宋" w:hAnsi="仿宋" w:eastAsia="仿宋" w:cs="仿宋"/>
          <w:color w:val="FF0000"/>
          <w:kern w:val="2"/>
          <w:sz w:val="24"/>
          <w:szCs w:val="24"/>
          <w:highlight w:val="none"/>
          <w:lang w:val="zh-CN" w:eastAsia="zh-CN" w:bidi="ar-SA"/>
        </w:rPr>
        <w:t>.本项目不接受联合体投标，不允许转包分包（由供应商在《政府采购投标及履约承诺函》中作出声明）。</w:t>
      </w:r>
    </w:p>
    <w:p w14:paraId="28469D52">
      <w:pPr>
        <w:ind w:left="0" w:leftChars="0" w:firstLine="420" w:firstLineChars="175"/>
        <w:rPr>
          <w:rFonts w:hint="eastAsia" w:ascii="仿宋" w:hAnsi="仿宋" w:eastAsia="仿宋" w:cs="仿宋"/>
          <w:color w:val="FF0000"/>
          <w:kern w:val="2"/>
          <w:sz w:val="24"/>
          <w:szCs w:val="24"/>
          <w:highlight w:val="none"/>
          <w:lang w:val="zh-CN" w:eastAsia="zh-CN" w:bidi="ar-SA"/>
        </w:rPr>
      </w:pPr>
      <w:r>
        <w:rPr>
          <w:rFonts w:hint="eastAsia" w:ascii="仿宋" w:hAnsi="仿宋" w:eastAsia="仿宋" w:cs="仿宋"/>
          <w:color w:val="FF0000"/>
          <w:kern w:val="2"/>
          <w:sz w:val="24"/>
          <w:szCs w:val="24"/>
          <w:highlight w:val="none"/>
          <w:lang w:val="en-US" w:eastAsia="zh-CN" w:bidi="ar-SA"/>
        </w:rPr>
        <w:t>6</w:t>
      </w:r>
      <w:r>
        <w:rPr>
          <w:rFonts w:hint="eastAsia" w:ascii="仿宋" w:hAnsi="仿宋" w:eastAsia="仿宋" w:cs="仿宋"/>
          <w:color w:val="FF0000"/>
          <w:kern w:val="2"/>
          <w:sz w:val="24"/>
          <w:szCs w:val="24"/>
          <w:highlight w:val="none"/>
          <w:lang w:val="zh-CN" w:eastAsia="zh-CN" w:bidi="ar-SA"/>
        </w:rPr>
        <w:t>.除单一来源采购，为采购项目提供整体设计、规范编制或者项目管理、监理、检测等服务的供应商，不得再参加该采购项目的其他采购活动（由供应商在《政府采购投标及履约承诺函》中作出声明）。</w:t>
      </w:r>
    </w:p>
    <w:p w14:paraId="0556430B">
      <w:pPr>
        <w:ind w:left="0" w:leftChars="0" w:firstLine="420" w:firstLineChars="175"/>
        <w:rPr>
          <w:rFonts w:hint="eastAsia" w:ascii="仿宋" w:hAnsi="仿宋" w:eastAsia="仿宋" w:cs="仿宋"/>
          <w:kern w:val="2"/>
          <w:sz w:val="24"/>
          <w:szCs w:val="24"/>
          <w:highlight w:val="none"/>
          <w:lang w:val="en-US" w:eastAsia="zh-CN" w:bidi="ar-SA"/>
        </w:rPr>
      </w:pPr>
      <w:r>
        <w:rPr>
          <w:rFonts w:hint="eastAsia" w:ascii="仿宋" w:hAnsi="仿宋" w:eastAsia="仿宋" w:cs="仿宋"/>
          <w:color w:val="FF0000"/>
          <w:kern w:val="2"/>
          <w:sz w:val="24"/>
          <w:szCs w:val="24"/>
          <w:highlight w:val="none"/>
          <w:lang w:val="en-US" w:eastAsia="zh-CN" w:bidi="ar-SA"/>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3CD81F36">
      <w:pPr>
        <w:pStyle w:val="106"/>
        <w:numPr>
          <w:ilvl w:val="0"/>
          <w:numId w:val="0"/>
        </w:numPr>
        <w:ind w:left="0" w:leftChars="0" w:firstLine="0" w:firstLineChars="0"/>
        <w:outlineLvl w:val="0"/>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四、项目技术要求</w:t>
      </w:r>
      <w:bookmarkEnd w:id="56"/>
      <w:bookmarkEnd w:id="57"/>
    </w:p>
    <w:tbl>
      <w:tblPr>
        <w:tblStyle w:val="44"/>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728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21"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eastAsia="zh-CN"/>
              </w:rPr>
            </w:pPr>
            <w:bookmarkStart w:id="58" w:name="_Toc21855"/>
            <w:bookmarkStart w:id="59" w:name="_Toc99549959"/>
            <w:r>
              <w:rPr>
                <w:rFonts w:hint="eastAsia" w:ascii="仿宋" w:hAnsi="仿宋" w:eastAsia="仿宋" w:cs="仿宋"/>
                <w:b/>
                <w:bCs w:val="0"/>
                <w:color w:val="FF0000"/>
                <w:sz w:val="24"/>
                <w:szCs w:val="24"/>
                <w:highlight w:val="none"/>
                <w:lang w:val="en-US" w:eastAsia="zh-CN"/>
              </w:rPr>
              <w:t>内容</w:t>
            </w:r>
          </w:p>
        </w:tc>
        <w:tc>
          <w:tcPr>
            <w:tcW w:w="7281" w:type="dxa"/>
            <w:vAlign w:val="center"/>
          </w:tcPr>
          <w:p w14:paraId="3EE472BD">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招标技术要求</w:t>
            </w:r>
          </w:p>
        </w:tc>
      </w:tr>
      <w:tr w14:paraId="2702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Align w:val="center"/>
          </w:tcPr>
          <w:p w14:paraId="5035A36A">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r>
              <w:rPr>
                <w:rFonts w:hint="eastAsia" w:ascii="仿宋" w:hAnsi="仿宋" w:eastAsia="仿宋" w:cs="仿宋"/>
                <w:b/>
                <w:bCs w:val="0"/>
                <w:color w:val="FF0000"/>
                <w:kern w:val="2"/>
                <w:sz w:val="24"/>
                <w:szCs w:val="24"/>
                <w:highlight w:val="none"/>
                <w:lang w:val="en-US" w:eastAsia="zh-CN" w:bidi="ar-SA"/>
              </w:rPr>
              <w:t>无线局域网网络信号管理服务</w:t>
            </w:r>
          </w:p>
        </w:tc>
        <w:tc>
          <w:tcPr>
            <w:tcW w:w="7281" w:type="dxa"/>
            <w:vAlign w:val="center"/>
          </w:tcPr>
          <w:p w14:paraId="56BA6D49">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（1）覆盖指标</w:t>
            </w:r>
          </w:p>
          <w:p w14:paraId="730AECEE">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在目标覆盖区域内 90%以上的位置，接收信号电平≥-75dBm，其中，重点目标覆盖区域覆盖电平指标应为：95%以上的位置，接收信号电平≥-70dBm（根据具体覆盖需求可选用新技术，提升信号覆盖质量）。</w:t>
            </w:r>
          </w:p>
          <w:p w14:paraId="5F1DD08D">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（2）时延指标</w:t>
            </w:r>
          </w:p>
          <w:p w14:paraId="5C73820F">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在目标覆盖区域内，以 64 字节数据包对 AP 网关进行 Ping 测试，平均时延≤50ms。</w:t>
            </w:r>
          </w:p>
          <w:p w14:paraId="4467A1BC">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（3）丢包率指标</w:t>
            </w:r>
          </w:p>
          <w:p w14:paraId="13C6E86D">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在目标覆盖区域内，单用户接入 AP 进行局域网内测试时，Ping 丢包率≤3%。</w:t>
            </w:r>
          </w:p>
          <w:p w14:paraId="5C06E4E0">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（4）容量指标</w:t>
            </w:r>
          </w:p>
          <w:p w14:paraId="3F82BEB5">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 xml:space="preserve">在目标覆盖区内，工作在 2.4GHz 频段的单 AP 最大并发终端数不低于 30，工作在 2.4GHz 和 5.8GHz 双频段的单 AP 最大并发终端数不低于 50。 </w:t>
            </w:r>
          </w:p>
          <w:p w14:paraId="4BD178B5">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应综合考虑设备性能、用户分布、目标覆盖区域场景等因素，合理规划容量。针对人流密集、网络接入需求大的覆盖区域，应充分做好容量规划，启用 AP 负载均衡功能，保障用户体验</w:t>
            </w:r>
            <w:r>
              <w:rPr>
                <w:rFonts w:hint="eastAsia" w:ascii="仿宋" w:hAnsi="仿宋" w:eastAsia="仿宋" w:cs="仿宋"/>
                <w:color w:val="FF0000"/>
                <w:kern w:val="0"/>
                <w:sz w:val="24"/>
                <w:szCs w:val="24"/>
                <w:highlight w:val="none"/>
                <w:lang w:val="en-US" w:eastAsia="zh-CN" w:bidi="ar-SA"/>
              </w:rPr>
              <w:t>。</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0D4E1D05">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r>
              <w:rPr>
                <w:rFonts w:hint="eastAsia" w:ascii="仿宋" w:hAnsi="仿宋" w:eastAsia="仿宋" w:cs="仿宋"/>
                <w:b/>
                <w:bCs w:val="0"/>
                <w:color w:val="FF0000"/>
                <w:kern w:val="2"/>
                <w:sz w:val="24"/>
                <w:szCs w:val="24"/>
                <w:highlight w:val="none"/>
                <w:lang w:val="en-US" w:eastAsia="zh-CN" w:bidi="ar-SA"/>
              </w:rPr>
              <w:t>无线局域网网络信号覆盖服务</w:t>
            </w:r>
          </w:p>
        </w:tc>
        <w:tc>
          <w:tcPr>
            <w:tcW w:w="7281" w:type="dxa"/>
            <w:vAlign w:val="center"/>
          </w:tcPr>
          <w:p w14:paraId="49EAC0A8">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建设的 WLAN 网络应支持802.11b/g/n/ac/ax协议标准，应采用 2.4GHz 及 5GHz 频段部署。室内热点宜釆用室内放装型 AP 设备；室外热点宜釆用室外型 AP 设备（具备防水防尘等室外环境防护能力）。所使用的频率和设备等应符合原信息产业部《关于调整 2.4GHz 频段发射功率限值及有关问题的通知》(信部无〔2002〕353 号）和《关于使用 5.8GHz 频段频率事宜的通知》(信部无〔2002〕277 号〕以及工信部《关于发布 5150-5350 兆赫兹频段无线接入系统频率使用相关事宜的通知》（工信部无函〔2012〕620 号）的要求。</w:t>
            </w:r>
          </w:p>
        </w:tc>
      </w:tr>
      <w:tr w14:paraId="5A02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17A425A6">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bookmarkStart w:id="60" w:name="_Toc16718"/>
            <w:bookmarkStart w:id="61" w:name="_Toc20830"/>
            <w:r>
              <w:rPr>
                <w:rFonts w:hint="eastAsia" w:ascii="仿宋" w:hAnsi="仿宋" w:eastAsia="仿宋" w:cs="仿宋"/>
                <w:b/>
                <w:bCs w:val="0"/>
                <w:color w:val="FF0000"/>
                <w:kern w:val="2"/>
                <w:sz w:val="24"/>
                <w:szCs w:val="24"/>
                <w:highlight w:val="none"/>
                <w:lang w:val="en-US" w:eastAsia="zh-CN" w:bidi="ar-SA"/>
              </w:rPr>
              <w:t>网络信息交换服务</w:t>
            </w:r>
          </w:p>
        </w:tc>
        <w:tc>
          <w:tcPr>
            <w:tcW w:w="7281" w:type="dxa"/>
            <w:vAlign w:val="center"/>
          </w:tcPr>
          <w:p w14:paraId="4159537B">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对现有2套网络信息交换机提供服务，定期维护巡检。</w:t>
            </w:r>
          </w:p>
        </w:tc>
      </w:tr>
      <w:tr w14:paraId="070C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19660881">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r>
              <w:rPr>
                <w:rFonts w:hint="eastAsia" w:ascii="仿宋" w:hAnsi="仿宋" w:eastAsia="仿宋" w:cs="仿宋"/>
                <w:b/>
                <w:bCs w:val="0"/>
                <w:color w:val="FF0000"/>
                <w:kern w:val="2"/>
                <w:sz w:val="24"/>
                <w:szCs w:val="24"/>
                <w:highlight w:val="none"/>
                <w:lang w:val="en-US" w:eastAsia="zh-CN" w:bidi="ar-SA"/>
              </w:rPr>
              <w:t>路由技术服务</w:t>
            </w:r>
          </w:p>
        </w:tc>
        <w:tc>
          <w:tcPr>
            <w:tcW w:w="7281" w:type="dxa"/>
            <w:vAlign w:val="center"/>
          </w:tcPr>
          <w:p w14:paraId="5C1FE341">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对现有1套出口路由器提供服务，定期维护巡检。</w:t>
            </w:r>
          </w:p>
        </w:tc>
      </w:tr>
      <w:tr w14:paraId="138D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07BEDC06">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r>
              <w:rPr>
                <w:rFonts w:hint="eastAsia" w:ascii="仿宋" w:hAnsi="仿宋" w:eastAsia="仿宋" w:cs="仿宋"/>
                <w:b/>
                <w:bCs w:val="0"/>
                <w:color w:val="FF0000"/>
                <w:kern w:val="2"/>
                <w:sz w:val="24"/>
                <w:szCs w:val="24"/>
                <w:highlight w:val="none"/>
                <w:lang w:val="en-US" w:eastAsia="zh-CN" w:bidi="ar-SA"/>
              </w:rPr>
              <w:t>上网线路</w:t>
            </w:r>
          </w:p>
        </w:tc>
        <w:tc>
          <w:tcPr>
            <w:tcW w:w="7281" w:type="dxa"/>
            <w:vAlign w:val="center"/>
          </w:tcPr>
          <w:p w14:paraId="49534974">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提供一条WiFi上网专线，</w:t>
            </w:r>
          </w:p>
        </w:tc>
      </w:tr>
      <w:tr w14:paraId="6CCC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7A142169">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kern w:val="2"/>
                <w:sz w:val="24"/>
                <w:szCs w:val="24"/>
                <w:highlight w:val="none"/>
                <w:lang w:val="en-US" w:eastAsia="zh-CN" w:bidi="ar-SA"/>
              </w:rPr>
            </w:pPr>
            <w:r>
              <w:rPr>
                <w:rFonts w:hint="eastAsia" w:ascii="仿宋" w:hAnsi="仿宋" w:eastAsia="仿宋" w:cs="仿宋"/>
                <w:b/>
                <w:bCs w:val="0"/>
                <w:color w:val="FF0000"/>
                <w:kern w:val="2"/>
                <w:sz w:val="24"/>
                <w:szCs w:val="24"/>
                <w:highlight w:val="none"/>
                <w:lang w:val="en-US" w:eastAsia="zh-CN" w:bidi="ar-SA"/>
              </w:rPr>
              <w:t>项目负责人</w:t>
            </w:r>
          </w:p>
        </w:tc>
        <w:tc>
          <w:tcPr>
            <w:tcW w:w="7281" w:type="dxa"/>
            <w:vAlign w:val="center"/>
          </w:tcPr>
          <w:p w14:paraId="6FE01BD7">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指定专业项目负责人1名</w:t>
            </w:r>
          </w:p>
        </w:tc>
      </w:tr>
      <w:tr w14:paraId="24F8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521" w:type="dxa"/>
            <w:vAlign w:val="center"/>
          </w:tcPr>
          <w:p w14:paraId="5C509E8D">
            <w:pPr>
              <w:pStyle w:val="1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团队成员</w:t>
            </w:r>
          </w:p>
        </w:tc>
        <w:tc>
          <w:tcPr>
            <w:tcW w:w="7281" w:type="dxa"/>
            <w:vAlign w:val="center"/>
          </w:tcPr>
          <w:p w14:paraId="256A6771">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不低于3名团队成员保障项目的交付</w:t>
            </w:r>
          </w:p>
        </w:tc>
      </w:tr>
    </w:tbl>
    <w:p w14:paraId="6D477B49">
      <w:pPr>
        <w:widowControl w:val="0"/>
        <w:kinsoku/>
        <w:wordWrap/>
        <w:overflowPunct/>
        <w:topLinePunct w:val="0"/>
        <w:bidi w:val="0"/>
        <w:spacing w:line="240" w:lineRule="auto"/>
        <w:jc w:val="left"/>
        <w:textAlignment w:val="auto"/>
        <w:outlineLvl w:val="0"/>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58"/>
      <w:bookmarkEnd w:id="59"/>
      <w:bookmarkEnd w:id="60"/>
      <w:bookmarkEnd w:id="61"/>
    </w:p>
    <w:tbl>
      <w:tblPr>
        <w:tblStyle w:val="44"/>
        <w:tblW w:w="909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5"/>
        <w:gridCol w:w="7748"/>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345" w:type="dxa"/>
            <w:tcBorders>
              <w:right w:val="single" w:color="auto" w:sz="4" w:space="0"/>
            </w:tcBorders>
            <w:noWrap w:val="0"/>
            <w:vAlign w:val="top"/>
          </w:tcPr>
          <w:p w14:paraId="79FC094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FF0000"/>
                <w:sz w:val="21"/>
                <w:szCs w:val="21"/>
                <w:highlight w:val="none"/>
              </w:rPr>
            </w:pPr>
            <w:r>
              <w:rPr>
                <w:rFonts w:hint="eastAsia" w:ascii="宋体" w:hAnsi="宋体" w:eastAsia="宋体" w:cs="宋体"/>
                <w:b/>
                <w:bCs/>
                <w:color w:val="FF0000"/>
                <w:sz w:val="21"/>
                <w:szCs w:val="21"/>
                <w:highlight w:val="none"/>
                <w:lang w:eastAsia="zh-CN"/>
              </w:rPr>
              <w:t>内容</w:t>
            </w:r>
          </w:p>
        </w:tc>
        <w:tc>
          <w:tcPr>
            <w:tcW w:w="7748" w:type="dxa"/>
            <w:tcBorders>
              <w:left w:val="single" w:color="auto" w:sz="4" w:space="0"/>
            </w:tcBorders>
            <w:noWrap w:val="0"/>
            <w:vAlign w:val="top"/>
          </w:tcPr>
          <w:p w14:paraId="7060C7D5">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FF0000"/>
                <w:kern w:val="0"/>
                <w:sz w:val="21"/>
                <w:szCs w:val="21"/>
                <w:highlight w:val="none"/>
                <w:lang w:eastAsia="zh-CN"/>
              </w:rPr>
            </w:pPr>
            <w:r>
              <w:rPr>
                <w:rFonts w:hint="eastAsia" w:ascii="宋体" w:hAnsi="宋体" w:eastAsia="宋体" w:cs="宋体"/>
                <w:b/>
                <w:color w:val="FF0000"/>
                <w:kern w:val="0"/>
                <w:sz w:val="21"/>
                <w:szCs w:val="21"/>
                <w:highlight w:val="none"/>
                <w:lang w:eastAsia="zh-CN"/>
              </w:rPr>
              <w:t>招标商务</w:t>
            </w:r>
            <w:r>
              <w:rPr>
                <w:rFonts w:hint="eastAsia" w:ascii="宋体" w:hAnsi="宋体" w:eastAsia="宋体" w:cs="宋体"/>
                <w:b/>
                <w:color w:val="FF0000"/>
                <w:kern w:val="0"/>
                <w:sz w:val="21"/>
                <w:szCs w:val="21"/>
                <w:highlight w:val="none"/>
                <w:lang w:val="en-US" w:eastAsia="zh-CN"/>
              </w:rPr>
              <w:t>要求</w:t>
            </w:r>
          </w:p>
        </w:tc>
      </w:tr>
      <w:tr w14:paraId="124277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shd w:val="clear" w:color="auto" w:fill="auto"/>
            <w:noWrap w:val="0"/>
            <w:vAlign w:val="center"/>
          </w:tcPr>
          <w:p w14:paraId="24438DE1">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p w14:paraId="4504AAD1">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748" w:type="dxa"/>
            <w:shd w:val="clear" w:color="auto" w:fill="auto"/>
            <w:noWrap w:val="0"/>
            <w:vAlign w:val="center"/>
          </w:tcPr>
          <w:p w14:paraId="0473419C">
            <w:pPr>
              <w:pStyle w:val="2"/>
              <w:keepNext w:val="0"/>
              <w:keepLines w:val="0"/>
              <w:numPr>
                <w:ilvl w:val="0"/>
                <w:numId w:val="0"/>
              </w:numPr>
              <w:suppressLineNumbers w:val="0"/>
              <w:spacing w:before="0" w:beforeAutospacing="0" w:afterAutospacing="0"/>
              <w:ind w:left="0" w:leftChars="0" w:right="0" w:firstLine="0" w:firstLineChars="0"/>
              <w:jc w:val="left"/>
              <w:rPr>
                <w:rFonts w:hint="eastAsia" w:ascii="Times New Roman" w:hAnsi="Times New Roman" w:eastAsia="宋体" w:cs="Times New Roman"/>
                <w:kern w:val="2"/>
                <w:sz w:val="21"/>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深圳市</w:t>
            </w:r>
            <w:r>
              <w:rPr>
                <w:rFonts w:hint="default" w:ascii="仿宋" w:hAnsi="仿宋" w:eastAsia="仿宋" w:cs="仿宋"/>
                <w:color w:val="FF0000"/>
                <w:kern w:val="0"/>
                <w:sz w:val="24"/>
                <w:szCs w:val="24"/>
                <w:highlight w:val="none"/>
                <w:lang w:val="en-US" w:eastAsia="zh-CN" w:bidi="ar-SA"/>
              </w:rPr>
              <w:t>福田区第二人民医院龙尾院区5、8、9三层楼</w:t>
            </w:r>
          </w:p>
        </w:tc>
      </w:tr>
      <w:tr w14:paraId="1622C2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23C82AC6">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售后服务要求</w:t>
            </w:r>
          </w:p>
        </w:tc>
        <w:tc>
          <w:tcPr>
            <w:tcW w:w="7748" w:type="dxa"/>
            <w:noWrap w:val="0"/>
            <w:vAlign w:val="top"/>
          </w:tcPr>
          <w:p w14:paraId="31B74660">
            <w:pPr>
              <w:pStyle w:val="2"/>
              <w:keepNext w:val="0"/>
              <w:keepLines w:val="0"/>
              <w:numPr>
                <w:ilvl w:val="0"/>
                <w:numId w:val="0"/>
              </w:numPr>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1.提供5*8小时售后服务支持；平均 24小时内修复。定期对所有无线热点巡检。</w:t>
            </w:r>
          </w:p>
          <w:p w14:paraId="61CFB7A4">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2.接到故障后2小时响应，重大故障4小时上门；</w:t>
            </w:r>
          </w:p>
          <w:p w14:paraId="20806FEC">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3.每月安排专业人员对医院WiFi网络巡检。</w:t>
            </w:r>
          </w:p>
          <w:p w14:paraId="4773221A">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Hans" w:bidi="ar-SA"/>
              </w:rPr>
            </w:pPr>
            <w:r>
              <w:rPr>
                <w:rFonts w:hint="eastAsia" w:ascii="仿宋" w:hAnsi="仿宋" w:eastAsia="仿宋" w:cs="仿宋"/>
                <w:color w:val="FF0000"/>
                <w:kern w:val="0"/>
                <w:sz w:val="24"/>
                <w:szCs w:val="24"/>
                <w:highlight w:val="none"/>
                <w:lang w:val="en-US" w:eastAsia="zh-CN" w:bidi="ar-SA"/>
              </w:rPr>
              <w:t>4.服务开通后运维12个月，组织专业人员，及时对AP设备和上网线路的故障修复</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139F4FE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验收方式</w:t>
            </w:r>
          </w:p>
        </w:tc>
        <w:tc>
          <w:tcPr>
            <w:tcW w:w="7748" w:type="dxa"/>
            <w:noWrap w:val="0"/>
            <w:vAlign w:val="center"/>
          </w:tcPr>
          <w:p w14:paraId="182A66CC">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当满足以下条件时，采购人才向中标人签发验收报告：</w:t>
            </w:r>
          </w:p>
          <w:p w14:paraId="287BA12B">
            <w:pPr>
              <w:keepNext w:val="0"/>
              <w:keepLines w:val="0"/>
              <w:suppressLineNumbers w:val="0"/>
              <w:spacing w:before="0" w:beforeAutospacing="0" w:after="0" w:afterAutospacing="0"/>
              <w:ind w:left="0" w:right="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1.</w:t>
            </w:r>
            <w:r>
              <w:rPr>
                <w:rFonts w:hint="eastAsia" w:ascii="仿宋" w:hAnsi="仿宋" w:eastAsia="仿宋" w:cs="仿宋"/>
                <w:color w:val="FF0000"/>
                <w:kern w:val="0"/>
                <w:sz w:val="24"/>
                <w:szCs w:val="24"/>
                <w:highlight w:val="none"/>
                <w:lang w:val="en-US" w:eastAsia="zh-CN" w:bidi="ar-SA"/>
              </w:rPr>
              <w:t>WiFi覆盖信号达标不低于70db（90%核心区域）；</w:t>
            </w:r>
          </w:p>
          <w:p w14:paraId="457E58C7">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2.</w:t>
            </w:r>
            <w:r>
              <w:rPr>
                <w:rFonts w:hint="eastAsia" w:ascii="仿宋" w:hAnsi="仿宋" w:eastAsia="仿宋" w:cs="仿宋"/>
                <w:color w:val="FF0000"/>
                <w:kern w:val="0"/>
                <w:sz w:val="24"/>
                <w:szCs w:val="24"/>
                <w:highlight w:val="none"/>
                <w:lang w:val="en-US" w:eastAsia="zh-CN" w:bidi="ar-SA"/>
              </w:rPr>
              <w:t>服务完工后应进行竣工验收。</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552F5F7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报价要求</w:t>
            </w:r>
          </w:p>
        </w:tc>
        <w:tc>
          <w:tcPr>
            <w:tcW w:w="7748" w:type="dxa"/>
            <w:noWrap w:val="0"/>
            <w:vAlign w:val="center"/>
          </w:tcPr>
          <w:p w14:paraId="0107E55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本项目投标按总价报价，工程费用采用包干制，包括但不限于项目工程成本、法定税费和企业利润等一切费用。</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6446810B">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付款方式</w:t>
            </w:r>
          </w:p>
        </w:tc>
        <w:tc>
          <w:tcPr>
            <w:tcW w:w="7748" w:type="dxa"/>
            <w:noWrap w:val="0"/>
            <w:vAlign w:val="center"/>
          </w:tcPr>
          <w:p w14:paraId="36A5ACEE">
            <w:pPr>
              <w:keepNext w:val="0"/>
              <w:keepLines w:val="0"/>
              <w:suppressLineNumbers w:val="0"/>
              <w:spacing w:before="0" w:beforeAutospacing="0" w:after="0" w:afterAutospacing="0"/>
              <w:ind w:left="0" w:right="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1、在签订合同且收到相应发票之日起10个工作日内，采购人需向供应商支付合同总金额的50%作为首付款项 。</w:t>
            </w:r>
          </w:p>
          <w:p w14:paraId="71282E16">
            <w:pPr>
              <w:keepNext w:val="0"/>
              <w:keepLines w:val="0"/>
              <w:suppressLineNumbers w:val="0"/>
              <w:spacing w:before="0" w:beforeAutospacing="0" w:after="0" w:afterAutospacing="0"/>
              <w:ind w:left="0" w:right="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2、在合同验收且收到相应发票之日起10个工作日内，采购人需向供应商支付合同总金额的50%作为验收款项。</w:t>
            </w:r>
          </w:p>
        </w:tc>
      </w:tr>
      <w:tr w14:paraId="68E3B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44FC8E0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服务期限</w:t>
            </w:r>
          </w:p>
        </w:tc>
        <w:tc>
          <w:tcPr>
            <w:tcW w:w="7748" w:type="dxa"/>
            <w:noWrap w:val="0"/>
            <w:vAlign w:val="center"/>
          </w:tcPr>
          <w:p w14:paraId="38059003">
            <w:pPr>
              <w:keepNext w:val="0"/>
              <w:keepLines w:val="0"/>
              <w:suppressLineNumbers w:val="0"/>
              <w:spacing w:before="0" w:beforeAutospacing="0" w:after="0" w:afterAutospacing="0"/>
              <w:ind w:left="0" w:right="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指合同签订之日起至服务履约结束的时间期限。具体是指自合同签订之日起30日内中标供应商完成项目建设、校验测试及后期终验。终验通过之日起12个月为服务质保期，质保期期间由中标供应商免费提供项目售后维保服务。</w:t>
            </w:r>
          </w:p>
        </w:tc>
      </w:tr>
      <w:tr w14:paraId="350E6A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7DAE4F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知识产权归属</w:t>
            </w:r>
          </w:p>
        </w:tc>
        <w:tc>
          <w:tcPr>
            <w:tcW w:w="7748" w:type="dxa"/>
            <w:noWrap w:val="0"/>
            <w:vAlign w:val="center"/>
          </w:tcPr>
          <w:p w14:paraId="58CE436D">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FF0000"/>
                <w:kern w:val="0"/>
                <w:sz w:val="24"/>
                <w:szCs w:val="24"/>
                <w:highlight w:val="none"/>
                <w:lang w:val="en-US" w:eastAsia="zh-CN"/>
              </w:rPr>
              <w:t>为履行本项目所规定的内容及义务，中标人产出的服务成果知识产权归采购人所有。</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7748"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FF0000"/>
                <w:kern w:val="0"/>
                <w:sz w:val="24"/>
                <w:szCs w:val="24"/>
                <w:highlight w:val="none"/>
                <w:lang w:val="en-US" w:eastAsia="zh-CN"/>
              </w:rPr>
              <w:t>中标人在合同履行过程中，不履行或不按照合同约定适格履行均构成违约，采购人有权解除合同，中标人应承担违约责任并赔偿损失；具体违约责任约定详见合同。</w:t>
            </w:r>
          </w:p>
        </w:tc>
      </w:tr>
      <w:tr w14:paraId="773161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53EB50D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争议解决</w:t>
            </w:r>
          </w:p>
        </w:tc>
        <w:tc>
          <w:tcPr>
            <w:tcW w:w="7748" w:type="dxa"/>
            <w:noWrap w:val="0"/>
            <w:vAlign w:val="center"/>
          </w:tcPr>
          <w:p w14:paraId="61E5F808">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FF0000"/>
                <w:kern w:val="0"/>
                <w:sz w:val="24"/>
                <w:szCs w:val="24"/>
                <w:highlight w:val="none"/>
                <w:lang w:val="en-US" w:eastAsia="zh-CN"/>
              </w:rPr>
              <w:t>在合同履行过程中发生争议，双方应当友好协商解决，也可以请求调解；如协商不成的，应提交采购人所在地人民法院诉讼解决。</w:t>
            </w:r>
          </w:p>
        </w:tc>
      </w:tr>
      <w:tr w14:paraId="52DA6D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345" w:type="dxa"/>
            <w:noWrap w:val="0"/>
            <w:vAlign w:val="center"/>
          </w:tcPr>
          <w:p w14:paraId="799A97FE">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其他</w:t>
            </w:r>
          </w:p>
        </w:tc>
        <w:tc>
          <w:tcPr>
            <w:tcW w:w="7748" w:type="dxa"/>
            <w:noWrap w:val="0"/>
            <w:vAlign w:val="center"/>
          </w:tcPr>
          <w:p w14:paraId="1A095E2F">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FF0000"/>
                <w:kern w:val="0"/>
                <w:sz w:val="24"/>
                <w:szCs w:val="24"/>
                <w:highlight w:val="none"/>
                <w:lang w:val="en-US" w:eastAsia="zh-CN"/>
              </w:rPr>
              <w:t>1.中标人保证本项目的投标技术、服务内容或其他任何一部分不会产生因第三方提出侵犯其专利权、商标权或其他知识产权等情形而引起的法律或经济纠纷；如因第三方提出其专利权、商标权或其他知识产权的侵权之诉，则一切法律责任由中标人承担。</w:t>
            </w:r>
          </w:p>
          <w:p w14:paraId="444DFA27">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FF0000"/>
                <w:kern w:val="0"/>
                <w:sz w:val="24"/>
                <w:szCs w:val="24"/>
                <w:highlight w:val="none"/>
                <w:lang w:val="en-US" w:eastAsia="zh-CN"/>
              </w:rPr>
              <w:t>2.中标人须提供纸质投标文件和纸质投标文件的电子版等投标资料。</w:t>
            </w:r>
          </w:p>
        </w:tc>
      </w:tr>
    </w:tbl>
    <w:p w14:paraId="3C9ED7BD">
      <w:pPr>
        <w:pStyle w:val="4"/>
        <w:pageBreakBefore/>
        <w:spacing w:line="415" w:lineRule="auto"/>
        <w:jc w:val="center"/>
        <w:outlineLvl w:val="0"/>
        <w:rPr>
          <w:rFonts w:hint="eastAsia" w:ascii="仿宋" w:hAnsi="仿宋" w:eastAsia="仿宋" w:cs="仿宋"/>
          <w:b/>
          <w:bCs/>
        </w:rPr>
      </w:pPr>
      <w:bookmarkStart w:id="62" w:name="_Toc7075"/>
      <w:bookmarkStart w:id="63" w:name="_Toc21196"/>
      <w:bookmarkStart w:id="64"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r>
        <w:rPr>
          <w:rFonts w:hint="eastAsia" w:ascii="仿宋" w:hAnsi="仿宋" w:eastAsia="仿宋" w:cs="仿宋"/>
          <w:b/>
          <w:bCs/>
          <w:lang w:eastAsia="zh-CN"/>
        </w:rPr>
        <w:t>投标</w:t>
      </w:r>
      <w:r>
        <w:rPr>
          <w:rFonts w:hint="eastAsia" w:ascii="仿宋" w:hAnsi="仿宋" w:eastAsia="仿宋" w:cs="仿宋"/>
          <w:b/>
          <w:bCs/>
        </w:rPr>
        <w:t>文件格式</w:t>
      </w:r>
      <w:bookmarkEnd w:id="62"/>
      <w:bookmarkEnd w:id="63"/>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2"/>
        <w:spacing w:line="360" w:lineRule="auto"/>
        <w:jc w:val="center"/>
        <w:rPr>
          <w:rFonts w:hint="eastAsia" w:ascii="黑体" w:eastAsia="黑体" w:hAnsiTheme="minorHAnsi" w:cstheme="minorBidi"/>
          <w:b/>
          <w:sz w:val="72"/>
          <w:szCs w:val="72"/>
        </w:rPr>
      </w:pPr>
      <w:bookmarkStart w:id="65" w:name="_Toc100247590"/>
      <w:bookmarkStart w:id="66" w:name="_Toc90287690"/>
      <w:bookmarkStart w:id="67" w:name="_Toc15064"/>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65"/>
      <w:bookmarkEnd w:id="66"/>
      <w:bookmarkEnd w:id="67"/>
    </w:p>
    <w:p w14:paraId="056E2451">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7587CFD2">
      <w:pPr>
        <w:pStyle w:val="6"/>
        <w:pageBreakBefore/>
        <w:spacing w:line="377" w:lineRule="auto"/>
        <w:jc w:val="center"/>
        <w:outlineLvl w:val="9"/>
        <w:rPr>
          <w:rFonts w:hint="eastAsia" w:ascii="仿宋" w:hAnsi="仿宋" w:eastAsia="仿宋" w:cs="仿宋"/>
          <w:b/>
          <w:bCs w:val="0"/>
        </w:rPr>
      </w:pPr>
      <w:r>
        <w:rPr>
          <w:rFonts w:hint="eastAsia" w:ascii="仿宋" w:hAnsi="仿宋" w:eastAsia="仿宋" w:cs="仿宋"/>
          <w:b/>
          <w:bCs w:val="0"/>
          <w:sz w:val="36"/>
        </w:rPr>
        <w:t>目  录</w:t>
      </w:r>
    </w:p>
    <w:p w14:paraId="12A434C9">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48896575">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8A8401C">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46DE5DC">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731927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投标人资格证明文件---------------------------</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01E0F9B5">
      <w:pPr>
        <w:spacing w:line="360" w:lineRule="auto"/>
        <w:rPr>
          <w:rFonts w:hint="default"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eastAsia="zh-CN"/>
          <w14:textFill>
            <w14:solidFill>
              <w14:schemeClr w14:val="tx1"/>
            </w14:solidFill>
          </w14:textFill>
        </w:rPr>
        <w:t>、</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投标承诺函及声明-----------------------------</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4F0050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37E27F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七、法定代表人/负责人授权委托书------------------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03747E3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八</w:t>
      </w:r>
      <w:r>
        <w:rPr>
          <w:rFonts w:hint="eastAsia" w:ascii="仿宋" w:hAnsi="仿宋" w:eastAsia="仿宋" w:cs="仿宋"/>
          <w:bCs/>
          <w:snapToGrid w:val="0"/>
          <w:color w:val="000000" w:themeColor="text1"/>
          <w:kern w:val="0"/>
          <w:sz w:val="28"/>
          <w14:textFill>
            <w14:solidFill>
              <w14:schemeClr w14:val="tx1"/>
            </w14:solidFill>
          </w14:textFill>
        </w:rPr>
        <w:t>、供应商情况介绍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5516998C">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九</w:t>
      </w:r>
      <w:r>
        <w:rPr>
          <w:rFonts w:hint="eastAsia" w:ascii="仿宋" w:hAnsi="仿宋" w:eastAsia="仿宋" w:cs="仿宋"/>
          <w:bCs/>
          <w:snapToGrid w:val="0"/>
          <w:color w:val="000000" w:themeColor="text1"/>
          <w:kern w:val="0"/>
          <w:sz w:val="28"/>
          <w14:textFill>
            <w14:solidFill>
              <w14:schemeClr w14:val="tx1"/>
            </w14:solidFill>
          </w14:textFill>
        </w:rPr>
        <w:t>、</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B5BBC3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十、综合评分表涉及内容证明文件-------------------</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0B8E358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十一</w:t>
      </w:r>
      <w:r>
        <w:rPr>
          <w:rFonts w:hint="eastAsia" w:ascii="仿宋" w:hAnsi="仿宋" w:eastAsia="仿宋" w:cs="仿宋"/>
          <w:bCs/>
          <w:snapToGrid w:val="0"/>
          <w:color w:val="000000" w:themeColor="text1"/>
          <w:kern w:val="0"/>
          <w:sz w:val="28"/>
          <w14:textFill>
            <w14:solidFill>
              <w14:schemeClr w14:val="tx1"/>
            </w14:solidFill>
          </w14:textFill>
        </w:rPr>
        <w:t>、</w:t>
      </w:r>
      <w:bookmarkStart w:id="68"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68"/>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51B4C14C">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十二、招标</w:t>
      </w:r>
      <w:r>
        <w:rPr>
          <w:rFonts w:hint="eastAsia" w:ascii="仿宋" w:hAnsi="仿宋" w:eastAsia="仿宋" w:cs="仿宋"/>
          <w:bCs/>
          <w:snapToGrid w:val="0"/>
          <w:color w:val="000000" w:themeColor="text1"/>
          <w:kern w:val="0"/>
          <w:sz w:val="28"/>
          <w14:textFill>
            <w14:solidFill>
              <w14:schemeClr w14:val="tx1"/>
            </w14:solidFill>
          </w14:textFill>
        </w:rPr>
        <w:t>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5C265597">
      <w:pPr>
        <w:spacing w:line="360" w:lineRule="auto"/>
        <w:rPr>
          <w:rFonts w:hint="eastAsia" w:ascii="仿宋" w:hAnsi="仿宋" w:eastAsia="仿宋" w:cs="仿宋"/>
          <w:b/>
          <w:bCs w:val="0"/>
          <w:sz w:val="36"/>
          <w:lang w:val="en-US" w:eastAsia="zh-CN"/>
        </w:rPr>
      </w:pP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5B282B4C">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0BF7629C">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3A7C8A2">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077D47D9">
      <w:pPr>
        <w:keepNext/>
        <w:keepLines/>
        <w:widowControl w:val="0"/>
        <w:spacing w:before="120" w:after="120" w:line="416" w:lineRule="auto"/>
        <w:jc w:val="both"/>
        <w:outlineLvl w:val="9"/>
        <w:rPr>
          <w:rFonts w:hint="eastAsia" w:ascii="仿宋" w:hAnsi="仿宋" w:eastAsia="仿宋" w:cs="仿宋"/>
          <w:b/>
          <w:bCs w:val="0"/>
          <w:kern w:val="2"/>
          <w:sz w:val="36"/>
          <w:szCs w:val="32"/>
          <w:lang w:val="en-US" w:eastAsia="zh-CN" w:bidi="ar-SA"/>
        </w:rPr>
      </w:pPr>
    </w:p>
    <w:p w14:paraId="0956DE89">
      <w:pPr>
        <w:pStyle w:val="6"/>
        <w:pageBreakBefore/>
        <w:spacing w:before="0" w:line="377" w:lineRule="auto"/>
        <w:jc w:val="center"/>
        <w:outlineLvl w:val="0"/>
        <w:rPr>
          <w:rFonts w:hint="eastAsia" w:ascii="仿宋" w:hAnsi="仿宋" w:eastAsia="仿宋" w:cs="仿宋"/>
          <w:color w:val="FF0000"/>
          <w:sz w:val="28"/>
          <w:szCs w:val="28"/>
        </w:rPr>
      </w:pPr>
      <w:bookmarkStart w:id="69" w:name="_Toc28428"/>
      <w:bookmarkStart w:id="70" w:name="_Toc566"/>
      <w:r>
        <w:rPr>
          <w:rFonts w:hint="eastAsia" w:ascii="仿宋" w:hAnsi="仿宋" w:eastAsia="仿宋" w:cs="仿宋"/>
          <w:b/>
          <w:bCs w:val="0"/>
          <w:sz w:val="36"/>
          <w:lang w:val="en-US" w:eastAsia="zh-CN"/>
        </w:rPr>
        <w:t>一、投标函</w:t>
      </w:r>
      <w:bookmarkEnd w:id="69"/>
      <w:bookmarkEnd w:id="70"/>
    </w:p>
    <w:p w14:paraId="492BF93D">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56DBE481">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        （项目名称）          （项目编号：      )项目，我方代表（姓名）</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提交下述文件正本_1_份，副本 </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 xml:space="preserve"> 份。</w:t>
      </w:r>
    </w:p>
    <w:p w14:paraId="3E438AB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4EE902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资格性文件；</w:t>
      </w:r>
    </w:p>
    <w:p w14:paraId="4EA4158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商务部分；</w:t>
      </w:r>
    </w:p>
    <w:p w14:paraId="5F14B58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技术部分；</w:t>
      </w:r>
    </w:p>
    <w:p w14:paraId="3109C1B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价格部分；</w:t>
      </w:r>
    </w:p>
    <w:p w14:paraId="1431C4E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16E54A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7C9534D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0EA7E28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2.投标有效期为递交投标/响应文件之日起 </w:t>
      </w:r>
      <w:r>
        <w:rPr>
          <w:rFonts w:hint="eastAsia" w:ascii="仿宋" w:hAnsi="仿宋" w:eastAsia="仿宋" w:cs="仿宋"/>
          <w:color w:val="000000" w:themeColor="text1"/>
          <w:sz w:val="24"/>
          <w:lang w:val="en-US" w:eastAsia="zh-CN"/>
          <w14:textFill>
            <w14:solidFill>
              <w14:schemeClr w14:val="tx1"/>
            </w14:solidFill>
          </w14:textFill>
        </w:rPr>
        <w:t>120</w:t>
      </w:r>
      <w:r>
        <w:rPr>
          <w:rFonts w:hint="eastAsia" w:ascii="仿宋" w:hAnsi="仿宋" w:eastAsia="仿宋" w:cs="仿宋"/>
          <w:color w:val="000000" w:themeColor="text1"/>
          <w:sz w:val="24"/>
          <w14:textFill>
            <w14:solidFill>
              <w14:schemeClr w14:val="tx1"/>
            </w14:solidFill>
          </w14:textFill>
        </w:rPr>
        <w:t xml:space="preserve"> 天，中标人投标有效期延至合同验收之日。</w:t>
      </w:r>
    </w:p>
    <w:p w14:paraId="028503E6">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6C6CB3A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4.我方已毫无保留地向贵方提供一切所需的证明材料。</w:t>
      </w:r>
    </w:p>
    <w:p w14:paraId="38A826A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5.我方承诺在本次投标响应中提供的一切文件，无论是原件还是复印件均为真实和准确的，绝无任何虚假、伪造和夸大的成份，否则，愿承担相应的后果和法律责任。</w:t>
      </w:r>
    </w:p>
    <w:p w14:paraId="6D0BD14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6.我方完全服从和尊重评委会所作的评定结果，同时清楚理解到报价最低并非意味着必定获得中标资格。</w:t>
      </w:r>
    </w:p>
    <w:p w14:paraId="4566CFD5">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3717E76E">
      <w:pPr>
        <w:adjustRightInd w:val="0"/>
        <w:snapToGrid w:val="0"/>
        <w:spacing w:line="276" w:lineRule="auto"/>
        <w:rPr>
          <w:rFonts w:hint="eastAsia" w:ascii="仿宋" w:hAnsi="仿宋" w:eastAsia="仿宋" w:cs="仿宋"/>
          <w:sz w:val="24"/>
          <w:szCs w:val="24"/>
          <w:lang w:val="en-US" w:eastAsia="zh-CN"/>
        </w:rPr>
      </w:pPr>
    </w:p>
    <w:p w14:paraId="474A7671">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1EBE0853">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3D4C1B48">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3B088BA3">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0649E387">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478D350A">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32ABE7C0">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44A4EE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06F27F17">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393F0A2D">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DAA13F7">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139BE2AF">
      <w:pPr>
        <w:pStyle w:val="6"/>
        <w:pageBreakBefore/>
        <w:spacing w:before="0" w:line="377" w:lineRule="auto"/>
        <w:jc w:val="center"/>
        <w:outlineLvl w:val="0"/>
        <w:rPr>
          <w:rFonts w:hint="eastAsia" w:ascii="仿宋" w:hAnsi="仿宋" w:eastAsia="仿宋" w:cs="仿宋"/>
          <w:b/>
          <w:bCs w:val="0"/>
          <w:sz w:val="36"/>
          <w:lang w:val="en-US" w:eastAsia="zh-CN"/>
        </w:rPr>
      </w:pPr>
      <w:bookmarkStart w:id="71" w:name="_Toc4940"/>
      <w:bookmarkStart w:id="72" w:name="_Toc10544"/>
      <w:r>
        <w:rPr>
          <w:rFonts w:hint="eastAsia" w:ascii="仿宋" w:hAnsi="仿宋" w:eastAsia="仿宋" w:cs="仿宋"/>
          <w:b/>
          <w:bCs w:val="0"/>
          <w:sz w:val="36"/>
          <w:lang w:val="en-US" w:eastAsia="zh-CN"/>
        </w:rPr>
        <w:t>二、自查表</w:t>
      </w:r>
      <w:bookmarkEnd w:id="71"/>
      <w:bookmarkEnd w:id="72"/>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资格性自查表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符合性自查表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未</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谈判文件未规定允许有替代方案时，对同一项目投标时，同时提供两套或两套以上的投标方案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rPr>
              <w:t>按照招标文</w:t>
            </w:r>
            <w:r>
              <w:rPr>
                <w:rFonts w:hint="eastAsia" w:ascii="Times New Roman" w:hAnsi="Times New Roman" w:eastAsia="宋体" w:cs="Times New Roman"/>
                <w:lang w:val="en-US" w:eastAsia="zh-CN"/>
              </w:rPr>
              <w:t>件要求提供</w:t>
            </w:r>
            <w:r>
              <w:rPr>
                <w:rFonts w:hint="eastAsia"/>
              </w:rPr>
              <w:t>投标函</w:t>
            </w:r>
            <w:r>
              <w:rPr>
                <w:rFonts w:hint="eastAsia"/>
                <w:lang w:eastAsia="zh-CN"/>
              </w:rPr>
              <w:t>、</w:t>
            </w:r>
            <w:r>
              <w:rPr>
                <w:rFonts w:hint="eastAsia" w:ascii="Times New Roman" w:hAnsi="Times New Roman" w:eastAsia="宋体" w:cs="Times New Roman"/>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分项报价或投标总价</w:t>
            </w:r>
            <w:r>
              <w:rPr>
                <w:rFonts w:hint="eastAsia" w:asciiTheme="majorEastAsia" w:hAnsiTheme="majorEastAsia" w:eastAsiaTheme="majorEastAsia" w:cstheme="majorEastAsia"/>
                <w:sz w:val="21"/>
                <w:szCs w:val="21"/>
                <w:lang w:val="en-US" w:eastAsia="zh-CN"/>
              </w:rPr>
              <w:t>不</w:t>
            </w:r>
            <w:r>
              <w:rPr>
                <w:rFonts w:hint="eastAsia" w:asciiTheme="majorEastAsia" w:hAnsiTheme="majorEastAsia" w:eastAsiaTheme="majorEastAsia" w:cstheme="majorEastAsia"/>
                <w:sz w:val="21"/>
                <w:szCs w:val="21"/>
              </w:rPr>
              <w:t>高于限价，或按照谈判文件的报价要求进行报价的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谈判小组认为</w:t>
            </w: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的报价明显低于其他通过</w:t>
            </w:r>
            <w:r>
              <w:rPr>
                <w:rFonts w:hint="eastAsia" w:ascii="仿宋" w:hAnsi="仿宋" w:eastAsia="仿宋" w:cs="仿宋"/>
                <w:color w:val="000000"/>
                <w:sz w:val="24"/>
                <w:lang w:val="en-US" w:eastAsia="zh-CN"/>
              </w:rPr>
              <w:t>符合</w:t>
            </w:r>
            <w:r>
              <w:rPr>
                <w:rFonts w:hint="eastAsia" w:asciiTheme="majorEastAsia" w:hAnsiTheme="majorEastAsia" w:eastAsiaTheme="majorEastAsia" w:cstheme="majorEastAsia"/>
                <w:sz w:val="21"/>
                <w:szCs w:val="21"/>
              </w:rPr>
              <w:t>性审查</w:t>
            </w: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的报价，有可能影响产品质量或者不能诚信履约的，</w:t>
            </w: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不能在合理的时间内提供书面说明，或无法提交相关证明材料，</w:t>
            </w: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不能证明其报价合理性的（若谈判小组成员对是否须由</w:t>
            </w: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作出报价合理性说明，以及书面说明是否采纳等判断不一致的，按照“少数服从多数”的原则确定谈判小组的意见，投标文件的轻微瑕疵、非关键内容不得作为认定投标无效的依据）</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rPr>
              <w:t>采购标的/服务清单/报价等任意一类未出现有缺漏项或响应不全；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所投货物、服务在技术、商务等方面实质性满足招标文件要求的（是否实质性满足招标文件要求，由评审委员会根据《实质性条款响应情况表》做出评判）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投标文件未附有采购人或招标需求不能接受的条件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1570DCDB">
      <w:pPr>
        <w:pStyle w:val="106"/>
        <w:tabs>
          <w:tab w:val="left" w:pos="1260"/>
        </w:tabs>
        <w:ind w:left="0" w:leftChars="0" w:firstLine="0" w:firstLineChars="0"/>
        <w:jc w:val="center"/>
        <w:rPr>
          <w:rFonts w:hint="eastAsia" w:ascii="宋体" w:hAnsi="宋体" w:eastAsia="宋体" w:cs="Times New Roman"/>
          <w:b/>
          <w:bCs/>
          <w:color w:val="000000"/>
          <w:kern w:val="2"/>
          <w:sz w:val="21"/>
          <w:szCs w:val="21"/>
          <w:lang w:val="en-US" w:eastAsia="zh-CN" w:bidi="ar-SA"/>
        </w:rPr>
      </w:pPr>
    </w:p>
    <w:p w14:paraId="49E14F6D">
      <w:pPr>
        <w:jc w:val="center"/>
        <w:rPr>
          <w:b/>
          <w:szCs w:val="21"/>
        </w:rPr>
      </w:pPr>
    </w:p>
    <w:p w14:paraId="471EA040">
      <w:pPr>
        <w:spacing w:line="360" w:lineRule="auto"/>
        <w:ind w:firstLine="420" w:firstLineChars="200"/>
        <w:rPr>
          <w:szCs w:val="21"/>
        </w:rPr>
      </w:pPr>
      <w:r>
        <w:rPr>
          <w:rFonts w:hint="eastAsia" w:ascii="宋体" w:hAnsi="宋体"/>
          <w:szCs w:val="21"/>
        </w:rPr>
        <w:t>为方便参与该项目的</w:t>
      </w:r>
      <w:r>
        <w:rPr>
          <w:rFonts w:hint="eastAsia" w:ascii="宋体" w:hAnsi="宋体"/>
          <w:szCs w:val="21"/>
          <w:lang w:eastAsia="zh-CN"/>
        </w:rPr>
        <w:t>评标</w:t>
      </w:r>
      <w:r>
        <w:rPr>
          <w:rFonts w:hint="eastAsia" w:ascii="宋体" w:hAnsi="宋体"/>
          <w:szCs w:val="21"/>
        </w:rPr>
        <w:t>专家的评标，快速找到评标事项与该项目投标文件所对应的位置，请投标人参照下表格式，编制本项目评标指引表。</w:t>
      </w:r>
    </w:p>
    <w:p w14:paraId="374655F8">
      <w:pPr>
        <w:spacing w:line="360" w:lineRule="exact"/>
        <w:rPr>
          <w:b/>
          <w:szCs w:val="21"/>
        </w:rPr>
      </w:pPr>
      <w:r>
        <w:rPr>
          <w:b/>
          <w:szCs w:val="21"/>
        </w:rPr>
        <w:t xml:space="preserve"> </w:t>
      </w:r>
    </w:p>
    <w:tbl>
      <w:tblPr>
        <w:tblStyle w:val="44"/>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354"/>
        <w:gridCol w:w="2165"/>
        <w:gridCol w:w="3031"/>
        <w:gridCol w:w="945"/>
      </w:tblGrid>
      <w:tr w14:paraId="2B25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5"/>
            <w:noWrap w:val="0"/>
            <w:vAlign w:val="center"/>
          </w:tcPr>
          <w:p w14:paraId="7641D8B7">
            <w:pPr>
              <w:pStyle w:val="106"/>
              <w:keepNext w:val="0"/>
              <w:keepLines w:val="0"/>
              <w:suppressLineNumbers w:val="0"/>
              <w:tabs>
                <w:tab w:val="left" w:pos="1260"/>
              </w:tabs>
              <w:spacing w:before="0" w:beforeAutospacing="0" w:after="0" w:afterAutospacing="0"/>
              <w:ind w:left="0" w:leftChars="0" w:right="0" w:firstLine="0" w:firstLineChars="0"/>
              <w:jc w:val="center"/>
              <w:rPr>
                <w:rFonts w:hint="default" w:ascii="宋体" w:hAnsi="宋体" w:eastAsia="宋体"/>
                <w:b/>
                <w:szCs w:val="21"/>
              </w:rPr>
            </w:pPr>
            <w:r>
              <w:rPr>
                <w:rFonts w:hint="eastAsia" w:ascii="宋体" w:hAnsi="宋体" w:eastAsia="宋体"/>
                <w:b/>
                <w:szCs w:val="21"/>
              </w:rPr>
              <w:t>综合评分指引</w:t>
            </w:r>
            <w:r>
              <w:rPr>
                <w:rFonts w:hint="eastAsia" w:ascii="宋体" w:hAnsi="宋体" w:eastAsia="宋体" w:cs="Times New Roman"/>
                <w:b/>
                <w:bCs/>
                <w:color w:val="FF0000"/>
                <w:kern w:val="2"/>
                <w:sz w:val="21"/>
                <w:szCs w:val="21"/>
                <w:lang w:val="en-US" w:eastAsia="zh-CN" w:bidi="ar-SA"/>
              </w:rPr>
              <w:t>（参见第二章关键信息-表三 评标信息 综合评分表）</w:t>
            </w:r>
          </w:p>
        </w:tc>
      </w:tr>
      <w:tr w14:paraId="76A4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noWrap w:val="0"/>
            <w:vAlign w:val="center"/>
          </w:tcPr>
          <w:p w14:paraId="2AE2953E">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评分类别</w:t>
            </w:r>
          </w:p>
        </w:tc>
        <w:tc>
          <w:tcPr>
            <w:tcW w:w="2354" w:type="dxa"/>
            <w:noWrap w:val="0"/>
            <w:vAlign w:val="center"/>
          </w:tcPr>
          <w:p w14:paraId="6EF73EBB">
            <w:pPr>
              <w:keepNext w:val="0"/>
              <w:keepLines w:val="0"/>
              <w:suppressLineNumbers w:val="0"/>
              <w:spacing w:before="0" w:beforeAutospacing="0" w:after="0" w:afterAutospacing="0" w:line="360" w:lineRule="exact"/>
              <w:ind w:left="0" w:right="0"/>
              <w:jc w:val="center"/>
              <w:rPr>
                <w:rFonts w:hint="default" w:ascii="宋体" w:hAnsi="宋体" w:eastAsia="宋体"/>
                <w:szCs w:val="21"/>
                <w:lang w:val="en-US" w:eastAsia="zh-CN"/>
              </w:rPr>
            </w:pPr>
            <w:r>
              <w:rPr>
                <w:rFonts w:hint="eastAsia" w:ascii="宋体" w:hAnsi="宋体"/>
                <w:szCs w:val="21"/>
                <w:lang w:val="en-US" w:eastAsia="zh-CN"/>
              </w:rPr>
              <w:t>评分因素</w:t>
            </w:r>
          </w:p>
        </w:tc>
        <w:tc>
          <w:tcPr>
            <w:tcW w:w="2165" w:type="dxa"/>
            <w:noWrap w:val="0"/>
            <w:vAlign w:val="center"/>
          </w:tcPr>
          <w:p w14:paraId="4FA676F5">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eastAsia="宋体"/>
                <w:szCs w:val="21"/>
              </w:rPr>
              <w:t>评分</w:t>
            </w:r>
            <w:r>
              <w:rPr>
                <w:rFonts w:hint="eastAsia" w:ascii="宋体" w:hAnsi="宋体" w:eastAsia="宋体"/>
                <w:szCs w:val="21"/>
                <w:lang w:val="en-US" w:eastAsia="zh-CN"/>
              </w:rPr>
              <w:t>准则</w:t>
            </w:r>
          </w:p>
        </w:tc>
        <w:tc>
          <w:tcPr>
            <w:tcW w:w="3031" w:type="dxa"/>
            <w:noWrap w:val="0"/>
            <w:vAlign w:val="center"/>
          </w:tcPr>
          <w:p w14:paraId="45023FBC">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证明文件起止页码</w:t>
            </w:r>
          </w:p>
        </w:tc>
        <w:tc>
          <w:tcPr>
            <w:tcW w:w="945" w:type="dxa"/>
            <w:noWrap w:val="0"/>
            <w:vAlign w:val="center"/>
          </w:tcPr>
          <w:p w14:paraId="0DE605B9">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备注</w:t>
            </w:r>
          </w:p>
        </w:tc>
      </w:tr>
      <w:tr w14:paraId="7ECF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noWrap w:val="0"/>
            <w:vAlign w:val="center"/>
          </w:tcPr>
          <w:p w14:paraId="66CB4C00">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技术</w:t>
            </w:r>
            <w:r>
              <w:rPr>
                <w:rFonts w:hint="eastAsia" w:ascii="宋体" w:hAnsi="宋体"/>
                <w:szCs w:val="21"/>
                <w:lang w:eastAsia="zh-CN"/>
              </w:rPr>
              <w:t>部分</w:t>
            </w:r>
          </w:p>
        </w:tc>
        <w:tc>
          <w:tcPr>
            <w:tcW w:w="2354" w:type="dxa"/>
            <w:noWrap w:val="0"/>
            <w:vAlign w:val="top"/>
          </w:tcPr>
          <w:p w14:paraId="07856CB7">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2165" w:type="dxa"/>
            <w:noWrap w:val="0"/>
            <w:vAlign w:val="top"/>
          </w:tcPr>
          <w:p w14:paraId="325C7044">
            <w:pPr>
              <w:keepNext w:val="0"/>
              <w:keepLines w:val="0"/>
              <w:suppressLineNumbers w:val="0"/>
              <w:spacing w:before="0" w:beforeAutospacing="0" w:after="0" w:afterAutospacing="0" w:line="360" w:lineRule="exact"/>
              <w:ind w:left="0" w:right="0"/>
              <w:jc w:val="center"/>
              <w:rPr>
                <w:rFonts w:hint="eastAsia"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3031" w:type="dxa"/>
            <w:noWrap w:val="0"/>
            <w:vAlign w:val="center"/>
          </w:tcPr>
          <w:p w14:paraId="6C59E7FA">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2907AD6D">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E6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EE098F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2097810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3026B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534D844D">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10ED709">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159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1C3CE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12CBC8B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47686C79">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523E011">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B1F248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F83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noWrap w:val="0"/>
            <w:vAlign w:val="center"/>
          </w:tcPr>
          <w:p w14:paraId="76B5D747">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商务</w:t>
            </w:r>
            <w:r>
              <w:rPr>
                <w:rFonts w:hint="eastAsia" w:ascii="宋体" w:hAnsi="宋体"/>
                <w:szCs w:val="21"/>
                <w:lang w:eastAsia="zh-CN"/>
              </w:rPr>
              <w:t>部分</w:t>
            </w:r>
          </w:p>
        </w:tc>
        <w:tc>
          <w:tcPr>
            <w:tcW w:w="2354" w:type="dxa"/>
            <w:noWrap w:val="0"/>
            <w:vAlign w:val="top"/>
          </w:tcPr>
          <w:p w14:paraId="561AA4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D5BB70">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1986993">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9CC1E9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6C6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777CF6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747BB05C">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2C04C8FC">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35D50D7">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4E0689F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BCE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23E6CBD">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5C830F2A">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3BDAF0F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683D2109">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7B5DBAF">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bl>
    <w:p w14:paraId="55DA28FC">
      <w:pPr>
        <w:pStyle w:val="23"/>
        <w:spacing w:line="360" w:lineRule="auto"/>
        <w:rPr>
          <w:rFonts w:hAnsi="宋体"/>
          <w:b/>
          <w:szCs w:val="21"/>
        </w:rPr>
      </w:pPr>
    </w:p>
    <w:p w14:paraId="0AE12D58">
      <w:pPr>
        <w:pStyle w:val="36"/>
        <w:jc w:val="both"/>
        <w:rPr>
          <w:rFonts w:hint="eastAsia" w:ascii="仿宋" w:hAnsi="仿宋" w:eastAsia="仿宋" w:cs="仿宋"/>
          <w:b/>
          <w:bCs w:val="0"/>
          <w:sz w:val="32"/>
          <w:szCs w:val="32"/>
          <w:lang w:val="en-US" w:eastAsia="zh-CN"/>
        </w:rPr>
      </w:pPr>
      <w:r>
        <w:rPr>
          <w:rStyle w:val="47"/>
          <w:rFonts w:hint="eastAsia" w:ascii="Times New Roman" w:hAnsi="Times New Roman" w:eastAsia="宋体" w:cs="Times New Roman"/>
          <w:b w:val="0"/>
          <w:bCs w:val="0"/>
          <w:color w:val="FF0000"/>
          <w:kern w:val="2"/>
          <w:sz w:val="18"/>
          <w:szCs w:val="18"/>
          <w:lang w:val="en-US" w:eastAsia="zh-CN" w:bidi="ar-SA"/>
        </w:rPr>
        <w:t>注：请投标人按照招标文件规定的评分内容，自上而下的顺序填写本表。因项目次序混乱而影响评标结果者，投标人自负其责。</w:t>
      </w:r>
    </w:p>
    <w:p w14:paraId="7187EDB0">
      <w:pPr>
        <w:pStyle w:val="6"/>
        <w:pageBreakBefore/>
        <w:spacing w:before="0" w:line="377" w:lineRule="auto"/>
        <w:jc w:val="center"/>
        <w:outlineLvl w:val="0"/>
        <w:rPr>
          <w:rFonts w:hint="eastAsia" w:ascii="仿宋" w:hAnsi="仿宋" w:eastAsia="仿宋" w:cs="仿宋"/>
          <w:b/>
          <w:bCs w:val="0"/>
          <w:sz w:val="32"/>
          <w:szCs w:val="32"/>
        </w:rPr>
      </w:pPr>
      <w:bookmarkStart w:id="73" w:name="_Toc2794"/>
      <w:bookmarkStart w:id="74" w:name="_Toc4814"/>
      <w:r>
        <w:rPr>
          <w:rFonts w:hint="eastAsia" w:ascii="仿宋" w:hAnsi="仿宋" w:eastAsia="仿宋" w:cs="仿宋"/>
          <w:b/>
          <w:bCs w:val="0"/>
          <w:sz w:val="32"/>
          <w:szCs w:val="32"/>
          <w:lang w:val="en-US" w:eastAsia="zh-CN"/>
        </w:rPr>
        <w:t>三</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开标</w:t>
      </w:r>
      <w:r>
        <w:rPr>
          <w:rFonts w:hint="eastAsia" w:ascii="仿宋" w:hAnsi="仿宋" w:eastAsia="仿宋" w:cs="仿宋"/>
          <w:b/>
          <w:bCs w:val="0"/>
          <w:sz w:val="32"/>
          <w:szCs w:val="32"/>
        </w:rPr>
        <w:t>一览表</w:t>
      </w:r>
      <w:bookmarkEnd w:id="73"/>
      <w:bookmarkEnd w:id="74"/>
    </w:p>
    <w:p w14:paraId="34FC6FC4">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6330EB13">
      <w:pPr>
        <w:rPr>
          <w:rFonts w:hint="eastAsia" w:ascii="仿宋" w:hAnsi="仿宋" w:eastAsia="仿宋" w:cs="仿宋"/>
          <w:snapToGrid w:val="0"/>
          <w:kern w:val="0"/>
          <w:sz w:val="24"/>
        </w:rPr>
      </w:pPr>
    </w:p>
    <w:tbl>
      <w:tblPr>
        <w:tblStyle w:val="44"/>
        <w:tblW w:w="462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841"/>
        <w:gridCol w:w="1428"/>
        <w:gridCol w:w="1548"/>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73" w:type="pct"/>
            <w:vAlign w:val="center"/>
          </w:tcPr>
          <w:p w14:paraId="03A580CD">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序号</w:t>
            </w:r>
          </w:p>
        </w:tc>
        <w:tc>
          <w:tcPr>
            <w:tcW w:w="2437" w:type="pct"/>
            <w:vAlign w:val="center"/>
          </w:tcPr>
          <w:p w14:paraId="4C711383">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lang w:val="en-US" w:eastAsia="zh-CN"/>
              </w:rPr>
              <w:t>项目</w:t>
            </w:r>
            <w:r>
              <w:rPr>
                <w:rFonts w:hint="eastAsia" w:ascii="仿宋" w:hAnsi="仿宋" w:eastAsia="仿宋" w:cs="Times New Roman"/>
                <w:sz w:val="24"/>
              </w:rPr>
              <w:t>名称</w:t>
            </w:r>
          </w:p>
        </w:tc>
        <w:tc>
          <w:tcPr>
            <w:tcW w:w="906" w:type="pct"/>
            <w:vAlign w:val="center"/>
          </w:tcPr>
          <w:p w14:paraId="55C06DBA">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Times New Roman"/>
                <w:sz w:val="24"/>
              </w:rPr>
              <w:t>投标</w:t>
            </w:r>
            <w:r>
              <w:rPr>
                <w:rFonts w:hint="eastAsia" w:ascii="仿宋" w:hAnsi="仿宋" w:eastAsia="仿宋" w:cs="Times New Roman"/>
                <w:sz w:val="24"/>
                <w:lang w:val="en-US" w:eastAsia="zh-CN"/>
              </w:rPr>
              <w:t>总价</w:t>
            </w:r>
          </w:p>
        </w:tc>
        <w:tc>
          <w:tcPr>
            <w:tcW w:w="982" w:type="pct"/>
            <w:vAlign w:val="center"/>
          </w:tcPr>
          <w:p w14:paraId="29D72634">
            <w:pPr>
              <w:keepNext w:val="0"/>
              <w:keepLines w:val="0"/>
              <w:widowControl/>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3"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2437"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906"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982" w:type="pct"/>
            <w:vAlign w:val="center"/>
          </w:tcPr>
          <w:p w14:paraId="3097CC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2"/>
                <w:szCs w:val="22"/>
                <w:lang w:val="en-US" w:eastAsia="zh-CN" w:bidi="ar"/>
              </w:rPr>
            </w:pPr>
          </w:p>
        </w:tc>
      </w:tr>
    </w:tbl>
    <w:p w14:paraId="21FF12C1">
      <w:pPr>
        <w:spacing w:line="276" w:lineRule="auto"/>
        <w:rPr>
          <w:rFonts w:ascii="仿宋" w:hAnsi="仿宋" w:eastAsia="仿宋" w:cs="仿宋"/>
          <w:snapToGrid w:val="0"/>
          <w:color w:val="000000" w:themeColor="text1"/>
          <w:kern w:val="0"/>
          <w:sz w:val="24"/>
          <w14:textFill>
            <w14:solidFill>
              <w14:schemeClr w14:val="tx1"/>
            </w14:solidFill>
          </w14:textFill>
        </w:rPr>
      </w:pPr>
      <w:bookmarkStart w:id="75" w:name="_Toc124"/>
      <w:r>
        <w:rPr>
          <w:rFonts w:hint="eastAsia" w:ascii="仿宋" w:hAnsi="仿宋" w:eastAsia="仿宋" w:cs="仿宋"/>
          <w:snapToGrid w:val="0"/>
          <w:color w:val="000000" w:themeColor="text1"/>
          <w:kern w:val="0"/>
          <w:sz w:val="24"/>
          <w14:textFill>
            <w14:solidFill>
              <w14:schemeClr w14:val="tx1"/>
            </w14:solidFill>
          </w14:textFill>
        </w:rPr>
        <w:t>注：</w:t>
      </w:r>
    </w:p>
    <w:p w14:paraId="00E8BCB4">
      <w:pPr>
        <w:numPr>
          <w:ilvl w:val="0"/>
          <w:numId w:val="15"/>
        </w:numPr>
        <w:spacing w:line="276" w:lineRule="auto"/>
        <w:ind w:firstLine="480" w:firstLineChars="200"/>
        <w:rPr>
          <w:rFonts w:hint="eastAsia"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价格应按招标文件中规定的货币单位（人民币元）</w:t>
      </w:r>
      <w:r>
        <w:rPr>
          <w:rFonts w:hint="eastAsia" w:ascii="仿宋" w:hAnsi="仿宋" w:eastAsia="仿宋" w:cs="仿宋"/>
          <w:snapToGrid w:val="0"/>
          <w:color w:val="000000" w:themeColor="text1"/>
          <w:kern w:val="0"/>
          <w:sz w:val="24"/>
          <w:lang w:val="en-US" w:eastAsia="zh-CN"/>
          <w14:textFill>
            <w14:solidFill>
              <w14:schemeClr w14:val="tx1"/>
            </w14:solidFill>
          </w14:textFill>
        </w:rPr>
        <w:t>大小写均</w:t>
      </w:r>
      <w:r>
        <w:rPr>
          <w:rFonts w:hint="eastAsia" w:ascii="仿宋" w:hAnsi="仿宋" w:eastAsia="仿宋" w:cs="仿宋"/>
          <w:snapToGrid w:val="0"/>
          <w:color w:val="000000" w:themeColor="text1"/>
          <w:kern w:val="0"/>
          <w:sz w:val="24"/>
          <w14:textFill>
            <w14:solidFill>
              <w14:schemeClr w14:val="tx1"/>
            </w14:solidFill>
          </w14:textFill>
        </w:rPr>
        <w:t>填写。</w:t>
      </w:r>
    </w:p>
    <w:p w14:paraId="0AA1D581">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、投标人如需对报价或其它内容加以说明，可在备注栏填写。</w:t>
      </w:r>
    </w:p>
    <w:p w14:paraId="16C1B996">
      <w:pPr>
        <w:spacing w:line="276" w:lineRule="auto"/>
        <w:ind w:firstLine="480" w:firstLineChars="200"/>
        <w:rPr>
          <w:rFonts w:hint="eastAsia" w:ascii="仿宋" w:hAnsi="仿宋" w:eastAsia="仿宋" w:cs="仿宋"/>
          <w:snapToGrid w:val="0"/>
          <w:kern w:val="0"/>
          <w:sz w:val="24"/>
        </w:rPr>
      </w:pPr>
      <w:r>
        <w:rPr>
          <w:rFonts w:ascii="仿宋" w:hAnsi="仿宋" w:eastAsia="仿宋" w:cs="仿宋"/>
          <w:snapToGrid w:val="0"/>
          <w:kern w:val="0"/>
          <w:sz w:val="24"/>
        </w:rPr>
        <w:t>4</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C049B4D">
      <w:pPr>
        <w:spacing w:line="276" w:lineRule="auto"/>
        <w:ind w:firstLine="440" w:firstLineChars="200"/>
        <w:rPr>
          <w:rFonts w:hint="eastAsia" w:ascii="仿宋" w:hAnsi="仿宋" w:eastAsia="仿宋" w:cs="仿宋"/>
          <w:snapToGrid w:val="0"/>
          <w:kern w:val="0"/>
          <w:sz w:val="24"/>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单独密封提交的开标一览表（报价表）与投标文件中的开标一览表（报价表）不一致的，以单独密封提交的开标一览表（报价表）为准；</w:t>
      </w:r>
    </w:p>
    <w:p w14:paraId="48E542AB">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6、</w:t>
      </w:r>
      <w:r>
        <w:rPr>
          <w:rFonts w:hint="eastAsia" w:ascii="仿宋" w:hAnsi="仿宋" w:eastAsia="仿宋" w:cs="仿宋"/>
          <w:snapToGrid w:val="0"/>
          <w:kern w:val="0"/>
          <w:sz w:val="24"/>
        </w:rPr>
        <w:t>《开标一览表》未按招标文件规定签字、盖章、密封的，</w:t>
      </w:r>
      <w:r>
        <w:rPr>
          <w:rFonts w:hint="eastAsia" w:ascii="仿宋" w:hAnsi="仿宋" w:eastAsia="仿宋" w:cs="仿宋"/>
          <w:snapToGrid w:val="0"/>
          <w:kern w:val="0"/>
          <w:sz w:val="24"/>
          <w:highlight w:val="yellow"/>
        </w:rPr>
        <w:t>将导致废标。</w:t>
      </w:r>
    </w:p>
    <w:p w14:paraId="44C01B14">
      <w:pPr>
        <w:widowControl w:val="0"/>
        <w:spacing w:after="120"/>
        <w:jc w:val="both"/>
        <w:rPr>
          <w:rFonts w:ascii="Times New Roman" w:hAnsi="Times New Roman" w:eastAsia="宋体" w:cs="Times New Roman"/>
          <w:kern w:val="2"/>
          <w:sz w:val="24"/>
          <w:szCs w:val="24"/>
          <w:lang w:val="en-US" w:eastAsia="zh-CN" w:bidi="ar-SA"/>
        </w:rPr>
      </w:pPr>
    </w:p>
    <w:p w14:paraId="2944A2DF">
      <w:pPr>
        <w:ind w:firstLine="1200" w:firstLineChars="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F395C7E">
      <w:pPr>
        <w:jc w:val="left"/>
        <w:rPr>
          <w:rFonts w:ascii="仿宋" w:hAnsi="仿宋" w:eastAsia="仿宋" w:cs="仿宋"/>
          <w:color w:val="000000" w:themeColor="text1"/>
          <w:sz w:val="24"/>
          <w14:textFill>
            <w14:solidFill>
              <w14:schemeClr w14:val="tx1"/>
            </w14:solidFill>
          </w14:textFill>
        </w:rPr>
      </w:pPr>
    </w:p>
    <w:p w14:paraId="2A097E8D">
      <w:pPr>
        <w:ind w:firstLine="3600" w:firstLineChars="1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7768EB">
      <w:pPr>
        <w:jc w:val="left"/>
        <w:rPr>
          <w:rFonts w:ascii="仿宋" w:hAnsi="仿宋" w:eastAsia="仿宋" w:cs="仿宋"/>
          <w:color w:val="000000" w:themeColor="text1"/>
          <w:sz w:val="24"/>
          <w14:textFill>
            <w14:solidFill>
              <w14:schemeClr w14:val="tx1"/>
            </w14:solidFill>
          </w14:textFill>
        </w:rPr>
      </w:pPr>
    </w:p>
    <w:p w14:paraId="2FD3AA8C">
      <w:pPr>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30C33EB6">
      <w:pPr>
        <w:keepNext/>
        <w:keepLines/>
        <w:widowControl w:val="0"/>
        <w:spacing w:before="260" w:after="260" w:line="416" w:lineRule="auto"/>
        <w:jc w:val="both"/>
        <w:outlineLvl w:val="9"/>
        <w:rPr>
          <w:rFonts w:hint="eastAsia" w:ascii="Arial" w:hAnsi="Arial" w:eastAsia="黑体" w:cs="Times New Roman"/>
          <w:kern w:val="2"/>
          <w:sz w:val="32"/>
          <w:szCs w:val="32"/>
          <w:lang w:val="en-US" w:eastAsia="zh-CN" w:bidi="ar-SA"/>
        </w:rPr>
      </w:pPr>
    </w:p>
    <w:p w14:paraId="5D8CA571">
      <w:pPr>
        <w:numPr>
          <w:ilvl w:val="0"/>
          <w:numId w:val="0"/>
        </w:numPr>
        <w:bidi w:val="0"/>
        <w:rPr>
          <w:rFonts w:hint="eastAsia"/>
          <w:lang w:val="en-US" w:eastAsia="zh-CN"/>
        </w:rPr>
      </w:pPr>
    </w:p>
    <w:p w14:paraId="36744F19">
      <w:pPr>
        <w:numPr>
          <w:ilvl w:val="0"/>
          <w:numId w:val="0"/>
        </w:numPr>
        <w:bidi w:val="0"/>
        <w:rPr>
          <w:rFonts w:hint="eastAsia"/>
          <w:lang w:val="en-US" w:eastAsia="zh-CN"/>
        </w:rPr>
      </w:pPr>
    </w:p>
    <w:p w14:paraId="61C6B114">
      <w:pPr>
        <w:numPr>
          <w:ilvl w:val="0"/>
          <w:numId w:val="0"/>
        </w:numPr>
        <w:bidi w:val="0"/>
        <w:rPr>
          <w:rFonts w:hint="eastAsia"/>
          <w:lang w:val="en-US" w:eastAsia="zh-CN"/>
        </w:rPr>
      </w:pPr>
    </w:p>
    <w:p w14:paraId="04A947A7">
      <w:pPr>
        <w:numPr>
          <w:ilvl w:val="0"/>
          <w:numId w:val="0"/>
        </w:numPr>
        <w:bidi w:val="0"/>
        <w:rPr>
          <w:rFonts w:hint="eastAsia"/>
          <w:lang w:val="en-US" w:eastAsia="zh-CN"/>
        </w:rPr>
      </w:pPr>
    </w:p>
    <w:p w14:paraId="6D5BC4A5">
      <w:pPr>
        <w:numPr>
          <w:ilvl w:val="0"/>
          <w:numId w:val="0"/>
        </w:numPr>
        <w:bidi w:val="0"/>
        <w:rPr>
          <w:rFonts w:hint="eastAsia"/>
          <w:lang w:val="en-US" w:eastAsia="zh-CN"/>
        </w:rPr>
      </w:pPr>
    </w:p>
    <w:p w14:paraId="78A4A222">
      <w:pPr>
        <w:numPr>
          <w:ilvl w:val="0"/>
          <w:numId w:val="0"/>
        </w:numPr>
        <w:bidi w:val="0"/>
        <w:rPr>
          <w:rFonts w:hint="eastAsia"/>
          <w:lang w:val="en-US" w:eastAsia="zh-CN"/>
        </w:rPr>
      </w:pPr>
    </w:p>
    <w:p w14:paraId="4CCF5265">
      <w:pPr>
        <w:numPr>
          <w:ilvl w:val="0"/>
          <w:numId w:val="0"/>
        </w:numPr>
        <w:bidi w:val="0"/>
        <w:rPr>
          <w:rFonts w:hint="eastAsia"/>
          <w:lang w:val="en-US" w:eastAsia="zh-CN"/>
        </w:rPr>
      </w:pPr>
    </w:p>
    <w:p w14:paraId="32D7AD23">
      <w:pPr>
        <w:numPr>
          <w:ilvl w:val="0"/>
          <w:numId w:val="0"/>
        </w:numPr>
        <w:bidi w:val="0"/>
        <w:rPr>
          <w:rFonts w:hint="eastAsia"/>
          <w:lang w:val="en-US" w:eastAsia="zh-CN"/>
        </w:rPr>
      </w:pPr>
    </w:p>
    <w:p w14:paraId="4935F84A">
      <w:pPr>
        <w:numPr>
          <w:ilvl w:val="0"/>
          <w:numId w:val="0"/>
        </w:numPr>
        <w:bidi w:val="0"/>
        <w:rPr>
          <w:rFonts w:hint="eastAsia"/>
          <w:lang w:val="en-US" w:eastAsia="zh-CN"/>
        </w:rPr>
      </w:pPr>
    </w:p>
    <w:p w14:paraId="3E5DB39E">
      <w:pPr>
        <w:numPr>
          <w:ilvl w:val="0"/>
          <w:numId w:val="0"/>
        </w:numPr>
        <w:bidi w:val="0"/>
        <w:rPr>
          <w:rFonts w:hint="eastAsia"/>
          <w:lang w:val="en-US" w:eastAsia="zh-CN"/>
        </w:rPr>
      </w:pPr>
    </w:p>
    <w:p w14:paraId="53880DA0">
      <w:pPr>
        <w:numPr>
          <w:ilvl w:val="0"/>
          <w:numId w:val="0"/>
        </w:numPr>
        <w:bidi w:val="0"/>
        <w:rPr>
          <w:rFonts w:hint="eastAsia"/>
          <w:lang w:val="en-US" w:eastAsia="zh-CN"/>
        </w:rPr>
      </w:pPr>
    </w:p>
    <w:p w14:paraId="31D4F618">
      <w:pPr>
        <w:pStyle w:val="5"/>
        <w:spacing w:before="120" w:after="120"/>
        <w:jc w:val="center"/>
        <w:outlineLvl w:val="1"/>
        <w:rPr>
          <w:rFonts w:hint="eastAsia" w:eastAsia="黑体"/>
          <w:b w:val="0"/>
          <w:highlight w:val="none"/>
          <w:lang w:eastAsia="zh-CN"/>
        </w:rPr>
      </w:pPr>
      <w:bookmarkStart w:id="76" w:name="_Toc14441"/>
      <w:bookmarkStart w:id="77" w:name="_Toc13755"/>
      <w:r>
        <w:rPr>
          <w:rFonts w:hint="eastAsia" w:ascii="仿宋" w:hAnsi="仿宋" w:eastAsia="仿宋" w:cs="仿宋"/>
          <w:b/>
          <w:bCs w:val="0"/>
          <w:kern w:val="2"/>
          <w:sz w:val="32"/>
          <w:szCs w:val="32"/>
          <w:lang w:val="en-US" w:eastAsia="zh-CN" w:bidi="ar-SA"/>
        </w:rPr>
        <w:t>投标分项报价表</w:t>
      </w:r>
      <w:r>
        <w:rPr>
          <w:rFonts w:hint="eastAsia" w:ascii="仿宋" w:hAnsi="仿宋" w:eastAsia="仿宋" w:cs="仿宋"/>
          <w:b/>
          <w:color w:val="FF0000"/>
          <w:kern w:val="2"/>
          <w:sz w:val="24"/>
          <w:szCs w:val="24"/>
          <w:lang w:val="en-US" w:eastAsia="zh-CN" w:bidi="ar-SA"/>
        </w:rPr>
        <w:t>（如有）</w:t>
      </w:r>
      <w:bookmarkEnd w:id="76"/>
      <w:bookmarkEnd w:id="77"/>
    </w:p>
    <w:p w14:paraId="49B386EF">
      <w:pPr>
        <w:pStyle w:val="6"/>
        <w:jc w:val="center"/>
        <w:outlineLvl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4997"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360"/>
        <w:gridCol w:w="1320"/>
        <w:gridCol w:w="1436"/>
        <w:gridCol w:w="1958"/>
        <w:gridCol w:w="676"/>
      </w:tblGrid>
      <w:tr w14:paraId="1E16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top"/>
          </w:tcPr>
          <w:p w14:paraId="6AEB53DE">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序号</w:t>
            </w:r>
          </w:p>
        </w:tc>
        <w:tc>
          <w:tcPr>
            <w:tcW w:w="1385" w:type="pct"/>
            <w:tcBorders>
              <w:top w:val="single" w:color="auto" w:sz="4" w:space="0"/>
              <w:left w:val="single" w:color="auto" w:sz="4" w:space="0"/>
              <w:bottom w:val="single" w:color="auto" w:sz="4" w:space="0"/>
              <w:right w:val="single" w:color="auto" w:sz="4" w:space="0"/>
            </w:tcBorders>
            <w:noWrap w:val="0"/>
            <w:vAlign w:val="top"/>
          </w:tcPr>
          <w:p w14:paraId="007EB4F7">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项目内容</w:t>
            </w:r>
          </w:p>
        </w:tc>
        <w:tc>
          <w:tcPr>
            <w:tcW w:w="775" w:type="pct"/>
            <w:tcBorders>
              <w:top w:val="single" w:color="auto" w:sz="4" w:space="0"/>
              <w:left w:val="single" w:color="auto" w:sz="4" w:space="0"/>
              <w:bottom w:val="single" w:color="auto" w:sz="4" w:space="0"/>
              <w:right w:val="single" w:color="auto" w:sz="4" w:space="0"/>
            </w:tcBorders>
            <w:noWrap w:val="0"/>
            <w:vAlign w:val="top"/>
          </w:tcPr>
          <w:p w14:paraId="6930144A">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数量</w:t>
            </w:r>
          </w:p>
        </w:tc>
        <w:tc>
          <w:tcPr>
            <w:tcW w:w="842" w:type="pct"/>
            <w:tcBorders>
              <w:top w:val="single" w:color="auto" w:sz="4" w:space="0"/>
              <w:left w:val="single" w:color="auto" w:sz="4" w:space="0"/>
              <w:bottom w:val="single" w:color="auto" w:sz="4" w:space="0"/>
              <w:right w:val="single" w:color="auto" w:sz="4" w:space="0"/>
            </w:tcBorders>
            <w:noWrap w:val="0"/>
            <w:vAlign w:val="top"/>
          </w:tcPr>
          <w:p w14:paraId="6ED29EDA">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单价（元）</w:t>
            </w:r>
          </w:p>
        </w:tc>
        <w:tc>
          <w:tcPr>
            <w:tcW w:w="1149" w:type="pct"/>
            <w:tcBorders>
              <w:top w:val="single" w:color="auto" w:sz="4" w:space="0"/>
              <w:left w:val="single" w:color="auto" w:sz="4" w:space="0"/>
              <w:bottom w:val="single" w:color="auto" w:sz="4" w:space="0"/>
              <w:right w:val="single" w:color="auto" w:sz="4" w:space="0"/>
            </w:tcBorders>
            <w:noWrap w:val="0"/>
            <w:vAlign w:val="top"/>
          </w:tcPr>
          <w:p w14:paraId="5F9E0DEE">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投标报价（元）</w:t>
            </w:r>
          </w:p>
        </w:tc>
        <w:tc>
          <w:tcPr>
            <w:tcW w:w="397" w:type="pct"/>
            <w:tcBorders>
              <w:top w:val="single" w:color="auto" w:sz="4" w:space="0"/>
              <w:left w:val="single" w:color="auto" w:sz="4" w:space="0"/>
              <w:bottom w:val="single" w:color="auto" w:sz="4" w:space="0"/>
              <w:right w:val="single" w:color="auto" w:sz="4" w:space="0"/>
            </w:tcBorders>
            <w:noWrap w:val="0"/>
            <w:vAlign w:val="top"/>
          </w:tcPr>
          <w:p w14:paraId="6E1DB187">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备注</w:t>
            </w:r>
          </w:p>
        </w:tc>
      </w:tr>
      <w:tr w14:paraId="1AF5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71248B8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1</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4B536A7A">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27A46CFA">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11FDA4A1">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438E0EB2">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7EEE3764">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37D7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48A3B99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2</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2C48F645">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6ED382B8">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6C75E76">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7FA03FE8">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07FD3E51">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781A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3CE9664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3</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60B9FEE8">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5F5946D1">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4E214EE">
            <w:pPr>
              <w:pStyle w:val="307"/>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21B15B8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038870D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2EB2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top"/>
          </w:tcPr>
          <w:p w14:paraId="1CA30DD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w:t>
            </w:r>
          </w:p>
        </w:tc>
        <w:tc>
          <w:tcPr>
            <w:tcW w:w="1385" w:type="pct"/>
            <w:tcBorders>
              <w:top w:val="single" w:color="auto" w:sz="4" w:space="0"/>
              <w:left w:val="single" w:color="auto" w:sz="4" w:space="0"/>
              <w:bottom w:val="single" w:color="auto" w:sz="4" w:space="0"/>
              <w:right w:val="single" w:color="auto" w:sz="4" w:space="0"/>
            </w:tcBorders>
            <w:noWrap w:val="0"/>
            <w:vAlign w:val="top"/>
          </w:tcPr>
          <w:p w14:paraId="6B3A195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top"/>
          </w:tcPr>
          <w:p w14:paraId="07FF18C3">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4B63E6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58798B1C">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3C8E819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670B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pct"/>
            <w:gridSpan w:val="4"/>
            <w:tcBorders>
              <w:top w:val="single" w:color="auto" w:sz="4" w:space="0"/>
              <w:left w:val="single" w:color="auto" w:sz="4" w:space="0"/>
              <w:bottom w:val="single" w:color="auto" w:sz="4" w:space="0"/>
              <w:right w:val="single" w:color="auto" w:sz="4" w:space="0"/>
            </w:tcBorders>
            <w:noWrap w:val="0"/>
            <w:vAlign w:val="top"/>
          </w:tcPr>
          <w:p w14:paraId="0FE51221">
            <w:pPr>
              <w:keepNext w:val="0"/>
              <w:keepLines w:val="0"/>
              <w:suppressLineNumbers w:val="0"/>
              <w:spacing w:before="0" w:beforeAutospacing="0" w:after="0" w:afterAutospacing="0" w:line="360" w:lineRule="auto"/>
              <w:ind w:left="0" w:right="0"/>
              <w:rPr>
                <w:rFonts w:hint="eastAsia" w:ascii="宋体" w:hAnsi="宋体" w:cs="宋体"/>
                <w:bCs/>
                <w:szCs w:val="21"/>
              </w:rPr>
            </w:pPr>
            <w:r>
              <w:rPr>
                <w:rFonts w:hint="eastAsia" w:ascii="宋体" w:hAnsi="宋体" w:cs="宋体"/>
                <w:bCs/>
                <w:szCs w:val="21"/>
              </w:rPr>
              <w:t>合计（投标总价）（元）：</w:t>
            </w:r>
          </w:p>
        </w:tc>
        <w:tc>
          <w:tcPr>
            <w:tcW w:w="1149" w:type="pct"/>
            <w:tcBorders>
              <w:top w:val="single" w:color="auto" w:sz="4" w:space="0"/>
              <w:left w:val="single" w:color="auto" w:sz="4" w:space="0"/>
              <w:bottom w:val="single" w:color="auto" w:sz="4" w:space="0"/>
              <w:right w:val="single" w:color="auto" w:sz="4" w:space="0"/>
            </w:tcBorders>
            <w:noWrap w:val="0"/>
            <w:vAlign w:val="top"/>
          </w:tcPr>
          <w:p w14:paraId="3015753D">
            <w:pPr>
              <w:keepNext w:val="0"/>
              <w:keepLines w:val="0"/>
              <w:suppressLineNumbers w:val="0"/>
              <w:spacing w:before="0" w:beforeAutospacing="0" w:after="0" w:afterAutospacing="0" w:line="360" w:lineRule="auto"/>
              <w:ind w:left="0" w:right="0"/>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29285C09">
            <w:pPr>
              <w:keepNext w:val="0"/>
              <w:keepLines w:val="0"/>
              <w:suppressLineNumbers w:val="0"/>
              <w:spacing w:before="0" w:beforeAutospacing="0" w:after="0" w:afterAutospacing="0" w:line="360" w:lineRule="auto"/>
              <w:ind w:left="0" w:right="0"/>
              <w:rPr>
                <w:rFonts w:hint="eastAsia" w:ascii="宋体" w:hAnsi="宋体" w:cs="宋体"/>
                <w:bCs/>
                <w:szCs w:val="21"/>
              </w:rPr>
            </w:pPr>
          </w:p>
        </w:tc>
      </w:tr>
    </w:tbl>
    <w:p w14:paraId="3F6D84BE">
      <w:pPr>
        <w:pStyle w:val="2"/>
        <w:rPr>
          <w:rFonts w:hint="eastAsia"/>
          <w:sz w:val="24"/>
          <w:szCs w:val="24"/>
          <w:highlight w:val="none"/>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5A1E8A7">
      <w:pPr>
        <w:spacing w:line="400" w:lineRule="exact"/>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val="en-US" w:eastAsia="zh-CN"/>
        </w:rPr>
        <w:t>.</w:t>
      </w:r>
      <w:r>
        <w:rPr>
          <w:rFonts w:hint="eastAsia" w:ascii="宋体" w:hAnsi="宋体" w:eastAsia="宋体" w:cs="宋体"/>
          <w:szCs w:val="21"/>
        </w:rPr>
        <w:t>所有价格应按“招标文件”中规定的货币单位填写；</w:t>
      </w:r>
    </w:p>
    <w:p w14:paraId="5197D273">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总计价应等于《开标一览表》中的投标总价。若总计价与《开标一览表》总价不一致，以开标一览表总价为准</w:t>
      </w:r>
      <w:r>
        <w:rPr>
          <w:rFonts w:hint="eastAsia" w:ascii="宋体" w:hAnsi="宋体" w:eastAsia="宋体" w:cs="宋体"/>
          <w:szCs w:val="21"/>
          <w:lang w:eastAsia="zh-CN"/>
        </w:rPr>
        <w:t>。</w:t>
      </w:r>
    </w:p>
    <w:p w14:paraId="6F9757B7">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单价金额小数点或者百分比有明显错位的，以开标一览表的总价为准，并修改单价；</w:t>
      </w:r>
    </w:p>
    <w:p w14:paraId="1D26DE52">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rPr>
        <w:t>总价金额与按单价汇总金额不一致的，以单价金额计算结果为准；</w:t>
      </w:r>
    </w:p>
    <w:p w14:paraId="508BAAF0">
      <w:pPr>
        <w:spacing w:line="400" w:lineRule="exact"/>
        <w:outlineLvl w:val="1"/>
        <w:rPr>
          <w:rFonts w:hint="eastAsia" w:ascii="宋体" w:hAnsi="宋体" w:eastAsia="宋体" w:cs="宋体"/>
          <w:szCs w:val="21"/>
        </w:rPr>
      </w:pPr>
      <w:bookmarkStart w:id="78" w:name="_Toc26082"/>
      <w:bookmarkStart w:id="79" w:name="_Toc1016"/>
      <w:r>
        <w:rPr>
          <w:rFonts w:hint="eastAsia" w:ascii="宋体" w:hAnsi="宋体" w:eastAsia="宋体" w:cs="宋体"/>
          <w:szCs w:val="21"/>
          <w:lang w:val="en-US" w:eastAsia="zh-CN"/>
        </w:rPr>
        <w:t>5.</w:t>
      </w:r>
      <w:r>
        <w:rPr>
          <w:rFonts w:hint="eastAsia" w:ascii="宋体" w:hAnsi="宋体" w:eastAsia="宋体" w:cs="宋体"/>
          <w:szCs w:val="21"/>
        </w:rPr>
        <w:t>本表格仅为指导性范本，供应商应根据项目具体情况对各分项内容进行调整提供详细分项报价。</w:t>
      </w:r>
      <w:bookmarkEnd w:id="78"/>
      <w:bookmarkEnd w:id="79"/>
    </w:p>
    <w:p w14:paraId="29827195">
      <w:pPr>
        <w:keepNext/>
        <w:keepLines/>
        <w:widowControl w:val="0"/>
        <w:spacing w:before="260" w:after="260" w:line="416" w:lineRule="auto"/>
        <w:jc w:val="both"/>
        <w:outlineLvl w:val="9"/>
        <w:rPr>
          <w:rFonts w:ascii="Arial" w:hAnsi="Arial" w:eastAsia="黑体" w:cs="Times New Roman"/>
          <w:kern w:val="2"/>
          <w:sz w:val="32"/>
          <w:szCs w:val="32"/>
          <w:lang w:val="en-US" w:eastAsia="zh-CN" w:bidi="ar-SA"/>
        </w:rPr>
      </w:pPr>
    </w:p>
    <w:p w14:paraId="448B5827">
      <w:pPr>
        <w:numPr>
          <w:ilvl w:val="0"/>
          <w:numId w:val="0"/>
        </w:numPr>
        <w:bidi w:val="0"/>
        <w:rPr>
          <w:rFonts w:hint="eastAsia"/>
          <w:lang w:val="en-US" w:eastAsia="zh-CN"/>
        </w:rPr>
      </w:pPr>
    </w:p>
    <w:p w14:paraId="06370397">
      <w:pPr>
        <w:numPr>
          <w:ilvl w:val="0"/>
          <w:numId w:val="0"/>
        </w:numPr>
        <w:bidi w:val="0"/>
        <w:rPr>
          <w:rFonts w:hint="eastAsia"/>
          <w:lang w:val="en-US" w:eastAsia="zh-CN"/>
        </w:rPr>
      </w:pPr>
    </w:p>
    <w:p w14:paraId="7549C725">
      <w:pPr>
        <w:numPr>
          <w:ilvl w:val="0"/>
          <w:numId w:val="0"/>
        </w:numPr>
        <w:bidi w:val="0"/>
        <w:rPr>
          <w:rFonts w:hint="eastAsia"/>
          <w:lang w:val="en-US" w:eastAsia="zh-CN"/>
        </w:rPr>
      </w:pPr>
    </w:p>
    <w:p w14:paraId="30465A99">
      <w:pPr>
        <w:numPr>
          <w:ilvl w:val="0"/>
          <w:numId w:val="0"/>
        </w:numPr>
        <w:bidi w:val="0"/>
        <w:jc w:val="both"/>
        <w:rPr>
          <w:rFonts w:hint="eastAsia" w:ascii="仿宋" w:hAnsi="仿宋" w:eastAsia="仿宋" w:cs="仿宋"/>
          <w:b/>
          <w:bCs w:val="0"/>
          <w:kern w:val="2"/>
          <w:sz w:val="32"/>
          <w:szCs w:val="32"/>
          <w:lang w:val="en-US" w:eastAsia="zh-CN" w:bidi="ar-SA"/>
        </w:rPr>
      </w:pPr>
    </w:p>
    <w:p w14:paraId="77836398">
      <w:pPr>
        <w:numPr>
          <w:ilvl w:val="0"/>
          <w:numId w:val="0"/>
        </w:numPr>
        <w:bidi w:val="0"/>
        <w:ind w:left="0" w:leftChars="0" w:firstLine="0" w:firstLineChars="0"/>
        <w:jc w:val="center"/>
        <w:outlineLvl w:val="1"/>
        <w:rPr>
          <w:rFonts w:hint="default" w:ascii="仿宋" w:hAnsi="仿宋" w:eastAsia="仿宋" w:cs="仿宋"/>
          <w:b/>
          <w:bCs w:val="0"/>
          <w:kern w:val="2"/>
          <w:sz w:val="32"/>
          <w:szCs w:val="32"/>
          <w:lang w:val="en-US" w:eastAsia="zh-CN" w:bidi="ar-SA"/>
        </w:rPr>
      </w:pPr>
      <w:bookmarkStart w:id="80" w:name="_Toc8849"/>
      <w:bookmarkStart w:id="81" w:name="_Toc12577"/>
      <w:r>
        <w:rPr>
          <w:rFonts w:hint="eastAsia" w:ascii="仿宋" w:hAnsi="仿宋" w:eastAsia="仿宋" w:cs="仿宋"/>
          <w:b/>
          <w:bCs w:val="0"/>
          <w:kern w:val="2"/>
          <w:sz w:val="32"/>
          <w:szCs w:val="32"/>
          <w:lang w:val="en-US" w:eastAsia="zh-CN" w:bidi="ar-SA"/>
        </w:rPr>
        <w:t>四、投标人资格</w:t>
      </w:r>
      <w:bookmarkEnd w:id="75"/>
      <w:r>
        <w:rPr>
          <w:rFonts w:hint="eastAsia" w:ascii="仿宋" w:hAnsi="仿宋" w:eastAsia="仿宋" w:cs="仿宋"/>
          <w:b/>
          <w:bCs w:val="0"/>
          <w:kern w:val="2"/>
          <w:sz w:val="32"/>
          <w:szCs w:val="32"/>
          <w:lang w:val="en-US" w:eastAsia="zh-CN" w:bidi="ar-SA"/>
        </w:rPr>
        <w:t>证明文件</w:t>
      </w:r>
      <w:bookmarkEnd w:id="80"/>
      <w:bookmarkEnd w:id="81"/>
    </w:p>
    <w:p w14:paraId="1CE045C8">
      <w:pPr>
        <w:snapToGrid w:val="0"/>
        <w:ind w:firstLine="482" w:firstLineChars="200"/>
        <w:rPr>
          <w:rFonts w:hint="eastAsia" w:ascii="仿宋" w:hAnsi="仿宋" w:eastAsia="仿宋" w:cs="仿宋"/>
          <w:b/>
          <w:color w:val="FF0000"/>
          <w:sz w:val="24"/>
        </w:rPr>
      </w:pPr>
      <w:r>
        <w:rPr>
          <w:rFonts w:hint="eastAsia" w:ascii="仿宋" w:hAnsi="仿宋" w:eastAsia="仿宋" w:cs="仿宋"/>
          <w:b/>
          <w:color w:val="FF0000"/>
          <w:sz w:val="24"/>
        </w:rPr>
        <w:t>注：按本</w:t>
      </w:r>
      <w:r>
        <w:rPr>
          <w:rFonts w:hint="eastAsia" w:ascii="仿宋" w:hAnsi="仿宋" w:eastAsia="仿宋" w:cs="仿宋"/>
          <w:b/>
          <w:color w:val="FF0000"/>
          <w:sz w:val="24"/>
          <w:lang w:eastAsia="zh-CN"/>
        </w:rPr>
        <w:t>招标文件</w:t>
      </w:r>
      <w:r>
        <w:rPr>
          <w:rFonts w:hint="eastAsia" w:ascii="仿宋" w:hAnsi="仿宋" w:eastAsia="仿宋" w:cs="仿宋"/>
          <w:b/>
          <w:color w:val="FF0000"/>
          <w:sz w:val="24"/>
        </w:rPr>
        <w:t>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rPr>
          <w:rFonts w:hint="eastAsia"/>
          <w:sz w:val="28"/>
          <w:szCs w:val="28"/>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43"/>
        <w:gridCol w:w="3634"/>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2143"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634"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2143"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634"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634"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634"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634"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634"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2143"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634"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634"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634"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634"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634"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43"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634"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68A24E05">
      <w:pPr>
        <w:snapToGrid w:val="0"/>
        <w:rPr>
          <w:rFonts w:hint="eastAsia" w:ascii="仿宋" w:hAnsi="仿宋" w:eastAsia="仿宋" w:cs="仿宋"/>
          <w:bCs w:val="0"/>
        </w:rPr>
      </w:pPr>
      <w:r>
        <w:rPr>
          <w:rFonts w:hint="eastAsia" w:ascii="仿宋" w:hAnsi="仿宋" w:eastAsia="仿宋" w:cs="仿宋"/>
          <w:b/>
          <w:color w:val="000000"/>
          <w:szCs w:val="21"/>
          <w:highlight w:val="none"/>
        </w:rPr>
        <w:tab/>
      </w:r>
      <w:r>
        <w:rPr>
          <w:rFonts w:hint="eastAsia" w:ascii="仿宋" w:hAnsi="仿宋" w:eastAsia="仿宋" w:cs="仿宋"/>
          <w:b/>
          <w:color w:val="000000"/>
          <w:szCs w:val="21"/>
          <w:highlight w:val="none"/>
        </w:rPr>
        <w:t>注：在按要求填写好此表格后，各投标单位可以用其他的方式，就公司整体情况作出详细的介绍（可以提供相应文字、照片</w:t>
      </w:r>
      <w:r>
        <w:rPr>
          <w:rFonts w:hint="eastAsia" w:ascii="仿宋" w:hAnsi="仿宋" w:eastAsia="仿宋" w:cs="仿宋"/>
          <w:b/>
          <w:color w:val="000000"/>
          <w:szCs w:val="21"/>
          <w:highlight w:val="none"/>
          <w:lang w:eastAsia="zh-CN"/>
        </w:rPr>
        <w:t>，</w:t>
      </w:r>
      <w:r>
        <w:rPr>
          <w:rFonts w:hint="eastAsia" w:ascii="仿宋" w:hAnsi="仿宋" w:eastAsia="仿宋" w:cs="仿宋"/>
          <w:b/>
          <w:color w:val="000000"/>
          <w:szCs w:val="21"/>
          <w:highlight w:val="none"/>
          <w:lang w:val="en-US" w:eastAsia="zh-CN"/>
        </w:rPr>
        <w:t>扫描件</w:t>
      </w:r>
      <w:r>
        <w:rPr>
          <w:rFonts w:hint="eastAsia" w:ascii="仿宋" w:hAnsi="仿宋" w:eastAsia="仿宋" w:cs="仿宋"/>
          <w:b/>
          <w:color w:val="000000"/>
          <w:szCs w:val="21"/>
          <w:highlight w:val="none"/>
        </w:rPr>
        <w:t>等</w:t>
      </w:r>
      <w:r>
        <w:rPr>
          <w:rFonts w:hint="eastAsia" w:ascii="仿宋" w:hAnsi="仿宋" w:eastAsia="仿宋" w:cs="仿宋"/>
          <w:b/>
          <w:color w:val="000000"/>
          <w:szCs w:val="21"/>
          <w:highlight w:val="none"/>
          <w:lang w:val="en-US" w:eastAsia="zh-CN"/>
        </w:rPr>
        <w:t>材料</w:t>
      </w:r>
      <w:r>
        <w:rPr>
          <w:rFonts w:hint="eastAsia" w:ascii="仿宋" w:hAnsi="仿宋" w:eastAsia="仿宋" w:cs="仿宋"/>
          <w:b/>
          <w:color w:val="000000"/>
          <w:szCs w:val="21"/>
          <w:highlight w:val="none"/>
        </w:rPr>
        <w:t>）。</w:t>
      </w:r>
    </w:p>
    <w:p w14:paraId="3FC5C76C">
      <w:pPr>
        <w:bidi w:val="0"/>
        <w:rPr>
          <w:rFonts w:hint="eastAsia"/>
        </w:rPr>
      </w:pPr>
    </w:p>
    <w:p w14:paraId="6BD2053A">
      <w:pPr>
        <w:bidi w:val="0"/>
        <w:rPr>
          <w:rFonts w:hint="eastAsia"/>
        </w:rPr>
      </w:pPr>
    </w:p>
    <w:p w14:paraId="5292F53C">
      <w:pPr>
        <w:numPr>
          <w:ilvl w:val="0"/>
          <w:numId w:val="0"/>
        </w:numPr>
        <w:ind w:leftChars="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82" w:name="_Toc6707"/>
      <w:bookmarkStart w:id="83" w:name="_Toc5975"/>
      <w:bookmarkStart w:id="84" w:name="_Toc10265"/>
      <w:r>
        <w:rPr>
          <w:rFonts w:hint="eastAsia" w:ascii="仿宋" w:hAnsi="仿宋" w:eastAsia="仿宋" w:cs="仿宋"/>
          <w:bCs/>
          <w:color w:val="000000"/>
          <w:szCs w:val="21"/>
          <w:highlight w:val="none"/>
        </w:rPr>
        <w:t>投标人资格要求的证明文件：</w:t>
      </w:r>
      <w:bookmarkEnd w:id="82"/>
      <w:bookmarkEnd w:id="83"/>
      <w:bookmarkEnd w:id="84"/>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44489D3F">
      <w:pPr>
        <w:jc w:val="center"/>
        <w:rPr>
          <w:rFonts w:ascii="宋体" w:hAnsi="宋体" w:cs="宋体"/>
          <w:bCs/>
          <w:kern w:val="0"/>
          <w:szCs w:val="21"/>
        </w:rPr>
      </w:pPr>
    </w:p>
    <w:p w14:paraId="59DFE2A0"/>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4473274">
      <w:pPr>
        <w:pStyle w:val="7"/>
        <w:pageBreakBefore/>
        <w:numPr>
          <w:ilvl w:val="0"/>
          <w:numId w:val="0"/>
        </w:numPr>
        <w:spacing w:line="377" w:lineRule="auto"/>
        <w:ind w:left="0" w:leftChars="0" w:firstLine="0" w:firstLineChars="0"/>
        <w:jc w:val="center"/>
        <w:outlineLvl w:val="1"/>
        <w:rPr>
          <w:rFonts w:hint="eastAsia" w:ascii="仿宋" w:hAnsi="仿宋" w:eastAsia="仿宋" w:cs="仿宋"/>
          <w:b/>
          <w:bCs w:val="0"/>
          <w:kern w:val="2"/>
          <w:sz w:val="32"/>
          <w:szCs w:val="32"/>
          <w:lang w:val="en-US" w:eastAsia="zh-CN" w:bidi="ar-SA"/>
        </w:rPr>
      </w:pPr>
      <w:bookmarkStart w:id="85" w:name="_Toc32100"/>
      <w:bookmarkStart w:id="86" w:name="_Toc5690"/>
      <w:r>
        <w:rPr>
          <w:rFonts w:hint="eastAsia" w:ascii="仿宋" w:hAnsi="仿宋" w:eastAsia="仿宋" w:cs="仿宋"/>
          <w:b/>
          <w:bCs w:val="0"/>
          <w:kern w:val="2"/>
          <w:sz w:val="32"/>
          <w:szCs w:val="32"/>
          <w:lang w:val="en-US" w:eastAsia="zh-CN" w:bidi="ar-SA"/>
        </w:rPr>
        <w:t>五、投标承诺函</w:t>
      </w:r>
      <w:bookmarkEnd w:id="85"/>
      <w:bookmarkEnd w:id="86"/>
    </w:p>
    <w:p w14:paraId="7BB19111">
      <w:pPr>
        <w:bidi w:val="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（一）政府采购投标及履约承诺函</w:t>
      </w:r>
    </w:p>
    <w:p w14:paraId="267A8EE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1FB8570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7103FA0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2A9928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31971FD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523A7FB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1ED8AF09">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1DD0161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4E9F92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793730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06F6629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F57058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029E5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F34E6A2">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0F39ECF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06EFBBA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23F6024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4BA9FC8A">
      <w:pPr>
        <w:spacing w:after="124" w:afterLines="40" w:line="280" w:lineRule="exact"/>
        <w:ind w:firstLine="3600" w:firstLineChars="1500"/>
        <w:jc w:val="left"/>
        <w:rPr>
          <w:rFonts w:hint="eastAsia" w:ascii="仿宋" w:hAnsi="仿宋" w:eastAsia="仿宋" w:cs="仿宋"/>
          <w:color w:val="000000"/>
          <w:sz w:val="24"/>
        </w:rPr>
      </w:pPr>
    </w:p>
    <w:p w14:paraId="586DFEBB">
      <w:pPr>
        <w:rPr>
          <w:rFonts w:hint="eastAsia" w:ascii="仿宋" w:hAnsi="仿宋" w:eastAsia="仿宋" w:cs="仿宋"/>
        </w:rPr>
      </w:pPr>
      <w:r>
        <w:rPr>
          <w:rFonts w:hint="eastAsia" w:ascii="仿宋" w:hAnsi="仿宋" w:eastAsia="仿宋" w:cs="仿宋"/>
        </w:rPr>
        <w:br w:type="page"/>
      </w:r>
    </w:p>
    <w:p w14:paraId="44641F2C">
      <w:pPr>
        <w:pStyle w:val="7"/>
        <w:pageBreakBefore/>
        <w:spacing w:line="377" w:lineRule="auto"/>
        <w:jc w:val="center"/>
        <w:outlineLvl w:val="9"/>
        <w:rPr>
          <w:rFonts w:hint="eastAsia" w:ascii="仿宋" w:hAnsi="仿宋" w:eastAsia="仿宋" w:cs="仿宋"/>
          <w:lang w:val="en-US" w:eastAsia="zh-CN"/>
        </w:rPr>
      </w:pPr>
      <w:r>
        <w:rPr>
          <w:rFonts w:hint="eastAsia" w:ascii="仿宋" w:hAnsi="仿宋" w:eastAsia="仿宋" w:cs="仿宋"/>
          <w:lang w:val="en-US" w:eastAsia="zh-CN"/>
        </w:rPr>
        <w:t>（二）诚信承诺函</w:t>
      </w:r>
    </w:p>
    <w:p w14:paraId="6F2A1919">
      <w:pPr>
        <w:jc w:val="left"/>
        <w:rPr>
          <w:rFonts w:ascii="仿宋" w:hAnsi="仿宋" w:eastAsia="仿宋" w:cs="仿宋"/>
          <w:color w:val="000000"/>
          <w:sz w:val="24"/>
        </w:rPr>
      </w:pPr>
    </w:p>
    <w:p w14:paraId="63418E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我公司承诺近三年在采购招标投标活动中，不存在以下情形：</w:t>
      </w:r>
    </w:p>
    <w:p w14:paraId="3F86D0F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7996DBAB">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3CE6DB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7C87E2F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674BF64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60024841">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6DD847E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36C8454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2BDF357D">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0CA78A6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4B15C743">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6D26A3E5">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63D05F31">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3EB36304">
      <w:pPr>
        <w:spacing w:line="400" w:lineRule="exact"/>
        <w:jc w:val="right"/>
        <w:rPr>
          <w:rFonts w:ascii="仿宋" w:hAnsi="仿宋" w:eastAsia="仿宋" w:cs="仿宋"/>
          <w:color w:val="000000"/>
          <w:sz w:val="24"/>
        </w:rPr>
      </w:pPr>
    </w:p>
    <w:p w14:paraId="0A111ECC">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6E482EE8">
      <w:pPr>
        <w:keepNext/>
        <w:keepLines/>
        <w:pageBreakBefore/>
        <w:widowControl w:val="0"/>
        <w:spacing w:before="280" w:after="290" w:line="377" w:lineRule="auto"/>
        <w:jc w:val="center"/>
        <w:outlineLvl w:val="9"/>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（三）投标声明</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998DF0C">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40319F0B">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53C67325">
      <w:pPr>
        <w:spacing w:line="260" w:lineRule="auto"/>
        <w:ind w:firstLine="480" w:firstLineChars="200"/>
        <w:jc w:val="left"/>
        <w:rPr>
          <w:rFonts w:hint="eastAsia" w:ascii="仿宋" w:hAnsi="仿宋" w:eastAsia="仿宋" w:cs="仿宋"/>
          <w:color w:val="000000"/>
          <w:sz w:val="24"/>
        </w:rPr>
      </w:pPr>
    </w:p>
    <w:p w14:paraId="3B0D476E">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77C6B3F">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 xml:space="preserve">（所属行业）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3DE69C00">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4058AC1">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7C4AA8CE">
      <w:pPr>
        <w:ind w:firstLine="480" w:firstLineChars="200"/>
        <w:rPr>
          <w:rFonts w:hint="eastAsia" w:ascii="仿宋" w:hAnsi="仿宋" w:eastAsia="仿宋" w:cs="仿宋"/>
          <w:color w:val="000000"/>
          <w:sz w:val="24"/>
        </w:rPr>
      </w:pPr>
    </w:p>
    <w:p w14:paraId="293F007D">
      <w:pPr>
        <w:ind w:firstLine="480" w:firstLineChars="200"/>
        <w:rPr>
          <w:rFonts w:hint="eastAsia" w:ascii="仿宋" w:hAnsi="仿宋" w:eastAsia="仿宋" w:cs="仿宋"/>
          <w:color w:val="000000"/>
          <w:sz w:val="24"/>
        </w:rPr>
      </w:pPr>
    </w:p>
    <w:p w14:paraId="679BE5EE">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47F06C30">
      <w:pPr>
        <w:jc w:val="left"/>
        <w:rPr>
          <w:rFonts w:hint="eastAsia" w:ascii="仿宋" w:hAnsi="仿宋" w:eastAsia="仿宋" w:cs="仿宋"/>
          <w:color w:val="000000"/>
          <w:sz w:val="24"/>
        </w:rPr>
      </w:pPr>
    </w:p>
    <w:p w14:paraId="25BD55ED">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C60155A">
      <w:pPr>
        <w:jc w:val="left"/>
        <w:rPr>
          <w:rFonts w:hint="eastAsia" w:ascii="仿宋" w:hAnsi="仿宋" w:eastAsia="仿宋" w:cs="仿宋"/>
          <w:color w:val="000000"/>
          <w:sz w:val="24"/>
        </w:rPr>
      </w:pPr>
    </w:p>
    <w:p w14:paraId="7293B16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4937F823">
      <w:pPr>
        <w:rPr>
          <w:rFonts w:hint="eastAsia" w:ascii="仿宋" w:hAnsi="仿宋" w:eastAsia="仿宋" w:cs="仿宋"/>
          <w:b/>
          <w:bCs/>
          <w:color w:val="000000"/>
          <w:sz w:val="24"/>
        </w:rPr>
      </w:pPr>
    </w:p>
    <w:p w14:paraId="48F94539">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1966935C">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3A878F60">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4A246C91">
      <w:pPr>
        <w:ind w:firstLine="480" w:firstLineChars="200"/>
        <w:rPr>
          <w:rFonts w:hint="eastAsia" w:ascii="仿宋" w:hAnsi="仿宋" w:eastAsia="仿宋" w:cs="仿宋"/>
          <w:color w:val="000000"/>
          <w:sz w:val="24"/>
        </w:rPr>
      </w:pPr>
    </w:p>
    <w:p w14:paraId="440A2418">
      <w:pPr>
        <w:ind w:firstLine="480" w:firstLineChars="200"/>
        <w:rPr>
          <w:rFonts w:hint="eastAsia" w:ascii="仿宋" w:hAnsi="仿宋" w:eastAsia="仿宋" w:cs="仿宋"/>
          <w:color w:val="000000"/>
          <w:sz w:val="24"/>
        </w:rPr>
      </w:pPr>
    </w:p>
    <w:p w14:paraId="1590A520">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62DABB1D">
      <w:pPr>
        <w:jc w:val="left"/>
        <w:rPr>
          <w:rFonts w:hint="eastAsia" w:ascii="仿宋" w:hAnsi="仿宋" w:eastAsia="仿宋" w:cs="仿宋"/>
          <w:color w:val="000000"/>
          <w:sz w:val="24"/>
        </w:rPr>
      </w:pPr>
    </w:p>
    <w:p w14:paraId="36583DD4">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44C84A86">
      <w:pPr>
        <w:jc w:val="left"/>
        <w:rPr>
          <w:rFonts w:hint="eastAsia" w:ascii="仿宋" w:hAnsi="仿宋" w:eastAsia="仿宋" w:cs="仿宋"/>
          <w:color w:val="000000"/>
          <w:sz w:val="24"/>
        </w:rPr>
      </w:pPr>
    </w:p>
    <w:p w14:paraId="5048BB0E">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0D7557E">
      <w:pPr>
        <w:wordWrap w:val="0"/>
        <w:ind w:right="420"/>
        <w:rPr>
          <w:rFonts w:hint="eastAsia" w:ascii="仿宋" w:hAnsi="仿宋" w:eastAsia="仿宋" w:cs="仿宋"/>
          <w:color w:val="000000"/>
          <w:sz w:val="24"/>
        </w:rPr>
      </w:pPr>
    </w:p>
    <w:p w14:paraId="3F196AD4">
      <w:pPr>
        <w:ind w:firstLine="480" w:firstLineChars="200"/>
        <w:jc w:val="right"/>
        <w:rPr>
          <w:rFonts w:hint="eastAsia" w:ascii="仿宋" w:hAnsi="仿宋" w:eastAsia="仿宋" w:cs="仿宋"/>
          <w:color w:val="000000"/>
          <w:sz w:val="24"/>
        </w:rPr>
      </w:pPr>
    </w:p>
    <w:p w14:paraId="24F9DFA0">
      <w:pPr>
        <w:numPr>
          <w:ilvl w:val="0"/>
          <w:numId w:val="16"/>
        </w:numPr>
        <w:jc w:val="center"/>
        <w:rPr>
          <w:rFonts w:hint="eastAsia" w:ascii="仿宋" w:hAnsi="仿宋" w:eastAsia="仿宋" w:cs="仿宋"/>
          <w:b/>
          <w:color w:val="000000"/>
          <w:sz w:val="24"/>
        </w:rPr>
      </w:pPr>
      <w:r>
        <w:rPr>
          <w:rFonts w:hint="eastAsia" w:ascii="仿宋" w:hAnsi="仿宋" w:eastAsia="仿宋" w:cs="仿宋"/>
          <w:b/>
          <w:color w:val="000000"/>
          <w:sz w:val="24"/>
        </w:rPr>
        <w:t>省级以上监狱管理局、戒毒管理局（含新疆生产建设兵团）出具的属于监狱企业的证明文件（样表）</w:t>
      </w:r>
    </w:p>
    <w:p w14:paraId="409B60CF">
      <w:pPr>
        <w:numPr>
          <w:ilvl w:val="0"/>
          <w:numId w:val="0"/>
        </w:num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22060B98">
      <w:pPr>
        <w:jc w:val="center"/>
        <w:rPr>
          <w:rFonts w:hint="eastAsia" w:ascii="仿宋" w:hAnsi="仿宋" w:eastAsia="仿宋" w:cs="仿宋"/>
          <w:b/>
          <w:color w:val="000000"/>
          <w:sz w:val="24"/>
        </w:rPr>
      </w:pPr>
    </w:p>
    <w:p w14:paraId="68E0D73D">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本单位郑重声明，根据《财政部司法部关于政府采购支持监狱企业发展有关问题的通知》（财库〔2014〕68号）的规定，本单位为符合条件的监狱企业，且本单位参加 </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5041E0C0">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4B61E15">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2F5A3F49">
      <w:pPr>
        <w:ind w:firstLine="480" w:firstLineChars="200"/>
        <w:rPr>
          <w:rFonts w:hint="eastAsia" w:ascii="仿宋" w:hAnsi="仿宋" w:eastAsia="仿宋" w:cs="仿宋"/>
          <w:color w:val="000000"/>
          <w:sz w:val="24"/>
        </w:rPr>
      </w:pPr>
    </w:p>
    <w:p w14:paraId="753C994E">
      <w:pPr>
        <w:ind w:firstLine="480" w:firstLineChars="200"/>
        <w:rPr>
          <w:rFonts w:hint="eastAsia" w:ascii="仿宋" w:hAnsi="仿宋" w:eastAsia="仿宋" w:cs="仿宋"/>
          <w:color w:val="000000"/>
          <w:sz w:val="24"/>
        </w:rPr>
      </w:pPr>
    </w:p>
    <w:p w14:paraId="0EED872E">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531B302A">
      <w:pPr>
        <w:jc w:val="left"/>
        <w:rPr>
          <w:rFonts w:hint="eastAsia" w:ascii="仿宋" w:hAnsi="仿宋" w:eastAsia="仿宋" w:cs="仿宋"/>
          <w:color w:val="000000"/>
          <w:sz w:val="24"/>
        </w:rPr>
      </w:pPr>
    </w:p>
    <w:p w14:paraId="2D6B82AD">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C70437D">
      <w:pPr>
        <w:jc w:val="left"/>
        <w:rPr>
          <w:rFonts w:hint="eastAsia" w:ascii="仿宋" w:hAnsi="仿宋" w:eastAsia="仿宋" w:cs="仿宋"/>
          <w:color w:val="000000"/>
          <w:sz w:val="24"/>
        </w:rPr>
      </w:pPr>
    </w:p>
    <w:p w14:paraId="506899B0">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22AFB85">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04F4E110">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06438CEC">
      <w:pPr>
        <w:numPr>
          <w:ilvl w:val="0"/>
          <w:numId w:val="0"/>
        </w:numPr>
        <w:jc w:val="left"/>
        <w:rPr>
          <w:rFonts w:hint="eastAsia" w:ascii="仿宋" w:hAnsi="仿宋" w:eastAsia="仿宋" w:cs="仿宋"/>
          <w:b/>
          <w:color w:val="000000"/>
          <w:sz w:val="24"/>
        </w:rPr>
      </w:pPr>
      <w:bookmarkStart w:id="87" w:name="_Toc21134"/>
    </w:p>
    <w:p w14:paraId="3787E820">
      <w:pPr>
        <w:numPr>
          <w:ilvl w:val="0"/>
          <w:numId w:val="0"/>
        </w:numPr>
        <w:jc w:val="left"/>
        <w:rPr>
          <w:rFonts w:hint="eastAsia" w:ascii="仿宋" w:hAnsi="仿宋" w:eastAsia="仿宋" w:cs="仿宋"/>
          <w:b/>
          <w:color w:val="000000"/>
          <w:sz w:val="24"/>
        </w:rPr>
      </w:pPr>
    </w:p>
    <w:p w14:paraId="7A808B4A">
      <w:pPr>
        <w:numPr>
          <w:ilvl w:val="0"/>
          <w:numId w:val="16"/>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lang w:val="en-US" w:eastAsia="zh-CN"/>
        </w:rPr>
        <w:t>声明</w:t>
      </w:r>
      <w:r>
        <w:rPr>
          <w:rFonts w:hint="eastAsia" w:ascii="仿宋" w:hAnsi="仿宋" w:eastAsia="仿宋" w:cs="仿宋"/>
          <w:b/>
          <w:color w:val="000000"/>
          <w:sz w:val="24"/>
          <w:highlight w:val="yellow"/>
        </w:rPr>
        <w:t>（如有）</w:t>
      </w:r>
      <w:bookmarkEnd w:id="87"/>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DD42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3C890B0">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E31FE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1BAAC95C">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7A4205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45D3B2A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0AC7B2A2">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68CC8A78">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2D606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3725D9B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60A7EEE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2B254F0B">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275EB0B">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71B0AF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ED6EF0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1F3A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1F92EB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41C16A6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718FDB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6F722A0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442633E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3795A23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C6CE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383E322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0BAADDA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149607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8E8260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6E0E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22BBAF4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2AB3E2C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2DE3FD6A">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6EE63BF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6536087A">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67717A7A">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A2DD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4A1F1B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05B00B6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061B31FF">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7FB268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531082CB">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761EB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04C34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01C430B2">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FF4DF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10DC9E1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3C37832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B60B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CD32B7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63681E54">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79EB5475">
      <w:pPr>
        <w:autoSpaceDE w:val="0"/>
        <w:autoSpaceDN w:val="0"/>
        <w:adjustRightInd w:val="0"/>
        <w:jc w:val="left"/>
        <w:rPr>
          <w:rFonts w:asciiTheme="minorEastAsia" w:hAnsiTheme="minorEastAsia" w:eastAsiaTheme="minorEastAsia"/>
          <w:szCs w:val="21"/>
          <w:lang w:val="en-GB"/>
        </w:rPr>
      </w:pPr>
    </w:p>
    <w:p w14:paraId="67C52790">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423E8329">
      <w:pPr>
        <w:numPr>
          <w:ilvl w:val="1"/>
          <w:numId w:val="17"/>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1705F067">
      <w:pPr>
        <w:numPr>
          <w:ilvl w:val="1"/>
          <w:numId w:val="17"/>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CA125F4">
      <w:pPr>
        <w:numPr>
          <w:ilvl w:val="0"/>
          <w:numId w:val="0"/>
        </w:numPr>
        <w:bidi w:val="0"/>
        <w:jc w:val="center"/>
        <w:rPr>
          <w:rFonts w:hint="eastAsia" w:ascii="仿宋" w:hAnsi="仿宋" w:eastAsia="仿宋" w:cs="仿宋"/>
          <w:b/>
          <w:bCs w:val="0"/>
          <w:kern w:val="2"/>
          <w:sz w:val="36"/>
          <w:szCs w:val="28"/>
          <w:lang w:val="en-US" w:eastAsia="zh-CN" w:bidi="ar-SA"/>
        </w:rPr>
      </w:pPr>
    </w:p>
    <w:p w14:paraId="45F7538A">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outlineLvl w:val="1"/>
        <w:rPr>
          <w:rFonts w:hint="eastAsia" w:ascii="仿宋" w:hAnsi="仿宋" w:eastAsia="仿宋" w:cs="仿宋"/>
          <w:b/>
          <w:bCs w:val="0"/>
          <w:kern w:val="2"/>
          <w:sz w:val="32"/>
          <w:szCs w:val="32"/>
          <w:lang w:val="en-US" w:eastAsia="zh-CN" w:bidi="ar-SA"/>
        </w:rPr>
      </w:pPr>
      <w:bookmarkStart w:id="88" w:name="_Toc22966"/>
      <w:bookmarkStart w:id="89" w:name="_Toc17576"/>
      <w:r>
        <w:rPr>
          <w:rFonts w:hint="eastAsia" w:ascii="仿宋" w:hAnsi="仿宋" w:eastAsia="仿宋" w:cs="仿宋"/>
          <w:b/>
          <w:bCs w:val="0"/>
          <w:kern w:val="2"/>
          <w:sz w:val="32"/>
          <w:szCs w:val="32"/>
          <w:lang w:val="en-US" w:eastAsia="zh-CN" w:bidi="ar-SA"/>
        </w:rPr>
        <w:t>六、法定代表人/负责人证明书</w:t>
      </w:r>
      <w:bookmarkEnd w:id="88"/>
      <w:bookmarkEnd w:id="89"/>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3446B9C">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49C8171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0904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5E7E7653">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73FDD54">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2"/>
          <w:szCs w:val="32"/>
          <w:lang w:val="en-US" w:eastAsia="zh-CN" w:bidi="ar-SA"/>
        </w:rPr>
        <w:t>七、法定代表人/负责人授权委托书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32E01F74">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4359BF9E">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176966A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25AFDCFE">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3A6FD67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0526E261">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5BDBB948">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3994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05B2AC5C">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6"/>
        <w:pageBreakBefore/>
        <w:spacing w:before="0" w:line="377" w:lineRule="auto"/>
        <w:jc w:val="center"/>
        <w:outlineLvl w:val="1"/>
        <w:rPr>
          <w:rFonts w:hint="eastAsia" w:ascii="仿宋" w:hAnsi="仿宋" w:eastAsia="仿宋" w:cs="仿宋"/>
          <w:b/>
          <w:bCs w:val="0"/>
          <w:sz w:val="36"/>
        </w:rPr>
      </w:pPr>
      <w:bookmarkStart w:id="90" w:name="_Toc24586"/>
      <w:bookmarkStart w:id="91" w:name="_Toc30175"/>
      <w:r>
        <w:rPr>
          <w:rFonts w:hint="eastAsia" w:ascii="仿宋" w:hAnsi="仿宋" w:eastAsia="仿宋" w:cs="仿宋"/>
          <w:b/>
          <w:bCs w:val="0"/>
          <w:sz w:val="36"/>
          <w:lang w:val="en-US" w:eastAsia="zh-CN"/>
        </w:rPr>
        <w:t>八</w:t>
      </w:r>
      <w:r>
        <w:rPr>
          <w:rFonts w:hint="eastAsia" w:ascii="仿宋" w:hAnsi="仿宋" w:eastAsia="仿宋" w:cs="仿宋"/>
          <w:b/>
          <w:bCs w:val="0"/>
          <w:sz w:val="36"/>
        </w:rPr>
        <w:t>、供应商情况介绍</w:t>
      </w:r>
      <w:bookmarkEnd w:id="90"/>
      <w:bookmarkEnd w:id="91"/>
    </w:p>
    <w:p w14:paraId="59B09C02">
      <w:pPr>
        <w:numPr>
          <w:ilvl w:val="0"/>
          <w:numId w:val="0"/>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（一）供应商基本情况表</w:t>
      </w:r>
    </w:p>
    <w:p w14:paraId="14F03F11">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2F28B415">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0D9B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4ABB46E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51BB54F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1B09F5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B5DCB1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97C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FC9899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51D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38B34F5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1DECE3C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497513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3C41C79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048054F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EF681F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100E3EF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351F975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06E9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728BF18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6C53A3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1A7255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6046E6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7189CEC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643724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5F6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7C0F99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301E9D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F8A0A0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3DDE52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4AA0FB6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103FC43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40B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A1A87A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3FFD9F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38D7F04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1D3FC16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A7AB54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6829B0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976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20F232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0F0E34A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CD1BA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4D6461A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7118B6A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52AC20D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777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E3295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6809728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75BF71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5EB7E85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DF6ADF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34D4790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65A7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1DA81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03193B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121F42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1AFC783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1AA5825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DBAB97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60C2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584F5E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5AE12E7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7E88F5C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14AE9B4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依据《民法典》第504条规定，上述单位负责人，是指非法人组织（如个体工商户、分支机构）的负责人，即对外代表该组织的自然人。</w:t>
            </w:r>
          </w:p>
        </w:tc>
      </w:tr>
      <w:tr w14:paraId="361B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8CC2B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B3F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77965D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6B69AAC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7EE7477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BE3B5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0530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532E6EE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2951524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6036688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715F0E4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1074F73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0215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152507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C3FB0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61117A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FE3640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02AD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7F90272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74791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62C59400">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3B535FB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1340E5E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r>
        <w:rPr>
          <w:rFonts w:hint="eastAsia" w:ascii="仿宋" w:hAnsi="仿宋" w:eastAsia="仿宋" w:cs="仿宋"/>
          <w:b/>
          <w:bCs w:val="0"/>
          <w:color w:val="auto"/>
          <w:sz w:val="21"/>
          <w:szCs w:val="21"/>
          <w:lang w:val="en-US" w:eastAsia="zh-CN"/>
        </w:rPr>
        <w:t>2.社保证明材料：</w:t>
      </w:r>
    </w:p>
    <w:p w14:paraId="1A80EDE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bCs w:val="0"/>
          <w:color w:val="FF0000"/>
          <w:sz w:val="21"/>
          <w:szCs w:val="21"/>
          <w:lang w:val="en-US" w:eastAsia="zh-CN"/>
        </w:rPr>
        <w:t>法定代表人</w:t>
      </w:r>
      <w:r>
        <w:rPr>
          <w:rFonts w:hint="eastAsia" w:ascii="仿宋" w:hAnsi="仿宋" w:eastAsia="仿宋" w:cs="仿宋"/>
          <w:b w:val="0"/>
          <w:bCs/>
          <w:color w:val="auto"/>
          <w:sz w:val="21"/>
          <w:szCs w:val="21"/>
          <w:lang w:val="en-US" w:eastAsia="zh-CN"/>
        </w:rPr>
        <w:t>（单位负责人或执行事务合伙人）</w:t>
      </w:r>
    </w:p>
    <w:p w14:paraId="6BA337F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AC29B7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5F52F2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075E9A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（2）主要经营负责人</w:t>
      </w:r>
    </w:p>
    <w:p w14:paraId="640476F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4465CD0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681B1FE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0506F3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（3）投标授权代表人</w:t>
      </w:r>
    </w:p>
    <w:p w14:paraId="47DCA99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6A26C2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7263D8F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3B377E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（4）项目负责人</w:t>
      </w:r>
    </w:p>
    <w:p w14:paraId="2729D45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AA5710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563326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64CA80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（5）主要技术人员</w:t>
      </w:r>
    </w:p>
    <w:p w14:paraId="09FF4A3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6385AF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7DDE994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6F6F49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（6）投标文件编制人员</w:t>
      </w:r>
    </w:p>
    <w:p w14:paraId="1F07B59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11F8CA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D4CE094">
      <w:pPr>
        <w:pStyle w:val="14"/>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575FD5F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注：</w:t>
      </w:r>
    </w:p>
    <w:p w14:paraId="6019CBB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1.如开标前近一个月的社保材料因社保部门原因暂时无法取得，则可以往前顺延一个月。其中项目负责人及主要技术人员社保证明须由供应商缴纳。</w:t>
      </w:r>
    </w:p>
    <w:p w14:paraId="4563909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3990F4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1D80DEF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0A2C0F6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0F93028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13305BB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3D426E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r>
        <w:rPr>
          <w:rFonts w:hint="eastAsia" w:ascii="仿宋" w:hAnsi="仿宋" w:eastAsia="仿宋" w:cs="仿宋"/>
          <w:b/>
          <w:bCs w:val="0"/>
          <w:color w:val="auto"/>
          <w:sz w:val="21"/>
          <w:szCs w:val="21"/>
          <w:lang w:val="en-US" w:eastAsia="zh-CN"/>
        </w:rPr>
        <w:t>3.股权关系证明材料：</w:t>
      </w:r>
    </w:p>
    <w:p w14:paraId="182DAFD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r>
        <w:rPr>
          <w:rFonts w:hint="eastAsia" w:ascii="仿宋" w:hAnsi="仿宋" w:eastAsia="仿宋" w:cs="仿宋"/>
          <w:b/>
          <w:bCs w:val="0"/>
          <w:color w:val="auto"/>
          <w:sz w:val="21"/>
          <w:szCs w:val="21"/>
          <w:lang w:val="en-US" w:eastAsia="zh-CN"/>
        </w:rPr>
        <w:t>（1）股权（或管理）关系证明材料：</w:t>
      </w:r>
    </w:p>
    <w:p w14:paraId="209305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（通过国家企业信用信息公示系统(https://www.gsxt.gov.cn/index.html）、或机关赋码和事业单位登记管理网（http://gjsy.gov.cn/sydwfrxxcx/)、或全国社会组织信用信息公示平台（https://xxgs.chinanpo.mca.gov.cn/gsxt/newList 等网站查询的</w:t>
      </w:r>
      <w:r>
        <w:rPr>
          <w:rFonts w:hint="eastAsia" w:ascii="仿宋" w:hAnsi="仿宋" w:eastAsia="仿宋" w:cs="仿宋"/>
          <w:b/>
          <w:bCs w:val="0"/>
          <w:color w:val="FF0000"/>
          <w:sz w:val="21"/>
          <w:szCs w:val="21"/>
          <w:lang w:val="en-US" w:eastAsia="zh-CN"/>
        </w:rPr>
        <w:t>最新股权（或管理）关系截图</w:t>
      </w:r>
      <w:r>
        <w:rPr>
          <w:rFonts w:hint="eastAsia" w:ascii="仿宋" w:hAnsi="仿宋" w:eastAsia="仿宋" w:cs="仿宋"/>
          <w:b w:val="0"/>
          <w:bCs/>
          <w:color w:val="auto"/>
          <w:sz w:val="21"/>
          <w:szCs w:val="21"/>
          <w:lang w:val="en-US" w:eastAsia="zh-CN"/>
        </w:rPr>
        <w:t>）</w:t>
      </w:r>
    </w:p>
    <w:p w14:paraId="51B67CE2">
      <w:pPr>
        <w:jc w:val="left"/>
        <w:rPr>
          <w:rFonts w:hint="eastAsia" w:ascii="仿宋" w:hAnsi="仿宋" w:eastAsia="仿宋" w:cs="仿宋"/>
          <w:color w:val="auto"/>
          <w:sz w:val="21"/>
          <w:szCs w:val="21"/>
          <w:highlight w:val="none"/>
          <w:lang w:eastAsia="zh-CN"/>
        </w:rPr>
      </w:pPr>
    </w:p>
    <w:p w14:paraId="4142240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r>
        <w:rPr>
          <w:rFonts w:hint="eastAsia" w:ascii="仿宋" w:hAnsi="仿宋" w:eastAsia="仿宋" w:cs="仿宋"/>
          <w:b/>
          <w:bCs w:val="0"/>
          <w:color w:val="auto"/>
          <w:sz w:val="21"/>
          <w:szCs w:val="21"/>
          <w:lang w:val="en-US" w:eastAsia="zh-CN"/>
        </w:rPr>
        <w:t>（2）股权关系情况承诺函</w:t>
      </w:r>
    </w:p>
    <w:p w14:paraId="4FA75FF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228CE39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5B729D0">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2CC16EF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5660E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6039A9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1D4325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4438A191">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6D10B5BF">
      <w:pPr>
        <w:ind w:firstLine="480" w:firstLineChars="200"/>
        <w:rPr>
          <w:rFonts w:hint="eastAsia" w:ascii="仿宋" w:hAnsi="仿宋" w:eastAsia="仿宋" w:cs="仿宋"/>
          <w:bCs/>
          <w:sz w:val="24"/>
          <w:szCs w:val="24"/>
        </w:rPr>
      </w:pPr>
    </w:p>
    <w:p w14:paraId="40DCCFC2">
      <w:pPr>
        <w:snapToGrid w:val="0"/>
        <w:rPr>
          <w:rFonts w:hint="eastAsia" w:ascii="仿宋" w:hAnsi="仿宋" w:eastAsia="仿宋" w:cs="仿宋"/>
          <w:b/>
          <w:color w:val="FF0000"/>
          <w:sz w:val="24"/>
        </w:rPr>
      </w:pPr>
    </w:p>
    <w:p w14:paraId="518D0ACE">
      <w:pPr>
        <w:jc w:val="center"/>
        <w:rPr>
          <w:rFonts w:ascii="仿宋" w:hAnsi="仿宋" w:eastAsia="仿宋" w:cs="Times New Roman"/>
          <w:sz w:val="24"/>
        </w:rPr>
      </w:pPr>
    </w:p>
    <w:p w14:paraId="1D987A8F">
      <w:pPr>
        <w:rPr>
          <w:rFonts w:ascii="Times New Roman" w:hAnsi="Times New Roman" w:eastAsia="宋体" w:cs="Times New Roman"/>
          <w:b/>
          <w:sz w:val="24"/>
        </w:rPr>
      </w:pPr>
    </w:p>
    <w:p w14:paraId="2B06865F">
      <w:pPr>
        <w:tabs>
          <w:tab w:val="left" w:pos="540"/>
        </w:tabs>
        <w:jc w:val="both"/>
        <w:rPr>
          <w:rFonts w:hint="eastAsia" w:ascii="仿宋" w:hAnsi="仿宋" w:eastAsia="仿宋" w:cs="仿宋"/>
          <w:b/>
          <w:bCs/>
          <w:kern w:val="2"/>
          <w:sz w:val="28"/>
          <w:szCs w:val="28"/>
          <w:lang w:val="en-US" w:eastAsia="zh-CN" w:bidi="ar-SA"/>
        </w:rPr>
      </w:pPr>
    </w:p>
    <w:p w14:paraId="0E54DBF7">
      <w:pPr>
        <w:tabs>
          <w:tab w:val="left" w:pos="540"/>
        </w:tabs>
        <w:jc w:val="both"/>
        <w:rPr>
          <w:rFonts w:hint="eastAsia" w:ascii="仿宋" w:hAnsi="仿宋" w:eastAsia="仿宋" w:cs="仿宋"/>
          <w:b/>
          <w:bCs/>
          <w:kern w:val="2"/>
          <w:sz w:val="28"/>
          <w:szCs w:val="28"/>
          <w:lang w:val="en-US" w:eastAsia="zh-CN" w:bidi="ar-SA"/>
        </w:rPr>
      </w:pPr>
    </w:p>
    <w:p w14:paraId="31CCA697">
      <w:pPr>
        <w:tabs>
          <w:tab w:val="left" w:pos="540"/>
        </w:tabs>
        <w:jc w:val="both"/>
        <w:rPr>
          <w:rFonts w:hint="eastAsia" w:ascii="仿宋" w:hAnsi="仿宋" w:eastAsia="仿宋" w:cs="仿宋"/>
          <w:b/>
          <w:bCs/>
          <w:kern w:val="2"/>
          <w:sz w:val="28"/>
          <w:szCs w:val="28"/>
          <w:lang w:val="en-US" w:eastAsia="zh-CN" w:bidi="ar-SA"/>
        </w:rPr>
      </w:pPr>
    </w:p>
    <w:p w14:paraId="2975AAFD">
      <w:pPr>
        <w:tabs>
          <w:tab w:val="left" w:pos="540"/>
        </w:tabs>
        <w:jc w:val="both"/>
        <w:rPr>
          <w:rFonts w:hint="eastAsia" w:ascii="仿宋" w:hAnsi="仿宋" w:eastAsia="仿宋" w:cs="仿宋"/>
          <w:b/>
          <w:bCs/>
          <w:kern w:val="2"/>
          <w:sz w:val="28"/>
          <w:szCs w:val="28"/>
          <w:lang w:val="en-US" w:eastAsia="zh-CN" w:bidi="ar-SA"/>
        </w:rPr>
      </w:pPr>
    </w:p>
    <w:p w14:paraId="5AE4F2BC">
      <w:pPr>
        <w:tabs>
          <w:tab w:val="left" w:pos="540"/>
        </w:tabs>
        <w:jc w:val="both"/>
        <w:rPr>
          <w:rFonts w:hint="eastAsia" w:ascii="仿宋" w:hAnsi="仿宋" w:eastAsia="仿宋" w:cs="仿宋"/>
          <w:b/>
          <w:bCs/>
          <w:kern w:val="2"/>
          <w:sz w:val="28"/>
          <w:szCs w:val="28"/>
          <w:lang w:val="en-US" w:eastAsia="zh-CN" w:bidi="ar-SA"/>
        </w:rPr>
      </w:pPr>
    </w:p>
    <w:p w14:paraId="70DD9FA2">
      <w:pPr>
        <w:tabs>
          <w:tab w:val="left" w:pos="540"/>
        </w:tabs>
        <w:jc w:val="both"/>
        <w:rPr>
          <w:rFonts w:hint="eastAsia" w:ascii="仿宋" w:hAnsi="仿宋" w:eastAsia="仿宋" w:cs="仿宋"/>
          <w:b/>
          <w:bCs/>
          <w:kern w:val="2"/>
          <w:sz w:val="28"/>
          <w:szCs w:val="28"/>
          <w:lang w:val="en-US" w:eastAsia="zh-CN" w:bidi="ar-SA"/>
        </w:rPr>
      </w:pPr>
    </w:p>
    <w:p w14:paraId="7A12B457">
      <w:pPr>
        <w:tabs>
          <w:tab w:val="left" w:pos="540"/>
        </w:tabs>
        <w:jc w:val="both"/>
        <w:rPr>
          <w:rFonts w:hint="eastAsia" w:ascii="仿宋" w:hAnsi="仿宋" w:eastAsia="仿宋" w:cs="仿宋"/>
          <w:b/>
          <w:bCs/>
          <w:kern w:val="2"/>
          <w:sz w:val="28"/>
          <w:szCs w:val="28"/>
          <w:lang w:val="en-US" w:eastAsia="zh-CN" w:bidi="ar-SA"/>
        </w:rPr>
      </w:pPr>
    </w:p>
    <w:p w14:paraId="3F8AECCA">
      <w:pPr>
        <w:tabs>
          <w:tab w:val="left" w:pos="540"/>
        </w:tabs>
        <w:jc w:val="both"/>
        <w:rPr>
          <w:rFonts w:hint="eastAsia" w:ascii="仿宋" w:hAnsi="仿宋" w:eastAsia="仿宋" w:cs="仿宋"/>
          <w:b/>
          <w:bCs/>
          <w:kern w:val="2"/>
          <w:sz w:val="28"/>
          <w:szCs w:val="28"/>
          <w:lang w:val="en-US" w:eastAsia="zh-CN" w:bidi="ar-SA"/>
        </w:rPr>
      </w:pPr>
    </w:p>
    <w:p w14:paraId="21595D9B">
      <w:pPr>
        <w:tabs>
          <w:tab w:val="left" w:pos="540"/>
        </w:tabs>
        <w:jc w:val="both"/>
        <w:rPr>
          <w:rFonts w:hint="eastAsia" w:ascii="仿宋" w:hAnsi="仿宋" w:eastAsia="仿宋" w:cs="仿宋"/>
          <w:b/>
          <w:bCs/>
          <w:kern w:val="2"/>
          <w:sz w:val="28"/>
          <w:szCs w:val="28"/>
          <w:lang w:val="en-US" w:eastAsia="zh-CN" w:bidi="ar-SA"/>
        </w:rPr>
      </w:pPr>
    </w:p>
    <w:p w14:paraId="149654F4">
      <w:pPr>
        <w:tabs>
          <w:tab w:val="left" w:pos="540"/>
        </w:tabs>
        <w:jc w:val="both"/>
        <w:rPr>
          <w:rFonts w:hint="eastAsia" w:ascii="仿宋" w:hAnsi="仿宋" w:eastAsia="仿宋" w:cs="仿宋"/>
          <w:b/>
          <w:bCs/>
          <w:kern w:val="2"/>
          <w:sz w:val="28"/>
          <w:szCs w:val="28"/>
          <w:lang w:val="en-US" w:eastAsia="zh-CN" w:bidi="ar-SA"/>
        </w:rPr>
      </w:pPr>
    </w:p>
    <w:p w14:paraId="2E6AF3A7">
      <w:pPr>
        <w:tabs>
          <w:tab w:val="left" w:pos="540"/>
        </w:tabs>
        <w:jc w:val="both"/>
        <w:rPr>
          <w:rFonts w:hint="eastAsia" w:ascii="仿宋" w:hAnsi="仿宋" w:eastAsia="仿宋" w:cs="仿宋"/>
          <w:b/>
          <w:bCs/>
          <w:kern w:val="2"/>
          <w:sz w:val="28"/>
          <w:szCs w:val="28"/>
          <w:lang w:val="en-US" w:eastAsia="zh-CN" w:bidi="ar-SA"/>
        </w:rPr>
      </w:pPr>
    </w:p>
    <w:p w14:paraId="7E6F49E2">
      <w:pPr>
        <w:tabs>
          <w:tab w:val="left" w:pos="540"/>
        </w:tabs>
        <w:jc w:val="both"/>
        <w:rPr>
          <w:rFonts w:hint="eastAsia" w:ascii="仿宋" w:hAnsi="仿宋" w:eastAsia="仿宋" w:cs="仿宋"/>
          <w:b/>
          <w:bCs/>
          <w:kern w:val="2"/>
          <w:sz w:val="28"/>
          <w:szCs w:val="28"/>
          <w:lang w:val="en-US" w:eastAsia="zh-CN" w:bidi="ar-SA"/>
        </w:rPr>
      </w:pPr>
    </w:p>
    <w:p w14:paraId="440AA258">
      <w:pPr>
        <w:tabs>
          <w:tab w:val="left" w:pos="540"/>
        </w:tabs>
        <w:jc w:val="both"/>
        <w:rPr>
          <w:rFonts w:hint="eastAsia" w:ascii="仿宋" w:hAnsi="仿宋" w:eastAsia="仿宋" w:cs="仿宋"/>
          <w:b/>
          <w:bCs/>
          <w:kern w:val="2"/>
          <w:sz w:val="28"/>
          <w:szCs w:val="28"/>
          <w:lang w:val="en-US" w:eastAsia="zh-CN" w:bidi="ar-SA"/>
        </w:rPr>
      </w:pPr>
    </w:p>
    <w:p w14:paraId="219E1ADA">
      <w:pPr>
        <w:tabs>
          <w:tab w:val="left" w:pos="540"/>
        </w:tabs>
        <w:jc w:val="both"/>
        <w:rPr>
          <w:rFonts w:hint="eastAsia" w:ascii="仿宋" w:hAnsi="仿宋" w:eastAsia="仿宋" w:cs="仿宋"/>
          <w:b/>
          <w:bCs/>
          <w:kern w:val="2"/>
          <w:sz w:val="28"/>
          <w:szCs w:val="28"/>
          <w:lang w:val="en-US" w:eastAsia="zh-CN" w:bidi="ar-SA"/>
        </w:rPr>
      </w:pPr>
    </w:p>
    <w:p w14:paraId="6483B32B">
      <w:pPr>
        <w:jc w:val="both"/>
        <w:rPr>
          <w:rFonts w:hint="eastAsia" w:ascii="仿宋" w:hAnsi="仿宋" w:eastAsia="仿宋" w:cs="仿宋"/>
          <w:b/>
          <w:bCs/>
          <w:kern w:val="2"/>
          <w:sz w:val="28"/>
          <w:szCs w:val="28"/>
          <w:lang w:val="en-US" w:eastAsia="zh-CN" w:bidi="ar-SA"/>
        </w:rPr>
      </w:pPr>
    </w:p>
    <w:p w14:paraId="603EFE68">
      <w:pPr>
        <w:pStyle w:val="6"/>
        <w:pageBreakBefore/>
        <w:numPr>
          <w:ilvl w:val="0"/>
          <w:numId w:val="0"/>
        </w:numPr>
        <w:spacing w:before="0" w:line="377" w:lineRule="auto"/>
        <w:ind w:left="0" w:leftChars="0" w:firstLine="0" w:firstLineChars="0"/>
        <w:jc w:val="center"/>
        <w:outlineLvl w:val="0"/>
        <w:rPr>
          <w:rFonts w:hint="eastAsia" w:ascii="仿宋" w:hAnsi="仿宋" w:eastAsia="仿宋" w:cs="仿宋"/>
          <w:b/>
          <w:bCs w:val="0"/>
          <w:sz w:val="32"/>
          <w:szCs w:val="32"/>
          <w:lang w:val="en-US" w:eastAsia="zh-CN"/>
        </w:rPr>
      </w:pPr>
      <w:bookmarkStart w:id="92" w:name="_Toc5664"/>
      <w:bookmarkStart w:id="93" w:name="_Toc27555"/>
      <w:r>
        <w:rPr>
          <w:rFonts w:hint="eastAsia" w:ascii="仿宋" w:hAnsi="仿宋" w:eastAsia="仿宋" w:cs="仿宋"/>
          <w:b/>
          <w:bCs w:val="0"/>
          <w:sz w:val="32"/>
          <w:szCs w:val="32"/>
          <w:lang w:val="en-US" w:eastAsia="zh-CN"/>
        </w:rPr>
        <w:t>九、用户需求书条款响应一览表</w:t>
      </w:r>
      <w:bookmarkEnd w:id="92"/>
      <w:bookmarkEnd w:id="93"/>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94" w:name="_Toc2009"/>
      <w:bookmarkStart w:id="95" w:name="_Hlk72092634"/>
      <w:bookmarkStart w:id="96" w:name="_Toc29009"/>
      <w:r>
        <w:rPr>
          <w:rFonts w:hint="eastAsia" w:ascii="仿宋" w:hAnsi="仿宋" w:eastAsia="仿宋" w:cs="仿宋"/>
          <w:b/>
          <w:bCs/>
          <w:sz w:val="30"/>
          <w:szCs w:val="30"/>
          <w:lang w:val="en-US" w:eastAsia="zh-CN"/>
        </w:rPr>
        <w:t>（一）实质性条款响应情况表</w:t>
      </w:r>
      <w:bookmarkEnd w:id="94"/>
      <w:bookmarkEnd w:id="95"/>
      <w:bookmarkEnd w:id="96"/>
    </w:p>
    <w:tbl>
      <w:tblPr>
        <w:tblStyle w:val="44"/>
        <w:tblW w:w="9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833"/>
        <w:gridCol w:w="960"/>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rPr>
            </w:pPr>
            <w:bookmarkStart w:id="97" w:name="_Hlk72092651"/>
            <w:r>
              <w:rPr>
                <w:rFonts w:hint="eastAsia" w:ascii="仿宋" w:hAnsi="仿宋" w:eastAsia="仿宋" w:cs="仿宋"/>
                <w:sz w:val="24"/>
              </w:rPr>
              <w:t>序号</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833" w:type="dxa"/>
            <w:vAlign w:val="center"/>
          </w:tcPr>
          <w:p w14:paraId="66DE870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偏离说明（</w:t>
            </w:r>
            <w:r>
              <w:rPr>
                <w:rFonts w:hint="eastAsia" w:ascii="仿宋" w:hAnsi="仿宋" w:eastAsia="仿宋" w:cs="仿宋"/>
                <w:sz w:val="24"/>
                <w:lang w:eastAsia="zh-CN"/>
              </w:rPr>
              <w:t>无偏离</w:t>
            </w:r>
            <w:r>
              <w:rPr>
                <w:rFonts w:hint="eastAsia" w:ascii="仿宋" w:hAnsi="仿宋" w:eastAsia="仿宋" w:cs="仿宋"/>
                <w:sz w:val="24"/>
              </w:rPr>
              <w:t>/正偏离/负偏离）</w:t>
            </w:r>
          </w:p>
        </w:tc>
        <w:tc>
          <w:tcPr>
            <w:tcW w:w="960" w:type="dxa"/>
            <w:vAlign w:val="center"/>
          </w:tcPr>
          <w:p w14:paraId="6198915E">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说明</w:t>
            </w:r>
          </w:p>
        </w:tc>
      </w:tr>
      <w:bookmarkEnd w:id="97"/>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2FB71D08">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4293" w:type="dxa"/>
            <w:vAlign w:val="center"/>
          </w:tcPr>
          <w:p w14:paraId="36941AB9">
            <w:pPr>
              <w:pStyle w:val="2"/>
              <w:keepNext w:val="0"/>
              <w:keepLines w:val="0"/>
              <w:numPr>
                <w:ilvl w:val="0"/>
                <w:numId w:val="0"/>
              </w:numPr>
              <w:suppressLineNumbers w:val="0"/>
              <w:spacing w:before="0" w:beforeAutospacing="0" w:afterAutospacing="0"/>
              <w:ind w:left="0" w:leftChars="0" w:right="0" w:rightChars="0" w:firstLine="0" w:firstLineChars="0"/>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FF0000"/>
                <w:kern w:val="0"/>
                <w:sz w:val="24"/>
                <w:szCs w:val="24"/>
                <w:highlight w:val="none"/>
                <w:lang w:val="en-US" w:eastAsia="zh-CN" w:bidi="ar-SA"/>
              </w:rPr>
              <w:t>深圳市</w:t>
            </w:r>
            <w:r>
              <w:rPr>
                <w:rFonts w:hint="default" w:ascii="仿宋" w:hAnsi="仿宋" w:eastAsia="仿宋" w:cs="仿宋"/>
                <w:color w:val="FF0000"/>
                <w:kern w:val="0"/>
                <w:sz w:val="24"/>
                <w:szCs w:val="24"/>
                <w:highlight w:val="none"/>
                <w:lang w:val="en-US" w:eastAsia="zh-CN" w:bidi="ar-SA"/>
              </w:rPr>
              <w:t>福田区第二人民医院龙尾院区5、8、9三层楼</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2C17593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售后服务要求</w:t>
            </w:r>
          </w:p>
        </w:tc>
        <w:tc>
          <w:tcPr>
            <w:tcW w:w="4293" w:type="dxa"/>
            <w:vAlign w:val="top"/>
          </w:tcPr>
          <w:p w14:paraId="745F1D6A">
            <w:pPr>
              <w:pStyle w:val="2"/>
              <w:keepNext w:val="0"/>
              <w:keepLines w:val="0"/>
              <w:numPr>
                <w:ilvl w:val="0"/>
                <w:numId w:val="0"/>
              </w:numPr>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1.提供5*8小时售后服务支持；平均 24小时内修复。定期对所有无线热点巡检。</w:t>
            </w:r>
          </w:p>
          <w:p w14:paraId="7AB1D613">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2.接到故障后2小时响应，重大故障4小时上门；</w:t>
            </w:r>
          </w:p>
          <w:p w14:paraId="06B78350">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3.每月安排专业人员对医院WiFi网络巡检。</w:t>
            </w:r>
          </w:p>
          <w:p w14:paraId="5553A997">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sz w:val="21"/>
                <w:szCs w:val="21"/>
                <w:highlight w:val="none"/>
              </w:rPr>
            </w:pPr>
            <w:r>
              <w:rPr>
                <w:rFonts w:hint="eastAsia" w:ascii="仿宋" w:hAnsi="仿宋" w:eastAsia="仿宋" w:cs="仿宋"/>
                <w:color w:val="FF0000"/>
                <w:kern w:val="0"/>
                <w:sz w:val="24"/>
                <w:szCs w:val="24"/>
                <w:highlight w:val="none"/>
                <w:lang w:val="en-US" w:eastAsia="zh-CN" w:bidi="ar-SA"/>
              </w:rPr>
              <w:t>4.服务开通后运维12个月，组织专业人员，及时对AP设备和上网线路的故障修复</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45D8924B">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验收方式</w:t>
            </w:r>
          </w:p>
        </w:tc>
        <w:tc>
          <w:tcPr>
            <w:tcW w:w="4293" w:type="dxa"/>
            <w:vAlign w:val="center"/>
          </w:tcPr>
          <w:p w14:paraId="5944AF59">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当满足以下条件时，采购人才向中标人签发验收报告：</w:t>
            </w:r>
          </w:p>
          <w:p w14:paraId="3B101D46">
            <w:pPr>
              <w:keepNext w:val="0"/>
              <w:keepLines w:val="0"/>
              <w:suppressLineNumbers w:val="0"/>
              <w:spacing w:before="0" w:beforeAutospacing="0" w:after="0" w:afterAutospacing="0"/>
              <w:ind w:left="0" w:right="0"/>
              <w:rPr>
                <w:rFonts w:hint="default" w:ascii="仿宋" w:hAnsi="仿宋" w:eastAsia="仿宋" w:cs="仿宋"/>
                <w:color w:val="FF0000"/>
                <w:kern w:val="0"/>
                <w:sz w:val="24"/>
                <w:szCs w:val="24"/>
                <w:highlight w:val="none"/>
                <w:lang w:val="en-US" w:eastAsia="zh-CN" w:bidi="ar-SA"/>
              </w:rPr>
            </w:pPr>
            <w:r>
              <w:rPr>
                <w:rFonts w:hint="default" w:ascii="仿宋" w:hAnsi="仿宋" w:eastAsia="仿宋" w:cs="仿宋"/>
                <w:color w:val="FF0000"/>
                <w:kern w:val="0"/>
                <w:sz w:val="24"/>
                <w:szCs w:val="24"/>
                <w:highlight w:val="none"/>
                <w:lang w:val="en-US" w:eastAsia="zh-CN" w:bidi="ar-SA"/>
              </w:rPr>
              <w:t>1.</w:t>
            </w:r>
            <w:r>
              <w:rPr>
                <w:rFonts w:hint="eastAsia" w:ascii="仿宋" w:hAnsi="仿宋" w:eastAsia="仿宋" w:cs="仿宋"/>
                <w:color w:val="FF0000"/>
                <w:kern w:val="0"/>
                <w:sz w:val="24"/>
                <w:szCs w:val="24"/>
                <w:highlight w:val="none"/>
                <w:lang w:val="en-US" w:eastAsia="zh-CN" w:bidi="ar-SA"/>
              </w:rPr>
              <w:t>WiFi覆盖信号达标不低于70db（90%核心区域）；</w:t>
            </w:r>
          </w:p>
          <w:p w14:paraId="75AC54E3">
            <w:pPr>
              <w:pStyle w:val="2"/>
              <w:keepNext w:val="0"/>
              <w:keepLines w:val="0"/>
              <w:suppressLineNumbers w:val="0"/>
              <w:spacing w:before="0" w:beforeAutospacing="0" w:afterAutospacing="0"/>
              <w:ind w:left="0" w:leftChars="0" w:right="0" w:rightChars="0"/>
              <w:jc w:val="left"/>
              <w:rPr>
                <w:rFonts w:hint="eastAsia" w:ascii="仿宋" w:hAnsi="仿宋" w:eastAsia="仿宋" w:cs="仿宋"/>
                <w:color w:val="FF0000"/>
                <w:kern w:val="2"/>
                <w:sz w:val="24"/>
                <w:szCs w:val="24"/>
                <w:highlight w:val="none"/>
                <w:lang w:val="en-US" w:eastAsia="zh-CN" w:bidi="ar"/>
              </w:rPr>
            </w:pPr>
            <w:r>
              <w:rPr>
                <w:rFonts w:hint="default" w:ascii="仿宋" w:hAnsi="仿宋" w:eastAsia="仿宋" w:cs="仿宋"/>
                <w:color w:val="FF0000"/>
                <w:kern w:val="0"/>
                <w:sz w:val="24"/>
                <w:szCs w:val="24"/>
                <w:highlight w:val="none"/>
                <w:lang w:val="en-US" w:eastAsia="zh-CN" w:bidi="ar-SA"/>
              </w:rPr>
              <w:t>2.</w:t>
            </w:r>
            <w:r>
              <w:rPr>
                <w:rFonts w:hint="eastAsia" w:ascii="仿宋" w:hAnsi="仿宋" w:eastAsia="仿宋" w:cs="仿宋"/>
                <w:color w:val="FF0000"/>
                <w:kern w:val="0"/>
                <w:sz w:val="24"/>
                <w:szCs w:val="24"/>
                <w:highlight w:val="none"/>
                <w:lang w:val="en-US" w:eastAsia="zh-CN" w:bidi="ar-SA"/>
              </w:rPr>
              <w:t>服务完工后应进行竣工验收。</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384BA37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报价要求</w:t>
            </w:r>
          </w:p>
        </w:tc>
        <w:tc>
          <w:tcPr>
            <w:tcW w:w="4293" w:type="dxa"/>
            <w:vAlign w:val="center"/>
          </w:tcPr>
          <w:p w14:paraId="5797EACA">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color w:val="FF0000"/>
                <w:kern w:val="0"/>
                <w:sz w:val="24"/>
                <w:szCs w:val="24"/>
                <w:highlight w:val="none"/>
                <w:lang w:val="en-US" w:eastAsia="zh-CN" w:bidi="ar-SA"/>
              </w:rPr>
              <w:t>本项目投标按总价报价，工程费用采用包干制，包括但不限于项目工程成本、法定税费和企业利润等一切费用。</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31305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b/>
                <w:bCs w:val="0"/>
                <w:color w:val="FF0000"/>
                <w:sz w:val="24"/>
                <w:szCs w:val="24"/>
                <w:highlight w:val="none"/>
              </w:rPr>
              <w:t>★</w:t>
            </w:r>
            <w:r>
              <w:rPr>
                <w:rFonts w:hint="eastAsia" w:ascii="仿宋" w:hAnsi="仿宋" w:eastAsia="仿宋" w:cs="仿宋"/>
                <w:b/>
                <w:bCs w:val="0"/>
                <w:color w:val="FF0000"/>
                <w:sz w:val="24"/>
                <w:szCs w:val="24"/>
                <w:highlight w:val="none"/>
                <w:lang w:val="en-US" w:eastAsia="zh-CN"/>
              </w:rPr>
              <w:t>付款方式</w:t>
            </w:r>
          </w:p>
        </w:tc>
        <w:tc>
          <w:tcPr>
            <w:tcW w:w="4293" w:type="dxa"/>
            <w:vAlign w:val="center"/>
          </w:tcPr>
          <w:p w14:paraId="4711FF69">
            <w:pPr>
              <w:keepNext w:val="0"/>
              <w:keepLines w:val="0"/>
              <w:suppressLineNumbers w:val="0"/>
              <w:spacing w:before="0" w:beforeAutospacing="0" w:after="0" w:afterAutospacing="0"/>
              <w:ind w:left="0" w:right="0"/>
              <w:rPr>
                <w:rFonts w:hint="eastAsia" w:ascii="仿宋" w:hAnsi="仿宋" w:eastAsia="仿宋" w:cs="仿宋"/>
                <w:color w:val="FF0000"/>
                <w:kern w:val="0"/>
                <w:sz w:val="24"/>
                <w:szCs w:val="24"/>
                <w:highlight w:val="none"/>
                <w:lang w:val="en-US" w:eastAsia="zh-CN" w:bidi="ar-SA"/>
              </w:rPr>
            </w:pPr>
            <w:r>
              <w:rPr>
                <w:rFonts w:hint="eastAsia" w:ascii="仿宋" w:hAnsi="仿宋" w:eastAsia="仿宋" w:cs="仿宋"/>
                <w:color w:val="FF0000"/>
                <w:kern w:val="0"/>
                <w:sz w:val="24"/>
                <w:szCs w:val="24"/>
                <w:highlight w:val="none"/>
                <w:lang w:val="en-US" w:eastAsia="zh-CN" w:bidi="ar-SA"/>
              </w:rPr>
              <w:t>1、在签订合同且收到相应发票之日起10个工作日内，采购人需向供应商支付合同总金额的50%作为首付款项 。</w:t>
            </w:r>
          </w:p>
          <w:p w14:paraId="7194E107">
            <w:pPr>
              <w:keepNext w:val="0"/>
              <w:keepLines w:val="0"/>
              <w:suppressLineNumbers w:val="0"/>
              <w:spacing w:before="0" w:beforeAutospacing="0" w:after="0" w:afterAutospacing="0"/>
              <w:ind w:left="0" w:leftChars="0" w:right="0" w:rightChars="0"/>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color w:val="FF0000"/>
                <w:kern w:val="0"/>
                <w:sz w:val="24"/>
                <w:szCs w:val="24"/>
                <w:highlight w:val="none"/>
                <w:lang w:val="en-US" w:eastAsia="zh-CN" w:bidi="ar-SA"/>
              </w:rPr>
              <w:t>2、在合同验收且收到相应发票之日起10个工作日内，采购人需向供应商支付合同总金额的50%作为验收款项。</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249E51C6">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eastAsia="zh-CN"/>
              </w:rPr>
            </w:pPr>
            <w:r>
              <w:rPr>
                <w:rFonts w:hint="eastAsia" w:ascii="仿宋" w:hAnsi="仿宋" w:eastAsia="仿宋" w:cs="仿宋"/>
                <w:b/>
                <w:bCs w:val="0"/>
                <w:color w:val="FF0000"/>
                <w:sz w:val="24"/>
                <w:szCs w:val="24"/>
                <w:highlight w:val="none"/>
              </w:rPr>
              <w:t>★服务</w:t>
            </w:r>
            <w:r>
              <w:rPr>
                <w:rFonts w:hint="eastAsia" w:ascii="仿宋" w:hAnsi="仿宋" w:eastAsia="仿宋" w:cs="仿宋"/>
                <w:b/>
                <w:bCs w:val="0"/>
                <w:color w:val="FF0000"/>
                <w:sz w:val="24"/>
                <w:szCs w:val="24"/>
                <w:highlight w:val="none"/>
                <w:lang w:val="en-US" w:eastAsia="zh-CN"/>
              </w:rPr>
              <w:t>期限</w:t>
            </w:r>
          </w:p>
          <w:p w14:paraId="23CAF0F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4"/>
                <w:lang w:val="en-US" w:eastAsia="zh-CN" w:bidi="ar-SA"/>
              </w:rPr>
            </w:pPr>
          </w:p>
        </w:tc>
        <w:tc>
          <w:tcPr>
            <w:tcW w:w="4293" w:type="dxa"/>
            <w:shd w:val="clear" w:color="auto" w:fill="auto"/>
            <w:vAlign w:val="center"/>
          </w:tcPr>
          <w:p w14:paraId="2DFAC07B">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4"/>
                <w:lang w:val="en-US" w:eastAsia="zh-CN" w:bidi="ar-SA"/>
              </w:rPr>
            </w:pPr>
            <w:r>
              <w:rPr>
                <w:rFonts w:hint="eastAsia" w:ascii="仿宋" w:hAnsi="仿宋" w:eastAsia="仿宋" w:cs="仿宋"/>
                <w:color w:val="FF0000"/>
                <w:kern w:val="0"/>
                <w:sz w:val="24"/>
                <w:szCs w:val="24"/>
                <w:highlight w:val="none"/>
                <w:lang w:val="en-US" w:eastAsia="zh-CN" w:bidi="ar-SA"/>
              </w:rPr>
              <w:t>指合同签订之日起至服务履约结束的时间期限。具体是指自合同签订之日起30日内中标供应商完成项目建设、校验测试及后期终验。终验通过之日起12个月为服务质保期，质保期期间由中标供应商免费提供项目售后维保服务。</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833"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960"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6C29BA26">
      <w:pPr>
        <w:numPr>
          <w:ilvl w:val="0"/>
          <w:numId w:val="0"/>
        </w:numPr>
        <w:bidi w:val="0"/>
        <w:jc w:val="both"/>
        <w:rPr>
          <w:rFonts w:hint="eastAsia" w:ascii="仿宋" w:hAnsi="仿宋" w:eastAsia="仿宋" w:cs="仿宋"/>
          <w:b/>
          <w:bCs/>
          <w:sz w:val="30"/>
          <w:szCs w:val="30"/>
          <w:lang w:val="en-US" w:eastAsia="zh-CN"/>
        </w:rPr>
      </w:pPr>
    </w:p>
    <w:p w14:paraId="1AA439D4">
      <w:pPr>
        <w:numPr>
          <w:ilvl w:val="0"/>
          <w:numId w:val="0"/>
        </w:numPr>
        <w:bidi w:val="0"/>
        <w:ind w:left="0" w:leftChars="0" w:firstLine="0" w:firstLineChars="0"/>
        <w:jc w:val="center"/>
        <w:outlineLvl w:val="1"/>
        <w:rPr>
          <w:rFonts w:hint="eastAsia" w:ascii="仿宋" w:hAnsi="仿宋" w:eastAsia="仿宋" w:cs="仿宋"/>
          <w:b/>
          <w:bCs/>
          <w:sz w:val="30"/>
          <w:szCs w:val="30"/>
        </w:rPr>
      </w:pPr>
      <w:bookmarkStart w:id="98" w:name="_Toc25031"/>
      <w:bookmarkStart w:id="99" w:name="_Toc26928"/>
      <w:r>
        <w:rPr>
          <w:rFonts w:hint="eastAsia" w:ascii="仿宋" w:hAnsi="仿宋" w:eastAsia="仿宋" w:cs="仿宋"/>
          <w:b/>
          <w:bCs/>
          <w:sz w:val="30"/>
          <w:szCs w:val="30"/>
          <w:lang w:val="en-US" w:eastAsia="zh-CN"/>
        </w:rPr>
        <w:t>（二）技术要求</w:t>
      </w:r>
      <w:r>
        <w:rPr>
          <w:rFonts w:hint="eastAsia" w:ascii="仿宋" w:hAnsi="仿宋" w:eastAsia="仿宋" w:cs="仿宋"/>
          <w:b/>
          <w:bCs/>
          <w:sz w:val="30"/>
          <w:szCs w:val="30"/>
        </w:rPr>
        <w:t>偏离表</w:t>
      </w:r>
      <w:bookmarkEnd w:id="98"/>
      <w:bookmarkEnd w:id="99"/>
    </w:p>
    <w:p w14:paraId="77A32426">
      <w:pPr>
        <w:pStyle w:val="23"/>
        <w:rPr>
          <w:rFonts w:hint="eastAsia" w:ascii="仿宋" w:hAnsi="仿宋" w:eastAsia="仿宋" w:cs="仿宋"/>
          <w:sz w:val="24"/>
          <w:highlight w:val="yellow"/>
        </w:rPr>
      </w:pPr>
      <w:r>
        <w:rPr>
          <w:rFonts w:hint="eastAsia" w:ascii="仿宋" w:hAnsi="仿宋" w:eastAsia="仿宋" w:cs="仿宋"/>
          <w:sz w:val="24"/>
          <w:highlight w:val="yellow"/>
          <w:lang w:eastAsia="zh-CN"/>
        </w:rPr>
        <w:t>投标人必须对应招标文件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项目技术</w:t>
      </w:r>
      <w:r>
        <w:rPr>
          <w:rFonts w:hint="eastAsia" w:ascii="仿宋" w:hAnsi="仿宋" w:eastAsia="仿宋" w:cs="仿宋"/>
          <w:b/>
          <w:bCs/>
          <w:sz w:val="21"/>
          <w:szCs w:val="21"/>
          <w:highlight w:val="yellow"/>
        </w:rPr>
        <w:t>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45F12BEC">
      <w:pPr>
        <w:rPr>
          <w:rFonts w:hint="eastAsia" w:ascii="仿宋" w:hAnsi="仿宋" w:eastAsia="仿宋" w:cs="仿宋"/>
          <w:b/>
          <w:sz w:val="24"/>
        </w:rPr>
      </w:pPr>
    </w:p>
    <w:p w14:paraId="5D8EF572">
      <w:pPr>
        <w:rPr>
          <w:rFonts w:hint="eastAsia" w:ascii="仿宋" w:hAnsi="仿宋" w:eastAsia="仿宋" w:cs="仿宋"/>
          <w:b/>
          <w:sz w:val="24"/>
        </w:rPr>
      </w:pPr>
      <w:r>
        <w:rPr>
          <w:rFonts w:hint="eastAsia" w:ascii="仿宋" w:hAnsi="仿宋" w:eastAsia="仿宋" w:cs="仿宋"/>
          <w:b/>
          <w:sz w:val="24"/>
        </w:rPr>
        <w:t>根据</w:t>
      </w:r>
      <w:r>
        <w:rPr>
          <w:rFonts w:hint="eastAsia" w:ascii="仿宋" w:hAnsi="仿宋" w:eastAsia="仿宋" w:cs="仿宋"/>
          <w:b/>
          <w:sz w:val="24"/>
          <w:lang w:eastAsia="zh-CN"/>
        </w:rPr>
        <w:t>招标文件</w:t>
      </w:r>
      <w:r>
        <w:rPr>
          <w:rFonts w:hint="eastAsia" w:ascii="仿宋" w:hAnsi="仿宋" w:eastAsia="仿宋" w:cs="仿宋"/>
          <w:b/>
          <w:sz w:val="24"/>
        </w:rPr>
        <w:t>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2220"/>
        <w:gridCol w:w="1382"/>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0A1A2626">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招标</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r>
              <w:rPr>
                <w:rFonts w:hint="eastAsia" w:ascii="仿宋" w:hAnsi="仿宋" w:eastAsia="仿宋" w:cs="仿宋"/>
                <w:bCs/>
                <w:color w:val="auto"/>
                <w:lang w:eastAsia="zh-CN"/>
              </w:rPr>
              <w:t>中“</w:t>
            </w:r>
            <w:r>
              <w:rPr>
                <w:rFonts w:hint="eastAsia" w:ascii="仿宋" w:hAnsi="仿宋" w:eastAsia="仿宋" w:cs="仿宋"/>
                <w:b/>
                <w:color w:val="auto"/>
                <w:lang w:eastAsia="zh-CN"/>
              </w:rPr>
              <w:t>招标</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4845AEB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2220" w:type="dxa"/>
            <w:vAlign w:val="center"/>
          </w:tcPr>
          <w:p w14:paraId="7049CCC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偏离说明（</w:t>
            </w:r>
            <w:r>
              <w:rPr>
                <w:rFonts w:hint="eastAsia" w:ascii="仿宋" w:hAnsi="仿宋" w:eastAsia="仿宋" w:cs="仿宋"/>
                <w:sz w:val="24"/>
                <w:lang w:eastAsia="zh-CN"/>
              </w:rPr>
              <w:t>无偏离</w:t>
            </w:r>
            <w:r>
              <w:rPr>
                <w:rFonts w:hint="eastAsia" w:ascii="仿宋" w:hAnsi="仿宋" w:eastAsia="仿宋" w:cs="仿宋"/>
                <w:sz w:val="24"/>
              </w:rPr>
              <w:t>/正偏离/负偏离）</w:t>
            </w:r>
          </w:p>
        </w:tc>
        <w:tc>
          <w:tcPr>
            <w:tcW w:w="1382" w:type="dxa"/>
            <w:vAlign w:val="center"/>
          </w:tcPr>
          <w:p w14:paraId="6A22F7E0">
            <w:pPr>
              <w:keepNext w:val="0"/>
              <w:keepLines w:val="0"/>
              <w:suppressLineNumbers w:val="0"/>
              <w:spacing w:before="0" w:beforeAutospacing="0" w:after="0" w:afterAutospacing="0"/>
              <w:ind w:left="0" w:right="0"/>
              <w:jc w:val="center"/>
              <w:rPr>
                <w:rFonts w:hint="eastAsia" w:ascii="仿宋" w:hAnsi="仿宋" w:eastAsia="仿宋" w:cs="仿宋"/>
                <w:b/>
                <w:bCs/>
                <w:color w:val="auto"/>
              </w:rPr>
            </w:pPr>
            <w:r>
              <w:rPr>
                <w:rFonts w:hint="eastAsia" w:ascii="仿宋" w:hAnsi="仿宋" w:eastAsia="仿宋" w:cs="仿宋"/>
                <w:b/>
                <w:bCs/>
                <w:color w:val="auto"/>
              </w:rPr>
              <w:t>偏离简述</w:t>
            </w:r>
          </w:p>
          <w:p w14:paraId="370BC128">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color w:val="auto"/>
                <w:szCs w:val="21"/>
              </w:rPr>
              <w:t>（</w:t>
            </w:r>
            <w:r>
              <w:rPr>
                <w:rFonts w:hint="eastAsia" w:ascii="仿宋" w:hAnsi="仿宋" w:eastAsia="仿宋" w:cs="仿宋"/>
                <w:color w:val="auto"/>
                <w:szCs w:val="21"/>
                <w:lang w:eastAsia="zh-CN"/>
              </w:rPr>
              <w:t>说明</w:t>
            </w:r>
            <w:r>
              <w:rPr>
                <w:rFonts w:hint="eastAsia" w:ascii="仿宋" w:hAnsi="仿宋" w:eastAsia="仿宋" w:cs="仿宋"/>
                <w:color w:val="auto"/>
                <w:szCs w:val="21"/>
              </w:rPr>
              <w:t>证明材料对应投标文件页码或章节</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2F703071">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技术要求</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2132715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12E86AD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264A12D3">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150AE22F">
      <w:pPr>
        <w:rPr>
          <w:rFonts w:hint="eastAsia" w:ascii="仿宋" w:hAnsi="仿宋" w:eastAsia="仿宋" w:cs="仿宋"/>
          <w:b/>
          <w:color w:val="FF0000"/>
          <w:sz w:val="24"/>
        </w:rPr>
      </w:pPr>
    </w:p>
    <w:p w14:paraId="7CB9AF74">
      <w:pPr>
        <w:ind w:firstLine="480" w:firstLineChars="200"/>
        <w:jc w:val="both"/>
        <w:rPr>
          <w:rFonts w:hint="eastAsia" w:ascii="仿宋" w:hAnsi="仿宋" w:eastAsia="仿宋" w:cs="仿宋"/>
          <w:sz w:val="24"/>
        </w:rPr>
      </w:pPr>
      <w:r>
        <w:rPr>
          <w:rFonts w:hint="eastAsia" w:ascii="仿宋" w:hAnsi="仿宋" w:eastAsia="仿宋" w:cs="仿宋"/>
          <w:sz w:val="24"/>
        </w:rPr>
        <w:t>填写说明：请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文件响应”栏中对偏离表中相关条款作出响应情况描述，若响应情况优于或劣于招标要求，应逐条作详细说明；“偏离情况”栏中根据响应情况填写，没有达到要求的填“负偏离”，达到要求的填“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”，优于要求的填“正偏离”。未响应整项招标</w:t>
      </w:r>
      <w:r>
        <w:rPr>
          <w:rFonts w:hint="eastAsia" w:ascii="仿宋" w:hAnsi="仿宋" w:eastAsia="仿宋" w:cs="仿宋"/>
          <w:sz w:val="24"/>
          <w:lang w:val="en-US" w:eastAsia="zh-CN"/>
        </w:rPr>
        <w:t>技术条款</w:t>
      </w:r>
      <w:r>
        <w:rPr>
          <w:rFonts w:hint="eastAsia" w:ascii="仿宋" w:hAnsi="仿宋" w:eastAsia="仿宋" w:cs="仿宋"/>
          <w:sz w:val="24"/>
        </w:rPr>
        <w:t>或者未响应一项招标</w:t>
      </w:r>
      <w:r>
        <w:rPr>
          <w:rFonts w:hint="eastAsia" w:ascii="仿宋" w:hAnsi="仿宋" w:eastAsia="仿宋" w:cs="仿宋"/>
          <w:sz w:val="24"/>
          <w:lang w:val="en-US" w:eastAsia="zh-CN"/>
        </w:rPr>
        <w:t>技术</w:t>
      </w:r>
      <w:r>
        <w:rPr>
          <w:rFonts w:hint="eastAsia" w:ascii="仿宋" w:hAnsi="仿宋" w:eastAsia="仿宋" w:cs="仿宋"/>
          <w:sz w:val="24"/>
        </w:rPr>
        <w:t>条款的部分内容），均视为“负偏离”。</w:t>
      </w:r>
    </w:p>
    <w:p w14:paraId="4B9B5DD1">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032F524B">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767118BF">
      <w:pPr>
        <w:rPr>
          <w:rFonts w:hint="eastAsia" w:ascii="仿宋" w:hAnsi="仿宋" w:eastAsia="仿宋" w:cs="仿宋"/>
        </w:rPr>
      </w:pPr>
    </w:p>
    <w:p w14:paraId="1D9F03B4">
      <w:pPr>
        <w:numPr>
          <w:ilvl w:val="0"/>
          <w:numId w:val="0"/>
        </w:numPr>
        <w:bidi w:val="0"/>
        <w:jc w:val="both"/>
        <w:rPr>
          <w:rFonts w:hint="eastAsia" w:ascii="仿宋" w:hAnsi="仿宋" w:eastAsia="仿宋" w:cs="仿宋"/>
          <w:b/>
          <w:bCs/>
          <w:sz w:val="32"/>
          <w:szCs w:val="32"/>
          <w:lang w:val="en-US" w:eastAsia="zh-CN"/>
        </w:rPr>
      </w:pPr>
    </w:p>
    <w:p w14:paraId="469541FB">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100" w:name="_Toc10389"/>
      <w:bookmarkStart w:id="101" w:name="_Toc2643"/>
    </w:p>
    <w:p w14:paraId="30E1E46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（三）商务要求偏离表</w:t>
      </w:r>
      <w:bookmarkEnd w:id="100"/>
      <w:bookmarkEnd w:id="101"/>
    </w:p>
    <w:p w14:paraId="1FEC6199">
      <w:pPr>
        <w:pStyle w:val="23"/>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lang w:eastAsia="zh-CN"/>
        </w:rPr>
        <w:t>招标文件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五</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项目商务</w:t>
      </w:r>
      <w:r>
        <w:rPr>
          <w:rFonts w:hint="eastAsia" w:ascii="仿宋" w:hAnsi="仿宋" w:eastAsia="仿宋" w:cs="仿宋"/>
          <w:b/>
          <w:bCs/>
          <w:sz w:val="21"/>
          <w:szCs w:val="21"/>
          <w:highlight w:val="yellow"/>
        </w:rPr>
        <w:t>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E3B588D">
      <w:pPr>
        <w:rPr>
          <w:rFonts w:hint="eastAsia" w:ascii="仿宋" w:hAnsi="仿宋" w:eastAsia="仿宋" w:cs="仿宋"/>
          <w:b/>
          <w:sz w:val="24"/>
        </w:rPr>
      </w:pPr>
    </w:p>
    <w:p w14:paraId="48990FBE">
      <w:pPr>
        <w:rPr>
          <w:rFonts w:hint="eastAsia" w:ascii="仿宋" w:hAnsi="仿宋" w:eastAsia="仿宋" w:cs="仿宋"/>
          <w:b/>
          <w:sz w:val="24"/>
        </w:rPr>
      </w:pPr>
      <w:r>
        <w:rPr>
          <w:rFonts w:hint="eastAsia" w:ascii="仿宋" w:hAnsi="仿宋" w:eastAsia="仿宋" w:cs="仿宋"/>
          <w:b/>
          <w:sz w:val="24"/>
        </w:rPr>
        <w:t>根据</w:t>
      </w:r>
      <w:r>
        <w:rPr>
          <w:rFonts w:hint="eastAsia" w:ascii="仿宋" w:hAnsi="仿宋" w:eastAsia="仿宋" w:cs="仿宋"/>
          <w:b/>
          <w:sz w:val="24"/>
          <w:lang w:eastAsia="zh-CN"/>
        </w:rPr>
        <w:t>招标文件</w:t>
      </w:r>
      <w:r>
        <w:rPr>
          <w:rFonts w:hint="eastAsia" w:ascii="仿宋" w:hAnsi="仿宋" w:eastAsia="仿宋" w:cs="仿宋"/>
          <w:b/>
          <w:sz w:val="24"/>
        </w:rPr>
        <w:t>要求，我单位承诺响应如下：</w:t>
      </w:r>
    </w:p>
    <w:tbl>
      <w:tblPr>
        <w:tblStyle w:val="44"/>
        <w:tblW w:w="10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2583"/>
        <w:gridCol w:w="2667"/>
        <w:gridCol w:w="1783"/>
        <w:gridCol w:w="1783"/>
      </w:tblGrid>
      <w:tr w14:paraId="3404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center"/>
          </w:tcPr>
          <w:p w14:paraId="28D728AA">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内容</w:t>
            </w:r>
          </w:p>
        </w:tc>
        <w:tc>
          <w:tcPr>
            <w:tcW w:w="2583" w:type="dxa"/>
            <w:vAlign w:val="center"/>
          </w:tcPr>
          <w:p w14:paraId="0BB999BC">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招标服务要求</w:t>
            </w:r>
          </w:p>
          <w:p w14:paraId="018C81C9">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eastAsia="zh-CN"/>
              </w:rPr>
              <w:t>招标服务要求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67" w:type="dxa"/>
            <w:vAlign w:val="center"/>
          </w:tcPr>
          <w:p w14:paraId="6E8CCEDF">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45C5F09">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783" w:type="dxa"/>
            <w:vAlign w:val="center"/>
          </w:tcPr>
          <w:p w14:paraId="2C1ACB03">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24"/>
              </w:rPr>
              <w:t>偏离说明（</w:t>
            </w:r>
            <w:r>
              <w:rPr>
                <w:rFonts w:hint="eastAsia" w:ascii="仿宋" w:hAnsi="仿宋" w:eastAsia="仿宋" w:cs="仿宋"/>
                <w:sz w:val="24"/>
                <w:lang w:eastAsia="zh-CN"/>
              </w:rPr>
              <w:t>无偏离</w:t>
            </w:r>
            <w:r>
              <w:rPr>
                <w:rFonts w:hint="eastAsia" w:ascii="仿宋" w:hAnsi="仿宋" w:eastAsia="仿宋" w:cs="仿宋"/>
                <w:sz w:val="24"/>
              </w:rPr>
              <w:t>/正偏离/负偏离）</w:t>
            </w:r>
          </w:p>
        </w:tc>
        <w:tc>
          <w:tcPr>
            <w:tcW w:w="1783" w:type="dxa"/>
            <w:vAlign w:val="center"/>
          </w:tcPr>
          <w:p w14:paraId="2F5E1CA5">
            <w:pPr>
              <w:keepNext w:val="0"/>
              <w:keepLines w:val="0"/>
              <w:suppressLineNumbers w:val="0"/>
              <w:spacing w:before="0" w:beforeAutospacing="0" w:after="0" w:afterAutospacing="0"/>
              <w:ind w:left="0" w:right="0"/>
              <w:jc w:val="center"/>
              <w:rPr>
                <w:rFonts w:hint="eastAsia" w:ascii="仿宋" w:hAnsi="仿宋" w:eastAsia="仿宋" w:cs="仿宋"/>
                <w:b/>
                <w:bCs/>
                <w:color w:val="auto"/>
              </w:rPr>
            </w:pPr>
            <w:r>
              <w:rPr>
                <w:rFonts w:hint="eastAsia" w:ascii="仿宋" w:hAnsi="仿宋" w:eastAsia="仿宋" w:cs="仿宋"/>
                <w:b/>
                <w:bCs/>
                <w:color w:val="auto"/>
              </w:rPr>
              <w:t>偏离简述</w:t>
            </w:r>
          </w:p>
          <w:p w14:paraId="7A1DE8EA">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color w:val="auto"/>
                <w:szCs w:val="21"/>
              </w:rPr>
              <w:t>（</w:t>
            </w:r>
            <w:r>
              <w:rPr>
                <w:rFonts w:hint="eastAsia" w:ascii="仿宋" w:hAnsi="仿宋" w:eastAsia="仿宋" w:cs="仿宋"/>
                <w:color w:val="auto"/>
                <w:szCs w:val="21"/>
                <w:lang w:eastAsia="zh-CN"/>
              </w:rPr>
              <w:t>说明</w:t>
            </w:r>
            <w:r>
              <w:rPr>
                <w:rFonts w:hint="eastAsia" w:ascii="仿宋" w:hAnsi="仿宋" w:eastAsia="仿宋" w:cs="仿宋"/>
                <w:color w:val="auto"/>
                <w:szCs w:val="21"/>
              </w:rPr>
              <w:t>证明材料对应投标文件页码或章节</w:t>
            </w:r>
          </w:p>
        </w:tc>
      </w:tr>
      <w:tr w14:paraId="2E57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center"/>
          </w:tcPr>
          <w:p w14:paraId="7173FB04">
            <w:pPr>
              <w:keepNext w:val="0"/>
              <w:keepLines w:val="0"/>
              <w:suppressLineNumbers w:val="0"/>
              <w:spacing w:before="0" w:beforeAutospacing="0" w:after="0" w:afterAutospacing="0"/>
              <w:ind w:left="0" w:right="0"/>
              <w:jc w:val="both"/>
              <w:rPr>
                <w:rFonts w:hint="eastAsia" w:ascii="仿宋" w:hAnsi="仿宋" w:eastAsia="仿宋" w:cs="仿宋"/>
                <w:b/>
                <w:bCs/>
                <w:sz w:val="24"/>
                <w:lang w:val="en-US" w:eastAsia="zh-CN"/>
              </w:rPr>
            </w:pPr>
            <w:r>
              <w:rPr>
                <w:rFonts w:hint="eastAsia" w:ascii="仿宋" w:hAnsi="仿宋" w:eastAsia="仿宋" w:cs="仿宋"/>
                <w:b/>
                <w:bCs/>
                <w:sz w:val="24"/>
                <w:lang w:val="en-US" w:eastAsia="zh-CN"/>
              </w:rPr>
              <w:t>售后服务要求</w:t>
            </w:r>
          </w:p>
        </w:tc>
        <w:tc>
          <w:tcPr>
            <w:tcW w:w="2583" w:type="dxa"/>
            <w:vAlign w:val="center"/>
          </w:tcPr>
          <w:p w14:paraId="6CA59CFE">
            <w:pPr>
              <w:keepNext w:val="0"/>
              <w:keepLines w:val="0"/>
              <w:suppressLineNumbers w:val="0"/>
              <w:spacing w:before="0" w:beforeAutospacing="0" w:after="0" w:afterAutospacing="0"/>
              <w:ind w:left="0" w:leftChars="0" w:right="0" w:rightChars="0"/>
              <w:jc w:val="left"/>
              <w:rPr>
                <w:rFonts w:hint="default" w:ascii="仿宋" w:hAnsi="仿宋" w:eastAsia="仿宋" w:cs="仿宋"/>
                <w:color w:val="FF0000"/>
                <w:sz w:val="24"/>
                <w:lang w:val="en-US" w:eastAsia="zh-CN"/>
              </w:rPr>
            </w:pPr>
            <w:r>
              <w:rPr>
                <w:rFonts w:hint="eastAsia" w:ascii="仿宋" w:hAnsi="仿宋" w:eastAsia="仿宋" w:cs="仿宋"/>
                <w:color w:val="auto"/>
                <w:sz w:val="24"/>
                <w:lang w:val="en-US" w:eastAsia="zh-CN"/>
              </w:rPr>
              <w:t>1...</w:t>
            </w:r>
          </w:p>
        </w:tc>
        <w:tc>
          <w:tcPr>
            <w:tcW w:w="2667" w:type="dxa"/>
            <w:vAlign w:val="center"/>
          </w:tcPr>
          <w:p w14:paraId="3A96CD91">
            <w:pPr>
              <w:keepNext w:val="0"/>
              <w:keepLines w:val="0"/>
              <w:suppressLineNumbers w:val="0"/>
              <w:spacing w:before="0" w:beforeAutospacing="0" w:after="0" w:afterAutospacing="0"/>
              <w:ind w:left="0" w:right="0"/>
              <w:rPr>
                <w:rFonts w:hint="eastAsia" w:ascii="仿宋" w:hAnsi="仿宋" w:eastAsia="仿宋" w:cs="仿宋"/>
                <w:sz w:val="24"/>
              </w:rPr>
            </w:pPr>
          </w:p>
        </w:tc>
        <w:tc>
          <w:tcPr>
            <w:tcW w:w="1783" w:type="dxa"/>
            <w:vAlign w:val="center"/>
          </w:tcPr>
          <w:p w14:paraId="5C6C371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783" w:type="dxa"/>
            <w:vAlign w:val="center"/>
          </w:tcPr>
          <w:p w14:paraId="2F6742F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r>
      <w:tr w14:paraId="5AD8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top"/>
          </w:tcPr>
          <w:p w14:paraId="4092AC76">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验收方式</w:t>
            </w:r>
          </w:p>
        </w:tc>
        <w:tc>
          <w:tcPr>
            <w:tcW w:w="2583" w:type="dxa"/>
            <w:vAlign w:val="center"/>
          </w:tcPr>
          <w:p w14:paraId="17F31B92">
            <w:pPr>
              <w:keepNext w:val="0"/>
              <w:keepLines w:val="0"/>
              <w:suppressLineNumbers w:val="0"/>
              <w:spacing w:before="0" w:beforeAutospacing="0" w:after="0" w:afterAutospacing="0"/>
              <w:ind w:left="0" w:leftChars="0" w:right="0" w:rightChars="0"/>
              <w:jc w:val="left"/>
              <w:rPr>
                <w:rFonts w:hint="eastAsia" w:ascii="仿宋" w:hAnsi="仿宋" w:eastAsia="仿宋" w:cs="仿宋"/>
                <w:sz w:val="24"/>
              </w:rPr>
            </w:pPr>
            <w:r>
              <w:rPr>
                <w:rFonts w:hint="eastAsia" w:ascii="仿宋" w:hAnsi="仿宋" w:eastAsia="仿宋" w:cs="仿宋"/>
                <w:color w:val="auto"/>
                <w:sz w:val="24"/>
                <w:lang w:val="en-US" w:eastAsia="zh-CN"/>
              </w:rPr>
              <w:t>...</w:t>
            </w:r>
          </w:p>
        </w:tc>
        <w:tc>
          <w:tcPr>
            <w:tcW w:w="2667" w:type="dxa"/>
            <w:vAlign w:val="center"/>
          </w:tcPr>
          <w:p w14:paraId="0D2E44FE">
            <w:pPr>
              <w:keepNext w:val="0"/>
              <w:keepLines w:val="0"/>
              <w:suppressLineNumbers w:val="0"/>
              <w:spacing w:before="0" w:beforeAutospacing="0" w:after="0" w:afterAutospacing="0"/>
              <w:ind w:left="0" w:right="0"/>
              <w:rPr>
                <w:rFonts w:hint="eastAsia" w:ascii="仿宋" w:hAnsi="仿宋" w:eastAsia="仿宋" w:cs="仿宋"/>
                <w:sz w:val="24"/>
              </w:rPr>
            </w:pPr>
          </w:p>
        </w:tc>
        <w:tc>
          <w:tcPr>
            <w:tcW w:w="1783" w:type="dxa"/>
            <w:vAlign w:val="center"/>
          </w:tcPr>
          <w:p w14:paraId="5CCF50D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783" w:type="dxa"/>
            <w:vAlign w:val="center"/>
          </w:tcPr>
          <w:p w14:paraId="0D2F8F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r>
      <w:tr w14:paraId="18F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center"/>
          </w:tcPr>
          <w:p w14:paraId="456274C3">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583" w:type="dxa"/>
            <w:vAlign w:val="center"/>
          </w:tcPr>
          <w:p w14:paraId="70690AE3">
            <w:pPr>
              <w:keepNext w:val="0"/>
              <w:keepLines w:val="0"/>
              <w:suppressLineNumbers w:val="0"/>
              <w:spacing w:before="0" w:beforeAutospacing="0" w:after="0" w:afterAutospacing="0"/>
              <w:ind w:left="0" w:leftChars="0" w:right="0" w:rightChars="0"/>
              <w:jc w:val="left"/>
              <w:rPr>
                <w:rFonts w:hint="eastAsia" w:ascii="仿宋" w:hAnsi="仿宋" w:eastAsia="仿宋" w:cs="仿宋"/>
                <w:sz w:val="24"/>
              </w:rPr>
            </w:pPr>
            <w:r>
              <w:rPr>
                <w:rFonts w:hint="eastAsia" w:ascii="仿宋" w:hAnsi="仿宋" w:eastAsia="仿宋" w:cs="仿宋"/>
                <w:color w:val="auto"/>
                <w:sz w:val="24"/>
                <w:lang w:val="en-US" w:eastAsia="zh-CN"/>
              </w:rPr>
              <w:t>...</w:t>
            </w:r>
          </w:p>
        </w:tc>
        <w:tc>
          <w:tcPr>
            <w:tcW w:w="2667" w:type="dxa"/>
            <w:vAlign w:val="center"/>
          </w:tcPr>
          <w:p w14:paraId="37BDC643">
            <w:pPr>
              <w:keepNext w:val="0"/>
              <w:keepLines w:val="0"/>
              <w:suppressLineNumbers w:val="0"/>
              <w:spacing w:before="0" w:beforeAutospacing="0" w:after="0" w:afterAutospacing="0"/>
              <w:ind w:left="0" w:right="0"/>
              <w:rPr>
                <w:rFonts w:hint="eastAsia" w:ascii="仿宋" w:hAnsi="仿宋" w:eastAsia="仿宋" w:cs="仿宋"/>
                <w:sz w:val="24"/>
              </w:rPr>
            </w:pPr>
          </w:p>
        </w:tc>
        <w:tc>
          <w:tcPr>
            <w:tcW w:w="1783" w:type="dxa"/>
            <w:vAlign w:val="center"/>
          </w:tcPr>
          <w:p w14:paraId="1C2045A2">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783" w:type="dxa"/>
            <w:vAlign w:val="center"/>
          </w:tcPr>
          <w:p w14:paraId="24E9B06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r>
      <w:tr w14:paraId="36A1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center"/>
          </w:tcPr>
          <w:p w14:paraId="0620951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583" w:type="dxa"/>
            <w:vAlign w:val="center"/>
          </w:tcPr>
          <w:p w14:paraId="7B22A46F">
            <w:pPr>
              <w:keepNext w:val="0"/>
              <w:keepLines w:val="0"/>
              <w:suppressLineNumbers w:val="0"/>
              <w:spacing w:before="0" w:beforeAutospacing="0" w:after="0" w:afterAutospacing="0"/>
              <w:ind w:left="0" w:leftChars="0" w:right="0" w:rightChars="0"/>
              <w:jc w:val="left"/>
              <w:rPr>
                <w:rFonts w:hint="eastAsia" w:ascii="仿宋" w:hAnsi="仿宋" w:eastAsia="仿宋" w:cs="仿宋"/>
                <w:sz w:val="24"/>
              </w:rPr>
            </w:pPr>
            <w:r>
              <w:rPr>
                <w:rFonts w:hint="eastAsia" w:ascii="仿宋" w:hAnsi="仿宋" w:eastAsia="仿宋" w:cs="仿宋"/>
                <w:color w:val="auto"/>
                <w:sz w:val="24"/>
                <w:lang w:val="en-US" w:eastAsia="zh-CN"/>
              </w:rPr>
              <w:t>...</w:t>
            </w:r>
          </w:p>
        </w:tc>
        <w:tc>
          <w:tcPr>
            <w:tcW w:w="2667" w:type="dxa"/>
            <w:vAlign w:val="center"/>
          </w:tcPr>
          <w:p w14:paraId="56A77FE1">
            <w:pPr>
              <w:keepNext w:val="0"/>
              <w:keepLines w:val="0"/>
              <w:suppressLineNumbers w:val="0"/>
              <w:spacing w:before="0" w:beforeAutospacing="0" w:after="0" w:afterAutospacing="0"/>
              <w:ind w:left="0" w:right="0"/>
              <w:rPr>
                <w:rFonts w:hint="eastAsia" w:ascii="仿宋" w:hAnsi="仿宋" w:eastAsia="仿宋" w:cs="仿宋"/>
                <w:sz w:val="24"/>
              </w:rPr>
            </w:pPr>
          </w:p>
        </w:tc>
        <w:tc>
          <w:tcPr>
            <w:tcW w:w="1783" w:type="dxa"/>
            <w:vAlign w:val="center"/>
          </w:tcPr>
          <w:p w14:paraId="2CC4036E">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783" w:type="dxa"/>
            <w:vAlign w:val="center"/>
          </w:tcPr>
          <w:p w14:paraId="0565C93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r>
      <w:tr w14:paraId="0BAA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dxa"/>
            <w:vAlign w:val="center"/>
          </w:tcPr>
          <w:p w14:paraId="25AE3533">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583" w:type="dxa"/>
            <w:vAlign w:val="center"/>
          </w:tcPr>
          <w:p w14:paraId="05729444">
            <w:pPr>
              <w:keepNext w:val="0"/>
              <w:keepLines w:val="0"/>
              <w:suppressLineNumbers w:val="0"/>
              <w:spacing w:before="0" w:beforeAutospacing="0" w:after="0" w:afterAutospacing="0"/>
              <w:ind w:left="0" w:leftChars="0" w:right="0" w:rightChars="0"/>
              <w:jc w:val="left"/>
              <w:rPr>
                <w:rFonts w:hint="eastAsia" w:ascii="仿宋" w:hAnsi="仿宋" w:eastAsia="仿宋" w:cs="仿宋"/>
                <w:sz w:val="24"/>
              </w:rPr>
            </w:pPr>
            <w:r>
              <w:rPr>
                <w:rFonts w:hint="eastAsia" w:ascii="仿宋" w:hAnsi="仿宋" w:eastAsia="仿宋" w:cs="仿宋"/>
                <w:color w:val="auto"/>
                <w:sz w:val="24"/>
                <w:lang w:val="en-US" w:eastAsia="zh-CN"/>
              </w:rPr>
              <w:t>...</w:t>
            </w:r>
          </w:p>
        </w:tc>
        <w:tc>
          <w:tcPr>
            <w:tcW w:w="2667" w:type="dxa"/>
            <w:vAlign w:val="center"/>
          </w:tcPr>
          <w:p w14:paraId="2E045985">
            <w:pPr>
              <w:keepNext w:val="0"/>
              <w:keepLines w:val="0"/>
              <w:suppressLineNumbers w:val="0"/>
              <w:spacing w:before="0" w:beforeAutospacing="0" w:after="0" w:afterAutospacing="0"/>
              <w:ind w:left="0" w:right="0"/>
              <w:rPr>
                <w:rFonts w:hint="eastAsia" w:ascii="仿宋" w:hAnsi="仿宋" w:eastAsia="仿宋" w:cs="仿宋"/>
                <w:sz w:val="24"/>
              </w:rPr>
            </w:pPr>
          </w:p>
        </w:tc>
        <w:tc>
          <w:tcPr>
            <w:tcW w:w="1783" w:type="dxa"/>
            <w:vAlign w:val="center"/>
          </w:tcPr>
          <w:p w14:paraId="5A20EFF3">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783" w:type="dxa"/>
            <w:vAlign w:val="center"/>
          </w:tcPr>
          <w:p w14:paraId="30954B96">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r>
    </w:tbl>
    <w:p w14:paraId="159F5771">
      <w:pPr>
        <w:rPr>
          <w:rFonts w:hint="eastAsia" w:ascii="仿宋" w:hAnsi="仿宋" w:eastAsia="仿宋" w:cs="仿宋"/>
          <w:b/>
          <w:color w:val="FF0000"/>
          <w:sz w:val="24"/>
        </w:rPr>
      </w:pPr>
    </w:p>
    <w:p w14:paraId="7EDB46B9">
      <w:pPr>
        <w:ind w:firstLine="480" w:firstLineChars="200"/>
        <w:jc w:val="both"/>
        <w:rPr>
          <w:rFonts w:ascii="宋体" w:hAnsi="宋体" w:cs="Arial"/>
          <w:bCs/>
          <w:color w:val="000000"/>
          <w:sz w:val="24"/>
          <w:highlight w:val="none"/>
        </w:rPr>
      </w:pPr>
      <w:r>
        <w:rPr>
          <w:rFonts w:hint="eastAsia" w:ascii="仿宋" w:hAnsi="仿宋" w:eastAsia="仿宋" w:cs="仿宋"/>
          <w:sz w:val="24"/>
        </w:rPr>
        <w:t>填写说明：请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文件响应”栏中对偏离表中相关条款作出响应情况描述，若响应情况优于或劣于招标要求，应逐条作详细说明；“偏离情况”栏中根据响应情况填写，没有达到要求的填“负偏离”，达到要求的填“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”。未响应整项招标商务条款或者未响应一项招标商务条款的部分内容），均视为“负偏离”。</w:t>
      </w:r>
    </w:p>
    <w:p w14:paraId="0322ADA6">
      <w:pPr>
        <w:spacing w:line="360" w:lineRule="auto"/>
        <w:ind w:firstLine="480" w:firstLineChars="200"/>
        <w:rPr>
          <w:rFonts w:hint="eastAsia" w:ascii="仿宋" w:hAnsi="仿宋" w:eastAsia="仿宋" w:cs="仿宋"/>
          <w:color w:val="000000"/>
          <w:sz w:val="24"/>
        </w:rPr>
      </w:pPr>
    </w:p>
    <w:p w14:paraId="3D58B1BD">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257F8BB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7520DDB7">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117BC0EF">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4CC9949">
      <w:pPr>
        <w:jc w:val="left"/>
        <w:rPr>
          <w:rFonts w:hint="eastAsia" w:ascii="仿宋" w:hAnsi="仿宋" w:eastAsia="仿宋" w:cs="仿宋"/>
          <w:color w:val="000000" w:themeColor="text1"/>
          <w:sz w:val="24"/>
          <w14:textFill>
            <w14:solidFill>
              <w14:schemeClr w14:val="tx1"/>
            </w14:solidFill>
          </w14:textFill>
        </w:rPr>
      </w:pPr>
    </w:p>
    <w:p w14:paraId="13A15536">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3D09D11">
      <w:pPr>
        <w:jc w:val="left"/>
        <w:rPr>
          <w:rFonts w:hint="eastAsia" w:ascii="仿宋" w:hAnsi="仿宋" w:eastAsia="仿宋" w:cs="仿宋"/>
          <w:color w:val="000000" w:themeColor="text1"/>
          <w:sz w:val="24"/>
          <w14:textFill>
            <w14:solidFill>
              <w14:schemeClr w14:val="tx1"/>
            </w14:solidFill>
          </w14:textFill>
        </w:rPr>
      </w:pPr>
    </w:p>
    <w:p w14:paraId="02096CC1">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6EF76E4C">
      <w:pPr>
        <w:rPr>
          <w:rFonts w:hint="eastAsia" w:ascii="仿宋" w:hAnsi="仿宋" w:eastAsia="仿宋" w:cs="仿宋"/>
          <w:b w:val="0"/>
          <w:sz w:val="36"/>
          <w:lang w:val="en-US" w:eastAsia="zh-CN"/>
        </w:rPr>
      </w:pPr>
    </w:p>
    <w:p w14:paraId="07B27509">
      <w:pPr>
        <w:bidi w:val="0"/>
        <w:rPr>
          <w:rFonts w:hint="eastAsia"/>
          <w:lang w:val="en-US" w:eastAsia="zh-CN"/>
        </w:rPr>
      </w:pPr>
    </w:p>
    <w:p w14:paraId="30E8798D">
      <w:pPr>
        <w:numPr>
          <w:ilvl w:val="0"/>
          <w:numId w:val="0"/>
        </w:numPr>
        <w:tabs>
          <w:tab w:val="left" w:pos="540"/>
        </w:tabs>
        <w:jc w:val="both"/>
        <w:rPr>
          <w:rFonts w:hint="eastAsia" w:ascii="仿宋" w:hAnsi="仿宋" w:eastAsia="仿宋" w:cs="仿宋"/>
          <w:b/>
          <w:bCs/>
          <w:sz w:val="30"/>
          <w:szCs w:val="30"/>
          <w:lang w:val="en-US" w:eastAsia="zh-CN"/>
        </w:rPr>
      </w:pPr>
    </w:p>
    <w:p w14:paraId="2B87A75F">
      <w:pPr>
        <w:bidi w:val="0"/>
        <w:jc w:val="center"/>
        <w:outlineLvl w:val="0"/>
        <w:rPr>
          <w:rFonts w:hint="eastAsia" w:ascii="仿宋" w:hAnsi="仿宋" w:eastAsia="仿宋" w:cs="仿宋"/>
          <w:b/>
          <w:bCs w:val="0"/>
          <w:kern w:val="2"/>
          <w:sz w:val="32"/>
          <w:szCs w:val="32"/>
          <w:lang w:val="en-US" w:eastAsia="zh-CN" w:bidi="ar-SA"/>
        </w:rPr>
      </w:pPr>
      <w:bookmarkStart w:id="102" w:name="_Toc30086"/>
      <w:bookmarkStart w:id="103" w:name="_Toc23905"/>
      <w:r>
        <w:rPr>
          <w:rFonts w:hint="eastAsia" w:ascii="仿宋" w:hAnsi="仿宋" w:eastAsia="仿宋" w:cs="仿宋"/>
          <w:b/>
          <w:bCs w:val="0"/>
          <w:kern w:val="2"/>
          <w:sz w:val="32"/>
          <w:szCs w:val="32"/>
          <w:lang w:val="en-US" w:eastAsia="zh-CN" w:bidi="ar-SA"/>
        </w:rPr>
        <w:t>十、综合评分表涉及内容证明文件</w:t>
      </w:r>
      <w:bookmarkEnd w:id="102"/>
      <w:bookmarkEnd w:id="103"/>
    </w:p>
    <w:p w14:paraId="1FB22F5B">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1.项目服务案</w:t>
      </w:r>
    </w:p>
    <w:p w14:paraId="4067CB3B">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2D6373E1">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2.质量保障措施</w:t>
      </w:r>
    </w:p>
    <w:p w14:paraId="17DCF95F">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2BC3B69E">
      <w:pPr>
        <w:pStyle w:val="23"/>
        <w:numPr>
          <w:ilvl w:val="0"/>
          <w:numId w:val="0"/>
        </w:numPr>
        <w:ind w:leftChars="0"/>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3.项目重点难点分析、应对措施及相关的合理化建议</w:t>
      </w:r>
    </w:p>
    <w:p w14:paraId="47B8E4E5">
      <w:pPr>
        <w:pStyle w:val="23"/>
        <w:numPr>
          <w:ilvl w:val="0"/>
          <w:numId w:val="0"/>
        </w:numPr>
        <w:ind w:leftChars="0"/>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7FA5AA08">
      <w:pPr>
        <w:keepNext w:val="0"/>
        <w:keepLines w:val="0"/>
        <w:pageBreakBefore w:val="0"/>
        <w:widowControl w:val="0"/>
        <w:numPr>
          <w:ilvl w:val="0"/>
          <w:numId w:val="0"/>
        </w:numPr>
        <w:kinsoku/>
        <w:wordWrap/>
        <w:overflowPunct/>
        <w:topLinePunct w:val="0"/>
        <w:autoSpaceDE/>
        <w:autoSpaceDN/>
        <w:bidi w:val="0"/>
        <w:adjustRightInd/>
        <w:snapToGrid w:val="0"/>
        <w:ind w:leftChars="0"/>
        <w:jc w:val="both"/>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4.拟安排的项目团队成员情况</w:t>
      </w:r>
    </w:p>
    <w:p w14:paraId="1A8A6425">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参考格式，投标人可根据招标文件要求和自身实际情况修改）</w:t>
      </w:r>
    </w:p>
    <w:p w14:paraId="5911B741">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85C6EE6">
      <w:pPr>
        <w:snapToGrid w:val="0"/>
        <w:outlineLvl w:val="9"/>
        <w:rPr>
          <w:rFonts w:ascii="仿宋" w:hAnsi="仿宋" w:eastAsia="仿宋" w:cs="仿宋"/>
          <w:b/>
          <w:color w:val="000000"/>
          <w:szCs w:val="21"/>
        </w:rPr>
      </w:pPr>
      <w:bookmarkStart w:id="104" w:name="_Toc14386"/>
      <w:bookmarkStart w:id="105" w:name="_Toc32740"/>
      <w:bookmarkStart w:id="106" w:name="_Toc17839"/>
      <w:bookmarkStart w:id="107"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104"/>
      <w:bookmarkEnd w:id="105"/>
      <w:bookmarkEnd w:id="106"/>
      <w:r>
        <w:rPr>
          <w:rFonts w:hint="eastAsia" w:ascii="仿宋" w:hAnsi="仿宋" w:eastAsia="仿宋" w:cs="仿宋"/>
          <w:b/>
          <w:color w:val="000000"/>
          <w:szCs w:val="21"/>
        </w:rPr>
        <w:t>拟派本项目负责人（1人）</w:t>
      </w:r>
      <w:bookmarkEnd w:id="107"/>
    </w:p>
    <w:p w14:paraId="290ED126">
      <w:pPr>
        <w:spacing w:after="60"/>
        <w:jc w:val="center"/>
        <w:rPr>
          <w:rFonts w:ascii="仿宋" w:hAnsi="仿宋" w:eastAsia="仿宋" w:cs="仿宋"/>
        </w:rPr>
      </w:pPr>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4DF4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3A9F17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70C4946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CC8AE6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2EAA816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787235E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63E54D2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B8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3A4AF30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5CE4FA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4169B59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5E29282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09F1E99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5ED8051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4E73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68F0352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44AF4BC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39785DF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342D8C8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6DDDA2F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B2E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2C98BB7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5D84EDB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263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76E0FEC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22F4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535DFF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0C45A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6008CA5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02C9518B">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470E5E6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5DF0F71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672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214711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D32B5C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577E462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46765FB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0C441E9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31E79B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042039BC">
      <w:pPr>
        <w:rPr>
          <w:rFonts w:ascii="仿宋" w:hAnsi="仿宋" w:eastAsia="仿宋" w:cs="仿宋"/>
        </w:rPr>
      </w:pPr>
    </w:p>
    <w:p w14:paraId="7C1CCAB9">
      <w:pPr>
        <w:snapToGrid w:val="0"/>
        <w:outlineLvl w:val="9"/>
        <w:rPr>
          <w:rFonts w:ascii="仿宋" w:hAnsi="仿宋" w:eastAsia="仿宋" w:cs="仿宋"/>
          <w:b/>
          <w:color w:val="000000"/>
          <w:szCs w:val="21"/>
        </w:rPr>
      </w:pPr>
      <w:bookmarkStart w:id="108" w:name="_Toc13763"/>
      <w:bookmarkStart w:id="109" w:name="_Toc13984"/>
      <w:bookmarkStart w:id="110" w:name="_Toc21997"/>
      <w:bookmarkStart w:id="111"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108"/>
      <w:bookmarkEnd w:id="109"/>
      <w:bookmarkEnd w:id="110"/>
      <w:r>
        <w:rPr>
          <w:rFonts w:hint="eastAsia" w:ascii="仿宋" w:hAnsi="仿宋" w:eastAsia="仿宋" w:cs="仿宋"/>
          <w:b/>
          <w:color w:val="000000"/>
          <w:szCs w:val="21"/>
        </w:rPr>
        <w:t>拟派本项目服务团队（不含项目负责人）</w:t>
      </w:r>
      <w:bookmarkEnd w:id="111"/>
    </w:p>
    <w:p w14:paraId="5CC2F913">
      <w:pPr>
        <w:spacing w:after="60"/>
        <w:jc w:val="center"/>
        <w:rPr>
          <w:rFonts w:ascii="仿宋" w:hAnsi="仿宋" w:eastAsia="仿宋" w:cs="仿宋"/>
        </w:rPr>
      </w:pPr>
    </w:p>
    <w:p w14:paraId="43C6F20B">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4"/>
        </w:rPr>
      </w:pPr>
      <w:bookmarkStart w:id="112" w:name="_Toc17314"/>
      <w:bookmarkStart w:id="113" w:name="_Toc18505"/>
      <w:r>
        <w:rPr>
          <w:rFonts w:hint="eastAsia" w:ascii="宋体" w:hAnsi="宋体" w:eastAsia="宋体" w:cs="仿宋"/>
          <w:b/>
          <w:sz w:val="24"/>
        </w:rPr>
        <w:t>拟派团队成员清单</w:t>
      </w:r>
      <w:bookmarkEnd w:id="112"/>
      <w:bookmarkEnd w:id="113"/>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04B9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2A71CDF1">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4552F42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77C623D8">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3C992951">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4B6D71E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03E82DEA">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FFF6A49">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DCE490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5DF8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4FF37CB8">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1179C88">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52EDC7C">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7A22C7A4">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61EB087">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719ABB79">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772DEB3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04C27F1">
            <w:pPr>
              <w:keepNext w:val="0"/>
              <w:keepLines w:val="0"/>
              <w:suppressLineNumbers w:val="0"/>
              <w:spacing w:before="0" w:beforeAutospacing="0" w:after="0" w:afterAutospacing="0"/>
              <w:ind w:left="0" w:right="0"/>
              <w:rPr>
                <w:rFonts w:hint="default" w:ascii="仿宋" w:hAnsi="仿宋" w:eastAsia="仿宋" w:cs="仿宋"/>
              </w:rPr>
            </w:pPr>
          </w:p>
        </w:tc>
      </w:tr>
      <w:tr w14:paraId="632E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62CE6F2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E14EED">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2ED33BE5">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45423993">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2DAC1881">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56D668AF">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04E8255A">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AAB63E1">
            <w:pPr>
              <w:keepNext w:val="0"/>
              <w:keepLines w:val="0"/>
              <w:suppressLineNumbers w:val="0"/>
              <w:spacing w:before="0" w:beforeAutospacing="0" w:after="0" w:afterAutospacing="0"/>
              <w:ind w:left="0" w:right="0"/>
              <w:rPr>
                <w:rFonts w:hint="default" w:ascii="仿宋" w:hAnsi="仿宋" w:eastAsia="仿宋" w:cs="仿宋"/>
              </w:rPr>
            </w:pPr>
          </w:p>
        </w:tc>
      </w:tr>
      <w:tr w14:paraId="24E5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D0A235A">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6602D75">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2FC21FE5">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0C82A20F">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5450B9BF">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3803E203">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5D65D3E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8CC975E">
            <w:pPr>
              <w:keepNext w:val="0"/>
              <w:keepLines w:val="0"/>
              <w:suppressLineNumbers w:val="0"/>
              <w:spacing w:before="0" w:beforeAutospacing="0" w:after="0" w:afterAutospacing="0"/>
              <w:ind w:left="0" w:right="0"/>
              <w:rPr>
                <w:rFonts w:hint="default" w:ascii="仿宋" w:hAnsi="仿宋" w:eastAsia="仿宋" w:cs="仿宋"/>
              </w:rPr>
            </w:pPr>
          </w:p>
        </w:tc>
      </w:tr>
    </w:tbl>
    <w:p w14:paraId="0BCC34B7">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0E6D5538">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717D1643">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0FDAC064">
      <w:pPr>
        <w:tabs>
          <w:tab w:val="left" w:pos="540"/>
        </w:tabs>
        <w:jc w:val="center"/>
        <w:rPr>
          <w:rFonts w:hint="eastAsia" w:ascii="仿宋" w:hAnsi="仿宋" w:eastAsia="仿宋" w:cs="仿宋"/>
          <w:b/>
          <w:bCs/>
          <w:kern w:val="2"/>
          <w:sz w:val="28"/>
          <w:szCs w:val="28"/>
          <w:lang w:val="en-US" w:eastAsia="zh-CN" w:bidi="ar-SA"/>
        </w:rPr>
      </w:pPr>
    </w:p>
    <w:p w14:paraId="489EF853">
      <w:pPr>
        <w:numPr>
          <w:ilvl w:val="0"/>
          <w:numId w:val="0"/>
        </w:numPr>
        <w:tabs>
          <w:tab w:val="left" w:pos="540"/>
        </w:tabs>
        <w:jc w:val="both"/>
        <w:rPr>
          <w:rFonts w:hint="eastAsia" w:ascii="仿宋" w:hAnsi="仿宋" w:eastAsia="仿宋" w:cs="仿宋"/>
          <w:b/>
          <w:bCs/>
          <w:kern w:val="2"/>
          <w:sz w:val="28"/>
          <w:szCs w:val="28"/>
          <w:lang w:val="en-US" w:eastAsia="zh-CN" w:bidi="ar-SA"/>
        </w:rPr>
      </w:pPr>
    </w:p>
    <w:p w14:paraId="6DCB7993">
      <w:pPr>
        <w:numPr>
          <w:ilvl w:val="0"/>
          <w:numId w:val="0"/>
        </w:numPr>
        <w:tabs>
          <w:tab w:val="left" w:pos="540"/>
        </w:tabs>
        <w:jc w:val="both"/>
        <w:rPr>
          <w:rFonts w:hint="eastAsia" w:ascii="仿宋" w:hAnsi="仿宋" w:eastAsia="仿宋" w:cs="仿宋"/>
          <w:b/>
          <w:bCs/>
          <w:kern w:val="2"/>
          <w:sz w:val="28"/>
          <w:szCs w:val="28"/>
          <w:lang w:val="en-US" w:eastAsia="zh-CN" w:bidi="ar-SA"/>
        </w:rPr>
      </w:pPr>
    </w:p>
    <w:p w14:paraId="5BC14596">
      <w:pPr>
        <w:numPr>
          <w:ilvl w:val="0"/>
          <w:numId w:val="0"/>
        </w:numPr>
        <w:tabs>
          <w:tab w:val="left" w:pos="540"/>
        </w:tabs>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780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3A867D15">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059161A8">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0553419">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74266353">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92F85B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7768F882">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07B767AF">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39D665CC">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4FF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67AD029F">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5E0A858D">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4492F62">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A59E58">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5E381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4DF3B78">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A46A3A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D8CBC3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3208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332017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15B4DD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96CD2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7112A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A974917">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AEDD9C0">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CBA4928">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98390F">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5F8A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15CE109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0886373A">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CF4488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E14ACD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13DBB46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7F7445A">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54430D1">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BEC356">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483D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F102734">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02178D1">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4FC49CF0">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6A1F5A1B">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213812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27B76FD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F7EACB7">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E1E8C52">
            <w:pPr>
              <w:keepNext w:val="0"/>
              <w:keepLines w:val="0"/>
              <w:suppressLineNumbers w:val="0"/>
              <w:spacing w:before="0" w:beforeAutospacing="0" w:after="60" w:afterAutospacing="0"/>
              <w:ind w:left="0" w:right="0"/>
              <w:rPr>
                <w:rFonts w:hint="eastAsia" w:ascii="宋体" w:hAnsi="宋体"/>
                <w:color w:val="000000"/>
                <w:szCs w:val="21"/>
              </w:rPr>
            </w:pPr>
          </w:p>
        </w:tc>
      </w:tr>
      <w:tr w14:paraId="0AF5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2E23DCC6">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268950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2C030BFB">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B215B8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022FA58E">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E82025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B60214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5526CDA">
            <w:pPr>
              <w:keepNext w:val="0"/>
              <w:keepLines w:val="0"/>
              <w:suppressLineNumbers w:val="0"/>
              <w:spacing w:before="0" w:beforeAutospacing="0" w:after="60" w:afterAutospacing="0"/>
              <w:ind w:left="0" w:right="0"/>
              <w:rPr>
                <w:rFonts w:hint="eastAsia" w:ascii="宋体" w:hAnsi="宋体"/>
                <w:color w:val="000000"/>
                <w:szCs w:val="21"/>
              </w:rPr>
            </w:pPr>
          </w:p>
        </w:tc>
      </w:tr>
    </w:tbl>
    <w:p w14:paraId="4FF8745A">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5B942A18">
      <w:pPr>
        <w:pStyle w:val="23"/>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6AB70F12">
      <w:pPr>
        <w:pStyle w:val="23"/>
        <w:jc w:val="both"/>
        <w:rPr>
          <w:rFonts w:hint="eastAsia" w:ascii="仿宋" w:hAnsi="仿宋" w:eastAsia="仿宋" w:cs="仿宋"/>
          <w:b/>
          <w:bCs/>
          <w:kern w:val="2"/>
          <w:sz w:val="28"/>
          <w:szCs w:val="28"/>
          <w:lang w:val="en-US" w:eastAsia="zh-CN" w:bidi="ar-SA"/>
        </w:rPr>
      </w:pPr>
    </w:p>
    <w:p w14:paraId="76AB121D">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履约评价</w:t>
      </w:r>
    </w:p>
    <w:p w14:paraId="1820F46F">
      <w:pPr>
        <w:pStyle w:val="23"/>
        <w:numPr>
          <w:ilvl w:val="0"/>
          <w:numId w:val="0"/>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175268F5">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投标人认证情况</w:t>
      </w:r>
    </w:p>
    <w:p w14:paraId="1CE3A2F7">
      <w:pPr>
        <w:pStyle w:val="23"/>
        <w:numPr>
          <w:ilvl w:val="0"/>
          <w:numId w:val="0"/>
        </w:numPr>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66653E48">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自主知识产权产品（创新、设计）情况</w:t>
      </w:r>
    </w:p>
    <w:p w14:paraId="67F1BE60">
      <w:pPr>
        <w:pStyle w:val="23"/>
        <w:numPr>
          <w:ilvl w:val="0"/>
          <w:numId w:val="0"/>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405F77B9">
      <w:pPr>
        <w:pStyle w:val="23"/>
        <w:numPr>
          <w:ilvl w:val="0"/>
          <w:numId w:val="0"/>
        </w:numPr>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9.互联网资源情况</w:t>
      </w:r>
    </w:p>
    <w:p w14:paraId="08C48C7A">
      <w:pPr>
        <w:bidi w:val="0"/>
        <w:jc w:val="center"/>
        <w:rPr>
          <w:rFonts w:hint="eastAsia" w:ascii="仿宋" w:hAnsi="仿宋" w:eastAsia="仿宋" w:cs="仿宋"/>
          <w:b/>
          <w:bCs w:val="0"/>
          <w:kern w:val="2"/>
          <w:sz w:val="32"/>
          <w:szCs w:val="32"/>
          <w:lang w:val="en-US" w:eastAsia="zh-CN" w:bidi="ar-SA"/>
        </w:rPr>
      </w:pPr>
    </w:p>
    <w:p w14:paraId="52B0F343">
      <w:pPr>
        <w:bidi w:val="0"/>
        <w:jc w:val="center"/>
        <w:rPr>
          <w:rFonts w:hint="eastAsia" w:ascii="仿宋" w:hAnsi="仿宋" w:eastAsia="仿宋" w:cs="仿宋"/>
          <w:b/>
          <w:bCs w:val="0"/>
          <w:kern w:val="2"/>
          <w:sz w:val="32"/>
          <w:szCs w:val="32"/>
          <w:lang w:val="en-US" w:eastAsia="zh-CN" w:bidi="ar-SA"/>
        </w:rPr>
      </w:pPr>
    </w:p>
    <w:p w14:paraId="20AF0E1B">
      <w:pPr>
        <w:bidi w:val="0"/>
        <w:jc w:val="center"/>
        <w:rPr>
          <w:rFonts w:hint="eastAsia" w:ascii="仿宋" w:hAnsi="仿宋" w:eastAsia="仿宋" w:cs="仿宋"/>
          <w:b/>
          <w:bCs w:val="0"/>
          <w:kern w:val="2"/>
          <w:sz w:val="32"/>
          <w:szCs w:val="32"/>
          <w:lang w:val="en-US" w:eastAsia="zh-CN" w:bidi="ar-SA"/>
        </w:rPr>
      </w:pPr>
    </w:p>
    <w:p w14:paraId="58DB4D59">
      <w:pPr>
        <w:bidi w:val="0"/>
        <w:jc w:val="both"/>
        <w:rPr>
          <w:rFonts w:hint="eastAsia" w:ascii="仿宋" w:hAnsi="仿宋" w:eastAsia="仿宋" w:cs="仿宋"/>
          <w:b/>
          <w:bCs w:val="0"/>
          <w:kern w:val="2"/>
          <w:sz w:val="32"/>
          <w:szCs w:val="32"/>
          <w:lang w:val="en-US" w:eastAsia="zh-CN" w:bidi="ar-SA"/>
        </w:rPr>
      </w:pPr>
    </w:p>
    <w:p w14:paraId="3CC48397">
      <w:pPr>
        <w:bidi w:val="0"/>
        <w:jc w:val="center"/>
        <w:outlineLvl w:val="0"/>
        <w:rPr>
          <w:rFonts w:hint="eastAsia" w:ascii="仿宋" w:hAnsi="仿宋" w:eastAsia="仿宋" w:cs="仿宋"/>
          <w:b/>
          <w:bCs w:val="0"/>
          <w:kern w:val="2"/>
          <w:sz w:val="32"/>
          <w:szCs w:val="32"/>
          <w:lang w:val="en-US" w:eastAsia="zh-CN" w:bidi="ar-SA"/>
        </w:rPr>
      </w:pPr>
      <w:bookmarkStart w:id="114" w:name="_Toc28422"/>
      <w:bookmarkStart w:id="115" w:name="_Toc11476"/>
    </w:p>
    <w:p w14:paraId="2B3FBDCB">
      <w:pPr>
        <w:bidi w:val="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十一、</w:t>
      </w:r>
      <w:bookmarkEnd w:id="64"/>
      <w:r>
        <w:rPr>
          <w:rFonts w:hint="eastAsia" w:ascii="仿宋" w:hAnsi="仿宋" w:eastAsia="仿宋" w:cs="仿宋"/>
          <w:b/>
          <w:bCs w:val="0"/>
          <w:kern w:val="2"/>
          <w:sz w:val="32"/>
          <w:szCs w:val="32"/>
          <w:lang w:val="en-US" w:eastAsia="zh-CN" w:bidi="ar-SA"/>
        </w:rPr>
        <w:t>采购违法行为风险知悉确认书</w:t>
      </w:r>
      <w:bookmarkEnd w:id="114"/>
      <w:bookmarkEnd w:id="115"/>
    </w:p>
    <w:p w14:paraId="7AAE05B9">
      <w:pPr>
        <w:keepNext/>
        <w:keepLines/>
        <w:spacing w:before="280" w:after="290" w:line="376" w:lineRule="auto"/>
        <w:outlineLvl w:val="1"/>
        <w:rPr>
          <w:rFonts w:hint="eastAsia" w:ascii="仿宋" w:hAnsi="仿宋" w:eastAsia="仿宋" w:cs="仿宋"/>
          <w:b/>
          <w:bCs/>
          <w:sz w:val="24"/>
        </w:rPr>
      </w:pPr>
      <w:bookmarkStart w:id="116" w:name="_Toc26106"/>
      <w:bookmarkStart w:id="117" w:name="_Toc20251"/>
      <w:r>
        <w:rPr>
          <w:rFonts w:hint="eastAsia" w:ascii="仿宋" w:hAnsi="仿宋" w:eastAsia="仿宋" w:cs="仿宋"/>
          <w:b/>
          <w:bCs/>
          <w:sz w:val="24"/>
        </w:rPr>
        <w:t>（一）政府采购违法行为风险知悉确认书</w:t>
      </w:r>
      <w:bookmarkEnd w:id="116"/>
      <w:bookmarkEnd w:id="117"/>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outlineLvl w:val="2"/>
        <w:rPr>
          <w:rFonts w:hint="eastAsia" w:ascii="仿宋" w:hAnsi="仿宋" w:eastAsia="仿宋" w:cs="仿宋"/>
          <w:b/>
          <w:bCs/>
          <w:sz w:val="24"/>
        </w:rPr>
      </w:pPr>
      <w:bookmarkStart w:id="118" w:name="_Toc3969"/>
      <w:bookmarkStart w:id="119" w:name="_Toc12548"/>
      <w:r>
        <w:rPr>
          <w:rFonts w:hint="eastAsia" w:ascii="仿宋" w:hAnsi="仿宋" w:eastAsia="仿宋" w:cs="仿宋"/>
          <w:b/>
          <w:bCs/>
          <w:sz w:val="24"/>
        </w:rPr>
        <w:t>一、本公司已充分知悉“隐瞒真实情况，提供虚假资料”的法定情形，相关情形包括但不限于：</w:t>
      </w:r>
      <w:bookmarkEnd w:id="118"/>
      <w:bookmarkEnd w:id="119"/>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outlineLvl w:val="2"/>
        <w:rPr>
          <w:rFonts w:hint="eastAsia" w:ascii="仿宋" w:hAnsi="仿宋" w:eastAsia="仿宋" w:cs="仿宋"/>
          <w:b/>
          <w:bCs/>
          <w:sz w:val="24"/>
        </w:rPr>
      </w:pPr>
      <w:bookmarkStart w:id="120" w:name="_Toc29025"/>
      <w:bookmarkStart w:id="121" w:name="_Toc3412"/>
      <w:r>
        <w:rPr>
          <w:rFonts w:hint="eastAsia" w:ascii="仿宋" w:hAnsi="仿宋" w:eastAsia="仿宋" w:cs="仿宋"/>
          <w:b/>
          <w:bCs/>
          <w:sz w:val="24"/>
        </w:rPr>
        <w:t>二、本公司已充分知悉“与其他采购参加人串通投标”的法定情形，相关情形包括但不限于：</w:t>
      </w:r>
      <w:bookmarkEnd w:id="120"/>
      <w:bookmarkEnd w:id="121"/>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outlineLvl w:val="2"/>
        <w:rPr>
          <w:rFonts w:hint="eastAsia" w:ascii="仿宋" w:hAnsi="仿宋" w:eastAsia="仿宋" w:cs="仿宋"/>
          <w:b/>
          <w:bCs/>
          <w:sz w:val="24"/>
        </w:rPr>
      </w:pPr>
      <w:bookmarkStart w:id="122" w:name="_Toc29689"/>
      <w:bookmarkStart w:id="123" w:name="_Toc32013"/>
      <w:r>
        <w:rPr>
          <w:rFonts w:hint="eastAsia" w:ascii="仿宋" w:hAnsi="仿宋" w:eastAsia="仿宋" w:cs="仿宋"/>
          <w:b/>
          <w:bCs/>
          <w:sz w:val="24"/>
        </w:rPr>
        <w:t>三、本公司已充分知悉下列情形所对应的法律风险，并在投标前已对相关风险事项进行排查。</w:t>
      </w:r>
      <w:bookmarkEnd w:id="122"/>
      <w:bookmarkEnd w:id="123"/>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outlineLvl w:val="2"/>
        <w:rPr>
          <w:rFonts w:hint="eastAsia" w:ascii="仿宋" w:hAnsi="仿宋" w:eastAsia="仿宋" w:cs="仿宋"/>
          <w:b/>
          <w:bCs/>
          <w:kern w:val="0"/>
          <w:sz w:val="24"/>
        </w:rPr>
      </w:pPr>
      <w:bookmarkStart w:id="124" w:name="_Toc8247"/>
      <w:bookmarkStart w:id="125" w:name="_Toc2076"/>
      <w:r>
        <w:rPr>
          <w:rFonts w:hint="eastAsia" w:ascii="仿宋" w:hAnsi="仿宋" w:eastAsia="仿宋" w:cs="仿宋"/>
          <w:b/>
          <w:bCs/>
          <w:kern w:val="0"/>
          <w:sz w:val="24"/>
        </w:rPr>
        <w:t>四、本公司已充分知悉政府采购违法、违规行为的法律后果。</w:t>
      </w:r>
      <w:bookmarkEnd w:id="124"/>
      <w:bookmarkEnd w:id="125"/>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w:t>
      </w:r>
      <w:r>
        <w:rPr>
          <w:rFonts w:hint="eastAsia" w:ascii="仿宋" w:hAnsi="仿宋" w:eastAsia="仿宋" w:cs="仿宋"/>
          <w:b/>
          <w:bCs/>
          <w:color w:val="FF0000"/>
          <w:spacing w:val="-4"/>
          <w:kern w:val="0"/>
          <w:sz w:val="24"/>
          <w:lang w:val="en-US" w:eastAsia="zh-CN"/>
        </w:rPr>
        <w:t>符合</w:t>
      </w:r>
      <w:r>
        <w:rPr>
          <w:rFonts w:hint="eastAsia" w:ascii="仿宋" w:hAnsi="仿宋" w:eastAsia="仿宋" w:cs="仿宋"/>
          <w:b/>
          <w:bCs/>
          <w:color w:val="FF0000"/>
          <w:spacing w:val="-4"/>
          <w:kern w:val="0"/>
          <w:sz w:val="24"/>
        </w:rPr>
        <w:t>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40F7FB44">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749D222B">
      <w:pPr>
        <w:wordWrap/>
        <w:autoSpaceDE w:val="0"/>
        <w:autoSpaceDN w:val="0"/>
        <w:spacing w:line="276" w:lineRule="auto"/>
        <w:ind w:firstLine="464" w:firstLineChars="200"/>
        <w:jc w:val="right"/>
        <w:rPr>
          <w:rFonts w:hint="eastAsia" w:ascii="仿宋" w:hAnsi="仿宋" w:eastAsia="仿宋" w:cs="仿宋"/>
          <w:spacing w:val="-4"/>
          <w:kern w:val="0"/>
          <w:sz w:val="24"/>
        </w:rPr>
      </w:pPr>
    </w:p>
    <w:p w14:paraId="3C98204D">
      <w:pPr>
        <w:wordWrap/>
        <w:autoSpaceDE w:val="0"/>
        <w:autoSpaceDN w:val="0"/>
        <w:spacing w:line="276" w:lineRule="auto"/>
        <w:ind w:firstLine="464" w:firstLineChars="200"/>
        <w:jc w:val="right"/>
        <w:rPr>
          <w:rFonts w:hint="eastAsia" w:ascii="仿宋" w:hAnsi="仿宋" w:eastAsia="仿宋" w:cs="仿宋"/>
          <w:spacing w:val="-4"/>
          <w:kern w:val="0"/>
          <w:sz w:val="24"/>
          <w:lang w:val="en-US" w:eastAsia="zh-CN"/>
        </w:rPr>
        <w:sectPr>
          <w:footerReference r:id="rId5" w:type="first"/>
          <w:headerReference r:id="rId3" w:type="default"/>
          <w:footerReference r:id="rId4" w:type="default"/>
          <w:pgSz w:w="11906" w:h="16838"/>
          <w:pgMar w:top="1440" w:right="1800" w:bottom="1440" w:left="1800" w:header="851" w:footer="992" w:gutter="0"/>
          <w:cols w:space="425" w:num="1"/>
          <w:titlePg/>
          <w:docGrid w:type="lines" w:linePitch="312" w:charSpace="0"/>
        </w:sectPr>
      </w:pPr>
    </w:p>
    <w:p w14:paraId="16E77E54">
      <w:pPr>
        <w:widowControl w:val="0"/>
        <w:numPr>
          <w:ilvl w:val="0"/>
          <w:numId w:val="0"/>
        </w:numPr>
        <w:ind w:left="0" w:leftChars="0" w:firstLine="0" w:firstLineChars="0"/>
        <w:jc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警示情形自查确认表</w:t>
      </w:r>
    </w:p>
    <w:tbl>
      <w:tblPr>
        <w:tblStyle w:val="44"/>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1A15B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dxa"/>
            <w:tcBorders>
              <w:tl2br w:val="nil"/>
              <w:tr2bl w:val="nil"/>
            </w:tcBorders>
            <w:noWrap/>
            <w:vAlign w:val="center"/>
          </w:tcPr>
          <w:p w14:paraId="0FF44C6A">
            <w:pPr>
              <w:keepNext w:val="0"/>
              <w:keepLines w:val="0"/>
              <w:suppressLineNumbers w:val="0"/>
              <w:spacing w:before="0" w:beforeAutospacing="0" w:after="0" w:afterAutospacing="0" w:line="240" w:lineRule="auto"/>
              <w:ind w:left="0" w:right="0"/>
              <w:jc w:val="both"/>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序号</w:t>
            </w:r>
          </w:p>
        </w:tc>
        <w:tc>
          <w:tcPr>
            <w:tcW w:w="744" w:type="dxa"/>
            <w:tcBorders>
              <w:tl2br w:val="nil"/>
              <w:tr2bl w:val="nil"/>
            </w:tcBorders>
            <w:noWrap/>
            <w:vAlign w:val="center"/>
          </w:tcPr>
          <w:p w14:paraId="3DB586A1">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类别</w:t>
            </w:r>
          </w:p>
        </w:tc>
        <w:tc>
          <w:tcPr>
            <w:tcW w:w="11002" w:type="dxa"/>
            <w:tcBorders>
              <w:tl2br w:val="nil"/>
              <w:tr2bl w:val="nil"/>
            </w:tcBorders>
            <w:noWrap w:val="0"/>
            <w:vAlign w:val="center"/>
          </w:tcPr>
          <w:p w14:paraId="082A4408">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内容</w:t>
            </w:r>
          </w:p>
        </w:tc>
        <w:tc>
          <w:tcPr>
            <w:tcW w:w="1385" w:type="dxa"/>
            <w:gridSpan w:val="2"/>
            <w:tcBorders>
              <w:tl2br w:val="nil"/>
              <w:tr2bl w:val="nil"/>
            </w:tcBorders>
            <w:noWrap/>
            <w:vAlign w:val="center"/>
          </w:tcPr>
          <w:p w14:paraId="1541184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选项</w:t>
            </w:r>
          </w:p>
        </w:tc>
      </w:tr>
      <w:tr w14:paraId="622C1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1972023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p>
        </w:tc>
        <w:tc>
          <w:tcPr>
            <w:tcW w:w="744" w:type="dxa"/>
            <w:vMerge w:val="restart"/>
            <w:tcBorders>
              <w:tl2br w:val="nil"/>
              <w:tr2bl w:val="nil"/>
            </w:tcBorders>
            <w:noWrap w:val="0"/>
            <w:vAlign w:val="center"/>
          </w:tcPr>
          <w:p w14:paraId="7A98778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串通投标</w:t>
            </w:r>
          </w:p>
        </w:tc>
        <w:tc>
          <w:tcPr>
            <w:tcW w:w="11002" w:type="dxa"/>
            <w:tcBorders>
              <w:tl2br w:val="nil"/>
              <w:tr2bl w:val="nil"/>
            </w:tcBorders>
            <w:noWrap w:val="0"/>
            <w:vAlign w:val="center"/>
          </w:tcPr>
          <w:p w14:paraId="2B5BD53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我单位不存在与其他投标供应商的法定代表人、主要经营负责人、项目投标授权代表人、项目负责人、主要技术人员为同一人、属同一单位或者在同一单位缴纳社会保险的“串通投标”违法行为。</w:t>
            </w:r>
          </w:p>
        </w:tc>
        <w:tc>
          <w:tcPr>
            <w:tcW w:w="692" w:type="dxa"/>
            <w:tcBorders>
              <w:tl2br w:val="nil"/>
              <w:tr2bl w:val="nil"/>
            </w:tcBorders>
            <w:noWrap/>
            <w:vAlign w:val="center"/>
          </w:tcPr>
          <w:p w14:paraId="140EE50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5DEFA9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0790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B0308F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2</w:t>
            </w:r>
          </w:p>
        </w:tc>
        <w:tc>
          <w:tcPr>
            <w:tcW w:w="744" w:type="dxa"/>
            <w:vMerge w:val="continue"/>
            <w:tcBorders>
              <w:tl2br w:val="nil"/>
              <w:tr2bl w:val="nil"/>
            </w:tcBorders>
            <w:noWrap w:val="0"/>
            <w:vAlign w:val="center"/>
          </w:tcPr>
          <w:p w14:paraId="2B66613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C0A757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我单位不存在与其他投标供应商的投标文件由同一单位或者同一人编制的“串通投标”违法行为。</w:t>
            </w:r>
          </w:p>
        </w:tc>
        <w:tc>
          <w:tcPr>
            <w:tcW w:w="692" w:type="dxa"/>
            <w:tcBorders>
              <w:tl2br w:val="nil"/>
              <w:tr2bl w:val="nil"/>
            </w:tcBorders>
            <w:noWrap/>
            <w:vAlign w:val="center"/>
          </w:tcPr>
          <w:p w14:paraId="1AA9E5B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7FC4BB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6690C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22725F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3</w:t>
            </w:r>
          </w:p>
        </w:tc>
        <w:tc>
          <w:tcPr>
            <w:tcW w:w="744" w:type="dxa"/>
            <w:vMerge w:val="continue"/>
            <w:tcBorders>
              <w:tl2br w:val="nil"/>
              <w:tr2bl w:val="nil"/>
            </w:tcBorders>
            <w:noWrap w:val="0"/>
            <w:vAlign w:val="center"/>
          </w:tcPr>
          <w:p w14:paraId="2D1E410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EBA2FA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我单位不存在与其他投标供应商的投标文件或部分投标文件相互混装的“串通投标”违法行为。</w:t>
            </w:r>
          </w:p>
        </w:tc>
        <w:tc>
          <w:tcPr>
            <w:tcW w:w="692" w:type="dxa"/>
            <w:tcBorders>
              <w:tl2br w:val="nil"/>
              <w:tr2bl w:val="nil"/>
            </w:tcBorders>
            <w:noWrap/>
            <w:vAlign w:val="center"/>
          </w:tcPr>
          <w:p w14:paraId="39B46415">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383162C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C5BB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46E6B4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4</w:t>
            </w:r>
          </w:p>
        </w:tc>
        <w:tc>
          <w:tcPr>
            <w:tcW w:w="744" w:type="dxa"/>
            <w:vMerge w:val="continue"/>
            <w:tcBorders>
              <w:tl2br w:val="nil"/>
              <w:tr2bl w:val="nil"/>
            </w:tcBorders>
            <w:noWrap w:val="0"/>
            <w:vAlign w:val="center"/>
          </w:tcPr>
          <w:p w14:paraId="7E7364D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DDE363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我单位不存在与其他投标供应商的投标文件内容非正常一致的“串通投标”违法行为。</w:t>
            </w:r>
          </w:p>
        </w:tc>
        <w:tc>
          <w:tcPr>
            <w:tcW w:w="692" w:type="dxa"/>
            <w:tcBorders>
              <w:tl2br w:val="nil"/>
              <w:tr2bl w:val="nil"/>
            </w:tcBorders>
            <w:noWrap/>
            <w:vAlign w:val="center"/>
          </w:tcPr>
          <w:p w14:paraId="27FEA63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94C35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6F69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693C295">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5</w:t>
            </w:r>
          </w:p>
        </w:tc>
        <w:tc>
          <w:tcPr>
            <w:tcW w:w="744" w:type="dxa"/>
            <w:vMerge w:val="continue"/>
            <w:tcBorders>
              <w:tl2br w:val="nil"/>
              <w:tr2bl w:val="nil"/>
            </w:tcBorders>
            <w:noWrap w:val="0"/>
            <w:vAlign w:val="center"/>
          </w:tcPr>
          <w:p w14:paraId="6AD64626">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A22BE2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我单位不存在由同一单位工作人员为两家（含）以上供应商进行同一项投标活动的“串通投标”违法行为。</w:t>
            </w:r>
          </w:p>
        </w:tc>
        <w:tc>
          <w:tcPr>
            <w:tcW w:w="692" w:type="dxa"/>
            <w:tcBorders>
              <w:tl2br w:val="nil"/>
              <w:tr2bl w:val="nil"/>
            </w:tcBorders>
            <w:noWrap/>
            <w:vAlign w:val="center"/>
          </w:tcPr>
          <w:p w14:paraId="32CD74C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D69A9E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49F3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358E16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6</w:t>
            </w:r>
          </w:p>
        </w:tc>
        <w:tc>
          <w:tcPr>
            <w:tcW w:w="744" w:type="dxa"/>
            <w:vMerge w:val="continue"/>
            <w:tcBorders>
              <w:tl2br w:val="nil"/>
              <w:tr2bl w:val="nil"/>
            </w:tcBorders>
            <w:noWrap w:val="0"/>
            <w:vAlign w:val="center"/>
          </w:tcPr>
          <w:p w14:paraId="683BEE6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71651B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我单位不存在与其他投标供应商相互约定给予未中标供应商利益补偿的“串通投标”违法行为。</w:t>
            </w:r>
          </w:p>
        </w:tc>
        <w:tc>
          <w:tcPr>
            <w:tcW w:w="692" w:type="dxa"/>
            <w:tcBorders>
              <w:tl2br w:val="nil"/>
              <w:tr2bl w:val="nil"/>
            </w:tcBorders>
            <w:noWrap/>
            <w:vAlign w:val="center"/>
          </w:tcPr>
          <w:p w14:paraId="4B6C760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2AF8BC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24E3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6B99C4D">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7</w:t>
            </w:r>
          </w:p>
        </w:tc>
        <w:tc>
          <w:tcPr>
            <w:tcW w:w="744" w:type="dxa"/>
            <w:vMerge w:val="restart"/>
            <w:tcBorders>
              <w:tl2br w:val="nil"/>
              <w:tr2bl w:val="nil"/>
            </w:tcBorders>
            <w:noWrap w:val="0"/>
            <w:vAlign w:val="center"/>
          </w:tcPr>
          <w:p w14:paraId="0F0564FD">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虚假材料</w:t>
            </w:r>
          </w:p>
        </w:tc>
        <w:tc>
          <w:tcPr>
            <w:tcW w:w="11002" w:type="dxa"/>
            <w:tcBorders>
              <w:tl2br w:val="nil"/>
              <w:tr2bl w:val="nil"/>
            </w:tcBorders>
            <w:noWrap w:val="0"/>
            <w:vAlign w:val="center"/>
          </w:tcPr>
          <w:p w14:paraId="4E9CF32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我单位已认真核查了投标文件的全部内容，</w:t>
            </w:r>
            <w:r>
              <w:rPr>
                <w:rFonts w:hint="eastAsia" w:ascii="宋体" w:hAnsi="宋体" w:eastAsia="宋体" w:cs="宋体"/>
                <w:b/>
                <w:bCs/>
                <w:color w:val="auto"/>
                <w:sz w:val="22"/>
                <w:szCs w:val="28"/>
                <w:highlight w:val="none"/>
                <w:lang w:val="en-US" w:eastAsia="zh-CN"/>
              </w:rPr>
              <w:t>所有资料（包括但不限于人员学历证书、职称证书、合同、履约验收材料或从其他单位取得的检验检测报告、证书、证明等材料）</w:t>
            </w:r>
            <w:r>
              <w:rPr>
                <w:rFonts w:hint="eastAsia" w:ascii="宋体" w:hAnsi="宋体" w:eastAsia="宋体" w:cs="宋体"/>
                <w:color w:val="auto"/>
                <w:sz w:val="22"/>
                <w:szCs w:val="28"/>
                <w:highlight w:val="none"/>
                <w:lang w:val="en-US" w:eastAsia="zh-CN"/>
              </w:rPr>
              <w:t>均为真实资料，</w:t>
            </w:r>
            <w:r>
              <w:rPr>
                <w:rFonts w:hint="eastAsia" w:ascii="宋体" w:hAnsi="宋体" w:eastAsia="宋体" w:cs="宋体"/>
                <w:color w:val="auto"/>
                <w:sz w:val="22"/>
                <w:szCs w:val="28"/>
                <w:highlight w:val="none"/>
                <w:shd w:val="clear" w:color="auto" w:fill="auto"/>
                <w:lang w:val="en-US" w:eastAsia="zh-CN"/>
              </w:rPr>
              <w:t>已</w:t>
            </w:r>
            <w:r>
              <w:rPr>
                <w:rFonts w:hint="eastAsia" w:ascii="宋体" w:hAnsi="宋体" w:eastAsia="宋体" w:cs="宋体"/>
                <w:b/>
                <w:bCs/>
                <w:color w:val="auto"/>
                <w:sz w:val="22"/>
                <w:szCs w:val="28"/>
                <w:highlight w:val="none"/>
                <w:shd w:val="clear" w:color="auto" w:fill="auto"/>
                <w:lang w:val="en-US" w:eastAsia="zh-CN"/>
              </w:rPr>
              <w:t>通过出具机构或全国认证认可信息公共服务平台（认e云平台）等官方渠道核实材料内容的真实性</w:t>
            </w:r>
            <w:r>
              <w:rPr>
                <w:rFonts w:hint="eastAsia" w:ascii="宋体" w:hAnsi="宋体" w:eastAsia="宋体" w:cs="宋体"/>
                <w:color w:val="auto"/>
                <w:sz w:val="22"/>
                <w:szCs w:val="28"/>
                <w:highlight w:val="none"/>
                <w:shd w:val="clear" w:color="auto" w:fill="auto"/>
                <w:lang w:val="en-US" w:eastAsia="zh-CN"/>
              </w:rPr>
              <w:t>。</w:t>
            </w:r>
            <w:r>
              <w:rPr>
                <w:rFonts w:hint="eastAsia" w:ascii="宋体" w:hAnsi="宋体" w:eastAsia="宋体" w:cs="宋体"/>
                <w:color w:val="auto"/>
                <w:sz w:val="22"/>
                <w:szCs w:val="28"/>
                <w:highlight w:val="none"/>
                <w:lang w:val="en-US" w:eastAsia="zh-CN"/>
              </w:rPr>
              <w:t>我单位对投标文件中全部投标资料的真实性负责。</w:t>
            </w:r>
          </w:p>
        </w:tc>
        <w:tc>
          <w:tcPr>
            <w:tcW w:w="692" w:type="dxa"/>
            <w:tcBorders>
              <w:tl2br w:val="nil"/>
              <w:tr2bl w:val="nil"/>
            </w:tcBorders>
            <w:noWrap/>
            <w:vAlign w:val="center"/>
          </w:tcPr>
          <w:p w14:paraId="1A6A7F55">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097D76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569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E28F7F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8</w:t>
            </w:r>
          </w:p>
        </w:tc>
        <w:tc>
          <w:tcPr>
            <w:tcW w:w="744" w:type="dxa"/>
            <w:vMerge w:val="continue"/>
            <w:tcBorders>
              <w:tl2br w:val="nil"/>
              <w:tr2bl w:val="nil"/>
            </w:tcBorders>
            <w:noWrap w:val="0"/>
            <w:vAlign w:val="center"/>
          </w:tcPr>
          <w:p w14:paraId="75C31E9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A187FD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我单位不存在通过转让或者租借等方式从其他单位获取资格或者资质证书投标的“提供虚假资料”违法行为。</w:t>
            </w:r>
          </w:p>
        </w:tc>
        <w:tc>
          <w:tcPr>
            <w:tcW w:w="692" w:type="dxa"/>
            <w:tcBorders>
              <w:tl2br w:val="nil"/>
              <w:tr2bl w:val="nil"/>
            </w:tcBorders>
            <w:noWrap/>
            <w:vAlign w:val="center"/>
          </w:tcPr>
          <w:p w14:paraId="3B57029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3B87FD6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1CD2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C48615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9</w:t>
            </w:r>
          </w:p>
        </w:tc>
        <w:tc>
          <w:tcPr>
            <w:tcW w:w="744" w:type="dxa"/>
            <w:vMerge w:val="continue"/>
            <w:tcBorders>
              <w:tl2br w:val="nil"/>
              <w:tr2bl w:val="nil"/>
            </w:tcBorders>
            <w:noWrap w:val="0"/>
            <w:vAlign w:val="center"/>
          </w:tcPr>
          <w:p w14:paraId="612423A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A78D67C">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我单位不存在由其他单位或者其他单位负责人在我单位投标文件上加盖印章或者签字的“提供虚假资料”违法行为。</w:t>
            </w:r>
          </w:p>
        </w:tc>
        <w:tc>
          <w:tcPr>
            <w:tcW w:w="692" w:type="dxa"/>
            <w:tcBorders>
              <w:tl2br w:val="nil"/>
              <w:tr2bl w:val="nil"/>
            </w:tcBorders>
            <w:noWrap/>
            <w:vAlign w:val="center"/>
          </w:tcPr>
          <w:p w14:paraId="4A2FBF9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FA475F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F71D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192CB8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10</w:t>
            </w:r>
          </w:p>
        </w:tc>
        <w:tc>
          <w:tcPr>
            <w:tcW w:w="744" w:type="dxa"/>
            <w:vMerge w:val="continue"/>
            <w:tcBorders>
              <w:tl2br w:val="nil"/>
              <w:tr2bl w:val="nil"/>
            </w:tcBorders>
            <w:noWrap w:val="0"/>
            <w:vAlign w:val="center"/>
          </w:tcPr>
          <w:p w14:paraId="7B01F95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E31F2B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我单位不存在项目负责人或者主要技术人员不是本单位人员的“提供虚假资料”违法行为。</w:t>
            </w:r>
          </w:p>
        </w:tc>
        <w:tc>
          <w:tcPr>
            <w:tcW w:w="692" w:type="dxa"/>
            <w:tcBorders>
              <w:tl2br w:val="nil"/>
              <w:tr2bl w:val="nil"/>
            </w:tcBorders>
            <w:noWrap/>
            <w:vAlign w:val="center"/>
          </w:tcPr>
          <w:p w14:paraId="1BCC794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6EB24A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973A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1737A528">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11</w:t>
            </w:r>
          </w:p>
        </w:tc>
        <w:tc>
          <w:tcPr>
            <w:tcW w:w="744" w:type="dxa"/>
            <w:vMerge w:val="continue"/>
            <w:tcBorders>
              <w:tl2br w:val="nil"/>
              <w:tr2bl w:val="nil"/>
            </w:tcBorders>
            <w:noWrap w:val="0"/>
            <w:vAlign w:val="center"/>
          </w:tcPr>
          <w:p w14:paraId="35F8AB6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2F3753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我单位不存在投标保证金（根据采购文件要求提交）不是从我单位基本账户转出的“提供虚假资料”违法行为。</w:t>
            </w:r>
          </w:p>
        </w:tc>
        <w:tc>
          <w:tcPr>
            <w:tcW w:w="692" w:type="dxa"/>
            <w:tcBorders>
              <w:tl2br w:val="nil"/>
              <w:tr2bl w:val="nil"/>
            </w:tcBorders>
            <w:noWrap/>
            <w:vAlign w:val="center"/>
          </w:tcPr>
          <w:p w14:paraId="374A152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B9F36E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F010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3E1CDF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12</w:t>
            </w:r>
          </w:p>
        </w:tc>
        <w:tc>
          <w:tcPr>
            <w:tcW w:w="744" w:type="dxa"/>
            <w:vMerge w:val="restart"/>
            <w:tcBorders>
              <w:tl2br w:val="nil"/>
              <w:tr2bl w:val="nil"/>
            </w:tcBorders>
            <w:noWrap w:val="0"/>
            <w:vAlign w:val="center"/>
          </w:tcPr>
          <w:p w14:paraId="4D3E5355">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关联关系及其他情形</w:t>
            </w:r>
          </w:p>
        </w:tc>
        <w:tc>
          <w:tcPr>
            <w:tcW w:w="11002" w:type="dxa"/>
            <w:tcBorders>
              <w:tl2br w:val="nil"/>
              <w:tr2bl w:val="nil"/>
            </w:tcBorders>
            <w:noWrap w:val="0"/>
            <w:vAlign w:val="center"/>
          </w:tcPr>
          <w:p w14:paraId="4E1B1E3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我单位严格管理本单位的电子秘钥及电子营业执照，不委托或出借给第三方（人）使用和管理。</w:t>
            </w:r>
          </w:p>
        </w:tc>
        <w:tc>
          <w:tcPr>
            <w:tcW w:w="692" w:type="dxa"/>
            <w:tcBorders>
              <w:tl2br w:val="nil"/>
              <w:tr2bl w:val="nil"/>
            </w:tcBorders>
            <w:noWrap/>
            <w:vAlign w:val="center"/>
          </w:tcPr>
          <w:p w14:paraId="0394C94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3629095">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9E94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BE1ED1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13</w:t>
            </w:r>
          </w:p>
        </w:tc>
        <w:tc>
          <w:tcPr>
            <w:tcW w:w="744" w:type="dxa"/>
            <w:vMerge w:val="continue"/>
            <w:tcBorders>
              <w:tl2br w:val="nil"/>
              <w:tr2bl w:val="nil"/>
            </w:tcBorders>
            <w:noWrap w:val="0"/>
            <w:vAlign w:val="center"/>
          </w:tcPr>
          <w:p w14:paraId="4A0D361A">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p>
        </w:tc>
        <w:tc>
          <w:tcPr>
            <w:tcW w:w="11002" w:type="dxa"/>
            <w:tcBorders>
              <w:tl2br w:val="nil"/>
              <w:tr2bl w:val="nil"/>
            </w:tcBorders>
            <w:noWrap w:val="0"/>
            <w:vAlign w:val="center"/>
          </w:tcPr>
          <w:p w14:paraId="706E5B0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我单位不使用公共电脑设备或公共网络编制、上传投标文件。</w:t>
            </w:r>
          </w:p>
        </w:tc>
        <w:tc>
          <w:tcPr>
            <w:tcW w:w="692" w:type="dxa"/>
            <w:tcBorders>
              <w:tl2br w:val="nil"/>
              <w:tr2bl w:val="nil"/>
            </w:tcBorders>
            <w:noWrap/>
            <w:vAlign w:val="center"/>
          </w:tcPr>
          <w:p w14:paraId="0986D213">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3A57AB5">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AA22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013CECA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14</w:t>
            </w:r>
          </w:p>
        </w:tc>
        <w:tc>
          <w:tcPr>
            <w:tcW w:w="744" w:type="dxa"/>
            <w:vMerge w:val="continue"/>
            <w:tcBorders>
              <w:tl2br w:val="nil"/>
              <w:tr2bl w:val="nil"/>
            </w:tcBorders>
            <w:noWrap w:val="0"/>
            <w:vAlign w:val="center"/>
          </w:tcPr>
          <w:p w14:paraId="16EBC89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2EC210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我单位与其他投标供应商在参与本项目时，不存在单位负责人为同一人或直接控股、管理关系的行为。</w:t>
            </w:r>
          </w:p>
        </w:tc>
        <w:tc>
          <w:tcPr>
            <w:tcW w:w="692" w:type="dxa"/>
            <w:tcBorders>
              <w:tl2br w:val="nil"/>
              <w:tr2bl w:val="nil"/>
            </w:tcBorders>
            <w:noWrap/>
            <w:vAlign w:val="center"/>
          </w:tcPr>
          <w:p w14:paraId="4B8F7A0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0454BF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bl>
    <w:p w14:paraId="62B3BB42">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pgSz w:w="16838" w:h="11906" w:orient="landscape"/>
          <w:pgMar w:top="1440" w:right="1440" w:bottom="1286" w:left="1440" w:header="851" w:footer="992" w:gutter="0"/>
          <w:pgBorders>
            <w:top w:val="none" w:sz="0" w:space="0"/>
            <w:left w:val="none" w:sz="0" w:space="0"/>
            <w:bottom w:val="none" w:sz="0" w:space="0"/>
            <w:right w:val="none" w:sz="0" w:space="0"/>
          </w:pgBorders>
          <w:cols w:space="720" w:num="1"/>
          <w:titlePg/>
          <w:docGrid w:type="lines" w:linePitch="312" w:charSpace="0"/>
        </w:sectPr>
      </w:pPr>
    </w:p>
    <w:tbl>
      <w:tblPr>
        <w:tblStyle w:val="44"/>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7432C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60" w:type="dxa"/>
            <w:tcBorders>
              <w:tl2br w:val="nil"/>
              <w:tr2bl w:val="nil"/>
            </w:tcBorders>
            <w:noWrap/>
            <w:vAlign w:val="center"/>
          </w:tcPr>
          <w:p w14:paraId="66E020F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15</w:t>
            </w:r>
          </w:p>
        </w:tc>
        <w:tc>
          <w:tcPr>
            <w:tcW w:w="744" w:type="dxa"/>
            <w:vMerge w:val="restart"/>
            <w:tcBorders>
              <w:tl2br w:val="nil"/>
              <w:tr2bl w:val="nil"/>
            </w:tcBorders>
            <w:noWrap w:val="0"/>
            <w:vAlign w:val="center"/>
          </w:tcPr>
          <w:p w14:paraId="7A52080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1D8A18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b w:val="0"/>
                <w:bCs w:val="0"/>
                <w:color w:val="auto"/>
                <w:sz w:val="22"/>
                <w:szCs w:val="28"/>
                <w:highlight w:val="none"/>
                <w:lang w:val="en-US" w:eastAsia="zh-CN"/>
              </w:rPr>
              <w:t>我单位在参与本项目（单一来源采购项目除外）时，不存在同时为本项目提供整体设计、规范编制或者项目管理、监理、检测等服务的行为。</w:t>
            </w:r>
          </w:p>
        </w:tc>
        <w:tc>
          <w:tcPr>
            <w:tcW w:w="692" w:type="dxa"/>
            <w:tcBorders>
              <w:tl2br w:val="nil"/>
              <w:tr2bl w:val="nil"/>
            </w:tcBorders>
            <w:noWrap/>
            <w:vAlign w:val="center"/>
          </w:tcPr>
          <w:p w14:paraId="70F89C53">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8BC3EFE">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3BC8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6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771622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16</w:t>
            </w:r>
          </w:p>
        </w:tc>
        <w:tc>
          <w:tcPr>
            <w:tcW w:w="744" w:type="dxa"/>
            <w:vMerge w:val="continue"/>
            <w:tcBorders>
              <w:left w:val="single" w:color="000000" w:sz="4" w:space="0"/>
              <w:bottom w:val="nil"/>
              <w:right w:val="single" w:color="000000" w:sz="4" w:space="0"/>
              <w:tl2br w:val="nil"/>
              <w:tr2bl w:val="nil"/>
            </w:tcBorders>
            <w:noWrap w:val="0"/>
            <w:vAlign w:val="center"/>
          </w:tcPr>
          <w:p w14:paraId="5BA72E7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09DB1">
            <w:pPr>
              <w:keepNext w:val="0"/>
              <w:keepLines w:val="0"/>
              <w:suppressLineNumbers w:val="0"/>
              <w:spacing w:before="0" w:beforeAutospacing="0" w:after="0" w:afterAutospacing="0" w:line="240" w:lineRule="auto"/>
              <w:ind w:left="0" w:right="0"/>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我单位在本项目中，□是□否 委托第三方（人）代为办理或从生产厂家、代理商等第三方（人）间接取得投标文件涉及的检验检测报告、证书、证明等材料。</w:t>
            </w:r>
          </w:p>
        </w:tc>
        <w:tc>
          <w:tcPr>
            <w:tcW w:w="69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6CDF3FA">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2612F7E">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ADCE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791" w:type="dxa"/>
            <w:gridSpan w:val="5"/>
            <w:tcBorders>
              <w:tl2br w:val="nil"/>
              <w:tr2bl w:val="nil"/>
            </w:tcBorders>
            <w:noWrap/>
            <w:vAlign w:val="center"/>
          </w:tcPr>
          <w:p w14:paraId="4D239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若第16项选择“是”，则投标供应商需要填写：</w:t>
            </w:r>
          </w:p>
          <w:p w14:paraId="07898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①</w:t>
            </w:r>
            <w:r>
              <w:rPr>
                <w:rFonts w:hint="eastAsia" w:ascii="宋体" w:hAnsi="宋体" w:eastAsia="宋体" w:cs="宋体"/>
                <w:b w:val="0"/>
                <w:bCs w:val="0"/>
                <w:color w:val="auto"/>
                <w:sz w:val="22"/>
                <w:szCs w:val="28"/>
                <w:highlight w:val="none"/>
                <w:lang w:val="en-US" w:eastAsia="zh-CN"/>
              </w:rPr>
              <w:t>相关</w:t>
            </w:r>
            <w:r>
              <w:rPr>
                <w:rFonts w:hint="eastAsia" w:ascii="宋体" w:hAnsi="宋体" w:eastAsia="宋体" w:cs="宋体"/>
                <w:color w:val="auto"/>
                <w:sz w:val="22"/>
                <w:szCs w:val="28"/>
                <w:highlight w:val="none"/>
                <w:lang w:val="en-US" w:eastAsia="zh-CN"/>
              </w:rPr>
              <w:t>材料类型（必填）（包括检验检测报告、学历证书、职称证书、社保证明、合同业绩、其他等，以下拉列表显示）；</w:t>
            </w:r>
          </w:p>
          <w:p w14:paraId="64133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②相关材料的名称（必填）（按材料类型填写，不同类型的需分别填写）；</w:t>
            </w:r>
          </w:p>
          <w:p w14:paraId="73C83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③相关材料出具单位（必填）（</w:t>
            </w:r>
            <w:r>
              <w:rPr>
                <w:rFonts w:hint="eastAsia" w:ascii="宋体" w:hAnsi="宋体" w:eastAsia="宋体" w:cs="宋体"/>
                <w:b w:val="0"/>
                <w:bCs w:val="0"/>
                <w:color w:val="auto"/>
                <w:sz w:val="22"/>
                <w:szCs w:val="28"/>
                <w:highlight w:val="none"/>
                <w:lang w:val="en-US" w:eastAsia="zh-CN"/>
              </w:rPr>
              <w:t>按材料类型填写，出具单位即为相关</w:t>
            </w:r>
            <w:r>
              <w:rPr>
                <w:rFonts w:hint="eastAsia" w:ascii="宋体" w:hAnsi="宋体" w:eastAsia="宋体" w:cs="宋体"/>
                <w:color w:val="auto"/>
                <w:sz w:val="22"/>
                <w:szCs w:val="28"/>
                <w:highlight w:val="none"/>
                <w:lang w:val="en-US" w:eastAsia="zh-CN"/>
              </w:rPr>
              <w:t>材料的落款单位）；</w:t>
            </w:r>
          </w:p>
          <w:p w14:paraId="03B40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④是否向材料出具单位核实材料真实性（必填）（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以下拉列表显示“是”和“否”）；</w:t>
            </w:r>
          </w:p>
          <w:p w14:paraId="13320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⑤第三方（人）的基本信息（必填），（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以下拉列表显示“单位”和“个人”，其中，“单位”需填写单位全称、统一信用代码、联系人及电话，“</w:t>
            </w:r>
            <w:r>
              <w:rPr>
                <w:rFonts w:hint="eastAsia" w:ascii="宋体" w:hAnsi="宋体" w:eastAsia="宋体" w:cs="宋体"/>
                <w:b w:val="0"/>
                <w:bCs w:val="0"/>
                <w:color w:val="auto"/>
                <w:sz w:val="22"/>
                <w:szCs w:val="28"/>
                <w:highlight w:val="none"/>
                <w:lang w:val="en-US" w:eastAsia="zh-CN"/>
              </w:rPr>
              <w:t>个人”需填写个人姓名、联系方式）；</w:t>
            </w:r>
          </w:p>
          <w:p w14:paraId="082C7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⑥相关材料的编号（选填）（</w:t>
            </w:r>
            <w:r>
              <w:rPr>
                <w:rFonts w:hint="eastAsia" w:ascii="宋体" w:hAnsi="宋体" w:eastAsia="宋体" w:cs="宋体"/>
                <w:b w:val="0"/>
                <w:bCs w:val="0"/>
                <w:color w:val="auto"/>
                <w:sz w:val="22"/>
                <w:szCs w:val="28"/>
                <w:highlight w:val="none"/>
                <w:lang w:val="en-US" w:eastAsia="zh-CN"/>
              </w:rPr>
              <w:t>按材料类型填写）；</w:t>
            </w:r>
          </w:p>
          <w:p w14:paraId="4BD6F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2"/>
                <w:szCs w:val="28"/>
                <w:highlight w:val="none"/>
                <w:lang w:eastAsia="zh-CN"/>
              </w:rPr>
            </w:pPr>
            <w:r>
              <w:rPr>
                <w:rFonts w:hint="eastAsia" w:ascii="宋体" w:hAnsi="宋体" w:eastAsia="宋体" w:cs="宋体"/>
                <w:color w:val="auto"/>
                <w:sz w:val="22"/>
                <w:szCs w:val="28"/>
                <w:highlight w:val="none"/>
                <w:lang w:val="en-US" w:eastAsia="zh-CN"/>
              </w:rPr>
              <w:t>⑦相关材料出具时间（选填）（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w:t>
            </w:r>
          </w:p>
        </w:tc>
      </w:tr>
    </w:tbl>
    <w:p w14:paraId="6D56E2F7">
      <w:pPr>
        <w:pStyle w:val="23"/>
        <w:rPr>
          <w:rFonts w:hint="eastAsia"/>
          <w:lang w:val="en-US" w:eastAsia="zh-CN"/>
        </w:rPr>
      </w:pPr>
    </w:p>
    <w:p w14:paraId="31855FD2">
      <w:pPr>
        <w:pStyle w:val="23"/>
        <w:rPr>
          <w:rFonts w:hint="eastAsia"/>
          <w:lang w:val="en-US" w:eastAsia="zh-CN"/>
        </w:rPr>
      </w:pPr>
    </w:p>
    <w:p w14:paraId="76F859E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A2613FD">
      <w:pPr>
        <w:jc w:val="left"/>
        <w:rPr>
          <w:rFonts w:hint="eastAsia" w:ascii="仿宋" w:hAnsi="仿宋" w:eastAsia="仿宋" w:cs="仿宋"/>
          <w:color w:val="000000" w:themeColor="text1"/>
          <w:sz w:val="24"/>
          <w14:textFill>
            <w14:solidFill>
              <w14:schemeClr w14:val="tx1"/>
            </w14:solidFill>
          </w14:textFill>
        </w:rPr>
      </w:pPr>
    </w:p>
    <w:p w14:paraId="06E5A885">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661A916E">
      <w:pPr>
        <w:jc w:val="left"/>
        <w:rPr>
          <w:rFonts w:hint="eastAsia" w:ascii="仿宋" w:hAnsi="仿宋" w:eastAsia="仿宋" w:cs="仿宋"/>
          <w:color w:val="000000" w:themeColor="text1"/>
          <w:sz w:val="24"/>
          <w14:textFill>
            <w14:solidFill>
              <w14:schemeClr w14:val="tx1"/>
            </w14:solidFill>
          </w14:textFill>
        </w:rPr>
      </w:pPr>
    </w:p>
    <w:p w14:paraId="0134854C">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1B4C159F">
      <w:pPr>
        <w:pStyle w:val="23"/>
        <w:rPr>
          <w:rFonts w:hint="eastAsia"/>
          <w:lang w:val="en-US" w:eastAsia="zh-CN"/>
        </w:rPr>
        <w:sectPr>
          <w:pgSz w:w="16838" w:h="11906" w:orient="landscape"/>
          <w:pgMar w:top="1800" w:right="1440" w:bottom="1800" w:left="1440" w:header="851" w:footer="992" w:gutter="0"/>
          <w:cols w:space="425" w:num="1"/>
          <w:titlePg/>
          <w:docGrid w:type="lines" w:linePitch="312" w:charSpace="0"/>
        </w:sectPr>
      </w:pPr>
    </w:p>
    <w:p w14:paraId="6C579EC9">
      <w:pPr>
        <w:outlineLvl w:val="0"/>
        <w:rPr>
          <w:rFonts w:hint="eastAsia" w:ascii="仿宋" w:hAnsi="仿宋" w:eastAsia="仿宋" w:cs="仿宋"/>
          <w:b/>
          <w:bCs w:val="0"/>
          <w:sz w:val="32"/>
          <w:szCs w:val="32"/>
        </w:rPr>
      </w:pPr>
      <w:bookmarkStart w:id="126" w:name="_Toc7898"/>
      <w:bookmarkStart w:id="127" w:name="_Toc31278"/>
      <w:r>
        <w:rPr>
          <w:rFonts w:hint="eastAsia" w:ascii="仿宋" w:hAnsi="仿宋" w:eastAsia="仿宋" w:cs="仿宋"/>
          <w:b/>
          <w:bCs w:val="0"/>
          <w:sz w:val="32"/>
          <w:szCs w:val="32"/>
          <w:lang w:val="en-US" w:eastAsia="zh-CN"/>
        </w:rPr>
        <w:t>十二</w:t>
      </w:r>
      <w:r>
        <w:rPr>
          <w:rFonts w:hint="eastAsia" w:ascii="仿宋" w:hAnsi="仿宋" w:eastAsia="仿宋" w:cs="仿宋"/>
          <w:b/>
          <w:bCs w:val="0"/>
          <w:sz w:val="32"/>
          <w:szCs w:val="32"/>
        </w:rPr>
        <w:t>、</w:t>
      </w:r>
      <w:r>
        <w:rPr>
          <w:rFonts w:hint="eastAsia" w:ascii="仿宋" w:hAnsi="仿宋" w:eastAsia="仿宋" w:cs="仿宋"/>
          <w:b/>
          <w:bCs w:val="0"/>
          <w:sz w:val="32"/>
          <w:szCs w:val="32"/>
          <w:lang w:eastAsia="zh-CN"/>
        </w:rPr>
        <w:t>招标文件</w:t>
      </w:r>
      <w:r>
        <w:rPr>
          <w:rFonts w:hint="eastAsia" w:ascii="仿宋" w:hAnsi="仿宋" w:eastAsia="仿宋" w:cs="仿宋"/>
          <w:b/>
          <w:bCs w:val="0"/>
          <w:sz w:val="32"/>
          <w:szCs w:val="32"/>
        </w:rPr>
        <w:t>要求的其他内容及</w:t>
      </w:r>
      <w:r>
        <w:rPr>
          <w:rFonts w:hint="eastAsia" w:ascii="仿宋" w:hAnsi="仿宋" w:eastAsia="仿宋" w:cs="仿宋"/>
          <w:b/>
          <w:bCs w:val="0"/>
          <w:sz w:val="32"/>
          <w:szCs w:val="32"/>
          <w:lang w:eastAsia="zh-CN"/>
        </w:rPr>
        <w:t>投标人</w:t>
      </w:r>
      <w:r>
        <w:rPr>
          <w:rFonts w:hint="eastAsia" w:ascii="仿宋" w:hAnsi="仿宋" w:eastAsia="仿宋" w:cs="仿宋"/>
          <w:b/>
          <w:bCs w:val="0"/>
          <w:sz w:val="32"/>
          <w:szCs w:val="32"/>
        </w:rPr>
        <w:t>认为需要加以说明其他内容</w:t>
      </w:r>
      <w:bookmarkEnd w:id="126"/>
      <w:bookmarkEnd w:id="127"/>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2"/>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3322F5C">
      <w:pPr>
        <w:spacing w:line="240" w:lineRule="atLeast"/>
        <w:rPr>
          <w:rFonts w:hint="eastAsia" w:ascii="仿宋" w:hAnsi="仿宋" w:eastAsia="仿宋" w:cs="仿宋"/>
          <w:szCs w:val="21"/>
        </w:rPr>
      </w:pPr>
    </w:p>
    <w:p w14:paraId="613E7F90">
      <w:pPr>
        <w:spacing w:line="240" w:lineRule="atLeast"/>
        <w:rPr>
          <w:rFonts w:hint="eastAsia" w:ascii="仿宋" w:hAnsi="仿宋" w:eastAsia="仿宋" w:cs="仿宋"/>
          <w:szCs w:val="21"/>
        </w:rPr>
      </w:pPr>
    </w:p>
    <w:p w14:paraId="3184E7B6">
      <w:pPr>
        <w:spacing w:line="240" w:lineRule="atLeast"/>
        <w:rPr>
          <w:rFonts w:hint="eastAsia" w:ascii="仿宋" w:hAnsi="仿宋" w:eastAsia="仿宋" w:cs="仿宋"/>
          <w:szCs w:val="21"/>
        </w:rPr>
      </w:pPr>
    </w:p>
    <w:p w14:paraId="2833AFFD">
      <w:pPr>
        <w:spacing w:line="240" w:lineRule="atLeast"/>
        <w:rPr>
          <w:rFonts w:hint="eastAsia" w:ascii="仿宋" w:hAnsi="仿宋" w:eastAsia="仿宋" w:cs="仿宋"/>
          <w:szCs w:val="21"/>
        </w:rPr>
      </w:pPr>
    </w:p>
    <w:p w14:paraId="3343BF1C">
      <w:pPr>
        <w:spacing w:line="240" w:lineRule="atLeast"/>
        <w:rPr>
          <w:rFonts w:hint="eastAsia" w:ascii="仿宋" w:hAnsi="仿宋" w:eastAsia="仿宋" w:cs="仿宋"/>
          <w:szCs w:val="21"/>
        </w:rPr>
      </w:pPr>
    </w:p>
    <w:p w14:paraId="49BAA571">
      <w:pPr>
        <w:spacing w:line="240" w:lineRule="atLeast"/>
        <w:rPr>
          <w:rFonts w:hint="eastAsia" w:ascii="仿宋" w:hAnsi="仿宋" w:eastAsia="仿宋" w:cs="仿宋"/>
          <w:szCs w:val="21"/>
        </w:rPr>
      </w:pPr>
    </w:p>
    <w:p w14:paraId="7FD4AD98">
      <w:pPr>
        <w:spacing w:line="240" w:lineRule="atLeast"/>
        <w:rPr>
          <w:rFonts w:hint="eastAsia" w:ascii="仿宋" w:hAnsi="仿宋" w:eastAsia="仿宋" w:cs="仿宋"/>
          <w:szCs w:val="21"/>
        </w:rPr>
      </w:pPr>
    </w:p>
    <w:p w14:paraId="5F8F1224">
      <w:pPr>
        <w:spacing w:line="240" w:lineRule="atLeast"/>
        <w:rPr>
          <w:rFonts w:hint="eastAsia" w:ascii="仿宋" w:hAnsi="仿宋" w:eastAsia="仿宋" w:cs="仿宋"/>
          <w:szCs w:val="21"/>
        </w:rPr>
      </w:pPr>
    </w:p>
    <w:p w14:paraId="163CA398">
      <w:pPr>
        <w:spacing w:line="240" w:lineRule="atLeast"/>
        <w:rPr>
          <w:rFonts w:hint="eastAsia" w:ascii="仿宋" w:hAnsi="仿宋" w:eastAsia="仿宋" w:cs="仿宋"/>
          <w:szCs w:val="21"/>
        </w:rPr>
      </w:pPr>
    </w:p>
    <w:p w14:paraId="389B6C17">
      <w:pPr>
        <w:spacing w:line="240" w:lineRule="atLeast"/>
        <w:rPr>
          <w:rFonts w:hint="eastAsia" w:ascii="仿宋" w:hAnsi="仿宋" w:eastAsia="仿宋" w:cs="仿宋"/>
          <w:szCs w:val="21"/>
        </w:rPr>
      </w:pPr>
    </w:p>
    <w:p w14:paraId="56DAFE0A">
      <w:pPr>
        <w:spacing w:line="240" w:lineRule="atLeast"/>
        <w:rPr>
          <w:rFonts w:hint="eastAsia" w:ascii="仿宋" w:hAnsi="仿宋" w:eastAsia="仿宋" w:cs="仿宋"/>
          <w:szCs w:val="21"/>
        </w:rPr>
      </w:pPr>
    </w:p>
    <w:p w14:paraId="798CD924">
      <w:pPr>
        <w:spacing w:line="240" w:lineRule="atLeast"/>
        <w:rPr>
          <w:rFonts w:hint="eastAsia" w:ascii="仿宋" w:hAnsi="仿宋" w:eastAsia="仿宋" w:cs="仿宋"/>
          <w:szCs w:val="21"/>
        </w:rPr>
      </w:pPr>
    </w:p>
    <w:p w14:paraId="0A4A63D3">
      <w:pPr>
        <w:spacing w:line="240" w:lineRule="atLeast"/>
        <w:rPr>
          <w:rFonts w:hint="eastAsia" w:ascii="仿宋" w:hAnsi="仿宋" w:eastAsia="仿宋" w:cs="仿宋"/>
          <w:szCs w:val="21"/>
        </w:rPr>
      </w:pPr>
    </w:p>
    <w:p w14:paraId="17550997">
      <w:pPr>
        <w:spacing w:line="240" w:lineRule="atLeast"/>
        <w:rPr>
          <w:rFonts w:hint="eastAsia" w:ascii="仿宋" w:hAnsi="仿宋" w:eastAsia="仿宋" w:cs="仿宋"/>
          <w:szCs w:val="21"/>
        </w:rPr>
      </w:pPr>
    </w:p>
    <w:p w14:paraId="62292CD1">
      <w:pPr>
        <w:spacing w:line="240" w:lineRule="atLeast"/>
        <w:rPr>
          <w:rFonts w:hint="eastAsia" w:ascii="仿宋" w:hAnsi="仿宋" w:eastAsia="仿宋" w:cs="仿宋"/>
          <w:szCs w:val="21"/>
        </w:rPr>
      </w:pPr>
    </w:p>
    <w:p w14:paraId="6F3399ED">
      <w:pPr>
        <w:spacing w:line="240" w:lineRule="atLeast"/>
        <w:rPr>
          <w:rFonts w:hint="eastAsia" w:ascii="仿宋" w:hAnsi="仿宋" w:eastAsia="仿宋" w:cs="仿宋"/>
          <w:szCs w:val="21"/>
        </w:rPr>
      </w:pPr>
    </w:p>
    <w:p w14:paraId="6E7CEB33">
      <w:pPr>
        <w:spacing w:line="240" w:lineRule="atLeast"/>
        <w:rPr>
          <w:rFonts w:hint="eastAsia" w:ascii="仿宋" w:hAnsi="仿宋" w:eastAsia="仿宋" w:cs="仿宋"/>
          <w:szCs w:val="21"/>
        </w:rPr>
      </w:pPr>
    </w:p>
    <w:p w14:paraId="632FEEE1">
      <w:pPr>
        <w:spacing w:line="240" w:lineRule="atLeast"/>
        <w:rPr>
          <w:rFonts w:hint="eastAsia" w:ascii="仿宋" w:hAnsi="仿宋" w:eastAsia="仿宋" w:cs="仿宋"/>
          <w:szCs w:val="21"/>
        </w:rPr>
      </w:pPr>
    </w:p>
    <w:p w14:paraId="79713F18">
      <w:pPr>
        <w:spacing w:line="240" w:lineRule="atLeast"/>
        <w:rPr>
          <w:rFonts w:hint="eastAsia" w:ascii="仿宋" w:hAnsi="仿宋" w:eastAsia="仿宋" w:cs="仿宋"/>
          <w:szCs w:val="21"/>
        </w:rPr>
      </w:pPr>
    </w:p>
    <w:p w14:paraId="6779C3CC">
      <w:pPr>
        <w:spacing w:line="240" w:lineRule="atLeast"/>
        <w:rPr>
          <w:rFonts w:hint="eastAsia" w:ascii="仿宋" w:hAnsi="仿宋" w:eastAsia="仿宋" w:cs="仿宋"/>
          <w:szCs w:val="21"/>
        </w:rPr>
      </w:pPr>
    </w:p>
    <w:p w14:paraId="67B36772">
      <w:pPr>
        <w:bidi w:val="0"/>
        <w:jc w:val="center"/>
        <w:rPr>
          <w:rFonts w:hint="eastAsia"/>
          <w:b/>
          <w:bCs/>
          <w:sz w:val="32"/>
          <w:szCs w:val="32"/>
        </w:rPr>
      </w:pPr>
      <w:bookmarkStart w:id="128" w:name="_Toc13969"/>
    </w:p>
    <w:p w14:paraId="61828BE7">
      <w:pPr>
        <w:bidi w:val="0"/>
        <w:jc w:val="center"/>
        <w:rPr>
          <w:rFonts w:hint="eastAsia"/>
          <w:b/>
          <w:bCs/>
          <w:sz w:val="32"/>
          <w:szCs w:val="32"/>
        </w:rPr>
      </w:pPr>
    </w:p>
    <w:p w14:paraId="7478F55F">
      <w:pPr>
        <w:bidi w:val="0"/>
        <w:jc w:val="center"/>
        <w:rPr>
          <w:rFonts w:hint="eastAsia"/>
          <w:b/>
          <w:bCs/>
          <w:sz w:val="32"/>
          <w:szCs w:val="32"/>
        </w:rPr>
      </w:pPr>
    </w:p>
    <w:p w14:paraId="0D5BD891">
      <w:pPr>
        <w:bidi w:val="0"/>
        <w:jc w:val="center"/>
        <w:rPr>
          <w:rFonts w:hint="eastAsia"/>
          <w:b/>
          <w:bCs/>
          <w:sz w:val="32"/>
          <w:szCs w:val="32"/>
        </w:rPr>
      </w:pPr>
    </w:p>
    <w:p w14:paraId="4BC277B1">
      <w:pPr>
        <w:bidi w:val="0"/>
        <w:jc w:val="center"/>
        <w:rPr>
          <w:rFonts w:hint="eastAsia"/>
          <w:b/>
          <w:bCs/>
          <w:sz w:val="32"/>
          <w:szCs w:val="32"/>
        </w:rPr>
      </w:pPr>
    </w:p>
    <w:p w14:paraId="664F4BA4">
      <w:pPr>
        <w:bidi w:val="0"/>
        <w:jc w:val="center"/>
        <w:rPr>
          <w:rFonts w:hint="eastAsia"/>
          <w:b/>
          <w:bCs/>
          <w:sz w:val="32"/>
          <w:szCs w:val="32"/>
        </w:rPr>
      </w:pPr>
    </w:p>
    <w:p w14:paraId="606C1019">
      <w:pPr>
        <w:bidi w:val="0"/>
        <w:jc w:val="center"/>
        <w:rPr>
          <w:rFonts w:hint="eastAsia"/>
          <w:b/>
          <w:bCs/>
          <w:sz w:val="32"/>
          <w:szCs w:val="32"/>
        </w:rPr>
      </w:pPr>
    </w:p>
    <w:p w14:paraId="30FC2589">
      <w:pPr>
        <w:bidi w:val="0"/>
        <w:jc w:val="both"/>
        <w:rPr>
          <w:rFonts w:hint="eastAsia"/>
          <w:b/>
          <w:bCs/>
          <w:sz w:val="32"/>
          <w:szCs w:val="32"/>
        </w:rPr>
      </w:pPr>
    </w:p>
    <w:p w14:paraId="017928F3">
      <w:pPr>
        <w:bidi w:val="0"/>
        <w:jc w:val="center"/>
        <w:outlineLvl w:val="0"/>
        <w:rPr>
          <w:rFonts w:hint="eastAsia" w:ascii="仿宋" w:hAnsi="仿宋" w:eastAsia="仿宋" w:cs="仿宋"/>
          <w:b/>
          <w:bCs/>
          <w:kern w:val="2"/>
          <w:sz w:val="32"/>
          <w:szCs w:val="32"/>
          <w:lang w:val="en-US" w:eastAsia="zh-CN" w:bidi="ar-SA"/>
        </w:rPr>
      </w:pPr>
      <w:bookmarkStart w:id="129" w:name="_Toc17528"/>
      <w:r>
        <w:rPr>
          <w:rFonts w:hint="eastAsia" w:ascii="仿宋" w:hAnsi="仿宋" w:eastAsia="仿宋" w:cs="仿宋"/>
          <w:b/>
          <w:bCs/>
          <w:kern w:val="2"/>
          <w:sz w:val="32"/>
          <w:szCs w:val="32"/>
          <w:lang w:val="en-US" w:eastAsia="zh-CN" w:bidi="ar-SA"/>
        </w:rPr>
        <w:t>第五章  合同条款及格式</w:t>
      </w:r>
      <w:bookmarkEnd w:id="128"/>
      <w:bookmarkEnd w:id="129"/>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cs="宋体"/>
          <w:b/>
          <w:sz w:val="32"/>
          <w:szCs w:val="20"/>
          <w:highlight w:val="none"/>
          <w:lang w:val="en-US" w:eastAsia="zh-CN"/>
        </w:rPr>
        <w:t>合同</w:t>
      </w:r>
      <w:r>
        <w:rPr>
          <w:rFonts w:hint="eastAsia" w:ascii="宋体" w:hAnsi="宋体" w:eastAsia="宋体" w:cs="宋体"/>
          <w:b/>
          <w:sz w:val="32"/>
          <w:szCs w:val="20"/>
          <w:highlight w:val="none"/>
        </w:rPr>
        <w:t>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cs="宋体"/>
          <w:b/>
          <w:sz w:val="32"/>
          <w:szCs w:val="20"/>
          <w:highlight w:val="none"/>
          <w:lang w:val="en-US" w:eastAsia="zh-CN"/>
        </w:rPr>
        <w:t>合同</w:t>
      </w:r>
      <w:r>
        <w:rPr>
          <w:rFonts w:hint="eastAsia" w:ascii="宋体" w:hAnsi="宋体" w:eastAsia="宋体" w:cs="宋体"/>
          <w:b/>
          <w:sz w:val="32"/>
          <w:szCs w:val="20"/>
          <w:highlight w:val="none"/>
        </w:rPr>
        <w:t>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09CE4B38">
      <w:pPr>
        <w:snapToGrid w:val="0"/>
        <w:spacing w:line="360" w:lineRule="auto"/>
        <w:ind w:firstLine="420" w:firstLineChars="200"/>
        <w:rPr>
          <w:rFonts w:ascii="宋体" w:hAnsi="宋体"/>
          <w:szCs w:val="21"/>
        </w:rPr>
      </w:pPr>
      <w:r>
        <w:rPr>
          <w:rFonts w:hint="eastAsia" w:ascii="宋体" w:hAnsi="宋体"/>
          <w:szCs w:val="21"/>
        </w:rPr>
        <w:t>按照《中华人民共和国民法典》和《深圳经济特区政府采购条例》，经深圳市_______________________（以下简称甲方）和_______________________单位（以下简称乙方）协商，就_______________________</w:t>
      </w:r>
      <w:r>
        <w:rPr>
          <w:rFonts w:hint="eastAsia" w:ascii="宋体" w:hAnsi="宋体"/>
          <w:bCs/>
          <w:snapToGrid w:val="0"/>
          <w:kern w:val="0"/>
          <w:szCs w:val="21"/>
          <w:lang w:val="zh-CN"/>
        </w:rPr>
        <w:t>项目</w:t>
      </w:r>
      <w:r>
        <w:rPr>
          <w:rFonts w:hint="eastAsia" w:ascii="宋体" w:hAnsi="宋体"/>
          <w:szCs w:val="21"/>
        </w:rPr>
        <w:t>，达成以下合同条款：</w:t>
      </w:r>
    </w:p>
    <w:p w14:paraId="63413695">
      <w:pPr>
        <w:pStyle w:val="23"/>
        <w:snapToGrid w:val="0"/>
        <w:spacing w:line="360" w:lineRule="auto"/>
        <w:ind w:firstLine="420" w:firstLineChars="200"/>
        <w:outlineLvl w:val="0"/>
        <w:rPr>
          <w:rFonts w:hAnsi="宋体"/>
          <w:szCs w:val="21"/>
        </w:rPr>
      </w:pPr>
      <w:bookmarkStart w:id="130" w:name="_Toc16456"/>
      <w:r>
        <w:rPr>
          <w:rFonts w:hint="eastAsia" w:hAnsi="宋体"/>
          <w:szCs w:val="21"/>
        </w:rPr>
        <w:t>一、采购内容</w:t>
      </w:r>
      <w:bookmarkEnd w:id="130"/>
    </w:p>
    <w:p w14:paraId="17066440">
      <w:pPr>
        <w:pStyle w:val="23"/>
        <w:snapToGrid w:val="0"/>
        <w:spacing w:line="360" w:lineRule="auto"/>
        <w:ind w:firstLine="420" w:firstLineChars="200"/>
        <w:outlineLvl w:val="0"/>
        <w:rPr>
          <w:rFonts w:hAnsi="宋体"/>
          <w:szCs w:val="21"/>
        </w:rPr>
      </w:pPr>
      <w:bookmarkStart w:id="131" w:name="_Toc18498"/>
      <w:r>
        <w:rPr>
          <w:rFonts w:hint="eastAsia" w:hAnsi="宋体"/>
          <w:szCs w:val="21"/>
        </w:rPr>
        <w:t>二、合同金额</w:t>
      </w:r>
      <w:bookmarkEnd w:id="131"/>
    </w:p>
    <w:p w14:paraId="1C4608C1">
      <w:pPr>
        <w:pStyle w:val="23"/>
        <w:snapToGrid w:val="0"/>
        <w:spacing w:line="360" w:lineRule="auto"/>
        <w:ind w:firstLine="420" w:firstLineChars="200"/>
        <w:rPr>
          <w:rFonts w:hAnsi="宋体"/>
          <w:szCs w:val="21"/>
        </w:rPr>
      </w:pPr>
      <w:r>
        <w:rPr>
          <w:rFonts w:hint="eastAsia" w:hAnsi="宋体"/>
          <w:szCs w:val="21"/>
        </w:rPr>
        <w:t>本合同金额为（大写）：____________________________________元（￥_______________元）人民币。</w:t>
      </w:r>
    </w:p>
    <w:p w14:paraId="5A4CDA8B">
      <w:pPr>
        <w:pStyle w:val="23"/>
        <w:snapToGrid w:val="0"/>
        <w:spacing w:line="360" w:lineRule="auto"/>
        <w:ind w:firstLine="420" w:firstLineChars="200"/>
        <w:outlineLvl w:val="0"/>
        <w:rPr>
          <w:rFonts w:hAnsi="宋体"/>
          <w:szCs w:val="21"/>
        </w:rPr>
      </w:pPr>
      <w:bookmarkStart w:id="132" w:name="_Toc23490"/>
      <w:r>
        <w:rPr>
          <w:rFonts w:hint="eastAsia" w:hAnsi="宋体"/>
          <w:szCs w:val="21"/>
        </w:rPr>
        <w:t>三、技术资料</w:t>
      </w:r>
      <w:bookmarkEnd w:id="132"/>
    </w:p>
    <w:p w14:paraId="72CED34B">
      <w:pPr>
        <w:pStyle w:val="23"/>
        <w:snapToGrid w:val="0"/>
        <w:spacing w:line="360" w:lineRule="auto"/>
        <w:ind w:firstLine="420" w:firstLineChars="200"/>
        <w:rPr>
          <w:rFonts w:hAnsi="宋体"/>
          <w:szCs w:val="21"/>
        </w:rPr>
      </w:pPr>
      <w:r>
        <w:rPr>
          <w:rFonts w:hint="eastAsia" w:hAnsi="宋体"/>
          <w:szCs w:val="21"/>
        </w:rPr>
        <w:t>1、乙方应按招标文件规定的时间向甲方提供有关技术资料。</w:t>
      </w:r>
    </w:p>
    <w:p w14:paraId="60AD8C16">
      <w:pPr>
        <w:pStyle w:val="23"/>
        <w:snapToGrid w:val="0"/>
        <w:spacing w:line="360" w:lineRule="auto"/>
        <w:ind w:firstLine="420" w:firstLineChars="200"/>
        <w:rPr>
          <w:rFonts w:hAnsi="宋体"/>
          <w:szCs w:val="21"/>
        </w:rPr>
      </w:pPr>
      <w:r>
        <w:rPr>
          <w:rFonts w:hint="eastAsia" w:hAnsi="宋体"/>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1EDE2BA">
      <w:pPr>
        <w:pStyle w:val="23"/>
        <w:snapToGrid w:val="0"/>
        <w:spacing w:line="360" w:lineRule="auto"/>
        <w:ind w:firstLine="420" w:firstLineChars="200"/>
        <w:rPr>
          <w:rFonts w:hAnsi="宋体"/>
          <w:szCs w:val="21"/>
        </w:rPr>
      </w:pPr>
      <w:r>
        <w:rPr>
          <w:rFonts w:hint="eastAsia" w:hAnsi="宋体"/>
          <w:szCs w:val="21"/>
        </w:rPr>
        <w:t>3、合同履行完毕，未经甲方的书面同意，乙方不得保存在履行合同过程中所获得或接触到的任何内部数据资料。</w:t>
      </w:r>
    </w:p>
    <w:p w14:paraId="793B7EE1">
      <w:pPr>
        <w:pStyle w:val="23"/>
        <w:snapToGrid w:val="0"/>
        <w:spacing w:line="360" w:lineRule="auto"/>
        <w:ind w:firstLine="420" w:firstLineChars="200"/>
        <w:outlineLvl w:val="0"/>
        <w:rPr>
          <w:rFonts w:hAnsi="宋体"/>
          <w:szCs w:val="21"/>
        </w:rPr>
      </w:pPr>
      <w:bookmarkStart w:id="133" w:name="_Toc1515"/>
      <w:r>
        <w:rPr>
          <w:rFonts w:hint="eastAsia" w:hAnsi="宋体"/>
          <w:szCs w:val="21"/>
        </w:rPr>
        <w:t>四、知识产权</w:t>
      </w:r>
      <w:bookmarkEnd w:id="133"/>
    </w:p>
    <w:p w14:paraId="37989C92">
      <w:pPr>
        <w:pStyle w:val="23"/>
        <w:snapToGrid w:val="0"/>
        <w:spacing w:line="360" w:lineRule="auto"/>
        <w:ind w:firstLine="420" w:firstLineChars="200"/>
        <w:rPr>
          <w:rFonts w:hAnsi="宋体"/>
          <w:bCs/>
          <w:szCs w:val="21"/>
        </w:rPr>
      </w:pPr>
      <w:r>
        <w:rPr>
          <w:rFonts w:hint="eastAsia" w:hAnsi="宋体"/>
          <w:szCs w:val="21"/>
        </w:rPr>
        <w:t>乙方应保证提供服务过程中不会侵犯任何第三方的知识产权</w:t>
      </w:r>
      <w:r>
        <w:rPr>
          <w:rFonts w:hint="eastAsia" w:hAnsi="宋体"/>
          <w:bCs/>
          <w:szCs w:val="21"/>
        </w:rPr>
        <w:t>。</w:t>
      </w:r>
    </w:p>
    <w:p w14:paraId="36A980B8">
      <w:pPr>
        <w:pStyle w:val="23"/>
        <w:snapToGrid w:val="0"/>
        <w:spacing w:line="360" w:lineRule="auto"/>
        <w:ind w:firstLine="420" w:firstLineChars="200"/>
        <w:outlineLvl w:val="0"/>
        <w:rPr>
          <w:rFonts w:hAnsi="宋体"/>
          <w:szCs w:val="21"/>
        </w:rPr>
      </w:pPr>
      <w:bookmarkStart w:id="134" w:name="_Toc25765"/>
      <w:r>
        <w:rPr>
          <w:rFonts w:hint="eastAsia" w:hAnsi="宋体"/>
          <w:szCs w:val="21"/>
        </w:rPr>
        <w:t>五、履约保证金</w:t>
      </w:r>
      <w:bookmarkEnd w:id="134"/>
    </w:p>
    <w:p w14:paraId="1C93C808">
      <w:pPr>
        <w:pStyle w:val="23"/>
        <w:snapToGrid w:val="0"/>
        <w:spacing w:line="360" w:lineRule="auto"/>
        <w:ind w:firstLine="420" w:firstLineChars="200"/>
        <w:rPr>
          <w:rFonts w:hAnsi="宋体"/>
          <w:szCs w:val="21"/>
        </w:rPr>
      </w:pPr>
      <w:r>
        <w:rPr>
          <w:rFonts w:hint="eastAsia" w:hAnsi="宋体"/>
          <w:szCs w:val="21"/>
        </w:rPr>
        <w:t>乙方交纳人民币_______________________作为本合同的履约保证金。</w:t>
      </w:r>
    </w:p>
    <w:p w14:paraId="4F8E146C">
      <w:pPr>
        <w:snapToGrid w:val="0"/>
        <w:spacing w:line="360" w:lineRule="auto"/>
        <w:ind w:firstLine="420" w:firstLineChars="200"/>
        <w:outlineLvl w:val="0"/>
        <w:rPr>
          <w:rFonts w:ascii="宋体" w:hAnsi="宋体"/>
          <w:szCs w:val="21"/>
        </w:rPr>
      </w:pPr>
      <w:bookmarkStart w:id="135" w:name="_Toc20294"/>
      <w:r>
        <w:rPr>
          <w:rFonts w:hint="eastAsia" w:ascii="宋体" w:hAnsi="宋体"/>
          <w:szCs w:val="21"/>
        </w:rPr>
        <w:t>六、甲方的权利与义务</w:t>
      </w:r>
      <w:bookmarkEnd w:id="135"/>
    </w:p>
    <w:p w14:paraId="59A59369">
      <w:pPr>
        <w:snapToGrid w:val="0"/>
        <w:spacing w:line="360" w:lineRule="auto"/>
        <w:ind w:firstLine="420" w:firstLineChars="200"/>
        <w:rPr>
          <w:rFonts w:ascii="宋体" w:hAnsi="宋体"/>
          <w:szCs w:val="21"/>
        </w:rPr>
      </w:pPr>
      <w:r>
        <w:rPr>
          <w:rFonts w:hint="eastAsia" w:ascii="宋体" w:hAnsi="宋体"/>
          <w:szCs w:val="21"/>
        </w:rPr>
        <w:t>1、_______________________</w:t>
      </w:r>
    </w:p>
    <w:p w14:paraId="1AE3A997">
      <w:pPr>
        <w:snapToGrid w:val="0"/>
        <w:spacing w:line="360" w:lineRule="auto"/>
        <w:ind w:firstLine="420" w:firstLineChars="200"/>
        <w:rPr>
          <w:rFonts w:ascii="宋体" w:hAnsi="宋体"/>
          <w:szCs w:val="21"/>
        </w:rPr>
      </w:pPr>
      <w:r>
        <w:rPr>
          <w:rFonts w:hint="eastAsia" w:ascii="宋体" w:hAnsi="宋体"/>
          <w:szCs w:val="21"/>
        </w:rPr>
        <w:t>2、_______________________</w:t>
      </w:r>
    </w:p>
    <w:p w14:paraId="77B703B7">
      <w:pPr>
        <w:snapToGrid w:val="0"/>
        <w:spacing w:line="360" w:lineRule="auto"/>
        <w:ind w:firstLine="420" w:firstLineChars="200"/>
        <w:rPr>
          <w:rFonts w:ascii="宋体" w:hAnsi="宋体"/>
          <w:szCs w:val="21"/>
        </w:rPr>
      </w:pPr>
      <w:r>
        <w:rPr>
          <w:rFonts w:hint="eastAsia" w:ascii="宋体" w:hAnsi="宋体"/>
          <w:szCs w:val="21"/>
        </w:rPr>
        <w:t>3、_______________________</w:t>
      </w:r>
    </w:p>
    <w:p w14:paraId="5D7E5861">
      <w:pPr>
        <w:snapToGrid w:val="0"/>
        <w:spacing w:line="360" w:lineRule="auto"/>
        <w:ind w:firstLine="420" w:firstLineChars="200"/>
        <w:rPr>
          <w:rFonts w:ascii="宋体" w:hAnsi="宋体"/>
          <w:szCs w:val="21"/>
        </w:rPr>
      </w:pPr>
      <w:r>
        <w:rPr>
          <w:rFonts w:hint="eastAsia" w:ascii="宋体" w:hAnsi="宋体"/>
          <w:szCs w:val="21"/>
        </w:rPr>
        <w:t>4、_______________________</w:t>
      </w:r>
    </w:p>
    <w:p w14:paraId="4D64703D">
      <w:pPr>
        <w:snapToGrid w:val="0"/>
        <w:spacing w:line="360" w:lineRule="auto"/>
        <w:ind w:firstLine="420" w:firstLineChars="200"/>
        <w:rPr>
          <w:rFonts w:ascii="宋体" w:hAnsi="宋体"/>
          <w:szCs w:val="21"/>
        </w:rPr>
      </w:pPr>
      <w:r>
        <w:rPr>
          <w:rFonts w:hint="eastAsia" w:ascii="宋体" w:hAnsi="宋体"/>
          <w:szCs w:val="21"/>
        </w:rPr>
        <w:t>5、甲方的其它权利与义务_______________________</w:t>
      </w:r>
    </w:p>
    <w:p w14:paraId="6AD05504">
      <w:pPr>
        <w:snapToGrid w:val="0"/>
        <w:spacing w:line="360" w:lineRule="auto"/>
        <w:ind w:firstLine="420" w:firstLineChars="200"/>
        <w:outlineLvl w:val="0"/>
        <w:rPr>
          <w:rFonts w:ascii="宋体" w:hAnsi="宋体"/>
          <w:szCs w:val="21"/>
        </w:rPr>
      </w:pPr>
      <w:bookmarkStart w:id="136" w:name="_Toc24479"/>
      <w:r>
        <w:rPr>
          <w:rFonts w:hint="eastAsia" w:ascii="宋体" w:hAnsi="宋体"/>
          <w:szCs w:val="21"/>
        </w:rPr>
        <w:t>七、乙方的权利与义务</w:t>
      </w:r>
      <w:bookmarkEnd w:id="136"/>
    </w:p>
    <w:p w14:paraId="44B037F6">
      <w:pPr>
        <w:snapToGrid w:val="0"/>
        <w:spacing w:line="360" w:lineRule="auto"/>
        <w:ind w:firstLine="420" w:firstLineChars="200"/>
        <w:rPr>
          <w:rFonts w:ascii="宋体" w:hAnsi="宋体"/>
          <w:szCs w:val="21"/>
        </w:rPr>
      </w:pPr>
      <w:r>
        <w:rPr>
          <w:rFonts w:hint="eastAsia" w:ascii="宋体" w:hAnsi="宋体"/>
          <w:szCs w:val="21"/>
        </w:rPr>
        <w:t>1、_______________________</w:t>
      </w:r>
    </w:p>
    <w:p w14:paraId="1F3A952D">
      <w:pPr>
        <w:snapToGrid w:val="0"/>
        <w:spacing w:line="360" w:lineRule="auto"/>
        <w:ind w:firstLine="420" w:firstLineChars="200"/>
        <w:rPr>
          <w:rFonts w:ascii="宋体" w:hAnsi="宋体"/>
          <w:szCs w:val="21"/>
        </w:rPr>
      </w:pPr>
      <w:r>
        <w:rPr>
          <w:rFonts w:hint="eastAsia" w:ascii="宋体" w:hAnsi="宋体"/>
          <w:szCs w:val="21"/>
        </w:rPr>
        <w:t>2、_______________________</w:t>
      </w:r>
    </w:p>
    <w:p w14:paraId="4CF486AA">
      <w:pPr>
        <w:snapToGrid w:val="0"/>
        <w:spacing w:line="360" w:lineRule="auto"/>
        <w:ind w:firstLine="420" w:firstLineChars="200"/>
        <w:rPr>
          <w:rFonts w:ascii="宋体" w:hAnsi="宋体"/>
          <w:szCs w:val="21"/>
        </w:rPr>
      </w:pPr>
      <w:r>
        <w:rPr>
          <w:rFonts w:hint="eastAsia" w:ascii="宋体" w:hAnsi="宋体"/>
          <w:szCs w:val="21"/>
        </w:rPr>
        <w:t>3、_______________________</w:t>
      </w:r>
    </w:p>
    <w:p w14:paraId="4C15A8B6">
      <w:pPr>
        <w:snapToGrid w:val="0"/>
        <w:spacing w:line="360" w:lineRule="auto"/>
        <w:ind w:firstLine="420" w:firstLineChars="200"/>
        <w:rPr>
          <w:rFonts w:ascii="宋体" w:hAnsi="宋体"/>
          <w:szCs w:val="21"/>
        </w:rPr>
      </w:pPr>
      <w:r>
        <w:rPr>
          <w:rFonts w:hint="eastAsia" w:ascii="宋体" w:hAnsi="宋体"/>
          <w:szCs w:val="21"/>
        </w:rPr>
        <w:t>4、_______________________</w:t>
      </w:r>
    </w:p>
    <w:p w14:paraId="72E5A44D">
      <w:pPr>
        <w:snapToGrid w:val="0"/>
        <w:spacing w:line="360" w:lineRule="auto"/>
        <w:ind w:firstLine="420" w:firstLineChars="200"/>
        <w:rPr>
          <w:rFonts w:ascii="宋体" w:hAnsi="宋体"/>
          <w:szCs w:val="21"/>
        </w:rPr>
      </w:pPr>
      <w:r>
        <w:rPr>
          <w:rFonts w:hint="eastAsia" w:ascii="宋体" w:hAnsi="宋体"/>
          <w:szCs w:val="21"/>
        </w:rPr>
        <w:t>5、乙方的其它权利与义务_______________________</w:t>
      </w:r>
    </w:p>
    <w:p w14:paraId="51FEA540">
      <w:pPr>
        <w:pStyle w:val="23"/>
        <w:snapToGrid w:val="0"/>
        <w:spacing w:line="360" w:lineRule="auto"/>
        <w:ind w:firstLine="420" w:firstLineChars="200"/>
        <w:outlineLvl w:val="0"/>
        <w:rPr>
          <w:rFonts w:hAnsi="宋体"/>
          <w:szCs w:val="21"/>
        </w:rPr>
      </w:pPr>
      <w:bookmarkStart w:id="137" w:name="_Toc20434"/>
      <w:r>
        <w:rPr>
          <w:rFonts w:hint="eastAsia" w:hAnsi="宋体"/>
          <w:szCs w:val="21"/>
        </w:rPr>
        <w:t>八、合同履行时间、履行方式及履行地点</w:t>
      </w:r>
      <w:bookmarkEnd w:id="137"/>
    </w:p>
    <w:p w14:paraId="0B6718E3">
      <w:pPr>
        <w:pStyle w:val="23"/>
        <w:snapToGrid w:val="0"/>
        <w:spacing w:line="360" w:lineRule="auto"/>
        <w:ind w:firstLine="420" w:firstLineChars="200"/>
        <w:rPr>
          <w:rFonts w:hAnsi="宋体"/>
          <w:bCs/>
          <w:szCs w:val="21"/>
        </w:rPr>
      </w:pPr>
      <w:r>
        <w:rPr>
          <w:rFonts w:hint="eastAsia" w:hAnsi="宋体"/>
          <w:bCs/>
          <w:szCs w:val="21"/>
        </w:rPr>
        <w:t xml:space="preserve">1. </w:t>
      </w:r>
      <w:r>
        <w:rPr>
          <w:rFonts w:hint="eastAsia" w:hAnsi="宋体"/>
          <w:szCs w:val="21"/>
        </w:rPr>
        <w:t>履行时间</w:t>
      </w:r>
      <w:r>
        <w:rPr>
          <w:rFonts w:hint="eastAsia" w:hAnsi="宋体"/>
          <w:bCs/>
          <w:szCs w:val="21"/>
        </w:rPr>
        <w:t>：</w:t>
      </w:r>
      <w:r>
        <w:rPr>
          <w:rFonts w:hint="eastAsia" w:hAnsi="宋体"/>
          <w:szCs w:val="21"/>
        </w:rPr>
        <w:t>_______________________</w:t>
      </w:r>
    </w:p>
    <w:p w14:paraId="4B3E34BE">
      <w:pPr>
        <w:pStyle w:val="23"/>
        <w:snapToGrid w:val="0"/>
        <w:spacing w:line="360" w:lineRule="auto"/>
        <w:ind w:firstLine="420" w:firstLineChars="200"/>
        <w:rPr>
          <w:rFonts w:hAnsi="宋体"/>
          <w:bCs/>
          <w:szCs w:val="21"/>
        </w:rPr>
      </w:pPr>
      <w:r>
        <w:rPr>
          <w:rFonts w:hint="eastAsia" w:hAnsi="宋体"/>
          <w:bCs/>
          <w:szCs w:val="21"/>
        </w:rPr>
        <w:t xml:space="preserve">2. </w:t>
      </w:r>
      <w:r>
        <w:rPr>
          <w:rFonts w:hint="eastAsia" w:hAnsi="宋体"/>
          <w:szCs w:val="21"/>
        </w:rPr>
        <w:t>履行方式</w:t>
      </w:r>
      <w:r>
        <w:rPr>
          <w:rFonts w:hint="eastAsia" w:hAnsi="宋体"/>
          <w:bCs/>
          <w:szCs w:val="21"/>
        </w:rPr>
        <w:t>：</w:t>
      </w:r>
      <w:r>
        <w:rPr>
          <w:rFonts w:hint="eastAsia" w:hAnsi="宋体"/>
          <w:szCs w:val="21"/>
        </w:rPr>
        <w:t>_______________________</w:t>
      </w:r>
    </w:p>
    <w:p w14:paraId="6E7DCB7E">
      <w:pPr>
        <w:pStyle w:val="23"/>
        <w:snapToGrid w:val="0"/>
        <w:spacing w:line="360" w:lineRule="auto"/>
        <w:ind w:firstLine="420" w:firstLineChars="200"/>
        <w:rPr>
          <w:rFonts w:hAnsi="宋体"/>
          <w:szCs w:val="21"/>
        </w:rPr>
      </w:pPr>
      <w:r>
        <w:rPr>
          <w:rFonts w:hint="eastAsia" w:hAnsi="宋体"/>
          <w:bCs/>
          <w:szCs w:val="21"/>
        </w:rPr>
        <w:t xml:space="preserve">3. </w:t>
      </w:r>
      <w:r>
        <w:rPr>
          <w:rFonts w:hint="eastAsia" w:hAnsi="宋体"/>
          <w:szCs w:val="21"/>
        </w:rPr>
        <w:t>履行地点</w:t>
      </w:r>
      <w:r>
        <w:rPr>
          <w:rFonts w:hint="eastAsia" w:hAnsi="宋体"/>
          <w:bCs/>
          <w:szCs w:val="21"/>
        </w:rPr>
        <w:t>：</w:t>
      </w:r>
      <w:r>
        <w:rPr>
          <w:rFonts w:hint="eastAsia" w:hAnsi="宋体"/>
          <w:szCs w:val="21"/>
        </w:rPr>
        <w:t>_______________________</w:t>
      </w:r>
    </w:p>
    <w:p w14:paraId="3965417B">
      <w:pPr>
        <w:snapToGrid w:val="0"/>
        <w:spacing w:line="360" w:lineRule="auto"/>
        <w:ind w:firstLine="420" w:firstLineChars="200"/>
        <w:outlineLvl w:val="0"/>
        <w:rPr>
          <w:rFonts w:ascii="宋体" w:hAnsi="宋体"/>
          <w:szCs w:val="21"/>
        </w:rPr>
      </w:pPr>
      <w:bookmarkStart w:id="138" w:name="_Toc9651"/>
      <w:r>
        <w:rPr>
          <w:rFonts w:hint="eastAsia" w:ascii="宋体" w:hAnsi="宋体"/>
          <w:szCs w:val="21"/>
        </w:rPr>
        <w:t>九、验收</w:t>
      </w:r>
      <w:bookmarkEnd w:id="138"/>
      <w:r>
        <w:rPr>
          <w:rFonts w:hint="eastAsia" w:ascii="宋体" w:hAnsi="宋体"/>
          <w:szCs w:val="21"/>
        </w:rPr>
        <w:t xml:space="preserve">     </w:t>
      </w:r>
    </w:p>
    <w:p w14:paraId="39AA627F">
      <w:pPr>
        <w:snapToGrid w:val="0"/>
        <w:spacing w:line="360" w:lineRule="auto"/>
        <w:ind w:firstLine="420" w:firstLineChars="200"/>
        <w:rPr>
          <w:rFonts w:ascii="宋体" w:hAnsi="宋体"/>
          <w:szCs w:val="21"/>
        </w:rPr>
      </w:pPr>
      <w:r>
        <w:rPr>
          <w:rFonts w:hint="eastAsia" w:ascii="宋体" w:hAnsi="宋体"/>
          <w:szCs w:val="21"/>
        </w:rPr>
        <w:t>1、下列文件的验收分为______个阶段:</w:t>
      </w:r>
    </w:p>
    <w:p w14:paraId="313E1731">
      <w:pPr>
        <w:snapToGrid w:val="0"/>
        <w:spacing w:line="360" w:lineRule="auto"/>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2CBA0B27">
      <w:pPr>
        <w:snapToGrid w:val="0"/>
        <w:spacing w:line="360" w:lineRule="auto"/>
        <w:ind w:firstLine="420" w:firstLineChars="200"/>
        <w:rPr>
          <w:rFonts w:ascii="宋体" w:hAnsi="宋体"/>
          <w:szCs w:val="21"/>
        </w:rPr>
      </w:pPr>
      <w:r>
        <w:rPr>
          <w:rFonts w:hint="eastAsia" w:ascii="宋体" w:hAnsi="宋体"/>
          <w:szCs w:val="21"/>
        </w:rPr>
        <w:t>3、验收依据为_____________号招标文件、乙方投标文件，国家和行业有关规范、规程和标准。</w:t>
      </w:r>
    </w:p>
    <w:p w14:paraId="7C3A7152">
      <w:pPr>
        <w:pStyle w:val="23"/>
        <w:snapToGrid w:val="0"/>
        <w:spacing w:line="360" w:lineRule="auto"/>
        <w:ind w:firstLine="420" w:firstLineChars="200"/>
        <w:outlineLvl w:val="0"/>
        <w:rPr>
          <w:rFonts w:hAnsi="宋体"/>
          <w:szCs w:val="21"/>
        </w:rPr>
      </w:pPr>
      <w:bookmarkStart w:id="139" w:name="_Toc21010"/>
      <w:r>
        <w:rPr>
          <w:rFonts w:hint="eastAsia" w:hAnsi="宋体"/>
          <w:szCs w:val="21"/>
        </w:rPr>
        <w:t>十、付款方式和税费</w:t>
      </w:r>
      <w:bookmarkEnd w:id="139"/>
    </w:p>
    <w:p w14:paraId="243D8829">
      <w:pPr>
        <w:pStyle w:val="23"/>
        <w:snapToGrid w:val="0"/>
        <w:spacing w:line="360" w:lineRule="auto"/>
        <w:ind w:firstLine="420" w:firstLineChars="200"/>
        <w:rPr>
          <w:rFonts w:hAnsi="宋体"/>
          <w:bCs/>
          <w:szCs w:val="21"/>
        </w:rPr>
      </w:pPr>
      <w:r>
        <w:rPr>
          <w:rFonts w:hint="eastAsia" w:hAnsi="宋体"/>
          <w:bCs/>
          <w:szCs w:val="21"/>
        </w:rPr>
        <w:t>1、合同签订后_____天内，甲方向乙方支付合同总价_____</w:t>
      </w:r>
      <w:r>
        <w:rPr>
          <w:rFonts w:hint="eastAsia" w:ascii="宋体" w:hAnsi="宋体" w:cs="宋体"/>
          <w:bCs/>
          <w:szCs w:val="21"/>
        </w:rPr>
        <w:t>%</w:t>
      </w:r>
      <w:r>
        <w:rPr>
          <w:rFonts w:hint="eastAsia" w:hAnsi="宋体"/>
          <w:bCs/>
          <w:szCs w:val="21"/>
        </w:rPr>
        <w:t>的款项。</w:t>
      </w:r>
    </w:p>
    <w:p w14:paraId="406CAA30">
      <w:pPr>
        <w:pStyle w:val="23"/>
        <w:snapToGrid w:val="0"/>
        <w:spacing w:line="360" w:lineRule="auto"/>
        <w:ind w:firstLine="420" w:firstLineChars="200"/>
        <w:rPr>
          <w:rFonts w:hAnsi="宋体"/>
          <w:bCs/>
          <w:szCs w:val="21"/>
        </w:rPr>
      </w:pPr>
      <w:r>
        <w:rPr>
          <w:rFonts w:hint="eastAsia" w:hAnsi="宋体"/>
          <w:bCs/>
          <w:szCs w:val="21"/>
        </w:rPr>
        <w:t>2、检测完成并提交评估报告后，甲方向乙方支付合同总价_____</w:t>
      </w:r>
      <w:r>
        <w:rPr>
          <w:rFonts w:hint="eastAsia" w:ascii="宋体" w:hAnsi="宋体" w:cs="宋体"/>
          <w:bCs/>
          <w:szCs w:val="21"/>
        </w:rPr>
        <w:t>%</w:t>
      </w:r>
      <w:r>
        <w:rPr>
          <w:rFonts w:hint="eastAsia" w:hAnsi="宋体"/>
          <w:bCs/>
          <w:szCs w:val="21"/>
        </w:rPr>
        <w:t>的款项。</w:t>
      </w:r>
    </w:p>
    <w:p w14:paraId="7696CB60">
      <w:pPr>
        <w:pStyle w:val="23"/>
        <w:snapToGrid w:val="0"/>
        <w:spacing w:line="360" w:lineRule="auto"/>
        <w:ind w:firstLine="420" w:firstLineChars="200"/>
        <w:rPr>
          <w:rFonts w:hAnsi="宋体"/>
          <w:bCs/>
          <w:szCs w:val="21"/>
        </w:rPr>
      </w:pPr>
      <w:r>
        <w:rPr>
          <w:rFonts w:hint="eastAsia" w:hAnsi="宋体"/>
          <w:bCs/>
          <w:szCs w:val="21"/>
        </w:rPr>
        <w:t>3、报告通过专家评审后，甲方向乙方支付合同总价_____</w:t>
      </w:r>
      <w:r>
        <w:rPr>
          <w:rFonts w:hint="eastAsia" w:ascii="宋体" w:hAnsi="宋体" w:cs="宋体"/>
          <w:bCs/>
          <w:szCs w:val="21"/>
        </w:rPr>
        <w:t>%</w:t>
      </w:r>
      <w:r>
        <w:rPr>
          <w:rFonts w:hint="eastAsia" w:hAnsi="宋体"/>
          <w:bCs/>
          <w:szCs w:val="21"/>
        </w:rPr>
        <w:t>的款项。</w:t>
      </w:r>
    </w:p>
    <w:p w14:paraId="178FA926">
      <w:pPr>
        <w:snapToGrid w:val="0"/>
        <w:spacing w:line="360" w:lineRule="auto"/>
        <w:ind w:firstLine="420" w:firstLineChars="200"/>
        <w:rPr>
          <w:rFonts w:ascii="宋体" w:hAnsi="宋体"/>
          <w:szCs w:val="21"/>
        </w:rPr>
      </w:pPr>
      <w:r>
        <w:rPr>
          <w:rFonts w:hint="eastAsia" w:ascii="宋体" w:hAnsi="宋体"/>
          <w:szCs w:val="21"/>
        </w:rPr>
        <w:t>本合同执行中相关的一切税费均由乙方负担。</w:t>
      </w:r>
    </w:p>
    <w:p w14:paraId="5CE721F2">
      <w:pPr>
        <w:snapToGrid w:val="0"/>
        <w:spacing w:line="360" w:lineRule="auto"/>
        <w:ind w:firstLine="420" w:firstLineChars="200"/>
        <w:outlineLvl w:val="0"/>
        <w:rPr>
          <w:rFonts w:ascii="宋体" w:hAnsi="宋体"/>
          <w:bCs/>
          <w:szCs w:val="21"/>
        </w:rPr>
      </w:pPr>
      <w:bookmarkStart w:id="140" w:name="_Toc7836"/>
      <w:r>
        <w:rPr>
          <w:rFonts w:hint="eastAsia" w:ascii="宋体" w:hAnsi="宋体"/>
          <w:szCs w:val="21"/>
        </w:rPr>
        <w:t>十一、</w:t>
      </w:r>
      <w:r>
        <w:rPr>
          <w:rFonts w:hint="eastAsia" w:ascii="宋体" w:hAnsi="宋体"/>
          <w:bCs/>
          <w:szCs w:val="21"/>
        </w:rPr>
        <w:t>争议解决办法</w:t>
      </w:r>
      <w:bookmarkEnd w:id="140"/>
    </w:p>
    <w:p w14:paraId="21DB63F1">
      <w:pPr>
        <w:snapToGrid w:val="0"/>
        <w:spacing w:line="360" w:lineRule="auto"/>
        <w:ind w:firstLine="420" w:firstLineChars="200"/>
        <w:rPr>
          <w:rFonts w:ascii="宋体" w:hAnsi="宋体"/>
          <w:szCs w:val="21"/>
        </w:rPr>
      </w:pPr>
      <w:r>
        <w:rPr>
          <w:rFonts w:hint="eastAsia" w:ascii="宋体" w:hAnsi="宋体"/>
          <w:szCs w:val="21"/>
        </w:rPr>
        <w:t>执行本合同发生的争议，由甲乙双方协商解决。</w:t>
      </w:r>
    </w:p>
    <w:p w14:paraId="3AB53445">
      <w:pPr>
        <w:pStyle w:val="23"/>
        <w:snapToGrid w:val="0"/>
        <w:spacing w:line="360" w:lineRule="auto"/>
        <w:ind w:firstLine="420" w:firstLineChars="200"/>
        <w:outlineLvl w:val="0"/>
        <w:rPr>
          <w:rFonts w:hAnsi="宋体"/>
          <w:szCs w:val="21"/>
        </w:rPr>
      </w:pPr>
      <w:bookmarkStart w:id="141" w:name="_Toc28923"/>
      <w:r>
        <w:rPr>
          <w:rFonts w:hint="eastAsia" w:hAnsi="宋体"/>
          <w:szCs w:val="21"/>
        </w:rPr>
        <w:t>十二、违约责任</w:t>
      </w:r>
      <w:bookmarkEnd w:id="141"/>
    </w:p>
    <w:p w14:paraId="4D2C4C31">
      <w:pPr>
        <w:pStyle w:val="23"/>
        <w:snapToGrid w:val="0"/>
        <w:spacing w:line="360" w:lineRule="auto"/>
        <w:ind w:firstLine="420" w:firstLineChars="200"/>
        <w:rPr>
          <w:rFonts w:hAnsi="宋体"/>
          <w:szCs w:val="21"/>
        </w:rPr>
      </w:pPr>
      <w:r>
        <w:rPr>
          <w:rFonts w:hint="eastAsia" w:hAnsi="宋体"/>
          <w:szCs w:val="21"/>
        </w:rPr>
        <w:t>1、因乙方原因，未能按规定时间完成有关工作的，每延误一天，甲方可在支付合同余款中扣除合同价款千分之一。</w:t>
      </w:r>
    </w:p>
    <w:p w14:paraId="4600D865">
      <w:pPr>
        <w:pStyle w:val="23"/>
        <w:snapToGrid w:val="0"/>
        <w:spacing w:line="360" w:lineRule="auto"/>
        <w:ind w:firstLine="420" w:firstLineChars="200"/>
        <w:rPr>
          <w:rFonts w:hAnsi="宋体"/>
          <w:szCs w:val="21"/>
        </w:rPr>
      </w:pPr>
      <w:r>
        <w:rPr>
          <w:rFonts w:hint="eastAsia" w:hAnsi="宋体"/>
          <w:szCs w:val="21"/>
        </w:rPr>
        <w:t>2、由于乙方原因造成试验成果质量低劣，不能满足大纲要求时，应继续完善试验工作，其费用由乙方承担。</w:t>
      </w:r>
    </w:p>
    <w:p w14:paraId="17962837">
      <w:pPr>
        <w:pStyle w:val="23"/>
        <w:snapToGrid w:val="0"/>
        <w:spacing w:line="360" w:lineRule="auto"/>
        <w:ind w:firstLine="420" w:firstLineChars="200"/>
        <w:rPr>
          <w:rFonts w:hAnsi="宋体"/>
          <w:szCs w:val="21"/>
        </w:rPr>
      </w:pPr>
      <w:r>
        <w:rPr>
          <w:rFonts w:hint="eastAsia" w:hAnsi="宋体"/>
          <w:szCs w:val="21"/>
        </w:rPr>
        <w:t>3、如乙方提供的服务文件不符合质量要求，必须在甲方提出要求后7天内无条件修改，其费用由乙方承担。</w:t>
      </w:r>
    </w:p>
    <w:p w14:paraId="133B7658">
      <w:pPr>
        <w:snapToGrid w:val="0"/>
        <w:spacing w:line="360" w:lineRule="auto"/>
        <w:ind w:firstLine="420" w:firstLineChars="200"/>
        <w:rPr>
          <w:rFonts w:ascii="宋体" w:hAnsi="宋体"/>
          <w:szCs w:val="21"/>
        </w:rPr>
      </w:pPr>
      <w:r>
        <w:rPr>
          <w:rFonts w:hint="eastAsia" w:ascii="宋体" w:hAnsi="宋体"/>
          <w:szCs w:val="21"/>
        </w:rPr>
        <w:t>4、__________方违反本合同__________约定，应当__________。</w:t>
      </w:r>
    </w:p>
    <w:p w14:paraId="0F1E38E4">
      <w:pPr>
        <w:snapToGrid w:val="0"/>
        <w:spacing w:line="360" w:lineRule="auto"/>
        <w:ind w:firstLine="420" w:firstLineChars="200"/>
        <w:outlineLvl w:val="0"/>
        <w:rPr>
          <w:rFonts w:ascii="宋体" w:hAnsi="宋体"/>
          <w:bCs/>
          <w:szCs w:val="21"/>
        </w:rPr>
      </w:pPr>
      <w:bookmarkStart w:id="142" w:name="_Toc2841"/>
      <w:r>
        <w:rPr>
          <w:rFonts w:hint="eastAsia" w:ascii="宋体" w:hAnsi="宋体"/>
          <w:szCs w:val="21"/>
        </w:rPr>
        <w:t>十三、</w:t>
      </w:r>
      <w:r>
        <w:rPr>
          <w:rFonts w:hint="eastAsia" w:ascii="宋体" w:hAnsi="宋体"/>
          <w:bCs/>
          <w:szCs w:val="21"/>
        </w:rPr>
        <w:t>其他</w:t>
      </w:r>
      <w:bookmarkEnd w:id="142"/>
    </w:p>
    <w:p w14:paraId="441FCF6B">
      <w:pPr>
        <w:snapToGrid w:val="0"/>
        <w:spacing w:line="360" w:lineRule="auto"/>
        <w:ind w:firstLine="420" w:firstLineChars="200"/>
        <w:rPr>
          <w:rFonts w:ascii="宋体" w:hAnsi="宋体"/>
          <w:szCs w:val="21"/>
        </w:rPr>
      </w:pPr>
      <w:r>
        <w:rPr>
          <w:rFonts w:hint="eastAsia" w:ascii="宋体" w:hAnsi="宋体"/>
          <w:szCs w:val="21"/>
        </w:rPr>
        <w:t>1、本合同与__________号招标文件、乙方投标文件如有抵触之处，以本合同条款为准。</w:t>
      </w:r>
    </w:p>
    <w:p w14:paraId="79163010">
      <w:pPr>
        <w:snapToGrid w:val="0"/>
        <w:spacing w:line="360" w:lineRule="auto"/>
        <w:ind w:firstLine="420" w:firstLineChars="200"/>
        <w:rPr>
          <w:rFonts w:ascii="宋体" w:hAnsi="宋体"/>
          <w:szCs w:val="21"/>
        </w:rPr>
      </w:pPr>
      <w:r>
        <w:rPr>
          <w:rFonts w:hint="eastAsia" w:ascii="宋体" w:hAnsi="宋体"/>
          <w:szCs w:val="21"/>
        </w:rPr>
        <w:t>2、下列文件均为本合同的组成部分：</w:t>
      </w:r>
    </w:p>
    <w:p w14:paraId="6204A1F8">
      <w:pPr>
        <w:snapToGrid w:val="0"/>
        <w:spacing w:line="360" w:lineRule="auto"/>
        <w:ind w:firstLine="420" w:firstLineChars="200"/>
        <w:rPr>
          <w:rFonts w:ascii="宋体" w:hAnsi="宋体"/>
          <w:szCs w:val="21"/>
        </w:rPr>
      </w:pPr>
      <w:r>
        <w:rPr>
          <w:rFonts w:hint="eastAsia" w:ascii="宋体" w:hAnsi="宋体"/>
          <w:szCs w:val="21"/>
        </w:rPr>
        <w:t>（1）__________号招标文件、答疑及补充通知；</w:t>
      </w:r>
    </w:p>
    <w:p w14:paraId="6376EB17">
      <w:pPr>
        <w:snapToGrid w:val="0"/>
        <w:spacing w:line="360" w:lineRule="auto"/>
        <w:ind w:firstLine="420" w:firstLineChars="200"/>
        <w:rPr>
          <w:rFonts w:ascii="宋体" w:hAnsi="宋体"/>
          <w:szCs w:val="21"/>
        </w:rPr>
      </w:pPr>
      <w:r>
        <w:rPr>
          <w:rFonts w:hint="eastAsia" w:ascii="宋体" w:hAnsi="宋体"/>
          <w:szCs w:val="21"/>
        </w:rPr>
        <w:t>（2）投标文件；</w:t>
      </w:r>
    </w:p>
    <w:p w14:paraId="55B29D58">
      <w:pPr>
        <w:snapToGrid w:val="0"/>
        <w:spacing w:line="360" w:lineRule="auto"/>
        <w:ind w:firstLine="420" w:firstLineChars="200"/>
        <w:rPr>
          <w:rFonts w:ascii="宋体" w:hAnsi="宋体"/>
          <w:szCs w:val="21"/>
        </w:rPr>
      </w:pPr>
      <w:r>
        <w:rPr>
          <w:rFonts w:hint="eastAsia" w:ascii="宋体" w:hAnsi="宋体"/>
          <w:szCs w:val="21"/>
        </w:rPr>
        <w:t>（3）本合同执行中共同签署的补充与修正文件。</w:t>
      </w:r>
    </w:p>
    <w:p w14:paraId="17877C8A">
      <w:pPr>
        <w:snapToGrid w:val="0"/>
        <w:spacing w:line="360" w:lineRule="auto"/>
        <w:ind w:firstLine="420" w:firstLineChars="200"/>
        <w:rPr>
          <w:rFonts w:ascii="宋体" w:hAnsi="宋体"/>
          <w:szCs w:val="21"/>
        </w:rPr>
      </w:pPr>
      <w:r>
        <w:rPr>
          <w:rFonts w:hint="eastAsia" w:ascii="宋体" w:hAnsi="宋体"/>
          <w:szCs w:val="21"/>
        </w:rPr>
        <w:t>本合同一式_____份，甲、乙方双方各执_____份，具有同等法律效力。本合同自双方法人代表签字（盖章）认可之日起生效。</w:t>
      </w:r>
    </w:p>
    <w:p w14:paraId="57B43DAB">
      <w:pPr>
        <w:snapToGrid w:val="0"/>
        <w:spacing w:line="360" w:lineRule="auto"/>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14:paraId="70F77ACC">
      <w:pPr>
        <w:pStyle w:val="23"/>
        <w:snapToGrid w:val="0"/>
        <w:spacing w:line="360" w:lineRule="auto"/>
        <w:ind w:firstLine="420" w:firstLineChars="200"/>
        <w:outlineLvl w:val="0"/>
        <w:rPr>
          <w:rFonts w:hAnsi="宋体"/>
          <w:szCs w:val="21"/>
        </w:rPr>
      </w:pPr>
      <w:bookmarkStart w:id="143" w:name="_Toc10825"/>
      <w:r>
        <w:rPr>
          <w:rFonts w:hint="eastAsia" w:hAnsi="宋体"/>
          <w:szCs w:val="21"/>
        </w:rPr>
        <w:t>附件：</w:t>
      </w:r>
      <w:bookmarkEnd w:id="143"/>
    </w:p>
    <w:p w14:paraId="0EB22ACB">
      <w:pPr>
        <w:snapToGrid w:val="0"/>
        <w:spacing w:line="360" w:lineRule="auto"/>
        <w:ind w:firstLine="420" w:firstLineChars="200"/>
        <w:rPr>
          <w:rFonts w:ascii="宋体" w:hAnsi="宋体"/>
          <w:szCs w:val="21"/>
        </w:rPr>
      </w:pPr>
      <w:r>
        <w:rPr>
          <w:rFonts w:hint="eastAsia" w:ascii="宋体" w:hAnsi="宋体"/>
          <w:szCs w:val="21"/>
        </w:rPr>
        <w:t>1、《中标/成交通知书》；</w:t>
      </w:r>
    </w:p>
    <w:p w14:paraId="3DB589C7">
      <w:pPr>
        <w:snapToGrid w:val="0"/>
        <w:spacing w:line="360" w:lineRule="auto"/>
        <w:ind w:firstLine="420" w:firstLineChars="200"/>
        <w:rPr>
          <w:rFonts w:ascii="宋体" w:hAnsi="宋体"/>
          <w:szCs w:val="21"/>
        </w:rPr>
      </w:pPr>
      <w:r>
        <w:rPr>
          <w:rFonts w:hint="eastAsia" w:ascii="宋体" w:hAnsi="宋体"/>
          <w:szCs w:val="21"/>
        </w:rPr>
        <w:t>2、《投标文件》；</w:t>
      </w:r>
    </w:p>
    <w:p w14:paraId="4D1DCD8A">
      <w:pPr>
        <w:snapToGrid w:val="0"/>
        <w:spacing w:line="360" w:lineRule="auto"/>
        <w:ind w:firstLine="420" w:firstLineChars="200"/>
        <w:rPr>
          <w:rFonts w:ascii="宋体" w:hAnsi="宋体"/>
          <w:szCs w:val="21"/>
        </w:rPr>
      </w:pPr>
      <w:r>
        <w:rPr>
          <w:rFonts w:hint="eastAsia" w:ascii="宋体" w:hAnsi="宋体"/>
          <w:szCs w:val="21"/>
        </w:rPr>
        <w:t>3、《招标文件》。</w:t>
      </w:r>
    </w:p>
    <w:p w14:paraId="5E835398">
      <w:pPr>
        <w:pStyle w:val="23"/>
        <w:snapToGrid w:val="0"/>
        <w:spacing w:line="360" w:lineRule="auto"/>
        <w:ind w:firstLine="420" w:firstLineChars="200"/>
        <w:rPr>
          <w:rFonts w:hAnsi="宋体"/>
          <w:szCs w:val="21"/>
        </w:rPr>
      </w:pPr>
    </w:p>
    <w:p w14:paraId="736E5549">
      <w:pPr>
        <w:snapToGrid w:val="0"/>
        <w:spacing w:line="360" w:lineRule="auto"/>
        <w:ind w:firstLine="200"/>
        <w:rPr>
          <w:rFonts w:ascii="宋体" w:hAnsi="宋体"/>
          <w:szCs w:val="21"/>
        </w:rPr>
      </w:pPr>
      <w:r>
        <w:rPr>
          <w:rFonts w:hint="eastAsia" w:ascii="宋体" w:hAnsi="宋体"/>
          <w:szCs w:val="21"/>
        </w:rPr>
        <w:t xml:space="preserve">    甲方：                                    乙方：</w:t>
      </w:r>
    </w:p>
    <w:p w14:paraId="238754E2">
      <w:pPr>
        <w:snapToGrid w:val="0"/>
        <w:spacing w:line="360" w:lineRule="auto"/>
        <w:ind w:firstLine="200"/>
        <w:rPr>
          <w:rFonts w:ascii="宋体" w:hAnsi="宋体"/>
          <w:szCs w:val="21"/>
        </w:rPr>
      </w:pPr>
      <w:r>
        <w:rPr>
          <w:rFonts w:hint="eastAsia" w:ascii="宋体" w:hAnsi="宋体"/>
          <w:szCs w:val="21"/>
        </w:rPr>
        <w:t xml:space="preserve">    地址：                                    地址：</w:t>
      </w:r>
    </w:p>
    <w:p w14:paraId="18BD22E9">
      <w:pPr>
        <w:snapToGrid w:val="0"/>
        <w:spacing w:line="360" w:lineRule="auto"/>
        <w:ind w:firstLine="200"/>
        <w:rPr>
          <w:rFonts w:ascii="宋体" w:hAnsi="宋体"/>
          <w:szCs w:val="21"/>
        </w:rPr>
      </w:pPr>
      <w:r>
        <w:rPr>
          <w:rFonts w:hint="eastAsia" w:ascii="宋体" w:hAnsi="宋体"/>
          <w:szCs w:val="21"/>
        </w:rPr>
        <w:t xml:space="preserve">    法定代表人：                              法定代表人：</w:t>
      </w:r>
    </w:p>
    <w:p w14:paraId="047DC3A4">
      <w:pPr>
        <w:snapToGrid w:val="0"/>
        <w:spacing w:line="360" w:lineRule="auto"/>
        <w:ind w:firstLine="200"/>
        <w:rPr>
          <w:rFonts w:ascii="宋体" w:hAnsi="宋体"/>
          <w:szCs w:val="21"/>
        </w:rPr>
      </w:pPr>
      <w:r>
        <w:rPr>
          <w:rFonts w:hint="eastAsia" w:ascii="宋体" w:hAnsi="宋体"/>
          <w:szCs w:val="21"/>
        </w:rPr>
        <w:t xml:space="preserve">    委托代理人：                              委托代理人：</w:t>
      </w:r>
    </w:p>
    <w:p w14:paraId="6B0908E2">
      <w:pPr>
        <w:snapToGrid w:val="0"/>
        <w:spacing w:line="360" w:lineRule="auto"/>
        <w:ind w:firstLine="200"/>
        <w:rPr>
          <w:rFonts w:ascii="宋体" w:hAnsi="宋体"/>
          <w:szCs w:val="21"/>
        </w:rPr>
      </w:pPr>
      <w:r>
        <w:rPr>
          <w:rFonts w:hint="eastAsia" w:ascii="宋体" w:hAnsi="宋体"/>
          <w:szCs w:val="21"/>
        </w:rPr>
        <w:t xml:space="preserve">    电话：                                    电话：</w:t>
      </w:r>
    </w:p>
    <w:p w14:paraId="73F2DF0E">
      <w:pPr>
        <w:snapToGrid w:val="0"/>
        <w:spacing w:line="360" w:lineRule="auto"/>
        <w:ind w:firstLine="200"/>
        <w:rPr>
          <w:rFonts w:ascii="宋体" w:hAnsi="宋体"/>
          <w:szCs w:val="21"/>
        </w:rPr>
      </w:pPr>
      <w:r>
        <w:rPr>
          <w:rFonts w:hint="eastAsia" w:ascii="宋体" w:hAnsi="宋体"/>
          <w:szCs w:val="21"/>
        </w:rPr>
        <w:t xml:space="preserve">    开户银行：                                开户银行：</w:t>
      </w:r>
    </w:p>
    <w:p w14:paraId="2F8A9E00">
      <w:pPr>
        <w:snapToGrid w:val="0"/>
        <w:spacing w:line="360" w:lineRule="auto"/>
        <w:ind w:firstLine="200"/>
        <w:rPr>
          <w:rFonts w:ascii="宋体" w:hAnsi="宋体"/>
          <w:szCs w:val="21"/>
        </w:rPr>
      </w:pPr>
      <w:r>
        <w:rPr>
          <w:rFonts w:hint="eastAsia" w:ascii="宋体" w:hAnsi="宋体"/>
          <w:szCs w:val="21"/>
        </w:rPr>
        <w:t xml:space="preserve">    账号：                                    账号：</w:t>
      </w:r>
    </w:p>
    <w:p w14:paraId="0438D688">
      <w:pPr>
        <w:spacing w:line="360" w:lineRule="auto"/>
        <w:ind w:firstLine="630" w:firstLineChars="300"/>
        <w:rPr>
          <w:rFonts w:ascii="宋体" w:hAnsi="宋体"/>
          <w:szCs w:val="21"/>
        </w:rPr>
      </w:pPr>
    </w:p>
    <w:p w14:paraId="426C91B6">
      <w:pPr>
        <w:spacing w:line="360" w:lineRule="auto"/>
        <w:ind w:firstLine="630" w:firstLineChars="300"/>
        <w:rPr>
          <w:rFonts w:ascii="宋体" w:hAnsi="宋体"/>
          <w:szCs w:val="21"/>
        </w:rPr>
      </w:pPr>
      <w:r>
        <w:rPr>
          <w:rFonts w:hint="eastAsia" w:ascii="宋体" w:hAnsi="宋体"/>
          <w:szCs w:val="21"/>
        </w:rPr>
        <w:t>签约地址：                                签约时间：     年   月   日</w:t>
      </w:r>
    </w:p>
    <w:p w14:paraId="349F2C31">
      <w:pPr>
        <w:pStyle w:val="23"/>
        <w:snapToGrid w:val="0"/>
        <w:spacing w:line="360" w:lineRule="auto"/>
        <w:ind w:firstLine="420" w:firstLineChars="200"/>
        <w:outlineLvl w:val="0"/>
        <w:rPr>
          <w:rFonts w:hint="eastAsia" w:ascii="宋体" w:hAnsi="宋体" w:eastAsia="宋体" w:cs="Times New Roman"/>
          <w:kern w:val="2"/>
          <w:sz w:val="21"/>
          <w:szCs w:val="21"/>
          <w:lang w:val="en-US" w:eastAsia="zh-CN" w:bidi="ar-SA"/>
        </w:rPr>
      </w:pPr>
    </w:p>
    <w:p w14:paraId="0B67A0D0">
      <w:pPr>
        <w:bidi w:val="0"/>
        <w:jc w:val="center"/>
        <w:outlineLvl w:val="0"/>
        <w:rPr>
          <w:rFonts w:hint="eastAsia" w:ascii="Times New Roman" w:hAnsi="Times New Roman" w:eastAsia="宋体" w:cs="Times New Roman"/>
          <w:b/>
          <w:bCs/>
          <w:sz w:val="32"/>
          <w:szCs w:val="32"/>
          <w:lang w:val="en-US" w:eastAsia="zh-CN"/>
        </w:rPr>
      </w:pPr>
    </w:p>
    <w:p w14:paraId="7AA08B86">
      <w:pPr>
        <w:bidi w:val="0"/>
        <w:jc w:val="center"/>
        <w:outlineLvl w:val="0"/>
        <w:rPr>
          <w:rFonts w:hint="eastAsia" w:ascii="Times New Roman" w:hAnsi="Times New Roman" w:eastAsia="宋体" w:cs="Times New Roman"/>
          <w:b/>
          <w:bCs/>
          <w:sz w:val="32"/>
          <w:szCs w:val="32"/>
          <w:lang w:val="en-US" w:eastAsia="zh-CN"/>
        </w:rPr>
      </w:pPr>
    </w:p>
    <w:p w14:paraId="738B9508">
      <w:pPr>
        <w:bidi w:val="0"/>
        <w:jc w:val="center"/>
        <w:outlineLvl w:val="0"/>
        <w:rPr>
          <w:rFonts w:hint="eastAsia" w:ascii="Times New Roman" w:hAnsi="Times New Roman" w:eastAsia="宋体" w:cs="Times New Roman"/>
          <w:b/>
          <w:bCs/>
          <w:sz w:val="32"/>
          <w:szCs w:val="32"/>
          <w:lang w:val="en-US" w:eastAsia="zh-CN"/>
        </w:rPr>
      </w:pPr>
    </w:p>
    <w:p w14:paraId="5CEDD0C4">
      <w:pPr>
        <w:bidi w:val="0"/>
        <w:jc w:val="center"/>
        <w:outlineLvl w:val="0"/>
        <w:rPr>
          <w:rFonts w:hint="eastAsia" w:ascii="Times New Roman" w:hAnsi="Times New Roman" w:eastAsia="宋体" w:cs="Times New Roman"/>
          <w:b/>
          <w:bCs/>
          <w:sz w:val="32"/>
          <w:szCs w:val="32"/>
          <w:lang w:val="en-US" w:eastAsia="zh-CN"/>
        </w:rPr>
      </w:pPr>
    </w:p>
    <w:p w14:paraId="6573E8DB">
      <w:pPr>
        <w:bidi w:val="0"/>
        <w:jc w:val="center"/>
        <w:outlineLvl w:val="0"/>
        <w:rPr>
          <w:rFonts w:hint="eastAsia" w:ascii="Times New Roman" w:hAnsi="Times New Roman" w:eastAsia="宋体" w:cs="Times New Roman"/>
          <w:b/>
          <w:bCs/>
          <w:sz w:val="32"/>
          <w:szCs w:val="32"/>
          <w:lang w:val="en-US" w:eastAsia="zh-CN"/>
        </w:rPr>
      </w:pPr>
    </w:p>
    <w:p w14:paraId="3D5BE987">
      <w:pPr>
        <w:bidi w:val="0"/>
        <w:jc w:val="center"/>
        <w:outlineLvl w:val="0"/>
        <w:rPr>
          <w:rFonts w:hint="eastAsia" w:ascii="仿宋" w:hAnsi="仿宋" w:eastAsia="仿宋" w:cs="仿宋"/>
          <w:b/>
          <w:bCs/>
          <w:kern w:val="2"/>
          <w:sz w:val="32"/>
          <w:szCs w:val="32"/>
          <w:lang w:val="en-US" w:eastAsia="zh-CN" w:bidi="ar-SA"/>
        </w:rPr>
      </w:pPr>
      <w:bookmarkStart w:id="144" w:name="_Toc7553"/>
    </w:p>
    <w:p w14:paraId="66B455CF">
      <w:pPr>
        <w:bidi w:val="0"/>
        <w:jc w:val="center"/>
        <w:outlineLvl w:val="0"/>
        <w:rPr>
          <w:rFonts w:hint="eastAsia" w:ascii="仿宋" w:hAnsi="仿宋" w:eastAsia="仿宋" w:cs="仿宋"/>
          <w:b/>
          <w:bCs/>
          <w:kern w:val="2"/>
          <w:sz w:val="32"/>
          <w:szCs w:val="32"/>
          <w:lang w:val="en-US" w:eastAsia="zh-CN" w:bidi="ar-SA"/>
        </w:rPr>
      </w:pPr>
    </w:p>
    <w:p w14:paraId="368A4029">
      <w:pPr>
        <w:bidi w:val="0"/>
        <w:jc w:val="center"/>
        <w:outlineLvl w:val="0"/>
        <w:rPr>
          <w:rFonts w:hint="eastAsia" w:ascii="仿宋" w:hAnsi="仿宋" w:eastAsia="仿宋" w:cs="仿宋"/>
          <w:b/>
          <w:bCs/>
          <w:kern w:val="2"/>
          <w:sz w:val="32"/>
          <w:szCs w:val="32"/>
          <w:lang w:val="en-US" w:eastAsia="zh-CN" w:bidi="ar-SA"/>
        </w:rPr>
      </w:pPr>
    </w:p>
    <w:p w14:paraId="5084D607">
      <w:pPr>
        <w:bidi w:val="0"/>
        <w:jc w:val="center"/>
        <w:outlineLvl w:val="0"/>
        <w:rPr>
          <w:rFonts w:hint="eastAsia" w:ascii="仿宋" w:hAnsi="仿宋" w:eastAsia="仿宋" w:cs="仿宋"/>
          <w:b/>
          <w:bCs/>
          <w:kern w:val="2"/>
          <w:sz w:val="32"/>
          <w:szCs w:val="32"/>
          <w:lang w:val="en-US" w:eastAsia="zh-CN" w:bidi="ar-SA"/>
        </w:rPr>
      </w:pPr>
    </w:p>
    <w:p w14:paraId="1DA4980A">
      <w:pPr>
        <w:bidi w:val="0"/>
        <w:jc w:val="center"/>
        <w:outlineLvl w:val="0"/>
        <w:rPr>
          <w:rFonts w:hint="eastAsia" w:ascii="仿宋" w:hAnsi="仿宋" w:eastAsia="仿宋" w:cs="仿宋"/>
          <w:b/>
          <w:bCs/>
          <w:kern w:val="2"/>
          <w:sz w:val="32"/>
          <w:szCs w:val="32"/>
          <w:lang w:val="en-US" w:eastAsia="zh-CN" w:bidi="ar-SA"/>
        </w:rPr>
      </w:pPr>
    </w:p>
    <w:p w14:paraId="27FF1529">
      <w:pPr>
        <w:bidi w:val="0"/>
        <w:jc w:val="center"/>
        <w:outlineLvl w:val="0"/>
        <w:rPr>
          <w:rFonts w:hint="eastAsia" w:ascii="仿宋" w:hAnsi="仿宋" w:eastAsia="仿宋" w:cs="仿宋"/>
          <w:b/>
          <w:bCs/>
          <w:kern w:val="2"/>
          <w:sz w:val="32"/>
          <w:szCs w:val="32"/>
          <w:lang w:val="en-US" w:eastAsia="zh-CN" w:bidi="ar-SA"/>
        </w:rPr>
      </w:pPr>
    </w:p>
    <w:p w14:paraId="6C3E0CC3">
      <w:pPr>
        <w:bidi w:val="0"/>
        <w:jc w:val="center"/>
        <w:outlineLvl w:val="0"/>
        <w:rPr>
          <w:rFonts w:hint="eastAsia" w:ascii="仿宋" w:hAnsi="仿宋" w:eastAsia="仿宋" w:cs="仿宋"/>
          <w:b/>
          <w:bCs/>
          <w:kern w:val="2"/>
          <w:sz w:val="32"/>
          <w:szCs w:val="32"/>
          <w:lang w:val="en-US" w:eastAsia="zh-CN" w:bidi="ar-SA"/>
        </w:rPr>
      </w:pPr>
    </w:p>
    <w:p w14:paraId="44C90D6B">
      <w:pPr>
        <w:bidi w:val="0"/>
        <w:jc w:val="center"/>
        <w:outlineLvl w:val="0"/>
        <w:rPr>
          <w:rFonts w:hint="eastAsia" w:ascii="仿宋" w:hAnsi="仿宋" w:eastAsia="仿宋" w:cs="仿宋"/>
          <w:b/>
          <w:bCs/>
          <w:kern w:val="2"/>
          <w:sz w:val="32"/>
          <w:szCs w:val="32"/>
          <w:lang w:val="en-US" w:eastAsia="zh-CN" w:bidi="ar-SA"/>
        </w:rPr>
      </w:pPr>
    </w:p>
    <w:p w14:paraId="2E94313A">
      <w:pPr>
        <w:bidi w:val="0"/>
        <w:jc w:val="center"/>
        <w:outlineLvl w:val="0"/>
        <w:rPr>
          <w:rFonts w:hint="eastAsia" w:ascii="仿宋" w:hAnsi="仿宋" w:eastAsia="仿宋" w:cs="仿宋"/>
          <w:b/>
          <w:bCs/>
          <w:kern w:val="2"/>
          <w:sz w:val="32"/>
          <w:szCs w:val="32"/>
          <w:lang w:val="en-US" w:eastAsia="zh-CN" w:bidi="ar-SA"/>
        </w:rPr>
      </w:pPr>
    </w:p>
    <w:p w14:paraId="774B5AA4">
      <w:pPr>
        <w:bidi w:val="0"/>
        <w:jc w:val="center"/>
        <w:outlineLvl w:val="0"/>
        <w:rPr>
          <w:rFonts w:hint="eastAsia" w:ascii="仿宋" w:hAnsi="仿宋" w:eastAsia="仿宋" w:cs="仿宋"/>
          <w:b/>
          <w:bCs/>
          <w:kern w:val="2"/>
          <w:sz w:val="32"/>
          <w:szCs w:val="32"/>
          <w:lang w:val="en-US" w:eastAsia="zh-CN" w:bidi="ar-SA"/>
        </w:rPr>
      </w:pPr>
    </w:p>
    <w:p w14:paraId="795900C3">
      <w:pPr>
        <w:bidi w:val="0"/>
        <w:jc w:val="center"/>
        <w:outlineLvl w:val="0"/>
        <w:rPr>
          <w:rFonts w:hint="eastAsia" w:ascii="仿宋" w:hAnsi="仿宋" w:eastAsia="仿宋" w:cs="仿宋"/>
          <w:b/>
          <w:bCs/>
          <w:kern w:val="2"/>
          <w:sz w:val="32"/>
          <w:szCs w:val="32"/>
          <w:lang w:val="en-US" w:eastAsia="zh-CN" w:bidi="ar-SA"/>
        </w:rPr>
      </w:pPr>
    </w:p>
    <w:p w14:paraId="521C4D01">
      <w:pPr>
        <w:bidi w:val="0"/>
        <w:jc w:val="center"/>
        <w:outlineLvl w:val="0"/>
        <w:rPr>
          <w:rFonts w:hint="eastAsia" w:ascii="仿宋" w:hAnsi="仿宋" w:eastAsia="仿宋" w:cs="仿宋"/>
          <w:b/>
          <w:bCs/>
          <w:kern w:val="2"/>
          <w:sz w:val="32"/>
          <w:szCs w:val="32"/>
          <w:lang w:val="en-US" w:eastAsia="zh-CN" w:bidi="ar-SA"/>
        </w:rPr>
      </w:pPr>
    </w:p>
    <w:p w14:paraId="2E5AFC77">
      <w:pPr>
        <w:bidi w:val="0"/>
        <w:jc w:val="center"/>
        <w:outlineLvl w:val="0"/>
        <w:rPr>
          <w:rFonts w:hint="eastAsia" w:ascii="仿宋" w:hAnsi="仿宋" w:eastAsia="仿宋" w:cs="仿宋"/>
          <w:b/>
          <w:bCs/>
          <w:kern w:val="2"/>
          <w:sz w:val="32"/>
          <w:szCs w:val="32"/>
          <w:lang w:val="en-US" w:eastAsia="zh-CN" w:bidi="ar-SA"/>
        </w:rPr>
      </w:pPr>
    </w:p>
    <w:p w14:paraId="36A25872">
      <w:pPr>
        <w:bidi w:val="0"/>
        <w:jc w:val="center"/>
        <w:outlineLvl w:val="0"/>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第六章 投标人须知</w:t>
      </w:r>
      <w:bookmarkEnd w:id="144"/>
    </w:p>
    <w:p w14:paraId="18D6B6D9">
      <w:pPr>
        <w:numPr>
          <w:ilvl w:val="0"/>
          <w:numId w:val="19"/>
        </w:numPr>
        <w:autoSpaceDE w:val="0"/>
        <w:autoSpaceDN w:val="0"/>
        <w:adjustRightInd w:val="0"/>
        <w:snapToGrid w:val="0"/>
        <w:spacing w:line="360" w:lineRule="auto"/>
        <w:outlineLvl w:val="1"/>
        <w:rPr>
          <w:rFonts w:ascii="宋体" w:hAnsi="宋体"/>
          <w:b/>
          <w:bCs/>
          <w:szCs w:val="21"/>
        </w:rPr>
      </w:pPr>
      <w:bookmarkStart w:id="145" w:name="_Toc18101"/>
      <w:r>
        <w:rPr>
          <w:rFonts w:hint="eastAsia" w:ascii="宋体" w:hAnsi="宋体"/>
          <w:b/>
          <w:bCs/>
          <w:szCs w:val="21"/>
        </w:rPr>
        <w:t>适用范围</w:t>
      </w:r>
      <w:bookmarkEnd w:id="145"/>
    </w:p>
    <w:p w14:paraId="5EDB1AA8">
      <w:pPr>
        <w:numPr>
          <w:ilvl w:val="1"/>
          <w:numId w:val="19"/>
        </w:numPr>
        <w:autoSpaceDE w:val="0"/>
        <w:autoSpaceDN w:val="0"/>
        <w:adjustRightInd w:val="0"/>
        <w:snapToGrid w:val="0"/>
        <w:spacing w:line="360" w:lineRule="auto"/>
        <w:ind w:left="567" w:leftChars="0" w:hanging="567" w:firstLineChars="0"/>
        <w:jc w:val="left"/>
        <w:outlineLvl w:val="9"/>
        <w:rPr>
          <w:rFonts w:ascii="宋体" w:hAnsi="宋体"/>
          <w:b/>
          <w:bCs/>
          <w:szCs w:val="21"/>
        </w:rPr>
      </w:pPr>
      <w:r>
        <w:rPr>
          <w:rFonts w:hint="eastAsia" w:ascii="宋体" w:hAnsi="宋体"/>
          <w:szCs w:val="21"/>
        </w:rPr>
        <w:t>本招标文件适用于本投标邀请中所述采购项目。</w:t>
      </w:r>
    </w:p>
    <w:p w14:paraId="64EE1A32">
      <w:pPr>
        <w:numPr>
          <w:ilvl w:val="0"/>
          <w:numId w:val="19"/>
        </w:numPr>
        <w:autoSpaceDE w:val="0"/>
        <w:autoSpaceDN w:val="0"/>
        <w:adjustRightInd w:val="0"/>
        <w:snapToGrid w:val="0"/>
        <w:spacing w:line="360" w:lineRule="auto"/>
        <w:ind w:left="449" w:hanging="449" w:hangingChars="213"/>
        <w:outlineLvl w:val="1"/>
        <w:rPr>
          <w:rFonts w:ascii="宋体" w:hAnsi="宋体"/>
          <w:b/>
          <w:bCs/>
          <w:strike/>
          <w:szCs w:val="21"/>
        </w:rPr>
      </w:pPr>
      <w:bookmarkStart w:id="146" w:name="_Toc25025"/>
      <w:bookmarkStart w:id="147" w:name="_Toc28379"/>
      <w:r>
        <w:rPr>
          <w:rFonts w:hint="eastAsia" w:ascii="宋体" w:hAnsi="宋体"/>
          <w:b/>
          <w:szCs w:val="21"/>
        </w:rPr>
        <w:t>定义</w:t>
      </w:r>
      <w:bookmarkEnd w:id="146"/>
      <w:bookmarkEnd w:id="147"/>
    </w:p>
    <w:p w14:paraId="0A255829">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4A1A471A">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3F95E606">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投标人是指响应招标、参加投标竞争的法人、其他组织或者自然人。</w:t>
      </w:r>
    </w:p>
    <w:p w14:paraId="6D4A744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中标人是指经法定程序确定并授予合同的投标人。</w:t>
      </w:r>
    </w:p>
    <w:p w14:paraId="2DDE22FB">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48" w:name="_Toc4681"/>
      <w:bookmarkStart w:id="149" w:name="_Toc25812"/>
      <w:r>
        <w:rPr>
          <w:rFonts w:hint="eastAsia" w:ascii="宋体" w:hAnsi="宋体"/>
          <w:b/>
          <w:bCs/>
          <w:szCs w:val="21"/>
        </w:rPr>
        <w:t>合格的货物和服务</w:t>
      </w:r>
      <w:bookmarkEnd w:id="148"/>
      <w:bookmarkEnd w:id="149"/>
    </w:p>
    <w:p w14:paraId="0AAD99F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招标文件要求的货物等。投标的货物必须是其合法生产、合法来源的符合国家有关标准要求的货物，并满足招标文件规定的规格、参数、质量、价格、有效期、售后服务等要求。</w:t>
      </w:r>
    </w:p>
    <w:p w14:paraId="741248F0">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“服务”是指除货物和工程以外的其他政府采购对象，其中包括：投标人须承担的运输、安装、技术支持、培训以及招标文件规定的其它服务。</w:t>
      </w:r>
    </w:p>
    <w:p w14:paraId="2BED8733">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11B9DB51">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0212B8A2">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50" w:name="_Toc22118"/>
      <w:bookmarkStart w:id="151" w:name="_Toc27847"/>
      <w:r>
        <w:rPr>
          <w:rFonts w:hint="eastAsia" w:ascii="宋体" w:hAnsi="宋体"/>
          <w:b/>
          <w:bCs/>
          <w:szCs w:val="21"/>
        </w:rPr>
        <w:t>其他</w:t>
      </w:r>
      <w:bookmarkEnd w:id="150"/>
      <w:bookmarkEnd w:id="151"/>
    </w:p>
    <w:p w14:paraId="77884A0C">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72CC4B24">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4586124A">
      <w:pPr>
        <w:numPr>
          <w:ilvl w:val="1"/>
          <w:numId w:val="19"/>
        </w:numPr>
        <w:adjustRightInd w:val="0"/>
        <w:snapToGrid w:val="0"/>
        <w:spacing w:line="360" w:lineRule="auto"/>
        <w:rPr>
          <w:rFonts w:cs="宋体" w:asciiTheme="minorEastAsia" w:hAnsiTheme="minorEastAsia" w:eastAsiaTheme="minorEastAsia"/>
          <w:bCs/>
          <w:color w:val="auto"/>
          <w:szCs w:val="21"/>
          <w:highlight w:val="none"/>
        </w:rPr>
      </w:pPr>
      <w:bookmarkStart w:id="152"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153" w:name="_Hlk21591509"/>
      <w:r>
        <w:rPr>
          <w:rFonts w:hint="eastAsia" w:asciiTheme="minorEastAsia" w:hAnsiTheme="minorEastAsia" w:eastAsiaTheme="minorEastAsia"/>
          <w:color w:val="auto"/>
          <w:szCs w:val="21"/>
          <w:highlight w:val="none"/>
        </w:rPr>
        <w:t>供应商限制参与政府采购</w:t>
      </w:r>
      <w:bookmarkEnd w:id="153"/>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152"/>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73331FA">
      <w:pPr>
        <w:pStyle w:val="4"/>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bookmarkStart w:id="154" w:name="_Toc15267"/>
      <w:bookmarkStart w:id="155" w:name="_Toc435516652"/>
      <w:bookmarkStart w:id="156" w:name="_Toc438223138"/>
      <w:bookmarkStart w:id="157" w:name="_Toc435174935"/>
      <w:bookmarkStart w:id="158" w:name="_Toc15510"/>
      <w:bookmarkStart w:id="159" w:name="_Toc22222"/>
      <w:r>
        <w:rPr>
          <w:rFonts w:hint="eastAsia" w:asciiTheme="majorEastAsia" w:hAnsiTheme="majorEastAsia" w:eastAsiaTheme="majorEastAsia"/>
          <w:sz w:val="30"/>
          <w:szCs w:val="30"/>
          <w:lang w:eastAsia="zh-TW"/>
        </w:rPr>
        <w:t>投标文件的编制</w:t>
      </w:r>
      <w:bookmarkEnd w:id="154"/>
      <w:bookmarkEnd w:id="155"/>
      <w:bookmarkEnd w:id="156"/>
      <w:bookmarkEnd w:id="157"/>
      <w:bookmarkEnd w:id="158"/>
      <w:bookmarkEnd w:id="159"/>
    </w:p>
    <w:p w14:paraId="57AC9B53">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60" w:name="_Toc27393"/>
      <w:bookmarkStart w:id="161" w:name="_Toc27317"/>
      <w:r>
        <w:rPr>
          <w:rFonts w:hint="eastAsia" w:ascii="宋体" w:hAnsi="宋体"/>
          <w:b/>
          <w:bCs/>
          <w:szCs w:val="21"/>
        </w:rPr>
        <w:t>投标的语言</w:t>
      </w:r>
      <w:bookmarkEnd w:id="160"/>
      <w:bookmarkEnd w:id="161"/>
    </w:p>
    <w:p w14:paraId="61E8CF1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052EFBF9">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62" w:name="_Toc9264"/>
      <w:bookmarkStart w:id="163" w:name="_Toc2446"/>
      <w:r>
        <w:rPr>
          <w:rFonts w:hint="eastAsia" w:ascii="宋体" w:hAnsi="宋体"/>
          <w:b/>
          <w:bCs/>
          <w:szCs w:val="21"/>
        </w:rPr>
        <w:t>投标文件的构成</w:t>
      </w:r>
      <w:bookmarkEnd w:id="162"/>
      <w:bookmarkEnd w:id="163"/>
    </w:p>
    <w:p w14:paraId="124B46D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3FCDF00">
      <w:pPr>
        <w:numPr>
          <w:ilvl w:val="1"/>
          <w:numId w:val="19"/>
        </w:numPr>
        <w:autoSpaceDE w:val="0"/>
        <w:autoSpaceDN w:val="0"/>
        <w:adjustRightInd w:val="0"/>
        <w:snapToGrid w:val="0"/>
        <w:spacing w:line="360" w:lineRule="auto"/>
        <w:ind w:left="567" w:leftChars="0" w:hanging="567" w:firstLineChars="0"/>
        <w:outlineLvl w:val="9"/>
        <w:rPr>
          <w:rFonts w:ascii="宋体" w:hAnsi="宋体" w:cs="宋体"/>
          <w:szCs w:val="21"/>
        </w:rPr>
      </w:pPr>
      <w:r>
        <w:rPr>
          <w:rFonts w:hint="eastAsia" w:ascii="宋体" w:hAnsi="宋体" w:cs="宋体"/>
          <w:szCs w:val="21"/>
        </w:rPr>
        <w:t>投标文件的构成应符合法律法规及招标文件的要求。</w:t>
      </w:r>
    </w:p>
    <w:p w14:paraId="25D109D6">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64" w:name="_Toc11091"/>
      <w:bookmarkStart w:id="165" w:name="_Toc15057"/>
      <w:r>
        <w:rPr>
          <w:rFonts w:hint="eastAsia" w:ascii="宋体" w:hAnsi="宋体"/>
          <w:b/>
          <w:bCs/>
          <w:szCs w:val="21"/>
        </w:rPr>
        <w:t>投标文件的编写</w:t>
      </w:r>
      <w:bookmarkEnd w:id="164"/>
      <w:bookmarkEnd w:id="165"/>
    </w:p>
    <w:p w14:paraId="1585131E">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招标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7C682DD4">
      <w:pPr>
        <w:numPr>
          <w:ilvl w:val="1"/>
          <w:numId w:val="19"/>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652635BC">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如果因为投标人的投标文件只填写和提供了本招标文件要求的部分内容和附件，或没有提供招标文件中所要求的资料及数据，由此造成的后果和责任由投标人承担。</w:t>
      </w:r>
    </w:p>
    <w:p w14:paraId="262E537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招标文件的全部内容（包括所有的补充、修改内容重要事项、格式、条款和技术规范、参数及要求等）。投标人没有按照招标文件要求提交资料，或者投标文件没有对招标文件在各方面都作出实质性响应是投标人的风险，有可能导致其投标被认定为无效投标或被确定为投标无效。</w:t>
      </w:r>
    </w:p>
    <w:p w14:paraId="2F30656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66" w:name="_Toc7497"/>
      <w:bookmarkStart w:id="167" w:name="_Toc31439"/>
      <w:r>
        <w:rPr>
          <w:rFonts w:hint="eastAsia" w:ascii="宋体" w:hAnsi="宋体"/>
          <w:b/>
          <w:bCs/>
          <w:szCs w:val="21"/>
        </w:rPr>
        <w:t>投标报价</w:t>
      </w:r>
      <w:bookmarkEnd w:id="166"/>
      <w:bookmarkEnd w:id="167"/>
    </w:p>
    <w:p w14:paraId="3BF7480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1C5D61E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629F2CDA">
      <w:pPr>
        <w:numPr>
          <w:ilvl w:val="2"/>
          <w:numId w:val="19"/>
        </w:numPr>
        <w:tabs>
          <w:tab w:val="left" w:pos="851"/>
          <w:tab w:val="clear" w:pos="567"/>
        </w:tabs>
        <w:autoSpaceDE w:val="0"/>
        <w:autoSpaceDN w:val="0"/>
        <w:adjustRightInd w:val="0"/>
        <w:snapToGrid w:val="0"/>
        <w:spacing w:line="360" w:lineRule="auto"/>
        <w:ind w:left="1481" w:leftChars="0" w:hanging="851" w:firstLineChars="0"/>
        <w:jc w:val="left"/>
        <w:rPr>
          <w:rFonts w:ascii="宋体" w:hAnsi="宋体" w:cs="宋体"/>
          <w:szCs w:val="21"/>
        </w:rPr>
      </w:pPr>
      <w:r>
        <w:rPr>
          <w:rFonts w:hint="eastAsia" w:ascii="宋体" w:hAnsi="宋体" w:cs="宋体"/>
          <w:szCs w:val="21"/>
        </w:rPr>
        <w:t>按招标文件的要求全部货物及服务内容所需的所有费用，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运输、保险、安装、伴随服务、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提供境外的货物，还应包括货物从境外进口己缴纳或应缴纳的全部关税、增值税和其它税、报货物境外离岸价格、国外运输费、国外运输保险费等费用。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3D46FEE4">
      <w:pPr>
        <w:numPr>
          <w:ilvl w:val="2"/>
          <w:numId w:val="19"/>
        </w:numPr>
        <w:tabs>
          <w:tab w:val="left" w:pos="851"/>
        </w:tabs>
        <w:autoSpaceDE w:val="0"/>
        <w:autoSpaceDN w:val="0"/>
        <w:adjustRightInd w:val="0"/>
        <w:snapToGrid w:val="0"/>
        <w:spacing w:line="360" w:lineRule="auto"/>
        <w:ind w:left="1197" w:leftChars="0" w:hanging="567" w:firstLineChars="0"/>
        <w:jc w:val="left"/>
        <w:outlineLvl w:val="9"/>
        <w:rPr>
          <w:rFonts w:ascii="宋体" w:hAnsi="宋体" w:cs="宋体"/>
          <w:szCs w:val="21"/>
        </w:rPr>
      </w:pPr>
      <w:r>
        <w:rPr>
          <w:rFonts w:hint="eastAsia" w:ascii="宋体" w:hAnsi="宋体" w:cs="宋体"/>
          <w:szCs w:val="21"/>
        </w:rPr>
        <w:t>对于报价免费的内容须标明“免费”。</w:t>
      </w:r>
    </w:p>
    <w:p w14:paraId="4B52FB9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7EB9FB37">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14:paraId="4672EAA0">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有规定外，本次招标不接受具有附加条件的报价，</w:t>
      </w:r>
      <w:r>
        <w:rPr>
          <w:rFonts w:hint="eastAsia" w:ascii="宋体" w:hAnsi="宋体" w:cs="宋体"/>
          <w:szCs w:val="21"/>
        </w:rPr>
        <w:t>否则将被视为无效投标。</w:t>
      </w:r>
    </w:p>
    <w:p w14:paraId="5A5D30E8">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68" w:name="_Toc4068"/>
      <w:bookmarkStart w:id="169" w:name="_Toc2827"/>
      <w:r>
        <w:rPr>
          <w:rFonts w:hint="eastAsia" w:ascii="宋体" w:hAnsi="宋体"/>
          <w:b/>
          <w:bCs/>
          <w:szCs w:val="21"/>
        </w:rPr>
        <w:t>投标货币</w:t>
      </w:r>
      <w:bookmarkEnd w:id="168"/>
      <w:bookmarkEnd w:id="169"/>
    </w:p>
    <w:p w14:paraId="70F1EB46">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投标人所提供的货物和服务均应以人民币报价。</w:t>
      </w:r>
    </w:p>
    <w:p w14:paraId="76A8B4F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70" w:name="_Toc23174"/>
      <w:bookmarkStart w:id="171" w:name="_Toc28522"/>
      <w:r>
        <w:rPr>
          <w:rFonts w:hint="eastAsia" w:ascii="宋体" w:hAnsi="宋体"/>
          <w:b/>
          <w:bCs/>
          <w:szCs w:val="21"/>
        </w:rPr>
        <w:t>联合体投标</w:t>
      </w:r>
      <w:bookmarkEnd w:id="170"/>
      <w:bookmarkEnd w:id="171"/>
    </w:p>
    <w:p w14:paraId="4D0D6EA3">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694DA57">
      <w:pPr>
        <w:numPr>
          <w:ilvl w:val="2"/>
          <w:numId w:val="19"/>
        </w:numPr>
        <w:autoSpaceDE w:val="0"/>
        <w:autoSpaceDN w:val="0"/>
        <w:adjustRightInd w:val="0"/>
        <w:snapToGrid w:val="0"/>
        <w:spacing w:line="360" w:lineRule="auto"/>
        <w:ind w:left="1197" w:leftChars="0" w:firstLineChars="0"/>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265E723C">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7FF89113">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A75C569">
      <w:pPr>
        <w:numPr>
          <w:ilvl w:val="2"/>
          <w:numId w:val="19"/>
        </w:numPr>
        <w:tabs>
          <w:tab w:val="left" w:pos="851"/>
        </w:tabs>
        <w:autoSpaceDE w:val="0"/>
        <w:autoSpaceDN w:val="0"/>
        <w:adjustRightInd w:val="0"/>
        <w:snapToGrid w:val="0"/>
        <w:spacing w:line="360" w:lineRule="auto"/>
        <w:ind w:left="1197" w:leftChars="0" w:firstLineChars="0"/>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27C54267">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72" w:name="_Toc14020"/>
      <w:bookmarkStart w:id="173" w:name="_Toc23227"/>
      <w:r>
        <w:rPr>
          <w:rFonts w:hint="eastAsia" w:ascii="宋体" w:hAnsi="宋体"/>
          <w:b/>
          <w:bCs/>
          <w:szCs w:val="21"/>
        </w:rPr>
        <w:t>证明投标人合格和资格的文件</w:t>
      </w:r>
      <w:bookmarkEnd w:id="172"/>
      <w:bookmarkEnd w:id="173"/>
    </w:p>
    <w:p w14:paraId="781B08C4">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16C35417">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535F387F">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74" w:name="_Toc17198"/>
      <w:bookmarkStart w:id="175" w:name="_Toc2187"/>
      <w:r>
        <w:rPr>
          <w:rFonts w:ascii="宋体" w:hAnsi="宋体"/>
          <w:b/>
          <w:bCs/>
          <w:szCs w:val="21"/>
        </w:rPr>
        <w:t>证明投标标的的合格性和符合招标文件规定的文件</w:t>
      </w:r>
      <w:bookmarkEnd w:id="174"/>
      <w:bookmarkEnd w:id="175"/>
    </w:p>
    <w:p w14:paraId="470E113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投标人应提交证明文件，证明其拟投标的货物和服务的合格性符合招标文件规定。该证明文件作为投标文件的一部分。</w:t>
      </w:r>
    </w:p>
    <w:p w14:paraId="06822F0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065683E1">
      <w:pPr>
        <w:numPr>
          <w:ilvl w:val="1"/>
          <w:numId w:val="19"/>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明货物和服务与招标文件的要求相一致的文件，可以是文字资料、图纸和数据。</w:t>
      </w:r>
    </w:p>
    <w:p w14:paraId="365DDB0A">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76" w:name="_Toc20270"/>
      <w:bookmarkStart w:id="177" w:name="_Toc18309"/>
      <w:r>
        <w:rPr>
          <w:rFonts w:hint="eastAsia" w:ascii="宋体" w:hAnsi="宋体"/>
          <w:b/>
          <w:bCs/>
          <w:szCs w:val="21"/>
        </w:rPr>
        <w:t>投标文件的式样和签署、密封</w:t>
      </w:r>
      <w:bookmarkEnd w:id="176"/>
      <w:bookmarkEnd w:id="177"/>
    </w:p>
    <w:p w14:paraId="0D1EC28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招标须知</w:t>
      </w:r>
      <w:r>
        <w:rPr>
          <w:rFonts w:hint="eastAsia" w:ascii="宋体" w:hAnsi="宋体" w:cs="宋体"/>
          <w:szCs w:val="21"/>
        </w:rPr>
        <w:t>中规定数目的纸质副本。投标文件的副本可采用正本的复印件</w:t>
      </w:r>
      <w:r>
        <w:rPr>
          <w:rFonts w:hint="eastAsia" w:ascii="宋体" w:hAnsi="宋体" w:cs="宋体"/>
          <w:szCs w:val="21"/>
          <w:lang w:val="en-US" w:eastAsia="zh-CN"/>
        </w:rPr>
        <w:t>加盖骑缝章</w:t>
      </w:r>
      <w:r>
        <w:rPr>
          <w:rFonts w:hint="eastAsia" w:ascii="宋体" w:hAnsi="宋体" w:cs="宋体"/>
          <w:szCs w:val="21"/>
        </w:rPr>
        <w:t>。每套投标文件须清楚地标明“正本”或“副本”。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5331447A">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电子文件：是指将按招标文件要求签署、盖章后的正本投标文件扫描成PDF格式后拷贝至无病毒无密码的U盘，若电子文件与正本不符，以正本为准。</w:t>
      </w:r>
    </w:p>
    <w:p w14:paraId="7D6D7A20">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6ED0B3F6">
      <w:pPr>
        <w:numPr>
          <w:ilvl w:val="2"/>
          <w:numId w:val="19"/>
        </w:numPr>
        <w:autoSpaceDE w:val="0"/>
        <w:autoSpaceDN w:val="0"/>
        <w:adjustRightInd w:val="0"/>
        <w:snapToGrid w:val="0"/>
        <w:spacing w:line="360" w:lineRule="auto"/>
        <w:ind w:left="1481" w:leftChars="0" w:hanging="851" w:firstLineChars="0"/>
        <w:rPr>
          <w:rFonts w:ascii="宋体" w:hAnsi="宋体"/>
          <w:szCs w:val="21"/>
        </w:rPr>
      </w:pPr>
      <w:r>
        <w:rPr>
          <w:rFonts w:hint="eastAsia" w:ascii="宋体" w:hAnsi="宋体" w:cs="宋体"/>
          <w:szCs w:val="21"/>
        </w:rPr>
        <w:t>投标文件的正本需打印或用不褪色墨水书写，且招标文件要求签名的由法定代表人或经其正式授权的代表签字或盖章，以及招标文件中明示盖公章处及要求提供的证明材料应盖投标人公章，副本可以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5B2E63F4">
      <w:pPr>
        <w:numPr>
          <w:ilvl w:val="2"/>
          <w:numId w:val="19"/>
        </w:numPr>
        <w:tabs>
          <w:tab w:val="left" w:pos="851"/>
        </w:tabs>
        <w:autoSpaceDE w:val="0"/>
        <w:autoSpaceDN w:val="0"/>
        <w:adjustRightInd w:val="0"/>
        <w:snapToGrid w:val="0"/>
        <w:spacing w:line="360" w:lineRule="auto"/>
        <w:ind w:left="1481" w:leftChars="0" w:hanging="851" w:firstLineChars="0"/>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763ECCB5">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7C6CD9EF">
      <w:pPr>
        <w:numPr>
          <w:ilvl w:val="2"/>
          <w:numId w:val="19"/>
        </w:numPr>
        <w:tabs>
          <w:tab w:val="left" w:pos="851"/>
        </w:tabs>
        <w:autoSpaceDE w:val="0"/>
        <w:autoSpaceDN w:val="0"/>
        <w:adjustRightInd w:val="0"/>
        <w:snapToGrid w:val="0"/>
        <w:spacing w:line="360" w:lineRule="auto"/>
        <w:ind w:left="1197" w:leftChars="0" w:firstLineChars="0"/>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rPr>
        <w:t>招标文件中规定的开标日期和时间</w:t>
      </w:r>
      <w:r>
        <w:rPr>
          <w:rFonts w:ascii="宋体" w:hAnsi="宋体" w:cs="宋体"/>
          <w:szCs w:val="21"/>
        </w:rPr>
        <w:t>)</w:t>
      </w:r>
      <w:r>
        <w:rPr>
          <w:rFonts w:hint="eastAsia" w:ascii="宋体" w:hAnsi="宋体" w:cs="宋体"/>
          <w:szCs w:val="21"/>
        </w:rPr>
        <w:t>之前不得启封”的字样。</w:t>
      </w:r>
    </w:p>
    <w:p w14:paraId="2B848BE2">
      <w:pPr>
        <w:spacing w:line="360" w:lineRule="auto"/>
        <w:ind w:left="359" w:leftChars="171" w:firstLine="420" w:firstLineChars="200"/>
        <w:rPr>
          <w:rFonts w:ascii="宋体" w:hAnsi="宋体"/>
          <w:szCs w:val="21"/>
        </w:rPr>
      </w:pPr>
    </w:p>
    <w:p w14:paraId="536B2CDD">
      <w:pPr>
        <w:bidi w:val="0"/>
        <w:jc w:val="both"/>
        <w:rPr>
          <w:rFonts w:hint="eastAsia" w:ascii="Times New Roman" w:hAnsi="Times New Roman" w:eastAsia="宋体" w:cs="Times New Roman"/>
          <w:b/>
          <w:bCs/>
          <w:sz w:val="32"/>
          <w:szCs w:val="32"/>
          <w:lang w:val="en-US" w:eastAsia="zh-CN"/>
        </w:rPr>
      </w:pPr>
      <w:bookmarkStart w:id="178" w:name="_Toc23054"/>
    </w:p>
    <w:bookmarkEnd w:id="178"/>
    <w:p w14:paraId="2761954F">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179" w:name="_Toc28883"/>
      <w:bookmarkStart w:id="180" w:name="_Toc21758"/>
      <w:bookmarkStart w:id="181" w:name="_Toc30738"/>
      <w:bookmarkStart w:id="182" w:name="_Toc438223139"/>
      <w:bookmarkStart w:id="183" w:name="_Toc5252"/>
      <w:bookmarkStart w:id="184" w:name="_Toc435174936"/>
      <w:bookmarkStart w:id="185" w:name="_Toc435516653"/>
      <w:r>
        <w:rPr>
          <w:rFonts w:hint="eastAsia" w:asciiTheme="majorEastAsia" w:hAnsiTheme="majorEastAsia" w:eastAsiaTheme="majorEastAsia"/>
          <w:sz w:val="30"/>
          <w:szCs w:val="30"/>
          <w:lang w:eastAsia="zh-TW"/>
        </w:rPr>
        <w:t>投标文件的递交</w:t>
      </w:r>
      <w:bookmarkEnd w:id="179"/>
      <w:bookmarkEnd w:id="180"/>
      <w:bookmarkEnd w:id="181"/>
      <w:bookmarkEnd w:id="182"/>
      <w:bookmarkEnd w:id="183"/>
      <w:bookmarkEnd w:id="184"/>
      <w:bookmarkEnd w:id="185"/>
    </w:p>
    <w:p w14:paraId="34019736">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86" w:name="_Toc27881"/>
      <w:bookmarkStart w:id="187" w:name="_Toc13202"/>
      <w:r>
        <w:rPr>
          <w:rFonts w:hint="eastAsia" w:ascii="宋体" w:hAnsi="宋体"/>
          <w:b/>
          <w:bCs/>
          <w:szCs w:val="21"/>
        </w:rPr>
        <w:t>投标文件递交</w:t>
      </w:r>
      <w:bookmarkEnd w:id="186"/>
      <w:bookmarkEnd w:id="187"/>
    </w:p>
    <w:p w14:paraId="6CF7C752">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逾期送达或者未按照招标文件要求密封的投标文件，采购人应当拒收。</w:t>
      </w:r>
    </w:p>
    <w:p w14:paraId="5FB9A843">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88" w:name="_Toc22017"/>
      <w:bookmarkStart w:id="189" w:name="_Toc29314"/>
      <w:r>
        <w:rPr>
          <w:rFonts w:hint="eastAsia" w:ascii="宋体" w:hAnsi="宋体"/>
          <w:b/>
          <w:bCs/>
          <w:szCs w:val="21"/>
        </w:rPr>
        <w:t>投标文件的修改和撤回、撤销</w:t>
      </w:r>
      <w:bookmarkEnd w:id="188"/>
      <w:bookmarkEnd w:id="189"/>
    </w:p>
    <w:p w14:paraId="6E8E5B6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招标文件要求签署、盖章、密封后，并作为投标文件的组成部分。在投标截止时间之后，投标人不得对其投标文件做任何修改和补充。</w:t>
      </w:r>
    </w:p>
    <w:p w14:paraId="00F01FD5">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投标人在投标截止后或在招标文件中规定的投标有效期内不可撤销其投标。</w:t>
      </w:r>
      <w:r>
        <w:rPr>
          <w:rFonts w:hint="eastAsia" w:ascii="宋体" w:hAnsi="宋体"/>
        </w:rPr>
        <w:t>投标人所提交的投标文件在本项目投标截止时间后均不予退还。</w:t>
      </w:r>
    </w:p>
    <w:p w14:paraId="07A1948D">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90" w:name="_Toc31046"/>
      <w:bookmarkStart w:id="191" w:name="_Toc18853"/>
      <w:r>
        <w:rPr>
          <w:rFonts w:hint="eastAsia" w:ascii="宋体" w:hAnsi="宋体"/>
          <w:b/>
          <w:bCs/>
          <w:szCs w:val="21"/>
        </w:rPr>
        <w:t>质疑</w:t>
      </w:r>
      <w:bookmarkEnd w:id="190"/>
      <w:bookmarkEnd w:id="191"/>
    </w:p>
    <w:p w14:paraId="6D72A899">
      <w:pPr>
        <w:numPr>
          <w:ilvl w:val="1"/>
          <w:numId w:val="19"/>
        </w:numPr>
        <w:autoSpaceDE w:val="0"/>
        <w:autoSpaceDN w:val="0"/>
        <w:adjustRightInd w:val="0"/>
        <w:snapToGrid w:val="0"/>
        <w:spacing w:line="360" w:lineRule="auto"/>
        <w:outlineLvl w:val="2"/>
        <w:rPr>
          <w:rFonts w:ascii="宋体" w:hAnsi="宋体" w:cs="黑体"/>
          <w:bCs/>
          <w:szCs w:val="21"/>
        </w:rPr>
      </w:pPr>
      <w:bookmarkStart w:id="192" w:name="_Toc4733"/>
      <w:r>
        <w:rPr>
          <w:rFonts w:hint="eastAsia" w:ascii="宋体" w:hAnsi="宋体" w:cs="黑体"/>
          <w:bCs/>
          <w:szCs w:val="21"/>
        </w:rPr>
        <w:t>质疑</w:t>
      </w:r>
      <w:bookmarkEnd w:id="192"/>
    </w:p>
    <w:p w14:paraId="40FAED7F">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质疑期限：</w:t>
      </w:r>
    </w:p>
    <w:p w14:paraId="495E23B1">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提交要求：</w:t>
      </w:r>
    </w:p>
    <w:p w14:paraId="119713E8">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19"/>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19"/>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19"/>
        </w:numPr>
        <w:autoSpaceDE w:val="0"/>
        <w:autoSpaceDN w:val="0"/>
        <w:adjustRightInd w:val="0"/>
        <w:snapToGrid w:val="0"/>
        <w:spacing w:line="360" w:lineRule="auto"/>
        <w:ind w:left="1481" w:leftChars="0" w:hanging="851" w:firstLineChars="0"/>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33CF95A0">
      <w:pPr>
        <w:numPr>
          <w:ilvl w:val="2"/>
          <w:numId w:val="19"/>
        </w:numPr>
        <w:autoSpaceDE w:val="0"/>
        <w:autoSpaceDN w:val="0"/>
        <w:adjustRightInd w:val="0"/>
        <w:snapToGrid w:val="0"/>
        <w:spacing w:line="360" w:lineRule="auto"/>
        <w:ind w:left="1481" w:leftChars="0" w:hanging="851" w:firstLineChars="0"/>
        <w:rPr>
          <w:rFonts w:ascii="宋体" w:hAnsi="宋体"/>
          <w:b/>
          <w:bCs/>
          <w:szCs w:val="21"/>
        </w:rPr>
      </w:pPr>
      <w:r>
        <w:rPr>
          <w:rFonts w:hint="eastAsia" w:hAnsi="宋体"/>
          <w:snapToGrid w:val="0"/>
          <w:szCs w:val="21"/>
        </w:rPr>
        <w:t>提出质疑的供应商应当是参与所质疑项目采购活动的供应商。</w:t>
      </w:r>
      <w:bookmarkStart w:id="193" w:name="_Toc19729"/>
    </w:p>
    <w:p w14:paraId="47FF4773">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76530484">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CN" w:bidi="ar-SA"/>
        </w:rPr>
      </w:pPr>
      <w:bookmarkStart w:id="194" w:name="_Toc8643"/>
      <w:r>
        <w:rPr>
          <w:rFonts w:hint="eastAsia" w:cs="Times New Roman" w:asciiTheme="majorEastAsia" w:hAnsiTheme="majorEastAsia" w:eastAsiaTheme="majorEastAsia"/>
          <w:kern w:val="2"/>
          <w:sz w:val="30"/>
          <w:szCs w:val="30"/>
          <w:lang w:val="en-US" w:eastAsia="zh-TW" w:bidi="ar-SA"/>
        </w:rPr>
        <w:t>开标</w:t>
      </w:r>
      <w:bookmarkEnd w:id="194"/>
    </w:p>
    <w:p w14:paraId="7FCEBC12">
      <w:pPr>
        <w:numPr>
          <w:ilvl w:val="0"/>
          <w:numId w:val="19"/>
        </w:numPr>
        <w:autoSpaceDE w:val="0"/>
        <w:autoSpaceDN w:val="0"/>
        <w:adjustRightInd w:val="0"/>
        <w:snapToGrid w:val="0"/>
        <w:spacing w:line="360" w:lineRule="auto"/>
        <w:ind w:left="449" w:hanging="449" w:hangingChars="213"/>
        <w:outlineLvl w:val="1"/>
        <w:rPr>
          <w:rFonts w:hint="eastAsia" w:ascii="宋体" w:hAnsi="宋体" w:eastAsia="宋体" w:cs="Times New Roman"/>
          <w:b/>
          <w:bCs/>
          <w:szCs w:val="21"/>
        </w:rPr>
      </w:pPr>
      <w:bookmarkStart w:id="195" w:name="_Toc30947"/>
      <w:r>
        <w:rPr>
          <w:rFonts w:hint="eastAsia" w:ascii="宋体" w:hAnsi="宋体" w:eastAsia="宋体" w:cs="Times New Roman"/>
          <w:b/>
          <w:bCs/>
          <w:szCs w:val="21"/>
        </w:rPr>
        <w:t>开标</w:t>
      </w:r>
      <w:bookmarkEnd w:id="195"/>
    </w:p>
    <w:p w14:paraId="2C46141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按公告规定的时间和地点组织公开开标，投标人不足3家的，不得开标。投标人未参加开标的，视同认可开标结果。</w:t>
      </w:r>
    </w:p>
    <w:p w14:paraId="72F491F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开标时，查验投标文件密封情况，确认无误后当众拆封进行唱标，如投标人未单独密封包装《开标一览表》，招标</w:t>
      </w:r>
      <w:r>
        <w:rPr>
          <w:rFonts w:hint="eastAsia" w:ascii="宋体" w:hAnsi="宋体" w:eastAsia="宋体" w:cs="宋体"/>
          <w:szCs w:val="21"/>
          <w:lang w:val="en-US" w:eastAsia="zh-CN"/>
        </w:rPr>
        <w:t>采购办</w:t>
      </w:r>
      <w:r>
        <w:rPr>
          <w:rFonts w:hint="eastAsia" w:ascii="宋体" w:hAnsi="宋体" w:eastAsia="宋体" w:cs="宋体"/>
          <w:szCs w:val="21"/>
        </w:rPr>
        <w:t>有权拆封投标文件唱标</w:t>
      </w:r>
      <w:r>
        <w:rPr>
          <w:rFonts w:hint="eastAsia" w:ascii="宋体" w:hAnsi="宋体" w:eastAsia="宋体" w:cs="宋体"/>
          <w:szCs w:val="21"/>
          <w:lang w:eastAsia="zh-CN"/>
        </w:rPr>
        <w:t>。</w:t>
      </w:r>
    </w:p>
    <w:p w14:paraId="4D249D9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lang w:val="en-US" w:eastAsia="zh-CN"/>
        </w:rPr>
        <w:t>招标采购办</w:t>
      </w:r>
      <w:r>
        <w:rPr>
          <w:rFonts w:hint="eastAsia" w:ascii="宋体" w:hAnsi="宋体" w:eastAsia="宋体" w:cs="宋体"/>
          <w:szCs w:val="21"/>
        </w:rPr>
        <w:t>将当众宣读投标人名称</w:t>
      </w:r>
      <w:r>
        <w:rPr>
          <w:rFonts w:hint="eastAsia" w:ascii="宋体" w:hAnsi="宋体" w:eastAsia="宋体" w:cs="宋体"/>
          <w:szCs w:val="21"/>
          <w:lang w:eastAsia="zh-CN"/>
        </w:rPr>
        <w:t>、</w:t>
      </w:r>
      <w:r>
        <w:rPr>
          <w:rFonts w:hint="eastAsia" w:ascii="宋体" w:hAnsi="宋体" w:eastAsia="宋体" w:cs="宋体"/>
          <w:szCs w:val="21"/>
        </w:rPr>
        <w:t>开标一览表（以招标文件规定的开标一览表内容为准）。</w:t>
      </w:r>
    </w:p>
    <w:p w14:paraId="25E897A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投标文件中开标一览表内容与投标报价明细表内容不一致的，以开标一览表为准。</w:t>
      </w:r>
    </w:p>
    <w:p w14:paraId="758EFF46">
      <w:pPr>
        <w:widowControl w:val="0"/>
        <w:numPr>
          <w:ilvl w:val="0"/>
          <w:numId w:val="0"/>
        </w:numPr>
        <w:tabs>
          <w:tab w:val="left" w:pos="425"/>
        </w:tabs>
        <w:autoSpaceDE w:val="0"/>
        <w:autoSpaceDN w:val="0"/>
        <w:adjustRightInd w:val="0"/>
        <w:snapToGrid w:val="0"/>
        <w:spacing w:line="360" w:lineRule="auto"/>
        <w:jc w:val="center"/>
        <w:outlineLvl w:val="9"/>
        <w:rPr>
          <w:rFonts w:ascii="宋体" w:hAnsi="宋体"/>
          <w:b/>
          <w:bCs/>
          <w:szCs w:val="21"/>
        </w:rPr>
      </w:pPr>
    </w:p>
    <w:p w14:paraId="22097D9E">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TW" w:bidi="ar-SA"/>
        </w:rPr>
      </w:pPr>
      <w:bookmarkStart w:id="196" w:name="_Toc25498"/>
      <w:r>
        <w:rPr>
          <w:rFonts w:hint="eastAsia" w:cs="Times New Roman" w:asciiTheme="majorEastAsia" w:hAnsiTheme="majorEastAsia" w:eastAsiaTheme="majorEastAsia"/>
          <w:kern w:val="2"/>
          <w:sz w:val="30"/>
          <w:szCs w:val="30"/>
          <w:lang w:val="en-US" w:eastAsia="zh-TW" w:bidi="ar-SA"/>
        </w:rPr>
        <w:t>评审</w:t>
      </w:r>
      <w:r>
        <w:rPr>
          <w:rFonts w:hint="eastAsia" w:cs="Times New Roman" w:asciiTheme="majorEastAsia" w:hAnsiTheme="majorEastAsia" w:eastAsiaTheme="majorEastAsia"/>
          <w:kern w:val="2"/>
          <w:sz w:val="30"/>
          <w:szCs w:val="30"/>
          <w:lang w:val="en-US" w:eastAsia="zh-CN" w:bidi="ar-SA"/>
        </w:rPr>
        <w:t>要求</w:t>
      </w:r>
      <w:bookmarkEnd w:id="196"/>
    </w:p>
    <w:p w14:paraId="3FFA76E1">
      <w:pPr>
        <w:numPr>
          <w:ilvl w:val="0"/>
          <w:numId w:val="19"/>
        </w:numPr>
        <w:autoSpaceDE w:val="0"/>
        <w:autoSpaceDN w:val="0"/>
        <w:adjustRightInd w:val="0"/>
        <w:snapToGrid w:val="0"/>
        <w:spacing w:line="360" w:lineRule="auto"/>
        <w:ind w:left="449" w:hanging="449" w:hangingChars="213"/>
        <w:outlineLvl w:val="1"/>
        <w:rPr>
          <w:rFonts w:hint="eastAsia"/>
          <w:lang w:val="en-US" w:eastAsia="zh-CN"/>
        </w:rPr>
      </w:pPr>
      <w:bookmarkStart w:id="197" w:name="_Toc5729"/>
      <w:r>
        <w:rPr>
          <w:rFonts w:hint="eastAsia" w:ascii="宋体" w:hAnsi="宋体"/>
          <w:b/>
          <w:bCs/>
          <w:szCs w:val="21"/>
        </w:rPr>
        <w:t>评标委员会的组成</w:t>
      </w:r>
      <w:bookmarkEnd w:id="197"/>
    </w:p>
    <w:p w14:paraId="23E57EB4">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评标委员会依法组建，由5人单数组成。</w:t>
      </w:r>
    </w:p>
    <w:p w14:paraId="193ADCB3">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评标、定标应当遵循公平、公正、科学、择优的原则。</w:t>
      </w:r>
    </w:p>
    <w:p w14:paraId="571FF46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评审活动依法进行，任何单位和个人不得非法干预评审过程和结果。</w:t>
      </w:r>
    </w:p>
    <w:p w14:paraId="39AB50BA">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评审过程中不允许违背评审程序或采用招标文件未载明的评标方法或评审因素进行评标。</w:t>
      </w:r>
    </w:p>
    <w:p w14:paraId="49BC16C5">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开标后，直到授予中标供应商合同为止，凡属于对投标文件的审查、澄清、评价和比较的有关资料以及中标供应商的确定情况、与评标、定标有关的其他任何情况均严格保密。</w:t>
      </w:r>
    </w:p>
    <w:p w14:paraId="4793829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评审委员会成员的评审活动应当独立进行，并应遵循投标文件初审、澄清有关问题、比较与评价、确定中标供应商、编写评审报告的工作程序。</w:t>
      </w:r>
    </w:p>
    <w:p w14:paraId="272DD0CA">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4664BE9D">
      <w:pPr>
        <w:numPr>
          <w:ilvl w:val="0"/>
          <w:numId w:val="0"/>
        </w:numPr>
        <w:autoSpaceDE w:val="0"/>
        <w:autoSpaceDN w:val="0"/>
        <w:adjustRightInd w:val="0"/>
        <w:snapToGrid w:val="0"/>
        <w:spacing w:line="360" w:lineRule="auto"/>
        <w:ind w:left="-447" w:leftChars="-213" w:firstLine="0" w:firstLineChars="0"/>
        <w:jc w:val="center"/>
        <w:outlineLvl w:val="9"/>
        <w:rPr>
          <w:rFonts w:hint="eastAsia" w:cs="Times New Roman" w:asciiTheme="majorEastAsia" w:hAnsiTheme="majorEastAsia" w:eastAsiaTheme="majorEastAsia"/>
          <w:kern w:val="2"/>
          <w:sz w:val="30"/>
          <w:szCs w:val="30"/>
          <w:lang w:val="en-US" w:eastAsia="zh-CN" w:bidi="ar-SA"/>
        </w:rPr>
      </w:pPr>
      <w:r>
        <w:rPr>
          <w:rFonts w:hint="eastAsia" w:cs="Times New Roman" w:asciiTheme="majorEastAsia" w:hAnsiTheme="majorEastAsia" w:eastAsiaTheme="majorEastAsia"/>
          <w:kern w:val="2"/>
          <w:sz w:val="30"/>
          <w:szCs w:val="30"/>
          <w:lang w:val="en-US" w:eastAsia="zh-TW" w:bidi="ar-SA"/>
        </w:rPr>
        <w:t>评审程序</w:t>
      </w:r>
    </w:p>
    <w:p w14:paraId="2B10C3EB">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98" w:name="_Toc7099"/>
      <w:r>
        <w:rPr>
          <w:rFonts w:hint="eastAsia" w:ascii="宋体" w:hAnsi="宋体"/>
          <w:b/>
          <w:bCs/>
          <w:szCs w:val="21"/>
        </w:rPr>
        <w:t>投标文件初审</w:t>
      </w:r>
      <w:bookmarkEnd w:id="198"/>
    </w:p>
    <w:p w14:paraId="10033E3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包括资格性检查和符合性检查。资格性检查：依据法律法规和招标文件的规定，对投标文件中的资格证明等进行审查，以确定投标供应商是否具备投标资格。未通过资格性审查的投标人，不进入符合性审查。</w:t>
      </w:r>
    </w:p>
    <w:p w14:paraId="60949B4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符合性检查：依据招标文件的规定，从投标文件的有效性、完整性和对招标文件的响应程度进行审查，以确定是否对招标文件的实质性要求作出响应。未通过符合性审查的投标人，不进入技术、商务和价格评审。</w:t>
      </w:r>
    </w:p>
    <w:p w14:paraId="6CC321F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投标文件初审中关于供应商家数的计算:</w:t>
      </w:r>
    </w:p>
    <w:p w14:paraId="0E704681">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7030628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022DACF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非单一产品采购项目，采购人应当根据采购项目技术构成、产品价格比重等合理确定核心产品，并在招标文件中载明。多家投标人提供的核心产品品牌相同的，按前两款规定处理。</w:t>
      </w:r>
    </w:p>
    <w:p w14:paraId="7DAEAA6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投标人投标文件作无效处理的情形，具体包括但不限于以下：</w:t>
      </w:r>
    </w:p>
    <w:p w14:paraId="53E2D8FC">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不同投标人的投标文件由同一单位或者同一个人编制，或者由同一个人分阶段参与编制；</w:t>
      </w:r>
    </w:p>
    <w:p w14:paraId="0E2A159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不同投标人委托同一单位或者个人办理投标事宜；</w:t>
      </w:r>
    </w:p>
    <w:p w14:paraId="0F4354F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不同投标人的投标文件载明的项目管理成员或者联系人员为同一人；</w:t>
      </w:r>
    </w:p>
    <w:p w14:paraId="6C80FB3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不同投标人的投标文件异常一致或者投标报价呈规律性差异；</w:t>
      </w:r>
    </w:p>
    <w:p w14:paraId="2BC267E9">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不同投标供应商的投标文件或部分投标文件相互混装；</w:t>
      </w:r>
    </w:p>
    <w:p w14:paraId="0C5A7C1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投标供应商之间相互约定给予未中标的供应商利益补偿；</w:t>
      </w:r>
    </w:p>
    <w:p w14:paraId="7DD6D934">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不同投标供应商的法定代表人、主要经营负责人、项目投标授权代表人、项目负责人、主要技术人员为同一人、属同一单位或者同一单位缴纳社会保险；</w:t>
      </w:r>
    </w:p>
    <w:p w14:paraId="32AC40C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不同投标供应商的投标文件内容存在非正常一致；</w:t>
      </w:r>
    </w:p>
    <w:p w14:paraId="05C99046">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在同一单位工作人员为两家以上（含两家）供应商进行同一项投标活动；</w:t>
      </w:r>
    </w:p>
    <w:p w14:paraId="57A7B4A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主管部门依照法律、法规认定的其他情形。</w:t>
      </w:r>
    </w:p>
    <w:p w14:paraId="651179C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99" w:name="_Toc3917"/>
      <w:r>
        <w:rPr>
          <w:rFonts w:hint="eastAsia" w:ascii="宋体" w:hAnsi="宋体"/>
          <w:b/>
          <w:bCs/>
          <w:szCs w:val="21"/>
        </w:rPr>
        <w:t>澄清有关问题</w:t>
      </w:r>
      <w:bookmarkEnd w:id="199"/>
    </w:p>
    <w:p w14:paraId="0E85C153">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对招标文件中描述有歧义或前后不一致的地方（不含招标文件存在歧义、重大缺陷导致评审工作无法进行的情况），评审委员会有权进行评判，但对同一条款的评判应适用于每个投标人。</w:t>
      </w:r>
    </w:p>
    <w:p w14:paraId="56CD736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发现招标文件存在歧义、重大缺陷导致评审工作无法进行，或者招标文件内容违反国家有关强制性规定的，应当停止评审工作，与代理机构沟通并作书面记录。经确认后，项目应当修改招标文件，重新组织采购活动。</w:t>
      </w:r>
    </w:p>
    <w:p w14:paraId="3BCF39B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对于投标文件中含义不明确、同类问题表述不一致或者有明显文字和计算错误的内容，评审委员会应当以书面形式要求投标人作出必要的澄清、说明或者补正。</w:t>
      </w:r>
    </w:p>
    <w:p w14:paraId="6CA8B87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投标人的澄清、说明或者补正应当采用书面形式，并加盖公章（或者由法定代表人或其授权的代表签字）。投标人的澄清、说明或者补正不得超出投标文件的范围或者改变投标文件的实质性内容。</w:t>
      </w:r>
    </w:p>
    <w:p w14:paraId="7EF5899D">
      <w:pPr>
        <w:numPr>
          <w:ilvl w:val="0"/>
          <w:numId w:val="0"/>
        </w:numPr>
        <w:autoSpaceDE w:val="0"/>
        <w:autoSpaceDN w:val="0"/>
        <w:adjustRightInd w:val="0"/>
        <w:snapToGrid w:val="0"/>
        <w:spacing w:line="360" w:lineRule="auto"/>
        <w:ind w:leftChars="-213"/>
        <w:outlineLvl w:val="9"/>
        <w:rPr>
          <w:rFonts w:ascii="宋体" w:hAnsi="宋体"/>
          <w:b/>
          <w:bCs/>
          <w:szCs w:val="21"/>
        </w:rPr>
      </w:pPr>
    </w:p>
    <w:p w14:paraId="03B1F9E0">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200" w:name="_Toc21411"/>
      <w:r>
        <w:rPr>
          <w:rFonts w:hint="eastAsia" w:ascii="宋体" w:hAnsi="宋体"/>
          <w:b/>
          <w:bCs/>
          <w:szCs w:val="21"/>
        </w:rPr>
        <w:t>错误的修正</w:t>
      </w:r>
      <w:bookmarkEnd w:id="200"/>
    </w:p>
    <w:p w14:paraId="5D0550B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b/>
          <w:bCs/>
          <w:szCs w:val="21"/>
        </w:rPr>
        <w:t xml:space="preserve"> </w:t>
      </w:r>
      <w:r>
        <w:rPr>
          <w:rFonts w:hint="eastAsia" w:ascii="宋体" w:hAnsi="宋体" w:eastAsia="宋体" w:cs="宋体"/>
          <w:szCs w:val="21"/>
        </w:rPr>
        <w:t>评审委员会将审查投标文件是否完整、总体编排是否有序、文件签署是否合格、投标人有无计算上的错误等。</w:t>
      </w:r>
    </w:p>
    <w:p w14:paraId="4D90E597">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 xml:space="preserve"> 投标文件报价出现前后不一致的，除专用条款另有规定外，按照下列规定修正：</w:t>
      </w:r>
    </w:p>
    <w:p w14:paraId="433D0995">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单独密封提交的开标一览表（报价表）与投标文件中的开标一览表（报价表）不一致的，以单独密封提交的开标一览表（报价表）为准；</w:t>
      </w:r>
    </w:p>
    <w:p w14:paraId="09C015A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投标文件中开标一览表（报价表）内容与投标文件中相应内容不一致的，以开标一览表（报价表）为准；</w:t>
      </w:r>
    </w:p>
    <w:p w14:paraId="76387EFD">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大写金额和小写金额不一致的，以大写金额为准；</w:t>
      </w:r>
    </w:p>
    <w:p w14:paraId="53BC104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单价金额小数点或者百分比有明显错位的，以开标一览表的总价为准，并修改单价；</w:t>
      </w:r>
    </w:p>
    <w:p w14:paraId="20521EB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总价金额与按单价汇总金额不一致的，以单价金额计算结果为准；</w:t>
      </w:r>
    </w:p>
    <w:p w14:paraId="6A6B13D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对不同文字文本投标文件的解释发生异议的，以中文文本为准。</w:t>
      </w:r>
    </w:p>
    <w:p w14:paraId="001CEBEE">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同时出现两种以上不一致的，按照前款规定的顺序修正。修正后的报价按照本通用条款25条的规定，经投标人确认后产生约束力，投标人不确认的，其投标无效。</w:t>
      </w:r>
    </w:p>
    <w:p w14:paraId="09E4B0C9">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201" w:name="_Toc27570"/>
      <w:r>
        <w:rPr>
          <w:rFonts w:hint="eastAsia" w:ascii="宋体" w:hAnsi="宋体"/>
          <w:b/>
          <w:bCs/>
          <w:szCs w:val="21"/>
        </w:rPr>
        <w:t>投标文件的比较与评价</w:t>
      </w:r>
      <w:bookmarkEnd w:id="201"/>
    </w:p>
    <w:p w14:paraId="5BEDAD7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评审委员会按招标文件中规定的评标方法和标准，对资格性检查和符合性检查合格且报价不超过预算控制金额的投标文件进行商务和技术评审，综合比较与评价。</w:t>
      </w:r>
    </w:p>
    <w:p w14:paraId="4966EE19">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评审委员会成员对需要共同认定的事项存在争议的，应当按照少数服从多数的原则作出结论。持不同意见的评审委员会成员应当书面作出说明，否则视为无异议。</w:t>
      </w:r>
    </w:p>
    <w:p w14:paraId="1D1F31D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在评审过程中，评审委员会有权决定是否对本项目投标人进行实地考察或资料查验（原件）。投标人应随时做好接受实地考察或资料查验的准备。</w:t>
      </w:r>
    </w:p>
    <w:p w14:paraId="4156485C">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202" w:name="_Toc28101"/>
      <w:r>
        <w:rPr>
          <w:rFonts w:hint="eastAsia" w:ascii="宋体" w:hAnsi="宋体"/>
          <w:b/>
          <w:bCs/>
          <w:szCs w:val="21"/>
        </w:rPr>
        <w:t>定标</w:t>
      </w:r>
      <w:bookmarkEnd w:id="202"/>
    </w:p>
    <w:p w14:paraId="516C584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评审委员会依据本招标文件所约定的评标方法进行评审和比较，提交书面评审报告，并根据评标方法比较评价结果从优到劣进行排序，并推荐中标候选人或确定中标供应商；</w:t>
      </w:r>
    </w:p>
    <w:p w14:paraId="35ABA30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中标人拒绝与采购人签订合同的，可以重新开展政府采购活动。</w:t>
      </w:r>
    </w:p>
    <w:p w14:paraId="1BE5E241">
      <w:pPr>
        <w:pStyle w:val="23"/>
        <w:rPr>
          <w:rFonts w:hint="eastAsia"/>
        </w:rPr>
      </w:pPr>
    </w:p>
    <w:p w14:paraId="7F07B2DE">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203" w:name="_Toc23672"/>
      <w:r>
        <w:rPr>
          <w:rFonts w:hint="eastAsia" w:ascii="宋体" w:hAnsi="宋体"/>
          <w:b/>
          <w:bCs/>
          <w:szCs w:val="21"/>
        </w:rPr>
        <w:t>编写评审报告</w:t>
      </w:r>
      <w:bookmarkEnd w:id="203"/>
    </w:p>
    <w:p w14:paraId="3FC81284">
      <w:pPr>
        <w:numPr>
          <w:ilvl w:val="1"/>
          <w:numId w:val="19"/>
        </w:numPr>
        <w:autoSpaceDE w:val="0"/>
        <w:autoSpaceDN w:val="0"/>
        <w:adjustRightInd w:val="0"/>
        <w:snapToGrid w:val="0"/>
        <w:spacing w:line="360" w:lineRule="auto"/>
        <w:rPr>
          <w:rFonts w:ascii="宋体" w:hAnsi="宋体"/>
          <w:b/>
          <w:bCs/>
          <w:szCs w:val="21"/>
        </w:rPr>
      </w:pPr>
      <w:r>
        <w:rPr>
          <w:rFonts w:hint="eastAsia" w:ascii="宋体" w:hAnsi="宋体" w:eastAsia="宋体" w:cs="宋体"/>
          <w:szCs w:val="21"/>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14:paraId="71DD556A">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204" w:name="_Toc30344"/>
      <w:r>
        <w:rPr>
          <w:rFonts w:hint="eastAsia" w:ascii="宋体" w:hAnsi="宋体"/>
          <w:b/>
          <w:bCs/>
          <w:szCs w:val="21"/>
        </w:rPr>
        <w:t>中标结果</w:t>
      </w:r>
      <w:bookmarkEnd w:id="204"/>
    </w:p>
    <w:p w14:paraId="6DA8E11F">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为体现“公开、公平、公正”的原则，评标结束后，我院官网（详见采购公告中的查询网址）上同时发布中标结果公示，公示期为3天。供应商如对评标结果有异议，请于公示期内，以书面形式向招标采购办反映。若在公示期内未提出异议，则视为认同该评标结果。</w:t>
      </w:r>
    </w:p>
    <w:p w14:paraId="37391E4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评审委员会不直接向未通过符合性检查的投标人或者未中标的投标人解释落标原因，也不退还投标文件。</w:t>
      </w:r>
    </w:p>
    <w:p w14:paraId="74E07005">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205" w:name="_Toc26377"/>
      <w:r>
        <w:rPr>
          <w:rFonts w:hint="eastAsia" w:ascii="宋体" w:hAnsi="宋体"/>
          <w:b/>
          <w:bCs/>
          <w:szCs w:val="21"/>
        </w:rPr>
        <w:t>中标通知书</w:t>
      </w:r>
      <w:bookmarkEnd w:id="193"/>
      <w:bookmarkEnd w:id="205"/>
    </w:p>
    <w:p w14:paraId="0275F8BA">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CE5A545">
      <w:pPr>
        <w:numPr>
          <w:ilvl w:val="1"/>
          <w:numId w:val="19"/>
        </w:numPr>
        <w:autoSpaceDE w:val="0"/>
        <w:autoSpaceDN w:val="0"/>
        <w:adjustRightInd w:val="0"/>
        <w:snapToGrid w:val="0"/>
        <w:spacing w:line="360" w:lineRule="auto"/>
        <w:rPr>
          <w:rFonts w:hint="eastAsia" w:asciiTheme="majorEastAsia" w:hAnsiTheme="majorEastAsia" w:eastAsiaTheme="majorEastAsia"/>
          <w:sz w:val="30"/>
          <w:szCs w:val="30"/>
          <w:lang w:eastAsia="zh-TW"/>
        </w:rPr>
      </w:pPr>
      <w:r>
        <w:rPr>
          <w:rFonts w:hint="eastAsia" w:ascii="宋体" w:hAnsi="宋体"/>
          <w:szCs w:val="21"/>
        </w:rPr>
        <w:t>《中标通知书》将作为授予合同资格的合法依据，是合同的一个组成部分。</w:t>
      </w:r>
      <w:bookmarkStart w:id="206" w:name="_Toc20050"/>
      <w:bookmarkStart w:id="207" w:name="_Toc7529"/>
      <w:bookmarkStart w:id="208" w:name="_Toc435174938"/>
      <w:bookmarkStart w:id="209" w:name="_Toc6704"/>
      <w:bookmarkStart w:id="210" w:name="_Toc435516655"/>
      <w:bookmarkStart w:id="211" w:name="_Toc438223141"/>
    </w:p>
    <w:p w14:paraId="65AE26D3">
      <w:pPr>
        <w:pStyle w:val="23"/>
        <w:rPr>
          <w:rFonts w:hint="eastAsia"/>
          <w:lang w:eastAsia="zh-TW"/>
        </w:rPr>
      </w:pPr>
    </w:p>
    <w:p w14:paraId="51B8EA79">
      <w:pPr>
        <w:pStyle w:val="4"/>
        <w:spacing w:line="360" w:lineRule="auto"/>
        <w:jc w:val="center"/>
        <w:outlineLvl w:val="9"/>
        <w:rPr>
          <w:rFonts w:ascii="黑体" w:hAnsi="黑体"/>
          <w:b w:val="0"/>
          <w:bCs w:val="0"/>
          <w:color w:val="000000"/>
          <w:kern w:val="2"/>
          <w:highlight w:val="yellow"/>
        </w:rPr>
      </w:pPr>
      <w:r>
        <w:rPr>
          <w:rFonts w:hint="eastAsia" w:asciiTheme="majorEastAsia" w:hAnsiTheme="majorEastAsia" w:eastAsiaTheme="majorEastAsia"/>
          <w:sz w:val="30"/>
          <w:szCs w:val="30"/>
          <w:lang w:eastAsia="zh-TW"/>
        </w:rPr>
        <w:t>公开招标失败的后续处理</w:t>
      </w:r>
    </w:p>
    <w:p w14:paraId="771FBEBF">
      <w:pPr>
        <w:numPr>
          <w:ilvl w:val="0"/>
          <w:numId w:val="19"/>
        </w:numPr>
        <w:autoSpaceDE w:val="0"/>
        <w:autoSpaceDN w:val="0"/>
        <w:adjustRightInd w:val="0"/>
        <w:snapToGrid w:val="0"/>
        <w:spacing w:line="360" w:lineRule="auto"/>
        <w:ind w:left="425" w:leftChars="0" w:hanging="425" w:firstLineChars="0"/>
        <w:outlineLvl w:val="1"/>
        <w:rPr>
          <w:rFonts w:hAnsi="宋体"/>
          <w:b/>
          <w:bCs/>
          <w:snapToGrid w:val="0"/>
          <w:szCs w:val="21"/>
        </w:rPr>
      </w:pPr>
      <w:bookmarkStart w:id="212" w:name="_Toc17894"/>
      <w:r>
        <w:rPr>
          <w:rFonts w:hint="eastAsia" w:hAnsi="宋体"/>
          <w:b/>
          <w:bCs/>
          <w:snapToGrid w:val="0"/>
          <w:szCs w:val="21"/>
        </w:rPr>
        <w:t>公开招标失败的处理</w:t>
      </w:r>
      <w:bookmarkEnd w:id="212"/>
    </w:p>
    <w:p w14:paraId="11CBF8DB">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本项目公开招标过程中若由于投标截止后实际递交投标文件的供应商数量不足、经评审委员会评审对招标文件作实质响应的供应商不足等原因造成公开招标失败，可重新组织采购。</w:t>
      </w:r>
    </w:p>
    <w:p w14:paraId="2EC65823">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对公开招标失败的项目，评审委员会在出具该项目招标失败结论的同时，可以提出重新采购组织形式的建议，以及进一步完善招标文件的资格、技术、商务要求的修改建议。</w:t>
      </w:r>
    </w:p>
    <w:p w14:paraId="760E3C3F">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公开招标失败的采购项目重新组织公开招标，重新按公开招标流程发布招标公告和招标文件、组成评审委员会等组织采购活动。</w:t>
      </w:r>
    </w:p>
    <w:p w14:paraId="48B43000">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lang w:eastAsia="zh-CN"/>
        </w:rPr>
      </w:pPr>
      <w:r>
        <w:rPr>
          <w:rFonts w:hint="eastAsia" w:hAnsi="宋体"/>
          <w:snapToGrid w:val="0"/>
          <w:szCs w:val="21"/>
        </w:rPr>
        <w:t>公开招标失败的采购项目应当重新组织公开招标。重新组织公开招标有效投标供应商仍不足3家，应当再次重新组织公开招标。第三次公开招标有效投标供应商仍不足3家，但符合下列情形的，经过审查，投标供应商资格性与符合性都符合要求的，可直接转为竞争性谈判或单一来源方式采购</w:t>
      </w:r>
      <w:r>
        <w:rPr>
          <w:rFonts w:hint="eastAsia" w:hAnsi="宋体"/>
          <w:snapToGrid w:val="0"/>
          <w:szCs w:val="21"/>
          <w:lang w:eastAsia="zh-CN"/>
        </w:rPr>
        <w:t>。</w:t>
      </w:r>
    </w:p>
    <w:p w14:paraId="4B718BCE">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lang w:val="en-US" w:eastAsia="zh-CN"/>
        </w:rPr>
        <w:t>如经公开招标失败直接转为竞争性谈判、单一来源采购方式的采购项目，不另行制作谈判文件，就原招标文件中资质、技术及评标方法等情况与谈判对象进行谈判。转为竞争性谈判、单一来源采购方式采购的，供应商的原投标文件转为谈判应答文件。如需对招标文件进行变动，则根据变动部分内容向拟谈判对象发出谈判邀请，变动后的招标文件与原招标文件具有同等效力，变动部分以谈判邀请文件为准，但不得变更供应商资格条件和原招标文件实质性要求等内容。</w:t>
      </w:r>
    </w:p>
    <w:p w14:paraId="0F23449B">
      <w:pPr>
        <w:numPr>
          <w:ilvl w:val="0"/>
          <w:numId w:val="19"/>
        </w:numPr>
        <w:autoSpaceDE w:val="0"/>
        <w:autoSpaceDN w:val="0"/>
        <w:adjustRightInd w:val="0"/>
        <w:snapToGrid w:val="0"/>
        <w:spacing w:line="360" w:lineRule="auto"/>
        <w:ind w:left="425" w:leftChars="0" w:hanging="425" w:firstLineChars="0"/>
        <w:outlineLvl w:val="1"/>
        <w:rPr>
          <w:rFonts w:hint="eastAsia" w:hAnsi="宋体"/>
          <w:b/>
          <w:bCs/>
          <w:snapToGrid w:val="0"/>
          <w:szCs w:val="21"/>
        </w:rPr>
      </w:pPr>
      <w:bookmarkStart w:id="213" w:name="_Toc4835"/>
      <w:r>
        <w:rPr>
          <w:rFonts w:hint="eastAsia" w:hAnsi="宋体"/>
          <w:b/>
          <w:bCs/>
          <w:snapToGrid w:val="0"/>
          <w:szCs w:val="21"/>
        </w:rPr>
        <w:t>公开招标失败项目转为竞争性谈判方式</w:t>
      </w:r>
      <w:r>
        <w:rPr>
          <w:rFonts w:hint="eastAsia" w:hAnsi="宋体"/>
          <w:b/>
          <w:bCs/>
          <w:snapToGrid w:val="0"/>
          <w:szCs w:val="21"/>
          <w:lang w:val="en-US" w:eastAsia="zh-CN"/>
        </w:rPr>
        <w:t>和单一来源</w:t>
      </w:r>
      <w:r>
        <w:rPr>
          <w:rFonts w:hint="eastAsia" w:hAnsi="宋体"/>
          <w:b/>
          <w:bCs/>
          <w:snapToGrid w:val="0"/>
          <w:szCs w:val="21"/>
        </w:rPr>
        <w:t>采购</w:t>
      </w:r>
      <w:r>
        <w:rPr>
          <w:rFonts w:hint="eastAsia" w:hAnsi="宋体"/>
          <w:b/>
          <w:bCs/>
          <w:snapToGrid w:val="0"/>
          <w:szCs w:val="21"/>
          <w:lang w:val="en-US" w:eastAsia="zh-CN"/>
        </w:rPr>
        <w:t>程序</w:t>
      </w:r>
      <w:bookmarkEnd w:id="213"/>
    </w:p>
    <w:p w14:paraId="4B4A154C">
      <w:pPr>
        <w:numPr>
          <w:ilvl w:val="1"/>
          <w:numId w:val="19"/>
        </w:numPr>
        <w:autoSpaceDE w:val="0"/>
        <w:autoSpaceDN w:val="0"/>
        <w:adjustRightInd w:val="0"/>
        <w:snapToGrid w:val="0"/>
        <w:spacing w:line="360" w:lineRule="auto"/>
        <w:ind w:left="567" w:leftChars="0" w:hanging="567" w:firstLineChars="0"/>
        <w:outlineLvl w:val="2"/>
        <w:rPr>
          <w:rFonts w:hAnsi="宋体"/>
          <w:b/>
          <w:bCs/>
          <w:snapToGrid w:val="0"/>
          <w:szCs w:val="21"/>
        </w:rPr>
      </w:pPr>
      <w:bookmarkStart w:id="214" w:name="_Toc16160"/>
      <w:r>
        <w:rPr>
          <w:rFonts w:hint="eastAsia" w:hAnsi="宋体"/>
          <w:b/>
          <w:bCs/>
          <w:snapToGrid w:val="0"/>
          <w:szCs w:val="21"/>
        </w:rPr>
        <w:t>谈判小组</w:t>
      </w:r>
      <w:bookmarkEnd w:id="214"/>
    </w:p>
    <w:p w14:paraId="05632C91">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公开招标失败项目转为竞争性谈判</w:t>
      </w:r>
      <w:r>
        <w:rPr>
          <w:rFonts w:hint="eastAsia" w:hAnsi="宋体"/>
          <w:snapToGrid w:val="0"/>
          <w:szCs w:val="21"/>
          <w:lang w:val="en-US" w:eastAsia="zh-CN"/>
        </w:rPr>
        <w:t>或单一来源谈判</w:t>
      </w:r>
      <w:r>
        <w:rPr>
          <w:rFonts w:hint="eastAsia" w:hAnsi="宋体"/>
          <w:snapToGrid w:val="0"/>
          <w:szCs w:val="21"/>
        </w:rPr>
        <w:t>方式采购后，评审委员会转为谈判小组，谈判小组成员</w:t>
      </w:r>
      <w:r>
        <w:rPr>
          <w:rFonts w:hint="eastAsia" w:hAnsi="宋体"/>
          <w:snapToGrid w:val="0"/>
          <w:szCs w:val="21"/>
          <w:lang w:val="en-US" w:eastAsia="zh-CN"/>
        </w:rPr>
        <w:t>由</w:t>
      </w:r>
      <w:r>
        <w:rPr>
          <w:rFonts w:hint="eastAsia" w:hAnsi="宋体"/>
          <w:snapToGrid w:val="0"/>
          <w:szCs w:val="21"/>
        </w:rPr>
        <w:t>3人以上（含3人）的单数组成；专家可重新抽取也可继续采用评审委员会内专家。</w:t>
      </w:r>
    </w:p>
    <w:p w14:paraId="598FA6FB">
      <w:pPr>
        <w:numPr>
          <w:ilvl w:val="1"/>
          <w:numId w:val="19"/>
        </w:numPr>
        <w:autoSpaceDE w:val="0"/>
        <w:autoSpaceDN w:val="0"/>
        <w:adjustRightInd w:val="0"/>
        <w:snapToGrid w:val="0"/>
        <w:spacing w:line="360" w:lineRule="auto"/>
        <w:ind w:left="567" w:leftChars="0" w:hanging="567" w:firstLineChars="0"/>
        <w:outlineLvl w:val="2"/>
        <w:rPr>
          <w:rFonts w:hAnsi="宋体"/>
          <w:snapToGrid w:val="0"/>
          <w:szCs w:val="21"/>
        </w:rPr>
      </w:pPr>
      <w:r>
        <w:rPr>
          <w:rFonts w:hint="eastAsia" w:hAnsi="宋体"/>
          <w:snapToGrid w:val="0"/>
          <w:szCs w:val="21"/>
        </w:rPr>
        <w:t xml:space="preserve"> </w:t>
      </w:r>
      <w:bookmarkStart w:id="215" w:name="_Toc20727"/>
      <w:r>
        <w:rPr>
          <w:rFonts w:hint="eastAsia" w:hAnsi="宋体"/>
          <w:snapToGrid w:val="0"/>
          <w:szCs w:val="21"/>
        </w:rPr>
        <w:t>谈判程序</w:t>
      </w:r>
      <w:bookmarkEnd w:id="215"/>
    </w:p>
    <w:p w14:paraId="4FB591B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参加谈判的供应商和谈判小组成员填写谈判登记表，并交验证明文件（法定代表人证明书、法人授权委托书、被授权的谈判代表身份证）。</w:t>
      </w:r>
    </w:p>
    <w:p w14:paraId="4E66A37A">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宣布谈判规则和谈判纪律。</w:t>
      </w:r>
    </w:p>
    <w:p w14:paraId="502EE537">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在谈判中，谈判小组将就以下谈判内容跟供应商进行谈判：</w:t>
      </w:r>
    </w:p>
    <w:p w14:paraId="64692857">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（1）项目方案；</w:t>
      </w:r>
    </w:p>
    <w:p w14:paraId="7F26801F">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（2）报价；</w:t>
      </w:r>
    </w:p>
    <w:p w14:paraId="256E81E8">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（3）其它相关事项。</w:t>
      </w:r>
    </w:p>
    <w:p w14:paraId="64359DB8">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原招标文件或谈判邀请文件有变动的，谈判小组应当通过</w:t>
      </w:r>
      <w:r>
        <w:rPr>
          <w:rFonts w:hint="eastAsia" w:hAnsi="宋体"/>
          <w:snapToGrid w:val="0"/>
          <w:szCs w:val="21"/>
          <w:lang w:val="en-US" w:eastAsia="zh-CN"/>
        </w:rPr>
        <w:t>招标采购办</w:t>
      </w:r>
      <w:r>
        <w:rPr>
          <w:rFonts w:hint="eastAsia" w:hAnsi="宋体"/>
          <w:snapToGrid w:val="0"/>
          <w:szCs w:val="21"/>
        </w:rPr>
        <w:t>通知所有参加谈判的供应商。</w:t>
      </w:r>
    </w:p>
    <w:p w14:paraId="6C02552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谈判小组可以用书面形式要求各供应商对其谈判应答文件含义不明确的内容作必要的澄清或者说明，重要问题供应商应以书面形式进行澄清、说明。</w:t>
      </w:r>
    </w:p>
    <w:p w14:paraId="2B9016FB">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允许供应商在谈判结束之前根据谈判小组提出的内容进行澄清、修改或完善，或对项目方案进行相应的调整。</w:t>
      </w:r>
    </w:p>
    <w:p w14:paraId="4A3BF798">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供应商对谈判应答文件进行修改，都应形成文字材料，并经供应商谈判授权人签字认可。</w:t>
      </w:r>
    </w:p>
    <w:p w14:paraId="3D12FF59">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14:paraId="3976CD48">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谈判结束后，谈判小组根据供应商提供的谈判应答文件、谈判过程中产生的相关资料，对供应商谈判应答文件进行评估与比较，提出书面评审意见。</w:t>
      </w:r>
    </w:p>
    <w:p w14:paraId="0D9814C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谈判小组将对谈判过程进行记录，以存档备查。</w:t>
      </w:r>
    </w:p>
    <w:p w14:paraId="5B328F78">
      <w:pPr>
        <w:numPr>
          <w:ilvl w:val="1"/>
          <w:numId w:val="19"/>
        </w:numPr>
        <w:autoSpaceDE w:val="0"/>
        <w:autoSpaceDN w:val="0"/>
        <w:adjustRightInd w:val="0"/>
        <w:snapToGrid w:val="0"/>
        <w:spacing w:line="360" w:lineRule="auto"/>
        <w:ind w:left="567" w:leftChars="0" w:hanging="567" w:firstLineChars="0"/>
        <w:outlineLvl w:val="2"/>
        <w:rPr>
          <w:rFonts w:hAnsi="宋体"/>
          <w:b/>
          <w:bCs/>
          <w:snapToGrid w:val="0"/>
          <w:szCs w:val="21"/>
        </w:rPr>
      </w:pPr>
      <w:r>
        <w:rPr>
          <w:rFonts w:hint="eastAsia" w:hAnsi="宋体"/>
          <w:b/>
          <w:bCs/>
          <w:snapToGrid w:val="0"/>
          <w:szCs w:val="21"/>
        </w:rPr>
        <w:t xml:space="preserve"> </w:t>
      </w:r>
      <w:bookmarkStart w:id="216" w:name="_Toc10043"/>
      <w:r>
        <w:rPr>
          <w:rFonts w:hint="eastAsia" w:hAnsi="宋体"/>
          <w:b/>
          <w:bCs/>
          <w:snapToGrid w:val="0"/>
          <w:szCs w:val="21"/>
        </w:rPr>
        <w:t>评标方法</w:t>
      </w:r>
      <w:bookmarkEnd w:id="216"/>
    </w:p>
    <w:p w14:paraId="72ED98AD">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原招标文件若采用最低价法以外的评标方法，转为竞争性谈判后，评标方法</w:t>
      </w:r>
      <w:r>
        <w:rPr>
          <w:rFonts w:hint="eastAsia" w:hAnsi="宋体"/>
          <w:snapToGrid w:val="0"/>
          <w:szCs w:val="21"/>
          <w:lang w:val="en-US" w:eastAsia="zh-CN"/>
        </w:rPr>
        <w:t>就原招标文件中的评标方法与谈判对象进行谈判</w:t>
      </w:r>
      <w:r>
        <w:rPr>
          <w:rFonts w:hint="eastAsia" w:hAnsi="宋体"/>
          <w:snapToGrid w:val="0"/>
          <w:szCs w:val="21"/>
        </w:rPr>
        <w:t>。</w:t>
      </w:r>
    </w:p>
    <w:p w14:paraId="6AD8357C">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原招标文件若采用最低价法以外的评标方法，转</w:t>
      </w:r>
      <w:r>
        <w:rPr>
          <w:rFonts w:hint="eastAsia" w:hAnsi="宋体"/>
          <w:snapToGrid w:val="0"/>
          <w:szCs w:val="21"/>
          <w:lang w:val="en-US" w:eastAsia="zh-CN"/>
        </w:rPr>
        <w:t>单一来源谈判</w:t>
      </w:r>
      <w:r>
        <w:rPr>
          <w:rFonts w:hint="eastAsia" w:hAnsi="宋体"/>
          <w:snapToGrid w:val="0"/>
          <w:szCs w:val="21"/>
        </w:rPr>
        <w:t>后，评标方法应采用最低价法</w:t>
      </w:r>
      <w:r>
        <w:rPr>
          <w:rFonts w:hint="eastAsia" w:hAnsi="宋体"/>
          <w:snapToGrid w:val="0"/>
          <w:szCs w:val="21"/>
          <w:lang w:val="en-US" w:eastAsia="zh-CN"/>
        </w:rPr>
        <w:t>与谈判对象进行谈判</w:t>
      </w:r>
      <w:r>
        <w:rPr>
          <w:rFonts w:hint="eastAsia" w:hAnsi="宋体"/>
          <w:snapToGrid w:val="0"/>
          <w:szCs w:val="21"/>
        </w:rPr>
        <w:t>。</w:t>
      </w:r>
    </w:p>
    <w:p w14:paraId="3FF9917A">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217" w:name="_Toc21191"/>
      <w:r>
        <w:rPr>
          <w:rFonts w:hint="eastAsia" w:asciiTheme="majorEastAsia" w:hAnsiTheme="majorEastAsia" w:eastAsiaTheme="majorEastAsia"/>
          <w:sz w:val="30"/>
          <w:szCs w:val="30"/>
          <w:lang w:eastAsia="zh-TW"/>
        </w:rPr>
        <w:t>授予合同</w:t>
      </w:r>
      <w:bookmarkEnd w:id="206"/>
      <w:bookmarkEnd w:id="207"/>
      <w:bookmarkEnd w:id="208"/>
      <w:bookmarkEnd w:id="209"/>
      <w:bookmarkEnd w:id="210"/>
      <w:bookmarkEnd w:id="211"/>
      <w:bookmarkEnd w:id="217"/>
    </w:p>
    <w:p w14:paraId="58EF3211">
      <w:pPr>
        <w:numPr>
          <w:ilvl w:val="0"/>
          <w:numId w:val="19"/>
        </w:numPr>
        <w:autoSpaceDE w:val="0"/>
        <w:autoSpaceDN w:val="0"/>
        <w:adjustRightInd w:val="0"/>
        <w:snapToGrid w:val="0"/>
        <w:spacing w:line="360" w:lineRule="auto"/>
        <w:ind w:left="425" w:leftChars="0" w:hanging="425" w:firstLineChars="0"/>
        <w:outlineLvl w:val="1"/>
        <w:rPr>
          <w:rFonts w:hint="eastAsia" w:hAnsi="宋体"/>
          <w:b/>
          <w:bCs/>
          <w:snapToGrid w:val="0"/>
          <w:szCs w:val="21"/>
        </w:rPr>
      </w:pPr>
      <w:bookmarkStart w:id="218" w:name="_Toc4112"/>
      <w:bookmarkStart w:id="219" w:name="_Toc23713"/>
      <w:bookmarkStart w:id="220" w:name="_Toc5467"/>
      <w:r>
        <w:rPr>
          <w:rFonts w:hint="eastAsia" w:hAnsi="宋体"/>
          <w:b/>
          <w:bCs/>
          <w:snapToGrid w:val="0"/>
          <w:szCs w:val="21"/>
        </w:rPr>
        <w:t>合同的订立</w:t>
      </w:r>
      <w:bookmarkEnd w:id="218"/>
      <w:bookmarkEnd w:id="219"/>
      <w:bookmarkEnd w:id="220"/>
    </w:p>
    <w:p w14:paraId="4D85A810">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采购人应当自中标通知书发出之日起十个工作日内，按照招标文件和中标人投标文件的约定，与中标人签订书面合同。所签订的合同不得对招标文件和中标人投标文件作实质性修改。</w:t>
      </w:r>
    </w:p>
    <w:p w14:paraId="6A8641E7">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 xml:space="preserve">采购人不得向中标人提出任何不合理的要求，作为签订合同的条件，不得与中标人私下订立背离合同实质性内容的协议。 </w:t>
      </w:r>
    </w:p>
    <w:p w14:paraId="5A4F68FF">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自政府采购合同签订之日起2个工作日内，采购人应将政府采购合同在指定的渠道公告，但政府采购合同中涉及国家秘密、商业秘密的内容除外。</w:t>
      </w:r>
    </w:p>
    <w:p w14:paraId="608A44DF">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政府采购合同签订之日起10日内，采购人应将政府采购合同副本报同级监管部门备案和有关部门备案。</w:t>
      </w:r>
    </w:p>
    <w:p w14:paraId="38113B04">
      <w:pPr>
        <w:numPr>
          <w:ilvl w:val="0"/>
          <w:numId w:val="19"/>
        </w:numPr>
        <w:autoSpaceDE w:val="0"/>
        <w:autoSpaceDN w:val="0"/>
        <w:adjustRightInd w:val="0"/>
        <w:snapToGrid w:val="0"/>
        <w:spacing w:line="360" w:lineRule="auto"/>
        <w:ind w:left="425" w:leftChars="0" w:hanging="425" w:firstLineChars="0"/>
        <w:outlineLvl w:val="1"/>
        <w:rPr>
          <w:rFonts w:hint="eastAsia" w:hAnsi="宋体"/>
          <w:snapToGrid w:val="0"/>
          <w:szCs w:val="21"/>
        </w:rPr>
      </w:pPr>
      <w:bookmarkStart w:id="221" w:name="_Toc30618"/>
      <w:bookmarkStart w:id="222" w:name="_Toc5053"/>
      <w:bookmarkStart w:id="223" w:name="_Toc560"/>
      <w:r>
        <w:rPr>
          <w:rFonts w:hint="eastAsia" w:hAnsi="宋体"/>
          <w:b/>
          <w:bCs/>
          <w:snapToGrid w:val="0"/>
          <w:szCs w:val="21"/>
        </w:rPr>
        <w:t>合同的履行</w:t>
      </w:r>
      <w:bookmarkEnd w:id="221"/>
      <w:bookmarkEnd w:id="222"/>
      <w:bookmarkEnd w:id="223"/>
    </w:p>
    <w:p w14:paraId="5265F92B">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AD8A83D">
      <w:pPr>
        <w:numPr>
          <w:ilvl w:val="1"/>
          <w:numId w:val="19"/>
        </w:numPr>
        <w:autoSpaceDE w:val="0"/>
        <w:autoSpaceDN w:val="0"/>
        <w:adjustRightInd w:val="0"/>
        <w:snapToGrid w:val="0"/>
        <w:spacing w:line="360" w:lineRule="auto"/>
        <w:ind w:left="567" w:leftChars="0" w:hanging="567" w:firstLineChars="0"/>
        <w:rPr>
          <w:rFonts w:hint="eastAsia" w:ascii="仿宋" w:hAnsi="仿宋" w:eastAsia="仿宋" w:cs="仿宋"/>
          <w:szCs w:val="21"/>
        </w:rPr>
      </w:pPr>
      <w:r>
        <w:rPr>
          <w:rFonts w:hint="eastAsia" w:hAnsi="宋体"/>
          <w:snapToGrid w:val="0"/>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hAnsi="宋体"/>
          <w:snapToGrid w:val="0"/>
          <w:szCs w:val="21"/>
          <w:lang w:eastAsia="zh-TW"/>
        </w:rPr>
        <w:t>签订补充合同的必须按规定备案。</w:t>
      </w: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FC00F3-CD85-4262-8AC4-E41FBCFF991D}"/>
  </w:font>
  <w:font w:name="黑体">
    <w:panose1 w:val="02010609060101010101"/>
    <w:charset w:val="86"/>
    <w:family w:val="auto"/>
    <w:pitch w:val="default"/>
    <w:sig w:usb0="800002BF" w:usb1="38CF7CFA" w:usb2="00000016" w:usb3="00000000" w:csb0="00040001" w:csb1="00000000"/>
    <w:embedRegular r:id="rId2" w:fontKey="{438ACD2B-F495-495D-810C-A241C3A26E5D}"/>
  </w:font>
  <w:font w:name="Courier New">
    <w:panose1 w:val="02070309020205020404"/>
    <w:charset w:val="01"/>
    <w:family w:val="modern"/>
    <w:pitch w:val="default"/>
    <w:sig w:usb0="E0002EFF" w:usb1="C0007843" w:usb2="00000009" w:usb3="00000000" w:csb0="400001FF" w:csb1="FFFF0000"/>
    <w:embedRegular r:id="rId3" w:fontKey="{F86542BC-9EFC-405F-9926-60ABCC527BE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C86024B-BACB-41A2-B74A-B9373F4FC4F2}"/>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5" w:fontKey="{97351467-8739-46F8-9CF8-2513185A0A69}"/>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8"/>
    </w:pPr>
  </w:p>
  <w:p w14:paraId="133E6DDA"/>
  <w:p w14:paraId="6CD32A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897B4"/>
    <w:multiLevelType w:val="singleLevel"/>
    <w:tmpl w:val="9AE897B4"/>
    <w:lvl w:ilvl="0" w:tentative="0">
      <w:start w:val="2"/>
      <w:numFmt w:val="decimal"/>
      <w:suff w:val="nothing"/>
      <w:lvlText w:val="%1、"/>
      <w:lvlJc w:val="left"/>
    </w:lvl>
  </w:abstractNum>
  <w:abstractNum w:abstractNumId="1">
    <w:nsid w:val="A9F11B60"/>
    <w:multiLevelType w:val="singleLevel"/>
    <w:tmpl w:val="A9F11B60"/>
    <w:lvl w:ilvl="0" w:tentative="0">
      <w:start w:val="2"/>
      <w:numFmt w:val="chineseCounting"/>
      <w:suff w:val="nothing"/>
      <w:lvlText w:val="（%1）"/>
      <w:lvlJc w:val="left"/>
      <w:rPr>
        <w:rFonts w:hint="eastAsia"/>
      </w:rPr>
    </w:lvl>
  </w:abstractNum>
  <w:abstractNum w:abstractNumId="2">
    <w:nsid w:val="DCF1001B"/>
    <w:multiLevelType w:val="singleLevel"/>
    <w:tmpl w:val="DCF1001B"/>
    <w:lvl w:ilvl="0" w:tentative="0">
      <w:start w:val="2"/>
      <w:numFmt w:val="chineseCounting"/>
      <w:suff w:val="nothing"/>
      <w:lvlText w:val="%1、"/>
      <w:lvlJc w:val="left"/>
      <w:rPr>
        <w:rFonts w:hint="eastAsia"/>
      </w:rPr>
    </w:lvl>
  </w:abstractNum>
  <w:abstractNum w:abstractNumId="3">
    <w:nsid w:val="00000025"/>
    <w:multiLevelType w:val="multilevel"/>
    <w:tmpl w:val="00000025"/>
    <w:lvl w:ilvl="0" w:tentative="0">
      <w:start w:val="3"/>
      <w:numFmt w:val="japaneseCounting"/>
      <w:pStyle w:val="16"/>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7">
    <w:nsid w:val="282379FC"/>
    <w:multiLevelType w:val="singleLevel"/>
    <w:tmpl w:val="282379FC"/>
    <w:lvl w:ilvl="0" w:tentative="0">
      <w:start w:val="2"/>
      <w:numFmt w:val="chineseCounting"/>
      <w:suff w:val="nothing"/>
      <w:lvlText w:val="（%1）"/>
      <w:lvlJc w:val="left"/>
      <w:rPr>
        <w:rFonts w:hint="eastAsia"/>
      </w:rPr>
    </w:lvl>
  </w:abstractNum>
  <w:abstractNum w:abstractNumId="8">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0">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2">
    <w:nsid w:val="3B363D98"/>
    <w:multiLevelType w:val="multilevel"/>
    <w:tmpl w:val="3B363D98"/>
    <w:lvl w:ilvl="0" w:tentative="0">
      <w:start w:val="1"/>
      <w:numFmt w:val="decimal"/>
      <w:pStyle w:val="15"/>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3">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
    <w:nsid w:val="59C2BB33"/>
    <w:multiLevelType w:val="singleLevel"/>
    <w:tmpl w:val="59C2BB33"/>
    <w:lvl w:ilvl="0" w:tentative="0">
      <w:start w:val="1"/>
      <w:numFmt w:val="decimal"/>
      <w:suff w:val="nothing"/>
      <w:lvlText w:val="%1、"/>
      <w:lvlJc w:val="left"/>
    </w:lvl>
  </w:abstractNum>
  <w:abstractNum w:abstractNumId="16">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119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68A12DBB"/>
    <w:multiLevelType w:val="singleLevel"/>
    <w:tmpl w:val="68A12DBB"/>
    <w:lvl w:ilvl="0" w:tentative="0">
      <w:start w:val="3"/>
      <w:numFmt w:val="decimal"/>
      <w:suff w:val="nothing"/>
      <w:lvlText w:val="（%1）"/>
      <w:lvlJc w:val="left"/>
    </w:lvl>
  </w:abstractNum>
  <w:abstractNum w:abstractNumId="18">
    <w:nsid w:val="75CBFB10"/>
    <w:multiLevelType w:val="singleLevel"/>
    <w:tmpl w:val="75CBFB10"/>
    <w:lvl w:ilvl="0" w:tentative="0">
      <w:start w:val="6"/>
      <w:numFmt w:val="decimal"/>
      <w:lvlText w:val="%1."/>
      <w:lvlJc w:val="left"/>
      <w:pPr>
        <w:tabs>
          <w:tab w:val="left" w:pos="312"/>
        </w:tabs>
      </w:pPr>
    </w:lvl>
  </w:abstractNum>
  <w:num w:numId="1">
    <w:abstractNumId w:val="12"/>
  </w:num>
  <w:num w:numId="2">
    <w:abstractNumId w:val="3"/>
  </w:num>
  <w:num w:numId="3">
    <w:abstractNumId w:val="6"/>
  </w:num>
  <w:num w:numId="4">
    <w:abstractNumId w:val="13"/>
  </w:num>
  <w:num w:numId="5">
    <w:abstractNumId w:val="11"/>
  </w:num>
  <w:num w:numId="6">
    <w:abstractNumId w:val="14"/>
  </w:num>
  <w:num w:numId="7">
    <w:abstractNumId w:val="10"/>
  </w:num>
  <w:num w:numId="8">
    <w:abstractNumId w:val="5"/>
  </w:num>
  <w:num w:numId="9">
    <w:abstractNumId w:val="4"/>
  </w:num>
  <w:num w:numId="10">
    <w:abstractNumId w:val="9"/>
  </w:num>
  <w:num w:numId="11">
    <w:abstractNumId w:val="0"/>
  </w:num>
  <w:num w:numId="12">
    <w:abstractNumId w:val="1"/>
  </w:num>
  <w:num w:numId="13">
    <w:abstractNumId w:val="7"/>
  </w:num>
  <w:num w:numId="14">
    <w:abstractNumId w:val="2"/>
  </w:num>
  <w:num w:numId="15">
    <w:abstractNumId w:val="15"/>
  </w:num>
  <w:num w:numId="16">
    <w:abstractNumId w:val="17"/>
  </w:num>
  <w:num w:numId="17">
    <w:abstractNumId w:val="8"/>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14219"/>
    <w:rsid w:val="0119677B"/>
    <w:rsid w:val="011C485D"/>
    <w:rsid w:val="013E6E1F"/>
    <w:rsid w:val="01675739"/>
    <w:rsid w:val="016C0FA1"/>
    <w:rsid w:val="01762EB7"/>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025BED"/>
    <w:rsid w:val="04287C17"/>
    <w:rsid w:val="04406715"/>
    <w:rsid w:val="044C6E68"/>
    <w:rsid w:val="047F0FEB"/>
    <w:rsid w:val="04CD61FB"/>
    <w:rsid w:val="053A13B6"/>
    <w:rsid w:val="057C377D"/>
    <w:rsid w:val="057E74F5"/>
    <w:rsid w:val="05955811"/>
    <w:rsid w:val="05EC1CD9"/>
    <w:rsid w:val="05FB0B46"/>
    <w:rsid w:val="06082BB4"/>
    <w:rsid w:val="06383B48"/>
    <w:rsid w:val="063B53E6"/>
    <w:rsid w:val="063F6C84"/>
    <w:rsid w:val="06545198"/>
    <w:rsid w:val="067A1543"/>
    <w:rsid w:val="067D155B"/>
    <w:rsid w:val="068C0762"/>
    <w:rsid w:val="06B52DD0"/>
    <w:rsid w:val="06C90C44"/>
    <w:rsid w:val="06DF3FC3"/>
    <w:rsid w:val="0728596A"/>
    <w:rsid w:val="072F7A1D"/>
    <w:rsid w:val="073F0F06"/>
    <w:rsid w:val="076B549C"/>
    <w:rsid w:val="0774240D"/>
    <w:rsid w:val="078D40DF"/>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D41DD9"/>
    <w:rsid w:val="09FBABE0"/>
    <w:rsid w:val="0A12582B"/>
    <w:rsid w:val="0A264B9C"/>
    <w:rsid w:val="0A3208AE"/>
    <w:rsid w:val="0A344626"/>
    <w:rsid w:val="0A867D70"/>
    <w:rsid w:val="0A9B1CF7"/>
    <w:rsid w:val="0AAA48E8"/>
    <w:rsid w:val="0AB654F5"/>
    <w:rsid w:val="0B132C2E"/>
    <w:rsid w:val="0B333027"/>
    <w:rsid w:val="0B84338B"/>
    <w:rsid w:val="0BA56877"/>
    <w:rsid w:val="0BE86F41"/>
    <w:rsid w:val="0C4548C9"/>
    <w:rsid w:val="0C4D7C21"/>
    <w:rsid w:val="0C91430F"/>
    <w:rsid w:val="0CB47CA0"/>
    <w:rsid w:val="0CC9374C"/>
    <w:rsid w:val="0CE91D2C"/>
    <w:rsid w:val="0CEE31B2"/>
    <w:rsid w:val="0CF85DDF"/>
    <w:rsid w:val="0D0A37DF"/>
    <w:rsid w:val="0D0D7645"/>
    <w:rsid w:val="0D246BD4"/>
    <w:rsid w:val="0D300BDE"/>
    <w:rsid w:val="0DA2046B"/>
    <w:rsid w:val="0DAB2E51"/>
    <w:rsid w:val="0DD92835"/>
    <w:rsid w:val="0DDA54E4"/>
    <w:rsid w:val="0E2C2B37"/>
    <w:rsid w:val="0E3746E5"/>
    <w:rsid w:val="0E8D69FB"/>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E48D6"/>
    <w:rsid w:val="11230F50"/>
    <w:rsid w:val="11380EA0"/>
    <w:rsid w:val="113F222E"/>
    <w:rsid w:val="1149458E"/>
    <w:rsid w:val="116C28F7"/>
    <w:rsid w:val="11766304"/>
    <w:rsid w:val="117D1FAA"/>
    <w:rsid w:val="11877731"/>
    <w:rsid w:val="11904838"/>
    <w:rsid w:val="11AD2259"/>
    <w:rsid w:val="11E954BE"/>
    <w:rsid w:val="120152D9"/>
    <w:rsid w:val="12103BCB"/>
    <w:rsid w:val="1211524D"/>
    <w:rsid w:val="122B27B2"/>
    <w:rsid w:val="123E24E6"/>
    <w:rsid w:val="12763439"/>
    <w:rsid w:val="12926201"/>
    <w:rsid w:val="12C111F6"/>
    <w:rsid w:val="130B4B50"/>
    <w:rsid w:val="134D0507"/>
    <w:rsid w:val="13914897"/>
    <w:rsid w:val="139549B8"/>
    <w:rsid w:val="13B642FE"/>
    <w:rsid w:val="13E274AC"/>
    <w:rsid w:val="13EE3A98"/>
    <w:rsid w:val="14301CC2"/>
    <w:rsid w:val="14694BBB"/>
    <w:rsid w:val="149F165C"/>
    <w:rsid w:val="14A44728"/>
    <w:rsid w:val="14D013EF"/>
    <w:rsid w:val="155713D3"/>
    <w:rsid w:val="15657D89"/>
    <w:rsid w:val="158E6E55"/>
    <w:rsid w:val="15CA3F93"/>
    <w:rsid w:val="15D942D4"/>
    <w:rsid w:val="162419F3"/>
    <w:rsid w:val="16612C47"/>
    <w:rsid w:val="1696695B"/>
    <w:rsid w:val="16CA6C53"/>
    <w:rsid w:val="16F5513D"/>
    <w:rsid w:val="17065B06"/>
    <w:rsid w:val="1740285C"/>
    <w:rsid w:val="174C1972"/>
    <w:rsid w:val="174C6B25"/>
    <w:rsid w:val="17777C51"/>
    <w:rsid w:val="17964BA4"/>
    <w:rsid w:val="17DF2C4E"/>
    <w:rsid w:val="17E17399"/>
    <w:rsid w:val="17EF7DDE"/>
    <w:rsid w:val="180C7DEE"/>
    <w:rsid w:val="18115297"/>
    <w:rsid w:val="18185587"/>
    <w:rsid w:val="182B52BA"/>
    <w:rsid w:val="18643E8C"/>
    <w:rsid w:val="186B3909"/>
    <w:rsid w:val="18B74DA0"/>
    <w:rsid w:val="18BC1320"/>
    <w:rsid w:val="18CF4361"/>
    <w:rsid w:val="18D12D79"/>
    <w:rsid w:val="18E65685"/>
    <w:rsid w:val="18FD1248"/>
    <w:rsid w:val="190F0738"/>
    <w:rsid w:val="19137AFC"/>
    <w:rsid w:val="191A70DD"/>
    <w:rsid w:val="196B16E7"/>
    <w:rsid w:val="19896649"/>
    <w:rsid w:val="199C7AF2"/>
    <w:rsid w:val="19D41982"/>
    <w:rsid w:val="19DD25E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13B74"/>
    <w:rsid w:val="1CDD25B2"/>
    <w:rsid w:val="1CF57C45"/>
    <w:rsid w:val="1CF85B73"/>
    <w:rsid w:val="1D207D1B"/>
    <w:rsid w:val="1D440BCC"/>
    <w:rsid w:val="1D4C70EF"/>
    <w:rsid w:val="1D4E55A7"/>
    <w:rsid w:val="1D686669"/>
    <w:rsid w:val="1D9E011C"/>
    <w:rsid w:val="1DA2147D"/>
    <w:rsid w:val="1DEF0B38"/>
    <w:rsid w:val="1E15334A"/>
    <w:rsid w:val="1E1F2075"/>
    <w:rsid w:val="1E5D1F46"/>
    <w:rsid w:val="1E74728F"/>
    <w:rsid w:val="1E763007"/>
    <w:rsid w:val="1EA731C1"/>
    <w:rsid w:val="1ED1049A"/>
    <w:rsid w:val="1EEC0F4D"/>
    <w:rsid w:val="1F3C1B5B"/>
    <w:rsid w:val="1F42203C"/>
    <w:rsid w:val="1F664B33"/>
    <w:rsid w:val="1F784C8E"/>
    <w:rsid w:val="1F8D1E7C"/>
    <w:rsid w:val="200F54C2"/>
    <w:rsid w:val="20124FB2"/>
    <w:rsid w:val="201A79C2"/>
    <w:rsid w:val="208A67A9"/>
    <w:rsid w:val="20906EE2"/>
    <w:rsid w:val="20943C19"/>
    <w:rsid w:val="216A32A5"/>
    <w:rsid w:val="218617B3"/>
    <w:rsid w:val="21B84BEB"/>
    <w:rsid w:val="21CF4F08"/>
    <w:rsid w:val="21F442B1"/>
    <w:rsid w:val="222C235B"/>
    <w:rsid w:val="22305829"/>
    <w:rsid w:val="22333EAB"/>
    <w:rsid w:val="223E5BEA"/>
    <w:rsid w:val="22471B27"/>
    <w:rsid w:val="22527535"/>
    <w:rsid w:val="227126F8"/>
    <w:rsid w:val="229323DA"/>
    <w:rsid w:val="2298179E"/>
    <w:rsid w:val="22AE0FC2"/>
    <w:rsid w:val="22C64C01"/>
    <w:rsid w:val="22E90929"/>
    <w:rsid w:val="23046E34"/>
    <w:rsid w:val="23164DB9"/>
    <w:rsid w:val="23503E27"/>
    <w:rsid w:val="236A792E"/>
    <w:rsid w:val="237D457E"/>
    <w:rsid w:val="238D507B"/>
    <w:rsid w:val="24294678"/>
    <w:rsid w:val="242F6132"/>
    <w:rsid w:val="24353D2E"/>
    <w:rsid w:val="244B2840"/>
    <w:rsid w:val="246833F2"/>
    <w:rsid w:val="249904EF"/>
    <w:rsid w:val="24C70119"/>
    <w:rsid w:val="24F3691F"/>
    <w:rsid w:val="255319AC"/>
    <w:rsid w:val="25693B3F"/>
    <w:rsid w:val="257F6C45"/>
    <w:rsid w:val="25A20B86"/>
    <w:rsid w:val="25AF518B"/>
    <w:rsid w:val="25B20DC9"/>
    <w:rsid w:val="25BA5ED0"/>
    <w:rsid w:val="25DE2B2D"/>
    <w:rsid w:val="25E22D30"/>
    <w:rsid w:val="2640497E"/>
    <w:rsid w:val="26435EC5"/>
    <w:rsid w:val="26477185"/>
    <w:rsid w:val="266320C3"/>
    <w:rsid w:val="26804A23"/>
    <w:rsid w:val="2681079B"/>
    <w:rsid w:val="268214FA"/>
    <w:rsid w:val="26962499"/>
    <w:rsid w:val="26B20955"/>
    <w:rsid w:val="26E456C1"/>
    <w:rsid w:val="26F966EB"/>
    <w:rsid w:val="270513CC"/>
    <w:rsid w:val="27135897"/>
    <w:rsid w:val="273A366C"/>
    <w:rsid w:val="27651060"/>
    <w:rsid w:val="278A3680"/>
    <w:rsid w:val="279B5FE0"/>
    <w:rsid w:val="279F35CF"/>
    <w:rsid w:val="27A97FAA"/>
    <w:rsid w:val="27B5050A"/>
    <w:rsid w:val="27F531EF"/>
    <w:rsid w:val="27F60D15"/>
    <w:rsid w:val="2816040D"/>
    <w:rsid w:val="283C7070"/>
    <w:rsid w:val="28532B0F"/>
    <w:rsid w:val="286A598B"/>
    <w:rsid w:val="28B44E58"/>
    <w:rsid w:val="28B4691C"/>
    <w:rsid w:val="291E49C7"/>
    <w:rsid w:val="294F692F"/>
    <w:rsid w:val="295217CA"/>
    <w:rsid w:val="295A1003"/>
    <w:rsid w:val="2976035F"/>
    <w:rsid w:val="29852318"/>
    <w:rsid w:val="29B019A3"/>
    <w:rsid w:val="29B0575C"/>
    <w:rsid w:val="29CF7060"/>
    <w:rsid w:val="29FC7BB6"/>
    <w:rsid w:val="2A0C2A72"/>
    <w:rsid w:val="2A4C41C5"/>
    <w:rsid w:val="2A7209CE"/>
    <w:rsid w:val="2AA06975"/>
    <w:rsid w:val="2AA902C1"/>
    <w:rsid w:val="2AB729DE"/>
    <w:rsid w:val="2ABC7FF4"/>
    <w:rsid w:val="2AF4778E"/>
    <w:rsid w:val="2B094D4A"/>
    <w:rsid w:val="2B3E6C5B"/>
    <w:rsid w:val="2B62123C"/>
    <w:rsid w:val="2B674404"/>
    <w:rsid w:val="2B7037B2"/>
    <w:rsid w:val="2B7408CF"/>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B2394"/>
    <w:rsid w:val="2EF57EF9"/>
    <w:rsid w:val="2F2D7712"/>
    <w:rsid w:val="2F5E78CC"/>
    <w:rsid w:val="2F6D3FB3"/>
    <w:rsid w:val="2F770A3B"/>
    <w:rsid w:val="2FA138E4"/>
    <w:rsid w:val="2FBE036A"/>
    <w:rsid w:val="2FE73A0A"/>
    <w:rsid w:val="2FE95D01"/>
    <w:rsid w:val="2FF01F76"/>
    <w:rsid w:val="30135356"/>
    <w:rsid w:val="301937F3"/>
    <w:rsid w:val="30562C99"/>
    <w:rsid w:val="305F38FB"/>
    <w:rsid w:val="306F62AC"/>
    <w:rsid w:val="30851151"/>
    <w:rsid w:val="30A734F4"/>
    <w:rsid w:val="30F96D34"/>
    <w:rsid w:val="3102072B"/>
    <w:rsid w:val="31181CFC"/>
    <w:rsid w:val="31434F33"/>
    <w:rsid w:val="316136A3"/>
    <w:rsid w:val="31623B36"/>
    <w:rsid w:val="31736083"/>
    <w:rsid w:val="31807FCD"/>
    <w:rsid w:val="3186135C"/>
    <w:rsid w:val="31A35A6A"/>
    <w:rsid w:val="31D67BED"/>
    <w:rsid w:val="32050911"/>
    <w:rsid w:val="32144BB9"/>
    <w:rsid w:val="32985C10"/>
    <w:rsid w:val="33263FCB"/>
    <w:rsid w:val="33294694"/>
    <w:rsid w:val="335A484E"/>
    <w:rsid w:val="33682619"/>
    <w:rsid w:val="336E5173"/>
    <w:rsid w:val="337C30AF"/>
    <w:rsid w:val="33837901"/>
    <w:rsid w:val="33910A3F"/>
    <w:rsid w:val="3394135A"/>
    <w:rsid w:val="33A67A93"/>
    <w:rsid w:val="33C06DA7"/>
    <w:rsid w:val="33C30645"/>
    <w:rsid w:val="3458408E"/>
    <w:rsid w:val="346159EE"/>
    <w:rsid w:val="34983880"/>
    <w:rsid w:val="34AF1EA4"/>
    <w:rsid w:val="34F33446"/>
    <w:rsid w:val="350C3926"/>
    <w:rsid w:val="35260E8C"/>
    <w:rsid w:val="352D0233"/>
    <w:rsid w:val="353321FB"/>
    <w:rsid w:val="3550313F"/>
    <w:rsid w:val="3554618D"/>
    <w:rsid w:val="35575864"/>
    <w:rsid w:val="355D6BE9"/>
    <w:rsid w:val="35681464"/>
    <w:rsid w:val="356A3ECE"/>
    <w:rsid w:val="357850F9"/>
    <w:rsid w:val="358F4407"/>
    <w:rsid w:val="35A17F3B"/>
    <w:rsid w:val="35AC540B"/>
    <w:rsid w:val="35C506A4"/>
    <w:rsid w:val="35DF486E"/>
    <w:rsid w:val="35ED3757"/>
    <w:rsid w:val="366C4FC4"/>
    <w:rsid w:val="3684161D"/>
    <w:rsid w:val="369167D9"/>
    <w:rsid w:val="369E4A52"/>
    <w:rsid w:val="36D44054"/>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250CA"/>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CD7C69"/>
    <w:rsid w:val="3AF630AE"/>
    <w:rsid w:val="3AF64E5C"/>
    <w:rsid w:val="3B130672"/>
    <w:rsid w:val="3B194FEF"/>
    <w:rsid w:val="3BC82C9D"/>
    <w:rsid w:val="3BDD601C"/>
    <w:rsid w:val="3BE6005B"/>
    <w:rsid w:val="3C08753D"/>
    <w:rsid w:val="3C175090"/>
    <w:rsid w:val="3C243C4B"/>
    <w:rsid w:val="3C355E58"/>
    <w:rsid w:val="3C7544A7"/>
    <w:rsid w:val="3C9568F7"/>
    <w:rsid w:val="3C996A84"/>
    <w:rsid w:val="3CB1259C"/>
    <w:rsid w:val="3CDD0FC9"/>
    <w:rsid w:val="3D274A9D"/>
    <w:rsid w:val="3D522DF4"/>
    <w:rsid w:val="3D7824A0"/>
    <w:rsid w:val="3D905948"/>
    <w:rsid w:val="3D94624D"/>
    <w:rsid w:val="3DA94408"/>
    <w:rsid w:val="3E1A411A"/>
    <w:rsid w:val="3E5C591E"/>
    <w:rsid w:val="3E641E5A"/>
    <w:rsid w:val="3E6A3F2D"/>
    <w:rsid w:val="3E821613"/>
    <w:rsid w:val="3E8310FD"/>
    <w:rsid w:val="3EB51069"/>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0A78B3"/>
    <w:rsid w:val="41314E40"/>
    <w:rsid w:val="413E3084"/>
    <w:rsid w:val="4182744A"/>
    <w:rsid w:val="41C15A00"/>
    <w:rsid w:val="41F83BB0"/>
    <w:rsid w:val="42240A09"/>
    <w:rsid w:val="42472441"/>
    <w:rsid w:val="424B52D4"/>
    <w:rsid w:val="424E557E"/>
    <w:rsid w:val="425A6618"/>
    <w:rsid w:val="428169B3"/>
    <w:rsid w:val="42B20202"/>
    <w:rsid w:val="42C27D1A"/>
    <w:rsid w:val="431C567C"/>
    <w:rsid w:val="434D384C"/>
    <w:rsid w:val="43A05439"/>
    <w:rsid w:val="43CA57C8"/>
    <w:rsid w:val="43F403A7"/>
    <w:rsid w:val="43FC6A95"/>
    <w:rsid w:val="44616288"/>
    <w:rsid w:val="446C3C93"/>
    <w:rsid w:val="4492209A"/>
    <w:rsid w:val="44A60973"/>
    <w:rsid w:val="44CF5928"/>
    <w:rsid w:val="44D37FBC"/>
    <w:rsid w:val="44DC651A"/>
    <w:rsid w:val="44ED2FD3"/>
    <w:rsid w:val="44FD45BD"/>
    <w:rsid w:val="45093048"/>
    <w:rsid w:val="4517269E"/>
    <w:rsid w:val="452B1BA6"/>
    <w:rsid w:val="45396A19"/>
    <w:rsid w:val="45497568"/>
    <w:rsid w:val="456652D4"/>
    <w:rsid w:val="45795008"/>
    <w:rsid w:val="45801D20"/>
    <w:rsid w:val="45B222C8"/>
    <w:rsid w:val="45C218AE"/>
    <w:rsid w:val="45E36925"/>
    <w:rsid w:val="45F66658"/>
    <w:rsid w:val="461E33FF"/>
    <w:rsid w:val="46BD0F24"/>
    <w:rsid w:val="46CF66C7"/>
    <w:rsid w:val="47013FF5"/>
    <w:rsid w:val="471F1BDF"/>
    <w:rsid w:val="472E740D"/>
    <w:rsid w:val="47631ACB"/>
    <w:rsid w:val="476D4C47"/>
    <w:rsid w:val="47794E4B"/>
    <w:rsid w:val="477E6905"/>
    <w:rsid w:val="47A520E4"/>
    <w:rsid w:val="47A73CBB"/>
    <w:rsid w:val="47BA4746"/>
    <w:rsid w:val="47E0136E"/>
    <w:rsid w:val="47F95BF5"/>
    <w:rsid w:val="48164D90"/>
    <w:rsid w:val="481E5DAA"/>
    <w:rsid w:val="48362D3C"/>
    <w:rsid w:val="4876582E"/>
    <w:rsid w:val="48825F81"/>
    <w:rsid w:val="488F68F0"/>
    <w:rsid w:val="48A51C70"/>
    <w:rsid w:val="48D25621"/>
    <w:rsid w:val="494B2817"/>
    <w:rsid w:val="495050CA"/>
    <w:rsid w:val="49577C28"/>
    <w:rsid w:val="495C005F"/>
    <w:rsid w:val="49886301"/>
    <w:rsid w:val="499E07E8"/>
    <w:rsid w:val="49A14B2D"/>
    <w:rsid w:val="49AB59AC"/>
    <w:rsid w:val="49BC5837"/>
    <w:rsid w:val="49BC684D"/>
    <w:rsid w:val="49E54A1A"/>
    <w:rsid w:val="49FA3056"/>
    <w:rsid w:val="4A147A9B"/>
    <w:rsid w:val="4A1E7F2C"/>
    <w:rsid w:val="4A4E6A63"/>
    <w:rsid w:val="4A9A27AA"/>
    <w:rsid w:val="4AC012CF"/>
    <w:rsid w:val="4AC5484B"/>
    <w:rsid w:val="4ACC7988"/>
    <w:rsid w:val="4AF07B1A"/>
    <w:rsid w:val="4B013AD5"/>
    <w:rsid w:val="4B1223EE"/>
    <w:rsid w:val="4B617C59"/>
    <w:rsid w:val="4B674E8A"/>
    <w:rsid w:val="4B6E4EE3"/>
    <w:rsid w:val="4B7D096D"/>
    <w:rsid w:val="4B867A5E"/>
    <w:rsid w:val="4BB00F6A"/>
    <w:rsid w:val="4BB6094C"/>
    <w:rsid w:val="4BD94AC8"/>
    <w:rsid w:val="4BF462E9"/>
    <w:rsid w:val="4BF54CBC"/>
    <w:rsid w:val="4BFE6267"/>
    <w:rsid w:val="4C065F5C"/>
    <w:rsid w:val="4C0A4C0B"/>
    <w:rsid w:val="4C190265"/>
    <w:rsid w:val="4C3B4DC5"/>
    <w:rsid w:val="4C475E14"/>
    <w:rsid w:val="4C4A325A"/>
    <w:rsid w:val="4C53438E"/>
    <w:rsid w:val="4C7402D7"/>
    <w:rsid w:val="4C9F663F"/>
    <w:rsid w:val="4CD15729"/>
    <w:rsid w:val="4CD91CFF"/>
    <w:rsid w:val="4CE4545C"/>
    <w:rsid w:val="4CFD02CC"/>
    <w:rsid w:val="4D464E7A"/>
    <w:rsid w:val="4D5E3185"/>
    <w:rsid w:val="4D704F42"/>
    <w:rsid w:val="4D930C30"/>
    <w:rsid w:val="4DA90454"/>
    <w:rsid w:val="4DD74FC1"/>
    <w:rsid w:val="4DDF79D2"/>
    <w:rsid w:val="4DF64E7D"/>
    <w:rsid w:val="4E00263F"/>
    <w:rsid w:val="4E0833CC"/>
    <w:rsid w:val="4E195013"/>
    <w:rsid w:val="4E335445"/>
    <w:rsid w:val="4E3E7ABD"/>
    <w:rsid w:val="4EA053B3"/>
    <w:rsid w:val="4EBB3F9B"/>
    <w:rsid w:val="4EC05A55"/>
    <w:rsid w:val="4EC74768"/>
    <w:rsid w:val="4ECF0762"/>
    <w:rsid w:val="4ED6787C"/>
    <w:rsid w:val="4EDA484F"/>
    <w:rsid w:val="4EDE412D"/>
    <w:rsid w:val="4EF37BD9"/>
    <w:rsid w:val="4F28486A"/>
    <w:rsid w:val="4F4D3BA2"/>
    <w:rsid w:val="4F6603AB"/>
    <w:rsid w:val="4F697E9B"/>
    <w:rsid w:val="4FA03191"/>
    <w:rsid w:val="4FA36773"/>
    <w:rsid w:val="4FDD62EE"/>
    <w:rsid w:val="4FE47521"/>
    <w:rsid w:val="4FFE6835"/>
    <w:rsid w:val="50113DB7"/>
    <w:rsid w:val="501C16FA"/>
    <w:rsid w:val="502D0EC8"/>
    <w:rsid w:val="50A70C7B"/>
    <w:rsid w:val="50D77589"/>
    <w:rsid w:val="50FB45EB"/>
    <w:rsid w:val="50FE0D84"/>
    <w:rsid w:val="51005ED1"/>
    <w:rsid w:val="51071719"/>
    <w:rsid w:val="51143E36"/>
    <w:rsid w:val="51695F30"/>
    <w:rsid w:val="518012F6"/>
    <w:rsid w:val="51CC6F0B"/>
    <w:rsid w:val="51E97071"/>
    <w:rsid w:val="51EC090F"/>
    <w:rsid w:val="51FC6DA4"/>
    <w:rsid w:val="5200004C"/>
    <w:rsid w:val="524B1ADA"/>
    <w:rsid w:val="525E35BB"/>
    <w:rsid w:val="528154FB"/>
    <w:rsid w:val="529A036B"/>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5124B31"/>
    <w:rsid w:val="553E6538"/>
    <w:rsid w:val="557E3F74"/>
    <w:rsid w:val="557F772A"/>
    <w:rsid w:val="55843BD5"/>
    <w:rsid w:val="55AF5D1C"/>
    <w:rsid w:val="55B47996"/>
    <w:rsid w:val="55C35EAF"/>
    <w:rsid w:val="55CA5A69"/>
    <w:rsid w:val="55DD513F"/>
    <w:rsid w:val="55EE10FA"/>
    <w:rsid w:val="560E29EF"/>
    <w:rsid w:val="560E52F8"/>
    <w:rsid w:val="56530823"/>
    <w:rsid w:val="56DC0F52"/>
    <w:rsid w:val="56E2080F"/>
    <w:rsid w:val="56E75E2D"/>
    <w:rsid w:val="572F671D"/>
    <w:rsid w:val="57355204"/>
    <w:rsid w:val="575925A3"/>
    <w:rsid w:val="57596A47"/>
    <w:rsid w:val="577E4EC0"/>
    <w:rsid w:val="57812D77"/>
    <w:rsid w:val="5799298C"/>
    <w:rsid w:val="57CF0AB7"/>
    <w:rsid w:val="57D55168"/>
    <w:rsid w:val="57F64296"/>
    <w:rsid w:val="57F81DBC"/>
    <w:rsid w:val="582708F3"/>
    <w:rsid w:val="5867672F"/>
    <w:rsid w:val="58711B6E"/>
    <w:rsid w:val="58786725"/>
    <w:rsid w:val="58847AF3"/>
    <w:rsid w:val="58B6709E"/>
    <w:rsid w:val="58DC16DE"/>
    <w:rsid w:val="59073F3C"/>
    <w:rsid w:val="590925F5"/>
    <w:rsid w:val="599825F2"/>
    <w:rsid w:val="59A0270B"/>
    <w:rsid w:val="59A85A64"/>
    <w:rsid w:val="59D61BA3"/>
    <w:rsid w:val="59E3084A"/>
    <w:rsid w:val="5A0A4028"/>
    <w:rsid w:val="5A1947A5"/>
    <w:rsid w:val="5A3572F7"/>
    <w:rsid w:val="5A4C2FD0"/>
    <w:rsid w:val="5A5F25C6"/>
    <w:rsid w:val="5A637F6F"/>
    <w:rsid w:val="5A67279E"/>
    <w:rsid w:val="5A6804AB"/>
    <w:rsid w:val="5A755946"/>
    <w:rsid w:val="5AA955EF"/>
    <w:rsid w:val="5ADB3CBD"/>
    <w:rsid w:val="5AEC372E"/>
    <w:rsid w:val="5AF251E8"/>
    <w:rsid w:val="5AF32D0E"/>
    <w:rsid w:val="5AF820D3"/>
    <w:rsid w:val="5B3A6B8F"/>
    <w:rsid w:val="5B467A08"/>
    <w:rsid w:val="5B597015"/>
    <w:rsid w:val="5B5B4CD5"/>
    <w:rsid w:val="5B653C0C"/>
    <w:rsid w:val="5B7F473C"/>
    <w:rsid w:val="5B871777"/>
    <w:rsid w:val="5BD23965"/>
    <w:rsid w:val="5BD32D6E"/>
    <w:rsid w:val="5BE15A6C"/>
    <w:rsid w:val="5BE45F0E"/>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7128C8"/>
    <w:rsid w:val="5E7A5BC7"/>
    <w:rsid w:val="5E8A398A"/>
    <w:rsid w:val="5E954808"/>
    <w:rsid w:val="5E9F7435"/>
    <w:rsid w:val="5EA7453C"/>
    <w:rsid w:val="5EBA601D"/>
    <w:rsid w:val="5EBB1968"/>
    <w:rsid w:val="5EC40C4A"/>
    <w:rsid w:val="5EE15B4F"/>
    <w:rsid w:val="5EE202B3"/>
    <w:rsid w:val="5EE66E12"/>
    <w:rsid w:val="5F6655AA"/>
    <w:rsid w:val="5F8B1768"/>
    <w:rsid w:val="5F8F74AA"/>
    <w:rsid w:val="5FAF18FA"/>
    <w:rsid w:val="5FEF619A"/>
    <w:rsid w:val="601371F1"/>
    <w:rsid w:val="60671922"/>
    <w:rsid w:val="607C109C"/>
    <w:rsid w:val="60934D78"/>
    <w:rsid w:val="60AC5E39"/>
    <w:rsid w:val="60DB5136"/>
    <w:rsid w:val="618E68BA"/>
    <w:rsid w:val="61B27B2C"/>
    <w:rsid w:val="61B9080E"/>
    <w:rsid w:val="61BC41C8"/>
    <w:rsid w:val="61D70B80"/>
    <w:rsid w:val="61F555BE"/>
    <w:rsid w:val="62111876"/>
    <w:rsid w:val="62314848"/>
    <w:rsid w:val="623B56C7"/>
    <w:rsid w:val="62884A44"/>
    <w:rsid w:val="628C1A7E"/>
    <w:rsid w:val="62D11F49"/>
    <w:rsid w:val="62E541D8"/>
    <w:rsid w:val="62EF025F"/>
    <w:rsid w:val="632B53E1"/>
    <w:rsid w:val="63333EB7"/>
    <w:rsid w:val="63367C3C"/>
    <w:rsid w:val="637B0BF4"/>
    <w:rsid w:val="6390559E"/>
    <w:rsid w:val="63CB2625"/>
    <w:rsid w:val="6468132B"/>
    <w:rsid w:val="64904662"/>
    <w:rsid w:val="64B92960"/>
    <w:rsid w:val="64BB409E"/>
    <w:rsid w:val="64BD0615"/>
    <w:rsid w:val="64FE29DC"/>
    <w:rsid w:val="64FE57A9"/>
    <w:rsid w:val="6531690D"/>
    <w:rsid w:val="654152E7"/>
    <w:rsid w:val="65431690"/>
    <w:rsid w:val="65510D5D"/>
    <w:rsid w:val="656965AA"/>
    <w:rsid w:val="65827169"/>
    <w:rsid w:val="65B744A7"/>
    <w:rsid w:val="65BF216B"/>
    <w:rsid w:val="65F8567D"/>
    <w:rsid w:val="660A5ADC"/>
    <w:rsid w:val="66100C18"/>
    <w:rsid w:val="6645577F"/>
    <w:rsid w:val="665772D8"/>
    <w:rsid w:val="66666A8A"/>
    <w:rsid w:val="66682803"/>
    <w:rsid w:val="668138C4"/>
    <w:rsid w:val="668A2779"/>
    <w:rsid w:val="66EA1469"/>
    <w:rsid w:val="66EB246B"/>
    <w:rsid w:val="670E1FF7"/>
    <w:rsid w:val="6734598E"/>
    <w:rsid w:val="67381624"/>
    <w:rsid w:val="67786A75"/>
    <w:rsid w:val="678968B7"/>
    <w:rsid w:val="679B2764"/>
    <w:rsid w:val="67A27E42"/>
    <w:rsid w:val="67A535E2"/>
    <w:rsid w:val="67A61834"/>
    <w:rsid w:val="67C32D47"/>
    <w:rsid w:val="67FD51CC"/>
    <w:rsid w:val="68054659"/>
    <w:rsid w:val="68633281"/>
    <w:rsid w:val="68664B20"/>
    <w:rsid w:val="68A838B0"/>
    <w:rsid w:val="68C760A4"/>
    <w:rsid w:val="68CF07BD"/>
    <w:rsid w:val="68E65C61"/>
    <w:rsid w:val="692E211D"/>
    <w:rsid w:val="69833542"/>
    <w:rsid w:val="69EC54F9"/>
    <w:rsid w:val="6A116D0D"/>
    <w:rsid w:val="6A2904FB"/>
    <w:rsid w:val="6AD0578E"/>
    <w:rsid w:val="6ADF09E7"/>
    <w:rsid w:val="6AED777A"/>
    <w:rsid w:val="6AF9611F"/>
    <w:rsid w:val="6B014FD4"/>
    <w:rsid w:val="6B0C2230"/>
    <w:rsid w:val="6B2807B2"/>
    <w:rsid w:val="6BA918F3"/>
    <w:rsid w:val="6BB0484E"/>
    <w:rsid w:val="6BB44CEC"/>
    <w:rsid w:val="6BCE135A"/>
    <w:rsid w:val="6BCF025E"/>
    <w:rsid w:val="6C1A0813"/>
    <w:rsid w:val="6C383399"/>
    <w:rsid w:val="6C410CB8"/>
    <w:rsid w:val="6C4C5815"/>
    <w:rsid w:val="6C975BF0"/>
    <w:rsid w:val="6CA60319"/>
    <w:rsid w:val="6CA92135"/>
    <w:rsid w:val="6CBA368C"/>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E7E41"/>
    <w:rsid w:val="6FFB46E7"/>
    <w:rsid w:val="701D4C35"/>
    <w:rsid w:val="702937E8"/>
    <w:rsid w:val="703828C8"/>
    <w:rsid w:val="70610025"/>
    <w:rsid w:val="70614F23"/>
    <w:rsid w:val="70985E1A"/>
    <w:rsid w:val="70AD3C34"/>
    <w:rsid w:val="710B3229"/>
    <w:rsid w:val="7113780F"/>
    <w:rsid w:val="71353C29"/>
    <w:rsid w:val="713E0DE6"/>
    <w:rsid w:val="71431EA2"/>
    <w:rsid w:val="71463740"/>
    <w:rsid w:val="71482D64"/>
    <w:rsid w:val="71520337"/>
    <w:rsid w:val="715D270E"/>
    <w:rsid w:val="71812492"/>
    <w:rsid w:val="71866233"/>
    <w:rsid w:val="718A041C"/>
    <w:rsid w:val="71955149"/>
    <w:rsid w:val="71BC1C54"/>
    <w:rsid w:val="71CF6831"/>
    <w:rsid w:val="71E700C3"/>
    <w:rsid w:val="71EB08C4"/>
    <w:rsid w:val="72062ED0"/>
    <w:rsid w:val="72072498"/>
    <w:rsid w:val="722241AD"/>
    <w:rsid w:val="722D66AE"/>
    <w:rsid w:val="724B4950"/>
    <w:rsid w:val="72655682"/>
    <w:rsid w:val="72753BBF"/>
    <w:rsid w:val="727D22A9"/>
    <w:rsid w:val="72842772"/>
    <w:rsid w:val="72850298"/>
    <w:rsid w:val="72B616BF"/>
    <w:rsid w:val="72B8241C"/>
    <w:rsid w:val="72D52FCE"/>
    <w:rsid w:val="72EC6569"/>
    <w:rsid w:val="73124222"/>
    <w:rsid w:val="73133AF6"/>
    <w:rsid w:val="73265C65"/>
    <w:rsid w:val="734463B8"/>
    <w:rsid w:val="736511D4"/>
    <w:rsid w:val="73705419"/>
    <w:rsid w:val="738B5432"/>
    <w:rsid w:val="73927111"/>
    <w:rsid w:val="7399224D"/>
    <w:rsid w:val="73A1041B"/>
    <w:rsid w:val="73C2557F"/>
    <w:rsid w:val="745E567C"/>
    <w:rsid w:val="74717183"/>
    <w:rsid w:val="747607E0"/>
    <w:rsid w:val="748800DE"/>
    <w:rsid w:val="749D7B1B"/>
    <w:rsid w:val="74B86703"/>
    <w:rsid w:val="74BB3112"/>
    <w:rsid w:val="74C46742"/>
    <w:rsid w:val="74D80D17"/>
    <w:rsid w:val="74EC2CAE"/>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996CC0"/>
    <w:rsid w:val="780103C1"/>
    <w:rsid w:val="780E4529"/>
    <w:rsid w:val="781E0018"/>
    <w:rsid w:val="782346D8"/>
    <w:rsid w:val="785C1A9B"/>
    <w:rsid w:val="78632E2A"/>
    <w:rsid w:val="7879089F"/>
    <w:rsid w:val="78A21BA4"/>
    <w:rsid w:val="78B1191D"/>
    <w:rsid w:val="78E23201"/>
    <w:rsid w:val="79037878"/>
    <w:rsid w:val="790F4D60"/>
    <w:rsid w:val="792425B9"/>
    <w:rsid w:val="79330B20"/>
    <w:rsid w:val="79554E68"/>
    <w:rsid w:val="795937A5"/>
    <w:rsid w:val="79650C6A"/>
    <w:rsid w:val="79DA711C"/>
    <w:rsid w:val="79E166FC"/>
    <w:rsid w:val="7A0B76AE"/>
    <w:rsid w:val="7A1666D6"/>
    <w:rsid w:val="7A2111EE"/>
    <w:rsid w:val="7A29645E"/>
    <w:rsid w:val="7A461D58"/>
    <w:rsid w:val="7A5C0BF2"/>
    <w:rsid w:val="7A611EC9"/>
    <w:rsid w:val="7A7358BD"/>
    <w:rsid w:val="7A8A28F0"/>
    <w:rsid w:val="7A9419C0"/>
    <w:rsid w:val="7A9E283F"/>
    <w:rsid w:val="7AE70F19"/>
    <w:rsid w:val="7AEC0C8C"/>
    <w:rsid w:val="7B203254"/>
    <w:rsid w:val="7B3311D9"/>
    <w:rsid w:val="7B450F0D"/>
    <w:rsid w:val="7B9F439A"/>
    <w:rsid w:val="7BD06A28"/>
    <w:rsid w:val="7BDA78A7"/>
    <w:rsid w:val="7BF070CA"/>
    <w:rsid w:val="7C097C82"/>
    <w:rsid w:val="7C245553"/>
    <w:rsid w:val="7C264DF2"/>
    <w:rsid w:val="7C4F7E84"/>
    <w:rsid w:val="7C5143D4"/>
    <w:rsid w:val="7C6B4D98"/>
    <w:rsid w:val="7C943EFA"/>
    <w:rsid w:val="7CA86399"/>
    <w:rsid w:val="7D405703"/>
    <w:rsid w:val="7D470F6C"/>
    <w:rsid w:val="7D524231"/>
    <w:rsid w:val="7D5E5791"/>
    <w:rsid w:val="7D871368"/>
    <w:rsid w:val="7DBD6255"/>
    <w:rsid w:val="7DE51DFA"/>
    <w:rsid w:val="7DE879B0"/>
    <w:rsid w:val="7E0230E5"/>
    <w:rsid w:val="7E0953A6"/>
    <w:rsid w:val="7E266DD3"/>
    <w:rsid w:val="7ED700CE"/>
    <w:rsid w:val="7EEE6F0F"/>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6"/>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72"/>
    <w:autoRedefine/>
    <w:qFormat/>
    <w:uiPriority w:val="0"/>
    <w:pPr>
      <w:spacing w:after="120"/>
    </w:p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Normal Indent"/>
    <w:basedOn w:val="1"/>
    <w:link w:val="70"/>
    <w:autoRedefine/>
    <w:qFormat/>
    <w:uiPriority w:val="0"/>
    <w:pPr>
      <w:ind w:firstLine="420" w:firstLineChars="200"/>
    </w:pPr>
    <w:rPr>
      <w:kern w:val="0"/>
      <w:sz w:val="20"/>
    </w:rPr>
  </w:style>
  <w:style w:type="paragraph" w:styleId="15">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6">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3"/>
    <w:autoRedefine/>
    <w:qFormat/>
    <w:uiPriority w:val="99"/>
    <w:pPr>
      <w:jc w:val="left"/>
    </w:pPr>
  </w:style>
  <w:style w:type="paragraph" w:styleId="19">
    <w:name w:val="Body Text 3"/>
    <w:basedOn w:val="1"/>
    <w:link w:val="200"/>
    <w:qFormat/>
    <w:uiPriority w:val="0"/>
    <w:pPr>
      <w:spacing w:after="120"/>
    </w:pPr>
    <w:rPr>
      <w:sz w:val="16"/>
      <w:szCs w:val="16"/>
    </w:rPr>
  </w:style>
  <w:style w:type="paragraph" w:styleId="20">
    <w:name w:val="Body Text Indent"/>
    <w:basedOn w:val="1"/>
    <w:link w:val="95"/>
    <w:qFormat/>
    <w:uiPriority w:val="0"/>
    <w:pPr>
      <w:spacing w:after="120"/>
      <w:ind w:left="420" w:leftChars="200"/>
    </w:pPr>
  </w:style>
  <w:style w:type="paragraph" w:styleId="21">
    <w:name w:val="toc 5"/>
    <w:basedOn w:val="1"/>
    <w:next w:val="1"/>
    <w:autoRedefine/>
    <w:unhideWhenUsed/>
    <w:qFormat/>
    <w:uiPriority w:val="0"/>
    <w:pPr>
      <w:ind w:left="840"/>
      <w:jc w:val="left"/>
    </w:pPr>
    <w:rPr>
      <w:rFonts w:ascii="Calibri" w:hAnsi="Calibri"/>
      <w:sz w:val="18"/>
      <w:szCs w:val="18"/>
    </w:rPr>
  </w:style>
  <w:style w:type="paragraph" w:styleId="22">
    <w:name w:val="toc 3"/>
    <w:basedOn w:val="1"/>
    <w:next w:val="1"/>
    <w:autoRedefine/>
    <w:unhideWhenUsed/>
    <w:qFormat/>
    <w:uiPriority w:val="39"/>
    <w:pPr>
      <w:ind w:left="420"/>
      <w:jc w:val="left"/>
    </w:pPr>
    <w:rPr>
      <w:rFonts w:ascii="Calibri" w:hAnsi="Calibri"/>
      <w:i/>
      <w:iCs/>
      <w:sz w:val="20"/>
      <w:szCs w:val="20"/>
    </w:rPr>
  </w:style>
  <w:style w:type="paragraph" w:styleId="23">
    <w:name w:val="Plain Text"/>
    <w:basedOn w:val="1"/>
    <w:link w:val="67"/>
    <w:autoRedefine/>
    <w:qFormat/>
    <w:uiPriority w:val="0"/>
    <w:rPr>
      <w:rFonts w:ascii="宋体" w:hAnsi="Courier New"/>
      <w:szCs w:val="20"/>
    </w:rPr>
  </w:style>
  <w:style w:type="paragraph" w:styleId="24">
    <w:name w:val="toc 8"/>
    <w:basedOn w:val="1"/>
    <w:next w:val="1"/>
    <w:autoRedefine/>
    <w:unhideWhenUsed/>
    <w:qFormat/>
    <w:uiPriority w:val="0"/>
    <w:pPr>
      <w:ind w:left="1470"/>
      <w:jc w:val="left"/>
    </w:pPr>
    <w:rPr>
      <w:rFonts w:ascii="Calibri" w:hAnsi="Calibri"/>
      <w:sz w:val="18"/>
      <w:szCs w:val="18"/>
    </w:rPr>
  </w:style>
  <w:style w:type="paragraph" w:styleId="25">
    <w:name w:val="Date"/>
    <w:basedOn w:val="1"/>
    <w:next w:val="1"/>
    <w:link w:val="199"/>
    <w:autoRedefine/>
    <w:qFormat/>
    <w:uiPriority w:val="0"/>
    <w:pPr>
      <w:ind w:left="100" w:leftChars="2500"/>
    </w:pPr>
  </w:style>
  <w:style w:type="paragraph" w:styleId="26">
    <w:name w:val="Body Text Indent 2"/>
    <w:basedOn w:val="1"/>
    <w:link w:val="94"/>
    <w:autoRedefine/>
    <w:qFormat/>
    <w:uiPriority w:val="0"/>
    <w:pPr>
      <w:spacing w:after="120" w:line="480" w:lineRule="auto"/>
      <w:ind w:left="420" w:leftChars="200"/>
    </w:pPr>
  </w:style>
  <w:style w:type="paragraph" w:styleId="27">
    <w:name w:val="Balloon Text"/>
    <w:basedOn w:val="1"/>
    <w:link w:val="75"/>
    <w:autoRedefine/>
    <w:qFormat/>
    <w:uiPriority w:val="0"/>
    <w:rPr>
      <w:sz w:val="18"/>
      <w:szCs w:val="18"/>
    </w:rPr>
  </w:style>
  <w:style w:type="paragraph" w:styleId="28">
    <w:name w:val="footer"/>
    <w:basedOn w:val="1"/>
    <w:link w:val="57"/>
    <w:autoRedefine/>
    <w:qFormat/>
    <w:uiPriority w:val="0"/>
    <w:pPr>
      <w:tabs>
        <w:tab w:val="center" w:pos="4153"/>
        <w:tab w:val="right" w:pos="8306"/>
      </w:tabs>
      <w:snapToGrid w:val="0"/>
      <w:jc w:val="left"/>
    </w:pPr>
    <w:rPr>
      <w:sz w:val="18"/>
      <w:szCs w:val="18"/>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74"/>
    <w:semiHidden/>
    <w:qFormat/>
    <w:uiPriority w:val="0"/>
    <w:rPr>
      <w:b/>
      <w:bCs/>
    </w:rPr>
  </w:style>
  <w:style w:type="paragraph" w:styleId="42">
    <w:name w:val="Body Text First Indent"/>
    <w:basedOn w:val="2"/>
    <w:link w:val="240"/>
    <w:autoRedefine/>
    <w:qFormat/>
    <w:uiPriority w:val="0"/>
    <w:pPr>
      <w:ind w:firstLine="420" w:firstLineChars="100"/>
    </w:pPr>
    <w:rPr>
      <w:b/>
      <w:bCs/>
    </w:rPr>
  </w:style>
  <w:style w:type="paragraph" w:styleId="43">
    <w:name w:val="Body Text First Indent 2"/>
    <w:basedOn w:val="20"/>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29"/>
    <w:autoRedefine/>
    <w:qFormat/>
    <w:uiPriority w:val="0"/>
    <w:rPr>
      <w:rFonts w:ascii="Times New Roman" w:hAnsi="Times New Roman" w:eastAsia="宋体" w:cs="Times New Roman"/>
      <w:sz w:val="18"/>
      <w:szCs w:val="18"/>
    </w:rPr>
  </w:style>
  <w:style w:type="character" w:customStyle="1" w:styleId="57">
    <w:name w:val="页脚 字符"/>
    <w:link w:val="28"/>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3"/>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4"/>
    <w:autoRedefine/>
    <w:qFormat/>
    <w:uiPriority w:val="0"/>
    <w:rPr>
      <w:rFonts w:ascii="Times New Roman" w:hAnsi="Times New Roman" w:eastAsia="宋体" w:cs="Times New Roman"/>
      <w:szCs w:val="24"/>
    </w:rPr>
  </w:style>
  <w:style w:type="character" w:customStyle="1" w:styleId="71">
    <w:name w:val="文档结构图 字符"/>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2"/>
    <w:autoRedefine/>
    <w:qFormat/>
    <w:uiPriority w:val="0"/>
    <w:rPr>
      <w:rFonts w:ascii="Times New Roman" w:hAnsi="Times New Roman" w:eastAsia="宋体" w:cs="Times New Roman"/>
      <w:szCs w:val="24"/>
    </w:rPr>
  </w:style>
  <w:style w:type="character" w:customStyle="1" w:styleId="73">
    <w:name w:val="批注文字 字符"/>
    <w:link w:val="18"/>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7"/>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8"/>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6"/>
    <w:autoRedefine/>
    <w:qFormat/>
    <w:uiPriority w:val="0"/>
    <w:rPr>
      <w:rFonts w:ascii="Times New Roman" w:hAnsi="Times New Roman" w:eastAsia="宋体" w:cs="Times New Roman"/>
      <w:szCs w:val="24"/>
    </w:rPr>
  </w:style>
  <w:style w:type="character" w:customStyle="1" w:styleId="95">
    <w:name w:val="正文文本缩进 字符"/>
    <w:link w:val="20"/>
    <w:autoRedefine/>
    <w:qFormat/>
    <w:uiPriority w:val="0"/>
    <w:rPr>
      <w:rFonts w:ascii="Times New Roman" w:hAnsi="Times New Roman" w:eastAsia="宋体" w:cs="Times New Roman"/>
      <w:szCs w:val="24"/>
    </w:rPr>
  </w:style>
  <w:style w:type="paragraph" w:customStyle="1" w:styleId="96">
    <w:name w:val="样式 正文缩进 + 首行缩进:  2 字符"/>
    <w:basedOn w:val="14"/>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7"/>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0"/>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5"/>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3"/>
    <w:autoRedefine/>
    <w:qFormat/>
    <w:uiPriority w:val="0"/>
    <w:rPr>
      <w:rFonts w:ascii="Times New Roman" w:hAnsi="Times New Roman" w:eastAsia="宋体" w:cs="Times New Roman"/>
      <w:sz w:val="16"/>
      <w:szCs w:val="16"/>
    </w:rPr>
  </w:style>
  <w:style w:type="character" w:customStyle="1" w:styleId="147">
    <w:name w:val="正文文本 2 字符"/>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5"/>
    <w:qFormat/>
    <w:uiPriority w:val="0"/>
    <w:rPr>
      <w:rFonts w:ascii="Times New Roman" w:hAnsi="Times New Roman" w:eastAsia="宋体" w:cs="Times New Roman"/>
      <w:szCs w:val="24"/>
    </w:rPr>
  </w:style>
  <w:style w:type="character" w:customStyle="1" w:styleId="200">
    <w:name w:val="正文文本 3 字符"/>
    <w:link w:val="19"/>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0"/>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2"/>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0"/>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3"/>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5"/>
    <w:qFormat/>
    <w:uiPriority w:val="0"/>
    <w:pPr>
      <w:ind w:left="-132" w:leftChars="-64" w:right="-105" w:rightChars="-50" w:hanging="2"/>
      <w:jc w:val="center"/>
    </w:pPr>
    <w:rPr>
      <w:b/>
      <w:color w:val="FF0000"/>
      <w:szCs w:val="21"/>
      <w:lang w:val="en-GB"/>
    </w:rPr>
  </w:style>
  <w:style w:type="paragraph" w:customStyle="1" w:styleId="306">
    <w:name w:val=".正文"/>
    <w:basedOn w:val="1"/>
    <w:autoRedefine/>
    <w:qFormat/>
    <w:uiPriority w:val="0"/>
    <w:pPr>
      <w:spacing w:beforeLines="50"/>
      <w:ind w:firstLine="200" w:firstLineChars="200"/>
    </w:pPr>
    <w:rPr>
      <w:rFonts w:ascii="Calibri" w:hAnsi="Calibri" w:eastAsia="华文仿宋"/>
      <w:szCs w:val="22"/>
    </w:rPr>
  </w:style>
  <w:style w:type="paragraph" w:customStyle="1" w:styleId="307">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8347</Words>
  <Characters>8748</Characters>
  <Lines>1</Lines>
  <Paragraphs>1</Paragraphs>
  <TotalTime>30</TotalTime>
  <ScaleCrop>false</ScaleCrop>
  <LinksUpToDate>false</LinksUpToDate>
  <CharactersWithSpaces>8822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2025-08-07T08:30:38Z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26A7859892654116B1015DEC50FC107B_13</vt:lpwstr>
  </property>
  <property fmtid="{D5CDD505-2E9C-101B-9397-08002B2CF9AE}" pid="4" name="KSOTemplateDocerSaveRecord">
    <vt:lpwstr>eyJoZGlkIjoiMjZkNWQ0ZjZjNTBiMWQ3YjViNDBiZGNkNjI3Y2M1ZWEiLCJ1c2VySWQiOiIxNTE4NzAwMTc2In0=</vt:lpwstr>
  </property>
</Properties>
</file>