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56A7B">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14:paraId="7BD398E4">
      <w:pPr>
        <w:jc w:val="center"/>
        <w:rPr>
          <w:rFonts w:asciiTheme="minorEastAsia" w:hAnsiTheme="minorEastAsia" w:cstheme="minorEastAsia"/>
          <w:b/>
          <w:bCs/>
          <w:sz w:val="24"/>
          <w:szCs w:val="24"/>
        </w:rPr>
      </w:pPr>
    </w:p>
    <w:p w14:paraId="6C55775F">
      <w:pPr>
        <w:rPr>
          <w:rFonts w:asciiTheme="minorEastAsia" w:hAnsiTheme="minorEastAsia" w:cstheme="minorEastAsia"/>
          <w:sz w:val="28"/>
          <w:szCs w:val="28"/>
        </w:rPr>
      </w:pPr>
      <w:r>
        <w:rPr>
          <w:rFonts w:hint="eastAsia" w:asciiTheme="minorEastAsia" w:hAnsiTheme="minorEastAsia" w:cstheme="minorEastAsia"/>
          <w:sz w:val="28"/>
          <w:szCs w:val="28"/>
        </w:rPr>
        <w:t xml:space="preserve"> 1、深圳市福田区第二人民医院对本单位部分耗材进行公开招标。欢迎各有医疗器械经营许可权或医疗设备生产许可权的经营企业或生产企业参加投标。 </w:t>
      </w:r>
    </w:p>
    <w:p w14:paraId="5F8F90CC">
      <w:pPr>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 2、供应商可根据自身的经营情况，选择投一个或多个采购条目，但不允许将一个采购条目流水</w:t>
      </w:r>
      <w:r>
        <w:rPr>
          <w:rFonts w:hint="eastAsia" w:asciiTheme="minorEastAsia" w:hAnsiTheme="minorEastAsia" w:cstheme="minorEastAsia"/>
          <w:color w:val="000000" w:themeColor="text1"/>
          <w:sz w:val="28"/>
          <w:szCs w:val="28"/>
          <w14:textFill>
            <w14:solidFill>
              <w14:schemeClr w14:val="tx1"/>
            </w14:solidFill>
          </w14:textFill>
        </w:rPr>
        <w:t>号的内容拆散</w:t>
      </w:r>
      <w:r>
        <w:rPr>
          <w:rFonts w:hint="eastAsia" w:asciiTheme="minorEastAsia" w:hAnsiTheme="minorEastAsia" w:cstheme="minorEastAsia"/>
          <w:color w:val="000000" w:themeColor="text1"/>
          <w:sz w:val="28"/>
          <w:szCs w:val="28"/>
          <w:lang w:eastAsia="zh-CN"/>
          <w14:textFill>
            <w14:solidFill>
              <w14:schemeClr w14:val="tx1"/>
            </w14:solidFill>
          </w14:textFill>
        </w:rPr>
        <w:t>投标</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请准备</w:t>
      </w:r>
      <w:r>
        <w:rPr>
          <w:rFonts w:hint="eastAsia" w:asciiTheme="minorEastAsia" w:hAnsiTheme="minorEastAsia" w:cstheme="minorEastAsia"/>
          <w:color w:val="FF0000"/>
          <w:sz w:val="28"/>
          <w:szCs w:val="28"/>
          <w:lang w:val="en-US" w:eastAsia="zh-CN"/>
        </w:rPr>
        <w:t>纸质</w:t>
      </w:r>
      <w:r>
        <w:rPr>
          <w:rFonts w:hint="eastAsia" w:asciiTheme="minorEastAsia" w:hAnsiTheme="minorEastAsia" w:cstheme="minorEastAsia"/>
          <w:color w:val="FF0000"/>
          <w:sz w:val="28"/>
          <w:szCs w:val="28"/>
        </w:rPr>
        <w:t>投标文件</w:t>
      </w:r>
      <w:r>
        <w:rPr>
          <w:rFonts w:hint="eastAsia" w:asciiTheme="minorEastAsia" w:hAnsiTheme="minorEastAsia" w:cstheme="minorEastAsia"/>
          <w:color w:val="FF0000"/>
          <w:sz w:val="28"/>
          <w:szCs w:val="28"/>
          <w:lang w:val="en-US" w:eastAsia="zh-CN"/>
        </w:rPr>
        <w:t>六</w:t>
      </w:r>
      <w:r>
        <w:rPr>
          <w:rFonts w:hint="eastAsia" w:asciiTheme="minorEastAsia" w:hAnsiTheme="minorEastAsia" w:cstheme="minorEastAsia"/>
          <w:color w:val="FF0000"/>
          <w:sz w:val="28"/>
          <w:szCs w:val="28"/>
        </w:rPr>
        <w:t>份（一份正本</w:t>
      </w:r>
      <w:r>
        <w:rPr>
          <w:rFonts w:hint="eastAsia" w:asciiTheme="minorEastAsia" w:hAnsiTheme="minorEastAsia" w:cstheme="minorEastAsia"/>
          <w:color w:val="FF0000"/>
          <w:sz w:val="28"/>
          <w:szCs w:val="28"/>
          <w:lang w:val="en-US" w:eastAsia="zh-CN"/>
        </w:rPr>
        <w:t>五</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报价表需单独密封，电子文件拷贝到U盘存放于报价表密封袋内）。</w:t>
      </w:r>
    </w:p>
    <w:p w14:paraId="7C816D8A">
      <w:pPr>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投标价格一经公布，不得更改，如有错误，作废标处理</w:t>
      </w:r>
      <w:r>
        <w:rPr>
          <w:rFonts w:hint="eastAsia" w:asciiTheme="minorEastAsia" w:hAnsiTheme="minorEastAsia" w:cstheme="minorEastAsia"/>
          <w:sz w:val="28"/>
          <w:szCs w:val="28"/>
          <w:lang w:eastAsia="zh-CN"/>
        </w:rPr>
        <w:t>。</w:t>
      </w:r>
    </w:p>
    <w:p w14:paraId="2198DB7A">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 xml:space="preserve">投标文件中不许有涂改，否则作废标处理。 </w:t>
      </w:r>
    </w:p>
    <w:p w14:paraId="74291227">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 xml:space="preserve">招标单位不向落标方解释原因，不退还投标文件。 </w:t>
      </w:r>
    </w:p>
    <w:p w14:paraId="1739C331">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医用材料招标项目合同的执行期为</w:t>
      </w: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个月</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 xml:space="preserve"> </w:t>
      </w:r>
    </w:p>
    <w:p w14:paraId="56CF8D96">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 xml:space="preserve">合同有效期内，如政府调价或市政府统一招标，双方应无条件按上级文件执行，并相应修改合同的有关条款，招标方不向投标方作任何补偿与解释。否则，招标方有权终止合同。 </w:t>
      </w:r>
    </w:p>
    <w:p w14:paraId="302747D9">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 xml:space="preserve">企业参加投标，即表示接受本次招标的各项要求。 </w:t>
      </w:r>
    </w:p>
    <w:p w14:paraId="5D68254F">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 xml:space="preserve">招标活动的最终解释权属于深圳市福田区第二人民医院。 </w:t>
      </w:r>
    </w:p>
    <w:p w14:paraId="25B187ED">
      <w:pPr>
        <w:ind w:firstLine="280" w:firstLineChars="1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评审组由院领导、相关科室专家、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、财务</w:t>
      </w:r>
      <w:r>
        <w:rPr>
          <w:rFonts w:hint="eastAsia" w:asciiTheme="minorEastAsia" w:hAnsiTheme="minorEastAsia" w:cstheme="minorEastAsia"/>
          <w:sz w:val="28"/>
          <w:szCs w:val="28"/>
          <w:lang w:val="en-US" w:eastAsia="zh-CN"/>
        </w:rPr>
        <w:t>部</w:t>
      </w:r>
      <w:r>
        <w:rPr>
          <w:rFonts w:hint="eastAsia" w:asciiTheme="minorEastAsia" w:hAnsiTheme="minorEastAsia" w:cstheme="minorEastAsia"/>
          <w:sz w:val="28"/>
          <w:szCs w:val="28"/>
        </w:rPr>
        <w:t xml:space="preserve">、医院纪检部门等组成。 </w:t>
      </w:r>
    </w:p>
    <w:p w14:paraId="2F8C89A2">
      <w:pPr>
        <w:ind w:firstLine="280" w:firstLineChars="1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4A92FBAC">
      <w:pPr>
        <w:rPr>
          <w:rFonts w:hint="eastAsia" w:asciiTheme="minorEastAsia" w:hAnsiTheme="minorEastAsia" w:cstheme="minorEastAsia"/>
          <w:sz w:val="24"/>
          <w:szCs w:val="24"/>
          <w:lang w:eastAsia="zh-CN"/>
        </w:rPr>
      </w:pPr>
    </w:p>
    <w:p w14:paraId="727F6233">
      <w:pPr>
        <w:keepNext/>
        <w:keepLines/>
        <w:widowControl w:val="0"/>
        <w:spacing w:line="576" w:lineRule="auto"/>
        <w:jc w:val="both"/>
        <w:outlineLvl w:val="9"/>
        <w:rPr>
          <w:rFonts w:hint="eastAsia" w:asciiTheme="minorEastAsia" w:hAnsiTheme="minorEastAsia" w:eastAsiaTheme="minorEastAsia" w:cstheme="minorEastAsia"/>
          <w:b/>
          <w:kern w:val="44"/>
          <w:sz w:val="24"/>
          <w:szCs w:val="24"/>
          <w:lang w:val="en-US" w:eastAsia="zh-CN" w:bidi="ar-SA"/>
        </w:rPr>
      </w:pPr>
    </w:p>
    <w:p w14:paraId="01B1F165">
      <w:pPr>
        <w:rPr>
          <w:rFonts w:hint="eastAsia"/>
          <w:lang w:eastAsia="zh-CN"/>
        </w:rPr>
      </w:pPr>
    </w:p>
    <w:p w14:paraId="708A9130">
      <w:pPr>
        <w:rPr>
          <w:rFonts w:hint="eastAsia" w:asciiTheme="minorEastAsia" w:hAnsiTheme="minorEastAsia" w:cstheme="minorEastAsia"/>
          <w:sz w:val="24"/>
          <w:szCs w:val="24"/>
          <w:lang w:eastAsia="zh-CN"/>
        </w:rPr>
      </w:pPr>
    </w:p>
    <w:p w14:paraId="16CCA501">
      <w:pPr>
        <w:rPr>
          <w:rFonts w:hint="eastAsia" w:asciiTheme="minorEastAsia" w:hAnsiTheme="minorEastAsia" w:cstheme="minorEastAsia"/>
          <w:b/>
          <w:bCs/>
          <w:sz w:val="28"/>
          <w:szCs w:val="28"/>
          <w:lang w:eastAsia="zh-CN"/>
        </w:rPr>
      </w:pPr>
    </w:p>
    <w:p w14:paraId="4FB5BD99">
      <w:pPr>
        <w:jc w:val="center"/>
        <w:outlineLvl w:val="9"/>
        <w:rPr>
          <w:rFonts w:hint="eastAsia" w:ascii="宋体" w:hAnsi="宋体" w:eastAsia="宋体" w:cs="宋体"/>
          <w:b/>
          <w:bCs/>
          <w:color w:val="FF0000"/>
          <w:kern w:val="44"/>
          <w:sz w:val="44"/>
          <w:szCs w:val="44"/>
          <w:highlight w:val="none"/>
          <w:lang w:eastAsia="zh-CN"/>
        </w:rPr>
      </w:pPr>
      <w:bookmarkStart w:id="0" w:name="_Toc29098"/>
      <w:bookmarkStart w:id="1" w:name="_Toc3689"/>
    </w:p>
    <w:p w14:paraId="4E47FF13">
      <w:pPr>
        <w:jc w:val="center"/>
        <w:outlineLvl w:val="9"/>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bookmarkEnd w:id="1"/>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参与本项目采购活动的供应商应认真阅读以下特别警示条款，不得存在以下所列禁止情形，一旦发现，将被处以记入供应商诚信档案、取消参与项目采购资格等处罚；构成犯罪的，依法追究刑事责任。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711"/>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noWrap w:val="0"/>
            <w:vAlign w:val="center"/>
          </w:tcPr>
          <w:p w14:paraId="6D572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7711" w:type="dxa"/>
            <w:noWrap w:val="0"/>
            <w:vAlign w:val="center"/>
          </w:tcPr>
          <w:p w14:paraId="1E90D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供应商参与投标禁止情形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49C24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7711" w:type="dxa"/>
            <w:noWrap w:val="0"/>
            <w:vAlign w:val="center"/>
          </w:tcPr>
          <w:p w14:paraId="0025E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14:paraId="621A6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7711" w:type="dxa"/>
            <w:noWrap w:val="0"/>
            <w:vAlign w:val="center"/>
          </w:tcPr>
          <w:p w14:paraId="1B184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参与本项目采购活动时，与其他投标供应商存在单位负责人为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53F4B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7711" w:type="dxa"/>
            <w:noWrap w:val="0"/>
            <w:vAlign w:val="center"/>
          </w:tcPr>
          <w:p w14:paraId="75A13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与其他投标供应商的投标文件或部分投标文件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E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5" w:type="dxa"/>
            <w:noWrap w:val="0"/>
            <w:vAlign w:val="center"/>
          </w:tcPr>
          <w:p w14:paraId="2A39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4</w:t>
            </w:r>
          </w:p>
        </w:tc>
        <w:tc>
          <w:tcPr>
            <w:tcW w:w="7711" w:type="dxa"/>
            <w:noWrap w:val="0"/>
            <w:vAlign w:val="center"/>
          </w:tcPr>
          <w:p w14:paraId="581C5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与其他投标供应商的投标文件由</w:t>
            </w:r>
            <w:r>
              <w:rPr>
                <w:rFonts w:hint="eastAsia" w:ascii="宋体" w:hAnsi="宋体" w:eastAsia="宋体" w:cs="宋体"/>
                <w:b/>
                <w:bCs/>
                <w:color w:val="FF0000"/>
                <w:sz w:val="28"/>
                <w:szCs w:val="28"/>
                <w:highlight w:val="none"/>
                <w:lang w:val="en-US" w:eastAsia="zh-CN"/>
              </w:rPr>
              <w:t>同一单位或者同一人编制</w:t>
            </w:r>
            <w:r>
              <w:rPr>
                <w:rFonts w:hint="eastAsia" w:ascii="宋体" w:hAnsi="宋体" w:eastAsia="宋体" w:cs="宋体"/>
                <w:color w:val="FF0000"/>
                <w:sz w:val="28"/>
                <w:szCs w:val="28"/>
                <w:highlight w:val="none"/>
                <w:lang w:val="en-US" w:eastAsia="zh-CN"/>
              </w:rPr>
              <w:t>，或者使用</w:t>
            </w:r>
            <w:r>
              <w:rPr>
                <w:rFonts w:hint="eastAsia" w:ascii="宋体" w:hAnsi="宋体" w:eastAsia="宋体" w:cs="宋体"/>
                <w:b/>
                <w:bCs/>
                <w:color w:val="FF0000"/>
                <w:sz w:val="28"/>
                <w:szCs w:val="28"/>
                <w:highlight w:val="none"/>
                <w:lang w:val="en-US" w:eastAsia="zh-CN"/>
              </w:rPr>
              <w:t>同一设备编制</w:t>
            </w:r>
            <w:r>
              <w:rPr>
                <w:rFonts w:hint="eastAsia" w:ascii="宋体" w:hAnsi="宋体" w:eastAsia="宋体" w:cs="宋体"/>
                <w:color w:val="FF0000"/>
                <w:sz w:val="28"/>
                <w:szCs w:val="28"/>
                <w:highlight w:val="none"/>
                <w:lang w:val="en-US" w:eastAsia="zh-CN"/>
              </w:rPr>
              <w:t>（“文件制作机器码”“文件创建标识码”一致）。</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55" w:type="dxa"/>
            <w:noWrap w:val="0"/>
            <w:vAlign w:val="center"/>
          </w:tcPr>
          <w:p w14:paraId="26C15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5</w:t>
            </w:r>
          </w:p>
        </w:tc>
        <w:tc>
          <w:tcPr>
            <w:tcW w:w="7711" w:type="dxa"/>
            <w:noWrap w:val="0"/>
            <w:vAlign w:val="center"/>
          </w:tcPr>
          <w:p w14:paraId="403AF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r w14:paraId="58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5" w:type="dxa"/>
            <w:noWrap w:val="0"/>
            <w:vAlign w:val="center"/>
          </w:tcPr>
          <w:p w14:paraId="52078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w:t>
            </w:r>
          </w:p>
        </w:tc>
        <w:tc>
          <w:tcPr>
            <w:tcW w:w="7711" w:type="dxa"/>
            <w:noWrap w:val="0"/>
            <w:vAlign w:val="center"/>
          </w:tcPr>
          <w:p w14:paraId="4B0D6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擅自将投标密钥</w:t>
            </w:r>
            <w:r>
              <w:rPr>
                <w:rFonts w:hint="eastAsia" w:ascii="宋体" w:hAnsi="宋体" w:eastAsia="宋体" w:cs="宋体"/>
                <w:color w:val="FF0000"/>
                <w:sz w:val="28"/>
                <w:szCs w:val="28"/>
                <w:highlight w:val="none"/>
                <w:lang w:eastAsia="zh-CN"/>
              </w:rPr>
              <w:t>或</w:t>
            </w:r>
            <w:r>
              <w:rPr>
                <w:rFonts w:hint="eastAsia" w:ascii="宋体" w:hAnsi="宋体" w:eastAsia="宋体" w:cs="宋体"/>
                <w:color w:val="FF0000"/>
                <w:sz w:val="28"/>
                <w:szCs w:val="28"/>
                <w:highlight w:val="none"/>
                <w:lang w:val="en-US" w:eastAsia="zh-CN"/>
              </w:rPr>
              <w:t>电子营业执照出借他人使用或未妥善保管。</w:t>
            </w:r>
          </w:p>
        </w:tc>
      </w:tr>
    </w:tbl>
    <w:p w14:paraId="7FD0EBF2">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10CE5CE2">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52033465">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68E9C33">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6326C15B">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6BB03164">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75752CCB">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BF359AC">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0E97F3C4">
      <w:pPr>
        <w:jc w:val="both"/>
        <w:outlineLvl w:val="9"/>
        <w:rPr>
          <w:rFonts w:hint="eastAsia" w:ascii="宋体" w:hAnsi="宋体" w:eastAsia="宋体" w:cs="宋体"/>
          <w:b/>
          <w:bCs/>
          <w:color w:val="FF0000"/>
          <w:sz w:val="36"/>
          <w:szCs w:val="36"/>
          <w:highlight w:val="none"/>
          <w:lang w:val="en-US" w:eastAsia="zh-CN"/>
        </w:rPr>
      </w:pPr>
    </w:p>
    <w:p w14:paraId="448581D6">
      <w:pPr>
        <w:ind w:firstLine="723" w:firstLineChars="200"/>
        <w:jc w:val="center"/>
        <w:outlineLvl w:val="9"/>
        <w:rPr>
          <w:rFonts w:hint="eastAsia" w:ascii="宋体" w:hAnsi="宋体" w:eastAsia="宋体" w:cs="宋体"/>
          <w:b/>
          <w:bCs/>
          <w:color w:val="FF0000"/>
          <w:sz w:val="36"/>
          <w:szCs w:val="36"/>
          <w:highlight w:val="none"/>
          <w:lang w:val="en-US" w:eastAsia="zh-CN"/>
        </w:rPr>
      </w:pPr>
      <w:r>
        <w:rPr>
          <w:rFonts w:hint="eastAsia" w:ascii="宋体" w:hAnsi="宋体" w:eastAsia="宋体" w:cs="宋体"/>
          <w:b/>
          <w:bCs/>
          <w:color w:val="FF0000"/>
          <w:sz w:val="36"/>
          <w:szCs w:val="36"/>
          <w:highlight w:val="none"/>
          <w:lang w:val="en-US" w:eastAsia="zh-CN"/>
        </w:rPr>
        <w:t>警示条款</w:t>
      </w:r>
    </w:p>
    <w:p w14:paraId="474C1D0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16AF0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（一）在采购活动中应当回避而未回避的；</w:t>
      </w:r>
    </w:p>
    <w:p w14:paraId="37EEE27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（二）未按本条例规定签订、履行采购合同，造成严重后果的；</w:t>
      </w:r>
    </w:p>
    <w:p w14:paraId="4808C23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（三）隐瞒真实情况，提供虚假资料的；</w:t>
      </w:r>
    </w:p>
    <w:p w14:paraId="5345B83E">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（四）以非法手段排斥其他供应商参与竞争的；</w:t>
      </w:r>
    </w:p>
    <w:p w14:paraId="3340A43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（五）与其他采购参加人串通投标的；</w:t>
      </w:r>
    </w:p>
    <w:p w14:paraId="0136FED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（六）恶意投诉的；</w:t>
      </w:r>
    </w:p>
    <w:p w14:paraId="59253F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（七）向采购项目相关人行贿或者提供其他不当利益的；</w:t>
      </w:r>
    </w:p>
    <w:p w14:paraId="1F389C1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（八）阻碍、抗拒主管部门监督检查的；</w:t>
      </w:r>
    </w:p>
    <w:p w14:paraId="02FF8D1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（九）其他违反本条例规定的行为。</w:t>
      </w:r>
    </w:p>
    <w:p w14:paraId="51EEDF7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二、《深圳经济特区政府采购条例实施细则》第七十五条 供应商有下列情形的，属于采购条例所称的串通投标行为，按照采购条例第五十七条有关规定处理：</w:t>
      </w:r>
    </w:p>
    <w:p w14:paraId="2ADCC08D">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（一）投标供应商之间相互约定给予未中标的供应商利益补偿；</w:t>
      </w:r>
    </w:p>
    <w:p w14:paraId="55ED522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（二）不同投标供应商的法定代表人、主要经营负责人、项目投标授权代表人、项目负责人、主要技术人员为同一人、属同一单位或者在同一单位缴纳社会保险；</w:t>
      </w:r>
    </w:p>
    <w:p w14:paraId="78F14F4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（三）不同投标供应商的投标文件由同一单位或者同一人编制，或者由同一人分阶段参与编制的；</w:t>
      </w:r>
    </w:p>
    <w:p w14:paraId="16658C6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（四）不同投标供应商的投标文件或部分投标文件相互混装；</w:t>
      </w:r>
    </w:p>
    <w:p w14:paraId="5196299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（五）不同投标供应商的投标文件内容存在非正常一致；</w:t>
      </w:r>
    </w:p>
    <w:p w14:paraId="434F021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（六）由同一单位工作人员为两家以上（含两家）供应商进行同一项投标活动的；</w:t>
      </w:r>
    </w:p>
    <w:p w14:paraId="4A398E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（七）主管部门依照法律、法规认定的其他情形。</w:t>
      </w:r>
    </w:p>
    <w:p w14:paraId="79CD4B5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三、《深圳经济特区政府采购条例实施细则》第七十七条 供应商有下列情形之一的，属于隐瞒真实情况，提供虚假资料，按照采购条例第五十七的有关规定处理：</w:t>
      </w:r>
    </w:p>
    <w:p w14:paraId="741CCB3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（一）通过转让或者租借等方式从其他单位获取资格或者资质证书投标的；</w:t>
      </w:r>
    </w:p>
    <w:p w14:paraId="596ABDAF">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（二）由其他单位或者其他单位负责人在投标供应商编制的投标文件上加盖印章或者签字的；</w:t>
      </w:r>
    </w:p>
    <w:p w14:paraId="34B9408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（三）项目负责人或者主要技术人员不是本单位人员的；</w:t>
      </w:r>
    </w:p>
    <w:p w14:paraId="17A6347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（四）投标保证金不是从投标供应商基本账户转出的；</w:t>
      </w:r>
    </w:p>
    <w:p w14:paraId="52EF686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（五）其他隐瞒真实情况、提供虚假资料的行为。</w:t>
      </w:r>
    </w:p>
    <w:p w14:paraId="06D6419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投标供应商不能提供项目负责人或者主要技术人员的劳动合同、社会保险等劳动关系证明材料的，视为存在前款第（三）项规定的情形。</w:t>
      </w:r>
    </w:p>
    <w:p w14:paraId="53B57CC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四、请投标供应商阅读《政府采购违法行为风险知悉确认书》，并经各投标供应商负责人或投标授权代表签字并加盖单位公章后，扫描上传至投标文件一并提交。</w:t>
      </w:r>
    </w:p>
    <w:p w14:paraId="7076758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注：该风险知悉确认书用于对供应商违法行为的警示，不作为供应商资格性审查及符合性审查条件。</w:t>
      </w:r>
    </w:p>
    <w:p w14:paraId="13255A4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密钥。</w:t>
      </w:r>
    </w:p>
    <w:p w14:paraId="2C569DFF">
      <w:pPr>
        <w:jc w:val="center"/>
        <w:rPr>
          <w:rFonts w:hint="eastAsia" w:ascii="宋体" w:hAnsi="宋体" w:eastAsia="宋体" w:cs="宋体"/>
          <w:b/>
          <w:sz w:val="32"/>
          <w:szCs w:val="32"/>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如无另行说明，投标文件递交时间为</w:t>
      </w:r>
      <w:r>
        <w:rPr>
          <w:rFonts w:hint="eastAsia" w:ascii="宋体" w:hAnsi="宋体" w:eastAsia="宋体" w:cs="宋体"/>
          <w:b/>
          <w:bCs/>
          <w:szCs w:val="21"/>
          <w:highlight w:val="none"/>
          <w:u w:val="single"/>
          <w:lang w:val="en-US" w:eastAsia="zh-CN"/>
        </w:rPr>
        <w:t>开标</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请正确填写《开标一览表》，封装在单独的唱标信封当中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（以上提示内容仅仅一般项提醒，如与实际招标项目要求有不一致，以招标文件为准）</w:t>
      </w:r>
    </w:p>
    <w:p w14:paraId="16CAAC3F">
      <w:pPr>
        <w:rPr>
          <w:rFonts w:hint="eastAsia" w:asciiTheme="minorEastAsia" w:hAnsiTheme="minorEastAsia" w:cstheme="minorEastAsia"/>
          <w:szCs w:val="21"/>
        </w:rPr>
      </w:pPr>
    </w:p>
    <w:p w14:paraId="5DBC7F84">
      <w:pPr>
        <w:rPr>
          <w:rFonts w:hint="eastAsia" w:asciiTheme="minorEastAsia" w:hAnsiTheme="minorEastAsia" w:cstheme="minorEastAsia"/>
          <w:b/>
          <w:bCs/>
          <w:sz w:val="28"/>
          <w:szCs w:val="28"/>
          <w:lang w:eastAsia="zh-CN"/>
        </w:rPr>
      </w:pPr>
    </w:p>
    <w:p w14:paraId="01EB65D9">
      <w:pPr>
        <w:rPr>
          <w:rFonts w:hint="eastAsia" w:asciiTheme="minorEastAsia" w:hAnsiTheme="minorEastAsia" w:cstheme="minorEastAsia"/>
          <w:b/>
          <w:bCs/>
          <w:sz w:val="28"/>
          <w:szCs w:val="28"/>
          <w:lang w:eastAsia="zh-CN"/>
        </w:rPr>
      </w:pPr>
    </w:p>
    <w:p w14:paraId="77F281EC">
      <w:pPr>
        <w:rPr>
          <w:rFonts w:hint="eastAsia" w:asciiTheme="minorEastAsia" w:hAnsiTheme="minorEastAsia" w:cstheme="minorEastAsia"/>
          <w:b/>
          <w:bCs/>
          <w:sz w:val="28"/>
          <w:szCs w:val="28"/>
          <w:lang w:eastAsia="zh-CN"/>
        </w:rPr>
      </w:pPr>
    </w:p>
    <w:p w14:paraId="3A3BFB18">
      <w:pPr>
        <w:rPr>
          <w:rFonts w:hint="eastAsia" w:asciiTheme="minorEastAsia" w:hAnsiTheme="minorEastAsia" w:cstheme="minorEastAsia"/>
          <w:b/>
          <w:bCs/>
          <w:sz w:val="28"/>
          <w:szCs w:val="28"/>
          <w:lang w:eastAsia="zh-CN"/>
        </w:rPr>
      </w:pPr>
    </w:p>
    <w:p w14:paraId="2D2B848F">
      <w:pPr>
        <w:rPr>
          <w:rFonts w:hint="eastAsia" w:asciiTheme="minorEastAsia" w:hAnsiTheme="minorEastAsia" w:cstheme="minorEastAsia"/>
          <w:b/>
          <w:bCs/>
          <w:sz w:val="28"/>
          <w:szCs w:val="28"/>
          <w:lang w:eastAsia="zh-CN"/>
        </w:rPr>
      </w:pPr>
    </w:p>
    <w:p w14:paraId="1D345081">
      <w:pPr>
        <w:rPr>
          <w:rFonts w:hint="eastAsia" w:asciiTheme="minorEastAsia" w:hAnsiTheme="minorEastAsia" w:cstheme="minorEastAsia"/>
          <w:b/>
          <w:bCs/>
          <w:sz w:val="28"/>
          <w:szCs w:val="28"/>
          <w:lang w:eastAsia="zh-CN"/>
        </w:rPr>
      </w:pPr>
    </w:p>
    <w:p w14:paraId="23064BB5">
      <w:pPr>
        <w:rPr>
          <w:rFonts w:hint="eastAsia" w:asciiTheme="minorEastAsia" w:hAnsiTheme="minorEastAsia" w:cstheme="minorEastAsia"/>
          <w:b/>
          <w:bCs/>
          <w:sz w:val="28"/>
          <w:szCs w:val="28"/>
          <w:lang w:eastAsia="zh-CN"/>
        </w:rPr>
      </w:pPr>
    </w:p>
    <w:p w14:paraId="06C79F49">
      <w:pPr>
        <w:rPr>
          <w:rFonts w:hint="eastAsia" w:asciiTheme="minorEastAsia" w:hAnsiTheme="minorEastAsia" w:cstheme="minorEastAsia"/>
          <w:b/>
          <w:bCs/>
          <w:sz w:val="28"/>
          <w:szCs w:val="28"/>
          <w:lang w:eastAsia="zh-CN"/>
        </w:rPr>
      </w:pPr>
    </w:p>
    <w:p w14:paraId="4634AAD6">
      <w:pPr>
        <w:rPr>
          <w:rFonts w:hint="eastAsia" w:asciiTheme="minorEastAsia" w:hAnsiTheme="minorEastAsia" w:cstheme="minorEastAsia"/>
          <w:b/>
          <w:bCs/>
          <w:sz w:val="28"/>
          <w:szCs w:val="28"/>
          <w:lang w:eastAsia="zh-CN"/>
        </w:rPr>
      </w:pPr>
    </w:p>
    <w:p w14:paraId="031E49A4">
      <w:pPr>
        <w:rPr>
          <w:rFonts w:hint="eastAsia" w:asciiTheme="minorEastAsia" w:hAnsiTheme="minorEastAsia" w:cstheme="minorEastAsia"/>
          <w:b/>
          <w:bCs/>
          <w:sz w:val="28"/>
          <w:szCs w:val="28"/>
          <w:lang w:eastAsia="zh-CN"/>
        </w:rPr>
      </w:pPr>
    </w:p>
    <w:p w14:paraId="31AED3E0">
      <w:pPr>
        <w:rPr>
          <w:rFonts w:hint="eastAsia" w:asciiTheme="minorEastAsia" w:hAnsiTheme="minorEastAsia" w:cstheme="minorEastAsia"/>
          <w:b/>
          <w:bCs/>
          <w:sz w:val="28"/>
          <w:szCs w:val="28"/>
          <w:lang w:eastAsia="zh-CN"/>
        </w:rPr>
      </w:pPr>
    </w:p>
    <w:p w14:paraId="5651AF19">
      <w:pPr>
        <w:rPr>
          <w:rFonts w:hint="eastAsia" w:asciiTheme="minorEastAsia" w:hAnsiTheme="minorEastAsia" w:cstheme="minorEastAsia"/>
          <w:b/>
          <w:bCs/>
          <w:sz w:val="28"/>
          <w:szCs w:val="28"/>
          <w:lang w:eastAsia="zh-CN"/>
        </w:rPr>
      </w:pPr>
    </w:p>
    <w:p w14:paraId="49152C6C">
      <w:pPr>
        <w:rPr>
          <w:rFonts w:hint="eastAsia" w:asciiTheme="minorEastAsia" w:hAnsiTheme="minorEastAsia" w:eastAsiaTheme="minorEastAsia" w:cstheme="minorEastAsia"/>
          <w:bCs/>
          <w:kern w:val="2"/>
          <w:sz w:val="21"/>
          <w:szCs w:val="28"/>
          <w:lang w:val="en-US" w:eastAsia="zh-CN" w:bidi="ar-SA"/>
        </w:rPr>
      </w:pPr>
    </w:p>
    <w:sdt>
      <w:sdtPr>
        <w:rPr>
          <w:rFonts w:ascii="宋体" w:hAnsi="宋体" w:eastAsia="宋体" w:cstheme="minorBidi"/>
          <w:kern w:val="2"/>
          <w:sz w:val="21"/>
          <w:szCs w:val="24"/>
          <w:lang w:val="en-US" w:eastAsia="zh-CN" w:bidi="ar-SA"/>
        </w:rPr>
        <w:id w:val="147453461"/>
        <w15:color w:val="DBDBDB"/>
        <w:docPartObj>
          <w:docPartGallery w:val="Table of Contents"/>
          <w:docPartUnique/>
        </w:docPartObj>
      </w:sdtPr>
      <w:sdtEndPr>
        <w:rPr>
          <w:rFonts w:hint="eastAsia" w:asciiTheme="minorEastAsia" w:hAnsiTheme="minorEastAsia" w:eastAsiaTheme="minorEastAsia" w:cstheme="minorEastAsia"/>
          <w:bCs/>
          <w:kern w:val="2"/>
          <w:sz w:val="21"/>
          <w:szCs w:val="28"/>
          <w:lang w:val="en-US" w:eastAsia="zh-CN" w:bidi="ar-SA"/>
        </w:rPr>
      </w:sdtEndPr>
      <w:sdtContent>
        <w:p w14:paraId="0A9FF65E">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bookmarkStart w:id="172" w:name="_GoBack"/>
          <w:bookmarkEnd w:id="172"/>
        </w:p>
        <w:p w14:paraId="37CCAAA0">
          <w:pPr>
            <w:spacing w:before="0" w:beforeLines="0" w:after="0" w:afterLines="0" w:line="240" w:lineRule="auto"/>
            <w:ind w:left="0" w:leftChars="0" w:right="0" w:rightChars="0" w:firstLine="0" w:firstLineChars="0"/>
            <w:jc w:val="center"/>
            <w:rPr>
              <w:sz w:val="48"/>
              <w:szCs w:val="56"/>
            </w:rPr>
          </w:pPr>
          <w:r>
            <w:rPr>
              <w:rFonts w:ascii="宋体" w:hAnsi="宋体" w:eastAsia="宋体"/>
              <w:sz w:val="48"/>
              <w:szCs w:val="56"/>
            </w:rPr>
            <w:t>目</w:t>
          </w:r>
          <w:r>
            <w:rPr>
              <w:rFonts w:hint="eastAsia" w:ascii="宋体" w:hAnsi="宋体" w:eastAsia="宋体"/>
              <w:sz w:val="48"/>
              <w:szCs w:val="56"/>
              <w:lang w:val="en-US" w:eastAsia="zh-CN"/>
            </w:rPr>
            <w:t xml:space="preserve"> </w:t>
          </w:r>
          <w:r>
            <w:rPr>
              <w:rFonts w:ascii="宋体" w:hAnsi="宋体" w:eastAsia="宋体"/>
              <w:sz w:val="48"/>
              <w:szCs w:val="56"/>
            </w:rPr>
            <w:t>录</w:t>
          </w:r>
        </w:p>
        <w:p w14:paraId="4646880C">
          <w:pPr>
            <w:pStyle w:val="13"/>
            <w:tabs>
              <w:tab w:val="right" w:leader="dot" w:pos="9180"/>
            </w:tabs>
            <w:rPr>
              <w:sz w:val="36"/>
              <w:szCs w:val="44"/>
            </w:rPr>
          </w:pPr>
          <w:r>
            <w:rPr>
              <w:rFonts w:hint="eastAsia" w:asciiTheme="minorEastAsia" w:hAnsiTheme="minorEastAsia" w:eastAsiaTheme="minorEastAsia" w:cstheme="minorEastAsia"/>
              <w:bCs/>
              <w:kern w:val="2"/>
              <w:sz w:val="21"/>
              <w:szCs w:val="28"/>
              <w:lang w:val="en-US" w:eastAsia="zh-CN" w:bidi="ar-SA"/>
            </w:rPr>
            <w:fldChar w:fldCharType="begin"/>
          </w:r>
          <w:r>
            <w:rPr>
              <w:rFonts w:hint="eastAsia" w:asciiTheme="minorEastAsia" w:hAnsiTheme="minorEastAsia" w:eastAsiaTheme="minorEastAsia" w:cstheme="minorEastAsia"/>
              <w:bCs/>
              <w:kern w:val="2"/>
              <w:sz w:val="21"/>
              <w:szCs w:val="28"/>
              <w:lang w:val="en-US" w:eastAsia="zh-CN" w:bidi="ar-SA"/>
            </w:rPr>
            <w:instrText xml:space="preserve">TOC \o "1-3" \h \u </w:instrText>
          </w:r>
          <w:r>
            <w:rPr>
              <w:rFonts w:hint="eastAsia" w:asciiTheme="minorEastAsia" w:hAnsiTheme="minorEastAsia" w:eastAsiaTheme="minorEastAsia" w:cstheme="minorEastAsia"/>
              <w:bCs/>
              <w:kern w:val="2"/>
              <w:sz w:val="21"/>
              <w:szCs w:val="28"/>
              <w:lang w:val="en-US" w:eastAsia="zh-CN" w:bidi="ar-SA"/>
            </w:rPr>
            <w:fldChar w:fldCharType="separate"/>
          </w: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_Toc11375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第一章 招标公告</w:t>
          </w:r>
          <w:r>
            <w:rPr>
              <w:sz w:val="36"/>
              <w:szCs w:val="44"/>
            </w:rPr>
            <w:tab/>
          </w:r>
          <w:r>
            <w:rPr>
              <w:sz w:val="36"/>
              <w:szCs w:val="44"/>
            </w:rPr>
            <w:fldChar w:fldCharType="begin"/>
          </w:r>
          <w:r>
            <w:rPr>
              <w:sz w:val="36"/>
              <w:szCs w:val="44"/>
            </w:rPr>
            <w:instrText xml:space="preserve"> PAGEREF _Toc11375 \h </w:instrText>
          </w:r>
          <w:r>
            <w:rPr>
              <w:sz w:val="36"/>
              <w:szCs w:val="44"/>
            </w:rPr>
            <w:fldChar w:fldCharType="separate"/>
          </w:r>
          <w:r>
            <w:rPr>
              <w:sz w:val="36"/>
              <w:szCs w:val="44"/>
            </w:rPr>
            <w:t>8</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7D1AC779">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_Toc24468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第二章 用户需求书</w:t>
          </w:r>
          <w:r>
            <w:rPr>
              <w:sz w:val="36"/>
              <w:szCs w:val="44"/>
            </w:rPr>
            <w:tab/>
          </w:r>
          <w:r>
            <w:rPr>
              <w:sz w:val="36"/>
              <w:szCs w:val="44"/>
            </w:rPr>
            <w:fldChar w:fldCharType="begin"/>
          </w:r>
          <w:r>
            <w:rPr>
              <w:sz w:val="36"/>
              <w:szCs w:val="44"/>
            </w:rPr>
            <w:instrText xml:space="preserve"> PAGEREF _Toc24468 \h </w:instrText>
          </w:r>
          <w:r>
            <w:rPr>
              <w:sz w:val="36"/>
              <w:szCs w:val="44"/>
            </w:rPr>
            <w:fldChar w:fldCharType="separate"/>
          </w:r>
          <w:r>
            <w:rPr>
              <w:sz w:val="36"/>
              <w:szCs w:val="44"/>
            </w:rPr>
            <w:t>11</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6A6F29F6">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_Toc16150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 xml:space="preserve">第三章 </w:t>
          </w:r>
          <w:r>
            <w:rPr>
              <w:rFonts w:hint="eastAsia" w:asciiTheme="majorEastAsia" w:hAnsiTheme="majorEastAsia" w:eastAsiaTheme="majorEastAsia" w:cstheme="majorEastAsia"/>
              <w:sz w:val="36"/>
              <w:szCs w:val="52"/>
            </w:rPr>
            <w:t>开标、评标、定标</w:t>
          </w:r>
          <w:r>
            <w:rPr>
              <w:sz w:val="36"/>
              <w:szCs w:val="44"/>
            </w:rPr>
            <w:tab/>
          </w:r>
          <w:r>
            <w:rPr>
              <w:sz w:val="36"/>
              <w:szCs w:val="44"/>
            </w:rPr>
            <w:fldChar w:fldCharType="begin"/>
          </w:r>
          <w:r>
            <w:rPr>
              <w:sz w:val="36"/>
              <w:szCs w:val="44"/>
            </w:rPr>
            <w:instrText xml:space="preserve"> PAGEREF _Toc16150 \h </w:instrText>
          </w:r>
          <w:r>
            <w:rPr>
              <w:sz w:val="36"/>
              <w:szCs w:val="44"/>
            </w:rPr>
            <w:fldChar w:fldCharType="separate"/>
          </w:r>
          <w:r>
            <w:rPr>
              <w:sz w:val="36"/>
              <w:szCs w:val="44"/>
            </w:rPr>
            <w:t>15</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476DE052">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_Toc26388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 xml:space="preserve">第四章 </w:t>
          </w:r>
          <w:r>
            <w:rPr>
              <w:rFonts w:hint="eastAsia" w:asciiTheme="majorEastAsia" w:hAnsiTheme="majorEastAsia" w:eastAsiaTheme="majorEastAsia"/>
              <w:sz w:val="36"/>
              <w:szCs w:val="52"/>
            </w:rPr>
            <w:t>投标文件</w:t>
          </w:r>
          <w:r>
            <w:rPr>
              <w:rFonts w:hint="eastAsia" w:asciiTheme="majorEastAsia" w:hAnsiTheme="majorEastAsia" w:eastAsiaTheme="majorEastAsia"/>
              <w:sz w:val="36"/>
              <w:szCs w:val="52"/>
              <w:lang w:eastAsia="zh-CN"/>
            </w:rPr>
            <w:t>（</w:t>
          </w:r>
          <w:r>
            <w:rPr>
              <w:rFonts w:hint="eastAsia" w:asciiTheme="majorEastAsia" w:hAnsiTheme="majorEastAsia" w:eastAsiaTheme="majorEastAsia"/>
              <w:sz w:val="36"/>
              <w:szCs w:val="52"/>
              <w:lang w:val="en-US" w:eastAsia="zh-CN"/>
            </w:rPr>
            <w:t>编制</w:t>
          </w:r>
          <w:r>
            <w:rPr>
              <w:rFonts w:hint="eastAsia" w:asciiTheme="majorEastAsia" w:hAnsiTheme="majorEastAsia" w:eastAsiaTheme="majorEastAsia"/>
              <w:sz w:val="36"/>
              <w:szCs w:val="52"/>
            </w:rPr>
            <w:t>参考</w:t>
          </w:r>
          <w:r>
            <w:rPr>
              <w:rFonts w:hint="eastAsia" w:asciiTheme="majorEastAsia" w:hAnsiTheme="majorEastAsia" w:eastAsiaTheme="majorEastAsia"/>
              <w:sz w:val="36"/>
              <w:szCs w:val="52"/>
              <w:lang w:val="en-US" w:eastAsia="zh-CN"/>
            </w:rPr>
            <w:t>模板</w:t>
          </w:r>
          <w:r>
            <w:rPr>
              <w:rFonts w:hint="eastAsia" w:asciiTheme="majorEastAsia" w:hAnsiTheme="majorEastAsia" w:eastAsiaTheme="majorEastAsia"/>
              <w:sz w:val="36"/>
              <w:szCs w:val="52"/>
              <w:lang w:eastAsia="zh-CN"/>
            </w:rPr>
            <w:t>）</w:t>
          </w:r>
          <w:r>
            <w:rPr>
              <w:sz w:val="36"/>
              <w:szCs w:val="44"/>
            </w:rPr>
            <w:tab/>
          </w:r>
          <w:r>
            <w:rPr>
              <w:sz w:val="36"/>
              <w:szCs w:val="44"/>
            </w:rPr>
            <w:fldChar w:fldCharType="begin"/>
          </w:r>
          <w:r>
            <w:rPr>
              <w:sz w:val="36"/>
              <w:szCs w:val="44"/>
            </w:rPr>
            <w:instrText xml:space="preserve"> PAGEREF _Toc26388 \h </w:instrText>
          </w:r>
          <w:r>
            <w:rPr>
              <w:sz w:val="36"/>
              <w:szCs w:val="44"/>
            </w:rPr>
            <w:fldChar w:fldCharType="separate"/>
          </w:r>
          <w:r>
            <w:rPr>
              <w:sz w:val="36"/>
              <w:szCs w:val="44"/>
            </w:rPr>
            <w:t>20</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233514D0">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_Toc30434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 xml:space="preserve">第五章 </w:t>
          </w:r>
          <w:r>
            <w:rPr>
              <w:rFonts w:asciiTheme="majorEastAsia" w:hAnsiTheme="majorEastAsia" w:eastAsiaTheme="majorEastAsia"/>
              <w:sz w:val="36"/>
              <w:szCs w:val="52"/>
              <w:lang w:eastAsia="zh-TW"/>
            </w:rPr>
            <w:t>说 明</w:t>
          </w:r>
          <w:r>
            <w:rPr>
              <w:sz w:val="36"/>
              <w:szCs w:val="44"/>
            </w:rPr>
            <w:tab/>
          </w:r>
          <w:r>
            <w:rPr>
              <w:sz w:val="36"/>
              <w:szCs w:val="44"/>
            </w:rPr>
            <w:fldChar w:fldCharType="begin"/>
          </w:r>
          <w:r>
            <w:rPr>
              <w:sz w:val="36"/>
              <w:szCs w:val="44"/>
            </w:rPr>
            <w:instrText xml:space="preserve"> PAGEREF _Toc30434 \h </w:instrText>
          </w:r>
          <w:r>
            <w:rPr>
              <w:sz w:val="36"/>
              <w:szCs w:val="44"/>
            </w:rPr>
            <w:fldChar w:fldCharType="separate"/>
          </w:r>
          <w:r>
            <w:rPr>
              <w:sz w:val="36"/>
              <w:szCs w:val="44"/>
            </w:rPr>
            <w:t>53</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312037C6">
          <w:pPr>
            <w:pStyle w:val="13"/>
            <w:tabs>
              <w:tab w:val="right" w:leader="dot" w:pos="9180"/>
            </w:tabs>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_Toc7020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宋体" w:hAnsi="宋体" w:cs="宋体"/>
              <w:bCs w:val="0"/>
              <w:sz w:val="36"/>
              <w:szCs w:val="52"/>
              <w:lang w:val="en-US" w:eastAsia="zh-CN"/>
            </w:rPr>
            <w:t xml:space="preserve">第六章 </w:t>
          </w:r>
          <w:r>
            <w:rPr>
              <w:rFonts w:hint="eastAsia" w:cstheme="minorBidi"/>
              <w:bCs w:val="0"/>
              <w:kern w:val="2"/>
              <w:sz w:val="36"/>
              <w:szCs w:val="52"/>
              <w:lang w:val="en-US" w:eastAsia="zh-CN" w:bidi="ar-SA"/>
            </w:rPr>
            <w:t>综合评分表</w:t>
          </w:r>
          <w:r>
            <w:rPr>
              <w:sz w:val="36"/>
              <w:szCs w:val="44"/>
            </w:rPr>
            <w:tab/>
          </w:r>
          <w:r>
            <w:rPr>
              <w:sz w:val="36"/>
              <w:szCs w:val="44"/>
            </w:rPr>
            <w:fldChar w:fldCharType="begin"/>
          </w:r>
          <w:r>
            <w:rPr>
              <w:sz w:val="36"/>
              <w:szCs w:val="44"/>
            </w:rPr>
            <w:instrText xml:space="preserve"> PAGEREF _Toc7020 \h </w:instrText>
          </w:r>
          <w:r>
            <w:rPr>
              <w:sz w:val="36"/>
              <w:szCs w:val="44"/>
            </w:rPr>
            <w:fldChar w:fldCharType="separate"/>
          </w:r>
          <w:r>
            <w:rPr>
              <w:sz w:val="36"/>
              <w:szCs w:val="44"/>
            </w:rPr>
            <w:t>80</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39B5DC3E">
          <w:pPr>
            <w:rPr>
              <w:rFonts w:hint="eastAsia" w:asciiTheme="minorEastAsia" w:hAnsiTheme="minorEastAsia" w:eastAsiaTheme="minorEastAsia" w:cstheme="minorEastAsia"/>
              <w:bCs/>
              <w:kern w:val="2"/>
              <w:sz w:val="21"/>
              <w:szCs w:val="28"/>
              <w:lang w:val="en-US" w:eastAsia="zh-CN" w:bidi="ar-SA"/>
            </w:rPr>
          </w:pPr>
          <w:r>
            <w:rPr>
              <w:rFonts w:hint="eastAsia" w:asciiTheme="minorEastAsia" w:hAnsiTheme="minorEastAsia" w:eastAsiaTheme="minorEastAsia" w:cstheme="minorEastAsia"/>
              <w:bCs/>
              <w:kern w:val="2"/>
              <w:szCs w:val="28"/>
              <w:lang w:val="en-US" w:eastAsia="zh-CN" w:bidi="ar-SA"/>
            </w:rPr>
            <w:fldChar w:fldCharType="end"/>
          </w:r>
        </w:p>
      </w:sdtContent>
    </w:sdt>
    <w:p w14:paraId="21CE26D5">
      <w:pPr>
        <w:rPr>
          <w:rFonts w:hint="eastAsia" w:asciiTheme="minorEastAsia" w:hAnsiTheme="minorEastAsia" w:eastAsiaTheme="minorEastAsia" w:cstheme="minorEastAsia"/>
          <w:bCs/>
          <w:kern w:val="2"/>
          <w:sz w:val="21"/>
          <w:szCs w:val="28"/>
          <w:lang w:val="en-US" w:eastAsia="zh-CN" w:bidi="ar-SA"/>
        </w:rPr>
      </w:pPr>
    </w:p>
    <w:p w14:paraId="6DB285D6">
      <w:pPr>
        <w:rPr>
          <w:rFonts w:hint="eastAsia" w:asciiTheme="minorEastAsia" w:hAnsiTheme="minorEastAsia" w:cstheme="minorEastAsia"/>
          <w:b/>
          <w:bCs/>
          <w:sz w:val="28"/>
          <w:szCs w:val="28"/>
          <w:lang w:eastAsia="zh-CN"/>
        </w:rPr>
      </w:pPr>
    </w:p>
    <w:p w14:paraId="09E4A1F6">
      <w:pPr>
        <w:rPr>
          <w:rFonts w:hint="eastAsia" w:asciiTheme="minorEastAsia" w:hAnsiTheme="minorEastAsia" w:cstheme="minorEastAsia"/>
          <w:b/>
          <w:bCs/>
          <w:sz w:val="28"/>
          <w:szCs w:val="28"/>
          <w:lang w:eastAsia="zh-CN"/>
        </w:rPr>
      </w:pPr>
    </w:p>
    <w:p w14:paraId="0D53B954">
      <w:pPr>
        <w:rPr>
          <w:rFonts w:hint="eastAsia" w:asciiTheme="minorEastAsia" w:hAnsiTheme="minorEastAsia" w:cstheme="minorEastAsia"/>
          <w:b/>
          <w:bCs/>
          <w:sz w:val="28"/>
          <w:szCs w:val="28"/>
          <w:lang w:eastAsia="zh-CN"/>
        </w:rPr>
      </w:pPr>
    </w:p>
    <w:p w14:paraId="430D7F23">
      <w:pPr>
        <w:rPr>
          <w:rFonts w:hint="eastAsia" w:asciiTheme="minorEastAsia" w:hAnsiTheme="minorEastAsia" w:cstheme="minorEastAsia"/>
          <w:b/>
          <w:bCs/>
          <w:sz w:val="28"/>
          <w:szCs w:val="28"/>
          <w:lang w:eastAsia="zh-CN"/>
        </w:rPr>
      </w:pPr>
    </w:p>
    <w:p w14:paraId="39FDD5C8">
      <w:pPr>
        <w:rPr>
          <w:rFonts w:hint="eastAsia" w:asciiTheme="minorEastAsia" w:hAnsiTheme="minorEastAsia" w:cstheme="minorEastAsia"/>
          <w:b/>
          <w:bCs/>
          <w:sz w:val="28"/>
          <w:szCs w:val="28"/>
          <w:lang w:eastAsia="zh-CN"/>
        </w:rPr>
      </w:pPr>
    </w:p>
    <w:p w14:paraId="4AB34194">
      <w:pPr>
        <w:rPr>
          <w:rFonts w:hint="eastAsia" w:asciiTheme="minorEastAsia" w:hAnsiTheme="minorEastAsia" w:cstheme="minorEastAsia"/>
          <w:b/>
          <w:bCs/>
          <w:sz w:val="28"/>
          <w:szCs w:val="28"/>
          <w:lang w:eastAsia="zh-CN"/>
        </w:rPr>
      </w:pPr>
    </w:p>
    <w:p w14:paraId="0B1A1DA1">
      <w:pPr>
        <w:rPr>
          <w:rFonts w:hint="eastAsia" w:asciiTheme="minorEastAsia" w:hAnsiTheme="minorEastAsia" w:cstheme="minorEastAsia"/>
          <w:b/>
          <w:bCs/>
          <w:sz w:val="28"/>
          <w:szCs w:val="28"/>
          <w:lang w:eastAsia="zh-CN"/>
        </w:rPr>
      </w:pPr>
    </w:p>
    <w:p w14:paraId="4A0796DC">
      <w:pPr>
        <w:rPr>
          <w:rFonts w:hint="eastAsia" w:asciiTheme="minorEastAsia" w:hAnsiTheme="minorEastAsia" w:cstheme="minorEastAsia"/>
          <w:b/>
          <w:bCs/>
          <w:sz w:val="28"/>
          <w:szCs w:val="28"/>
          <w:lang w:eastAsia="zh-CN"/>
        </w:rPr>
      </w:pPr>
    </w:p>
    <w:p w14:paraId="2B27EE69">
      <w:pPr>
        <w:rPr>
          <w:rFonts w:hint="eastAsia" w:asciiTheme="minorEastAsia" w:hAnsiTheme="minorEastAsia" w:cstheme="minorEastAsia"/>
          <w:b/>
          <w:bCs/>
          <w:sz w:val="28"/>
          <w:szCs w:val="28"/>
          <w:lang w:eastAsia="zh-CN"/>
        </w:rPr>
      </w:pPr>
    </w:p>
    <w:p w14:paraId="745A185F">
      <w:pPr>
        <w:rPr>
          <w:rFonts w:hint="eastAsia" w:asciiTheme="minorEastAsia" w:hAnsiTheme="minorEastAsia" w:cstheme="minorEastAsia"/>
          <w:b/>
          <w:bCs/>
          <w:sz w:val="28"/>
          <w:szCs w:val="28"/>
          <w:lang w:eastAsia="zh-CN"/>
        </w:rPr>
      </w:pPr>
    </w:p>
    <w:p w14:paraId="5A416AF2">
      <w:pPr>
        <w:rPr>
          <w:rFonts w:hint="eastAsia" w:asciiTheme="minorEastAsia" w:hAnsiTheme="minorEastAsia" w:cstheme="minorEastAsia"/>
          <w:b/>
          <w:bCs/>
          <w:sz w:val="28"/>
          <w:szCs w:val="28"/>
          <w:lang w:eastAsia="zh-CN"/>
        </w:rPr>
      </w:pPr>
    </w:p>
    <w:p w14:paraId="07027D59">
      <w:pPr>
        <w:rPr>
          <w:rFonts w:hint="eastAsia" w:asciiTheme="minorEastAsia" w:hAnsiTheme="minorEastAsia" w:cstheme="minorEastAsia"/>
          <w:b/>
          <w:bCs/>
          <w:sz w:val="28"/>
          <w:szCs w:val="28"/>
          <w:lang w:eastAsia="zh-CN"/>
        </w:rPr>
      </w:pPr>
    </w:p>
    <w:p w14:paraId="211426B1">
      <w:pPr>
        <w:rPr>
          <w:rFonts w:hint="eastAsia" w:asciiTheme="minorEastAsia" w:hAnsiTheme="minorEastAsia" w:cstheme="minorEastAsia"/>
          <w:b/>
          <w:bCs/>
          <w:sz w:val="28"/>
          <w:szCs w:val="28"/>
          <w:lang w:eastAsia="zh-CN"/>
        </w:rPr>
      </w:pPr>
    </w:p>
    <w:p w14:paraId="00815F36">
      <w:pPr>
        <w:widowControl/>
        <w:jc w:val="both"/>
        <w:outlineLvl w:val="9"/>
        <w:rPr>
          <w:rFonts w:hint="eastAsia" w:ascii="黑体" w:hAnsi="宋体" w:eastAsia="黑体" w:cs="宋体"/>
          <w:sz w:val="28"/>
          <w:szCs w:val="28"/>
          <w:lang w:bidi="ar"/>
        </w:rPr>
      </w:pPr>
    </w:p>
    <w:p w14:paraId="5B6B71F7">
      <w:pPr>
        <w:widowControl/>
        <w:jc w:val="center"/>
        <w:outlineLvl w:val="9"/>
        <w:rPr>
          <w:rFonts w:ascii="黑体" w:hAnsi="宋体" w:eastAsia="黑体" w:cs="宋体"/>
          <w:sz w:val="28"/>
          <w:szCs w:val="28"/>
        </w:rPr>
      </w:pPr>
      <w:r>
        <w:rPr>
          <w:rFonts w:hint="eastAsia" w:ascii="黑体" w:hAnsi="宋体" w:eastAsia="黑体" w:cs="宋体"/>
          <w:sz w:val="28"/>
          <w:szCs w:val="28"/>
          <w:lang w:bidi="ar"/>
        </w:rPr>
        <w:t>政策功能</w:t>
      </w:r>
    </w:p>
    <w:p w14:paraId="3FEA3BEB">
      <w:pPr>
        <w:pStyle w:val="16"/>
        <w:widowControl/>
        <w:ind w:left="-2" w:leftChars="-7" w:hanging="13" w:hangingChars="6"/>
        <w:jc w:val="center"/>
        <w:outlineLvl w:val="9"/>
        <w:rPr>
          <w:b/>
          <w:bCs/>
        </w:rPr>
      </w:pPr>
      <w:r>
        <w:rPr>
          <w:rFonts w:hint="eastAsia" w:cs="宋体"/>
          <w:b/>
          <w:bCs/>
        </w:rPr>
        <w:t>价格扣除</w:t>
      </w:r>
    </w:p>
    <w:p w14:paraId="600B1499">
      <w:pPr>
        <w:numPr>
          <w:ilvl w:val="0"/>
          <w:numId w:val="2"/>
        </w:numPr>
        <w:tabs>
          <w:tab w:val="left" w:pos="567"/>
        </w:tabs>
        <w:spacing w:line="360" w:lineRule="auto"/>
        <w:ind w:left="425" w:leftChars="0" w:hanging="425" w:firstLineChars="0"/>
        <w:outlineLvl w:val="0"/>
        <w:rPr>
          <w:rFonts w:ascii="宋体" w:hAnsi="宋体" w:cs="宋体"/>
          <w:szCs w:val="21"/>
        </w:rPr>
      </w:pPr>
      <w:bookmarkStart w:id="2" w:name="_Toc29386"/>
      <w:r>
        <w:rPr>
          <w:rFonts w:hint="eastAsia" w:ascii="宋体" w:hAnsi="宋体" w:cs="宋体"/>
          <w:szCs w:val="21"/>
          <w:lang w:bidi="ar"/>
        </w:rPr>
        <w:t>小型和微型企业产品价格扣除</w:t>
      </w:r>
      <w:bookmarkEnd w:id="2"/>
    </w:p>
    <w:p w14:paraId="6EB15D5D">
      <w:pPr>
        <w:numPr>
          <w:ilvl w:val="1"/>
          <w:numId w:val="2"/>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38467324">
      <w:pPr>
        <w:numPr>
          <w:ilvl w:val="1"/>
          <w:numId w:val="2"/>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7018DEC">
      <w:pPr>
        <w:numPr>
          <w:ilvl w:val="2"/>
          <w:numId w:val="2"/>
        </w:numPr>
        <w:spacing w:line="360" w:lineRule="auto"/>
        <w:ind w:left="567" w:hanging="567"/>
        <w:outlineLvl w:val="9"/>
        <w:rPr>
          <w:rFonts w:ascii="宋体" w:hAnsi="宋体" w:cs="宋体"/>
          <w:bCs/>
          <w:szCs w:val="21"/>
        </w:rPr>
      </w:pPr>
      <w:r>
        <w:rPr>
          <w:rFonts w:hint="eastAsia" w:ascii="宋体" w:hAnsi="宋体" w:cs="宋体"/>
          <w:bCs/>
          <w:szCs w:val="21"/>
          <w:lang w:bidi="ar"/>
        </w:rPr>
        <w:t xml:space="preserve">符合中小企业划分标准； </w:t>
      </w:r>
    </w:p>
    <w:p w14:paraId="0FD0E25E">
      <w:pPr>
        <w:numPr>
          <w:ilvl w:val="2"/>
          <w:numId w:val="2"/>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1457FC4F">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DAE5FBF">
      <w:pPr>
        <w:numPr>
          <w:ilvl w:val="1"/>
          <w:numId w:val="2"/>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150FA081">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A21A797">
      <w:pPr>
        <w:numPr>
          <w:ilvl w:val="1"/>
          <w:numId w:val="2"/>
        </w:numPr>
        <w:spacing w:line="360" w:lineRule="auto"/>
        <w:outlineLvl w:val="9"/>
        <w:rPr>
          <w:rFonts w:ascii="宋体" w:hAnsi="宋体" w:cs="宋体"/>
          <w:szCs w:val="21"/>
        </w:rPr>
      </w:pPr>
      <w:r>
        <w:rPr>
          <w:rFonts w:hint="eastAsia" w:ascii="宋体" w:hAnsi="宋体" w:cs="宋体"/>
          <w:szCs w:val="21"/>
          <w:lang w:bidi="ar"/>
        </w:rPr>
        <w:t>监狱企业产品价格扣除</w:t>
      </w:r>
    </w:p>
    <w:p w14:paraId="70A22E0A">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514C4064">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875C41">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683978EB">
      <w:pPr>
        <w:numPr>
          <w:ilvl w:val="1"/>
          <w:numId w:val="2"/>
        </w:numPr>
        <w:spacing w:line="360" w:lineRule="auto"/>
        <w:outlineLvl w:val="9"/>
        <w:rPr>
          <w:rFonts w:ascii="宋体" w:hAnsi="宋体" w:cs="宋体"/>
          <w:szCs w:val="21"/>
        </w:rPr>
      </w:pPr>
      <w:r>
        <w:rPr>
          <w:rFonts w:hint="eastAsia" w:ascii="宋体" w:hAnsi="宋体" w:cs="宋体"/>
          <w:szCs w:val="21"/>
          <w:lang w:bidi="ar"/>
        </w:rPr>
        <w:t>残疾人福利性单位产品价格扣除</w:t>
      </w:r>
    </w:p>
    <w:p w14:paraId="2125CF69">
      <w:pPr>
        <w:numPr>
          <w:ilvl w:val="2"/>
          <w:numId w:val="2"/>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03CA2C9B">
      <w:pPr>
        <w:numPr>
          <w:ilvl w:val="2"/>
          <w:numId w:val="2"/>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20C042D0">
      <w:pPr>
        <w:numPr>
          <w:ilvl w:val="0"/>
          <w:numId w:val="2"/>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410D19D5">
      <w:pPr>
        <w:widowControl w:val="0"/>
        <w:numPr>
          <w:ilvl w:val="0"/>
          <w:numId w:val="0"/>
        </w:numPr>
        <w:tabs>
          <w:tab w:val="left" w:pos="567"/>
        </w:tabs>
        <w:spacing w:line="360" w:lineRule="auto"/>
        <w:jc w:val="both"/>
        <w:rPr>
          <w:rFonts w:hint="eastAsia" w:ascii="宋体" w:hAnsi="宋体" w:cs="宋体"/>
          <w:szCs w:val="21"/>
          <w:lang w:bidi="ar"/>
        </w:rPr>
      </w:pPr>
    </w:p>
    <w:p w14:paraId="017912EA">
      <w:pPr>
        <w:widowControl w:val="0"/>
        <w:numPr>
          <w:ilvl w:val="0"/>
          <w:numId w:val="0"/>
        </w:numPr>
        <w:tabs>
          <w:tab w:val="left" w:pos="567"/>
        </w:tabs>
        <w:spacing w:line="360" w:lineRule="auto"/>
        <w:jc w:val="both"/>
        <w:rPr>
          <w:rFonts w:hint="eastAsia" w:ascii="宋体" w:hAnsi="宋体" w:cs="宋体"/>
          <w:szCs w:val="21"/>
          <w:lang w:bidi="ar"/>
        </w:rPr>
      </w:pPr>
    </w:p>
    <w:p w14:paraId="7E21F0F4">
      <w:pPr>
        <w:widowControl w:val="0"/>
        <w:numPr>
          <w:ilvl w:val="0"/>
          <w:numId w:val="0"/>
        </w:numPr>
        <w:tabs>
          <w:tab w:val="left" w:pos="567"/>
        </w:tabs>
        <w:spacing w:line="360" w:lineRule="auto"/>
        <w:jc w:val="both"/>
        <w:rPr>
          <w:rFonts w:hint="eastAsia" w:ascii="宋体" w:hAnsi="宋体" w:cs="宋体"/>
          <w:szCs w:val="21"/>
          <w:lang w:bidi="ar"/>
        </w:rPr>
      </w:pPr>
    </w:p>
    <w:p w14:paraId="278A28D2">
      <w:pPr>
        <w:widowControl w:val="0"/>
        <w:numPr>
          <w:ilvl w:val="0"/>
          <w:numId w:val="0"/>
        </w:numPr>
        <w:tabs>
          <w:tab w:val="left" w:pos="567"/>
        </w:tabs>
        <w:spacing w:line="360" w:lineRule="auto"/>
        <w:jc w:val="both"/>
        <w:rPr>
          <w:rFonts w:hint="eastAsia" w:ascii="宋体" w:hAnsi="宋体" w:cs="宋体"/>
          <w:szCs w:val="21"/>
          <w:lang w:bidi="ar"/>
        </w:rPr>
      </w:pPr>
    </w:p>
    <w:p w14:paraId="51B5C5C8">
      <w:pPr>
        <w:widowControl w:val="0"/>
        <w:numPr>
          <w:ilvl w:val="0"/>
          <w:numId w:val="0"/>
        </w:numPr>
        <w:tabs>
          <w:tab w:val="left" w:pos="567"/>
        </w:tabs>
        <w:spacing w:line="360" w:lineRule="auto"/>
        <w:jc w:val="both"/>
        <w:rPr>
          <w:rFonts w:hint="eastAsia" w:ascii="宋体" w:hAnsi="宋体" w:cs="宋体"/>
          <w:szCs w:val="21"/>
          <w:lang w:bidi="ar"/>
        </w:rPr>
      </w:pPr>
    </w:p>
    <w:p w14:paraId="02203786">
      <w:pPr>
        <w:widowControl w:val="0"/>
        <w:numPr>
          <w:ilvl w:val="0"/>
          <w:numId w:val="0"/>
        </w:numPr>
        <w:tabs>
          <w:tab w:val="left" w:pos="567"/>
        </w:tabs>
        <w:spacing w:line="360" w:lineRule="auto"/>
        <w:jc w:val="both"/>
        <w:rPr>
          <w:rFonts w:hint="eastAsia" w:ascii="宋体" w:hAnsi="宋体" w:cs="宋体"/>
          <w:szCs w:val="21"/>
          <w:lang w:bidi="ar"/>
        </w:rPr>
      </w:pPr>
    </w:p>
    <w:p w14:paraId="4AD4D8CF">
      <w:pPr>
        <w:widowControl w:val="0"/>
        <w:numPr>
          <w:ilvl w:val="0"/>
          <w:numId w:val="0"/>
        </w:numPr>
        <w:tabs>
          <w:tab w:val="left" w:pos="567"/>
        </w:tabs>
        <w:spacing w:line="360" w:lineRule="auto"/>
        <w:jc w:val="both"/>
        <w:rPr>
          <w:rFonts w:hint="eastAsia" w:ascii="宋体" w:hAnsi="宋体" w:cs="宋体"/>
          <w:szCs w:val="21"/>
          <w:lang w:bidi="ar"/>
        </w:rPr>
      </w:pPr>
    </w:p>
    <w:p w14:paraId="7D3AF6E1">
      <w:pPr>
        <w:widowControl w:val="0"/>
        <w:numPr>
          <w:ilvl w:val="0"/>
          <w:numId w:val="0"/>
        </w:numPr>
        <w:tabs>
          <w:tab w:val="left" w:pos="567"/>
        </w:tabs>
        <w:spacing w:line="360" w:lineRule="auto"/>
        <w:jc w:val="both"/>
        <w:rPr>
          <w:rFonts w:hint="eastAsia" w:ascii="宋体" w:hAnsi="宋体" w:cs="宋体"/>
          <w:szCs w:val="21"/>
          <w:lang w:bidi="ar"/>
        </w:rPr>
      </w:pPr>
    </w:p>
    <w:p w14:paraId="26B6CF80">
      <w:pPr>
        <w:widowControl w:val="0"/>
        <w:numPr>
          <w:ilvl w:val="0"/>
          <w:numId w:val="0"/>
        </w:numPr>
        <w:tabs>
          <w:tab w:val="left" w:pos="567"/>
        </w:tabs>
        <w:spacing w:line="360" w:lineRule="auto"/>
        <w:jc w:val="both"/>
        <w:rPr>
          <w:rFonts w:hint="eastAsia" w:ascii="宋体" w:hAnsi="宋体" w:cs="宋体"/>
          <w:szCs w:val="21"/>
          <w:lang w:bidi="ar"/>
        </w:rPr>
      </w:pPr>
    </w:p>
    <w:p w14:paraId="4F9FC11B">
      <w:pPr>
        <w:widowControl w:val="0"/>
        <w:numPr>
          <w:ilvl w:val="0"/>
          <w:numId w:val="0"/>
        </w:numPr>
        <w:tabs>
          <w:tab w:val="left" w:pos="567"/>
        </w:tabs>
        <w:spacing w:line="360" w:lineRule="auto"/>
        <w:jc w:val="both"/>
        <w:rPr>
          <w:rFonts w:hint="eastAsia" w:ascii="宋体" w:hAnsi="宋体" w:cs="宋体"/>
          <w:szCs w:val="21"/>
          <w:lang w:bidi="ar"/>
        </w:rPr>
      </w:pPr>
    </w:p>
    <w:p w14:paraId="1ED2C2B7">
      <w:pPr>
        <w:widowControl w:val="0"/>
        <w:numPr>
          <w:ilvl w:val="0"/>
          <w:numId w:val="0"/>
        </w:numPr>
        <w:tabs>
          <w:tab w:val="left" w:pos="567"/>
        </w:tabs>
        <w:spacing w:line="360" w:lineRule="auto"/>
        <w:jc w:val="both"/>
        <w:rPr>
          <w:rFonts w:hint="eastAsia" w:ascii="宋体" w:hAnsi="宋体" w:cs="宋体"/>
          <w:szCs w:val="21"/>
          <w:lang w:bidi="ar"/>
        </w:rPr>
      </w:pPr>
    </w:p>
    <w:p w14:paraId="2CE07816">
      <w:pPr>
        <w:widowControl w:val="0"/>
        <w:numPr>
          <w:ilvl w:val="0"/>
          <w:numId w:val="0"/>
        </w:numPr>
        <w:tabs>
          <w:tab w:val="left" w:pos="567"/>
        </w:tabs>
        <w:spacing w:line="360" w:lineRule="auto"/>
        <w:jc w:val="both"/>
        <w:rPr>
          <w:rFonts w:hint="eastAsia" w:ascii="宋体" w:hAnsi="宋体" w:cs="宋体"/>
          <w:szCs w:val="21"/>
          <w:lang w:bidi="ar"/>
        </w:rPr>
      </w:pPr>
    </w:p>
    <w:p w14:paraId="5C054A8D">
      <w:pPr>
        <w:widowControl w:val="0"/>
        <w:numPr>
          <w:ilvl w:val="0"/>
          <w:numId w:val="0"/>
        </w:numPr>
        <w:tabs>
          <w:tab w:val="left" w:pos="567"/>
        </w:tabs>
        <w:spacing w:line="360" w:lineRule="auto"/>
        <w:jc w:val="both"/>
        <w:rPr>
          <w:rFonts w:hint="eastAsia" w:ascii="宋体" w:hAnsi="宋体" w:cs="宋体"/>
          <w:szCs w:val="21"/>
          <w:lang w:bidi="ar"/>
        </w:rPr>
      </w:pPr>
    </w:p>
    <w:p w14:paraId="7D7822F5">
      <w:pPr>
        <w:widowControl w:val="0"/>
        <w:numPr>
          <w:ilvl w:val="0"/>
          <w:numId w:val="0"/>
        </w:numPr>
        <w:tabs>
          <w:tab w:val="left" w:pos="567"/>
        </w:tabs>
        <w:spacing w:line="360" w:lineRule="auto"/>
        <w:jc w:val="both"/>
        <w:rPr>
          <w:rFonts w:hint="eastAsia" w:ascii="宋体" w:hAnsi="宋体" w:cs="宋体"/>
          <w:szCs w:val="21"/>
          <w:lang w:bidi="ar"/>
        </w:rPr>
      </w:pPr>
    </w:p>
    <w:p w14:paraId="4B743458">
      <w:pPr>
        <w:widowControl w:val="0"/>
        <w:numPr>
          <w:ilvl w:val="0"/>
          <w:numId w:val="0"/>
        </w:numPr>
        <w:tabs>
          <w:tab w:val="left" w:pos="567"/>
        </w:tabs>
        <w:spacing w:line="360" w:lineRule="auto"/>
        <w:jc w:val="both"/>
        <w:rPr>
          <w:rFonts w:hint="eastAsia" w:ascii="宋体" w:hAnsi="宋体" w:cs="宋体"/>
          <w:szCs w:val="21"/>
          <w:lang w:bidi="ar"/>
        </w:rPr>
      </w:pPr>
    </w:p>
    <w:p w14:paraId="2C2480CA">
      <w:pPr>
        <w:widowControl w:val="0"/>
        <w:numPr>
          <w:ilvl w:val="0"/>
          <w:numId w:val="0"/>
        </w:numPr>
        <w:tabs>
          <w:tab w:val="left" w:pos="567"/>
        </w:tabs>
        <w:spacing w:line="360" w:lineRule="auto"/>
        <w:jc w:val="both"/>
        <w:rPr>
          <w:rFonts w:hint="eastAsia" w:ascii="宋体" w:hAnsi="宋体" w:cs="宋体"/>
          <w:szCs w:val="21"/>
          <w:lang w:bidi="ar"/>
        </w:rPr>
      </w:pPr>
    </w:p>
    <w:p w14:paraId="2633BB7B">
      <w:pPr>
        <w:widowControl w:val="0"/>
        <w:numPr>
          <w:ilvl w:val="0"/>
          <w:numId w:val="0"/>
        </w:numPr>
        <w:tabs>
          <w:tab w:val="left" w:pos="567"/>
        </w:tabs>
        <w:spacing w:line="360" w:lineRule="auto"/>
        <w:jc w:val="both"/>
        <w:rPr>
          <w:rFonts w:hint="eastAsia" w:ascii="宋体" w:hAnsi="宋体" w:cs="宋体"/>
          <w:szCs w:val="21"/>
          <w:lang w:bidi="ar"/>
        </w:rPr>
      </w:pPr>
    </w:p>
    <w:p w14:paraId="2B7539EB">
      <w:pPr>
        <w:widowControl w:val="0"/>
        <w:numPr>
          <w:ilvl w:val="0"/>
          <w:numId w:val="0"/>
        </w:numPr>
        <w:tabs>
          <w:tab w:val="left" w:pos="567"/>
        </w:tabs>
        <w:spacing w:line="360" w:lineRule="auto"/>
        <w:jc w:val="both"/>
        <w:rPr>
          <w:rFonts w:hint="eastAsia" w:ascii="宋体" w:hAnsi="宋体" w:cs="宋体"/>
          <w:szCs w:val="21"/>
          <w:lang w:bidi="ar"/>
        </w:rPr>
      </w:pPr>
    </w:p>
    <w:p w14:paraId="217EECD4">
      <w:pPr>
        <w:widowControl w:val="0"/>
        <w:numPr>
          <w:ilvl w:val="0"/>
          <w:numId w:val="0"/>
        </w:numPr>
        <w:tabs>
          <w:tab w:val="left" w:pos="567"/>
        </w:tabs>
        <w:spacing w:line="360" w:lineRule="auto"/>
        <w:jc w:val="both"/>
        <w:rPr>
          <w:rFonts w:hint="eastAsia" w:ascii="宋体" w:hAnsi="宋体" w:cs="宋体"/>
          <w:szCs w:val="21"/>
          <w:lang w:bidi="ar"/>
        </w:rPr>
      </w:pPr>
    </w:p>
    <w:p w14:paraId="6446377F">
      <w:pPr>
        <w:widowControl w:val="0"/>
        <w:numPr>
          <w:ilvl w:val="0"/>
          <w:numId w:val="0"/>
        </w:numPr>
        <w:tabs>
          <w:tab w:val="left" w:pos="567"/>
        </w:tabs>
        <w:spacing w:line="360" w:lineRule="auto"/>
        <w:jc w:val="both"/>
        <w:rPr>
          <w:rFonts w:hint="eastAsia" w:ascii="宋体" w:hAnsi="宋体" w:cs="宋体"/>
          <w:szCs w:val="21"/>
          <w:lang w:bidi="ar"/>
        </w:rPr>
      </w:pPr>
    </w:p>
    <w:p w14:paraId="4C0FFA16">
      <w:pPr>
        <w:widowControl w:val="0"/>
        <w:numPr>
          <w:ilvl w:val="0"/>
          <w:numId w:val="0"/>
        </w:numPr>
        <w:tabs>
          <w:tab w:val="left" w:pos="567"/>
        </w:tabs>
        <w:spacing w:line="360" w:lineRule="auto"/>
        <w:jc w:val="both"/>
        <w:rPr>
          <w:rFonts w:hint="eastAsia" w:ascii="宋体" w:hAnsi="宋体" w:cs="宋体"/>
          <w:szCs w:val="21"/>
          <w:lang w:bidi="ar"/>
        </w:rPr>
      </w:pPr>
    </w:p>
    <w:p w14:paraId="05B40DEC">
      <w:pPr>
        <w:widowControl w:val="0"/>
        <w:numPr>
          <w:ilvl w:val="0"/>
          <w:numId w:val="0"/>
        </w:numPr>
        <w:tabs>
          <w:tab w:val="left" w:pos="567"/>
        </w:tabs>
        <w:spacing w:line="360" w:lineRule="auto"/>
        <w:jc w:val="both"/>
        <w:rPr>
          <w:rFonts w:hint="eastAsia" w:ascii="宋体" w:hAnsi="宋体" w:cs="宋体"/>
          <w:szCs w:val="21"/>
          <w:lang w:bidi="ar"/>
        </w:rPr>
      </w:pPr>
    </w:p>
    <w:p w14:paraId="692C3E51">
      <w:pPr>
        <w:numPr>
          <w:ilvl w:val="0"/>
          <w:numId w:val="3"/>
        </w:numPr>
        <w:jc w:val="center"/>
        <w:outlineLvl w:val="0"/>
        <w:rPr>
          <w:rFonts w:hint="eastAsia" w:asciiTheme="majorEastAsia" w:hAnsiTheme="majorEastAsia" w:eastAsiaTheme="majorEastAsia"/>
          <w:sz w:val="32"/>
          <w:szCs w:val="32"/>
          <w:lang w:val="en-US" w:eastAsia="zh-CN"/>
        </w:rPr>
      </w:pPr>
      <w:bookmarkStart w:id="3" w:name="_Toc11375"/>
      <w:r>
        <w:rPr>
          <w:rFonts w:hint="eastAsia" w:asciiTheme="majorEastAsia" w:hAnsiTheme="majorEastAsia" w:eastAsiaTheme="majorEastAsia"/>
          <w:sz w:val="32"/>
          <w:szCs w:val="32"/>
          <w:lang w:val="en-US" w:eastAsia="zh-CN"/>
        </w:rPr>
        <w:t>招标公告</w:t>
      </w:r>
      <w:bookmarkEnd w:id="3"/>
    </w:p>
    <w:p w14:paraId="37A5CB8D">
      <w:pPr>
        <w:pStyle w:val="3"/>
        <w:spacing w:before="0" w:after="0" w:line="240" w:lineRule="auto"/>
        <w:jc w:val="both"/>
        <w:outlineLvl w:val="9"/>
      </w:pPr>
    </w:p>
    <w:p w14:paraId="6E7EA3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bookmarkStart w:id="4" w:name="OLE_LINK1"/>
      <w:bookmarkStart w:id="5" w:name="OLE_LINK3"/>
      <w:r>
        <w:rPr>
          <w:rFonts w:hint="eastAsia" w:ascii="宋体" w:hAnsi="宋体"/>
          <w:szCs w:val="28"/>
        </w:rPr>
        <w:t>项目概况</w:t>
      </w:r>
    </w:p>
    <w:p w14:paraId="6AAB300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u w:val="single"/>
          <w:lang w:val="en-US" w:eastAsia="zh-CN"/>
        </w:rPr>
        <w:t>检验类普通耗材一批（三次招标）</w:t>
      </w:r>
      <w:r>
        <w:rPr>
          <w:rFonts w:hint="eastAsia" w:ascii="宋体" w:hAnsi="宋体"/>
          <w:szCs w:val="28"/>
        </w:rPr>
        <w:t>招标项目的潜在投标人应在</w:t>
      </w:r>
      <w:r>
        <w:rPr>
          <w:rFonts w:hint="eastAsia" w:ascii="宋体" w:hAnsi="宋体"/>
          <w:szCs w:val="28"/>
          <w:lang w:val="en-US" w:eastAsia="zh-CN"/>
        </w:rPr>
        <w:t>深圳市福田区第二人民医院</w:t>
      </w:r>
      <w:r>
        <w:rPr>
          <w:rFonts w:hint="eastAsia" w:ascii="宋体" w:hAnsi="宋体"/>
          <w:szCs w:val="28"/>
        </w:rPr>
        <w:t>获取招标文件，并于</w:t>
      </w:r>
      <w:r>
        <w:rPr>
          <w:rFonts w:hint="eastAsia" w:ascii="宋体" w:hAnsi="宋体"/>
          <w:szCs w:val="28"/>
          <w:u w:val="single"/>
        </w:rPr>
        <w:t>2025</w:t>
      </w:r>
      <w:r>
        <w:rPr>
          <w:rFonts w:hint="eastAsia" w:ascii="宋体" w:hAnsi="宋体"/>
          <w:bCs/>
          <w:szCs w:val="28"/>
          <w:u w:val="single"/>
        </w:rPr>
        <w:t>年</w:t>
      </w:r>
      <w:r>
        <w:rPr>
          <w:rFonts w:hint="eastAsia" w:ascii="宋体" w:hAnsi="宋体"/>
          <w:bCs/>
          <w:szCs w:val="28"/>
          <w:u w:val="single"/>
          <w:lang w:val="en-US" w:eastAsia="zh-CN"/>
        </w:rPr>
        <w:t>9</w:t>
      </w:r>
      <w:r>
        <w:rPr>
          <w:rFonts w:hint="eastAsia" w:ascii="宋体" w:hAnsi="宋体"/>
          <w:bCs/>
          <w:szCs w:val="28"/>
          <w:u w:val="single"/>
        </w:rPr>
        <w:t>月</w:t>
      </w:r>
      <w:r>
        <w:rPr>
          <w:rFonts w:hint="eastAsia" w:ascii="宋体" w:hAnsi="宋体"/>
          <w:bCs/>
          <w:szCs w:val="28"/>
          <w:u w:val="single"/>
          <w:lang w:val="en-US" w:eastAsia="zh-CN"/>
        </w:rPr>
        <w:t>10</w:t>
      </w:r>
      <w:r>
        <w:rPr>
          <w:rFonts w:hint="eastAsia" w:ascii="宋体" w:hAnsi="宋体"/>
          <w:bCs/>
          <w:szCs w:val="28"/>
          <w:u w:val="single"/>
        </w:rPr>
        <w:t>日14点30分（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14:paraId="75F49FC0">
      <w:pPr>
        <w:spacing w:line="360" w:lineRule="auto"/>
        <w:ind w:firstLine="420" w:firstLineChars="200"/>
        <w:rPr>
          <w:rFonts w:hint="eastAsia" w:ascii="宋体" w:hAnsi="宋体"/>
        </w:rPr>
      </w:pPr>
      <w:bookmarkStart w:id="6" w:name="OLE_LINK2"/>
    </w:p>
    <w:p w14:paraId="445E017D">
      <w:pPr>
        <w:spacing w:line="360" w:lineRule="auto"/>
        <w:ind w:firstLine="420" w:firstLineChars="200"/>
        <w:outlineLvl w:val="9"/>
        <w:rPr>
          <w:rFonts w:ascii="宋体" w:hAnsi="宋体"/>
          <w:b/>
        </w:rPr>
      </w:pPr>
      <w:r>
        <w:rPr>
          <w:rFonts w:hint="eastAsia" w:ascii="宋体" w:hAnsi="宋体"/>
        </w:rPr>
        <w:t>一、项目基本情况</w:t>
      </w:r>
    </w:p>
    <w:p w14:paraId="2C46AC76">
      <w:pPr>
        <w:spacing w:line="360" w:lineRule="auto"/>
        <w:ind w:firstLine="420" w:firstLineChars="200"/>
        <w:rPr>
          <w:rFonts w:hint="default" w:ascii="宋体" w:hAnsi="宋体"/>
          <w:lang w:val="en-US"/>
        </w:rPr>
      </w:pPr>
      <w:r>
        <w:rPr>
          <w:rFonts w:hint="eastAsia" w:ascii="宋体" w:hAnsi="宋体"/>
        </w:rPr>
        <w:t>项目编号：</w:t>
      </w:r>
      <w:r>
        <w:rPr>
          <w:rFonts w:hint="eastAsia" w:ascii="宋体" w:hAnsi="宋体"/>
          <w:szCs w:val="28"/>
          <w:u w:val="none"/>
          <w:lang w:val="en-US" w:eastAsia="zh-CN"/>
        </w:rPr>
        <w:t>FTEY-FYC-001B</w:t>
      </w:r>
    </w:p>
    <w:p w14:paraId="4C536290">
      <w:pPr>
        <w:spacing w:line="360" w:lineRule="auto"/>
        <w:ind w:firstLine="420" w:firstLineChars="200"/>
        <w:rPr>
          <w:rFonts w:ascii="宋体" w:hAnsi="宋体"/>
        </w:rPr>
      </w:pPr>
      <w:r>
        <w:rPr>
          <w:rFonts w:hint="eastAsia" w:ascii="宋体" w:hAnsi="宋体"/>
        </w:rPr>
        <w:t>项目名称：</w:t>
      </w:r>
      <w:r>
        <w:rPr>
          <w:rFonts w:hint="eastAsia" w:ascii="宋体" w:hAnsi="宋体"/>
          <w:szCs w:val="28"/>
          <w:u w:val="none"/>
          <w:lang w:val="en-US" w:eastAsia="zh-CN"/>
        </w:rPr>
        <w:t>检验类普通耗材一批（三次招标）</w:t>
      </w:r>
    </w:p>
    <w:p w14:paraId="6B8796DB">
      <w:pPr>
        <w:spacing w:line="360" w:lineRule="auto"/>
        <w:ind w:firstLine="420" w:firstLineChars="200"/>
        <w:rPr>
          <w:rFonts w:ascii="宋体" w:hAnsi="宋体"/>
        </w:rPr>
      </w:pPr>
      <w:r>
        <w:rPr>
          <w:rFonts w:hint="eastAsia" w:ascii="宋体" w:hAnsi="宋体"/>
        </w:rPr>
        <w:t>预算金额（支付上限）：人民币叁万伍仟叁佰贰拾元捌角整（¥</w:t>
      </w:r>
      <w:r>
        <w:rPr>
          <w:rFonts w:hint="eastAsia" w:ascii="宋体" w:hAnsi="宋体"/>
          <w:lang w:val="en-US" w:eastAsia="zh-CN"/>
        </w:rPr>
        <w:t>35,320</w:t>
      </w:r>
      <w:r>
        <w:rPr>
          <w:rFonts w:hint="eastAsia" w:ascii="宋体" w:hAnsi="宋体"/>
        </w:rPr>
        <w:t>.</w:t>
      </w:r>
      <w:r>
        <w:rPr>
          <w:rFonts w:hint="eastAsia" w:ascii="宋体" w:hAnsi="宋体"/>
          <w:lang w:val="en-US" w:eastAsia="zh-CN"/>
        </w:rPr>
        <w:t>8</w:t>
      </w:r>
      <w:r>
        <w:rPr>
          <w:rFonts w:hint="eastAsia" w:ascii="宋体" w:hAnsi="宋体"/>
          <w:szCs w:val="21"/>
        </w:rPr>
        <w:t>0元）</w:t>
      </w:r>
    </w:p>
    <w:p w14:paraId="53438E1E">
      <w:pPr>
        <w:spacing w:line="360" w:lineRule="auto"/>
        <w:ind w:firstLine="420" w:firstLineChars="200"/>
        <w:rPr>
          <w:rFonts w:ascii="宋体" w:hAnsi="宋体"/>
          <w:u w:val="single"/>
        </w:rPr>
      </w:pPr>
      <w:r>
        <w:rPr>
          <w:rFonts w:hint="eastAsia" w:ascii="宋体" w:hAnsi="宋体"/>
        </w:rPr>
        <w:t>采购需求：详见招标文件</w:t>
      </w:r>
    </w:p>
    <w:p w14:paraId="7CF96533">
      <w:pPr>
        <w:spacing w:line="360" w:lineRule="auto"/>
        <w:ind w:firstLine="420" w:firstLineChars="200"/>
        <w:rPr>
          <w:rFonts w:ascii="宋体" w:hAnsi="宋体"/>
          <w:u w:val="single"/>
        </w:rPr>
      </w:pPr>
      <w:r>
        <w:rPr>
          <w:rFonts w:hint="eastAsia" w:ascii="宋体" w:hAnsi="宋体"/>
        </w:rPr>
        <w:t>合同履行期限：详见招标文件</w:t>
      </w:r>
    </w:p>
    <w:p w14:paraId="37C81C40">
      <w:pPr>
        <w:spacing w:line="360" w:lineRule="auto"/>
        <w:ind w:firstLine="420" w:firstLineChars="200"/>
        <w:rPr>
          <w:rFonts w:hint="eastAsia" w:ascii="宋体" w:hAnsi="宋体"/>
        </w:rPr>
      </w:pPr>
      <w:r>
        <w:rPr>
          <w:rFonts w:hint="eastAsia" w:ascii="宋体" w:hAnsi="宋体"/>
        </w:rPr>
        <w:t>本项目不接受联合体投标。</w:t>
      </w:r>
    </w:p>
    <w:p w14:paraId="16B89916">
      <w:pPr>
        <w:spacing w:line="360" w:lineRule="auto"/>
        <w:ind w:firstLine="420" w:firstLineChars="200"/>
        <w:rPr>
          <w:rFonts w:hint="eastAsia" w:ascii="宋体" w:hAnsi="宋体"/>
        </w:rPr>
      </w:pPr>
    </w:p>
    <w:p w14:paraId="1FCF967D">
      <w:pPr>
        <w:spacing w:line="360" w:lineRule="auto"/>
        <w:ind w:firstLine="420" w:firstLineChars="200"/>
        <w:outlineLvl w:val="9"/>
        <w:rPr>
          <w:rFonts w:ascii="宋体" w:hAnsi="宋体"/>
          <w:b/>
        </w:rPr>
      </w:pPr>
      <w:r>
        <w:rPr>
          <w:rFonts w:hint="eastAsia" w:ascii="宋体" w:hAnsi="宋体"/>
        </w:rPr>
        <w:t>二、申请人的资格要求：</w:t>
      </w:r>
    </w:p>
    <w:p w14:paraId="79CCFEC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Theme="minorEastAsia" w:cstheme="minorBidi"/>
          <w:kern w:val="2"/>
          <w:sz w:val="21"/>
          <w:szCs w:val="24"/>
          <w:lang w:val="en-US" w:eastAsia="zh-CN" w:bidi="ar-SA"/>
        </w:rPr>
      </w:pPr>
      <w:bookmarkStart w:id="7" w:name="_Toc27076"/>
      <w:r>
        <w:rPr>
          <w:rFonts w:hint="eastAsia" w:ascii="宋体" w:hAnsi="宋体" w:eastAsiaTheme="minorEastAsia" w:cstheme="minorBidi"/>
          <w:kern w:val="2"/>
          <w:sz w:val="21"/>
          <w:szCs w:val="24"/>
          <w:lang w:val="en-US" w:eastAsia="zh-CN" w:bidi="ar-SA"/>
        </w:rPr>
        <w:t>1、满足《中华人民共和国政府采购法》第二十二条规定（由供应商在《投标人资格声明函及履约承诺函》中作出声明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bookmarkEnd w:id="7"/>
    </w:p>
    <w:p w14:paraId="4857933A">
      <w:pPr>
        <w:spacing w:line="360" w:lineRule="auto"/>
        <w:ind w:firstLine="420" w:firstLineChars="200"/>
        <w:rPr>
          <w:rFonts w:hint="eastAsia" w:ascii="宋体" w:hAnsi="宋体" w:eastAsiaTheme="minorEastAsia"/>
          <w:lang w:eastAsia="zh-CN"/>
        </w:rPr>
      </w:pPr>
      <w:r>
        <w:rPr>
          <w:rFonts w:hint="eastAsia" w:ascii="宋体" w:hAnsi="宋体"/>
        </w:rPr>
        <w:t>2、投标人具有独立法人资格或独立承担民事责任能力的其他组织（提供营业执照或事业单位法人证等法人证明复印件加盖投标人公章，原件备查）</w:t>
      </w:r>
      <w:r>
        <w:rPr>
          <w:rFonts w:hint="eastAsia" w:ascii="宋体" w:hAnsi="宋体"/>
          <w:lang w:eastAsia="zh-CN"/>
        </w:rPr>
        <w:t>；</w:t>
      </w:r>
    </w:p>
    <w:p w14:paraId="62B7FE0C">
      <w:pPr>
        <w:spacing w:line="360" w:lineRule="auto"/>
        <w:ind w:firstLine="420" w:firstLineChars="200"/>
        <w:rPr>
          <w:rFonts w:ascii="宋体" w:hAnsi="宋体"/>
        </w:rPr>
      </w:pPr>
      <w:r>
        <w:rPr>
          <w:rFonts w:hint="eastAsia" w:ascii="宋体" w:hAnsi="宋体"/>
        </w:rPr>
        <w:t>3、本项目</w:t>
      </w:r>
      <w:r>
        <w:rPr>
          <w:rFonts w:hint="eastAsia" w:ascii="宋体" w:hAnsi="宋体"/>
          <w:b/>
        </w:rPr>
        <w:t>不接受</w:t>
      </w:r>
      <w:r>
        <w:rPr>
          <w:rFonts w:hint="eastAsia" w:ascii="宋体" w:hAnsi="宋体"/>
        </w:rPr>
        <w:t>供应商选用进口产品参与投标（进口产品是指通过中国海关报关验收进入中国境内且产自境外的产品）；</w:t>
      </w:r>
    </w:p>
    <w:p w14:paraId="4799F45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ascii="宋体" w:hAnsi="宋体"/>
        </w:rPr>
      </w:pPr>
      <w:bookmarkStart w:id="8" w:name="_Toc27695"/>
      <w:r>
        <w:rPr>
          <w:rFonts w:hint="eastAsia" w:ascii="宋体" w:hAnsi="宋体"/>
        </w:rPr>
        <w:t>4、参与本项目投标前三年内，在经营活动中没有重大违法记录</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bookmarkEnd w:id="8"/>
    </w:p>
    <w:p w14:paraId="7875783B">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5、参与本项目政府采购活动时不存在被有关部门禁止参与政府采购活动且在有效期内的情况</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5396B01A">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6、供应商未被列入失信被执行人、重大税收违法案件当事人名单、政府采购严重违法失信行为记录名单，不存在《深圳市财政局政府采购供应商信用信息管理办法》（深财规〔2023〕3 号）列明的严重违法失信行为</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763DD6D8">
      <w:pPr>
        <w:spacing w:line="360" w:lineRule="auto"/>
        <w:ind w:firstLine="420" w:firstLineChars="200"/>
        <w:rPr>
          <w:rFonts w:ascii="宋体" w:hAnsi="宋体"/>
        </w:rPr>
      </w:pPr>
      <w:r>
        <w:rPr>
          <w:rFonts w:hint="eastAsia" w:ascii="宋体" w:hAnsi="宋体"/>
        </w:rPr>
        <w:t>7、本项目不接受联合体投标，不允许分包、转包。</w:t>
      </w:r>
    </w:p>
    <w:p w14:paraId="47C6FE71">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8、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5E1264F4">
      <w:pPr>
        <w:spacing w:line="360" w:lineRule="auto"/>
        <w:ind w:firstLine="420" w:firstLineChars="200"/>
        <w:rPr>
          <w:rFonts w:ascii="宋体" w:hAnsi="宋体"/>
        </w:rPr>
      </w:pPr>
      <w:r>
        <w:rPr>
          <w:rFonts w:hint="eastAsia" w:ascii="宋体" w:hAnsi="宋体"/>
        </w:rPr>
        <w:t>9、本项目是（否）专门面向中小企业采购：否。</w:t>
      </w:r>
    </w:p>
    <w:p w14:paraId="066F3206">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10、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02B7BA36">
      <w:pPr>
        <w:spacing w:line="360" w:lineRule="auto"/>
        <w:ind w:firstLine="420" w:firstLineChars="200"/>
        <w:rPr>
          <w:rFonts w:ascii="宋体" w:hAnsi="宋体"/>
        </w:rPr>
      </w:pPr>
      <w:r>
        <w:rPr>
          <w:rFonts w:hint="eastAsia" w:ascii="宋体" w:hAnsi="宋体"/>
        </w:rPr>
        <w:t>注：（1）“信用中国”（www.creditchina.gov.cn）、“中国政府采购网”（www.ccgp.gov.cn）、“深圳市政府采购监管网”（http://zfcg.sz.gov.cn）以及市、区财政部门认定的其他渠道为供应商信用信息的查询渠道，相关信息以</w:t>
      </w:r>
      <w:r>
        <w:rPr>
          <w:rFonts w:hint="eastAsia" w:ascii="宋体" w:hAnsi="宋体"/>
          <w:lang w:val="en-US" w:eastAsia="zh-CN"/>
        </w:rPr>
        <w:t>采购人</w:t>
      </w:r>
      <w:r>
        <w:rPr>
          <w:rFonts w:hint="eastAsia" w:ascii="宋体" w:hAnsi="宋体"/>
        </w:rPr>
        <w:t>开标当日的查询结果为准。</w:t>
      </w:r>
    </w:p>
    <w:p w14:paraId="54EF219F">
      <w:pPr>
        <w:numPr>
          <w:ilvl w:val="0"/>
          <w:numId w:val="4"/>
        </w:numPr>
        <w:spacing w:line="360" w:lineRule="auto"/>
        <w:ind w:firstLine="420" w:firstLineChars="200"/>
        <w:rPr>
          <w:rFonts w:hint="eastAsia" w:ascii="宋体" w:hAnsi="宋体"/>
        </w:rPr>
      </w:pPr>
      <w:r>
        <w:rPr>
          <w:rFonts w:hint="eastAsia" w:ascii="宋体" w:hAnsi="宋体"/>
        </w:rPr>
        <w:t>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0D24330A">
      <w:pPr>
        <w:spacing w:line="360" w:lineRule="auto"/>
        <w:ind w:firstLine="420" w:firstLineChars="200"/>
        <w:rPr>
          <w:rFonts w:hint="eastAsia" w:ascii="宋体" w:hAnsi="宋体"/>
          <w:lang w:val="en-US" w:eastAsia="zh-CN"/>
        </w:rPr>
      </w:pPr>
    </w:p>
    <w:p w14:paraId="77EE1078">
      <w:pPr>
        <w:numPr>
          <w:ilvl w:val="0"/>
          <w:numId w:val="5"/>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lang w:val="en-US" w:eastAsia="zh-CN"/>
        </w:rPr>
        <w:t>相关招投标时间及地点信息</w:t>
      </w:r>
    </w:p>
    <w:p w14:paraId="59FF1BE5">
      <w:pPr>
        <w:numPr>
          <w:ilvl w:val="0"/>
          <w:numId w:val="0"/>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eastAsiaTheme="minorEastAsia" w:cstheme="minorBidi"/>
          <w:bCs/>
          <w:kern w:val="2"/>
          <w:sz w:val="21"/>
          <w:szCs w:val="24"/>
          <w:lang w:val="en-US" w:eastAsia="zh-CN" w:bidi="ar-SA"/>
        </w:rPr>
        <w:t>1、</w:t>
      </w:r>
      <w:r>
        <w:rPr>
          <w:rFonts w:hint="eastAsia" w:ascii="宋体" w:hAnsi="宋体" w:eastAsia="宋体" w:cs="宋体"/>
          <w:i w:val="0"/>
          <w:iCs w:val="0"/>
          <w:caps w:val="0"/>
          <w:strike w:val="0"/>
          <w:dstrike w:val="0"/>
          <w:color w:val="000000" w:themeColor="text1"/>
          <w:spacing w:val="0"/>
          <w:kern w:val="0"/>
          <w:sz w:val="21"/>
          <w:szCs w:val="21"/>
          <w:shd w:val="clear" w:fill="FFFFFF"/>
          <w:lang w:val="en-US" w:eastAsia="zh-CN" w:bidi="ar"/>
          <w14:textFill>
            <w14:solidFill>
              <w14:schemeClr w14:val="tx1"/>
            </w14:solidFill>
          </w14:textFill>
        </w:rPr>
        <w:t>报名时间：2025年8月27日8时00分至2025 年9月2日17时00分止。</w:t>
      </w:r>
    </w:p>
    <w:p w14:paraId="5B59DD45">
      <w:pPr>
        <w:spacing w:line="360" w:lineRule="auto"/>
        <w:ind w:firstLine="420" w:firstLineChars="200"/>
        <w:rPr>
          <w:rFonts w:ascii="宋体" w:hAnsi="宋体"/>
          <w:bCs/>
        </w:rPr>
      </w:pPr>
      <w:r>
        <w:rPr>
          <w:rFonts w:hint="eastAsia" w:ascii="宋体" w:hAnsi="宋体"/>
          <w:bCs/>
          <w:lang w:val="en-US" w:eastAsia="zh-CN"/>
        </w:rPr>
        <w:t>2</w:t>
      </w:r>
      <w:r>
        <w:rPr>
          <w:rFonts w:hint="eastAsia" w:ascii="宋体" w:hAnsi="宋体"/>
          <w:bCs/>
        </w:rPr>
        <w:t>、投标文件递交时间：</w:t>
      </w: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10</w:t>
      </w:r>
      <w:r>
        <w:rPr>
          <w:rFonts w:hint="eastAsia" w:ascii="宋体" w:hAnsi="宋体"/>
        </w:rPr>
        <w:t>日</w:t>
      </w:r>
      <w:r>
        <w:rPr>
          <w:rFonts w:hint="eastAsia" w:ascii="宋体" w:hAnsi="宋体"/>
          <w:bCs/>
        </w:rPr>
        <w:t>14:00至14:30（北京时间）；</w:t>
      </w:r>
    </w:p>
    <w:p w14:paraId="6CE8E8E2">
      <w:pPr>
        <w:spacing w:line="360" w:lineRule="auto"/>
        <w:ind w:firstLine="420" w:firstLineChars="200"/>
        <w:rPr>
          <w:rFonts w:hint="default" w:ascii="宋体" w:hAnsi="宋体"/>
          <w:bCs/>
          <w:lang w:val="en-US"/>
        </w:rPr>
      </w:pPr>
      <w:r>
        <w:rPr>
          <w:rFonts w:hint="eastAsia" w:ascii="宋体" w:hAnsi="宋体"/>
          <w:bCs/>
          <w:lang w:val="en-US" w:eastAsia="zh-CN"/>
        </w:rPr>
        <w:t>3</w:t>
      </w:r>
      <w:r>
        <w:rPr>
          <w:rFonts w:hint="eastAsia" w:ascii="宋体" w:hAnsi="宋体"/>
          <w:bCs/>
        </w:rPr>
        <w:t>、投标文件递交地点：</w:t>
      </w:r>
      <w:r>
        <w:rPr>
          <w:rFonts w:hint="eastAsia" w:ascii="宋体"/>
          <w:bCs/>
          <w:color w:val="auto"/>
          <w:szCs w:val="20"/>
          <w:highlight w:val="none"/>
          <w:lang w:val="en-US" w:eastAsia="zh-CN"/>
        </w:rPr>
        <w:t>深圳市福田区梅林街道中康路27号综合楼A栋501室</w:t>
      </w:r>
    </w:p>
    <w:p w14:paraId="47B3FE96">
      <w:pPr>
        <w:spacing w:line="360" w:lineRule="auto"/>
        <w:ind w:firstLine="420" w:firstLineChars="200"/>
        <w:rPr>
          <w:rFonts w:ascii="宋体" w:hAnsi="宋体"/>
          <w:bCs/>
        </w:rPr>
      </w:pPr>
      <w:r>
        <w:rPr>
          <w:rFonts w:hint="eastAsia" w:ascii="宋体" w:hAnsi="宋体"/>
          <w:bCs/>
          <w:lang w:val="en-US" w:eastAsia="zh-CN"/>
        </w:rPr>
        <w:t>4</w:t>
      </w:r>
      <w:r>
        <w:rPr>
          <w:rFonts w:hint="eastAsia" w:ascii="宋体" w:hAnsi="宋体"/>
          <w:bCs/>
        </w:rPr>
        <w:t>、递交投标文件截止时间：</w:t>
      </w: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10</w:t>
      </w:r>
      <w:r>
        <w:rPr>
          <w:rFonts w:hint="eastAsia" w:ascii="宋体" w:hAnsi="宋体"/>
        </w:rPr>
        <w:t>日</w:t>
      </w:r>
      <w:r>
        <w:rPr>
          <w:rFonts w:hint="eastAsia" w:ascii="宋体" w:hAnsi="宋体"/>
          <w:bCs/>
        </w:rPr>
        <w:t>14:30（北京时间）</w:t>
      </w:r>
      <w:r>
        <w:rPr>
          <w:rFonts w:hint="eastAsia" w:ascii="宋体" w:hAnsi="宋体"/>
          <w:bCs/>
          <w:lang w:eastAsia="zh-CN"/>
        </w:rPr>
        <w:t>，</w:t>
      </w:r>
      <w:r>
        <w:rPr>
          <w:rFonts w:hint="eastAsia" w:ascii="宋体" w:hAnsi="宋体"/>
          <w:bCs/>
        </w:rPr>
        <w:t>所有投标文件应于投标截止时间之前递交，迟交的投标文件将拒绝接收；</w:t>
      </w:r>
    </w:p>
    <w:p w14:paraId="5BABFDD3">
      <w:pPr>
        <w:spacing w:line="360" w:lineRule="auto"/>
        <w:ind w:firstLine="420" w:firstLineChars="200"/>
        <w:rPr>
          <w:rFonts w:ascii="宋体" w:hAnsi="宋体"/>
          <w:bCs/>
        </w:rPr>
      </w:pPr>
      <w:r>
        <w:rPr>
          <w:rFonts w:hint="eastAsia" w:ascii="宋体" w:hAnsi="宋体"/>
          <w:bCs/>
          <w:lang w:val="en-US" w:eastAsia="zh-CN"/>
        </w:rPr>
        <w:t>5</w:t>
      </w:r>
      <w:r>
        <w:rPr>
          <w:rFonts w:hint="eastAsia" w:ascii="宋体" w:hAnsi="宋体"/>
          <w:bCs/>
        </w:rPr>
        <w:t>、开标时间：</w:t>
      </w: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10</w:t>
      </w:r>
      <w:r>
        <w:rPr>
          <w:rFonts w:hint="eastAsia" w:ascii="宋体" w:hAnsi="宋体"/>
        </w:rPr>
        <w:t>日</w:t>
      </w:r>
      <w:r>
        <w:rPr>
          <w:rFonts w:hint="eastAsia" w:ascii="宋体" w:hAnsi="宋体"/>
          <w:bCs/>
        </w:rPr>
        <w:t>14:30（北京时间）</w:t>
      </w:r>
    </w:p>
    <w:p w14:paraId="0D5CC876">
      <w:pPr>
        <w:spacing w:line="360" w:lineRule="auto"/>
        <w:ind w:firstLine="420" w:firstLineChars="200"/>
        <w:rPr>
          <w:rFonts w:ascii="宋体" w:hAnsi="宋体"/>
          <w:bCs/>
        </w:rPr>
      </w:pPr>
      <w:r>
        <w:rPr>
          <w:rFonts w:hint="eastAsia" w:ascii="宋体" w:hAnsi="宋体"/>
          <w:bCs/>
          <w:lang w:val="en-US" w:eastAsia="zh-CN"/>
        </w:rPr>
        <w:t>6</w:t>
      </w:r>
      <w:r>
        <w:rPr>
          <w:rFonts w:hint="eastAsia" w:ascii="宋体" w:hAnsi="宋体"/>
          <w:bCs/>
        </w:rPr>
        <w:t>、开标地点：</w:t>
      </w:r>
      <w:r>
        <w:rPr>
          <w:rFonts w:hint="eastAsia" w:ascii="宋体"/>
          <w:bCs/>
          <w:color w:val="auto"/>
          <w:szCs w:val="20"/>
          <w:highlight w:val="none"/>
          <w:lang w:val="en-US" w:eastAsia="zh-CN"/>
        </w:rPr>
        <w:t>深圳市福田区梅林街道中康路27号综合楼A栋501室</w:t>
      </w:r>
    </w:p>
    <w:p w14:paraId="6EA9CF78">
      <w:pPr>
        <w:spacing w:line="360" w:lineRule="auto"/>
        <w:ind w:firstLine="420" w:firstLineChars="200"/>
        <w:rPr>
          <w:rFonts w:hint="eastAsia" w:ascii="宋体" w:hAnsi="宋体"/>
          <w:lang w:val="en-US" w:eastAsia="zh-CN"/>
        </w:rPr>
      </w:pPr>
    </w:p>
    <w:p w14:paraId="3A925972">
      <w:pPr>
        <w:spacing w:line="360" w:lineRule="auto"/>
        <w:ind w:firstLine="420" w:firstLineChars="200"/>
        <w:outlineLvl w:val="9"/>
        <w:rPr>
          <w:rFonts w:ascii="宋体" w:hAnsi="宋体"/>
          <w:b/>
        </w:rPr>
      </w:pPr>
      <w:r>
        <w:rPr>
          <w:rFonts w:hint="eastAsia" w:ascii="宋体" w:hAnsi="宋体"/>
          <w:lang w:val="en-US" w:eastAsia="zh-CN"/>
        </w:rPr>
        <w:t>四</w:t>
      </w:r>
      <w:r>
        <w:rPr>
          <w:rFonts w:hint="eastAsia" w:ascii="宋体" w:hAnsi="宋体"/>
        </w:rPr>
        <w:t>、公告期限</w:t>
      </w:r>
    </w:p>
    <w:p w14:paraId="790F53A0">
      <w:pPr>
        <w:spacing w:line="360" w:lineRule="auto"/>
        <w:ind w:firstLine="420" w:firstLineChars="200"/>
        <w:rPr>
          <w:rFonts w:hint="eastAsia" w:ascii="宋体" w:hAnsi="宋体"/>
          <w:kern w:val="0"/>
        </w:rPr>
      </w:pPr>
      <w:r>
        <w:rPr>
          <w:rFonts w:hint="eastAsia" w:ascii="宋体" w:hAnsi="宋体"/>
          <w:kern w:val="0"/>
        </w:rPr>
        <w:t>自本公告发布之日起5个工作日。</w:t>
      </w:r>
    </w:p>
    <w:p w14:paraId="783EA265">
      <w:pPr>
        <w:pStyle w:val="30"/>
        <w:rPr>
          <w:rFonts w:hint="eastAsia"/>
          <w:lang w:val="en-US" w:eastAsia="zh-CN"/>
        </w:rPr>
      </w:pPr>
    </w:p>
    <w:p w14:paraId="0972B18F">
      <w:pPr>
        <w:numPr>
          <w:ilvl w:val="0"/>
          <w:numId w:val="6"/>
        </w:numPr>
        <w:spacing w:line="360" w:lineRule="auto"/>
        <w:ind w:firstLine="420" w:firstLineChars="200"/>
        <w:outlineLvl w:val="9"/>
        <w:rPr>
          <w:rFonts w:hint="default" w:ascii="宋体" w:hAnsi="宋体"/>
          <w:lang w:val="en-US" w:eastAsia="zh-CN"/>
        </w:rPr>
      </w:pPr>
      <w:r>
        <w:rPr>
          <w:rFonts w:hint="eastAsia" w:ascii="宋体" w:hAnsi="宋体"/>
          <w:lang w:val="en-US" w:eastAsia="zh-CN"/>
        </w:rPr>
        <w:t>报名事宜</w:t>
      </w:r>
    </w:p>
    <w:p w14:paraId="5920D85F">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有意参与投标的供应商需将附件一.报名文件填写完毕并加盖公章后，发送至邮箱zbcgb@ft2yy.cn进行报名。</w:t>
      </w:r>
    </w:p>
    <w:p w14:paraId="6212F695">
      <w:pPr>
        <w:pStyle w:val="30"/>
        <w:rPr>
          <w:rFonts w:hint="default"/>
          <w:lang w:val="en-US" w:eastAsia="zh-CN"/>
        </w:rPr>
      </w:pPr>
    </w:p>
    <w:p w14:paraId="4F2DF4E0">
      <w:pPr>
        <w:numPr>
          <w:ilvl w:val="0"/>
          <w:numId w:val="6"/>
        </w:numPr>
        <w:spacing w:line="360" w:lineRule="auto"/>
        <w:ind w:firstLine="420" w:firstLineChars="200"/>
        <w:outlineLvl w:val="9"/>
        <w:rPr>
          <w:rFonts w:hint="eastAsia" w:ascii="宋体" w:hAnsi="宋体"/>
        </w:rPr>
      </w:pPr>
      <w:r>
        <w:rPr>
          <w:rFonts w:hint="eastAsia" w:ascii="宋体" w:hAnsi="宋体"/>
        </w:rPr>
        <w:t>其他补充事宜</w:t>
      </w:r>
    </w:p>
    <w:p w14:paraId="49A5F5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lang w:val="en-US" w:eastAsia="zh-CN"/>
        </w:rPr>
      </w:pPr>
      <w:r>
        <w:rPr>
          <w:rFonts w:hint="eastAsia" w:ascii="宋体" w:hAnsi="宋体"/>
          <w:lang w:val="en-US" w:eastAsia="zh-CN"/>
        </w:rPr>
        <w:t>1、报名的供应商若因任何原因无法应标，请在开标时间前1个日历日书面告知。若未告知，视为能够如期应标。如果出现未书面告知又没有如期应标的情况，我院将视情况，将违规公司列入不诚信名单。</w:t>
      </w:r>
    </w:p>
    <w:p w14:paraId="36A64976">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2、投标人有义务在招标活动期间浏览深圳市福田区第二人民医院网站（https://www.ft2yy.cn/）。相关公告在上述媒体上公布之日即视为有效送达，不再另行通知。</w:t>
      </w:r>
    </w:p>
    <w:p w14:paraId="14DB6B97">
      <w:pPr>
        <w:pStyle w:val="30"/>
        <w:rPr>
          <w:rFonts w:hint="eastAsia"/>
          <w:lang w:val="en-US" w:eastAsia="zh-CN"/>
        </w:rPr>
      </w:pPr>
    </w:p>
    <w:p w14:paraId="3019BE1D">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七、对本次招标提出询问，请按以下方式联系。</w:t>
      </w:r>
    </w:p>
    <w:p w14:paraId="4F679AC3">
      <w:pPr>
        <w:numPr>
          <w:ilvl w:val="0"/>
          <w:numId w:val="0"/>
        </w:numPr>
        <w:spacing w:line="360" w:lineRule="auto"/>
        <w:ind w:firstLine="420" w:firstLineChars="200"/>
        <w:rPr>
          <w:rFonts w:hint="default" w:ascii="宋体" w:hAnsi="宋体"/>
          <w:lang w:val="en-US" w:eastAsia="zh-CN"/>
        </w:rPr>
      </w:pPr>
      <w:r>
        <w:rPr>
          <w:rFonts w:hint="eastAsia" w:ascii="宋体" w:hAnsi="宋体"/>
          <w:lang w:val="en-US" w:eastAsia="zh-CN"/>
        </w:rPr>
        <w:t>医学装备部联系人：曾老师 0755-83116181</w:t>
      </w:r>
    </w:p>
    <w:p w14:paraId="1D33796B">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招标采购办联系人：吴老师 0755-83279817</w:t>
      </w:r>
    </w:p>
    <w:p w14:paraId="1FF851B1">
      <w:pPr>
        <w:spacing w:line="360" w:lineRule="auto"/>
        <w:ind w:firstLine="420" w:firstLineChars="200"/>
        <w:rPr>
          <w:rFonts w:ascii="宋体" w:hAnsi="宋体"/>
        </w:rPr>
      </w:pPr>
    </w:p>
    <w:p w14:paraId="1019DEE3">
      <w:pPr>
        <w:spacing w:line="400" w:lineRule="exact"/>
        <w:ind w:firstLine="420" w:firstLineChars="200"/>
        <w:rPr>
          <w:rFonts w:ascii="宋体" w:hAnsi="宋体"/>
          <w:szCs w:val="21"/>
          <w:u w:val="single"/>
        </w:rPr>
      </w:pPr>
    </w:p>
    <w:p w14:paraId="4B886C7A">
      <w:pPr>
        <w:spacing w:line="400" w:lineRule="exact"/>
        <w:ind w:firstLine="420" w:firstLineChars="200"/>
        <w:rPr>
          <w:rFonts w:ascii="宋体" w:hAnsi="宋体"/>
          <w:szCs w:val="21"/>
          <w:u w:val="single"/>
        </w:rPr>
      </w:pPr>
    </w:p>
    <w:p w14:paraId="12B3098F">
      <w:pPr>
        <w:spacing w:line="400" w:lineRule="exact"/>
        <w:ind w:firstLine="420" w:firstLineChars="200"/>
        <w:jc w:val="right"/>
        <w:rPr>
          <w:rFonts w:hint="eastAsia" w:ascii="宋体" w:hAnsi="宋体"/>
          <w:szCs w:val="21"/>
          <w:lang w:val="en-US" w:eastAsia="zh-CN"/>
        </w:rPr>
      </w:pPr>
      <w:r>
        <w:rPr>
          <w:rFonts w:hint="eastAsia" w:ascii="宋体" w:hAnsi="宋体"/>
          <w:szCs w:val="21"/>
          <w:lang w:val="en-US" w:eastAsia="zh-CN"/>
        </w:rPr>
        <w:t>深圳市福田区第二人民医院</w:t>
      </w:r>
    </w:p>
    <w:p w14:paraId="37FE1700">
      <w:pPr>
        <w:spacing w:line="400" w:lineRule="exact"/>
        <w:ind w:firstLine="420" w:firstLineChars="200"/>
        <w:jc w:val="right"/>
        <w:rPr>
          <w:rFonts w:hint="eastAsia" w:ascii="宋体" w:hAnsi="宋体"/>
        </w:rPr>
      </w:pP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26</w:t>
      </w:r>
      <w:r>
        <w:rPr>
          <w:rFonts w:hint="eastAsia" w:ascii="宋体" w:hAnsi="宋体"/>
        </w:rPr>
        <w:t>日</w:t>
      </w:r>
      <w:bookmarkEnd w:id="4"/>
      <w:bookmarkEnd w:id="5"/>
      <w:bookmarkEnd w:id="6"/>
    </w:p>
    <w:p w14:paraId="55CA3F6B">
      <w:pPr>
        <w:spacing w:line="400" w:lineRule="exact"/>
        <w:ind w:firstLine="420" w:firstLineChars="200"/>
        <w:jc w:val="right"/>
        <w:rPr>
          <w:rFonts w:hint="eastAsia" w:ascii="宋体" w:hAnsi="宋体"/>
        </w:rPr>
      </w:pPr>
    </w:p>
    <w:p w14:paraId="6469AE78">
      <w:pPr>
        <w:spacing w:line="400" w:lineRule="exact"/>
        <w:ind w:firstLine="420" w:firstLineChars="200"/>
        <w:jc w:val="right"/>
        <w:rPr>
          <w:rFonts w:hint="eastAsia" w:ascii="宋体" w:hAnsi="宋体"/>
        </w:rPr>
      </w:pPr>
    </w:p>
    <w:p w14:paraId="57457995">
      <w:pPr>
        <w:spacing w:line="400" w:lineRule="exact"/>
        <w:ind w:firstLine="420" w:firstLineChars="200"/>
        <w:jc w:val="right"/>
        <w:rPr>
          <w:rFonts w:hint="eastAsia" w:ascii="宋体" w:hAnsi="宋体"/>
        </w:rPr>
      </w:pPr>
    </w:p>
    <w:p w14:paraId="25FF5FA9">
      <w:pPr>
        <w:spacing w:line="400" w:lineRule="exact"/>
        <w:ind w:firstLine="420" w:firstLineChars="200"/>
        <w:jc w:val="right"/>
        <w:rPr>
          <w:rFonts w:hint="eastAsia" w:ascii="宋体" w:hAnsi="宋体"/>
        </w:rPr>
      </w:pPr>
    </w:p>
    <w:p w14:paraId="07D4EAE5">
      <w:pPr>
        <w:spacing w:line="400" w:lineRule="exact"/>
        <w:ind w:firstLine="420" w:firstLineChars="200"/>
        <w:jc w:val="right"/>
        <w:rPr>
          <w:rFonts w:hint="eastAsia" w:ascii="宋体" w:hAnsi="宋体"/>
        </w:rPr>
      </w:pPr>
    </w:p>
    <w:p w14:paraId="0BBD54F1">
      <w:pPr>
        <w:spacing w:line="400" w:lineRule="exact"/>
        <w:ind w:firstLine="420" w:firstLineChars="200"/>
        <w:jc w:val="right"/>
        <w:rPr>
          <w:rFonts w:hint="eastAsia" w:ascii="宋体" w:hAnsi="宋体"/>
        </w:rPr>
      </w:pPr>
    </w:p>
    <w:p w14:paraId="5E18DCF2">
      <w:pPr>
        <w:spacing w:line="400" w:lineRule="exact"/>
        <w:jc w:val="both"/>
        <w:rPr>
          <w:rFonts w:hint="eastAsia" w:ascii="宋体" w:hAnsi="宋体"/>
        </w:rPr>
      </w:pPr>
    </w:p>
    <w:p w14:paraId="2E497A98">
      <w:pPr>
        <w:spacing w:line="400" w:lineRule="exact"/>
        <w:jc w:val="both"/>
        <w:rPr>
          <w:rFonts w:hint="eastAsia" w:ascii="宋体" w:hAnsi="宋体"/>
        </w:rPr>
      </w:pPr>
    </w:p>
    <w:p w14:paraId="13CFC3C1">
      <w:pPr>
        <w:spacing w:line="400" w:lineRule="exact"/>
        <w:jc w:val="both"/>
        <w:rPr>
          <w:rFonts w:hint="eastAsia" w:ascii="宋体" w:hAnsi="宋体"/>
        </w:rPr>
      </w:pPr>
    </w:p>
    <w:p w14:paraId="6A5E8848">
      <w:pPr>
        <w:spacing w:line="400" w:lineRule="exact"/>
        <w:jc w:val="both"/>
        <w:rPr>
          <w:rFonts w:hint="eastAsia" w:ascii="宋体" w:hAnsi="宋体"/>
        </w:rPr>
      </w:pPr>
    </w:p>
    <w:p w14:paraId="1B01E0D4">
      <w:pPr>
        <w:spacing w:line="400" w:lineRule="exact"/>
        <w:jc w:val="both"/>
        <w:rPr>
          <w:rFonts w:hint="eastAsia" w:ascii="宋体" w:hAnsi="宋体"/>
        </w:rPr>
      </w:pPr>
    </w:p>
    <w:p w14:paraId="1BE84547">
      <w:pPr>
        <w:widowControl/>
        <w:numPr>
          <w:ilvl w:val="0"/>
          <w:numId w:val="3"/>
        </w:numPr>
        <w:ind w:left="0" w:leftChars="0" w:firstLine="0" w:firstLineChars="0"/>
        <w:jc w:val="center"/>
        <w:outlineLvl w:val="0"/>
        <w:rPr>
          <w:rFonts w:hint="eastAsia" w:asciiTheme="majorEastAsia" w:hAnsiTheme="majorEastAsia" w:eastAsiaTheme="majorEastAsia"/>
          <w:sz w:val="32"/>
          <w:szCs w:val="32"/>
          <w:lang w:val="en-US" w:eastAsia="zh-CN"/>
        </w:rPr>
      </w:pPr>
      <w:bookmarkStart w:id="9" w:name="_Toc24468"/>
      <w:r>
        <w:rPr>
          <w:rFonts w:hint="eastAsia" w:asciiTheme="majorEastAsia" w:hAnsiTheme="majorEastAsia" w:eastAsiaTheme="majorEastAsia"/>
          <w:sz w:val="32"/>
          <w:szCs w:val="32"/>
          <w:lang w:val="en-US" w:eastAsia="zh-CN"/>
        </w:rPr>
        <w:t>用户需求书</w:t>
      </w:r>
      <w:bookmarkEnd w:id="9"/>
    </w:p>
    <w:p w14:paraId="1A0964E7">
      <w:pPr>
        <w:snapToGrid w:val="0"/>
        <w:spacing w:line="360" w:lineRule="auto"/>
        <w:rPr>
          <w:rFonts w:ascii="宋体"/>
          <w:b/>
          <w:bCs/>
          <w:szCs w:val="20"/>
        </w:rPr>
      </w:pPr>
      <w:r>
        <w:rPr>
          <w:rFonts w:hint="eastAsia" w:ascii="宋体"/>
          <w:b/>
          <w:bCs/>
          <w:szCs w:val="20"/>
        </w:rPr>
        <w:t>说明：</w:t>
      </w:r>
    </w:p>
    <w:p w14:paraId="41B0864D">
      <w:pPr>
        <w:numPr>
          <w:ilvl w:val="0"/>
          <w:numId w:val="7"/>
        </w:numPr>
        <w:snapToGrid w:val="0"/>
        <w:spacing w:line="360" w:lineRule="auto"/>
        <w:ind w:left="422" w:hanging="422" w:hangingChars="200"/>
        <w:rPr>
          <w:rFonts w:ascii="宋体"/>
          <w:b/>
          <w:bCs/>
          <w:color w:val="auto"/>
          <w:szCs w:val="20"/>
        </w:rPr>
      </w:pPr>
      <w:r>
        <w:rPr>
          <w:rFonts w:hint="eastAsia" w:ascii="宋体"/>
          <w:b/>
          <w:bCs/>
          <w:szCs w:val="20"/>
        </w:rPr>
        <w:t>投标人</w:t>
      </w:r>
      <w:r>
        <w:rPr>
          <w:rFonts w:hint="eastAsia" w:ascii="宋体"/>
          <w:b/>
          <w:bCs/>
          <w:color w:val="auto"/>
          <w:szCs w:val="20"/>
        </w:rPr>
        <w:t>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14:paraId="43676C16">
      <w:pPr>
        <w:numPr>
          <w:ilvl w:val="0"/>
          <w:numId w:val="7"/>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4D99824F">
      <w:pPr>
        <w:numPr>
          <w:ilvl w:val="0"/>
          <w:numId w:val="7"/>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p>
    <w:p w14:paraId="5AAF2DBC">
      <w:pPr>
        <w:pStyle w:val="10"/>
        <w:numPr>
          <w:ilvl w:val="0"/>
          <w:numId w:val="8"/>
        </w:numPr>
        <w:tabs>
          <w:tab w:val="left" w:pos="540"/>
        </w:tabs>
        <w:adjustRightInd w:val="0"/>
        <w:snapToGrid w:val="0"/>
        <w:spacing w:line="360" w:lineRule="auto"/>
        <w:ind w:left="420" w:leftChars="0" w:hanging="420" w:firstLineChars="0"/>
        <w:outlineLvl w:val="9"/>
        <w:rPr>
          <w:color w:val="auto"/>
        </w:rPr>
      </w:pPr>
      <w:r>
        <w:rPr>
          <w:rFonts w:hint="eastAsia"/>
          <w:b/>
          <w:color w:val="auto"/>
          <w:szCs w:val="20"/>
        </w:rPr>
        <w:t>项目</w:t>
      </w:r>
      <w:r>
        <w:rPr>
          <w:rFonts w:hint="eastAsia"/>
          <w:b/>
          <w:color w:val="auto"/>
          <w:szCs w:val="20"/>
          <w:lang w:val="en-US" w:eastAsia="zh-CN"/>
        </w:rPr>
        <w:t>一览表</w:t>
      </w:r>
      <w:r>
        <w:rPr>
          <w:rFonts w:hint="eastAsia"/>
          <w:b/>
          <w:color w:val="auto"/>
          <w:szCs w:val="20"/>
        </w:rPr>
        <w:t>：</w:t>
      </w:r>
    </w:p>
    <w:tbl>
      <w:tblPr>
        <w:tblStyle w:val="17"/>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93"/>
        <w:gridCol w:w="2859"/>
        <w:gridCol w:w="1937"/>
        <w:gridCol w:w="1937"/>
      </w:tblGrid>
      <w:tr w14:paraId="3CF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311" w:type="dxa"/>
            <w:shd w:val="clear" w:color="auto" w:fill="EEECE1"/>
            <w:vAlign w:val="center"/>
          </w:tcPr>
          <w:p w14:paraId="515F1896">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采购内容</w:t>
            </w:r>
          </w:p>
        </w:tc>
        <w:tc>
          <w:tcPr>
            <w:tcW w:w="693" w:type="dxa"/>
            <w:shd w:val="clear" w:color="auto" w:fill="EEECE1"/>
            <w:vAlign w:val="center"/>
          </w:tcPr>
          <w:p w14:paraId="6E527C4A">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数量</w:t>
            </w:r>
          </w:p>
        </w:tc>
        <w:tc>
          <w:tcPr>
            <w:tcW w:w="2859" w:type="dxa"/>
            <w:shd w:val="clear" w:color="auto" w:fill="EEECE1"/>
            <w:vAlign w:val="center"/>
          </w:tcPr>
          <w:p w14:paraId="1F7013D0">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交货期</w:t>
            </w:r>
          </w:p>
        </w:tc>
        <w:tc>
          <w:tcPr>
            <w:tcW w:w="1937" w:type="dxa"/>
            <w:shd w:val="clear" w:color="auto" w:fill="EEECE1"/>
            <w:vAlign w:val="center"/>
          </w:tcPr>
          <w:p w14:paraId="77A1679F">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最高限价</w:t>
            </w:r>
          </w:p>
        </w:tc>
        <w:tc>
          <w:tcPr>
            <w:tcW w:w="1937" w:type="dxa"/>
            <w:shd w:val="clear" w:color="auto" w:fill="EEECE1"/>
            <w:vAlign w:val="center"/>
          </w:tcPr>
          <w:p w14:paraId="20EB26C1">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rPr>
              <w:t>所属行业</w:t>
            </w:r>
          </w:p>
        </w:tc>
      </w:tr>
      <w:tr w14:paraId="0A1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1" w:type="dxa"/>
            <w:vAlign w:val="center"/>
          </w:tcPr>
          <w:p w14:paraId="262358C2">
            <w:pPr>
              <w:keepNext w:val="0"/>
              <w:keepLines w:val="0"/>
              <w:suppressLineNumbers w:val="0"/>
              <w:spacing w:before="0" w:beforeAutospacing="0" w:after="0" w:afterAutospacing="0"/>
              <w:ind w:left="0" w:right="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检验类普通耗材一批（三次招标）</w:t>
            </w:r>
          </w:p>
        </w:tc>
        <w:tc>
          <w:tcPr>
            <w:tcW w:w="693" w:type="dxa"/>
            <w:vAlign w:val="center"/>
          </w:tcPr>
          <w:p w14:paraId="390AF9D4">
            <w:pPr>
              <w:keepNext w:val="0"/>
              <w:keepLines w:val="0"/>
              <w:suppressLineNumbers w:val="0"/>
              <w:spacing w:before="0" w:beforeAutospacing="0" w:after="0" w:afterAutospacing="0"/>
              <w:ind w:left="0" w:right="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1批</w:t>
            </w:r>
          </w:p>
        </w:tc>
        <w:tc>
          <w:tcPr>
            <w:tcW w:w="2859" w:type="dxa"/>
            <w:vAlign w:val="center"/>
          </w:tcPr>
          <w:p w14:paraId="36A3EC96">
            <w:pPr>
              <w:pStyle w:val="27"/>
              <w:keepLines w:val="0"/>
              <w:suppressLineNumbers w:val="0"/>
              <w:spacing w:beforeAutospacing="0" w:afterAutospacing="0" w:line="240" w:lineRule="auto"/>
              <w:ind w:left="0" w:right="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合同签订并接院方通知后2日内交货</w:t>
            </w:r>
          </w:p>
        </w:tc>
        <w:tc>
          <w:tcPr>
            <w:tcW w:w="1937" w:type="dxa"/>
            <w:vAlign w:val="center"/>
          </w:tcPr>
          <w:p w14:paraId="113A87B9">
            <w:pPr>
              <w:pStyle w:val="27"/>
              <w:keepLines w:val="0"/>
              <w:suppressLineNumbers w:val="0"/>
              <w:spacing w:beforeAutospacing="0" w:afterAutospacing="0" w:line="240" w:lineRule="auto"/>
              <w:ind w:left="0" w:right="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人民币35320.80元</w:t>
            </w:r>
          </w:p>
        </w:tc>
        <w:tc>
          <w:tcPr>
            <w:tcW w:w="1937" w:type="dxa"/>
            <w:vAlign w:val="center"/>
          </w:tcPr>
          <w:p w14:paraId="6694BA19">
            <w:pPr>
              <w:pStyle w:val="27"/>
              <w:keepLines w:val="0"/>
              <w:suppressLineNumbers w:val="0"/>
              <w:spacing w:beforeAutospacing="0" w:afterAutospacing="0" w:line="240" w:lineRule="auto"/>
              <w:ind w:left="0" w:right="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工业</w:t>
            </w:r>
          </w:p>
        </w:tc>
      </w:tr>
    </w:tbl>
    <w:p w14:paraId="2E6EEF9F">
      <w:pPr>
        <w:pStyle w:val="10"/>
        <w:tabs>
          <w:tab w:val="left" w:pos="540"/>
        </w:tabs>
        <w:adjustRightInd w:val="0"/>
        <w:snapToGrid w:val="0"/>
        <w:spacing w:line="360" w:lineRule="auto"/>
        <w:rPr>
          <w:rFonts w:hAnsi="宋体"/>
          <w:b/>
          <w:color w:val="auto"/>
        </w:rPr>
      </w:pPr>
    </w:p>
    <w:p w14:paraId="705CA8FA">
      <w:pPr>
        <w:pStyle w:val="10"/>
        <w:numPr>
          <w:ilvl w:val="0"/>
          <w:numId w:val="8"/>
        </w:numPr>
        <w:tabs>
          <w:tab w:val="left" w:pos="540"/>
        </w:tabs>
        <w:adjustRightInd w:val="0"/>
        <w:snapToGrid w:val="0"/>
        <w:spacing w:line="360" w:lineRule="auto"/>
        <w:ind w:left="420" w:leftChars="0" w:hanging="420" w:firstLineChars="0"/>
        <w:outlineLvl w:val="9"/>
        <w:rPr>
          <w:rFonts w:hAnsi="宋体"/>
          <w:b/>
          <w:color w:val="auto"/>
        </w:rPr>
      </w:pPr>
      <w:r>
        <w:rPr>
          <w:rFonts w:hint="eastAsia" w:hAnsi="宋体"/>
          <w:b/>
          <w:color w:val="auto"/>
          <w:lang w:val="en-US" w:eastAsia="zh-CN"/>
        </w:rPr>
        <w:t>货品清单及</w:t>
      </w:r>
      <w:r>
        <w:rPr>
          <w:rFonts w:hint="eastAsia" w:hAnsi="宋体"/>
          <w:b/>
          <w:color w:val="auto"/>
        </w:rPr>
        <w:t>技术要求：</w:t>
      </w:r>
    </w:p>
    <w:tbl>
      <w:tblPr>
        <w:tblStyle w:val="17"/>
        <w:tblW w:w="1129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996"/>
        <w:gridCol w:w="3786"/>
        <w:gridCol w:w="953"/>
        <w:gridCol w:w="1196"/>
        <w:gridCol w:w="931"/>
        <w:gridCol w:w="1185"/>
        <w:gridCol w:w="1246"/>
      </w:tblGrid>
      <w:tr w14:paraId="41E739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EEECE1" w:themeFill="background2"/>
            <w:vAlign w:val="center"/>
          </w:tcPr>
          <w:p w14:paraId="640AE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3786" w:type="dxa"/>
            <w:tcBorders>
              <w:tl2br w:val="nil"/>
              <w:tr2bl w:val="nil"/>
            </w:tcBorders>
            <w:shd w:val="clear" w:color="auto" w:fill="EEECE1" w:themeFill="background2"/>
            <w:vAlign w:val="center"/>
          </w:tcPr>
          <w:p w14:paraId="4D1458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技术要求/主要需求</w:t>
            </w:r>
          </w:p>
        </w:tc>
        <w:tc>
          <w:tcPr>
            <w:tcW w:w="953" w:type="dxa"/>
            <w:tcBorders>
              <w:tl2br w:val="nil"/>
              <w:tr2bl w:val="nil"/>
            </w:tcBorders>
            <w:shd w:val="clear" w:color="auto" w:fill="EEECE1" w:themeFill="background2"/>
            <w:vAlign w:val="center"/>
          </w:tcPr>
          <w:p w14:paraId="0E3D47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最小计量单位</w:t>
            </w:r>
          </w:p>
        </w:tc>
        <w:tc>
          <w:tcPr>
            <w:tcW w:w="1196" w:type="dxa"/>
            <w:tcBorders>
              <w:tl2br w:val="nil"/>
              <w:tr2bl w:val="nil"/>
            </w:tcBorders>
            <w:shd w:val="clear" w:color="auto" w:fill="EEECE1" w:themeFill="background2"/>
            <w:vAlign w:val="center"/>
          </w:tcPr>
          <w:p w14:paraId="7A555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最小单位预算价格（元）</w:t>
            </w:r>
          </w:p>
        </w:tc>
        <w:tc>
          <w:tcPr>
            <w:tcW w:w="931" w:type="dxa"/>
            <w:tcBorders>
              <w:tl2br w:val="nil"/>
              <w:tr2bl w:val="nil"/>
            </w:tcBorders>
            <w:shd w:val="clear" w:color="auto" w:fill="EEECE1" w:themeFill="background2"/>
            <w:vAlign w:val="center"/>
          </w:tcPr>
          <w:p w14:paraId="1A69BE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参考数量</w:t>
            </w:r>
          </w:p>
        </w:tc>
        <w:tc>
          <w:tcPr>
            <w:tcW w:w="1185" w:type="dxa"/>
            <w:tcBorders>
              <w:tl2br w:val="nil"/>
              <w:tr2bl w:val="nil"/>
            </w:tcBorders>
            <w:shd w:val="clear" w:color="auto" w:fill="EEECE1" w:themeFill="background2"/>
            <w:vAlign w:val="center"/>
          </w:tcPr>
          <w:p w14:paraId="67E35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kern w:val="0"/>
                <w:szCs w:val="21"/>
              </w:rPr>
              <w:t>单项预计年使用金额（元）</w:t>
            </w:r>
          </w:p>
        </w:tc>
        <w:tc>
          <w:tcPr>
            <w:tcW w:w="1246" w:type="dxa"/>
            <w:tcBorders>
              <w:tl2br w:val="nil"/>
              <w:tr2bl w:val="nil"/>
            </w:tcBorders>
            <w:shd w:val="clear" w:color="auto" w:fill="EEECE1" w:themeFill="background2"/>
            <w:vAlign w:val="center"/>
          </w:tcPr>
          <w:p w14:paraId="73CFF5ED">
            <w:pPr>
              <w:keepNext w:val="0"/>
              <w:keepLines w:val="0"/>
              <w:widowControl/>
              <w:suppressLineNumbers w:val="0"/>
              <w:spacing w:before="0" w:beforeAutospacing="0" w:after="0" w:afterAutospacing="0"/>
              <w:ind w:left="0" w:right="0"/>
              <w:jc w:val="center"/>
              <w:textAlignment w:val="center"/>
              <w:rPr>
                <w:rFonts w:hint="eastAsia" w:ascii="宋体" w:hAnsi="宋体" w:cs="宋体"/>
                <w:b/>
                <w:bCs/>
                <w:kern w:val="0"/>
                <w:szCs w:val="21"/>
              </w:rPr>
            </w:pPr>
            <w:r>
              <w:rPr>
                <w:rFonts w:hint="eastAsia" w:ascii="宋体" w:hAnsi="宋体" w:cs="宋体"/>
                <w:b/>
                <w:bCs/>
                <w:kern w:val="0"/>
                <w:szCs w:val="21"/>
              </w:rPr>
              <w:t>总预计年使用金额（元）</w:t>
            </w:r>
          </w:p>
        </w:tc>
      </w:tr>
      <w:tr w14:paraId="485243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288A3A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lang w:val="en-US" w:eastAsia="zh-CN" w:bidi="ar"/>
              </w:rPr>
              <w:t>一次性使用抗凝管</w:t>
            </w:r>
            <w:r>
              <w:rPr>
                <w:rStyle w:val="32"/>
                <w:lang w:val="en-US" w:eastAsia="zh-CN" w:bidi="ar"/>
              </w:rPr>
              <w:t xml:space="preserve"> </w:t>
            </w:r>
          </w:p>
        </w:tc>
        <w:tc>
          <w:tcPr>
            <w:tcW w:w="3786" w:type="dxa"/>
            <w:tcBorders>
              <w:tl2br w:val="nil"/>
              <w:tr2bl w:val="nil"/>
            </w:tcBorders>
            <w:shd w:val="clear" w:color="auto" w:fill="auto"/>
            <w:vAlign w:val="center"/>
          </w:tcPr>
          <w:p w14:paraId="7A7BD9B3">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容量0.5ml                   </w:t>
            </w:r>
          </w:p>
          <w:p w14:paraId="210EF544">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抗凝血，阻止血液凝固，保持血液的流动性 </w:t>
            </w:r>
          </w:p>
          <w:p w14:paraId="58E57E5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3、保持样本的完整性</w:t>
            </w:r>
          </w:p>
        </w:tc>
        <w:tc>
          <w:tcPr>
            <w:tcW w:w="953" w:type="dxa"/>
            <w:tcBorders>
              <w:tl2br w:val="nil"/>
              <w:tr2bl w:val="nil"/>
            </w:tcBorders>
            <w:shd w:val="clear" w:color="auto" w:fill="auto"/>
            <w:vAlign w:val="center"/>
          </w:tcPr>
          <w:p w14:paraId="663045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6DE5C442">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0.081</w:t>
            </w:r>
          </w:p>
        </w:tc>
        <w:tc>
          <w:tcPr>
            <w:tcW w:w="931" w:type="dxa"/>
            <w:tcBorders>
              <w:tl2br w:val="nil"/>
              <w:tr2bl w:val="nil"/>
            </w:tcBorders>
            <w:shd w:val="clear" w:color="auto" w:fill="auto"/>
            <w:vAlign w:val="center"/>
          </w:tcPr>
          <w:p w14:paraId="70F9B9B5">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110000</w:t>
            </w:r>
          </w:p>
        </w:tc>
        <w:tc>
          <w:tcPr>
            <w:tcW w:w="1185" w:type="dxa"/>
            <w:tcBorders>
              <w:tl2br w:val="nil"/>
              <w:tr2bl w:val="nil"/>
            </w:tcBorders>
            <w:shd w:val="clear" w:color="auto" w:fill="auto"/>
            <w:vAlign w:val="center"/>
          </w:tcPr>
          <w:p w14:paraId="4243E97F">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8910</w:t>
            </w:r>
          </w:p>
        </w:tc>
        <w:tc>
          <w:tcPr>
            <w:tcW w:w="1246" w:type="dxa"/>
            <w:vMerge w:val="restart"/>
            <w:tcBorders>
              <w:tl2br w:val="nil"/>
              <w:tr2bl w:val="nil"/>
            </w:tcBorders>
            <w:shd w:val="clear" w:color="auto" w:fill="auto"/>
            <w:vAlign w:val="center"/>
          </w:tcPr>
          <w:p w14:paraId="4FCBA078">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r>
              <w:rPr>
                <w:rStyle w:val="31"/>
                <w:rFonts w:hint="eastAsia"/>
                <w:lang w:val="en-US" w:eastAsia="zh-CN" w:bidi="ar"/>
              </w:rPr>
              <w:t>35320.80</w:t>
            </w:r>
          </w:p>
        </w:tc>
      </w:tr>
      <w:tr w14:paraId="38540E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1373698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一次性使用标本杯</w:t>
            </w:r>
            <w:r>
              <w:rPr>
                <w:rStyle w:val="32"/>
                <w:lang w:val="en-US" w:eastAsia="zh-CN" w:bidi="ar"/>
              </w:rPr>
              <w:t xml:space="preserve"> </w:t>
            </w:r>
            <w:r>
              <w:rPr>
                <w:rStyle w:val="31"/>
                <w:lang w:val="en-US" w:eastAsia="zh-CN" w:bidi="ar"/>
              </w:rPr>
              <w:t>大便采集器</w:t>
            </w:r>
          </w:p>
        </w:tc>
        <w:tc>
          <w:tcPr>
            <w:tcW w:w="3786" w:type="dxa"/>
            <w:tcBorders>
              <w:tl2br w:val="nil"/>
              <w:tr2bl w:val="nil"/>
            </w:tcBorders>
            <w:shd w:val="clear" w:color="auto" w:fill="auto"/>
            <w:vAlign w:val="center"/>
          </w:tcPr>
          <w:p w14:paraId="411ED31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1、标本杯容量5ml                                            2、大便标本的采集、运送和贮存</w:t>
            </w:r>
          </w:p>
        </w:tc>
        <w:tc>
          <w:tcPr>
            <w:tcW w:w="953" w:type="dxa"/>
            <w:tcBorders>
              <w:tl2br w:val="nil"/>
              <w:tr2bl w:val="nil"/>
            </w:tcBorders>
            <w:shd w:val="clear" w:color="auto" w:fill="auto"/>
            <w:vAlign w:val="center"/>
          </w:tcPr>
          <w:p w14:paraId="0E9755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7441E565">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0.432</w:t>
            </w:r>
          </w:p>
        </w:tc>
        <w:tc>
          <w:tcPr>
            <w:tcW w:w="931" w:type="dxa"/>
            <w:tcBorders>
              <w:tl2br w:val="nil"/>
              <w:tr2bl w:val="nil"/>
            </w:tcBorders>
            <w:shd w:val="clear" w:color="auto" w:fill="auto"/>
            <w:vAlign w:val="center"/>
          </w:tcPr>
          <w:p w14:paraId="7D9BE465">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13500</w:t>
            </w:r>
          </w:p>
        </w:tc>
        <w:tc>
          <w:tcPr>
            <w:tcW w:w="1185" w:type="dxa"/>
            <w:tcBorders>
              <w:tl2br w:val="nil"/>
              <w:tr2bl w:val="nil"/>
            </w:tcBorders>
            <w:shd w:val="clear" w:color="auto" w:fill="auto"/>
            <w:vAlign w:val="center"/>
          </w:tcPr>
          <w:p w14:paraId="7A382D81">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5832</w:t>
            </w:r>
          </w:p>
        </w:tc>
        <w:tc>
          <w:tcPr>
            <w:tcW w:w="1246" w:type="dxa"/>
            <w:vMerge w:val="continue"/>
            <w:tcBorders>
              <w:tl2br w:val="nil"/>
              <w:tr2bl w:val="nil"/>
            </w:tcBorders>
            <w:shd w:val="clear" w:color="auto" w:fill="auto"/>
            <w:vAlign w:val="center"/>
          </w:tcPr>
          <w:p w14:paraId="1FD754B4">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6E5CC8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034CFF20">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Style w:val="31"/>
                <w:color w:val="000000" w:themeColor="text1"/>
                <w:lang w:val="en-US" w:eastAsia="zh-CN" w:bidi="ar"/>
                <w14:textFill>
                  <w14:solidFill>
                    <w14:schemeClr w14:val="tx1"/>
                  </w14:solidFill>
                </w14:textFill>
              </w:rPr>
              <w:t>一次性使用标本杯</w:t>
            </w:r>
            <w:r>
              <w:rPr>
                <w:rStyle w:val="32"/>
                <w:color w:val="000000" w:themeColor="text1"/>
                <w:lang w:val="en-US" w:eastAsia="zh-CN" w:bidi="ar"/>
                <w14:textFill>
                  <w14:solidFill>
                    <w14:schemeClr w14:val="tx1"/>
                  </w14:solidFill>
                </w14:textFill>
              </w:rPr>
              <w:t xml:space="preserve"> </w:t>
            </w:r>
            <w:r>
              <w:rPr>
                <w:rStyle w:val="31"/>
                <w:color w:val="000000" w:themeColor="text1"/>
                <w:lang w:val="en-US" w:eastAsia="zh-CN" w:bidi="ar"/>
                <w14:textFill>
                  <w14:solidFill>
                    <w14:schemeClr w14:val="tx1"/>
                  </w14:solidFill>
                </w14:textFill>
              </w:rPr>
              <w:t>痰杯</w:t>
            </w:r>
          </w:p>
        </w:tc>
        <w:tc>
          <w:tcPr>
            <w:tcW w:w="3786" w:type="dxa"/>
            <w:tcBorders>
              <w:tl2br w:val="nil"/>
              <w:tr2bl w:val="nil"/>
            </w:tcBorders>
            <w:shd w:val="clear" w:color="auto" w:fill="auto"/>
            <w:vAlign w:val="center"/>
          </w:tcPr>
          <w:p w14:paraId="20431B32">
            <w:pPr>
              <w:keepNext w:val="0"/>
              <w:keepLines w:val="0"/>
              <w:widowControl/>
              <w:numPr>
                <w:ilvl w:val="0"/>
                <w:numId w:val="10"/>
              </w:numPr>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标本杯容量40ml                                            2、痰标本的采集、运送和贮存</w:t>
            </w:r>
          </w:p>
          <w:p w14:paraId="7D4DCE24">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3、有盖、无菌、手掀盖</w:t>
            </w:r>
          </w:p>
        </w:tc>
        <w:tc>
          <w:tcPr>
            <w:tcW w:w="953" w:type="dxa"/>
            <w:tcBorders>
              <w:tl2br w:val="nil"/>
              <w:tr2bl w:val="nil"/>
            </w:tcBorders>
            <w:shd w:val="clear" w:color="auto" w:fill="auto"/>
            <w:vAlign w:val="center"/>
          </w:tcPr>
          <w:p w14:paraId="468428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34D8F3EA">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0.525</w:t>
            </w:r>
          </w:p>
        </w:tc>
        <w:tc>
          <w:tcPr>
            <w:tcW w:w="931" w:type="dxa"/>
            <w:tcBorders>
              <w:tl2br w:val="nil"/>
              <w:tr2bl w:val="nil"/>
            </w:tcBorders>
            <w:shd w:val="clear" w:color="auto" w:fill="auto"/>
            <w:vAlign w:val="center"/>
          </w:tcPr>
          <w:p w14:paraId="36EB61ED">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10560</w:t>
            </w:r>
          </w:p>
        </w:tc>
        <w:tc>
          <w:tcPr>
            <w:tcW w:w="1185" w:type="dxa"/>
            <w:tcBorders>
              <w:tl2br w:val="nil"/>
              <w:tr2bl w:val="nil"/>
            </w:tcBorders>
            <w:shd w:val="clear" w:color="auto" w:fill="auto"/>
            <w:vAlign w:val="center"/>
          </w:tcPr>
          <w:p w14:paraId="66D16AF5">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5544</w:t>
            </w:r>
          </w:p>
        </w:tc>
        <w:tc>
          <w:tcPr>
            <w:tcW w:w="1246" w:type="dxa"/>
            <w:vMerge w:val="continue"/>
            <w:tcBorders>
              <w:tl2br w:val="nil"/>
              <w:tr2bl w:val="nil"/>
            </w:tcBorders>
            <w:shd w:val="clear" w:color="auto" w:fill="auto"/>
            <w:vAlign w:val="center"/>
          </w:tcPr>
          <w:p w14:paraId="154281FB">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0EDFAE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01EFF1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lang w:val="en-US" w:eastAsia="zh-CN" w:bidi="ar"/>
              </w:rPr>
              <w:t>一次性使用标本杯</w:t>
            </w:r>
            <w:r>
              <w:rPr>
                <w:rStyle w:val="32"/>
                <w:lang w:val="en-US" w:eastAsia="zh-CN" w:bidi="ar"/>
              </w:rPr>
              <w:t xml:space="preserve"> </w:t>
            </w:r>
            <w:r>
              <w:rPr>
                <w:rStyle w:val="31"/>
                <w:lang w:val="en-US" w:eastAsia="zh-CN" w:bidi="ar"/>
              </w:rPr>
              <w:t>尿杯</w:t>
            </w:r>
          </w:p>
        </w:tc>
        <w:tc>
          <w:tcPr>
            <w:tcW w:w="3786" w:type="dxa"/>
            <w:tcBorders>
              <w:tl2br w:val="nil"/>
              <w:tr2bl w:val="nil"/>
            </w:tcBorders>
            <w:shd w:val="clear" w:color="auto" w:fill="auto"/>
            <w:vAlign w:val="center"/>
          </w:tcPr>
          <w:p w14:paraId="5AC5736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1、标本杯容量40ml                                            2、尿液标本的采集、运送和贮存</w:t>
            </w:r>
          </w:p>
        </w:tc>
        <w:tc>
          <w:tcPr>
            <w:tcW w:w="953" w:type="dxa"/>
            <w:tcBorders>
              <w:tl2br w:val="nil"/>
              <w:tr2bl w:val="nil"/>
            </w:tcBorders>
            <w:shd w:val="clear" w:color="auto" w:fill="auto"/>
            <w:vAlign w:val="center"/>
          </w:tcPr>
          <w:p w14:paraId="1C4727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7FEEB397">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0.055</w:t>
            </w:r>
          </w:p>
        </w:tc>
        <w:tc>
          <w:tcPr>
            <w:tcW w:w="931" w:type="dxa"/>
            <w:tcBorders>
              <w:tl2br w:val="nil"/>
              <w:tr2bl w:val="nil"/>
            </w:tcBorders>
            <w:shd w:val="clear" w:color="auto" w:fill="auto"/>
            <w:vAlign w:val="center"/>
          </w:tcPr>
          <w:p w14:paraId="25CBA8E9">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64800</w:t>
            </w:r>
          </w:p>
        </w:tc>
        <w:tc>
          <w:tcPr>
            <w:tcW w:w="1185" w:type="dxa"/>
            <w:tcBorders>
              <w:tl2br w:val="nil"/>
              <w:tr2bl w:val="nil"/>
            </w:tcBorders>
            <w:shd w:val="clear" w:color="auto" w:fill="auto"/>
            <w:vAlign w:val="center"/>
          </w:tcPr>
          <w:p w14:paraId="7EF7D6AC">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3564</w:t>
            </w:r>
          </w:p>
        </w:tc>
        <w:tc>
          <w:tcPr>
            <w:tcW w:w="1246" w:type="dxa"/>
            <w:vMerge w:val="continue"/>
            <w:tcBorders>
              <w:tl2br w:val="nil"/>
              <w:tr2bl w:val="nil"/>
            </w:tcBorders>
            <w:shd w:val="clear" w:color="auto" w:fill="auto"/>
            <w:vAlign w:val="center"/>
          </w:tcPr>
          <w:p w14:paraId="4C73A285">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3AB9E4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621E2B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一次性使用吸头</w:t>
            </w:r>
            <w:r>
              <w:rPr>
                <w:rStyle w:val="32"/>
                <w:lang w:val="en-US" w:eastAsia="zh-CN" w:bidi="ar"/>
              </w:rPr>
              <w:t xml:space="preserve"> </w:t>
            </w:r>
          </w:p>
        </w:tc>
        <w:tc>
          <w:tcPr>
            <w:tcW w:w="3786" w:type="dxa"/>
            <w:tcBorders>
              <w:tl2br w:val="nil"/>
              <w:tr2bl w:val="nil"/>
            </w:tcBorders>
            <w:shd w:val="clear" w:color="auto" w:fill="auto"/>
            <w:vAlign w:val="center"/>
          </w:tcPr>
          <w:p w14:paraId="703321F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1、容量：0.5-200UL  </w:t>
            </w:r>
          </w:p>
          <w:p w14:paraId="0E915D7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2、专为200ul液体设计，确保吸取和释放的准确性</w:t>
            </w:r>
          </w:p>
        </w:tc>
        <w:tc>
          <w:tcPr>
            <w:tcW w:w="953" w:type="dxa"/>
            <w:tcBorders>
              <w:tl2br w:val="nil"/>
              <w:tr2bl w:val="nil"/>
            </w:tcBorders>
            <w:shd w:val="clear" w:color="auto" w:fill="auto"/>
            <w:vAlign w:val="center"/>
          </w:tcPr>
          <w:p w14:paraId="5794AD6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5DC13C0E">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0.054</w:t>
            </w:r>
          </w:p>
        </w:tc>
        <w:tc>
          <w:tcPr>
            <w:tcW w:w="931" w:type="dxa"/>
            <w:tcBorders>
              <w:tl2br w:val="nil"/>
              <w:tr2bl w:val="nil"/>
            </w:tcBorders>
            <w:shd w:val="clear" w:color="auto" w:fill="auto"/>
            <w:vAlign w:val="center"/>
          </w:tcPr>
          <w:p w14:paraId="270AD451">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37500</w:t>
            </w:r>
          </w:p>
        </w:tc>
        <w:tc>
          <w:tcPr>
            <w:tcW w:w="1185" w:type="dxa"/>
            <w:tcBorders>
              <w:tl2br w:val="nil"/>
              <w:tr2bl w:val="nil"/>
            </w:tcBorders>
            <w:shd w:val="clear" w:color="auto" w:fill="auto"/>
            <w:vAlign w:val="center"/>
          </w:tcPr>
          <w:p w14:paraId="6A5FCA41">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2025</w:t>
            </w:r>
          </w:p>
        </w:tc>
        <w:tc>
          <w:tcPr>
            <w:tcW w:w="1246" w:type="dxa"/>
            <w:vMerge w:val="continue"/>
            <w:tcBorders>
              <w:tl2br w:val="nil"/>
              <w:tr2bl w:val="nil"/>
            </w:tcBorders>
            <w:shd w:val="clear" w:color="auto" w:fill="auto"/>
            <w:vAlign w:val="center"/>
          </w:tcPr>
          <w:p w14:paraId="5D1CAB41">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7D4411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5E92DF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热敏打印纸</w:t>
            </w:r>
          </w:p>
        </w:tc>
        <w:tc>
          <w:tcPr>
            <w:tcW w:w="3786" w:type="dxa"/>
            <w:tcBorders>
              <w:tl2br w:val="nil"/>
              <w:tr2bl w:val="nil"/>
            </w:tcBorders>
            <w:shd w:val="clear" w:color="auto" w:fill="auto"/>
            <w:vAlign w:val="center"/>
          </w:tcPr>
          <w:p w14:paraId="681267C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1、快速打印信息，准确读取患者信息或检测结果（57mm*30m）</w:t>
            </w:r>
          </w:p>
        </w:tc>
        <w:tc>
          <w:tcPr>
            <w:tcW w:w="953" w:type="dxa"/>
            <w:tcBorders>
              <w:tl2br w:val="nil"/>
              <w:tr2bl w:val="nil"/>
            </w:tcBorders>
            <w:shd w:val="clear" w:color="auto" w:fill="auto"/>
            <w:vAlign w:val="center"/>
          </w:tcPr>
          <w:p w14:paraId="1AB1AE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1196" w:type="dxa"/>
            <w:tcBorders>
              <w:tl2br w:val="nil"/>
              <w:tr2bl w:val="nil"/>
            </w:tcBorders>
            <w:shd w:val="clear" w:color="auto" w:fill="auto"/>
            <w:vAlign w:val="center"/>
          </w:tcPr>
          <w:p w14:paraId="4FFA232D">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6</w:t>
            </w:r>
          </w:p>
        </w:tc>
        <w:tc>
          <w:tcPr>
            <w:tcW w:w="931" w:type="dxa"/>
            <w:tcBorders>
              <w:tl2br w:val="nil"/>
              <w:tr2bl w:val="nil"/>
            </w:tcBorders>
            <w:shd w:val="clear" w:color="auto" w:fill="auto"/>
            <w:vAlign w:val="center"/>
          </w:tcPr>
          <w:p w14:paraId="026B02CD">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326</w:t>
            </w:r>
          </w:p>
        </w:tc>
        <w:tc>
          <w:tcPr>
            <w:tcW w:w="1185" w:type="dxa"/>
            <w:tcBorders>
              <w:tl2br w:val="nil"/>
              <w:tr2bl w:val="nil"/>
            </w:tcBorders>
            <w:shd w:val="clear" w:color="auto" w:fill="auto"/>
            <w:vAlign w:val="center"/>
          </w:tcPr>
          <w:p w14:paraId="445F9464">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1956</w:t>
            </w:r>
          </w:p>
        </w:tc>
        <w:tc>
          <w:tcPr>
            <w:tcW w:w="1246" w:type="dxa"/>
            <w:vMerge w:val="continue"/>
            <w:tcBorders>
              <w:tl2br w:val="nil"/>
              <w:tr2bl w:val="nil"/>
            </w:tcBorders>
            <w:shd w:val="clear" w:color="auto" w:fill="auto"/>
            <w:vAlign w:val="center"/>
          </w:tcPr>
          <w:p w14:paraId="74941CD3">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1CD6B4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6545DA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lang w:val="en-US" w:eastAsia="zh-CN" w:bidi="ar"/>
              </w:rPr>
              <w:t>一次性使用吸管</w:t>
            </w:r>
          </w:p>
        </w:tc>
        <w:tc>
          <w:tcPr>
            <w:tcW w:w="3786" w:type="dxa"/>
            <w:tcBorders>
              <w:tl2br w:val="nil"/>
              <w:tr2bl w:val="nil"/>
            </w:tcBorders>
            <w:shd w:val="clear" w:color="auto" w:fill="auto"/>
            <w:vAlign w:val="center"/>
          </w:tcPr>
          <w:p w14:paraId="28868D7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1、专为1ml微量液体没计，刻度清晰                             2、管身柔软可弯曲，适配微量容器</w:t>
            </w:r>
          </w:p>
        </w:tc>
        <w:tc>
          <w:tcPr>
            <w:tcW w:w="953" w:type="dxa"/>
            <w:tcBorders>
              <w:tl2br w:val="nil"/>
              <w:tr2bl w:val="nil"/>
            </w:tcBorders>
            <w:shd w:val="clear" w:color="auto" w:fill="auto"/>
            <w:vAlign w:val="center"/>
          </w:tcPr>
          <w:p w14:paraId="72972B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12F39B66">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0.1</w:t>
            </w:r>
          </w:p>
        </w:tc>
        <w:tc>
          <w:tcPr>
            <w:tcW w:w="931" w:type="dxa"/>
            <w:tcBorders>
              <w:tl2br w:val="nil"/>
              <w:tr2bl w:val="nil"/>
            </w:tcBorders>
            <w:shd w:val="clear" w:color="auto" w:fill="auto"/>
            <w:vAlign w:val="center"/>
          </w:tcPr>
          <w:p w14:paraId="21859B70">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15000</w:t>
            </w:r>
          </w:p>
        </w:tc>
        <w:tc>
          <w:tcPr>
            <w:tcW w:w="1185" w:type="dxa"/>
            <w:tcBorders>
              <w:tl2br w:val="nil"/>
              <w:tr2bl w:val="nil"/>
            </w:tcBorders>
            <w:shd w:val="clear" w:color="auto" w:fill="auto"/>
            <w:vAlign w:val="center"/>
          </w:tcPr>
          <w:p w14:paraId="06E5022D">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1500</w:t>
            </w:r>
          </w:p>
        </w:tc>
        <w:tc>
          <w:tcPr>
            <w:tcW w:w="1246" w:type="dxa"/>
            <w:vMerge w:val="continue"/>
            <w:tcBorders>
              <w:tl2br w:val="nil"/>
              <w:tr2bl w:val="nil"/>
            </w:tcBorders>
            <w:shd w:val="clear" w:color="auto" w:fill="auto"/>
            <w:vAlign w:val="center"/>
          </w:tcPr>
          <w:p w14:paraId="50141236">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34F26D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2A93F2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lang w:val="en-US" w:eastAsia="zh-CN" w:bidi="ar"/>
              </w:rPr>
              <w:t>载玻片</w:t>
            </w:r>
          </w:p>
        </w:tc>
        <w:tc>
          <w:tcPr>
            <w:tcW w:w="3786" w:type="dxa"/>
            <w:tcBorders>
              <w:tl2br w:val="nil"/>
              <w:tr2bl w:val="nil"/>
            </w:tcBorders>
            <w:shd w:val="clear" w:color="auto" w:fill="auto"/>
            <w:vAlign w:val="center"/>
          </w:tcPr>
          <w:p w14:paraId="7B72D848">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用于放置液体或固定样本，便于显微镜观察                    </w:t>
            </w:r>
          </w:p>
          <w:p w14:paraId="730682E3">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高透光性和表面整度，确保显微成像清晰，减少失真</w:t>
            </w:r>
          </w:p>
        </w:tc>
        <w:tc>
          <w:tcPr>
            <w:tcW w:w="953" w:type="dxa"/>
            <w:tcBorders>
              <w:tl2br w:val="nil"/>
              <w:tr2bl w:val="nil"/>
            </w:tcBorders>
            <w:shd w:val="clear" w:color="auto" w:fill="auto"/>
            <w:vAlign w:val="center"/>
          </w:tcPr>
          <w:p w14:paraId="464F92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196" w:type="dxa"/>
            <w:tcBorders>
              <w:tl2br w:val="nil"/>
              <w:tr2bl w:val="nil"/>
            </w:tcBorders>
            <w:shd w:val="clear" w:color="auto" w:fill="auto"/>
            <w:vAlign w:val="center"/>
          </w:tcPr>
          <w:p w14:paraId="76F1A16B">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0.14</w:t>
            </w:r>
          </w:p>
        </w:tc>
        <w:tc>
          <w:tcPr>
            <w:tcW w:w="931" w:type="dxa"/>
            <w:tcBorders>
              <w:tl2br w:val="nil"/>
              <w:tr2bl w:val="nil"/>
            </w:tcBorders>
            <w:shd w:val="clear" w:color="auto" w:fill="auto"/>
            <w:vAlign w:val="center"/>
          </w:tcPr>
          <w:p w14:paraId="41EE261A">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10100</w:t>
            </w:r>
          </w:p>
        </w:tc>
        <w:tc>
          <w:tcPr>
            <w:tcW w:w="1185" w:type="dxa"/>
            <w:tcBorders>
              <w:tl2br w:val="nil"/>
              <w:tr2bl w:val="nil"/>
            </w:tcBorders>
            <w:shd w:val="clear" w:color="auto" w:fill="auto"/>
            <w:vAlign w:val="center"/>
          </w:tcPr>
          <w:p w14:paraId="6948008D">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1414</w:t>
            </w:r>
          </w:p>
        </w:tc>
        <w:tc>
          <w:tcPr>
            <w:tcW w:w="1246" w:type="dxa"/>
            <w:vMerge w:val="continue"/>
            <w:tcBorders>
              <w:tl2br w:val="nil"/>
              <w:tr2bl w:val="nil"/>
            </w:tcBorders>
            <w:shd w:val="clear" w:color="auto" w:fill="auto"/>
            <w:vAlign w:val="center"/>
          </w:tcPr>
          <w:p w14:paraId="14A5E9D7">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5F492F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1996" w:type="dxa"/>
            <w:tcBorders>
              <w:tl2br w:val="nil"/>
              <w:tr2bl w:val="nil"/>
            </w:tcBorders>
            <w:shd w:val="clear" w:color="auto" w:fill="auto"/>
            <w:vAlign w:val="center"/>
          </w:tcPr>
          <w:p w14:paraId="4252A5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一次性使用离心管</w:t>
            </w:r>
          </w:p>
        </w:tc>
        <w:tc>
          <w:tcPr>
            <w:tcW w:w="3786" w:type="dxa"/>
            <w:tcBorders>
              <w:tl2br w:val="nil"/>
              <w:tr2bl w:val="nil"/>
            </w:tcBorders>
            <w:shd w:val="clear" w:color="auto" w:fill="auto"/>
            <w:vAlign w:val="center"/>
          </w:tcPr>
          <w:p w14:paraId="2F81D71B">
            <w:pPr>
              <w:keepNext w:val="0"/>
              <w:keepLines w:val="0"/>
              <w:widowControl/>
              <w:numPr>
                <w:ilvl w:val="0"/>
                <w:numId w:val="12"/>
              </w:numPr>
              <w:suppressLineNumbers w:val="0"/>
              <w:jc w:val="left"/>
              <w:textAlignment w:val="center"/>
              <w:rPr>
                <w:rFonts w:hint="default" w:ascii="宋体" w:hAnsi="宋体" w:eastAsia="宋体" w:cs="宋体"/>
                <w:i w:val="0"/>
                <w:iCs w:val="0"/>
                <w:color w:val="1D1D1D"/>
                <w:kern w:val="0"/>
                <w:sz w:val="20"/>
                <w:szCs w:val="20"/>
                <w:u w:val="none"/>
                <w:lang w:val="en-US" w:eastAsia="zh-CN" w:bidi="ar"/>
              </w:rPr>
            </w:pPr>
            <w:r>
              <w:rPr>
                <w:rFonts w:hint="eastAsia" w:ascii="宋体" w:hAnsi="宋体" w:eastAsia="宋体" w:cs="宋体"/>
                <w:i w:val="0"/>
                <w:iCs w:val="0"/>
                <w:color w:val="1D1D1D"/>
                <w:kern w:val="0"/>
                <w:sz w:val="20"/>
                <w:szCs w:val="20"/>
                <w:u w:val="none"/>
                <w:lang w:val="en-US" w:eastAsia="zh-CN" w:bidi="ar"/>
              </w:rPr>
              <w:t xml:space="preserve">样本的离心分离、储存和处理（1.5ml）                               2、血清/样本处理、诊断试剂分装  </w:t>
            </w:r>
          </w:p>
        </w:tc>
        <w:tc>
          <w:tcPr>
            <w:tcW w:w="953" w:type="dxa"/>
            <w:tcBorders>
              <w:tl2br w:val="nil"/>
              <w:tr2bl w:val="nil"/>
            </w:tcBorders>
            <w:shd w:val="clear" w:color="auto" w:fill="auto"/>
            <w:vAlign w:val="center"/>
          </w:tcPr>
          <w:p w14:paraId="6D5D8C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6A5D7F3A">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0.078</w:t>
            </w:r>
          </w:p>
        </w:tc>
        <w:tc>
          <w:tcPr>
            <w:tcW w:w="931" w:type="dxa"/>
            <w:tcBorders>
              <w:tl2br w:val="nil"/>
              <w:tr2bl w:val="nil"/>
            </w:tcBorders>
            <w:shd w:val="clear" w:color="auto" w:fill="auto"/>
            <w:vAlign w:val="center"/>
          </w:tcPr>
          <w:p w14:paraId="7794CA92">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17500</w:t>
            </w:r>
          </w:p>
        </w:tc>
        <w:tc>
          <w:tcPr>
            <w:tcW w:w="1185" w:type="dxa"/>
            <w:tcBorders>
              <w:tl2br w:val="nil"/>
              <w:tr2bl w:val="nil"/>
            </w:tcBorders>
            <w:shd w:val="clear" w:color="auto" w:fill="auto"/>
            <w:vAlign w:val="center"/>
          </w:tcPr>
          <w:p w14:paraId="3735DF61">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1365</w:t>
            </w:r>
          </w:p>
        </w:tc>
        <w:tc>
          <w:tcPr>
            <w:tcW w:w="1246" w:type="dxa"/>
            <w:vMerge w:val="continue"/>
            <w:tcBorders>
              <w:tl2br w:val="nil"/>
              <w:tr2bl w:val="nil"/>
            </w:tcBorders>
            <w:shd w:val="clear" w:color="auto" w:fill="auto"/>
            <w:vAlign w:val="center"/>
          </w:tcPr>
          <w:p w14:paraId="50992C22">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1AE976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0A2AEC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一次性玻璃试管</w:t>
            </w:r>
          </w:p>
        </w:tc>
        <w:tc>
          <w:tcPr>
            <w:tcW w:w="3786" w:type="dxa"/>
            <w:tcBorders>
              <w:tl2br w:val="nil"/>
              <w:tr2bl w:val="nil"/>
            </w:tcBorders>
            <w:shd w:val="clear" w:color="auto" w:fill="auto"/>
            <w:vAlign w:val="center"/>
          </w:tcPr>
          <w:p w14:paraId="129C0593">
            <w:pPr>
              <w:keepNext w:val="0"/>
              <w:keepLines w:val="0"/>
              <w:widowControl/>
              <w:numPr>
                <w:ilvl w:val="0"/>
                <w:numId w:val="13"/>
              </w:numPr>
              <w:suppressLineNumbers w:val="0"/>
              <w:jc w:val="left"/>
              <w:textAlignment w:val="center"/>
              <w:rPr>
                <w:rFonts w:hint="eastAsia" w:ascii="宋体" w:hAnsi="宋体" w:eastAsia="宋体" w:cs="宋体"/>
                <w:i w:val="0"/>
                <w:iCs w:val="0"/>
                <w:color w:val="1D1D1D"/>
                <w:kern w:val="0"/>
                <w:sz w:val="20"/>
                <w:szCs w:val="20"/>
                <w:u w:val="none"/>
                <w:lang w:val="en-US" w:eastAsia="zh-CN" w:bidi="ar"/>
              </w:rPr>
            </w:pPr>
            <w:r>
              <w:rPr>
                <w:rFonts w:hint="eastAsia" w:ascii="宋体" w:hAnsi="宋体" w:eastAsia="宋体" w:cs="宋体"/>
                <w:i w:val="0"/>
                <w:iCs w:val="0"/>
                <w:color w:val="1D1D1D"/>
                <w:kern w:val="0"/>
                <w:sz w:val="20"/>
                <w:szCs w:val="20"/>
                <w:u w:val="none"/>
                <w:lang w:val="en-US" w:eastAsia="zh-CN" w:bidi="ar"/>
              </w:rPr>
              <w:t xml:space="preserve">产品玻璃试管采用高硼硅玻璃材质，耐强酸、强碱及有机溶剂，确保实验无污染  </w:t>
            </w:r>
          </w:p>
          <w:p w14:paraId="577583A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1D1D1D"/>
                <w:kern w:val="0"/>
                <w:sz w:val="20"/>
                <w:szCs w:val="20"/>
                <w:u w:val="none"/>
                <w:lang w:val="en-US" w:eastAsia="zh-CN" w:bidi="ar"/>
              </w:rPr>
              <w:t xml:space="preserve">2、血液/尿液采集、生化检测及病毒样本储存 </w:t>
            </w:r>
          </w:p>
        </w:tc>
        <w:tc>
          <w:tcPr>
            <w:tcW w:w="953" w:type="dxa"/>
            <w:tcBorders>
              <w:tl2br w:val="nil"/>
              <w:tr2bl w:val="nil"/>
            </w:tcBorders>
            <w:shd w:val="clear" w:color="auto" w:fill="auto"/>
            <w:vAlign w:val="center"/>
          </w:tcPr>
          <w:p w14:paraId="3FFEC7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0543D247">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0.13</w:t>
            </w:r>
          </w:p>
        </w:tc>
        <w:tc>
          <w:tcPr>
            <w:tcW w:w="931" w:type="dxa"/>
            <w:tcBorders>
              <w:tl2br w:val="nil"/>
              <w:tr2bl w:val="nil"/>
            </w:tcBorders>
            <w:shd w:val="clear" w:color="auto" w:fill="auto"/>
            <w:vAlign w:val="center"/>
          </w:tcPr>
          <w:p w14:paraId="07B6FA66">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9500</w:t>
            </w:r>
          </w:p>
        </w:tc>
        <w:tc>
          <w:tcPr>
            <w:tcW w:w="1185" w:type="dxa"/>
            <w:tcBorders>
              <w:tl2br w:val="nil"/>
              <w:tr2bl w:val="nil"/>
            </w:tcBorders>
            <w:shd w:val="clear" w:color="auto" w:fill="auto"/>
            <w:vAlign w:val="center"/>
          </w:tcPr>
          <w:p w14:paraId="673C07FA">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1235</w:t>
            </w:r>
          </w:p>
        </w:tc>
        <w:tc>
          <w:tcPr>
            <w:tcW w:w="1246" w:type="dxa"/>
            <w:vMerge w:val="continue"/>
            <w:tcBorders>
              <w:tl2br w:val="nil"/>
              <w:tr2bl w:val="nil"/>
            </w:tcBorders>
            <w:shd w:val="clear" w:color="auto" w:fill="auto"/>
            <w:vAlign w:val="center"/>
          </w:tcPr>
          <w:p w14:paraId="5DE76FC4">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2B70E9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 w:hRule="atLeast"/>
          <w:jc w:val="center"/>
        </w:trPr>
        <w:tc>
          <w:tcPr>
            <w:tcW w:w="1996" w:type="dxa"/>
            <w:tcBorders>
              <w:tl2br w:val="nil"/>
              <w:tr2bl w:val="nil"/>
            </w:tcBorders>
            <w:shd w:val="clear" w:color="auto" w:fill="auto"/>
            <w:vAlign w:val="center"/>
          </w:tcPr>
          <w:p w14:paraId="13BB3B0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一次性塑料试管</w:t>
            </w:r>
          </w:p>
        </w:tc>
        <w:tc>
          <w:tcPr>
            <w:tcW w:w="3786" w:type="dxa"/>
            <w:tcBorders>
              <w:tl2br w:val="nil"/>
              <w:tr2bl w:val="nil"/>
            </w:tcBorders>
            <w:shd w:val="clear" w:color="auto" w:fill="auto"/>
            <w:vAlign w:val="center"/>
          </w:tcPr>
          <w:p w14:paraId="56822E90">
            <w:pPr>
              <w:keepNext w:val="0"/>
              <w:keepLines w:val="0"/>
              <w:widowControl/>
              <w:numPr>
                <w:ilvl w:val="0"/>
                <w:numId w:val="14"/>
              </w:numPr>
              <w:suppressLineNumbers w:val="0"/>
              <w:jc w:val="left"/>
              <w:textAlignment w:val="center"/>
              <w:rPr>
                <w:rFonts w:hint="eastAsia" w:ascii="宋体" w:hAnsi="宋体" w:eastAsia="宋体" w:cs="宋体"/>
                <w:i w:val="0"/>
                <w:iCs w:val="0"/>
                <w:color w:val="1D1D1D"/>
                <w:kern w:val="0"/>
                <w:sz w:val="20"/>
                <w:szCs w:val="20"/>
                <w:u w:val="none"/>
                <w:lang w:val="en-US" w:eastAsia="zh-CN" w:bidi="ar"/>
              </w:rPr>
            </w:pPr>
            <w:r>
              <w:rPr>
                <w:rFonts w:hint="eastAsia" w:ascii="宋体" w:hAnsi="宋体" w:eastAsia="宋体" w:cs="宋体"/>
                <w:i w:val="0"/>
                <w:iCs w:val="0"/>
                <w:color w:val="1D1D1D"/>
                <w:kern w:val="0"/>
                <w:sz w:val="20"/>
                <w:szCs w:val="20"/>
                <w:u w:val="none"/>
                <w:lang w:val="en-US" w:eastAsia="zh-CN" w:bidi="ar"/>
              </w:rPr>
              <w:t>产品采用优质聚乙烯（PE）材质耐化学腐蚀</w:t>
            </w:r>
          </w:p>
          <w:p w14:paraId="45F9B1B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1D1D1D"/>
                <w:kern w:val="0"/>
                <w:sz w:val="20"/>
                <w:szCs w:val="20"/>
                <w:u w:val="none"/>
                <w:lang w:val="en-US" w:eastAsia="zh-CN" w:bidi="ar"/>
              </w:rPr>
              <w:t xml:space="preserve">2、血液/尿液等生物样本采集及病毒样本采集、储存 </w:t>
            </w:r>
          </w:p>
        </w:tc>
        <w:tc>
          <w:tcPr>
            <w:tcW w:w="953" w:type="dxa"/>
            <w:tcBorders>
              <w:tl2br w:val="nil"/>
              <w:tr2bl w:val="nil"/>
            </w:tcBorders>
            <w:shd w:val="clear" w:color="auto" w:fill="auto"/>
            <w:vAlign w:val="center"/>
          </w:tcPr>
          <w:p w14:paraId="75730C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3C363090">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0.073</w:t>
            </w:r>
          </w:p>
        </w:tc>
        <w:tc>
          <w:tcPr>
            <w:tcW w:w="931" w:type="dxa"/>
            <w:tcBorders>
              <w:tl2br w:val="nil"/>
              <w:tr2bl w:val="nil"/>
            </w:tcBorders>
            <w:shd w:val="clear" w:color="auto" w:fill="auto"/>
            <w:vAlign w:val="center"/>
          </w:tcPr>
          <w:p w14:paraId="4C8A3B01">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12000</w:t>
            </w:r>
          </w:p>
        </w:tc>
        <w:tc>
          <w:tcPr>
            <w:tcW w:w="1185" w:type="dxa"/>
            <w:tcBorders>
              <w:tl2br w:val="nil"/>
              <w:tr2bl w:val="nil"/>
            </w:tcBorders>
            <w:shd w:val="clear" w:color="auto" w:fill="auto"/>
            <w:vAlign w:val="center"/>
          </w:tcPr>
          <w:p w14:paraId="3A6146AF">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876</w:t>
            </w:r>
          </w:p>
        </w:tc>
        <w:tc>
          <w:tcPr>
            <w:tcW w:w="1246" w:type="dxa"/>
            <w:vMerge w:val="continue"/>
            <w:tcBorders>
              <w:tl2br w:val="nil"/>
              <w:tr2bl w:val="nil"/>
            </w:tcBorders>
            <w:shd w:val="clear" w:color="auto" w:fill="auto"/>
            <w:vAlign w:val="center"/>
          </w:tcPr>
          <w:p w14:paraId="5E6C3722">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2647C2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10857A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lang w:val="en-US" w:eastAsia="zh-CN" w:bidi="ar"/>
              </w:rPr>
              <w:t>载玻片（磨沙）</w:t>
            </w:r>
          </w:p>
        </w:tc>
        <w:tc>
          <w:tcPr>
            <w:tcW w:w="3786" w:type="dxa"/>
            <w:tcBorders>
              <w:tl2br w:val="nil"/>
              <w:tr2bl w:val="nil"/>
            </w:tcBorders>
            <w:shd w:val="clear" w:color="auto" w:fill="auto"/>
            <w:vAlign w:val="center"/>
          </w:tcPr>
          <w:p w14:paraId="42D545C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1、用于放置液体或固定样本，便于显微镜观察                         </w:t>
            </w:r>
          </w:p>
          <w:p w14:paraId="7A42DEFD">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高透光性和表面整度，确保显微成像清晰，减少失真              </w:t>
            </w:r>
          </w:p>
          <w:p w14:paraId="2082AA9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3、带有磨沙面方便用笔标注样本信息</w:t>
            </w:r>
          </w:p>
        </w:tc>
        <w:tc>
          <w:tcPr>
            <w:tcW w:w="953" w:type="dxa"/>
            <w:tcBorders>
              <w:tl2br w:val="nil"/>
              <w:tr2bl w:val="nil"/>
            </w:tcBorders>
            <w:shd w:val="clear" w:color="auto" w:fill="auto"/>
            <w:vAlign w:val="center"/>
          </w:tcPr>
          <w:p w14:paraId="5F5788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196" w:type="dxa"/>
            <w:tcBorders>
              <w:tl2br w:val="nil"/>
              <w:tr2bl w:val="nil"/>
            </w:tcBorders>
            <w:shd w:val="clear" w:color="auto" w:fill="auto"/>
            <w:vAlign w:val="center"/>
          </w:tcPr>
          <w:p w14:paraId="41195C91">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0.16</w:t>
            </w:r>
          </w:p>
        </w:tc>
        <w:tc>
          <w:tcPr>
            <w:tcW w:w="931" w:type="dxa"/>
            <w:tcBorders>
              <w:tl2br w:val="nil"/>
              <w:tr2bl w:val="nil"/>
            </w:tcBorders>
            <w:shd w:val="clear" w:color="auto" w:fill="auto"/>
            <w:vAlign w:val="center"/>
          </w:tcPr>
          <w:p w14:paraId="4652E056">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5050</w:t>
            </w:r>
          </w:p>
        </w:tc>
        <w:tc>
          <w:tcPr>
            <w:tcW w:w="1185" w:type="dxa"/>
            <w:tcBorders>
              <w:tl2br w:val="nil"/>
              <w:tr2bl w:val="nil"/>
            </w:tcBorders>
            <w:shd w:val="clear" w:color="auto" w:fill="auto"/>
            <w:vAlign w:val="center"/>
          </w:tcPr>
          <w:p w14:paraId="53FAA3D7">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808</w:t>
            </w:r>
          </w:p>
        </w:tc>
        <w:tc>
          <w:tcPr>
            <w:tcW w:w="1246" w:type="dxa"/>
            <w:vMerge w:val="continue"/>
            <w:tcBorders>
              <w:tl2br w:val="nil"/>
              <w:tr2bl w:val="nil"/>
            </w:tcBorders>
            <w:shd w:val="clear" w:color="auto" w:fill="auto"/>
            <w:vAlign w:val="center"/>
          </w:tcPr>
          <w:p w14:paraId="0C4FE158">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2F4820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23644C8C">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一次性使用离心管</w:t>
            </w:r>
          </w:p>
        </w:tc>
        <w:tc>
          <w:tcPr>
            <w:tcW w:w="3786" w:type="dxa"/>
            <w:tcBorders>
              <w:tl2br w:val="nil"/>
              <w:tr2bl w:val="nil"/>
            </w:tcBorders>
            <w:shd w:val="clear" w:color="auto" w:fill="auto"/>
            <w:vAlign w:val="center"/>
          </w:tcPr>
          <w:p w14:paraId="1E565F30">
            <w:pPr>
              <w:keepNext w:val="0"/>
              <w:keepLines w:val="0"/>
              <w:widowControl/>
              <w:numPr>
                <w:ilvl w:val="0"/>
                <w:numId w:val="15"/>
              </w:numPr>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样本的离心分离、储存和处理（10ml）                                2、血清/样本处理、诊断试剂分装 </w:t>
            </w:r>
          </w:p>
          <w:p w14:paraId="688BC60C">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3、尖底 </w:t>
            </w:r>
          </w:p>
        </w:tc>
        <w:tc>
          <w:tcPr>
            <w:tcW w:w="953" w:type="dxa"/>
            <w:tcBorders>
              <w:tl2br w:val="nil"/>
              <w:tr2bl w:val="nil"/>
            </w:tcBorders>
            <w:shd w:val="clear" w:color="auto" w:fill="auto"/>
            <w:vAlign w:val="center"/>
          </w:tcPr>
          <w:p w14:paraId="2CBA8F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09AD57E9">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0.3</w:t>
            </w:r>
          </w:p>
        </w:tc>
        <w:tc>
          <w:tcPr>
            <w:tcW w:w="931" w:type="dxa"/>
            <w:tcBorders>
              <w:tl2br w:val="nil"/>
              <w:tr2bl w:val="nil"/>
            </w:tcBorders>
            <w:shd w:val="clear" w:color="auto" w:fill="auto"/>
            <w:vAlign w:val="center"/>
          </w:tcPr>
          <w:p w14:paraId="093AD633">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800</w:t>
            </w:r>
          </w:p>
        </w:tc>
        <w:tc>
          <w:tcPr>
            <w:tcW w:w="1185" w:type="dxa"/>
            <w:tcBorders>
              <w:tl2br w:val="nil"/>
              <w:tr2bl w:val="nil"/>
            </w:tcBorders>
            <w:shd w:val="clear" w:color="auto" w:fill="auto"/>
            <w:vAlign w:val="center"/>
          </w:tcPr>
          <w:p w14:paraId="6F17312C">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240</w:t>
            </w:r>
          </w:p>
        </w:tc>
        <w:tc>
          <w:tcPr>
            <w:tcW w:w="1246" w:type="dxa"/>
            <w:vMerge w:val="continue"/>
            <w:tcBorders>
              <w:tl2br w:val="nil"/>
              <w:tr2bl w:val="nil"/>
            </w:tcBorders>
            <w:shd w:val="clear" w:color="auto" w:fill="auto"/>
            <w:vAlign w:val="center"/>
          </w:tcPr>
          <w:p w14:paraId="03C65124">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79DEB0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6D3E76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lang w:val="en-US" w:eastAsia="zh-CN" w:bidi="ar"/>
              </w:rPr>
              <w:t>透明试管</w:t>
            </w:r>
          </w:p>
        </w:tc>
        <w:tc>
          <w:tcPr>
            <w:tcW w:w="3786" w:type="dxa"/>
            <w:tcBorders>
              <w:tl2br w:val="nil"/>
              <w:tr2bl w:val="nil"/>
            </w:tcBorders>
            <w:shd w:val="clear" w:color="auto" w:fill="auto"/>
            <w:vAlign w:val="center"/>
          </w:tcPr>
          <w:p w14:paraId="7C53EBE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1D1D1D"/>
                <w:kern w:val="0"/>
                <w:sz w:val="20"/>
                <w:szCs w:val="20"/>
                <w:u w:val="none"/>
                <w:lang w:val="en-US" w:eastAsia="zh-CN" w:bidi="ar"/>
              </w:rPr>
              <w:t xml:space="preserve">1、透明试管采用优质聚苯乙烯（PS）材质耐化学腐蚀                                            2、血液/尿液等生物样本采集及病毒样本采集、储存 </w:t>
            </w:r>
          </w:p>
        </w:tc>
        <w:tc>
          <w:tcPr>
            <w:tcW w:w="953" w:type="dxa"/>
            <w:tcBorders>
              <w:tl2br w:val="nil"/>
              <w:tr2bl w:val="nil"/>
            </w:tcBorders>
            <w:shd w:val="clear" w:color="auto" w:fill="auto"/>
            <w:vAlign w:val="center"/>
          </w:tcPr>
          <w:p w14:paraId="18C7839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06C482F5">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0.25</w:t>
            </w:r>
          </w:p>
        </w:tc>
        <w:tc>
          <w:tcPr>
            <w:tcW w:w="931" w:type="dxa"/>
            <w:tcBorders>
              <w:tl2br w:val="nil"/>
              <w:tr2bl w:val="nil"/>
            </w:tcBorders>
            <w:shd w:val="clear" w:color="auto" w:fill="auto"/>
            <w:vAlign w:val="center"/>
          </w:tcPr>
          <w:p w14:paraId="2BB2E797">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200</w:t>
            </w:r>
          </w:p>
        </w:tc>
        <w:tc>
          <w:tcPr>
            <w:tcW w:w="1185" w:type="dxa"/>
            <w:tcBorders>
              <w:tl2br w:val="nil"/>
              <w:tr2bl w:val="nil"/>
            </w:tcBorders>
            <w:shd w:val="clear" w:color="auto" w:fill="auto"/>
            <w:vAlign w:val="center"/>
          </w:tcPr>
          <w:p w14:paraId="749DEE85">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50</w:t>
            </w:r>
          </w:p>
        </w:tc>
        <w:tc>
          <w:tcPr>
            <w:tcW w:w="1246" w:type="dxa"/>
            <w:vMerge w:val="continue"/>
            <w:tcBorders>
              <w:tl2br w:val="nil"/>
              <w:tr2bl w:val="nil"/>
            </w:tcBorders>
            <w:shd w:val="clear" w:color="auto" w:fill="auto"/>
            <w:vAlign w:val="center"/>
          </w:tcPr>
          <w:p w14:paraId="3A4792A3">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51FD26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6BD358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精密试纸</w:t>
            </w:r>
          </w:p>
        </w:tc>
        <w:tc>
          <w:tcPr>
            <w:tcW w:w="3786" w:type="dxa"/>
            <w:tcBorders>
              <w:tl2br w:val="nil"/>
              <w:tr2bl w:val="nil"/>
            </w:tcBorders>
            <w:shd w:val="clear" w:color="auto" w:fill="auto"/>
            <w:vAlign w:val="center"/>
          </w:tcPr>
          <w:p w14:paraId="57D5F17E">
            <w:pPr>
              <w:keepNext w:val="0"/>
              <w:keepLines w:val="0"/>
              <w:widowControl/>
              <w:numPr>
                <w:ilvl w:val="0"/>
                <w:numId w:val="16"/>
              </w:numPr>
              <w:suppressLineNumbers w:val="0"/>
              <w:jc w:val="left"/>
              <w:textAlignment w:val="center"/>
              <w:rPr>
                <w:rFonts w:hint="eastAsia" w:ascii="宋体" w:hAnsi="宋体" w:eastAsia="宋体" w:cs="宋体"/>
                <w:i w:val="0"/>
                <w:iCs w:val="0"/>
                <w:color w:val="1D1D1D"/>
                <w:kern w:val="0"/>
                <w:sz w:val="20"/>
                <w:szCs w:val="20"/>
                <w:u w:val="none"/>
                <w:lang w:val="en-US" w:eastAsia="zh-CN" w:bidi="ar"/>
              </w:rPr>
            </w:pPr>
            <w:r>
              <w:rPr>
                <w:rFonts w:hint="eastAsia" w:ascii="宋体" w:hAnsi="宋体" w:eastAsia="宋体" w:cs="宋体"/>
                <w:i w:val="0"/>
                <w:iCs w:val="0"/>
                <w:color w:val="1D1D1D"/>
                <w:kern w:val="0"/>
                <w:sz w:val="20"/>
                <w:szCs w:val="20"/>
                <w:u w:val="none"/>
                <w:lang w:val="en-US" w:eastAsia="zh-CN" w:bidi="ar"/>
              </w:rPr>
              <w:t xml:space="preserve">精确测定弱酸、弱碱或中性溶液的PH值                   </w:t>
            </w:r>
          </w:p>
          <w:p w14:paraId="4D29C331">
            <w:pPr>
              <w:keepNext w:val="0"/>
              <w:keepLines w:val="0"/>
              <w:widowControl/>
              <w:numPr>
                <w:ilvl w:val="0"/>
                <w:numId w:val="16"/>
              </w:numPr>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1D1D1D"/>
                <w:kern w:val="0"/>
                <w:sz w:val="20"/>
                <w:szCs w:val="20"/>
                <w:u w:val="none"/>
                <w:lang w:val="en-US" w:eastAsia="zh-CN" w:bidi="ar"/>
              </w:rPr>
              <w:t>尿液分析用（5.5-9.0）</w:t>
            </w:r>
          </w:p>
        </w:tc>
        <w:tc>
          <w:tcPr>
            <w:tcW w:w="953" w:type="dxa"/>
            <w:tcBorders>
              <w:tl2br w:val="nil"/>
              <w:tr2bl w:val="nil"/>
            </w:tcBorders>
            <w:shd w:val="clear" w:color="auto" w:fill="auto"/>
            <w:vAlign w:val="center"/>
          </w:tcPr>
          <w:p w14:paraId="22AEFA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本</w:t>
            </w:r>
          </w:p>
        </w:tc>
        <w:tc>
          <w:tcPr>
            <w:tcW w:w="1196" w:type="dxa"/>
            <w:tcBorders>
              <w:tl2br w:val="nil"/>
              <w:tr2bl w:val="nil"/>
            </w:tcBorders>
            <w:shd w:val="clear" w:color="auto" w:fill="auto"/>
            <w:vAlign w:val="center"/>
          </w:tcPr>
          <w:p w14:paraId="3F94F18D">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1.8</w:t>
            </w:r>
          </w:p>
        </w:tc>
        <w:tc>
          <w:tcPr>
            <w:tcW w:w="931" w:type="dxa"/>
            <w:tcBorders>
              <w:tl2br w:val="nil"/>
              <w:tr2bl w:val="nil"/>
            </w:tcBorders>
            <w:shd w:val="clear" w:color="auto" w:fill="auto"/>
            <w:vAlign w:val="center"/>
          </w:tcPr>
          <w:p w14:paraId="6B7B3EBB">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w:t>
            </w:r>
          </w:p>
        </w:tc>
        <w:tc>
          <w:tcPr>
            <w:tcW w:w="1185" w:type="dxa"/>
            <w:tcBorders>
              <w:tl2br w:val="nil"/>
              <w:tr2bl w:val="nil"/>
            </w:tcBorders>
            <w:shd w:val="clear" w:color="auto" w:fill="auto"/>
            <w:vAlign w:val="center"/>
          </w:tcPr>
          <w:p w14:paraId="3C7AEA4B">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1.8</w:t>
            </w:r>
          </w:p>
        </w:tc>
        <w:tc>
          <w:tcPr>
            <w:tcW w:w="1246" w:type="dxa"/>
            <w:vMerge w:val="continue"/>
            <w:tcBorders>
              <w:tl2br w:val="nil"/>
              <w:tr2bl w:val="nil"/>
            </w:tcBorders>
            <w:shd w:val="clear" w:color="auto" w:fill="auto"/>
            <w:vAlign w:val="center"/>
          </w:tcPr>
          <w:p w14:paraId="220DF7CA">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bl>
    <w:p w14:paraId="1FFD18C6">
      <w:pPr>
        <w:pStyle w:val="10"/>
        <w:tabs>
          <w:tab w:val="left" w:pos="420"/>
          <w:tab w:val="left" w:pos="540"/>
        </w:tabs>
        <w:adjustRightInd w:val="0"/>
        <w:snapToGrid w:val="0"/>
        <w:spacing w:line="360" w:lineRule="auto"/>
        <w:rPr>
          <w:rFonts w:hAnsi="宋体"/>
          <w:b/>
          <w:color w:val="auto"/>
        </w:rPr>
      </w:pPr>
    </w:p>
    <w:p w14:paraId="7C2FC4C4">
      <w:pPr>
        <w:pStyle w:val="10"/>
        <w:numPr>
          <w:ilvl w:val="0"/>
          <w:numId w:val="8"/>
        </w:numPr>
        <w:tabs>
          <w:tab w:val="left" w:pos="540"/>
        </w:tabs>
        <w:adjustRightInd w:val="0"/>
        <w:snapToGrid w:val="0"/>
        <w:spacing w:line="360" w:lineRule="auto"/>
        <w:ind w:left="420" w:leftChars="0" w:hanging="420" w:firstLineChars="0"/>
        <w:outlineLvl w:val="9"/>
        <w:rPr>
          <w:rFonts w:hAnsi="宋体"/>
          <w:b/>
          <w:color w:val="auto"/>
        </w:rPr>
      </w:pPr>
      <w:r>
        <w:rPr>
          <w:rFonts w:hint="eastAsia" w:hAnsi="宋体"/>
          <w:b/>
          <w:color w:val="auto"/>
        </w:rPr>
        <w:t>商务要求：</w:t>
      </w:r>
    </w:p>
    <w:p w14:paraId="6E48CCF4">
      <w:pPr>
        <w:keepNext w:val="0"/>
        <w:keepLines w:val="0"/>
        <w:pageBreakBefore w:val="0"/>
        <w:widowControl w:val="0"/>
        <w:numPr>
          <w:ilvl w:val="0"/>
          <w:numId w:val="17"/>
        </w:numPr>
        <w:tabs>
          <w:tab w:val="left" w:pos="0"/>
          <w:tab w:val="left" w:pos="220"/>
          <w:tab w:val="clear" w:pos="312"/>
        </w:tabs>
        <w:kinsoku/>
        <w:wordWrap w:val="0"/>
        <w:overflowPunct/>
        <w:topLinePunct w:val="0"/>
        <w:autoSpaceDE/>
        <w:autoSpaceDN/>
        <w:bidi w:val="0"/>
        <w:adjustRightInd w:val="0"/>
        <w:snapToGrid w:val="0"/>
        <w:spacing w:line="240" w:lineRule="auto"/>
        <w:jc w:val="left"/>
        <w:textAlignment w:val="auto"/>
        <w:rPr>
          <w:rFonts w:hint="eastAsia"/>
          <w:highlight w:val="none"/>
          <w:lang w:val="en-US" w:eastAsia="zh-CN"/>
        </w:rPr>
      </w:pPr>
      <w:r>
        <w:rPr>
          <w:rFonts w:hint="eastAsia" w:ascii="宋体" w:hAnsi="宋体" w:eastAsia="宋体" w:cs="宋体"/>
          <w:b/>
          <w:bCs/>
          <w:color w:val="auto"/>
          <w:sz w:val="21"/>
          <w:szCs w:val="21"/>
          <w:highlight w:val="none"/>
          <w:lang w:val="en-US" w:eastAsia="zh-CN"/>
        </w:rPr>
        <w:t>合同履行</w:t>
      </w:r>
      <w:r>
        <w:rPr>
          <w:rFonts w:hint="eastAsia" w:ascii="宋体" w:hAnsi="宋体" w:eastAsia="宋体" w:cs="宋体"/>
          <w:b/>
          <w:bCs/>
          <w:color w:val="auto"/>
          <w:sz w:val="21"/>
          <w:szCs w:val="21"/>
          <w:highlight w:val="none"/>
          <w:lang w:val="zh-CN"/>
        </w:rPr>
        <w:t>期限：</w:t>
      </w:r>
      <w:r>
        <w:rPr>
          <w:rFonts w:hint="eastAsia"/>
          <w:highlight w:val="none"/>
          <w:lang w:val="en-US" w:eastAsia="zh-CN"/>
        </w:rPr>
        <w:t>24个月。</w:t>
      </w:r>
    </w:p>
    <w:p w14:paraId="4E72E39F">
      <w:pPr>
        <w:keepNext w:val="0"/>
        <w:keepLines w:val="0"/>
        <w:pageBreakBefore w:val="0"/>
        <w:widowControl w:val="0"/>
        <w:numPr>
          <w:ilvl w:val="0"/>
          <w:numId w:val="17"/>
        </w:numPr>
        <w:tabs>
          <w:tab w:val="left" w:pos="0"/>
          <w:tab w:val="left" w:pos="220"/>
          <w:tab w:val="clear" w:pos="312"/>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bCs/>
          <w:color w:val="auto"/>
          <w:sz w:val="21"/>
          <w:szCs w:val="21"/>
          <w:highlight w:val="none"/>
          <w:lang w:val="en-US" w:eastAsia="zh-CN"/>
        </w:rPr>
        <w:t>交货时间</w:t>
      </w:r>
      <w:r>
        <w:rPr>
          <w:rFonts w:hint="eastAsia" w:ascii="宋体" w:hAnsi="宋体" w:eastAsia="宋体" w:cs="宋体"/>
          <w:b/>
          <w:bCs/>
          <w:color w:val="auto"/>
          <w:sz w:val="21"/>
          <w:szCs w:val="21"/>
          <w:highlight w:val="none"/>
          <w:lang w:val="zh-CN"/>
        </w:rPr>
        <w:t>：</w:t>
      </w:r>
      <w:r>
        <w:rPr>
          <w:rFonts w:hint="eastAsia" w:ascii="宋体" w:hAnsi="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eastAsia="zh-CN"/>
        </w:rPr>
        <w:t>收到采购人的需求清单后</w:t>
      </w: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lang w:val="zh-CN"/>
        </w:rPr>
        <w:t>天内交货。</w:t>
      </w:r>
    </w:p>
    <w:p w14:paraId="34696E9B">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zh-CN"/>
        </w:rPr>
        <w:t>报价方式：</w:t>
      </w:r>
    </w:p>
    <w:p w14:paraId="1AE3C9D1">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报价使用货币及单位：人民币（元），报价精确到元。</w:t>
      </w:r>
    </w:p>
    <w:p w14:paraId="7FFFEC8A">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投标人所报价格为含税、配送商费用等的全包价。</w:t>
      </w:r>
    </w:p>
    <w:p w14:paraId="12EF6ECE">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投标人的投标报价不得高于深圳市最低成交价。</w:t>
      </w:r>
    </w:p>
    <w:p w14:paraId="69A9D4AE">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4投标人</w:t>
      </w:r>
      <w:r>
        <w:rPr>
          <w:rFonts w:hint="eastAsia" w:ascii="宋体" w:hAnsi="宋体" w:eastAsia="宋体" w:cs="宋体"/>
          <w:color w:val="auto"/>
          <w:sz w:val="21"/>
          <w:szCs w:val="21"/>
          <w:highlight w:val="none"/>
          <w:lang w:val="zh-CN"/>
        </w:rPr>
        <w:t>不得以低于自身成本的报价投标：当评标委员会认为其报价低于成本价时，评标委员会有权要求其对成本构成进行介绍，并要求投标方用书面的形式进行低价说明（在保证质量的前提下，能够大副节省经费的手段或原因）；如投标人没有合理的理由或不按要求提供低价说明，可视为不被接受的有风险的报价。</w:t>
      </w:r>
    </w:p>
    <w:p w14:paraId="0239CD57">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zh-CN"/>
        </w:rPr>
        <w:t>付款方式：</w:t>
      </w:r>
    </w:p>
    <w:p w14:paraId="7B3BE365">
      <w:pPr>
        <w:keepNext w:val="0"/>
        <w:keepLines w:val="0"/>
        <w:pageBreakBefore w:val="0"/>
        <w:widowControl w:val="0"/>
        <w:tabs>
          <w:tab w:val="left" w:pos="0"/>
          <w:tab w:val="left" w:pos="420"/>
        </w:tabs>
        <w:kinsoku/>
        <w:wordWrap/>
        <w:overflowPunct/>
        <w:topLinePunct w:val="0"/>
        <w:autoSpaceDE/>
        <w:autoSpaceDN/>
        <w:bidi w:val="0"/>
        <w:adjustRightInd/>
        <w:snapToGrid/>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本项目</w:t>
      </w:r>
      <w:r>
        <w:rPr>
          <w:rFonts w:hint="eastAsia" w:ascii="宋体" w:hAnsi="宋体" w:cs="宋体"/>
          <w:color w:val="auto"/>
          <w:sz w:val="21"/>
          <w:szCs w:val="21"/>
          <w:highlight w:val="none"/>
          <w:lang w:val="en-US" w:eastAsia="zh-CN"/>
        </w:rPr>
        <w:t>是</w:t>
      </w:r>
      <w:r>
        <w:rPr>
          <w:rFonts w:hint="eastAsia" w:ascii="宋体" w:hAnsi="宋体" w:eastAsia="宋体" w:cs="宋体"/>
          <w:color w:val="auto"/>
          <w:sz w:val="21"/>
          <w:szCs w:val="21"/>
          <w:highlight w:val="none"/>
          <w:lang w:val="zh-CN"/>
        </w:rPr>
        <w:t>按月</w:t>
      </w:r>
      <w:r>
        <w:rPr>
          <w:rFonts w:hint="eastAsia" w:ascii="宋体" w:hAnsi="宋体" w:eastAsia="宋体" w:cs="宋体"/>
          <w:color w:val="auto"/>
          <w:sz w:val="21"/>
          <w:szCs w:val="21"/>
          <w:highlight w:val="none"/>
          <w:lang w:val="en-US" w:eastAsia="zh-CN"/>
        </w:rPr>
        <w:t>据实</w:t>
      </w:r>
      <w:r>
        <w:rPr>
          <w:rFonts w:hint="eastAsia" w:ascii="宋体" w:hAnsi="宋体" w:eastAsia="宋体" w:cs="宋体"/>
          <w:color w:val="auto"/>
          <w:sz w:val="21"/>
          <w:szCs w:val="21"/>
          <w:highlight w:val="none"/>
          <w:lang w:val="zh-CN"/>
        </w:rPr>
        <w:t>结算，</w:t>
      </w:r>
      <w:r>
        <w:rPr>
          <w:rFonts w:hint="eastAsia" w:ascii="宋体" w:hAnsi="宋体" w:eastAsia="宋体" w:cs="宋体"/>
          <w:color w:val="auto"/>
          <w:sz w:val="21"/>
          <w:szCs w:val="21"/>
          <w:highlight w:val="none"/>
          <w:lang w:val="en-US" w:eastAsia="zh-CN"/>
        </w:rPr>
        <w:t>投标人在中标后，每月根据采购人</w:t>
      </w:r>
      <w:r>
        <w:rPr>
          <w:rFonts w:hint="eastAsia" w:ascii="宋体" w:hAnsi="宋体" w:cs="宋体"/>
          <w:color w:val="auto"/>
          <w:sz w:val="21"/>
          <w:szCs w:val="21"/>
          <w:highlight w:val="none"/>
          <w:lang w:val="en-US" w:eastAsia="zh-CN"/>
        </w:rPr>
        <w:t>的采购</w:t>
      </w:r>
      <w:r>
        <w:rPr>
          <w:rFonts w:hint="eastAsia" w:ascii="宋体" w:hAnsi="宋体" w:eastAsia="宋体" w:cs="宋体"/>
          <w:color w:val="auto"/>
          <w:sz w:val="21"/>
          <w:szCs w:val="21"/>
          <w:highlight w:val="none"/>
          <w:lang w:val="en-US" w:eastAsia="zh-CN"/>
        </w:rPr>
        <w:t>订货单、货物验收签到表以及开具购买</w:t>
      </w:r>
      <w:r>
        <w:rPr>
          <w:rFonts w:hint="eastAsia" w:ascii="宋体" w:hAnsi="宋体" w:cs="宋体"/>
          <w:color w:val="auto"/>
          <w:sz w:val="21"/>
          <w:szCs w:val="21"/>
          <w:highlight w:val="none"/>
          <w:lang w:val="en-US" w:eastAsia="zh-CN"/>
        </w:rPr>
        <w:t>对应</w:t>
      </w:r>
      <w:r>
        <w:rPr>
          <w:rFonts w:hint="eastAsia" w:ascii="宋体" w:hAnsi="宋体" w:eastAsia="宋体" w:cs="宋体"/>
          <w:color w:val="auto"/>
          <w:sz w:val="21"/>
          <w:szCs w:val="21"/>
          <w:highlight w:val="none"/>
          <w:lang w:val="en-US" w:eastAsia="zh-CN"/>
        </w:rPr>
        <w:t>耗材的发票金额</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向采购人申请支付费用</w:t>
      </w:r>
      <w:r>
        <w:rPr>
          <w:rFonts w:hint="eastAsia" w:ascii="宋体" w:hAnsi="宋体" w:cs="宋体"/>
          <w:color w:val="auto"/>
          <w:sz w:val="21"/>
          <w:szCs w:val="21"/>
          <w:highlight w:val="none"/>
          <w:lang w:val="en-US" w:eastAsia="zh-CN"/>
        </w:rPr>
        <w:t>结算</w:t>
      </w:r>
      <w:r>
        <w:rPr>
          <w:rFonts w:hint="eastAsia" w:ascii="宋体" w:hAnsi="宋体" w:eastAsia="宋体" w:cs="宋体"/>
          <w:color w:val="auto"/>
          <w:sz w:val="21"/>
          <w:szCs w:val="21"/>
          <w:highlight w:val="none"/>
          <w:lang w:val="en-US" w:eastAsia="zh-CN"/>
        </w:rPr>
        <w:t>。全年总支付金额不超过</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预算金额</w:t>
      </w:r>
      <w:r>
        <w:rPr>
          <w:rFonts w:hint="eastAsia" w:ascii="宋体" w:hAnsi="宋体" w:cs="宋体"/>
          <w:b/>
          <w:bCs/>
          <w:color w:val="auto"/>
          <w:sz w:val="21"/>
          <w:szCs w:val="21"/>
          <w:highlight w:val="none"/>
          <w:u w:val="single"/>
          <w:lang w:val="en-US" w:eastAsia="zh-CN"/>
        </w:rPr>
        <w:t>35,320.80</w:t>
      </w:r>
      <w:r>
        <w:rPr>
          <w:rFonts w:hint="eastAsia" w:ascii="宋体" w:hAnsi="宋体" w:eastAsia="宋体" w:cs="宋体"/>
          <w:b/>
          <w:bCs/>
          <w:i w:val="0"/>
          <w:iCs w:val="0"/>
          <w:color w:val="000000"/>
          <w:kern w:val="0"/>
          <w:sz w:val="21"/>
          <w:szCs w:val="21"/>
          <w:highlight w:val="none"/>
          <w:u w:val="single"/>
          <w:lang w:val="en-US" w:eastAsia="zh-CN" w:bidi="ar"/>
        </w:rPr>
        <w:t>元</w:t>
      </w:r>
      <w:r>
        <w:rPr>
          <w:rFonts w:hint="eastAsia" w:ascii="宋体" w:hAnsi="宋体" w:eastAsia="宋体" w:cs="宋体"/>
          <w:b/>
          <w:bCs/>
          <w:i w:val="0"/>
          <w:iCs w:val="0"/>
          <w:color w:val="000000"/>
          <w:kern w:val="0"/>
          <w:sz w:val="20"/>
          <w:szCs w:val="20"/>
          <w:highlight w:val="none"/>
          <w:u w:val="none"/>
          <w:lang w:val="en-US" w:eastAsia="zh-CN" w:bidi="ar"/>
        </w:rPr>
        <w:t>，</w:t>
      </w:r>
      <w:r>
        <w:rPr>
          <w:rFonts w:hint="eastAsia" w:ascii="宋体" w:hAnsi="宋体" w:eastAsia="宋体" w:cs="宋体"/>
          <w:color w:val="auto"/>
          <w:sz w:val="21"/>
          <w:szCs w:val="21"/>
          <w:highlight w:val="none"/>
          <w:lang w:val="zh-CN"/>
        </w:rPr>
        <w:t>具体方式由供需双方在合同中约定。</w:t>
      </w:r>
    </w:p>
    <w:p w14:paraId="1D12A3D2">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zh-CN"/>
        </w:rPr>
        <w:t>质量保证</w:t>
      </w:r>
      <w:r>
        <w:rPr>
          <w:rFonts w:hint="eastAsia" w:ascii="宋体" w:hAnsi="宋体" w:eastAsia="宋体" w:cs="宋体"/>
          <w:b/>
          <w:bCs/>
          <w:color w:val="auto"/>
          <w:sz w:val="21"/>
          <w:szCs w:val="21"/>
          <w:highlight w:val="none"/>
          <w:lang w:val="en-US" w:eastAsia="zh-CN"/>
        </w:rPr>
        <w:t>：</w:t>
      </w:r>
    </w:p>
    <w:p w14:paraId="079899C3">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zh-CN"/>
        </w:rPr>
        <w:t>中标人需按国家相关标准进行耗材包装，耗材的包装均</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lang w:val="zh-CN"/>
        </w:rPr>
        <w:t>有良好的防湿、防锈、防潮、防雨、防腐及防碰撞的措施，并适宜深圳的气候条件。凡由于包装不良造成的损失和由此产生的费用均由</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val="zh-CN"/>
        </w:rPr>
        <w:t>标人承担。</w:t>
      </w:r>
    </w:p>
    <w:p w14:paraId="663681FE">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SA"/>
        </w:rPr>
        <w:t>5.2</w:t>
      </w:r>
      <w:r>
        <w:rPr>
          <w:rFonts w:hint="eastAsia" w:ascii="宋体" w:hAnsi="宋体" w:eastAsia="宋体" w:cs="宋体"/>
          <w:color w:val="auto"/>
          <w:sz w:val="21"/>
          <w:szCs w:val="21"/>
          <w:highlight w:val="none"/>
          <w:lang w:val="zh-CN"/>
        </w:rPr>
        <w:t>中标人应提供完整的技术资料，包括但不限于产品说明书、质量保证文件、服务指南等，所有外文资料</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zh-CN"/>
        </w:rPr>
        <w:t>提供中文译本。文件应随货物一并交付至采购人指定地点。</w:t>
      </w:r>
    </w:p>
    <w:p w14:paraId="7625E7FE">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bidi="ar-SA"/>
        </w:rPr>
        <w:t>5.3</w:t>
      </w:r>
      <w:r>
        <w:rPr>
          <w:rFonts w:hint="eastAsia" w:ascii="宋体" w:hAnsi="宋体" w:eastAsia="宋体" w:cs="宋体"/>
          <w:color w:val="auto"/>
          <w:szCs w:val="21"/>
          <w:highlight w:val="none"/>
          <w:lang w:val="en-US" w:eastAsia="zh-CN"/>
        </w:rPr>
        <w:t>在临床使用中出现不良事件，</w:t>
      </w:r>
      <w:r>
        <w:rPr>
          <w:rFonts w:hint="eastAsia" w:ascii="宋体" w:hAnsi="宋体" w:eastAsia="宋体" w:cs="宋体"/>
          <w:color w:val="auto"/>
          <w:sz w:val="21"/>
          <w:szCs w:val="21"/>
          <w:highlight w:val="none"/>
          <w:lang w:val="zh-CN"/>
        </w:rPr>
        <w:t>中标人</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lang w:val="en-US" w:eastAsia="zh-CN"/>
        </w:rPr>
        <w:t>接到通知后半小时内响应，两小时内赶到现场。经国家相关质量监察部门鉴定后，确实属于产品质量问题的，</w:t>
      </w:r>
      <w:r>
        <w:rPr>
          <w:rFonts w:hint="eastAsia" w:ascii="宋体" w:hAnsi="宋体" w:cs="宋体"/>
          <w:color w:val="auto"/>
          <w:szCs w:val="21"/>
          <w:highlight w:val="none"/>
          <w:lang w:val="en-US" w:eastAsia="zh-CN"/>
        </w:rPr>
        <w:t>由</w:t>
      </w:r>
      <w:r>
        <w:rPr>
          <w:rFonts w:hint="eastAsia" w:ascii="宋体" w:hAnsi="宋体" w:eastAsia="宋体" w:cs="宋体"/>
          <w:color w:val="auto"/>
          <w:sz w:val="21"/>
          <w:szCs w:val="21"/>
          <w:highlight w:val="none"/>
          <w:lang w:val="zh-CN"/>
        </w:rPr>
        <w:t>中标人</w:t>
      </w:r>
      <w:r>
        <w:rPr>
          <w:rFonts w:hint="eastAsia" w:ascii="宋体" w:hAnsi="宋体" w:eastAsia="宋体" w:cs="宋体"/>
          <w:color w:val="auto"/>
          <w:szCs w:val="21"/>
          <w:highlight w:val="none"/>
          <w:lang w:val="en-US" w:eastAsia="zh-CN"/>
        </w:rPr>
        <w:t>承担全部责任。</w:t>
      </w:r>
    </w:p>
    <w:p w14:paraId="0EFCD6D7">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20" w:firstLineChars="200"/>
        <w:textAlignment w:val="auto"/>
        <w:rPr>
          <w:rFonts w:hint="eastAsia" w:cs="宋体" w:asciiTheme="minorEastAsia" w:hAnsiTheme="minorEastAsia"/>
          <w:color w:val="auto"/>
          <w:kern w:val="0"/>
          <w:highlight w:val="none"/>
          <w:lang w:val="en-US" w:eastAsia="zh-CN"/>
        </w:rPr>
      </w:pPr>
      <w:r>
        <w:rPr>
          <w:rFonts w:hint="eastAsia" w:hAnsi="宋体" w:cs="宋体"/>
          <w:color w:val="auto"/>
          <w:szCs w:val="21"/>
          <w:highlight w:val="none"/>
          <w:lang w:val="en-US" w:eastAsia="zh-CN"/>
        </w:rPr>
        <w:t>5.</w:t>
      </w:r>
      <w:r>
        <w:rPr>
          <w:rFonts w:hint="eastAsia" w:ascii="宋体" w:hAnsi="宋体" w:cs="宋体"/>
          <w:color w:val="auto"/>
          <w:szCs w:val="21"/>
          <w:highlight w:val="none"/>
          <w:lang w:val="en-US" w:eastAsia="zh-CN"/>
        </w:rPr>
        <w:t>4</w:t>
      </w:r>
      <w:r>
        <w:rPr>
          <w:rFonts w:hint="eastAsia" w:cs="宋体" w:asciiTheme="minorEastAsia" w:hAnsiTheme="minorEastAsia"/>
          <w:color w:val="auto"/>
          <w:kern w:val="0"/>
          <w:highlight w:val="none"/>
          <w:lang w:val="en-US" w:eastAsia="zh-CN"/>
        </w:rPr>
        <w:t>货物有效期不低于</w:t>
      </w:r>
      <w:r>
        <w:rPr>
          <w:rFonts w:hint="eastAsia" w:cs="宋体" w:asciiTheme="minorEastAsia" w:hAnsiTheme="minorEastAsia"/>
          <w:b/>
          <w:bCs/>
          <w:color w:val="auto"/>
          <w:kern w:val="0"/>
          <w:highlight w:val="none"/>
          <w:u w:val="single"/>
          <w:lang w:val="en-US" w:eastAsia="zh-CN"/>
        </w:rPr>
        <w:t>产品有效期的三分之二</w:t>
      </w:r>
      <w:r>
        <w:rPr>
          <w:rFonts w:hint="eastAsia" w:cs="宋体" w:asciiTheme="minorEastAsia" w:hAnsiTheme="minorEastAsia"/>
          <w:color w:val="auto"/>
          <w:kern w:val="0"/>
          <w:highlight w:val="none"/>
          <w:lang w:val="en-US" w:eastAsia="zh-CN"/>
        </w:rPr>
        <w:t>，有效期内有任何产品质量问题，中标人需免费进行更换。</w:t>
      </w:r>
    </w:p>
    <w:p w14:paraId="66DC0D09">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rPr>
        <w:t>售后服务要求</w:t>
      </w:r>
      <w:r>
        <w:rPr>
          <w:rFonts w:hint="eastAsia" w:ascii="宋体" w:hAnsi="宋体" w:cs="宋体"/>
          <w:b/>
          <w:bCs/>
          <w:color w:val="auto"/>
          <w:sz w:val="21"/>
          <w:szCs w:val="21"/>
          <w:highlight w:val="none"/>
          <w:lang w:val="zh-CN"/>
        </w:rPr>
        <w:t>：</w:t>
      </w:r>
    </w:p>
    <w:p w14:paraId="5F3755D0">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6.1</w:t>
      </w:r>
      <w:r>
        <w:rPr>
          <w:rFonts w:hint="eastAsia" w:ascii="宋体" w:hAnsi="宋体" w:eastAsia="宋体" w:cs="宋体"/>
          <w:color w:val="auto"/>
          <w:sz w:val="21"/>
          <w:szCs w:val="21"/>
          <w:highlight w:val="none"/>
          <w:lang w:val="zh-CN"/>
        </w:rPr>
        <w:t>耗材出现问题时，中标人</w:t>
      </w:r>
      <w:r>
        <w:rPr>
          <w:rFonts w:hint="eastAsia" w:ascii="宋体" w:hAnsi="宋体" w:cs="宋体"/>
          <w:color w:val="auto"/>
          <w:szCs w:val="21"/>
          <w:highlight w:val="none"/>
          <w:lang w:val="en-US" w:eastAsia="zh-CN"/>
        </w:rPr>
        <w:t>要求中标人能在2</w:t>
      </w:r>
      <w:r>
        <w:rPr>
          <w:rFonts w:hint="eastAsia" w:ascii="宋体" w:hAnsi="宋体" w:eastAsia="宋体" w:cs="宋体"/>
          <w:color w:val="auto"/>
          <w:szCs w:val="21"/>
          <w:highlight w:val="none"/>
          <w:lang w:val="en-US" w:eastAsia="zh-CN"/>
        </w:rPr>
        <w:t>小时内响应，</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zh-CN"/>
        </w:rPr>
        <w:t>小时内到达现场。</w:t>
      </w:r>
    </w:p>
    <w:p w14:paraId="06C9F3BA">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6.</w:t>
      </w:r>
      <w:r>
        <w:rPr>
          <w:rFonts w:hint="default" w:ascii="宋体" w:hAnsi="宋体" w:eastAsia="宋体" w:cs="宋体"/>
          <w:color w:val="auto"/>
          <w:kern w:val="2"/>
          <w:sz w:val="21"/>
          <w:szCs w:val="21"/>
          <w:highlight w:val="none"/>
          <w:lang w:val="zh-CN" w:eastAsia="zh-CN" w:bidi="ar-SA"/>
        </w:rPr>
        <w:t>2</w:t>
      </w:r>
      <w:r>
        <w:rPr>
          <w:rFonts w:hint="eastAsia" w:ascii="宋体" w:hAnsi="宋体" w:eastAsia="宋体" w:cs="宋体"/>
          <w:color w:val="auto"/>
          <w:sz w:val="21"/>
          <w:szCs w:val="21"/>
          <w:highlight w:val="none"/>
          <w:lang w:val="zh-CN"/>
        </w:rPr>
        <w:t>中标人投标时所提供的耗材如在实际供货时已经停产，</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zh-CN"/>
        </w:rPr>
        <w:t>按原价提供</w:t>
      </w:r>
      <w:r>
        <w:rPr>
          <w:rFonts w:hint="eastAsia" w:ascii="宋体" w:hAnsi="宋体" w:cs="宋体"/>
          <w:color w:val="auto"/>
          <w:sz w:val="21"/>
          <w:szCs w:val="21"/>
          <w:highlight w:val="none"/>
          <w:lang w:val="en-US" w:eastAsia="zh-CN"/>
        </w:rPr>
        <w:t>用途相同的</w:t>
      </w:r>
      <w:r>
        <w:rPr>
          <w:rFonts w:hint="eastAsia" w:ascii="宋体" w:hAnsi="宋体" w:eastAsia="宋体" w:cs="宋体"/>
          <w:color w:val="auto"/>
          <w:sz w:val="21"/>
          <w:szCs w:val="21"/>
          <w:highlight w:val="none"/>
          <w:lang w:val="zh-CN"/>
        </w:rPr>
        <w:t>更优质的耗材。</w:t>
      </w:r>
    </w:p>
    <w:p w14:paraId="4EE5287A">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6.3</w:t>
      </w:r>
      <w:r>
        <w:rPr>
          <w:rFonts w:hint="eastAsia" w:ascii="宋体" w:hAnsi="宋体" w:eastAsia="宋体" w:cs="宋体"/>
          <w:color w:val="auto"/>
          <w:szCs w:val="21"/>
          <w:highlight w:val="none"/>
          <w:lang w:val="en-US" w:eastAsia="zh-CN"/>
        </w:rPr>
        <w:t>自</w:t>
      </w:r>
      <w:r>
        <w:rPr>
          <w:rFonts w:hint="eastAsia" w:ascii="宋体" w:hAnsi="宋体" w:cs="宋体"/>
          <w:color w:val="auto"/>
          <w:szCs w:val="21"/>
          <w:highlight w:val="none"/>
          <w:lang w:val="en-US" w:eastAsia="zh-CN"/>
        </w:rPr>
        <w:t>采购人订单发出</w:t>
      </w:r>
      <w:r>
        <w:rPr>
          <w:rFonts w:hint="eastAsia" w:ascii="宋体" w:hAnsi="宋体" w:eastAsia="宋体" w:cs="宋体"/>
          <w:color w:val="auto"/>
          <w:szCs w:val="21"/>
          <w:highlight w:val="none"/>
          <w:lang w:val="en-US" w:eastAsia="zh-CN"/>
        </w:rPr>
        <w:t>之</w:t>
      </w:r>
      <w:r>
        <w:rPr>
          <w:rFonts w:hint="eastAsia" w:ascii="宋体" w:hAnsi="宋体" w:cs="宋体"/>
          <w:color w:val="auto"/>
          <w:szCs w:val="21"/>
          <w:highlight w:val="none"/>
          <w:lang w:val="en-US" w:eastAsia="zh-CN"/>
        </w:rPr>
        <w:t>时</w:t>
      </w:r>
      <w:r>
        <w:rPr>
          <w:rFonts w:hint="eastAsia" w:ascii="宋体" w:hAnsi="宋体" w:eastAsia="宋体" w:cs="宋体"/>
          <w:color w:val="auto"/>
          <w:szCs w:val="21"/>
          <w:highlight w:val="none"/>
          <w:lang w:val="en-US" w:eastAsia="zh-CN"/>
        </w:rPr>
        <w:t>起</w:t>
      </w:r>
      <w:r>
        <w:rPr>
          <w:rFonts w:hint="eastAsia" w:ascii="宋体" w:hAnsi="宋体" w:cs="宋体"/>
          <w:color w:val="auto"/>
          <w:szCs w:val="21"/>
          <w:highlight w:val="none"/>
          <w:lang w:val="en-US" w:eastAsia="zh-CN"/>
        </w:rPr>
        <w:t>要求</w:t>
      </w:r>
      <w:r>
        <w:rPr>
          <w:rFonts w:hint="eastAsia" w:ascii="宋体" w:hAnsi="宋体" w:eastAsia="宋体" w:cs="宋体"/>
          <w:color w:val="auto"/>
          <w:sz w:val="21"/>
          <w:szCs w:val="21"/>
          <w:highlight w:val="none"/>
          <w:lang w:val="zh-CN"/>
        </w:rPr>
        <w:t>中标人</w:t>
      </w:r>
      <w:r>
        <w:rPr>
          <w:rFonts w:hint="eastAsia" w:ascii="宋体" w:hAnsi="宋体" w:cs="宋体"/>
          <w:color w:val="auto"/>
          <w:sz w:val="21"/>
          <w:szCs w:val="21"/>
          <w:highlight w:val="none"/>
          <w:lang w:val="en-US" w:eastAsia="zh-CN"/>
        </w:rPr>
        <w:t>耗材</w:t>
      </w:r>
      <w:r>
        <w:rPr>
          <w:rFonts w:hint="eastAsia" w:ascii="宋体" w:hAnsi="宋体" w:eastAsia="宋体" w:cs="宋体"/>
          <w:color w:val="auto"/>
          <w:szCs w:val="21"/>
          <w:highlight w:val="none"/>
          <w:lang w:val="en-US" w:eastAsia="zh-CN"/>
        </w:rPr>
        <w:t>配送</w:t>
      </w:r>
      <w:r>
        <w:rPr>
          <w:rFonts w:hint="eastAsia" w:ascii="宋体" w:hAnsi="宋体" w:cs="宋体"/>
          <w:color w:val="auto"/>
          <w:szCs w:val="21"/>
          <w:highlight w:val="none"/>
          <w:lang w:val="en-US" w:eastAsia="zh-CN"/>
        </w:rPr>
        <w:t>时限一般</w:t>
      </w:r>
      <w:r>
        <w:rPr>
          <w:rFonts w:hint="eastAsia" w:ascii="宋体" w:hAnsi="宋体" w:eastAsia="宋体" w:cs="宋体"/>
          <w:color w:val="auto"/>
          <w:szCs w:val="21"/>
          <w:highlight w:val="none"/>
          <w:lang w:val="en-US" w:eastAsia="zh-CN"/>
        </w:rPr>
        <w:t>不超过</w:t>
      </w:r>
      <w:r>
        <w:rPr>
          <w:rFonts w:hint="eastAsia" w:ascii="宋体" w:hAnsi="宋体" w:cs="宋体"/>
          <w:color w:val="auto"/>
          <w:szCs w:val="21"/>
          <w:highlight w:val="none"/>
          <w:lang w:val="en-US" w:eastAsia="zh-CN"/>
        </w:rPr>
        <w:t>48</w:t>
      </w:r>
      <w:r>
        <w:rPr>
          <w:rFonts w:hint="eastAsia" w:ascii="宋体" w:hAnsi="宋体" w:eastAsia="宋体" w:cs="宋体"/>
          <w:color w:val="auto"/>
          <w:szCs w:val="21"/>
          <w:highlight w:val="none"/>
          <w:lang w:val="en-US" w:eastAsia="zh-CN"/>
        </w:rPr>
        <w:t>小时。</w:t>
      </w:r>
      <w:r>
        <w:rPr>
          <w:rFonts w:hint="eastAsia" w:ascii="宋体" w:hAnsi="宋体" w:cs="宋体"/>
          <w:color w:val="auto"/>
          <w:szCs w:val="21"/>
          <w:highlight w:val="none"/>
          <w:lang w:val="en-US" w:eastAsia="zh-CN"/>
        </w:rPr>
        <w:t>若采购人要求</w:t>
      </w:r>
      <w:r>
        <w:rPr>
          <w:rFonts w:hint="eastAsia" w:ascii="宋体" w:hAnsi="宋体" w:eastAsia="宋体" w:cs="宋体"/>
          <w:color w:val="auto"/>
          <w:szCs w:val="21"/>
          <w:highlight w:val="none"/>
          <w:lang w:val="en-US" w:eastAsia="zh-CN"/>
        </w:rPr>
        <w:t>紧急配送，</w:t>
      </w:r>
      <w:r>
        <w:rPr>
          <w:rFonts w:hint="eastAsia" w:ascii="宋体" w:hAnsi="宋体" w:eastAsia="宋体" w:cs="宋体"/>
          <w:color w:val="auto"/>
          <w:sz w:val="21"/>
          <w:szCs w:val="21"/>
          <w:highlight w:val="none"/>
          <w:lang w:val="zh-CN"/>
        </w:rPr>
        <w:t>中标人</w:t>
      </w:r>
      <w:r>
        <w:rPr>
          <w:rFonts w:hint="eastAsia" w:ascii="宋体" w:hAnsi="宋体" w:cs="宋体"/>
          <w:color w:val="auto"/>
          <w:sz w:val="21"/>
          <w:szCs w:val="21"/>
          <w:highlight w:val="none"/>
          <w:lang w:val="en-US" w:eastAsia="zh-CN"/>
        </w:rPr>
        <w:t>需</w:t>
      </w:r>
      <w:r>
        <w:rPr>
          <w:rFonts w:hint="eastAsia" w:ascii="宋体" w:hAnsi="宋体" w:eastAsia="宋体" w:cs="宋体"/>
          <w:color w:val="auto"/>
          <w:szCs w:val="21"/>
          <w:highlight w:val="none"/>
          <w:lang w:val="en-US" w:eastAsia="zh-CN"/>
        </w:rPr>
        <w:t>保证所有</w:t>
      </w:r>
      <w:r>
        <w:rPr>
          <w:rFonts w:hint="eastAsia" w:ascii="宋体" w:hAnsi="宋体" w:cs="宋体"/>
          <w:color w:val="auto"/>
          <w:szCs w:val="21"/>
          <w:highlight w:val="none"/>
          <w:lang w:val="en-US" w:eastAsia="zh-CN"/>
        </w:rPr>
        <w:t>耗材</w:t>
      </w:r>
      <w:r>
        <w:rPr>
          <w:rFonts w:hint="eastAsia" w:ascii="宋体" w:hAnsi="宋体" w:eastAsia="宋体" w:cs="宋体"/>
          <w:color w:val="auto"/>
          <w:szCs w:val="21"/>
          <w:highlight w:val="none"/>
          <w:lang w:val="en-US" w:eastAsia="zh-CN"/>
        </w:rPr>
        <w:t>在</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小时内送达。</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订单发出</w:t>
      </w:r>
      <w:r>
        <w:rPr>
          <w:rFonts w:hint="eastAsia" w:ascii="宋体" w:hAnsi="宋体" w:cs="宋体"/>
          <w:color w:val="auto"/>
          <w:szCs w:val="21"/>
          <w:highlight w:val="none"/>
          <w:lang w:val="en-US" w:eastAsia="zh-CN"/>
        </w:rPr>
        <w:t>时间包含</w:t>
      </w:r>
      <w:r>
        <w:rPr>
          <w:rFonts w:hint="eastAsia" w:ascii="宋体" w:hAnsi="宋体" w:eastAsia="宋体" w:cs="宋体"/>
          <w:color w:val="auto"/>
          <w:szCs w:val="21"/>
          <w:highlight w:val="none"/>
          <w:lang w:val="en-US" w:eastAsia="zh-CN"/>
        </w:rPr>
        <w:t>节假日</w:t>
      </w:r>
      <w:r>
        <w:rPr>
          <w:rFonts w:hint="eastAsia" w:ascii="宋体" w:hAnsi="宋体" w:cs="宋体"/>
          <w:color w:val="auto"/>
          <w:szCs w:val="21"/>
          <w:highlight w:val="none"/>
          <w:lang w:val="en-US" w:eastAsia="zh-CN"/>
        </w:rPr>
        <w:t>，</w:t>
      </w:r>
      <w:r>
        <w:rPr>
          <w:rFonts w:hint="eastAsia" w:ascii="宋体" w:hAnsi="宋体" w:eastAsia="宋体" w:cs="宋体"/>
          <w:color w:val="auto"/>
          <w:sz w:val="21"/>
          <w:szCs w:val="21"/>
          <w:highlight w:val="none"/>
          <w:lang w:val="zh-CN"/>
        </w:rPr>
        <w:t>中标人</w:t>
      </w:r>
      <w:r>
        <w:rPr>
          <w:rFonts w:hint="eastAsia" w:ascii="宋体" w:hAnsi="宋体" w:eastAsia="宋体" w:cs="宋体"/>
          <w:color w:val="auto"/>
          <w:szCs w:val="21"/>
          <w:highlight w:val="none"/>
          <w:lang w:val="en-US" w:eastAsia="zh-CN"/>
        </w:rPr>
        <w:t>应留置值班人员以满足</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订货需求。</w:t>
      </w:r>
    </w:p>
    <w:p w14:paraId="08076FB4">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6.4</w:t>
      </w:r>
      <w:r>
        <w:rPr>
          <w:rFonts w:hint="eastAsia" w:ascii="宋体" w:hAnsi="宋体" w:eastAsia="宋体" w:cs="宋体"/>
          <w:color w:val="auto"/>
          <w:sz w:val="21"/>
          <w:szCs w:val="21"/>
          <w:highlight w:val="none"/>
          <w:lang w:val="zh-CN"/>
        </w:rPr>
        <w:t>中标人应派专业技术人员对采购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zh-CN"/>
        </w:rPr>
        <w:t>指定人员进行定期培训及指导</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且不额外收费</w:t>
      </w:r>
      <w:r>
        <w:rPr>
          <w:rFonts w:hint="eastAsia" w:ascii="宋体" w:hAnsi="宋体" w:eastAsia="宋体" w:cs="宋体"/>
          <w:color w:val="auto"/>
          <w:sz w:val="21"/>
          <w:szCs w:val="21"/>
          <w:highlight w:val="none"/>
          <w:lang w:val="zh-CN"/>
        </w:rPr>
        <w:t>。</w:t>
      </w:r>
    </w:p>
    <w:p w14:paraId="6FAB44AB">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rPr>
        <w:t>应按其投标文件中的承诺，进行其他售后服务工作。</w:t>
      </w:r>
    </w:p>
    <w:p w14:paraId="641A96C1">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zh-CN"/>
        </w:rPr>
        <w:t>验收及相关技术文件、资料</w:t>
      </w:r>
      <w:r>
        <w:rPr>
          <w:rFonts w:hint="eastAsia" w:ascii="宋体" w:hAnsi="宋体" w:cs="宋体"/>
          <w:b/>
          <w:bCs/>
          <w:color w:val="auto"/>
          <w:sz w:val="21"/>
          <w:szCs w:val="21"/>
          <w:highlight w:val="none"/>
          <w:lang w:val="zh-CN"/>
        </w:rPr>
        <w:t>：</w:t>
      </w:r>
    </w:p>
    <w:p w14:paraId="771A21C5">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7.1</w:t>
      </w:r>
      <w:r>
        <w:rPr>
          <w:rFonts w:hint="eastAsia" w:ascii="宋体" w:hAnsi="宋体" w:cs="宋体"/>
          <w:color w:val="auto"/>
          <w:szCs w:val="21"/>
          <w:highlight w:val="none"/>
          <w:lang w:val="zh-CN" w:eastAsia="zh-CN"/>
        </w:rPr>
        <w:t>投标人提供的耗材</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lang w:val="zh-CN" w:eastAsia="zh-CN"/>
        </w:rPr>
        <w:t>符合国家承认的相应标准。</w:t>
      </w:r>
      <w:r>
        <w:rPr>
          <w:rFonts w:hint="eastAsia" w:ascii="宋体" w:hAnsi="宋体" w:cs="宋体"/>
          <w:color w:val="auto"/>
          <w:szCs w:val="21"/>
          <w:highlight w:val="none"/>
          <w:lang w:val="en-US" w:eastAsia="zh-CN"/>
        </w:rPr>
        <w:t>满足采购要求。</w:t>
      </w:r>
    </w:p>
    <w:p w14:paraId="43D72BC5">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7.2</w:t>
      </w:r>
      <w:r>
        <w:rPr>
          <w:rFonts w:hint="eastAsia" w:ascii="宋体" w:hAnsi="宋体" w:cs="宋体"/>
          <w:color w:val="auto"/>
          <w:szCs w:val="21"/>
          <w:highlight w:val="none"/>
          <w:lang w:val="zh-CN" w:eastAsia="zh-CN"/>
        </w:rPr>
        <w:t>投标人所提供的</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lang w:val="zh-CN" w:eastAsia="zh-CN"/>
        </w:rPr>
        <w:t>是其合法生产或代理的合格耗材，并能够按照耗材成交确认合同规定的商标、产地、质量、价格、</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lang w:val="zh-CN" w:eastAsia="zh-CN"/>
        </w:rPr>
        <w:t>效期及时供货。</w:t>
      </w:r>
    </w:p>
    <w:p w14:paraId="78D5FDEC">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7.3</w:t>
      </w:r>
      <w:r>
        <w:rPr>
          <w:rFonts w:hint="eastAsia" w:ascii="宋体" w:hAnsi="宋体" w:eastAsia="宋体" w:cs="宋体"/>
          <w:color w:val="auto"/>
          <w:sz w:val="21"/>
          <w:szCs w:val="21"/>
          <w:highlight w:val="none"/>
          <w:lang w:val="zh-CN"/>
        </w:rPr>
        <w:t>耗材外观清洁，产品包装上（包括大包装、小包装等）需附有以下所列各项国家规定的中文标识：</w:t>
      </w:r>
    </w:p>
    <w:p w14:paraId="12AA719E">
      <w:pPr>
        <w:keepNext w:val="0"/>
        <w:keepLines w:val="0"/>
        <w:pageBreakBefore w:val="0"/>
        <w:widowControl w:val="0"/>
        <w:tabs>
          <w:tab w:val="left" w:pos="0"/>
          <w:tab w:val="left" w:pos="420"/>
        </w:tabs>
        <w:kinsoku/>
        <w:wordWrap w:val="0"/>
        <w:overflowPunct/>
        <w:topLinePunct w:val="0"/>
        <w:autoSpaceDE/>
        <w:autoSpaceDN/>
        <w:bidi w:val="0"/>
        <w:adjustRightInd w:val="0"/>
        <w:snapToGrid w:val="0"/>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（1）耗材名称、型号、规格；</w:t>
      </w:r>
    </w:p>
    <w:p w14:paraId="7970AA57">
      <w:pPr>
        <w:keepNext w:val="0"/>
        <w:keepLines w:val="0"/>
        <w:pageBreakBefore w:val="0"/>
        <w:widowControl w:val="0"/>
        <w:tabs>
          <w:tab w:val="left" w:pos="0"/>
          <w:tab w:val="left" w:pos="420"/>
        </w:tabs>
        <w:kinsoku/>
        <w:wordWrap w:val="0"/>
        <w:overflowPunct/>
        <w:topLinePunct w:val="0"/>
        <w:autoSpaceDE/>
        <w:autoSpaceDN/>
        <w:bidi w:val="0"/>
        <w:adjustRightInd w:val="0"/>
        <w:snapToGrid w:val="0"/>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（2）生产企业名称、注册地址、生产地址、联系方式；</w:t>
      </w:r>
    </w:p>
    <w:p w14:paraId="7BD933FF">
      <w:pPr>
        <w:keepNext w:val="0"/>
        <w:keepLines w:val="0"/>
        <w:pageBreakBefore w:val="0"/>
        <w:widowControl w:val="0"/>
        <w:tabs>
          <w:tab w:val="left" w:pos="0"/>
          <w:tab w:val="left" w:pos="420"/>
        </w:tabs>
        <w:kinsoku/>
        <w:wordWrap w:val="0"/>
        <w:overflowPunct/>
        <w:topLinePunct w:val="0"/>
        <w:autoSpaceDE/>
        <w:autoSpaceDN/>
        <w:bidi w:val="0"/>
        <w:adjustRightInd w:val="0"/>
        <w:snapToGrid w:val="0"/>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）耗材生产日期或批（编）号、有效期限。</w:t>
      </w:r>
    </w:p>
    <w:p w14:paraId="15B48AC0">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7.4</w:t>
      </w:r>
      <w:r>
        <w:rPr>
          <w:rFonts w:hint="eastAsia" w:ascii="宋体" w:hAnsi="宋体" w:eastAsia="宋体" w:cs="宋体"/>
          <w:color w:val="auto"/>
          <w:sz w:val="21"/>
          <w:szCs w:val="21"/>
          <w:highlight w:val="none"/>
          <w:lang w:val="zh-CN"/>
        </w:rPr>
        <w:t>所有耗材在开封检验时</w:t>
      </w:r>
      <w:r>
        <w:rPr>
          <w:rFonts w:hint="eastAsia" w:ascii="宋体" w:hAnsi="宋体" w:cs="宋体"/>
          <w:color w:val="auto"/>
          <w:szCs w:val="21"/>
          <w:highlight w:val="none"/>
          <w:lang w:val="en-US" w:eastAsia="zh-CN"/>
        </w:rPr>
        <w:t>应</w:t>
      </w:r>
      <w:r>
        <w:rPr>
          <w:rFonts w:hint="eastAsia" w:ascii="宋体" w:hAnsi="宋体" w:eastAsia="宋体" w:cs="宋体"/>
          <w:color w:val="auto"/>
          <w:sz w:val="21"/>
          <w:szCs w:val="21"/>
          <w:highlight w:val="none"/>
          <w:lang w:val="zh-CN"/>
        </w:rPr>
        <w:t>完好，无破损，配置与说明书相符。如有破损，应无条件退换。</w:t>
      </w:r>
    </w:p>
    <w:p w14:paraId="03E23A03">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7.5</w:t>
      </w:r>
      <w:r>
        <w:rPr>
          <w:rFonts w:hint="eastAsia" w:ascii="宋体" w:hAnsi="宋体" w:eastAsia="宋体" w:cs="宋体"/>
          <w:color w:val="auto"/>
          <w:sz w:val="21"/>
          <w:szCs w:val="21"/>
          <w:highlight w:val="none"/>
          <w:lang w:val="zh-CN"/>
        </w:rPr>
        <w:t>耗材符合</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文件技术要求，具备产品合格证，性能满足要求。</w:t>
      </w:r>
    </w:p>
    <w:p w14:paraId="13A7BD2A">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7.6采购人</w:t>
      </w:r>
      <w:r>
        <w:rPr>
          <w:rFonts w:hint="eastAsia" w:ascii="宋体" w:hAnsi="宋体" w:eastAsia="宋体" w:cs="宋体"/>
          <w:color w:val="auto"/>
          <w:szCs w:val="21"/>
          <w:highlight w:val="none"/>
          <w:lang w:val="en-US" w:eastAsia="zh-CN"/>
        </w:rPr>
        <w:t>接受货物后若有疑义或使用前发现不宜使用的现象，</w:t>
      </w:r>
      <w:r>
        <w:rPr>
          <w:rFonts w:hint="eastAsia" w:ascii="宋体" w:hAnsi="宋体" w:cs="宋体"/>
          <w:color w:val="auto"/>
          <w:szCs w:val="21"/>
          <w:highlight w:val="none"/>
          <w:lang w:val="en-US" w:eastAsia="zh-CN"/>
        </w:rPr>
        <w:t>中标人需</w:t>
      </w:r>
      <w:r>
        <w:rPr>
          <w:rFonts w:hint="eastAsia" w:ascii="宋体" w:hAnsi="宋体" w:eastAsia="宋体" w:cs="宋体"/>
          <w:color w:val="auto"/>
          <w:szCs w:val="21"/>
          <w:highlight w:val="none"/>
          <w:lang w:val="en-US" w:eastAsia="zh-CN"/>
        </w:rPr>
        <w:t>提供退换货服务</w:t>
      </w:r>
      <w:r>
        <w:rPr>
          <w:rFonts w:hint="eastAsia" w:ascii="宋体" w:hAnsi="宋体" w:cs="宋体"/>
          <w:color w:val="auto"/>
          <w:szCs w:val="21"/>
          <w:highlight w:val="none"/>
          <w:lang w:val="en-US" w:eastAsia="zh-CN"/>
        </w:rPr>
        <w:t>，不额外收费</w:t>
      </w:r>
      <w:r>
        <w:rPr>
          <w:rFonts w:hint="eastAsia" w:ascii="宋体" w:hAnsi="宋体" w:eastAsia="宋体" w:cs="宋体"/>
          <w:color w:val="auto"/>
          <w:szCs w:val="21"/>
          <w:highlight w:val="none"/>
          <w:lang w:val="en-US" w:eastAsia="zh-CN"/>
        </w:rPr>
        <w:t>。</w:t>
      </w:r>
    </w:p>
    <w:p w14:paraId="2467B0F1">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highlight w:val="none"/>
          <w:lang w:val="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zh-CN"/>
        </w:rPr>
        <w:t>运输要求</w:t>
      </w:r>
      <w:r>
        <w:rPr>
          <w:rFonts w:hint="eastAsia" w:ascii="宋体" w:hAnsi="宋体" w:cs="宋体"/>
          <w:b/>
          <w:bCs/>
          <w:color w:val="auto"/>
          <w:sz w:val="21"/>
          <w:szCs w:val="21"/>
          <w:highlight w:val="none"/>
          <w:lang w:val="zh-CN"/>
        </w:rPr>
        <w:t>：</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lang w:val="zh-CN"/>
        </w:rPr>
        <w:t>标人负责将耗材安全无损运抵采购人指定地点，并承担包装、运输、保险、装卸、关税、增值税等费用。</w:t>
      </w:r>
    </w:p>
    <w:p w14:paraId="7722D280">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zh-CN"/>
        </w:rPr>
        <w:t>质量及知识产权要求</w:t>
      </w:r>
      <w:r>
        <w:rPr>
          <w:rFonts w:hint="eastAsia" w:ascii="宋体" w:hAnsi="宋体" w:cs="宋体"/>
          <w:b/>
          <w:bCs/>
          <w:color w:val="auto"/>
          <w:sz w:val="21"/>
          <w:szCs w:val="21"/>
          <w:highlight w:val="none"/>
          <w:lang w:val="zh-CN"/>
        </w:rPr>
        <w:t>：</w:t>
      </w:r>
    </w:p>
    <w:p w14:paraId="249F376F">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投标人应保证采购人在使用该货物或其任何一部分时，免受第三方提出的侵犯其专利权、商标权、著作权或其它知识产权的起诉。投标人保证所提供软件的合法性，所发生的任何知识产权纠纷与采购人无关。</w:t>
      </w:r>
    </w:p>
    <w:p w14:paraId="33D00D2A">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采购人购买产品后，有权对该产品与其他设备进行配套、整合或适当改进，而免受侵犯专利权的起诉。</w:t>
      </w:r>
    </w:p>
    <w:p w14:paraId="0FD884CC">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zh-CN"/>
        </w:rPr>
        <w:t>违约责任</w:t>
      </w:r>
      <w:r>
        <w:rPr>
          <w:rFonts w:hint="eastAsia" w:ascii="宋体" w:hAnsi="宋体" w:cs="宋体"/>
          <w:b/>
          <w:bCs/>
          <w:color w:val="auto"/>
          <w:sz w:val="21"/>
          <w:szCs w:val="21"/>
          <w:highlight w:val="none"/>
          <w:lang w:val="zh-CN"/>
        </w:rPr>
        <w:t>：</w:t>
      </w:r>
    </w:p>
    <w:p w14:paraId="2E2E01DD">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10.1</w:t>
      </w:r>
      <w:r>
        <w:rPr>
          <w:rFonts w:hint="eastAsia" w:ascii="宋体" w:hAnsi="宋体" w:eastAsia="宋体" w:cs="宋体"/>
          <w:color w:val="auto"/>
          <w:sz w:val="21"/>
          <w:szCs w:val="21"/>
          <w:highlight w:val="none"/>
          <w:lang w:val="zh-CN"/>
        </w:rPr>
        <w:t>如投标人未按照投标文件中承诺的时间交货或提供服务，投标人应承担延期交货和延期服务的违约责任，并赔偿采购人因此造成的实际经济损失。</w:t>
      </w:r>
    </w:p>
    <w:p w14:paraId="118206F7">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10.2</w:t>
      </w:r>
      <w:r>
        <w:rPr>
          <w:rFonts w:hint="eastAsia" w:ascii="宋体" w:hAnsi="宋体" w:eastAsia="宋体" w:cs="宋体"/>
          <w:color w:val="auto"/>
          <w:sz w:val="21"/>
          <w:szCs w:val="21"/>
          <w:highlight w:val="none"/>
          <w:lang w:val="zh-CN"/>
        </w:rPr>
        <w:t>投标人所提供检测试剂的品种、型号、规格、质量、技术参数等方面不能实质性满足遴选文件要约的，采购人有权拒绝收货，投标人向采购人偿付项目采购金额千分之十（千分之十以上千分之二十以下）的违约金；造成严重后果的，根据《深圳经济特区政府采购条例》第五十七条第（二）款规定，由主管部门对中标人进行处罚。</w:t>
      </w:r>
    </w:p>
    <w:p w14:paraId="60FDCCE1">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10.3</w:t>
      </w:r>
      <w:r>
        <w:rPr>
          <w:rFonts w:hint="eastAsia" w:ascii="宋体" w:hAnsi="宋体" w:eastAsia="宋体" w:cs="宋体"/>
          <w:color w:val="auto"/>
          <w:sz w:val="21"/>
          <w:szCs w:val="21"/>
          <w:highlight w:val="none"/>
          <w:lang w:val="zh-CN"/>
        </w:rPr>
        <w:t>投标人不能交付</w:t>
      </w:r>
      <w:r>
        <w:rPr>
          <w:rFonts w:hint="eastAsia" w:ascii="宋体" w:hAnsi="宋体" w:cs="宋体"/>
          <w:color w:val="auto"/>
          <w:sz w:val="21"/>
          <w:szCs w:val="21"/>
          <w:highlight w:val="none"/>
          <w:lang w:val="en-US" w:eastAsia="zh-CN"/>
        </w:rPr>
        <w:t>产品时</w:t>
      </w:r>
      <w:r>
        <w:rPr>
          <w:rFonts w:hint="eastAsia" w:ascii="宋体" w:hAnsi="宋体" w:eastAsia="宋体" w:cs="宋体"/>
          <w:color w:val="auto"/>
          <w:sz w:val="21"/>
          <w:szCs w:val="21"/>
          <w:highlight w:val="none"/>
          <w:lang w:val="zh-CN"/>
        </w:rPr>
        <w:t>，投标人向采购人偿付项目采购金额千分之二十（千分之十以上千分之二十以下）的违约金；造成严重后果的，根据《深圳经济特区政府采购条例》第五十七条第（二）款规定，由主管部门对中标人进行处罚。</w:t>
      </w:r>
    </w:p>
    <w:p w14:paraId="5097FA01">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11.其他商务要求：</w:t>
      </w:r>
    </w:p>
    <w:p w14:paraId="38B25A18">
      <w:pPr>
        <w:keepNext w:val="0"/>
        <w:keepLines w:val="0"/>
        <w:suppressLineNumbers w:val="0"/>
        <w:spacing w:before="0" w:beforeAutospacing="0" w:after="0" w:afterAutospacing="0"/>
        <w:ind w:left="0" w:right="0"/>
        <w:jc w:val="left"/>
        <w:rPr>
          <w:rFonts w:hint="eastAsia" w:ascii="宋体" w:hAnsi="宋体" w:eastAsia="宋体" w:cs="宋体"/>
          <w:snapToGrid/>
          <w:color w:val="auto"/>
          <w:spacing w:val="0"/>
          <w:kern w:val="2"/>
          <w:sz w:val="21"/>
          <w:szCs w:val="24"/>
          <w:highlight w:val="none"/>
          <w:lang w:val="en-US" w:eastAsia="zh-CN" w:bidi="ar-SA"/>
        </w:rPr>
      </w:pPr>
      <w:r>
        <w:rPr>
          <w:rFonts w:hint="eastAsia" w:asciiTheme="minorEastAsia" w:hAnsiTheme="minorEastAsia" w:eastAsiaTheme="minorEastAsia"/>
          <w:b/>
          <w:bCs/>
          <w:color w:val="auto"/>
          <w:szCs w:val="21"/>
        </w:rPr>
        <w:t>★</w:t>
      </w:r>
      <w:r>
        <w:rPr>
          <w:rFonts w:hint="eastAsia" w:ascii="宋体" w:hAnsi="宋体" w:eastAsia="宋体" w:cs="宋体"/>
          <w:snapToGrid/>
          <w:color w:val="auto"/>
          <w:spacing w:val="0"/>
          <w:kern w:val="2"/>
          <w:sz w:val="21"/>
          <w:szCs w:val="24"/>
          <w:highlight w:val="none"/>
          <w:lang w:val="en-US" w:eastAsia="zh-CN" w:bidi="ar-SA"/>
        </w:rPr>
        <w:t>1、中标公司无条件配合医院SPD物流精细化管理服务，同时承诺支付每月管理服务费(不超当月供货总额的3%)，具体与医院签合同时按合同条款执行。</w:t>
      </w:r>
    </w:p>
    <w:p w14:paraId="438C1245">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6271AE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6F7597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200CBE54">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C9F282B">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bookmarkStart w:id="10" w:name="_Toc16150"/>
    </w:p>
    <w:p w14:paraId="39635CDA">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6FD5AC7">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FBA496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C32CB16">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0DD1D0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5CA1FFA2">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73B822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AE125F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933651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3818F06">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60D92BC">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087BAA0">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6216A13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39107D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488410AA">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FAB7815">
      <w:pPr>
        <w:pStyle w:val="3"/>
        <w:numPr>
          <w:ilvl w:val="0"/>
          <w:numId w:val="0"/>
        </w:numPr>
        <w:spacing w:line="240" w:lineRule="auto"/>
        <w:ind w:left="0" w:leftChars="0" w:firstLine="0" w:firstLineChars="0"/>
        <w:jc w:val="both"/>
        <w:outlineLvl w:val="0"/>
        <w:rPr>
          <w:rFonts w:hint="eastAsia" w:asciiTheme="majorEastAsia" w:hAnsiTheme="majorEastAsia" w:eastAsiaTheme="majorEastAsia" w:cstheme="majorEastAsia"/>
          <w:kern w:val="2"/>
          <w:sz w:val="32"/>
          <w:szCs w:val="32"/>
          <w:lang w:val="en-US" w:eastAsia="zh-CN" w:bidi="ar-SA"/>
        </w:rPr>
      </w:pPr>
    </w:p>
    <w:p w14:paraId="36EB70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kern w:val="2"/>
          <w:sz w:val="32"/>
          <w:szCs w:val="32"/>
          <w:lang w:val="en-US" w:eastAsia="zh-CN" w:bidi="ar-SA"/>
        </w:rPr>
        <w:t xml:space="preserve">第三章 </w:t>
      </w:r>
      <w:r>
        <w:rPr>
          <w:rFonts w:hint="eastAsia" w:asciiTheme="majorEastAsia" w:hAnsiTheme="majorEastAsia" w:eastAsiaTheme="majorEastAsia" w:cstheme="majorEastAsia"/>
          <w:sz w:val="32"/>
          <w:szCs w:val="32"/>
        </w:rPr>
        <w:t>开标、评标、定标</w:t>
      </w:r>
      <w:bookmarkEnd w:id="10"/>
    </w:p>
    <w:p w14:paraId="3B4C8BEE">
      <w:pPr>
        <w:pStyle w:val="3"/>
        <w:numPr>
          <w:ilvl w:val="0"/>
          <w:numId w:val="1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1" w:name="_Toc24015563"/>
      <w:bookmarkStart w:id="12" w:name="_Toc15209"/>
      <w:bookmarkStart w:id="13" w:name="_Toc1988"/>
      <w:bookmarkStart w:id="14" w:name="_Toc10794"/>
      <w:r>
        <w:rPr>
          <w:rFonts w:hint="eastAsia" w:ascii="宋体" w:hAnsi="宋体" w:cs="宋体" w:eastAsiaTheme="minorEastAsia"/>
          <w:kern w:val="2"/>
          <w:sz w:val="21"/>
          <w:szCs w:val="21"/>
          <w:lang w:val="en-US" w:eastAsia="zh-CN" w:bidi="ar-SA"/>
        </w:rPr>
        <w:t>资格性审查表</w:t>
      </w:r>
      <w:bookmarkEnd w:id="11"/>
      <w:bookmarkEnd w:id="12"/>
      <w:bookmarkEnd w:id="13"/>
      <w:bookmarkEnd w:id="14"/>
    </w:p>
    <w:tbl>
      <w:tblPr>
        <w:tblStyle w:val="17"/>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86"/>
      </w:tblGrid>
      <w:tr w14:paraId="2C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3" w:type="dxa"/>
            <w:noWrap w:val="0"/>
            <w:vAlign w:val="center"/>
          </w:tcPr>
          <w:p w14:paraId="59A3AE5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286" w:type="dxa"/>
            <w:noWrap w:val="0"/>
            <w:vAlign w:val="center"/>
          </w:tcPr>
          <w:p w14:paraId="492F829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资格性审查内容</w:t>
            </w:r>
          </w:p>
        </w:tc>
      </w:tr>
      <w:tr w14:paraId="62E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6424D381">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286" w:type="dxa"/>
            <w:noWrap w:val="0"/>
            <w:vAlign w:val="center"/>
          </w:tcPr>
          <w:p w14:paraId="37E0A346">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r>
      <w:tr w14:paraId="1FD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503FDA23">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286" w:type="dxa"/>
            <w:noWrap w:val="0"/>
            <w:vAlign w:val="center"/>
          </w:tcPr>
          <w:p w14:paraId="3A1E4E1D">
            <w:pPr>
              <w:keepNext w:val="0"/>
              <w:keepLines w:val="0"/>
              <w:suppressLineNumbers w:val="0"/>
              <w:spacing w:before="0" w:beforeAutospacing="0" w:after="0" w:afterAutospacing="0"/>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r>
    </w:tbl>
    <w:p w14:paraId="218A01EB">
      <w:pPr>
        <w:adjustRightInd w:val="0"/>
        <w:snapToGrid w:val="0"/>
        <w:spacing w:line="360" w:lineRule="auto"/>
        <w:jc w:val="left"/>
        <w:outlineLvl w:val="9"/>
        <w:rPr>
          <w:rFonts w:ascii="宋体" w:hAnsi="宋体"/>
          <w:color w:val="auto"/>
          <w:highlight w:val="none"/>
        </w:rPr>
      </w:pPr>
      <w:bookmarkStart w:id="15"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bookmarkEnd w:id="15"/>
    </w:p>
    <w:p w14:paraId="41BA4C69">
      <w:pPr>
        <w:pStyle w:val="3"/>
        <w:numPr>
          <w:ilvl w:val="0"/>
          <w:numId w:val="1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6" w:name="_Toc11989"/>
      <w:r>
        <w:rPr>
          <w:rFonts w:hint="eastAsia" w:ascii="宋体" w:hAnsi="宋体" w:cs="宋体"/>
          <w:kern w:val="2"/>
          <w:sz w:val="21"/>
          <w:szCs w:val="21"/>
          <w:lang w:val="en-US" w:eastAsia="zh-CN" w:bidi="ar-SA"/>
        </w:rPr>
        <w:t>符合</w:t>
      </w:r>
      <w:r>
        <w:rPr>
          <w:rFonts w:hint="eastAsia" w:ascii="宋体" w:hAnsi="宋体" w:cs="宋体" w:eastAsiaTheme="minorEastAsia"/>
          <w:kern w:val="2"/>
          <w:sz w:val="21"/>
          <w:szCs w:val="21"/>
          <w:lang w:val="en-US" w:eastAsia="zh-CN" w:bidi="ar-SA"/>
        </w:rPr>
        <w:t>性审查表</w:t>
      </w:r>
      <w:bookmarkEnd w:id="16"/>
    </w:p>
    <w:tbl>
      <w:tblPr>
        <w:tblStyle w:val="17"/>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19"/>
      </w:tblGrid>
      <w:tr w14:paraId="5AA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5" w:type="dxa"/>
            <w:noWrap w:val="0"/>
            <w:vAlign w:val="center"/>
          </w:tcPr>
          <w:p w14:paraId="2E0DB8B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序号</w:t>
            </w:r>
          </w:p>
        </w:tc>
        <w:tc>
          <w:tcPr>
            <w:tcW w:w="9319" w:type="dxa"/>
            <w:noWrap w:val="0"/>
            <w:vAlign w:val="center"/>
          </w:tcPr>
          <w:p w14:paraId="67E75CE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符合性</w:t>
            </w:r>
            <w:r>
              <w:rPr>
                <w:rFonts w:hint="eastAsia" w:ascii="宋体" w:hAnsi="宋体" w:eastAsia="宋体" w:cs="宋体"/>
                <w:b/>
                <w:color w:val="000000"/>
                <w:sz w:val="21"/>
                <w:szCs w:val="21"/>
                <w:lang w:val="en-US" w:eastAsia="zh-CN"/>
              </w:rPr>
              <w:t>审查内容</w:t>
            </w:r>
          </w:p>
        </w:tc>
      </w:tr>
      <w:tr w14:paraId="53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5" w:type="dxa"/>
            <w:noWrap w:val="0"/>
            <w:vAlign w:val="center"/>
          </w:tcPr>
          <w:p w14:paraId="4B3134CD">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19" w:type="dxa"/>
            <w:noWrap w:val="0"/>
            <w:vAlign w:val="center"/>
          </w:tcPr>
          <w:p w14:paraId="0016FA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将一个包中的内容拆开投标</w:t>
            </w:r>
          </w:p>
        </w:tc>
      </w:tr>
      <w:tr w14:paraId="703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5" w:type="dxa"/>
            <w:noWrap w:val="0"/>
            <w:vAlign w:val="center"/>
          </w:tcPr>
          <w:p w14:paraId="114EF632">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19" w:type="dxa"/>
            <w:noWrap w:val="0"/>
            <w:vAlign w:val="center"/>
          </w:tcPr>
          <w:p w14:paraId="1B512E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r>
      <w:tr w14:paraId="018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5FB2B39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19" w:type="dxa"/>
            <w:noWrap w:val="0"/>
            <w:vAlign w:val="center"/>
          </w:tcPr>
          <w:p w14:paraId="395773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谈判文件未规定允许有替代方案时，对同一项目投标时，同时提供两套或两套以上的投标方案</w:t>
            </w:r>
          </w:p>
        </w:tc>
      </w:tr>
      <w:tr w14:paraId="0B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5" w:type="dxa"/>
            <w:noWrap w:val="0"/>
            <w:vAlign w:val="center"/>
          </w:tcPr>
          <w:p w14:paraId="04F295E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19" w:type="dxa"/>
            <w:noWrap w:val="0"/>
            <w:vAlign w:val="center"/>
          </w:tcPr>
          <w:p w14:paraId="3A9D5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分项报价或投标总价高于限价，或未按照谈判文件的报价要求进行报价的</w:t>
            </w:r>
          </w:p>
        </w:tc>
      </w:tr>
      <w:tr w14:paraId="6C8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5" w:type="dxa"/>
            <w:noWrap w:val="0"/>
            <w:vAlign w:val="center"/>
          </w:tcPr>
          <w:p w14:paraId="2C771CA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19" w:type="dxa"/>
            <w:noWrap w:val="0"/>
            <w:vAlign w:val="center"/>
          </w:tcPr>
          <w:p w14:paraId="123B43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同一项目出现两个及以上报价，按规定又无法确定哪个是有效报价</w:t>
            </w:r>
          </w:p>
        </w:tc>
      </w:tr>
      <w:tr w14:paraId="07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85" w:type="dxa"/>
            <w:noWrap w:val="0"/>
            <w:vAlign w:val="center"/>
          </w:tcPr>
          <w:p w14:paraId="5C0200C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19" w:type="dxa"/>
            <w:noWrap w:val="0"/>
            <w:vAlign w:val="center"/>
          </w:tcPr>
          <w:p w14:paraId="685AA5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r>
      <w:tr w14:paraId="07F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4602544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19" w:type="dxa"/>
            <w:noWrap w:val="0"/>
            <w:vAlign w:val="center"/>
          </w:tcPr>
          <w:p w14:paraId="206BE2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r>
      <w:tr w14:paraId="650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 w:type="dxa"/>
            <w:noWrap w:val="0"/>
            <w:vAlign w:val="center"/>
          </w:tcPr>
          <w:p w14:paraId="2FD13F5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19" w:type="dxa"/>
            <w:noWrap w:val="0"/>
            <w:vAlign w:val="center"/>
          </w:tcPr>
          <w:p w14:paraId="66BB3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r>
      <w:tr w14:paraId="098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5" w:type="dxa"/>
            <w:noWrap w:val="0"/>
            <w:vAlign w:val="center"/>
          </w:tcPr>
          <w:p w14:paraId="24267C1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9319" w:type="dxa"/>
            <w:noWrap w:val="0"/>
            <w:vAlign w:val="center"/>
          </w:tcPr>
          <w:p w14:paraId="1DB839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r>
      <w:tr w14:paraId="599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4026D76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319" w:type="dxa"/>
            <w:noWrap w:val="0"/>
            <w:vAlign w:val="center"/>
          </w:tcPr>
          <w:p w14:paraId="3ADB2EDB">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投标文件附有采购人或招标需求不能接受的条件</w:t>
            </w:r>
          </w:p>
        </w:tc>
      </w:tr>
      <w:tr w14:paraId="6FB9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135A73C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9319" w:type="dxa"/>
            <w:noWrap w:val="0"/>
            <w:vAlign w:val="center"/>
          </w:tcPr>
          <w:p w14:paraId="38C52F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法律法规规定的其他情形</w:t>
            </w:r>
          </w:p>
        </w:tc>
      </w:tr>
    </w:tbl>
    <w:p w14:paraId="0A4E0289">
      <w:pPr>
        <w:tabs>
          <w:tab w:val="left" w:pos="420"/>
          <w:tab w:val="left" w:pos="630"/>
        </w:tabs>
        <w:autoSpaceDE w:val="0"/>
        <w:autoSpaceDN w:val="0"/>
        <w:adjustRightInd w:val="0"/>
        <w:spacing w:line="360" w:lineRule="auto"/>
        <w:rPr>
          <w:rFonts w:hint="eastAsia" w:hAnsi="宋体"/>
          <w:lang w:val="en-US" w:eastAsia="zh-CN"/>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14:paraId="4D79F9F6">
      <w:pPr>
        <w:pStyle w:val="28"/>
        <w:widowControl/>
        <w:numPr>
          <w:ilvl w:val="0"/>
          <w:numId w:val="19"/>
        </w:numPr>
        <w:spacing w:line="360" w:lineRule="auto"/>
        <w:ind w:left="425" w:leftChars="0" w:hanging="425" w:firstLineChars="0"/>
        <w:jc w:val="left"/>
        <w:outlineLvl w:val="9"/>
        <w:rPr>
          <w:rFonts w:hint="eastAsia" w:hAnsi="宋体"/>
          <w:b/>
        </w:rPr>
      </w:pPr>
      <w:r>
        <w:rPr>
          <w:rFonts w:hint="eastAsia" w:hAnsi="宋体"/>
          <w:b/>
        </w:rPr>
        <w:t>开标</w:t>
      </w:r>
    </w:p>
    <w:p w14:paraId="0369ECD0">
      <w:pPr>
        <w:pStyle w:val="28"/>
        <w:widowControl/>
        <w:numPr>
          <w:ilvl w:val="1"/>
          <w:numId w:val="19"/>
        </w:numPr>
        <w:spacing w:line="360" w:lineRule="auto"/>
        <w:ind w:firstLineChars="0"/>
        <w:jc w:val="left"/>
        <w:rPr>
          <w:rFonts w:hAnsi="宋体"/>
          <w:color w:val="auto"/>
        </w:rPr>
      </w:pPr>
      <w:r>
        <w:rPr>
          <w:rFonts w:hint="eastAsia" w:ascii="宋体" w:hAnsi="宋体" w:cs="宋体"/>
          <w:szCs w:val="21"/>
          <w:lang w:val="en-US" w:eastAsia="zh-CN"/>
        </w:rPr>
        <w:t>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3FE2B93C">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1D2020F4">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开标过程应当由采购人相关工作人员负责记录，由参加开标的各投标人代表和相关工作人员签字确认。</w:t>
      </w:r>
    </w:p>
    <w:p w14:paraId="7AC09916">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5224829E">
      <w:pPr>
        <w:pStyle w:val="28"/>
        <w:widowControl/>
        <w:numPr>
          <w:ilvl w:val="1"/>
          <w:numId w:val="19"/>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投标人未参加开标的，视同认可开标结果。</w:t>
      </w:r>
    </w:p>
    <w:p w14:paraId="06CA2A8F">
      <w:pPr>
        <w:pStyle w:val="28"/>
        <w:widowControl/>
        <w:numPr>
          <w:ilvl w:val="0"/>
          <w:numId w:val="19"/>
        </w:numPr>
        <w:spacing w:line="360" w:lineRule="auto"/>
        <w:ind w:left="425" w:leftChars="0" w:hanging="425" w:firstLineChars="0"/>
        <w:jc w:val="left"/>
        <w:outlineLvl w:val="9"/>
        <w:rPr>
          <w:rFonts w:hint="eastAsia" w:hAnsi="宋体"/>
          <w:b/>
        </w:rPr>
      </w:pPr>
      <w:r>
        <w:rPr>
          <w:rFonts w:hint="eastAsia" w:hAnsi="宋体"/>
          <w:b/>
        </w:rPr>
        <w:t>评标委员会的组成</w:t>
      </w:r>
    </w:p>
    <w:p w14:paraId="3509FA96">
      <w:pPr>
        <w:pStyle w:val="28"/>
        <w:widowControl/>
        <w:numPr>
          <w:ilvl w:val="1"/>
          <w:numId w:val="19"/>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评标委员会依法组建，由5人单数组成。</w:t>
      </w:r>
    </w:p>
    <w:p w14:paraId="78A04134">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D550C9C">
      <w:pPr>
        <w:pStyle w:val="25"/>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参加采购活动前3年内与供应商存在劳动关系；</w:t>
      </w:r>
    </w:p>
    <w:p w14:paraId="415C13EA">
      <w:pPr>
        <w:pStyle w:val="25"/>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参加采购活动前3年内担任供应商的董事、监事；</w:t>
      </w:r>
    </w:p>
    <w:p w14:paraId="7F82D60C">
      <w:pPr>
        <w:pStyle w:val="25"/>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参加采购活动前3年内是供应商的控股股东或者实际控制人；</w:t>
      </w:r>
    </w:p>
    <w:p w14:paraId="03BCF695">
      <w:pPr>
        <w:pStyle w:val="25"/>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与供应商的法定代表人或者负责人有夫妻、直系血亲、三代以内旁系血亲或者近姻亲关系；</w:t>
      </w:r>
    </w:p>
    <w:p w14:paraId="6558117E">
      <w:pPr>
        <w:pStyle w:val="25"/>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与供应商有其他可能影响采购活动公平、公正进行的关系。</w:t>
      </w:r>
    </w:p>
    <w:p w14:paraId="6E7F3194">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评标委员会和有关工作人员不得透露对投标文件的评审和比较以及与评标有关的其他情况。</w:t>
      </w:r>
    </w:p>
    <w:p w14:paraId="73C401BF">
      <w:pPr>
        <w:pStyle w:val="28"/>
        <w:widowControl/>
        <w:numPr>
          <w:ilvl w:val="1"/>
          <w:numId w:val="19"/>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评标委员会负责具体评标事务，并独立履行下列职责：</w:t>
      </w:r>
    </w:p>
    <w:p w14:paraId="0FFF6028">
      <w:pPr>
        <w:pStyle w:val="28"/>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审查、评价投标文件是否符合招标文件的商务、技术等实质性要求；</w:t>
      </w:r>
    </w:p>
    <w:p w14:paraId="032848C8">
      <w:pPr>
        <w:pStyle w:val="28"/>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要求投标人对投标文件有关事项作出澄清或者说明；</w:t>
      </w:r>
    </w:p>
    <w:p w14:paraId="397EAD7C">
      <w:pPr>
        <w:pStyle w:val="28"/>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对投标文件进行比较和评价；</w:t>
      </w:r>
    </w:p>
    <w:p w14:paraId="623C2705">
      <w:pPr>
        <w:pStyle w:val="28"/>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确定中标候选人名单；</w:t>
      </w:r>
    </w:p>
    <w:p w14:paraId="65F715F6">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4E7C51F4">
      <w:pPr>
        <w:pStyle w:val="28"/>
        <w:widowControl/>
        <w:numPr>
          <w:ilvl w:val="1"/>
          <w:numId w:val="19"/>
        </w:numPr>
        <w:spacing w:line="360" w:lineRule="auto"/>
        <w:ind w:firstLineChars="0"/>
        <w:jc w:val="left"/>
        <w:rPr>
          <w:rFonts w:ascii="宋体" w:hAnsi="宋体" w:cs="宋体"/>
          <w:szCs w:val="21"/>
          <w:lang w:eastAsia="zh-TW"/>
        </w:rPr>
      </w:pP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3189A38B">
      <w:pPr>
        <w:pStyle w:val="28"/>
        <w:widowControl/>
        <w:numPr>
          <w:ilvl w:val="1"/>
          <w:numId w:val="19"/>
        </w:numPr>
        <w:spacing w:line="360" w:lineRule="auto"/>
        <w:ind w:firstLineChars="0"/>
        <w:jc w:val="left"/>
        <w:rPr>
          <w:rFonts w:ascii="宋体" w:hAnsi="宋体" w:cs="宋体"/>
          <w:szCs w:val="21"/>
        </w:rPr>
      </w:pPr>
      <w:r>
        <w:t>评标委员会决定投标的响应性只根据投标文件中提供的材料内容，而不依据外部的材料证据</w:t>
      </w:r>
      <w:r>
        <w:rPr>
          <w:rFonts w:hint="eastAsia" w:ascii="宋体" w:hAnsi="宋体" w:cs="宋体"/>
          <w:szCs w:val="21"/>
        </w:rPr>
        <w:t>。</w:t>
      </w:r>
    </w:p>
    <w:p w14:paraId="03C8DD9D">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22CC7225">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0C501BB">
      <w:pPr>
        <w:pStyle w:val="28"/>
        <w:widowControl/>
        <w:numPr>
          <w:ilvl w:val="0"/>
          <w:numId w:val="19"/>
        </w:numPr>
        <w:spacing w:line="360" w:lineRule="auto"/>
        <w:ind w:left="425" w:leftChars="0" w:hanging="425" w:firstLineChars="0"/>
        <w:jc w:val="left"/>
        <w:outlineLvl w:val="9"/>
        <w:rPr>
          <w:rFonts w:hAnsi="宋体"/>
          <w:b/>
        </w:rPr>
      </w:pPr>
      <w:r>
        <w:rPr>
          <w:rFonts w:hint="eastAsia" w:hAnsi="宋体"/>
          <w:b/>
        </w:rPr>
        <w:t>评标（适用综合评分法）：</w:t>
      </w:r>
    </w:p>
    <w:p w14:paraId="7870AC05">
      <w:pPr>
        <w:pStyle w:val="28"/>
        <w:widowControl/>
        <w:numPr>
          <w:ilvl w:val="1"/>
          <w:numId w:val="19"/>
        </w:numPr>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评标方法：</w:t>
      </w:r>
      <w:r>
        <w:rPr>
          <w:rFonts w:hint="eastAsia" w:asciiTheme="minorEastAsia" w:hAnsiTheme="minorEastAsia" w:eastAsiaTheme="minorEastAsia" w:cstheme="minorEastAsia"/>
        </w:rPr>
        <w:t>综合评分法，是指投标文件满足招标文件全部实质性要求，且按照评审因素的量化指标评审得分最高的投标人为中标候选人的评标方法。</w:t>
      </w:r>
    </w:p>
    <w:p w14:paraId="155A0CC0">
      <w:pPr>
        <w:pStyle w:val="28"/>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评标总得分＝F1×A1＋F2×A2＋……＋Fn×An </w:t>
      </w:r>
    </w:p>
    <w:p w14:paraId="560A9136">
      <w:pPr>
        <w:pStyle w:val="28"/>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F1、F2……Fn分别为各项评审因素的得分； </w:t>
      </w:r>
    </w:p>
    <w:p w14:paraId="4275035B">
      <w:pPr>
        <w:pStyle w:val="28"/>
        <w:widowControl/>
        <w:spacing w:line="360" w:lineRule="auto"/>
        <w:ind w:left="567"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A1、A2、……An 分别为各项评审因素所占的权重(A1＋A2＋……＋An＝1)。</w:t>
      </w:r>
    </w:p>
    <w:p w14:paraId="028D05FE">
      <w:pPr>
        <w:pStyle w:val="28"/>
        <w:widowControl/>
        <w:numPr>
          <w:ilvl w:val="1"/>
          <w:numId w:val="19"/>
        </w:numPr>
        <w:spacing w:line="360" w:lineRule="auto"/>
        <w:ind w:left="567" w:leftChars="0" w:hanging="567" w:firstLineChars="0"/>
        <w:jc w:val="left"/>
        <w:outlineLvl w:val="9"/>
        <w:rPr>
          <w:rFonts w:ascii="宋体" w:hAnsi="宋体"/>
          <w:bCs/>
          <w:szCs w:val="21"/>
        </w:rPr>
      </w:pPr>
      <w:r>
        <w:rPr>
          <w:rFonts w:hint="eastAsia" w:ascii="宋体" w:hAnsi="宋体"/>
          <w:bCs/>
          <w:szCs w:val="21"/>
        </w:rPr>
        <w:t>评标步骤：</w:t>
      </w:r>
    </w:p>
    <w:p w14:paraId="5FC91109">
      <w:pPr>
        <w:pStyle w:val="28"/>
        <w:widowControl/>
        <w:numPr>
          <w:ilvl w:val="2"/>
          <w:numId w:val="19"/>
        </w:numPr>
        <w:spacing w:line="360" w:lineRule="auto"/>
        <w:ind w:firstLineChars="0"/>
        <w:jc w:val="left"/>
        <w:rPr>
          <w:rFonts w:ascii="宋体" w:cs="宋体"/>
          <w:szCs w:val="21"/>
        </w:rPr>
      </w:pPr>
      <w:r>
        <w:rPr>
          <w:rFonts w:hint="eastAsia" w:ascii="宋体" w:hAnsi="宋体"/>
          <w:bCs/>
          <w:szCs w:val="21"/>
        </w:rPr>
        <w:t>资格性审查：</w:t>
      </w:r>
      <w:r>
        <w:rPr>
          <w:rFonts w:hint="eastAsia" w:ascii="宋体" w:cs="宋体"/>
          <w:szCs w:val="21"/>
        </w:rPr>
        <w:t>开标结束后，采购人应当依法对投标人的资格进行审查，详见《资格性审查表》。对初步被认定为资格性审查不合格的，可实行告知投标当事人，以让其核证、澄清事实。未通过资格性审查的投标人，不进入符合性审查。</w:t>
      </w:r>
    </w:p>
    <w:p w14:paraId="529BB135">
      <w:pPr>
        <w:pStyle w:val="28"/>
        <w:widowControl/>
        <w:numPr>
          <w:ilvl w:val="2"/>
          <w:numId w:val="19"/>
        </w:numPr>
        <w:spacing w:line="360" w:lineRule="auto"/>
        <w:ind w:firstLineChars="0"/>
        <w:jc w:val="left"/>
        <w:rPr>
          <w:rFonts w:ascii="宋体" w:cs="宋体"/>
          <w:szCs w:val="21"/>
        </w:rPr>
      </w:pPr>
      <w:r>
        <w:rPr>
          <w:rFonts w:hint="eastAsia" w:ascii="宋体" w:cs="宋体"/>
          <w:szCs w:val="21"/>
        </w:rPr>
        <w:t>符合性审查：评标委员会应当对符合资格的投标人的投标文件进行符合性审查，详见《符合性审查表》，以确定其是否满足招标文件的实质性要求。</w:t>
      </w:r>
      <w:r>
        <w:rPr>
          <w:rFonts w:hint="eastAsia" w:ascii="宋体" w:hAnsi="宋体" w:cs="宋体"/>
          <w:szCs w:val="21"/>
        </w:rPr>
        <w:t>评标委员会对初步被认定为符合性审查不合格或无效投标者可实行告知</w:t>
      </w:r>
      <w:r>
        <w:rPr>
          <w:rFonts w:hint="eastAsia" w:ascii="宋体" w:cs="宋体"/>
          <w:szCs w:val="21"/>
        </w:rPr>
        <w:t>投标当事人</w:t>
      </w:r>
      <w:r>
        <w:rPr>
          <w:rFonts w:hint="eastAsia" w:ascii="宋体" w:hAnsi="宋体" w:cs="宋体"/>
          <w:szCs w:val="21"/>
        </w:rPr>
        <w:t>，由评标委员会主任或采购人代表将集体意见现场及时告知投标当事人，以让其核证、澄清事实。</w:t>
      </w:r>
      <w:r>
        <w:rPr>
          <w:rFonts w:hint="eastAsia" w:ascii="宋体" w:cs="宋体"/>
          <w:szCs w:val="21"/>
        </w:rPr>
        <w:t>未通过符合性审查的投标人，不进入技术、商务和价格评审。</w:t>
      </w:r>
    </w:p>
    <w:p w14:paraId="0D1CCEE9">
      <w:pPr>
        <w:pStyle w:val="28"/>
        <w:widowControl/>
        <w:numPr>
          <w:ilvl w:val="2"/>
          <w:numId w:val="19"/>
        </w:numPr>
        <w:spacing w:line="360" w:lineRule="auto"/>
        <w:ind w:left="709" w:leftChars="0" w:hanging="709" w:firstLineChars="0"/>
        <w:jc w:val="left"/>
        <w:outlineLvl w:val="9"/>
        <w:rPr>
          <w:rFonts w:ascii="宋体" w:cs="宋体"/>
          <w:szCs w:val="21"/>
        </w:rPr>
      </w:pPr>
      <w:r>
        <w:rPr>
          <w:rFonts w:hint="eastAsia" w:ascii="宋体" w:cs="宋体"/>
          <w:szCs w:val="21"/>
        </w:rPr>
        <w:t>详细评审及推荐中标候选人：</w:t>
      </w:r>
    </w:p>
    <w:p w14:paraId="30D9F3BE">
      <w:pPr>
        <w:pStyle w:val="28"/>
        <w:widowControl/>
        <w:numPr>
          <w:ilvl w:val="3"/>
          <w:numId w:val="19"/>
        </w:numPr>
        <w:spacing w:line="360" w:lineRule="auto"/>
        <w:ind w:firstLineChars="0"/>
        <w:jc w:val="left"/>
        <w:rPr>
          <w:rFonts w:ascii="宋体" w:cs="宋体"/>
          <w:szCs w:val="21"/>
        </w:rPr>
      </w:pPr>
      <w:r>
        <w:rPr>
          <w:rFonts w:hint="eastAsia" w:ascii="宋体" w:cs="宋体"/>
          <w:szCs w:val="21"/>
        </w:rPr>
        <w:t>评标委员会对符合性审查合格的投标文件进行商务和技术评估，综合比较与评价，具体技术、商务、价格部分的评审因素详见《综合评分表》。</w:t>
      </w:r>
    </w:p>
    <w:p w14:paraId="47706F0B">
      <w:pPr>
        <w:pStyle w:val="28"/>
        <w:widowControl/>
        <w:numPr>
          <w:ilvl w:val="3"/>
          <w:numId w:val="19"/>
        </w:numPr>
        <w:spacing w:line="360" w:lineRule="auto"/>
        <w:ind w:firstLineChars="0"/>
        <w:jc w:val="left"/>
        <w:rPr>
          <w:rFonts w:ascii="宋体" w:cs="宋体"/>
          <w:szCs w:val="21"/>
        </w:rPr>
      </w:pPr>
      <w:r>
        <w:rPr>
          <w:rFonts w:hint="eastAsia" w:ascii="宋体" w:hAnsi="宋体"/>
          <w:bCs/>
        </w:rPr>
        <w:t>评标过程中，不得去掉报价中的最高报价和最低报价。</w:t>
      </w:r>
    </w:p>
    <w:p w14:paraId="117599AE">
      <w:pPr>
        <w:pStyle w:val="28"/>
        <w:widowControl/>
        <w:numPr>
          <w:ilvl w:val="3"/>
          <w:numId w:val="19"/>
        </w:numPr>
        <w:spacing w:line="360" w:lineRule="auto"/>
        <w:ind w:firstLineChars="0"/>
        <w:jc w:val="left"/>
        <w:rPr>
          <w:rFonts w:ascii="宋体" w:hAnsi="宋体"/>
          <w:szCs w:val="21"/>
        </w:rPr>
      </w:pPr>
      <w:bookmarkStart w:id="17" w:name="EB067d940baba349e582b898bfd18c9719"/>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r>
        <w:rPr>
          <w:rFonts w:ascii="宋体" w:hAnsi="宋体" w:cs="宋体"/>
          <w:szCs w:val="21"/>
        </w:rPr>
        <w:t>+价格</w:t>
      </w:r>
      <w:bookmarkEnd w:id="17"/>
      <w:r>
        <w:rPr>
          <w:rFonts w:hint="eastAsia" w:ascii="宋体" w:hAnsi="宋体" w:cs="宋体"/>
          <w:szCs w:val="21"/>
        </w:rPr>
        <w:t>得分。</w:t>
      </w:r>
    </w:p>
    <w:p w14:paraId="27E7C87F">
      <w:pPr>
        <w:pStyle w:val="28"/>
        <w:widowControl/>
        <w:numPr>
          <w:ilvl w:val="3"/>
          <w:numId w:val="19"/>
        </w:numPr>
        <w:spacing w:line="360" w:lineRule="auto"/>
        <w:ind w:firstLineChars="0"/>
        <w:jc w:val="left"/>
        <w:rPr>
          <w:rFonts w:ascii="宋体" w:hAnsi="宋体" w:cs="宋体"/>
          <w:szCs w:val="21"/>
        </w:rPr>
      </w:pPr>
      <w:r>
        <w:rPr>
          <w:rFonts w:hint="eastAsia" w:ascii="宋体" w:hAnsi="宋体" w:cs="宋体"/>
          <w:szCs w:val="21"/>
        </w:rPr>
        <w:t>使用综合评分法的采购项目，单一产品采购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7DA2FCBC">
      <w:pPr>
        <w:pStyle w:val="28"/>
        <w:widowControl/>
        <w:numPr>
          <w:ilvl w:val="3"/>
          <w:numId w:val="19"/>
        </w:numPr>
        <w:spacing w:line="360" w:lineRule="auto"/>
        <w:ind w:firstLineChars="0"/>
        <w:jc w:val="left"/>
        <w:rPr>
          <w:rFonts w:ascii="宋体" w:hAnsi="宋体"/>
          <w:color w:val="auto"/>
          <w:szCs w:val="21"/>
        </w:rPr>
      </w:pPr>
      <w:r>
        <w:rPr>
          <w:rFonts w:hint="eastAsia" w:ascii="宋体" w:hAnsi="宋体"/>
          <w:color w:val="auto"/>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A76680">
      <w:pPr>
        <w:pStyle w:val="28"/>
        <w:widowControl/>
        <w:numPr>
          <w:ilvl w:val="3"/>
          <w:numId w:val="19"/>
        </w:numPr>
        <w:spacing w:line="360" w:lineRule="auto"/>
        <w:ind w:firstLineChars="0"/>
        <w:jc w:val="left"/>
        <w:rPr>
          <w:rFonts w:ascii="宋体" w:hAnsi="宋体"/>
          <w:color w:val="auto"/>
          <w:szCs w:val="21"/>
        </w:rPr>
      </w:pPr>
      <w:r>
        <w:rPr>
          <w:rFonts w:hint="eastAsia" w:ascii="宋体" w:hAnsi="宋体"/>
          <w:color w:val="auto"/>
          <w:szCs w:val="21"/>
        </w:rPr>
        <w:t>推荐综合得分排名第一的投标人为第一中标候选人，排名第二的投标人为第二中标候选人，排名第三的投标人为第三中标候选人。</w:t>
      </w:r>
    </w:p>
    <w:p w14:paraId="230B4121">
      <w:pPr>
        <w:pStyle w:val="28"/>
        <w:widowControl/>
        <w:numPr>
          <w:ilvl w:val="3"/>
          <w:numId w:val="19"/>
        </w:numPr>
        <w:spacing w:line="360" w:lineRule="auto"/>
        <w:ind w:firstLineChars="0"/>
        <w:jc w:val="left"/>
        <w:rPr>
          <w:rFonts w:ascii="宋体" w:hAnsi="宋体"/>
          <w:szCs w:val="21"/>
        </w:rPr>
      </w:pPr>
      <w:r>
        <w:rPr>
          <w:rFonts w:hint="eastAsia" w:ascii="宋体" w:hAnsi="宋体"/>
          <w:szCs w:val="21"/>
        </w:rPr>
        <w:t>第一中标候选人并列的，由采购人采取随机抽取的方式确定中标人。</w:t>
      </w:r>
    </w:p>
    <w:p w14:paraId="7D3E3CAA">
      <w:pPr>
        <w:pStyle w:val="25"/>
        <w:widowControl/>
        <w:numPr>
          <w:ilvl w:val="0"/>
          <w:numId w:val="19"/>
        </w:numPr>
        <w:spacing w:line="360" w:lineRule="auto"/>
        <w:ind w:left="425" w:leftChars="0" w:hanging="425" w:firstLineChars="0"/>
        <w:jc w:val="left"/>
        <w:outlineLvl w:val="9"/>
        <w:rPr>
          <w:rFonts w:ascii="宋体" w:hAnsi="宋体"/>
          <w:b/>
          <w:szCs w:val="21"/>
        </w:rPr>
      </w:pPr>
      <w:r>
        <w:rPr>
          <w:rFonts w:hint="eastAsia" w:ascii="宋体" w:hAnsi="宋体"/>
          <w:b/>
          <w:szCs w:val="21"/>
        </w:rPr>
        <w:t>定标</w:t>
      </w:r>
    </w:p>
    <w:p w14:paraId="4BEC88FB">
      <w:pPr>
        <w:pStyle w:val="25"/>
        <w:widowControl/>
        <w:numPr>
          <w:ilvl w:val="1"/>
          <w:numId w:val="19"/>
        </w:numPr>
        <w:spacing w:line="360" w:lineRule="auto"/>
        <w:ind w:left="426" w:hanging="426" w:firstLineChars="0"/>
        <w:jc w:val="left"/>
        <w:rPr>
          <w:rFonts w:ascii="宋体" w:hAnsi="宋体"/>
          <w:szCs w:val="21"/>
        </w:rPr>
      </w:pP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71BEEE2A">
      <w:pPr>
        <w:pStyle w:val="25"/>
        <w:widowControl/>
        <w:numPr>
          <w:ilvl w:val="1"/>
          <w:numId w:val="19"/>
        </w:numPr>
        <w:spacing w:line="360" w:lineRule="auto"/>
        <w:ind w:left="426" w:hanging="426" w:firstLineChars="0"/>
        <w:jc w:val="left"/>
        <w:rPr>
          <w:rFonts w:ascii="宋体" w:hAnsi="宋体"/>
          <w:szCs w:val="21"/>
        </w:rPr>
      </w:pPr>
      <w:r>
        <w:rPr>
          <w:rFonts w:hint="eastAsia" w:ascii="宋体" w:hAnsi="宋体"/>
          <w:szCs w:val="21"/>
        </w:rPr>
        <w:t>中标人拒绝与采购人签订合同的，可以重新开展政府采购活动。</w:t>
      </w:r>
    </w:p>
    <w:p w14:paraId="3949C5CA">
      <w:pPr>
        <w:pStyle w:val="28"/>
        <w:widowControl/>
        <w:numPr>
          <w:ilvl w:val="0"/>
          <w:numId w:val="19"/>
        </w:numPr>
        <w:spacing w:line="360" w:lineRule="auto"/>
        <w:ind w:left="425" w:leftChars="0" w:hanging="425" w:firstLineChars="0"/>
        <w:jc w:val="left"/>
        <w:outlineLvl w:val="9"/>
        <w:rPr>
          <w:rFonts w:ascii="宋体" w:hAnsi="宋体"/>
          <w:b/>
          <w:szCs w:val="21"/>
        </w:rPr>
      </w:pPr>
      <w:r>
        <w:rPr>
          <w:rFonts w:ascii="宋体" w:hAnsi="宋体"/>
          <w:b/>
          <w:szCs w:val="21"/>
        </w:rPr>
        <w:t>特别说明</w:t>
      </w:r>
    </w:p>
    <w:p w14:paraId="70EEA8B4">
      <w:pPr>
        <w:pStyle w:val="28"/>
        <w:widowControl/>
        <w:numPr>
          <w:ilvl w:val="1"/>
          <w:numId w:val="19"/>
        </w:numPr>
        <w:spacing w:line="360" w:lineRule="auto"/>
        <w:ind w:left="567" w:leftChars="0" w:hanging="567" w:firstLineChars="0"/>
        <w:jc w:val="left"/>
        <w:outlineLvl w:val="9"/>
        <w:rPr>
          <w:rFonts w:ascii="宋体" w:hAnsi="宋体"/>
          <w:szCs w:val="21"/>
        </w:rPr>
      </w:pPr>
      <w:r>
        <w:rPr>
          <w:rFonts w:hint="eastAsia" w:ascii="宋体" w:hAnsi="宋体"/>
          <w:szCs w:val="21"/>
        </w:rPr>
        <w:t>有下列情形之一的，视为投标人串通投标，其投标无效：</w:t>
      </w:r>
    </w:p>
    <w:p w14:paraId="776BF247">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不同投标人的投标文件由同一单位或者个人编制；</w:t>
      </w:r>
    </w:p>
    <w:p w14:paraId="45D516EA">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不同投标人委托同一单位或者个人办理投标事宜；</w:t>
      </w:r>
    </w:p>
    <w:p w14:paraId="09F72BB8">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不同投标人的投标文件载明的项目管理成员或者联系人员为同一人；</w:t>
      </w:r>
    </w:p>
    <w:p w14:paraId="16ACA07F">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不同投标人的投标文件异常一致或者投标报价呈规律性差异；</w:t>
      </w:r>
    </w:p>
    <w:p w14:paraId="421D9A7B">
      <w:pPr>
        <w:pStyle w:val="28"/>
        <w:widowControl/>
        <w:numPr>
          <w:ilvl w:val="2"/>
          <w:numId w:val="19"/>
        </w:numPr>
        <w:spacing w:line="360" w:lineRule="auto"/>
        <w:ind w:left="709" w:leftChars="0" w:hanging="709" w:firstLineChars="0"/>
        <w:jc w:val="left"/>
        <w:outlineLvl w:val="9"/>
        <w:rPr>
          <w:rFonts w:ascii="宋体" w:hAnsi="宋体"/>
          <w:szCs w:val="21"/>
        </w:rPr>
      </w:pPr>
      <w:r>
        <w:rPr>
          <w:rFonts w:hint="eastAsia" w:ascii="宋体" w:hAnsi="宋体"/>
          <w:szCs w:val="21"/>
        </w:rPr>
        <w:t>不同投标人的投标文件相互混装；</w:t>
      </w:r>
    </w:p>
    <w:p w14:paraId="2FAB76F9">
      <w:pPr>
        <w:pStyle w:val="28"/>
        <w:widowControl/>
        <w:numPr>
          <w:ilvl w:val="1"/>
          <w:numId w:val="19"/>
        </w:numPr>
        <w:spacing w:line="360" w:lineRule="auto"/>
        <w:ind w:left="567" w:leftChars="0" w:hanging="567" w:firstLineChars="0"/>
        <w:jc w:val="left"/>
        <w:outlineLvl w:val="9"/>
        <w:rPr>
          <w:rFonts w:ascii="宋体" w:hAnsi="宋体"/>
          <w:szCs w:val="21"/>
        </w:rPr>
      </w:pPr>
      <w:r>
        <w:rPr>
          <w:rFonts w:hint="eastAsia" w:ascii="宋体" w:hAnsi="宋体"/>
          <w:szCs w:val="21"/>
        </w:rPr>
        <w:t>投标人存在下列情况之一的，投标无效：</w:t>
      </w:r>
    </w:p>
    <w:p w14:paraId="2B978D18">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投标文件未按招标文件要求签署、盖章的；</w:t>
      </w:r>
    </w:p>
    <w:p w14:paraId="4BAD3AB5">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不具备招标文件中规定的资格要求的；</w:t>
      </w:r>
    </w:p>
    <w:p w14:paraId="72EC76C4">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报价超过招标文件中规定的预算金额或者最高限价的；</w:t>
      </w:r>
    </w:p>
    <w:p w14:paraId="62626DC9">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投标文件含有采购人不能接受的附加条件的;</w:t>
      </w:r>
    </w:p>
    <w:p w14:paraId="06D7FE97">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法律、法规和招标文件规定的其他无效情形。</w:t>
      </w:r>
    </w:p>
    <w:p w14:paraId="32DBCFA2">
      <w:pPr>
        <w:pStyle w:val="28"/>
        <w:widowControl/>
        <w:numPr>
          <w:ilvl w:val="0"/>
          <w:numId w:val="0"/>
        </w:numPr>
        <w:spacing w:line="360" w:lineRule="auto"/>
        <w:ind w:leftChars="0"/>
        <w:jc w:val="left"/>
        <w:rPr>
          <w:rFonts w:hint="eastAsia" w:ascii="宋体" w:hAnsi="宋体"/>
          <w:szCs w:val="21"/>
        </w:rPr>
      </w:pPr>
      <w:r>
        <w:rPr>
          <w:rFonts w:hint="eastAsia" w:ascii="宋体" w:hAnsi="宋体"/>
          <w:szCs w:val="21"/>
          <w:lang w:val="en-US" w:eastAsia="zh-CN"/>
        </w:rPr>
        <w:t xml:space="preserve">5.3. </w:t>
      </w:r>
      <w:r>
        <w:rPr>
          <w:rFonts w:hint="eastAsia" w:ascii="宋体" w:hAnsi="宋体"/>
          <w:szCs w:val="21"/>
        </w:rPr>
        <w:t>废标</w:t>
      </w:r>
    </w:p>
    <w:p w14:paraId="10C28F40">
      <w:pPr>
        <w:pStyle w:val="28"/>
        <w:widowControl/>
        <w:numPr>
          <w:ilvl w:val="0"/>
          <w:numId w:val="0"/>
        </w:numPr>
        <w:spacing w:line="360" w:lineRule="auto"/>
        <w:ind w:leftChars="0"/>
        <w:jc w:val="left"/>
        <w:outlineLvl w:val="9"/>
        <w:rPr>
          <w:rFonts w:ascii="宋体" w:hAnsi="宋体"/>
          <w:szCs w:val="21"/>
        </w:rPr>
      </w:pPr>
      <w:r>
        <w:rPr>
          <w:rFonts w:hint="eastAsia" w:ascii="宋体" w:hAnsi="宋体"/>
          <w:szCs w:val="21"/>
          <w:lang w:val="en-US" w:eastAsia="zh-CN"/>
        </w:rPr>
        <w:t xml:space="preserve">5.3.1. </w:t>
      </w:r>
      <w:r>
        <w:rPr>
          <w:rFonts w:ascii="宋体" w:hAnsi="宋体"/>
          <w:szCs w:val="21"/>
        </w:rPr>
        <w:t>在招标采购中，出现下列情形之一的，应予废标</w:t>
      </w:r>
      <w:r>
        <w:rPr>
          <w:rFonts w:hint="eastAsia" w:ascii="宋体" w:hAnsi="宋体"/>
          <w:szCs w:val="21"/>
        </w:rPr>
        <w:t>。</w:t>
      </w:r>
    </w:p>
    <w:p w14:paraId="7667ED95">
      <w:pPr>
        <w:pStyle w:val="28"/>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5.3.2. </w:t>
      </w: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7C0BA65F">
      <w:pPr>
        <w:pStyle w:val="28"/>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5.3.3. </w:t>
      </w:r>
      <w:r>
        <w:rPr>
          <w:rFonts w:ascii="宋体" w:hAnsi="宋体"/>
          <w:szCs w:val="21"/>
        </w:rPr>
        <w:t>出现影响采购公正的违法、违规行为的；</w:t>
      </w:r>
    </w:p>
    <w:p w14:paraId="55C2363F">
      <w:pPr>
        <w:pStyle w:val="28"/>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5.3.4. </w:t>
      </w:r>
      <w:r>
        <w:rPr>
          <w:rFonts w:ascii="宋体" w:hAnsi="宋体"/>
          <w:szCs w:val="21"/>
        </w:rPr>
        <w:t>投标人的报价均超过了采购预算，采购人不能支付的；</w:t>
      </w:r>
    </w:p>
    <w:p w14:paraId="4B57E99D">
      <w:pPr>
        <w:pStyle w:val="28"/>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5.3.5. </w:t>
      </w:r>
      <w:r>
        <w:rPr>
          <w:rFonts w:ascii="宋体" w:hAnsi="宋体"/>
          <w:szCs w:val="21"/>
        </w:rPr>
        <w:t>因重大变故，采购任务取消的</w:t>
      </w:r>
      <w:r>
        <w:rPr>
          <w:rFonts w:hint="eastAsia" w:ascii="宋体" w:hAnsi="宋体"/>
          <w:szCs w:val="21"/>
        </w:rPr>
        <w:t>。</w:t>
      </w:r>
    </w:p>
    <w:p w14:paraId="462F3870">
      <w:pPr>
        <w:pStyle w:val="28"/>
        <w:widowControl/>
        <w:numPr>
          <w:ilvl w:val="0"/>
          <w:numId w:val="19"/>
        </w:numPr>
        <w:spacing w:line="360" w:lineRule="auto"/>
        <w:ind w:left="425" w:leftChars="0" w:hanging="425" w:firstLineChars="0"/>
        <w:jc w:val="left"/>
        <w:outlineLvl w:val="9"/>
        <w:rPr>
          <w:rFonts w:hint="default" w:ascii="宋体" w:hAnsi="宋体" w:eastAsiaTheme="minorEastAsia"/>
          <w:b/>
          <w:bCs/>
          <w:szCs w:val="21"/>
          <w:lang w:val="en-US" w:eastAsia="zh-CN"/>
        </w:rPr>
      </w:pPr>
      <w:r>
        <w:rPr>
          <w:rFonts w:hint="eastAsia" w:ascii="宋体" w:hAnsi="宋体"/>
          <w:b/>
          <w:bCs/>
          <w:szCs w:val="21"/>
          <w:lang w:val="en-US" w:eastAsia="zh-CN"/>
        </w:rPr>
        <w:t>其他事宜说明</w:t>
      </w:r>
    </w:p>
    <w:p w14:paraId="4B96D31C">
      <w:pPr>
        <w:pStyle w:val="28"/>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6.1.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61FF9DAA">
      <w:pPr>
        <w:pStyle w:val="28"/>
        <w:widowControl/>
        <w:numPr>
          <w:ilvl w:val="0"/>
          <w:numId w:val="0"/>
        </w:numPr>
        <w:spacing w:line="360" w:lineRule="auto"/>
        <w:ind w:leftChars="0"/>
        <w:jc w:val="left"/>
        <w:rPr>
          <w:rFonts w:hint="eastAsia" w:asciiTheme="minorEastAsia" w:hAnsiTheme="minorEastAsia"/>
          <w:szCs w:val="21"/>
          <w:lang w:val="en-US" w:eastAsia="zh-CN"/>
        </w:rPr>
      </w:pPr>
      <w:r>
        <w:rPr>
          <w:rFonts w:hint="eastAsia" w:ascii="宋体" w:hAnsi="宋体"/>
          <w:szCs w:val="21"/>
          <w:lang w:val="en-US" w:eastAsia="zh-CN"/>
        </w:rPr>
        <w:t>6.2. 本项目</w:t>
      </w:r>
      <w:r>
        <w:rPr>
          <w:rFonts w:hint="eastAsia" w:asciiTheme="minorEastAsia" w:hAnsiTheme="minorEastAsia" w:eastAsiaTheme="minorEastAsia"/>
          <w:szCs w:val="21"/>
        </w:rPr>
        <w:t>中标供应商数量</w:t>
      </w:r>
      <w:r>
        <w:rPr>
          <w:rFonts w:hint="eastAsia" w:asciiTheme="minorEastAsia" w:hAnsiTheme="minorEastAsia"/>
          <w:szCs w:val="21"/>
          <w:lang w:val="en-US" w:eastAsia="zh-CN"/>
        </w:rPr>
        <w:t>为一家。</w:t>
      </w:r>
    </w:p>
    <w:p w14:paraId="091AE675">
      <w:pPr>
        <w:pStyle w:val="28"/>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asciiTheme="minorEastAsia" w:hAnsiTheme="minorEastAsia"/>
          <w:szCs w:val="21"/>
          <w:lang w:val="en-US" w:eastAsia="zh-CN"/>
        </w:rPr>
        <w:t xml:space="preserve">6.3. </w:t>
      </w:r>
      <w:r>
        <w:rPr>
          <w:rFonts w:hint="eastAsia" w:cs="Arial" w:asciiTheme="minorEastAsia" w:hAnsiTheme="minorEastAsia" w:eastAsiaTheme="minorEastAsia"/>
          <w:bCs/>
          <w:kern w:val="0"/>
          <w:szCs w:val="21"/>
        </w:rPr>
        <w:t>本项目不安排现场踏勘。</w:t>
      </w:r>
    </w:p>
    <w:p w14:paraId="4C27887E">
      <w:pPr>
        <w:pStyle w:val="28"/>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Arial" w:asciiTheme="minorEastAsia" w:hAnsiTheme="minorEastAsia"/>
          <w:bCs/>
          <w:kern w:val="0"/>
          <w:szCs w:val="21"/>
          <w:lang w:val="en-US" w:eastAsia="zh-CN"/>
        </w:rPr>
        <w:t xml:space="preserve">6.4. </w:t>
      </w:r>
      <w:r>
        <w:rPr>
          <w:rFonts w:hint="eastAsia" w:cs="Arial" w:asciiTheme="minorEastAsia" w:hAnsiTheme="minorEastAsia" w:eastAsiaTheme="minorEastAsia"/>
          <w:bCs/>
          <w:kern w:val="0"/>
          <w:szCs w:val="21"/>
        </w:rPr>
        <w:t>本项目不安排现场演示。</w:t>
      </w:r>
    </w:p>
    <w:p w14:paraId="013A9618">
      <w:pPr>
        <w:pStyle w:val="28"/>
        <w:widowControl/>
        <w:numPr>
          <w:ilvl w:val="0"/>
          <w:numId w:val="0"/>
        </w:numPr>
        <w:spacing w:line="360" w:lineRule="auto"/>
        <w:ind w:leftChars="0"/>
        <w:jc w:val="left"/>
        <w:rPr>
          <w:rFonts w:hint="eastAsia" w:cs="宋体" w:asciiTheme="minorEastAsia" w:hAnsiTheme="minorEastAsia"/>
          <w:spacing w:val="1"/>
          <w:kern w:val="0"/>
          <w:szCs w:val="21"/>
          <w:lang w:val="en-US" w:eastAsia="zh-CN"/>
        </w:rPr>
      </w:pPr>
      <w:r>
        <w:rPr>
          <w:rFonts w:hint="eastAsia" w:cs="Arial" w:asciiTheme="minorEastAsia" w:hAnsiTheme="minorEastAsia"/>
          <w:bCs/>
          <w:kern w:val="0"/>
          <w:szCs w:val="21"/>
          <w:lang w:val="en-US" w:eastAsia="zh-CN"/>
        </w:rPr>
        <w:t>6.5. 本项目</w:t>
      </w:r>
      <w:r>
        <w:rPr>
          <w:rFonts w:hint="eastAsia" w:cs="宋体" w:asciiTheme="minorEastAsia" w:hAnsiTheme="minorEastAsia" w:eastAsiaTheme="minorEastAsia"/>
          <w:spacing w:val="1"/>
          <w:kern w:val="0"/>
          <w:szCs w:val="21"/>
        </w:rPr>
        <w:t>资金来源</w:t>
      </w:r>
      <w:r>
        <w:rPr>
          <w:rFonts w:hint="eastAsia" w:cs="宋体" w:asciiTheme="minorEastAsia" w:hAnsiTheme="minorEastAsia"/>
          <w:spacing w:val="1"/>
          <w:kern w:val="0"/>
          <w:szCs w:val="21"/>
          <w:lang w:val="en-US" w:eastAsia="zh-CN"/>
        </w:rPr>
        <w:t>为自筹资金。</w:t>
      </w:r>
    </w:p>
    <w:p w14:paraId="0C471FF4">
      <w:pPr>
        <w:pStyle w:val="28"/>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宋体" w:asciiTheme="minorEastAsia" w:hAnsiTheme="minorEastAsia"/>
          <w:spacing w:val="1"/>
          <w:kern w:val="0"/>
          <w:szCs w:val="21"/>
          <w:lang w:val="en-US" w:eastAsia="zh-CN"/>
        </w:rPr>
        <w:t>6.6. 本</w:t>
      </w:r>
      <w:r>
        <w:rPr>
          <w:rFonts w:hint="eastAsia" w:cs="Arial" w:asciiTheme="minorEastAsia" w:hAnsiTheme="minorEastAsia" w:eastAsiaTheme="minorEastAsia"/>
          <w:bCs/>
          <w:kern w:val="0"/>
          <w:szCs w:val="21"/>
          <w:lang w:val="en-US" w:eastAsia="zh-CN"/>
        </w:rPr>
        <w:t>项目</w:t>
      </w:r>
      <w:r>
        <w:rPr>
          <w:rFonts w:hint="eastAsia" w:cs="Arial" w:asciiTheme="minorEastAsia" w:hAnsiTheme="minorEastAsia" w:eastAsiaTheme="minorEastAsia"/>
          <w:bCs/>
          <w:kern w:val="0"/>
          <w:szCs w:val="21"/>
        </w:rPr>
        <w:t>投标有效期从提交投标文件的截止之日起</w:t>
      </w:r>
      <w:r>
        <w:rPr>
          <w:rFonts w:hint="eastAsia" w:cs="Arial" w:asciiTheme="minorEastAsia" w:hAnsiTheme="minorEastAsia" w:eastAsiaTheme="minorEastAsia"/>
          <w:bCs/>
          <w:kern w:val="0"/>
          <w:szCs w:val="21"/>
          <w:lang w:val="en-US" w:eastAsia="zh-CN"/>
        </w:rPr>
        <w:t>120</w:t>
      </w:r>
      <w:r>
        <w:rPr>
          <w:rFonts w:hint="eastAsia" w:cs="Arial" w:asciiTheme="minorEastAsia" w:hAnsiTheme="minorEastAsia" w:eastAsiaTheme="minorEastAsia"/>
          <w:bCs/>
          <w:kern w:val="0"/>
          <w:szCs w:val="21"/>
        </w:rPr>
        <w:t>日历日内有效。</w:t>
      </w:r>
    </w:p>
    <w:p w14:paraId="36370E08">
      <w:pPr>
        <w:pStyle w:val="28"/>
        <w:widowControl/>
        <w:numPr>
          <w:ilvl w:val="0"/>
          <w:numId w:val="0"/>
        </w:numPr>
        <w:spacing w:line="360" w:lineRule="auto"/>
        <w:ind w:leftChars="0"/>
        <w:jc w:val="left"/>
        <w:rPr>
          <w:rFonts w:hint="default" w:cs="Arial" w:asciiTheme="minorEastAsia" w:hAnsiTheme="minorEastAsia" w:eastAsiaTheme="minorEastAsia"/>
          <w:bCs/>
          <w:kern w:val="0"/>
          <w:szCs w:val="21"/>
          <w:lang w:val="en-US" w:eastAsia="zh-CN"/>
        </w:rPr>
      </w:pPr>
      <w:r>
        <w:rPr>
          <w:rFonts w:hint="eastAsia" w:cs="Arial" w:asciiTheme="minorEastAsia" w:hAnsiTheme="minorEastAsia"/>
          <w:bCs/>
          <w:kern w:val="0"/>
          <w:szCs w:val="21"/>
          <w:lang w:val="en-US" w:eastAsia="zh-CN"/>
        </w:rPr>
        <w:t>6.7. 本项目不允许</w:t>
      </w:r>
      <w:r>
        <w:rPr>
          <w:rFonts w:cs="Arial" w:asciiTheme="minorEastAsia" w:hAnsiTheme="minorEastAsia" w:eastAsiaTheme="minorEastAsia"/>
          <w:bCs/>
          <w:kern w:val="0"/>
          <w:szCs w:val="21"/>
        </w:rPr>
        <w:t>提交备选方案</w:t>
      </w:r>
      <w:r>
        <w:rPr>
          <w:rFonts w:hint="eastAsia" w:cs="Arial" w:asciiTheme="minorEastAsia" w:hAnsiTheme="minorEastAsia"/>
          <w:bCs/>
          <w:kern w:val="0"/>
          <w:szCs w:val="21"/>
          <w:lang w:val="en-US" w:eastAsia="zh-CN"/>
        </w:rPr>
        <w:t>或替代方案。</w:t>
      </w:r>
    </w:p>
    <w:p w14:paraId="477403C6">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521C614C">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215AE82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5E77A0B3">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9EE6DE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5FE34FB5">
      <w:pPr>
        <w:widowControl/>
        <w:numPr>
          <w:ilvl w:val="0"/>
          <w:numId w:val="0"/>
        </w:numPr>
        <w:ind w:leftChars="0"/>
        <w:jc w:val="center"/>
        <w:outlineLvl w:val="9"/>
        <w:rPr>
          <w:rFonts w:hint="eastAsia" w:asciiTheme="majorEastAsia" w:hAnsiTheme="majorEastAsia" w:eastAsiaTheme="majorEastAsia"/>
          <w:sz w:val="32"/>
          <w:szCs w:val="32"/>
          <w:lang w:val="en-US" w:eastAsia="zh-CN"/>
        </w:rPr>
      </w:pPr>
    </w:p>
    <w:p w14:paraId="7143261E">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74C0BE5">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F28EEB4">
      <w:pPr>
        <w:widowControl/>
        <w:numPr>
          <w:ilvl w:val="0"/>
          <w:numId w:val="0"/>
        </w:numPr>
        <w:ind w:leftChars="0"/>
        <w:jc w:val="center"/>
        <w:outlineLvl w:val="0"/>
        <w:rPr>
          <w:rFonts w:hint="eastAsia" w:asciiTheme="majorEastAsia" w:hAnsiTheme="majorEastAsia" w:eastAsiaTheme="majorEastAsia"/>
          <w:sz w:val="32"/>
          <w:szCs w:val="32"/>
          <w:lang w:val="en-US" w:eastAsia="zh-CN"/>
        </w:rPr>
      </w:pPr>
      <w:bookmarkStart w:id="18" w:name="_Toc26388"/>
    </w:p>
    <w:p w14:paraId="5E756B5F">
      <w:pPr>
        <w:widowControl/>
        <w:numPr>
          <w:ilvl w:val="0"/>
          <w:numId w:val="0"/>
        </w:numPr>
        <w:ind w:leftChars="0"/>
        <w:jc w:val="center"/>
        <w:outlineLvl w:val="0"/>
        <w:rPr>
          <w:rFonts w:hint="eastAsia" w:asciiTheme="majorEastAsia" w:hAnsiTheme="majorEastAsia" w:eastAsiaTheme="majorEastAsia"/>
          <w:sz w:val="32"/>
          <w:szCs w:val="32"/>
          <w:lang w:val="en-US" w:eastAsia="zh-CN"/>
        </w:rPr>
      </w:pPr>
    </w:p>
    <w:p w14:paraId="3B04AAEC">
      <w:pPr>
        <w:widowControl/>
        <w:numPr>
          <w:ilvl w:val="0"/>
          <w:numId w:val="0"/>
        </w:numPr>
        <w:ind w:leftChars="0"/>
        <w:jc w:val="center"/>
        <w:outlineLvl w:val="0"/>
        <w:rPr>
          <w:rFonts w:hint="eastAsia" w:asciiTheme="majorEastAsia" w:hAnsiTheme="majorEastAsia" w:eastAsiaTheme="majorEastAsia"/>
          <w:sz w:val="32"/>
          <w:szCs w:val="32"/>
          <w:lang w:val="en-US" w:eastAsia="zh-CN"/>
        </w:rPr>
      </w:pPr>
    </w:p>
    <w:p w14:paraId="08AAE381">
      <w:pPr>
        <w:widowControl/>
        <w:numPr>
          <w:ilvl w:val="0"/>
          <w:numId w:val="0"/>
        </w:numPr>
        <w:ind w:leftChars="0"/>
        <w:jc w:val="center"/>
        <w:outlineLvl w:val="0"/>
        <w:rPr>
          <w:rFonts w:hint="eastAsia" w:asciiTheme="majorEastAsia" w:hAnsiTheme="majorEastAsia" w:eastAsiaTheme="majorEastAsia"/>
          <w:sz w:val="32"/>
          <w:szCs w:val="32"/>
          <w:lang w:val="en-US" w:eastAsia="zh-CN"/>
        </w:rPr>
      </w:pPr>
    </w:p>
    <w:p w14:paraId="5B50149B">
      <w:pPr>
        <w:widowControl/>
        <w:numPr>
          <w:ilvl w:val="0"/>
          <w:numId w:val="0"/>
        </w:numPr>
        <w:ind w:leftChars="0"/>
        <w:jc w:val="both"/>
        <w:outlineLvl w:val="0"/>
        <w:rPr>
          <w:rFonts w:hint="eastAsia" w:asciiTheme="majorEastAsia" w:hAnsiTheme="majorEastAsia" w:eastAsiaTheme="majorEastAsia"/>
          <w:sz w:val="32"/>
          <w:szCs w:val="32"/>
          <w:lang w:val="en-US" w:eastAsia="zh-CN"/>
        </w:rPr>
      </w:pPr>
    </w:p>
    <w:p w14:paraId="3C89600C">
      <w:pPr>
        <w:widowControl/>
        <w:numPr>
          <w:ilvl w:val="0"/>
          <w:numId w:val="0"/>
        </w:numPr>
        <w:ind w:leftChars="0"/>
        <w:jc w:val="center"/>
        <w:outlineLvl w:val="0"/>
        <w:rPr>
          <w:rFonts w:hint="eastAsia" w:asciiTheme="minorEastAsia" w:hAnsiTheme="minorEastAsia" w:cstheme="minorEastAsia"/>
          <w:b/>
          <w:bCs/>
          <w:sz w:val="28"/>
          <w:szCs w:val="28"/>
          <w:lang w:eastAsia="zh-CN"/>
        </w:rPr>
      </w:pPr>
      <w:r>
        <w:rPr>
          <w:rFonts w:hint="eastAsia" w:asciiTheme="majorEastAsia" w:hAnsiTheme="majorEastAsia" w:eastAsiaTheme="majorEastAsia"/>
          <w:sz w:val="32"/>
          <w:szCs w:val="32"/>
          <w:lang w:val="en-US" w:eastAsia="zh-CN"/>
        </w:rPr>
        <w:t xml:space="preserve">第四章 </w:t>
      </w: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bookmarkEnd w:id="18"/>
    </w:p>
    <w:tbl>
      <w:tblPr>
        <w:tblStyle w:val="1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7" w:hRule="atLeast"/>
          <w:jc w:val="center"/>
        </w:trPr>
        <w:tc>
          <w:tcPr>
            <w:tcW w:w="9018" w:type="dxa"/>
            <w:vAlign w:val="center"/>
          </w:tcPr>
          <w:p w14:paraId="0168BCD2">
            <w:pPr>
              <w:pStyle w:val="7"/>
              <w:spacing w:line="360" w:lineRule="auto"/>
              <w:ind w:firstLine="482" w:firstLineChars="150"/>
              <w:rPr>
                <w:rFonts w:ascii="仿宋_GB2312" w:eastAsia="仿宋_GB2312"/>
                <w:b/>
                <w:sz w:val="32"/>
              </w:rPr>
            </w:pPr>
          </w:p>
          <w:p w14:paraId="5DD66652">
            <w:pPr>
              <w:pStyle w:val="7"/>
              <w:spacing w:line="360" w:lineRule="auto"/>
              <w:ind w:firstLine="482" w:firstLineChars="150"/>
              <w:rPr>
                <w:rFonts w:ascii="仿宋_GB2312" w:eastAsia="仿宋_GB2312"/>
                <w:b/>
                <w:sz w:val="32"/>
              </w:rPr>
            </w:pPr>
          </w:p>
          <w:p w14:paraId="4F96A7D5">
            <w:pPr>
              <w:pStyle w:val="7"/>
              <w:spacing w:line="360" w:lineRule="auto"/>
              <w:ind w:firstLine="482" w:firstLineChars="150"/>
              <w:rPr>
                <w:rFonts w:ascii="仿宋_GB2312" w:eastAsia="仿宋_GB2312"/>
                <w:b/>
                <w:sz w:val="32"/>
              </w:rPr>
            </w:pPr>
          </w:p>
          <w:p w14:paraId="24E0C28B">
            <w:pPr>
              <w:pStyle w:val="7"/>
              <w:spacing w:line="360" w:lineRule="auto"/>
              <w:jc w:val="center"/>
              <w:rPr>
                <w:rFonts w:ascii="黑体" w:eastAsia="黑体"/>
                <w:b/>
                <w:sz w:val="72"/>
                <w:szCs w:val="72"/>
              </w:rPr>
            </w:pPr>
            <w:r>
              <w:rPr>
                <w:rFonts w:hint="eastAsia" w:ascii="黑体" w:eastAsia="黑体"/>
                <w:b/>
                <w:sz w:val="72"/>
                <w:szCs w:val="72"/>
              </w:rPr>
              <w:t>投 标 文 件</w:t>
            </w:r>
          </w:p>
          <w:p w14:paraId="056E2451">
            <w:pPr>
              <w:pStyle w:val="7"/>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7"/>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7"/>
              <w:spacing w:line="360" w:lineRule="auto"/>
              <w:rPr>
                <w:rFonts w:ascii="仿宋_GB2312" w:eastAsia="仿宋_GB2312"/>
                <w:b/>
                <w:sz w:val="32"/>
              </w:rPr>
            </w:pPr>
          </w:p>
          <w:p w14:paraId="408DEE70">
            <w:pPr>
              <w:pStyle w:val="7"/>
              <w:spacing w:line="360" w:lineRule="auto"/>
              <w:rPr>
                <w:rFonts w:ascii="仿宋_GB2312" w:eastAsia="仿宋_GB2312"/>
                <w:b/>
                <w:sz w:val="32"/>
              </w:rPr>
            </w:pPr>
          </w:p>
          <w:p w14:paraId="1F535991">
            <w:pPr>
              <w:pStyle w:val="7"/>
              <w:spacing w:line="360" w:lineRule="auto"/>
              <w:rPr>
                <w:rFonts w:ascii="仿宋_GB2312" w:eastAsia="仿宋_GB2312"/>
                <w:b/>
                <w:sz w:val="32"/>
              </w:rPr>
            </w:pPr>
          </w:p>
          <w:p w14:paraId="18F76FDC">
            <w:pPr>
              <w:pStyle w:val="7"/>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7"/>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7"/>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投标人名称：</w:t>
            </w:r>
          </w:p>
          <w:p w14:paraId="3E773E6D">
            <w:pPr>
              <w:pStyle w:val="7"/>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投标人地址：</w:t>
            </w:r>
          </w:p>
          <w:p w14:paraId="578B5057">
            <w:pPr>
              <w:tabs>
                <w:tab w:val="left" w:pos="851"/>
              </w:tabs>
              <w:autoSpaceDE w:val="0"/>
              <w:autoSpaceDN w:val="0"/>
              <w:adjustRightInd w:val="0"/>
              <w:snapToGrid w:val="0"/>
              <w:spacing w:line="420" w:lineRule="auto"/>
              <w:ind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tabs>
                <w:tab w:val="left" w:pos="851"/>
              </w:tabs>
              <w:autoSpaceDE w:val="0"/>
              <w:autoSpaceDN w:val="0"/>
              <w:adjustRightInd w:val="0"/>
              <w:snapToGrid w:val="0"/>
              <w:spacing w:line="420" w:lineRule="auto"/>
              <w:ind w:firstLine="829" w:firstLineChars="295"/>
              <w:rPr>
                <w:rFonts w:hint="eastAsia" w:ascii="仿宋_GB2312" w:eastAsia="仿宋_GB2312"/>
                <w:b/>
                <w:sz w:val="28"/>
                <w:szCs w:val="28"/>
              </w:rPr>
            </w:pPr>
          </w:p>
          <w:p w14:paraId="29748A16">
            <w:pPr>
              <w:tabs>
                <w:tab w:val="left" w:pos="851"/>
              </w:tabs>
              <w:autoSpaceDE w:val="0"/>
              <w:autoSpaceDN w:val="0"/>
              <w:adjustRightInd w:val="0"/>
              <w:snapToGrid w:val="0"/>
              <w:spacing w:line="420" w:lineRule="auto"/>
              <w:ind w:firstLine="829" w:firstLineChars="295"/>
              <w:rPr>
                <w:rFonts w:ascii="仿宋_GB2312" w:eastAsia="仿宋_GB2312"/>
                <w:b/>
                <w:sz w:val="32"/>
              </w:rPr>
            </w:pPr>
            <w:r>
              <w:rPr>
                <w:rFonts w:hint="eastAsia" w:ascii="仿宋_GB2312" w:eastAsia="仿宋_GB2312"/>
                <w:b/>
                <w:sz w:val="28"/>
                <w:szCs w:val="28"/>
              </w:rPr>
              <w:t>开标之前不得启封</w:t>
            </w:r>
          </w:p>
        </w:tc>
      </w:tr>
    </w:tbl>
    <w:p w14:paraId="60FA2FDE">
      <w:pPr>
        <w:jc w:val="both"/>
        <w:rPr>
          <w:rFonts w:hint="eastAsia" w:asciiTheme="minorEastAsia" w:hAnsiTheme="minorEastAsia" w:cstheme="minorEastAsia"/>
          <w:b/>
          <w:bCs/>
          <w:sz w:val="28"/>
          <w:szCs w:val="28"/>
          <w:lang w:eastAsia="zh-CN"/>
        </w:rPr>
      </w:pPr>
    </w:p>
    <w:p w14:paraId="5B3C692F">
      <w:pPr>
        <w:pStyle w:val="3"/>
        <w:numPr>
          <w:ilvl w:val="0"/>
          <w:numId w:val="20"/>
        </w:numPr>
        <w:spacing w:line="240" w:lineRule="auto"/>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19" w:name="_Toc25542"/>
      <w:bookmarkStart w:id="20" w:name="_Toc6779"/>
      <w:r>
        <w:rPr>
          <w:rFonts w:hint="eastAsia" w:cs="宋体" w:asciiTheme="majorEastAsia" w:hAnsiTheme="majorEastAsia" w:eastAsiaTheme="majorEastAsia"/>
          <w:kern w:val="2"/>
          <w:sz w:val="30"/>
          <w:szCs w:val="30"/>
          <w:lang w:val="en-US" w:eastAsia="zh-CN" w:bidi="ar-SA"/>
        </w:rPr>
        <w:t>资格性自查表</w:t>
      </w:r>
      <w:bookmarkEnd w:id="19"/>
      <w:bookmarkEnd w:id="20"/>
    </w:p>
    <w:tbl>
      <w:tblPr>
        <w:tblStyle w:val="17"/>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ind w:left="36" w:leftChars="17"/>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ind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20"/>
        </w:numPr>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21" w:name="_Toc21714"/>
      <w:bookmarkStart w:id="22" w:name="_Toc29213"/>
      <w:r>
        <w:rPr>
          <w:rFonts w:hint="eastAsia" w:cs="宋体" w:asciiTheme="majorEastAsia" w:hAnsiTheme="majorEastAsia" w:eastAsiaTheme="majorEastAsia"/>
          <w:kern w:val="2"/>
          <w:sz w:val="30"/>
          <w:szCs w:val="30"/>
          <w:lang w:val="en-US" w:eastAsia="zh-CN" w:bidi="ar-SA"/>
        </w:rPr>
        <w:t>符合性自查表</w:t>
      </w:r>
      <w:bookmarkEnd w:id="21"/>
      <w:bookmarkEnd w:id="22"/>
    </w:p>
    <w:tbl>
      <w:tblPr>
        <w:tblStyle w:val="17"/>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5DBC085">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c>
          <w:tcPr>
            <w:tcW w:w="1240" w:type="dxa"/>
            <w:vAlign w:val="center"/>
          </w:tcPr>
          <w:p w14:paraId="10AE87C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240" w:type="dxa"/>
            <w:vAlign w:val="center"/>
          </w:tcPr>
          <w:p w14:paraId="59DEF0EB">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4" w:type="default"/>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0" w:leftChars="0" w:firstLine="0" w:firstLineChars="0"/>
        <w:jc w:val="center"/>
        <w:outlineLvl w:val="0"/>
        <w:rPr>
          <w:rFonts w:hint="eastAsia" w:cs="宋体" w:asciiTheme="majorEastAsia" w:hAnsiTheme="majorEastAsia" w:eastAsiaTheme="majorEastAsia"/>
          <w:kern w:val="2"/>
          <w:sz w:val="30"/>
          <w:szCs w:val="30"/>
          <w:lang w:val="en-US" w:eastAsia="zh-CN" w:bidi="ar-SA"/>
        </w:rPr>
      </w:pPr>
      <w:bookmarkStart w:id="23" w:name="_Toc1526"/>
      <w:bookmarkStart w:id="24" w:name="_Toc20641"/>
      <w:r>
        <w:rPr>
          <w:rFonts w:hint="eastAsia" w:cs="宋体" w:asciiTheme="majorEastAsia" w:hAnsiTheme="majorEastAsia" w:eastAsiaTheme="majorEastAsia"/>
          <w:kern w:val="2"/>
          <w:sz w:val="30"/>
          <w:szCs w:val="30"/>
          <w:lang w:val="en-US" w:eastAsia="zh-CN" w:bidi="ar-SA"/>
        </w:rPr>
        <w:t>（三）警示情形自查确认表</w:t>
      </w:r>
      <w:bookmarkEnd w:id="23"/>
      <w:bookmarkEnd w:id="24"/>
    </w:p>
    <w:tbl>
      <w:tblPr>
        <w:tblStyle w:val="17"/>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spacing w:line="240" w:lineRule="auto"/>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spacing w:line="240" w:lineRule="auto"/>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spacing w:line="240" w:lineRule="auto"/>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spacing w:line="240" w:lineRule="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7"/>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spacing w:line="240" w:lineRule="auto"/>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spacing w:line="240" w:lineRule="auto"/>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spacing w:line="240" w:lineRule="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44C12BA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bookmarkStart w:id="25" w:name="_Toc15495"/>
      <w:bookmarkStart w:id="26" w:name="_Toc30883"/>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四</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营业</w:t>
      </w:r>
      <w:r>
        <w:rPr>
          <w:rFonts w:hint="eastAsia" w:cs="宋体" w:asciiTheme="majorEastAsia" w:hAnsiTheme="majorEastAsia" w:eastAsiaTheme="majorEastAsia"/>
          <w:sz w:val="30"/>
          <w:szCs w:val="30"/>
        </w:rPr>
        <w:t>执照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25"/>
      <w:bookmarkEnd w:id="26"/>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0"/>
        <w:rPr>
          <w:rFonts w:hint="eastAsia" w:cs="宋体" w:asciiTheme="majorEastAsia" w:hAnsiTheme="majorEastAsia" w:eastAsiaTheme="majorEastAsia"/>
          <w:kern w:val="2"/>
          <w:sz w:val="30"/>
          <w:szCs w:val="30"/>
          <w:lang w:val="en-US" w:eastAsia="zh-CN" w:bidi="ar-SA"/>
        </w:rPr>
      </w:pPr>
      <w:bookmarkStart w:id="27" w:name="_Toc31601"/>
      <w:bookmarkStart w:id="28" w:name="_Toc5508"/>
      <w:r>
        <w:rPr>
          <w:rFonts w:hint="eastAsia" w:cs="宋体" w:asciiTheme="majorEastAsia" w:hAnsiTheme="majorEastAsia" w:eastAsiaTheme="majorEastAsia"/>
          <w:kern w:val="2"/>
          <w:sz w:val="30"/>
          <w:szCs w:val="30"/>
          <w:lang w:val="en-US" w:eastAsia="zh-CN" w:bidi="ar-SA"/>
        </w:rPr>
        <w:t>（五）诚信及信用信息证明</w:t>
      </w:r>
      <w:bookmarkEnd w:id="27"/>
      <w:bookmarkEnd w:id="28"/>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http://www.gjsy.gov.cn/sydwfrxxcx/）、全国社会组织信用信息公示平台（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29" w:name="_Toc12322"/>
      <w:bookmarkStart w:id="30" w:name="_Toc2713"/>
      <w:bookmarkStart w:id="31" w:name="_Toc11281"/>
      <w:r>
        <w:rPr>
          <w:rFonts w:hint="eastAsia" w:cs="宋体" w:asciiTheme="majorEastAsia" w:hAnsiTheme="majorEastAsia" w:eastAsiaTheme="majorEastAsia"/>
          <w:kern w:val="2"/>
          <w:sz w:val="30"/>
          <w:szCs w:val="30"/>
          <w:lang w:val="en-US" w:eastAsia="zh-CN" w:bidi="ar-SA"/>
        </w:rPr>
        <w:t>（六）</w:t>
      </w:r>
      <w:r>
        <w:rPr>
          <w:rFonts w:hint="eastAsia" w:asciiTheme="majorEastAsia" w:hAnsiTheme="majorEastAsia" w:eastAsiaTheme="majorEastAsia"/>
          <w:sz w:val="30"/>
          <w:szCs w:val="30"/>
        </w:rPr>
        <w:t>供应商基本情况表</w:t>
      </w:r>
      <w:bookmarkEnd w:id="29"/>
      <w:bookmarkEnd w:id="30"/>
      <w:bookmarkEnd w:id="31"/>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0E9E01A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45A0A5D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bidi w:val="0"/>
              <w:spacing w:line="360" w:lineRule="auto"/>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1B42BE4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bidi w:val="0"/>
              <w:spacing w:line="360" w:lineRule="auto"/>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bidi w:val="0"/>
              <w:spacing w:line="360" w:lineRule="auto"/>
              <w:jc w:val="center"/>
              <w:rPr>
                <w:rFonts w:hint="eastAsia" w:ascii="宋体" w:hAnsi="宋体" w:eastAsia="宋体" w:cs="宋体"/>
                <w:sz w:val="21"/>
                <w:szCs w:val="21"/>
                <w:vertAlign w:val="baseline"/>
              </w:rPr>
            </w:pPr>
          </w:p>
        </w:tc>
        <w:tc>
          <w:tcPr>
            <w:tcW w:w="1583" w:type="dxa"/>
            <w:vAlign w:val="center"/>
          </w:tcPr>
          <w:p w14:paraId="193FE523">
            <w:pPr>
              <w:bidi w:val="0"/>
              <w:spacing w:line="360" w:lineRule="auto"/>
              <w:jc w:val="center"/>
              <w:rPr>
                <w:rFonts w:hint="eastAsia" w:ascii="宋体" w:hAnsi="宋体" w:eastAsia="宋体" w:cs="宋体"/>
                <w:sz w:val="21"/>
                <w:szCs w:val="21"/>
                <w:vertAlign w:val="baseline"/>
              </w:rPr>
            </w:pPr>
          </w:p>
        </w:tc>
        <w:tc>
          <w:tcPr>
            <w:tcW w:w="1583" w:type="dxa"/>
            <w:vAlign w:val="center"/>
          </w:tcPr>
          <w:p w14:paraId="483A26E6">
            <w:pPr>
              <w:bidi w:val="0"/>
              <w:spacing w:line="360" w:lineRule="auto"/>
              <w:jc w:val="center"/>
              <w:rPr>
                <w:rFonts w:hint="eastAsia" w:ascii="宋体" w:hAnsi="宋体" w:eastAsia="宋体" w:cs="宋体"/>
                <w:sz w:val="21"/>
                <w:szCs w:val="21"/>
                <w:vertAlign w:val="baseline"/>
              </w:rPr>
            </w:pPr>
          </w:p>
        </w:tc>
        <w:tc>
          <w:tcPr>
            <w:tcW w:w="1583" w:type="dxa"/>
            <w:vAlign w:val="center"/>
          </w:tcPr>
          <w:p w14:paraId="65FD7B42">
            <w:pPr>
              <w:bidi w:val="0"/>
              <w:spacing w:line="360" w:lineRule="auto"/>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19B57">
            <w:pPr>
              <w:bidi w:val="0"/>
              <w:spacing w:line="360" w:lineRule="auto"/>
              <w:jc w:val="center"/>
              <w:rPr>
                <w:rFonts w:hint="eastAsia" w:ascii="宋体" w:hAnsi="宋体" w:eastAsia="宋体" w:cs="宋体"/>
                <w:sz w:val="21"/>
                <w:szCs w:val="21"/>
                <w:vertAlign w:val="baseline"/>
              </w:rPr>
            </w:pPr>
          </w:p>
        </w:tc>
        <w:tc>
          <w:tcPr>
            <w:tcW w:w="1583" w:type="dxa"/>
            <w:vAlign w:val="center"/>
          </w:tcPr>
          <w:p w14:paraId="2F47493C">
            <w:pPr>
              <w:bidi w:val="0"/>
              <w:spacing w:line="360" w:lineRule="auto"/>
              <w:jc w:val="center"/>
              <w:rPr>
                <w:rFonts w:hint="eastAsia" w:ascii="宋体" w:hAnsi="宋体" w:eastAsia="宋体" w:cs="宋体"/>
                <w:sz w:val="21"/>
                <w:szCs w:val="21"/>
                <w:vertAlign w:val="baseline"/>
              </w:rPr>
            </w:pPr>
          </w:p>
        </w:tc>
        <w:tc>
          <w:tcPr>
            <w:tcW w:w="1583" w:type="dxa"/>
            <w:vAlign w:val="center"/>
          </w:tcPr>
          <w:p w14:paraId="6D911DD1">
            <w:pPr>
              <w:bidi w:val="0"/>
              <w:spacing w:line="360" w:lineRule="auto"/>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bidi w:val="0"/>
              <w:spacing w:line="360" w:lineRule="auto"/>
              <w:jc w:val="center"/>
              <w:rPr>
                <w:rFonts w:hint="eastAsia" w:ascii="宋体" w:hAnsi="宋体" w:eastAsia="宋体" w:cs="宋体"/>
                <w:sz w:val="21"/>
                <w:szCs w:val="21"/>
                <w:vertAlign w:val="baseline"/>
              </w:rPr>
            </w:pPr>
          </w:p>
        </w:tc>
        <w:tc>
          <w:tcPr>
            <w:tcW w:w="1583" w:type="dxa"/>
            <w:vAlign w:val="center"/>
          </w:tcPr>
          <w:p w14:paraId="6C0051F4">
            <w:pPr>
              <w:bidi w:val="0"/>
              <w:spacing w:line="360" w:lineRule="auto"/>
              <w:jc w:val="center"/>
              <w:rPr>
                <w:rFonts w:hint="eastAsia" w:ascii="宋体" w:hAnsi="宋体" w:eastAsia="宋体" w:cs="宋体"/>
                <w:sz w:val="21"/>
                <w:szCs w:val="21"/>
                <w:vertAlign w:val="baseline"/>
              </w:rPr>
            </w:pPr>
          </w:p>
        </w:tc>
        <w:tc>
          <w:tcPr>
            <w:tcW w:w="1583" w:type="dxa"/>
            <w:vAlign w:val="center"/>
          </w:tcPr>
          <w:p w14:paraId="148729EF">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E0359">
            <w:pPr>
              <w:bidi w:val="0"/>
              <w:spacing w:line="360" w:lineRule="auto"/>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bidi w:val="0"/>
              <w:spacing w:line="360" w:lineRule="auto"/>
              <w:jc w:val="center"/>
              <w:rPr>
                <w:rFonts w:hint="eastAsia" w:ascii="宋体" w:hAnsi="宋体" w:eastAsia="宋体" w:cs="宋体"/>
                <w:sz w:val="21"/>
                <w:szCs w:val="21"/>
                <w:vertAlign w:val="baseline"/>
              </w:rPr>
            </w:pPr>
          </w:p>
        </w:tc>
        <w:tc>
          <w:tcPr>
            <w:tcW w:w="1583" w:type="dxa"/>
            <w:vAlign w:val="center"/>
          </w:tcPr>
          <w:p w14:paraId="7D102E78">
            <w:pPr>
              <w:bidi w:val="0"/>
              <w:spacing w:line="360" w:lineRule="auto"/>
              <w:jc w:val="center"/>
              <w:rPr>
                <w:rFonts w:hint="eastAsia" w:ascii="宋体" w:hAnsi="宋体" w:eastAsia="宋体" w:cs="宋体"/>
                <w:sz w:val="21"/>
                <w:szCs w:val="21"/>
                <w:vertAlign w:val="baseline"/>
              </w:rPr>
            </w:pPr>
          </w:p>
        </w:tc>
        <w:tc>
          <w:tcPr>
            <w:tcW w:w="1583" w:type="dxa"/>
            <w:vAlign w:val="center"/>
          </w:tcPr>
          <w:p w14:paraId="75A708A7">
            <w:pPr>
              <w:bidi w:val="0"/>
              <w:spacing w:line="360" w:lineRule="auto"/>
              <w:jc w:val="center"/>
              <w:rPr>
                <w:rFonts w:hint="eastAsia" w:ascii="宋体" w:hAnsi="宋体" w:eastAsia="宋体" w:cs="宋体"/>
                <w:sz w:val="21"/>
                <w:szCs w:val="21"/>
                <w:vertAlign w:val="baseline"/>
              </w:rPr>
            </w:pPr>
          </w:p>
        </w:tc>
        <w:tc>
          <w:tcPr>
            <w:tcW w:w="1583" w:type="dxa"/>
            <w:vAlign w:val="center"/>
          </w:tcPr>
          <w:p w14:paraId="450CDBC5">
            <w:pPr>
              <w:bidi w:val="0"/>
              <w:spacing w:line="360" w:lineRule="auto"/>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bidi w:val="0"/>
              <w:spacing w:line="360" w:lineRule="auto"/>
              <w:jc w:val="center"/>
              <w:rPr>
                <w:rFonts w:hint="eastAsia" w:ascii="宋体" w:hAnsi="宋体" w:eastAsia="宋体" w:cs="宋体"/>
                <w:sz w:val="21"/>
                <w:szCs w:val="21"/>
                <w:vertAlign w:val="baseline"/>
              </w:rPr>
            </w:pPr>
          </w:p>
        </w:tc>
        <w:tc>
          <w:tcPr>
            <w:tcW w:w="1583" w:type="dxa"/>
            <w:vAlign w:val="center"/>
          </w:tcPr>
          <w:p w14:paraId="39CE7BCD">
            <w:pPr>
              <w:bidi w:val="0"/>
              <w:spacing w:line="360" w:lineRule="auto"/>
              <w:jc w:val="center"/>
              <w:rPr>
                <w:rFonts w:hint="eastAsia" w:ascii="宋体" w:hAnsi="宋体" w:eastAsia="宋体" w:cs="宋体"/>
                <w:sz w:val="21"/>
                <w:szCs w:val="21"/>
                <w:vertAlign w:val="baseline"/>
              </w:rPr>
            </w:pPr>
          </w:p>
        </w:tc>
        <w:tc>
          <w:tcPr>
            <w:tcW w:w="1583" w:type="dxa"/>
            <w:vAlign w:val="center"/>
          </w:tcPr>
          <w:p w14:paraId="6B629900">
            <w:pPr>
              <w:bidi w:val="0"/>
              <w:spacing w:line="360" w:lineRule="auto"/>
              <w:jc w:val="center"/>
              <w:rPr>
                <w:rFonts w:hint="eastAsia" w:ascii="宋体" w:hAnsi="宋体" w:eastAsia="宋体" w:cs="宋体"/>
                <w:sz w:val="21"/>
                <w:szCs w:val="21"/>
                <w:vertAlign w:val="baseline"/>
              </w:rPr>
            </w:pPr>
          </w:p>
        </w:tc>
        <w:tc>
          <w:tcPr>
            <w:tcW w:w="1583" w:type="dxa"/>
            <w:vAlign w:val="center"/>
          </w:tcPr>
          <w:p w14:paraId="4BC94FC8">
            <w:pPr>
              <w:bidi w:val="0"/>
              <w:spacing w:line="360" w:lineRule="auto"/>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6B2E6F38">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2A7418A5">
            <w:pPr>
              <w:bidi w:val="0"/>
              <w:spacing w:line="360" w:lineRule="auto"/>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1BEFE362">
      <w:pPr>
        <w:jc w:val="center"/>
        <w:rPr>
          <w:rFonts w:hint="eastAsia" w:asciiTheme="minorEastAsia" w:hAnsiTheme="minorEastAsia" w:cstheme="minorEastAsia"/>
          <w:b/>
          <w:bCs/>
          <w:sz w:val="28"/>
          <w:szCs w:val="28"/>
          <w:lang w:eastAsia="zh-CN"/>
        </w:rPr>
      </w:pPr>
    </w:p>
    <w:p w14:paraId="743CBD1F">
      <w:pPr>
        <w:jc w:val="center"/>
        <w:rPr>
          <w:rFonts w:hint="eastAsia" w:asciiTheme="minorEastAsia" w:hAnsiTheme="minorEastAsia" w:cstheme="minorEastAsia"/>
          <w:b/>
          <w:bCs/>
          <w:sz w:val="28"/>
          <w:szCs w:val="28"/>
          <w:lang w:eastAsia="zh-CN"/>
        </w:rPr>
      </w:pPr>
    </w:p>
    <w:p w14:paraId="447DED23">
      <w:pPr>
        <w:jc w:val="center"/>
        <w:rPr>
          <w:rFonts w:hint="eastAsia" w:asciiTheme="minorEastAsia" w:hAnsiTheme="minorEastAsia" w:cstheme="minorEastAsia"/>
          <w:b/>
          <w:bCs/>
          <w:sz w:val="28"/>
          <w:szCs w:val="28"/>
          <w:lang w:eastAsia="zh-CN"/>
        </w:rPr>
      </w:pPr>
    </w:p>
    <w:p w14:paraId="720840E8">
      <w:pPr>
        <w:jc w:val="center"/>
        <w:rPr>
          <w:rFonts w:hint="eastAsia" w:asciiTheme="minorEastAsia" w:hAnsiTheme="minorEastAsia" w:cstheme="minorEastAsia"/>
          <w:b/>
          <w:bCs/>
          <w:sz w:val="28"/>
          <w:szCs w:val="28"/>
          <w:lang w:eastAsia="zh-CN"/>
        </w:rPr>
      </w:pPr>
    </w:p>
    <w:p w14:paraId="00E2FEFB">
      <w:pPr>
        <w:jc w:val="center"/>
        <w:rPr>
          <w:rFonts w:hint="eastAsia" w:asciiTheme="minorEastAsia" w:hAnsiTheme="minorEastAsia" w:cstheme="minorEastAsia"/>
          <w:b/>
          <w:bCs/>
          <w:sz w:val="28"/>
          <w:szCs w:val="28"/>
          <w:lang w:eastAsia="zh-CN"/>
        </w:rPr>
      </w:pPr>
    </w:p>
    <w:p w14:paraId="010C2661">
      <w:pPr>
        <w:jc w:val="center"/>
        <w:rPr>
          <w:rFonts w:hint="eastAsia" w:asciiTheme="minorEastAsia" w:hAnsiTheme="minorEastAsia" w:cstheme="minorEastAsia"/>
          <w:b/>
          <w:bCs/>
          <w:sz w:val="28"/>
          <w:szCs w:val="28"/>
          <w:lang w:eastAsia="zh-CN"/>
        </w:rPr>
      </w:pPr>
    </w:p>
    <w:p w14:paraId="2E9B4DEC">
      <w:pPr>
        <w:jc w:val="center"/>
        <w:rPr>
          <w:rFonts w:hint="eastAsia" w:asciiTheme="minorEastAsia" w:hAnsiTheme="minorEastAsia" w:cstheme="minorEastAsia"/>
          <w:b/>
          <w:bCs/>
          <w:sz w:val="28"/>
          <w:szCs w:val="28"/>
          <w:lang w:eastAsia="zh-CN"/>
        </w:rPr>
      </w:pPr>
    </w:p>
    <w:p w14:paraId="3680AF06">
      <w:pPr>
        <w:jc w:val="center"/>
        <w:rPr>
          <w:rFonts w:hint="eastAsia" w:asciiTheme="minorEastAsia" w:hAnsiTheme="minorEastAsia" w:cstheme="minorEastAsia"/>
          <w:b/>
          <w:bCs/>
          <w:sz w:val="28"/>
          <w:szCs w:val="28"/>
          <w:lang w:eastAsia="zh-CN"/>
        </w:rPr>
      </w:pPr>
    </w:p>
    <w:p w14:paraId="21FE1135">
      <w:pPr>
        <w:jc w:val="center"/>
        <w:rPr>
          <w:rFonts w:hint="eastAsia" w:asciiTheme="minorEastAsia" w:hAnsiTheme="minorEastAsia" w:cstheme="minorEastAsia"/>
          <w:b/>
          <w:bCs/>
          <w:sz w:val="28"/>
          <w:szCs w:val="28"/>
          <w:lang w:eastAsia="zh-CN"/>
        </w:rPr>
      </w:pPr>
    </w:p>
    <w:p w14:paraId="090A3839">
      <w:pPr>
        <w:jc w:val="center"/>
        <w:rPr>
          <w:rFonts w:hint="eastAsia" w:asciiTheme="minorEastAsia" w:hAnsiTheme="minorEastAsia" w:cstheme="minorEastAsia"/>
          <w:b/>
          <w:bCs/>
          <w:sz w:val="28"/>
          <w:szCs w:val="28"/>
          <w:lang w:eastAsia="zh-CN"/>
        </w:rPr>
      </w:pPr>
    </w:p>
    <w:p w14:paraId="0981D0C8">
      <w:pPr>
        <w:jc w:val="center"/>
        <w:rPr>
          <w:rFonts w:hint="eastAsia" w:asciiTheme="minorEastAsia" w:hAnsiTheme="minorEastAsia" w:cstheme="minorEastAsia"/>
          <w:b/>
          <w:bCs/>
          <w:sz w:val="28"/>
          <w:szCs w:val="28"/>
          <w:lang w:eastAsia="zh-CN"/>
        </w:rPr>
      </w:pPr>
    </w:p>
    <w:p w14:paraId="23ED3C9B">
      <w:pPr>
        <w:jc w:val="center"/>
        <w:rPr>
          <w:rFonts w:hint="eastAsia" w:asciiTheme="minorEastAsia" w:hAnsiTheme="minorEastAsia" w:cstheme="minorEastAsia"/>
          <w:b/>
          <w:bCs/>
          <w:sz w:val="28"/>
          <w:szCs w:val="28"/>
          <w:lang w:eastAsia="zh-CN"/>
        </w:rPr>
      </w:pPr>
    </w:p>
    <w:p w14:paraId="21EDC35B">
      <w:pPr>
        <w:jc w:val="center"/>
        <w:rPr>
          <w:rFonts w:hint="eastAsia" w:asciiTheme="minorEastAsia" w:hAnsiTheme="minorEastAsia" w:cstheme="minorEastAsia"/>
          <w:b/>
          <w:bCs/>
          <w:sz w:val="28"/>
          <w:szCs w:val="28"/>
          <w:lang w:eastAsia="zh-CN"/>
        </w:rPr>
      </w:pPr>
    </w:p>
    <w:p w14:paraId="6D95A4B1">
      <w:pPr>
        <w:jc w:val="center"/>
        <w:rPr>
          <w:rFonts w:hint="eastAsia" w:asciiTheme="minorEastAsia" w:hAnsiTheme="minorEastAsia" w:cstheme="minorEastAsia"/>
          <w:b/>
          <w:bCs/>
          <w:sz w:val="28"/>
          <w:szCs w:val="28"/>
          <w:lang w:eastAsia="zh-CN"/>
        </w:rPr>
      </w:pPr>
    </w:p>
    <w:p w14:paraId="133C1CB5">
      <w:pPr>
        <w:jc w:val="center"/>
        <w:rPr>
          <w:rFonts w:hint="eastAsia" w:asciiTheme="minorEastAsia" w:hAnsiTheme="minorEastAsia" w:cstheme="minorEastAsia"/>
          <w:b/>
          <w:bCs/>
          <w:sz w:val="28"/>
          <w:szCs w:val="28"/>
          <w:lang w:eastAsia="zh-CN"/>
        </w:rPr>
      </w:pPr>
    </w:p>
    <w:p w14:paraId="6B35AE39">
      <w:pPr>
        <w:jc w:val="center"/>
        <w:rPr>
          <w:rFonts w:hint="eastAsia" w:asciiTheme="minorEastAsia" w:hAnsiTheme="minorEastAsia" w:cstheme="minorEastAsia"/>
          <w:b/>
          <w:bCs/>
          <w:sz w:val="28"/>
          <w:szCs w:val="28"/>
          <w:lang w:eastAsia="zh-CN"/>
        </w:rPr>
      </w:pPr>
    </w:p>
    <w:p w14:paraId="183A7A36">
      <w:pPr>
        <w:jc w:val="center"/>
        <w:rPr>
          <w:rFonts w:hint="eastAsia" w:asciiTheme="minorEastAsia" w:hAnsiTheme="minorEastAsia" w:cstheme="minorEastAsia"/>
          <w:b/>
          <w:bCs/>
          <w:sz w:val="28"/>
          <w:szCs w:val="28"/>
          <w:lang w:eastAsia="zh-CN"/>
        </w:rPr>
      </w:pPr>
    </w:p>
    <w:p w14:paraId="76C3BE37">
      <w:pPr>
        <w:pStyle w:val="3"/>
        <w:numPr>
          <w:ilvl w:val="0"/>
          <w:numId w:val="0"/>
        </w:numPr>
        <w:spacing w:line="240" w:lineRule="auto"/>
        <w:ind w:left="420" w:leftChars="0" w:hanging="420" w:firstLineChars="0"/>
        <w:jc w:val="center"/>
        <w:outlineLvl w:val="0"/>
        <w:rPr>
          <w:rFonts w:asciiTheme="majorEastAsia" w:hAnsiTheme="majorEastAsia" w:eastAsiaTheme="majorEastAsia"/>
          <w:color w:val="auto"/>
          <w:sz w:val="30"/>
          <w:szCs w:val="30"/>
        </w:rPr>
      </w:pPr>
      <w:bookmarkStart w:id="32" w:name="_Toc2271"/>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七</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32"/>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33"/>
        <w:spacing w:before="120" w:after="120" w:line="276" w:lineRule="auto"/>
        <w:ind w:left="0" w:leftChars="0" w:firstLine="0" w:firstLineChars="0"/>
        <w:rPr>
          <w:rFonts w:hint="eastAsia"/>
          <w:b/>
          <w:color w:val="auto"/>
          <w:sz w:val="24"/>
        </w:rPr>
      </w:pPr>
    </w:p>
    <w:p w14:paraId="4B1D9CBC">
      <w:pPr>
        <w:pStyle w:val="33"/>
        <w:spacing w:before="120" w:after="120" w:line="276" w:lineRule="auto"/>
        <w:ind w:firstLine="482" w:firstLineChars="200"/>
        <w:outlineLvl w:val="9"/>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outlineLvl w:val="9"/>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9"/>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9"/>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eastAsiaTheme="minorEastAsia"/>
          <w:color w:val="auto"/>
          <w:lang w:eastAsia="zh-CN"/>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33" w:name="_Hlk72259001"/>
      <w:r>
        <w:rPr>
          <w:rFonts w:hint="eastAsia"/>
          <w:b/>
          <w:bCs/>
          <w:color w:val="auto"/>
        </w:rPr>
        <w:t>招标文件</w:t>
      </w:r>
      <w:bookmarkEnd w:id="33"/>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4C31D22">
      <w:pPr>
        <w:pStyle w:val="7"/>
        <w:rPr>
          <w:color w:val="auto"/>
        </w:rPr>
      </w:pPr>
    </w:p>
    <w:p w14:paraId="04F8DE87">
      <w:pPr>
        <w:spacing w:after="60"/>
        <w:jc w:val="center"/>
        <w:outlineLvl w:val="9"/>
        <w:rPr>
          <w:b/>
          <w:color w:val="auto"/>
        </w:rPr>
      </w:pPr>
      <w:r>
        <w:rPr>
          <w:rFonts w:hint="eastAsia"/>
          <w:b/>
          <w:color w:val="auto"/>
        </w:rPr>
        <w:t>1、中小企业声明函</w:t>
      </w:r>
    </w:p>
    <w:p w14:paraId="260C3881">
      <w:pPr>
        <w:pStyle w:val="7"/>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7"/>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7"/>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7"/>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7"/>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9"/>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9"/>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7"/>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038CC619">
      <w:pPr>
        <w:jc w:val="center"/>
        <w:rPr>
          <w:rFonts w:hint="eastAsia" w:asciiTheme="minorEastAsia" w:hAnsiTheme="minorEastAsia" w:cstheme="minorEastAsia"/>
          <w:b/>
          <w:bCs/>
          <w:sz w:val="28"/>
          <w:szCs w:val="28"/>
          <w:lang w:eastAsia="zh-CN"/>
        </w:rPr>
      </w:pPr>
    </w:p>
    <w:p w14:paraId="1D29C215">
      <w:pPr>
        <w:jc w:val="center"/>
        <w:rPr>
          <w:rFonts w:hint="eastAsia" w:asciiTheme="minorEastAsia" w:hAnsiTheme="minorEastAsia" w:cstheme="minorEastAsia"/>
          <w:b/>
          <w:bCs/>
          <w:sz w:val="28"/>
          <w:szCs w:val="28"/>
          <w:lang w:eastAsia="zh-CN"/>
        </w:rPr>
      </w:pPr>
    </w:p>
    <w:p w14:paraId="5BE22A57">
      <w:pPr>
        <w:jc w:val="center"/>
        <w:rPr>
          <w:rFonts w:hint="eastAsia" w:asciiTheme="minorEastAsia" w:hAnsiTheme="minorEastAsia" w:cstheme="minorEastAsia"/>
          <w:b/>
          <w:bCs/>
          <w:sz w:val="28"/>
          <w:szCs w:val="28"/>
          <w:lang w:eastAsia="zh-CN"/>
        </w:rPr>
      </w:pPr>
    </w:p>
    <w:p w14:paraId="6E6FCFC3">
      <w:pPr>
        <w:jc w:val="center"/>
        <w:rPr>
          <w:rFonts w:hint="eastAsia" w:cs="宋体" w:asciiTheme="majorEastAsia" w:hAnsiTheme="majorEastAsia" w:eastAsiaTheme="majorEastAsia"/>
          <w:kern w:val="2"/>
          <w:sz w:val="30"/>
          <w:szCs w:val="30"/>
          <w:lang w:val="en-US" w:eastAsia="zh-CN" w:bidi="ar-SA"/>
        </w:rPr>
      </w:pPr>
    </w:p>
    <w:p w14:paraId="5FF718F7">
      <w:pPr>
        <w:jc w:val="center"/>
        <w:outlineLvl w:val="0"/>
        <w:rPr>
          <w:rFonts w:hint="eastAsia" w:cs="宋体" w:asciiTheme="majorEastAsia" w:hAnsiTheme="majorEastAsia" w:eastAsiaTheme="majorEastAsia"/>
          <w:kern w:val="2"/>
          <w:sz w:val="30"/>
          <w:szCs w:val="30"/>
          <w:lang w:val="en-US" w:eastAsia="zh-CN" w:bidi="ar-SA"/>
        </w:rPr>
      </w:pPr>
      <w:bookmarkStart w:id="34" w:name="_Toc29547"/>
      <w:r>
        <w:rPr>
          <w:rFonts w:hint="eastAsia" w:cs="宋体" w:asciiTheme="majorEastAsia" w:hAnsiTheme="majorEastAsia" w:eastAsiaTheme="majorEastAsia"/>
          <w:kern w:val="2"/>
          <w:sz w:val="30"/>
          <w:szCs w:val="30"/>
          <w:lang w:val="en-US" w:eastAsia="zh-CN" w:bidi="ar-SA"/>
        </w:rPr>
        <w:t>（八）福田区第二人民医院报价表</w:t>
      </w:r>
      <w:bookmarkEnd w:id="34"/>
    </w:p>
    <w:p w14:paraId="0F8F2EE2">
      <w:pPr>
        <w:rPr>
          <w:rFonts w:hint="eastAsia" w:ascii="宋体" w:hAnsi="宋体"/>
          <w:szCs w:val="21"/>
        </w:rPr>
      </w:pPr>
    </w:p>
    <w:p w14:paraId="453E124E">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17"/>
        <w:tblW w:w="10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1380"/>
        <w:gridCol w:w="885"/>
        <w:gridCol w:w="1080"/>
        <w:gridCol w:w="675"/>
        <w:gridCol w:w="660"/>
        <w:gridCol w:w="645"/>
        <w:gridCol w:w="915"/>
        <w:gridCol w:w="1320"/>
        <w:gridCol w:w="1185"/>
        <w:gridCol w:w="570"/>
      </w:tblGrid>
      <w:tr w14:paraId="7C59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0B2C8F68">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序号</w:t>
            </w:r>
          </w:p>
        </w:tc>
        <w:tc>
          <w:tcPr>
            <w:tcW w:w="675" w:type="dxa"/>
            <w:tcBorders>
              <w:top w:val="single" w:color="auto" w:sz="4" w:space="0"/>
              <w:left w:val="single" w:color="auto" w:sz="4" w:space="0"/>
              <w:bottom w:val="single" w:color="auto" w:sz="4" w:space="0"/>
              <w:right w:val="single" w:color="auto" w:sz="4" w:space="0"/>
            </w:tcBorders>
            <w:vAlign w:val="center"/>
          </w:tcPr>
          <w:p w14:paraId="6A315424">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14:paraId="51757965">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产品名称（注册证名称）</w:t>
            </w:r>
          </w:p>
        </w:tc>
        <w:tc>
          <w:tcPr>
            <w:tcW w:w="885" w:type="dxa"/>
            <w:tcBorders>
              <w:top w:val="single" w:color="auto" w:sz="4" w:space="0"/>
              <w:left w:val="single" w:color="auto" w:sz="4" w:space="0"/>
              <w:bottom w:val="single" w:color="auto" w:sz="4" w:space="0"/>
              <w:right w:val="single" w:color="auto" w:sz="4" w:space="0"/>
            </w:tcBorders>
            <w:vAlign w:val="center"/>
          </w:tcPr>
          <w:p w14:paraId="05B1350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产品注册证号</w:t>
            </w:r>
          </w:p>
        </w:tc>
        <w:tc>
          <w:tcPr>
            <w:tcW w:w="1080" w:type="dxa"/>
            <w:tcBorders>
              <w:top w:val="single" w:color="auto" w:sz="4" w:space="0"/>
              <w:left w:val="single" w:color="auto" w:sz="4" w:space="0"/>
              <w:bottom w:val="single" w:color="auto" w:sz="4" w:space="0"/>
              <w:right w:val="single" w:color="auto" w:sz="4" w:space="0"/>
            </w:tcBorders>
            <w:vAlign w:val="center"/>
          </w:tcPr>
          <w:p w14:paraId="3826FE36">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品牌及规格型号</w:t>
            </w:r>
          </w:p>
        </w:tc>
        <w:tc>
          <w:tcPr>
            <w:tcW w:w="675" w:type="dxa"/>
            <w:tcBorders>
              <w:top w:val="single" w:color="auto" w:sz="4" w:space="0"/>
              <w:left w:val="single" w:color="auto" w:sz="4" w:space="0"/>
              <w:bottom w:val="single" w:color="auto" w:sz="4" w:space="0"/>
              <w:right w:val="single" w:color="auto" w:sz="4" w:space="0"/>
            </w:tcBorders>
            <w:vAlign w:val="center"/>
          </w:tcPr>
          <w:p w14:paraId="07105EE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包装规格</w:t>
            </w:r>
          </w:p>
        </w:tc>
        <w:tc>
          <w:tcPr>
            <w:tcW w:w="660" w:type="dxa"/>
            <w:tcBorders>
              <w:top w:val="single" w:color="auto" w:sz="4" w:space="0"/>
              <w:left w:val="single" w:color="auto" w:sz="4" w:space="0"/>
              <w:bottom w:val="single" w:color="auto" w:sz="4" w:space="0"/>
              <w:right w:val="single" w:color="auto" w:sz="4" w:space="0"/>
            </w:tcBorders>
            <w:vAlign w:val="center"/>
          </w:tcPr>
          <w:p w14:paraId="103027C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生产企业</w:t>
            </w:r>
          </w:p>
        </w:tc>
        <w:tc>
          <w:tcPr>
            <w:tcW w:w="645" w:type="dxa"/>
            <w:tcBorders>
              <w:top w:val="single" w:color="auto" w:sz="4" w:space="0"/>
              <w:left w:val="single" w:color="auto" w:sz="4" w:space="0"/>
              <w:bottom w:val="single" w:color="auto" w:sz="4" w:space="0"/>
              <w:right w:val="single" w:color="auto" w:sz="4" w:space="0"/>
            </w:tcBorders>
            <w:vAlign w:val="center"/>
          </w:tcPr>
          <w:p w14:paraId="78333A58">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报价单位</w:t>
            </w:r>
          </w:p>
        </w:tc>
        <w:tc>
          <w:tcPr>
            <w:tcW w:w="915" w:type="dxa"/>
            <w:tcBorders>
              <w:top w:val="single" w:color="auto" w:sz="4" w:space="0"/>
              <w:left w:val="single" w:color="auto" w:sz="4" w:space="0"/>
              <w:bottom w:val="single" w:color="auto" w:sz="4" w:space="0"/>
              <w:right w:val="single" w:color="auto" w:sz="4" w:space="0"/>
            </w:tcBorders>
            <w:vAlign w:val="center"/>
          </w:tcPr>
          <w:p w14:paraId="480FBE9D">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投标价（元）</w:t>
            </w:r>
          </w:p>
        </w:tc>
        <w:tc>
          <w:tcPr>
            <w:tcW w:w="1320" w:type="dxa"/>
            <w:tcBorders>
              <w:top w:val="single" w:color="auto" w:sz="4" w:space="0"/>
              <w:left w:val="single" w:color="auto" w:sz="4" w:space="0"/>
              <w:bottom w:val="single" w:color="auto" w:sz="4" w:space="0"/>
              <w:right w:val="single" w:color="auto" w:sz="4" w:space="0"/>
            </w:tcBorders>
            <w:vAlign w:val="center"/>
          </w:tcPr>
          <w:p w14:paraId="7CBF9A12">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目前在用二甲以上医院客户名单</w:t>
            </w:r>
          </w:p>
        </w:tc>
        <w:tc>
          <w:tcPr>
            <w:tcW w:w="1185" w:type="dxa"/>
            <w:tcBorders>
              <w:top w:val="single" w:color="auto" w:sz="4" w:space="0"/>
              <w:left w:val="single" w:color="auto" w:sz="4" w:space="0"/>
              <w:bottom w:val="single" w:color="auto" w:sz="4" w:space="0"/>
              <w:right w:val="single" w:color="auto" w:sz="4" w:space="0"/>
            </w:tcBorders>
            <w:vAlign w:val="center"/>
          </w:tcPr>
          <w:p w14:paraId="3262CC5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二甲以上医院供货价格</w:t>
            </w:r>
          </w:p>
        </w:tc>
        <w:tc>
          <w:tcPr>
            <w:tcW w:w="570" w:type="dxa"/>
            <w:tcBorders>
              <w:top w:val="single" w:color="auto" w:sz="4" w:space="0"/>
              <w:left w:val="single" w:color="auto" w:sz="4" w:space="0"/>
              <w:bottom w:val="single" w:color="auto" w:sz="4" w:space="0"/>
              <w:right w:val="single" w:color="auto" w:sz="4" w:space="0"/>
            </w:tcBorders>
            <w:vAlign w:val="center"/>
          </w:tcPr>
          <w:p w14:paraId="49454E65">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备注</w:t>
            </w:r>
          </w:p>
        </w:tc>
      </w:tr>
      <w:tr w14:paraId="416C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57709F06">
            <w:pPr>
              <w:spacing w:line="400" w:lineRule="exact"/>
              <w:jc w:val="center"/>
              <w:rPr>
                <w:rFonts w:ascii="宋体" w:hAnsi="宋体"/>
                <w:bCs/>
                <w:szCs w:val="21"/>
              </w:rPr>
            </w:pPr>
            <w:r>
              <w:rPr>
                <w:rFonts w:hint="eastAsia" w:ascii="宋体" w:hAnsi="宋体"/>
                <w:bCs/>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14:paraId="2BBAD9A9">
            <w:pPr>
              <w:spacing w:line="400" w:lineRule="exact"/>
              <w:jc w:val="center"/>
              <w:rPr>
                <w:rFonts w:ascii="宋体" w:hAnsi="宋体"/>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578D0D0B">
            <w:pPr>
              <w:spacing w:line="400" w:lineRule="exact"/>
              <w:jc w:val="center"/>
              <w:rPr>
                <w:rFonts w:ascii="宋体" w:hAnsi="宋体"/>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14:paraId="57ECADB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2C7424D">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B958EE8">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3C70B8F">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A1A1375">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7D8D7398">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7C29BA6E">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F2CF7E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EB1D4F6">
            <w:pPr>
              <w:widowControl/>
              <w:jc w:val="center"/>
              <w:rPr>
                <w:rFonts w:ascii="宋体" w:hAnsi="宋体"/>
                <w:sz w:val="18"/>
                <w:szCs w:val="18"/>
              </w:rPr>
            </w:pPr>
          </w:p>
        </w:tc>
      </w:tr>
      <w:tr w14:paraId="61EE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258B820">
            <w:pPr>
              <w:spacing w:line="400" w:lineRule="exact"/>
              <w:jc w:val="center"/>
              <w:rPr>
                <w:color w:val="000000"/>
              </w:rPr>
            </w:pPr>
            <w:r>
              <w:rPr>
                <w:color w:val="000000"/>
              </w:rPr>
              <w:t>2</w:t>
            </w:r>
          </w:p>
        </w:tc>
        <w:tc>
          <w:tcPr>
            <w:tcW w:w="675" w:type="dxa"/>
            <w:tcBorders>
              <w:top w:val="single" w:color="auto" w:sz="4" w:space="0"/>
              <w:left w:val="single" w:color="auto" w:sz="4" w:space="0"/>
              <w:bottom w:val="single" w:color="auto" w:sz="4" w:space="0"/>
              <w:right w:val="single" w:color="auto" w:sz="4" w:space="0"/>
            </w:tcBorders>
            <w:vAlign w:val="center"/>
          </w:tcPr>
          <w:p w14:paraId="14851A80">
            <w:pPr>
              <w:spacing w:line="400" w:lineRule="exact"/>
              <w:jc w:val="center"/>
              <w:rPr>
                <w:rFonts w:ascii="宋体" w:hAnsi="宋体"/>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0F70BF10">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058FB75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5060AEC">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0651428A">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05BEE9F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72B09A68">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5A08E9E0">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5B90957A">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D252DA2">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53CA792">
            <w:pPr>
              <w:widowControl/>
              <w:jc w:val="center"/>
              <w:rPr>
                <w:rFonts w:ascii="宋体" w:hAnsi="宋体"/>
                <w:sz w:val="18"/>
                <w:szCs w:val="18"/>
              </w:rPr>
            </w:pPr>
          </w:p>
        </w:tc>
      </w:tr>
      <w:tr w14:paraId="1C5D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37F6462D">
            <w:pPr>
              <w:spacing w:line="400" w:lineRule="exact"/>
              <w:jc w:val="center"/>
              <w:rPr>
                <w:rFonts w:ascii="宋体" w:hAnsi="宋体"/>
                <w:bCs/>
                <w:szCs w:val="21"/>
              </w:rPr>
            </w:pPr>
            <w:r>
              <w:rPr>
                <w:color w:val="000000"/>
              </w:rPr>
              <w:t>3</w:t>
            </w:r>
          </w:p>
        </w:tc>
        <w:tc>
          <w:tcPr>
            <w:tcW w:w="675" w:type="dxa"/>
            <w:tcBorders>
              <w:top w:val="single" w:color="auto" w:sz="4" w:space="0"/>
              <w:left w:val="single" w:color="auto" w:sz="4" w:space="0"/>
              <w:bottom w:val="single" w:color="auto" w:sz="4" w:space="0"/>
              <w:right w:val="single" w:color="auto" w:sz="4" w:space="0"/>
            </w:tcBorders>
            <w:vAlign w:val="center"/>
          </w:tcPr>
          <w:p w14:paraId="54199F7B">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7F61DA20">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11598448">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92CC26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3C175DD">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2C620B9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9292FD1">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6B0D1ECA">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6C551E33">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352219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FB5C668">
            <w:pPr>
              <w:jc w:val="center"/>
            </w:pPr>
          </w:p>
        </w:tc>
      </w:tr>
      <w:tr w14:paraId="6C16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22C5CC02">
            <w:pPr>
              <w:spacing w:line="400" w:lineRule="exact"/>
              <w:jc w:val="center"/>
              <w:rPr>
                <w:color w:val="000000"/>
              </w:rPr>
            </w:pPr>
            <w:r>
              <w:rPr>
                <w:rFonts w:hint="eastAsia"/>
                <w:szCs w:val="21"/>
              </w:rPr>
              <w:t>…</w:t>
            </w:r>
          </w:p>
        </w:tc>
        <w:tc>
          <w:tcPr>
            <w:tcW w:w="675" w:type="dxa"/>
            <w:tcBorders>
              <w:top w:val="single" w:color="auto" w:sz="4" w:space="0"/>
              <w:left w:val="single" w:color="auto" w:sz="4" w:space="0"/>
              <w:bottom w:val="single" w:color="auto" w:sz="4" w:space="0"/>
              <w:right w:val="single" w:color="auto" w:sz="4" w:space="0"/>
            </w:tcBorders>
            <w:vAlign w:val="center"/>
          </w:tcPr>
          <w:p w14:paraId="52B73993">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4E2C5948">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38342B62">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E34E39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2C4CEEEC">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C8A196A">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6C7A4D0C">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348F97A5">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03A688E0">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118AD4E">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9045130">
            <w:pPr>
              <w:jc w:val="center"/>
            </w:pPr>
          </w:p>
        </w:tc>
      </w:tr>
    </w:tbl>
    <w:p w14:paraId="50FE53AD">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B267BE8">
      <w:pPr>
        <w:spacing w:afterLines="25" w:line="300" w:lineRule="auto"/>
        <w:ind w:left="420"/>
        <w:jc w:val="center"/>
        <w:rPr>
          <w:rFonts w:ascii="宋体" w:hAnsi="宋体" w:cs="宋体"/>
          <w:color w:val="000000" w:themeColor="text1"/>
          <w:szCs w:val="21"/>
          <w14:textFill>
            <w14:solidFill>
              <w14:schemeClr w14:val="tx1"/>
            </w14:solidFill>
          </w14:textFill>
        </w:rPr>
      </w:pPr>
    </w:p>
    <w:p w14:paraId="1F762CCB">
      <w:pPr>
        <w:spacing w:afterLines="25" w:line="300" w:lineRule="auto"/>
        <w:ind w:left="420"/>
        <w:jc w:val="center"/>
        <w:rPr>
          <w:rFonts w:ascii="宋体" w:hAnsi="宋体" w:cs="宋体"/>
          <w:color w:val="000000" w:themeColor="text1"/>
          <w:szCs w:val="21"/>
          <w14:textFill>
            <w14:solidFill>
              <w14:schemeClr w14:val="tx1"/>
            </w14:solidFill>
          </w14:textFill>
        </w:rPr>
      </w:pPr>
    </w:p>
    <w:p w14:paraId="5D7E3D54">
      <w:pPr>
        <w:spacing w:afterLines="25" w:line="300" w:lineRule="auto"/>
        <w:ind w:left="420"/>
        <w:jc w:val="center"/>
        <w:rPr>
          <w:rFonts w:hint="eastAsia" w:ascii="宋体" w:hAnsi="宋体" w:cs="Arial"/>
          <w:b/>
          <w:color w:val="000000"/>
          <w:sz w:val="28"/>
          <w:szCs w:val="28"/>
          <w:lang w:eastAsia="zh-CN"/>
        </w:rPr>
      </w:pPr>
    </w:p>
    <w:p w14:paraId="1C62EA82">
      <w:pPr>
        <w:spacing w:afterLines="25" w:line="300" w:lineRule="auto"/>
        <w:ind w:left="420"/>
        <w:jc w:val="center"/>
        <w:rPr>
          <w:rFonts w:hint="eastAsia" w:ascii="宋体" w:hAnsi="宋体" w:cs="Arial"/>
          <w:b/>
          <w:color w:val="000000"/>
          <w:sz w:val="28"/>
          <w:szCs w:val="28"/>
          <w:lang w:eastAsia="zh-CN"/>
        </w:rPr>
      </w:pPr>
    </w:p>
    <w:p w14:paraId="29CD3865">
      <w:pPr>
        <w:spacing w:afterLines="25" w:line="300" w:lineRule="auto"/>
        <w:ind w:left="420"/>
        <w:jc w:val="center"/>
        <w:rPr>
          <w:rFonts w:hint="eastAsia" w:ascii="宋体" w:hAnsi="宋体" w:cs="Arial"/>
          <w:b/>
          <w:color w:val="000000"/>
          <w:sz w:val="28"/>
          <w:szCs w:val="28"/>
          <w:lang w:eastAsia="zh-CN"/>
        </w:rPr>
      </w:pPr>
    </w:p>
    <w:p w14:paraId="5283C44A">
      <w:pPr>
        <w:spacing w:afterLines="25" w:line="300" w:lineRule="auto"/>
        <w:ind w:left="420"/>
        <w:jc w:val="center"/>
        <w:rPr>
          <w:rFonts w:hint="eastAsia" w:ascii="宋体" w:hAnsi="宋体" w:cs="Arial"/>
          <w:b/>
          <w:color w:val="000000"/>
          <w:sz w:val="28"/>
          <w:szCs w:val="28"/>
          <w:lang w:eastAsia="zh-CN"/>
        </w:rPr>
      </w:pPr>
    </w:p>
    <w:p w14:paraId="601A3C7B">
      <w:pPr>
        <w:spacing w:afterLines="25" w:line="300" w:lineRule="auto"/>
        <w:ind w:left="420"/>
        <w:jc w:val="center"/>
        <w:rPr>
          <w:rFonts w:hint="eastAsia" w:ascii="宋体" w:hAnsi="宋体" w:cs="Arial"/>
          <w:b/>
          <w:color w:val="000000"/>
          <w:sz w:val="28"/>
          <w:szCs w:val="28"/>
          <w:lang w:eastAsia="zh-CN"/>
        </w:rPr>
      </w:pPr>
    </w:p>
    <w:p w14:paraId="117253B7">
      <w:pPr>
        <w:spacing w:afterLines="25" w:line="300" w:lineRule="auto"/>
        <w:ind w:left="420"/>
        <w:jc w:val="center"/>
        <w:rPr>
          <w:rFonts w:hint="eastAsia" w:ascii="宋体" w:hAnsi="宋体" w:cs="Arial"/>
          <w:b/>
          <w:color w:val="000000"/>
          <w:sz w:val="28"/>
          <w:szCs w:val="28"/>
          <w:lang w:eastAsia="zh-CN"/>
        </w:rPr>
      </w:pPr>
    </w:p>
    <w:p w14:paraId="1B417FD0">
      <w:pPr>
        <w:spacing w:afterLines="25" w:line="300" w:lineRule="auto"/>
        <w:ind w:left="420"/>
        <w:jc w:val="center"/>
        <w:rPr>
          <w:rFonts w:hint="eastAsia" w:ascii="宋体" w:hAnsi="宋体" w:cs="Arial"/>
          <w:b/>
          <w:color w:val="000000"/>
          <w:sz w:val="28"/>
          <w:szCs w:val="28"/>
          <w:lang w:eastAsia="zh-CN"/>
        </w:rPr>
      </w:pPr>
    </w:p>
    <w:p w14:paraId="4B66E1CD">
      <w:pPr>
        <w:spacing w:afterLines="25" w:line="300" w:lineRule="auto"/>
        <w:ind w:left="420"/>
        <w:jc w:val="center"/>
        <w:rPr>
          <w:rFonts w:hint="eastAsia" w:ascii="宋体" w:hAnsi="宋体" w:cs="Arial"/>
          <w:b/>
          <w:color w:val="000000"/>
          <w:sz w:val="28"/>
          <w:szCs w:val="28"/>
          <w:lang w:eastAsia="zh-CN"/>
        </w:rPr>
      </w:pPr>
    </w:p>
    <w:p w14:paraId="1D6121C0">
      <w:pPr>
        <w:spacing w:afterLines="25" w:line="300" w:lineRule="auto"/>
        <w:ind w:left="420"/>
        <w:jc w:val="center"/>
        <w:rPr>
          <w:rFonts w:hint="eastAsia" w:ascii="宋体" w:hAnsi="宋体" w:cs="Arial"/>
          <w:b/>
          <w:color w:val="000000"/>
          <w:sz w:val="28"/>
          <w:szCs w:val="28"/>
          <w:lang w:eastAsia="zh-CN"/>
        </w:rPr>
      </w:pPr>
    </w:p>
    <w:p w14:paraId="41199043">
      <w:pPr>
        <w:spacing w:afterLines="25" w:line="300" w:lineRule="auto"/>
        <w:ind w:left="420"/>
        <w:jc w:val="center"/>
        <w:rPr>
          <w:rFonts w:hint="eastAsia" w:ascii="宋体" w:hAnsi="宋体" w:cs="Arial"/>
          <w:b/>
          <w:color w:val="000000"/>
          <w:sz w:val="28"/>
          <w:szCs w:val="28"/>
          <w:lang w:eastAsia="zh-CN"/>
        </w:rPr>
      </w:pPr>
    </w:p>
    <w:p w14:paraId="370BA50D">
      <w:pPr>
        <w:spacing w:afterLines="25" w:line="300" w:lineRule="auto"/>
        <w:jc w:val="both"/>
        <w:rPr>
          <w:rFonts w:hint="eastAsia" w:ascii="宋体" w:hAnsi="宋体" w:cs="Arial"/>
          <w:b/>
          <w:color w:val="000000"/>
          <w:sz w:val="28"/>
          <w:szCs w:val="28"/>
          <w:lang w:eastAsia="zh-CN"/>
        </w:rPr>
      </w:pPr>
    </w:p>
    <w:p w14:paraId="15F15449">
      <w:pPr>
        <w:spacing w:afterLines="25" w:line="300" w:lineRule="auto"/>
        <w:ind w:left="420"/>
        <w:jc w:val="center"/>
        <w:rPr>
          <w:rFonts w:hint="eastAsia" w:ascii="宋体" w:hAnsi="宋体" w:cs="Arial"/>
          <w:b/>
          <w:color w:val="000000"/>
          <w:sz w:val="28"/>
          <w:szCs w:val="28"/>
          <w:lang w:eastAsia="zh-CN"/>
        </w:rPr>
      </w:pPr>
    </w:p>
    <w:p w14:paraId="6F888131">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35" w:name="_Toc18915"/>
      <w:r>
        <w:rPr>
          <w:rFonts w:hint="eastAsia" w:cs="宋体" w:asciiTheme="majorEastAsia" w:hAnsiTheme="majorEastAsia" w:eastAsiaTheme="majorEastAsia"/>
          <w:kern w:val="2"/>
          <w:sz w:val="30"/>
          <w:szCs w:val="30"/>
          <w:lang w:val="en-US" w:eastAsia="zh-CN" w:bidi="ar-SA"/>
        </w:rPr>
        <w:t>（九）</w:t>
      </w:r>
      <w:r>
        <w:rPr>
          <w:rFonts w:hint="eastAsia" w:asciiTheme="majorEastAsia" w:hAnsiTheme="majorEastAsia" w:eastAsiaTheme="majorEastAsia"/>
          <w:sz w:val="30"/>
          <w:szCs w:val="30"/>
        </w:rPr>
        <w:t>技术规格</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主要需求</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偏离表</w:t>
      </w:r>
      <w:bookmarkEnd w:id="35"/>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7"/>
        <w:tblW w:w="9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30" w:type="dxa"/>
            <w:shd w:val="clear" w:color="auto" w:fill="EAF1DD" w:themeFill="accent3" w:themeFillTint="33"/>
            <w:vAlign w:val="center"/>
          </w:tcPr>
          <w:p w14:paraId="481DAB5C">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eastAsiaTheme="minorEastAsia"/>
                <w:color w:val="auto"/>
                <w:szCs w:val="21"/>
              </w:rPr>
              <w:t>序号</w:t>
            </w:r>
          </w:p>
        </w:tc>
        <w:tc>
          <w:tcPr>
            <w:tcW w:w="830" w:type="dxa"/>
            <w:shd w:val="clear" w:color="auto" w:fill="EAF1DD" w:themeFill="accent3" w:themeFillTint="33"/>
            <w:vAlign w:val="center"/>
          </w:tcPr>
          <w:p w14:paraId="5FB9D4F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货品名称</w:t>
            </w:r>
          </w:p>
        </w:tc>
        <w:tc>
          <w:tcPr>
            <w:tcW w:w="2515" w:type="dxa"/>
            <w:shd w:val="clear" w:color="auto" w:fill="EAF1DD" w:themeFill="accent3" w:themeFillTint="33"/>
            <w:vAlign w:val="center"/>
          </w:tcPr>
          <w:p w14:paraId="2F5E61B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rPr>
            </w:pPr>
            <w:r>
              <w:rPr>
                <w:rFonts w:hint="eastAsia" w:ascii="宋体" w:hAnsi="宋体"/>
                <w:szCs w:val="21"/>
                <w:lang w:val="en-US" w:eastAsia="zh-CN"/>
              </w:rPr>
              <w:t>招标技术要求</w:t>
            </w:r>
          </w:p>
        </w:tc>
        <w:tc>
          <w:tcPr>
            <w:tcW w:w="2341" w:type="dxa"/>
            <w:shd w:val="clear" w:color="auto" w:fill="EAF1DD" w:themeFill="accent3" w:themeFillTint="33"/>
            <w:vAlign w:val="center"/>
          </w:tcPr>
          <w:p w14:paraId="63784FC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w:t>
            </w:r>
          </w:p>
        </w:tc>
        <w:tc>
          <w:tcPr>
            <w:tcW w:w="1750" w:type="dxa"/>
            <w:shd w:val="clear" w:color="auto" w:fill="EAF1DD" w:themeFill="accent3" w:themeFillTint="33"/>
            <w:vAlign w:val="center"/>
          </w:tcPr>
          <w:p w14:paraId="6680638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5A9313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证明文件</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44414953">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szCs w:val="21"/>
              </w:rPr>
              <w:t>1</w:t>
            </w:r>
          </w:p>
        </w:tc>
        <w:tc>
          <w:tcPr>
            <w:tcW w:w="830" w:type="dxa"/>
            <w:vAlign w:val="center"/>
          </w:tcPr>
          <w:p w14:paraId="51285671">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p>
        </w:tc>
        <w:tc>
          <w:tcPr>
            <w:tcW w:w="2515" w:type="dxa"/>
            <w:vAlign w:val="center"/>
          </w:tcPr>
          <w:p w14:paraId="2491D04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A8C1FC9">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7964FF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11D6455C">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7CDBD0AC">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szCs w:val="21"/>
              </w:rPr>
              <w:t>2</w:t>
            </w:r>
          </w:p>
        </w:tc>
        <w:tc>
          <w:tcPr>
            <w:tcW w:w="830" w:type="dxa"/>
            <w:vAlign w:val="center"/>
          </w:tcPr>
          <w:p w14:paraId="16343483">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p>
        </w:tc>
        <w:tc>
          <w:tcPr>
            <w:tcW w:w="2515" w:type="dxa"/>
            <w:vAlign w:val="center"/>
          </w:tcPr>
          <w:p w14:paraId="3E6648D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3EF56D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FBF78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1DF9696A">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559E8867">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3</w:t>
            </w:r>
          </w:p>
        </w:tc>
        <w:tc>
          <w:tcPr>
            <w:tcW w:w="830" w:type="dxa"/>
            <w:vAlign w:val="center"/>
          </w:tcPr>
          <w:p w14:paraId="778A6E0A">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4BAB58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00B2E8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220D7B6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2EFB38CE">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488C66C4">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4</w:t>
            </w:r>
          </w:p>
        </w:tc>
        <w:tc>
          <w:tcPr>
            <w:tcW w:w="830" w:type="dxa"/>
            <w:vAlign w:val="center"/>
          </w:tcPr>
          <w:p w14:paraId="212791FA">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0997BCF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0EE07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8E8214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3D4E48A8">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009DD5D4">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5</w:t>
            </w:r>
          </w:p>
        </w:tc>
        <w:tc>
          <w:tcPr>
            <w:tcW w:w="830" w:type="dxa"/>
            <w:vAlign w:val="center"/>
          </w:tcPr>
          <w:p w14:paraId="77CEAF63">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1D058D3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42660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428964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015303AC">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63127AB0">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6</w:t>
            </w:r>
          </w:p>
        </w:tc>
        <w:tc>
          <w:tcPr>
            <w:tcW w:w="830" w:type="dxa"/>
            <w:vAlign w:val="center"/>
          </w:tcPr>
          <w:p w14:paraId="73B101DF">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69E79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53128E0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1EE0E7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67486C06">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30" w:type="dxa"/>
            <w:shd w:val="clear" w:color="auto" w:fill="auto"/>
            <w:vAlign w:val="center"/>
          </w:tcPr>
          <w:p w14:paraId="3136F837">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szCs w:val="21"/>
              </w:rPr>
              <w:t>……</w:t>
            </w:r>
          </w:p>
        </w:tc>
        <w:tc>
          <w:tcPr>
            <w:tcW w:w="830" w:type="dxa"/>
            <w:vAlign w:val="center"/>
          </w:tcPr>
          <w:p w14:paraId="44DBDA39">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p>
        </w:tc>
        <w:tc>
          <w:tcPr>
            <w:tcW w:w="2515" w:type="dxa"/>
            <w:vAlign w:val="center"/>
          </w:tcPr>
          <w:p w14:paraId="5E8BBAD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BF324C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AD49B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247EF327">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bl>
    <w:p w14:paraId="50518E54">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04071499">
      <w:pPr>
        <w:spacing w:line="360" w:lineRule="auto"/>
        <w:ind w:right="84" w:rightChars="40"/>
        <w:rPr>
          <w:rFonts w:hint="eastAsia" w:ascii="宋体" w:hAnsi="宋体"/>
          <w:szCs w:val="21"/>
        </w:rPr>
      </w:pPr>
      <w:r>
        <w:rPr>
          <w:rFonts w:hint="eastAsia" w:ascii="宋体" w:hAnsi="宋体"/>
          <w:szCs w:val="21"/>
        </w:rPr>
        <w:t>《</w:t>
      </w:r>
      <w:r>
        <w:rPr>
          <w:rFonts w:hint="eastAsia" w:ascii="宋体" w:hAnsi="宋体"/>
          <w:szCs w:val="21"/>
          <w:lang w:val="en-US" w:eastAsia="zh-CN"/>
        </w:rPr>
        <w:t>技术规格偏离表</w:t>
      </w:r>
      <w:r>
        <w:rPr>
          <w:rFonts w:hint="eastAsia" w:ascii="宋体" w:hAnsi="宋体"/>
          <w:szCs w:val="21"/>
        </w:rPr>
        <w:t>》编制指引：</w:t>
      </w:r>
    </w:p>
    <w:p w14:paraId="5FB2148D">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响应”一栏必须一一对照“招标</w:t>
      </w:r>
      <w:r>
        <w:rPr>
          <w:rFonts w:hint="eastAsia" w:ascii="宋体" w:hAnsi="宋体"/>
          <w:szCs w:val="21"/>
          <w:lang w:val="en-US" w:eastAsia="zh-CN"/>
        </w:rPr>
        <w:t>技术</w:t>
      </w:r>
      <w:r>
        <w:rPr>
          <w:rFonts w:hint="eastAsia" w:ascii="宋体" w:hAnsi="宋体"/>
          <w:szCs w:val="21"/>
        </w:rPr>
        <w:t>要求”，详细填写自身响应情况，而不能不合理照搬照抄招标文件的商务要求，以体现具体响应情况。</w:t>
      </w:r>
    </w:p>
    <w:p w14:paraId="5E7709C8">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1F5FBAF">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5521E149">
      <w:pPr>
        <w:adjustRightInd w:val="0"/>
        <w:snapToGrid w:val="0"/>
        <w:spacing w:line="300" w:lineRule="auto"/>
        <w:rPr>
          <w:rFonts w:hint="eastAsia" w:ascii="宋体" w:hAnsi="宋体" w:eastAsia="宋体" w:cs="宋体"/>
          <w:sz w:val="24"/>
          <w:highlight w:val="none"/>
        </w:rPr>
      </w:pPr>
    </w:p>
    <w:p w14:paraId="2D7347C3">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F36244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78E62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5A12BB44">
      <w:pPr>
        <w:rPr>
          <w:color w:val="000000"/>
        </w:rPr>
      </w:pPr>
    </w:p>
    <w:p w14:paraId="0871B20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2970BA39">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51E94B8">
      <w:pPr>
        <w:spacing w:after="60"/>
        <w:ind w:firstLine="2100" w:firstLineChars="1000"/>
        <w:jc w:val="both"/>
        <w:rPr>
          <w:rFonts w:hint="eastAsia" w:cs="Arial"/>
          <w:b/>
          <w:color w:val="000000"/>
          <w:sz w:val="28"/>
          <w:szCs w:val="28"/>
        </w:rPr>
      </w:pPr>
      <w:r>
        <w:rPr>
          <w:rFonts w:hint="eastAsia" w:ascii="宋体" w:hAnsi="宋体" w:cs="宋体"/>
          <w:color w:val="000000" w:themeColor="text1"/>
          <w:szCs w:val="21"/>
          <w14:textFill>
            <w14:solidFill>
              <w14:schemeClr w14:val="tx1"/>
            </w14:solidFill>
          </w14:textFill>
        </w:rPr>
        <w:t xml:space="preserve">  </w:t>
      </w:r>
    </w:p>
    <w:p w14:paraId="26710D5F">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36" w:name="_Toc29077"/>
      <w:bookmarkStart w:id="37" w:name="_Toc275865605"/>
      <w:bookmarkStart w:id="38" w:name="_Toc24434"/>
      <w:bookmarkStart w:id="39" w:name="_Toc435514854"/>
      <w:bookmarkStart w:id="40" w:name="_Toc1762"/>
      <w:bookmarkStart w:id="41" w:name="_Toc20322_WPSOffice_Level1"/>
      <w:bookmarkStart w:id="42" w:name="_Toc9447"/>
      <w:bookmarkStart w:id="43" w:name="_Toc435515294"/>
      <w:r>
        <w:rPr>
          <w:rFonts w:hint="eastAsia" w:cs="宋体" w:asciiTheme="majorEastAsia" w:hAnsiTheme="majorEastAsia" w:eastAsiaTheme="majorEastAsia"/>
          <w:kern w:val="2"/>
          <w:sz w:val="30"/>
          <w:szCs w:val="30"/>
          <w:lang w:val="en-US" w:eastAsia="zh-CN" w:bidi="ar-SA"/>
        </w:rPr>
        <w:t>（十）</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36"/>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7"/>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5D47DA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Cs w:val="21"/>
                <w:lang w:val="en-US" w:eastAsia="zh-CN"/>
              </w:rPr>
            </w:pPr>
            <w:r>
              <w:rPr>
                <w:rFonts w:hint="eastAsia" w:ascii="宋体" w:hAnsi="宋体"/>
                <w:szCs w:val="21"/>
                <w:lang w:val="en-US" w:eastAsia="zh-CN"/>
              </w:rPr>
              <w:t>招标</w:t>
            </w:r>
            <w:r>
              <w:rPr>
                <w:rFonts w:hint="eastAsia" w:ascii="宋体" w:hAnsi="宋体"/>
                <w:szCs w:val="21"/>
              </w:rPr>
              <w:t>商务</w:t>
            </w:r>
            <w:r>
              <w:rPr>
                <w:rFonts w:hint="eastAsia" w:ascii="宋体" w:hAnsi="宋体"/>
                <w:szCs w:val="21"/>
                <w:lang w:val="en-US" w:eastAsia="zh-CN"/>
              </w:rPr>
              <w:t>要求</w:t>
            </w:r>
          </w:p>
        </w:tc>
        <w:tc>
          <w:tcPr>
            <w:tcW w:w="2341" w:type="dxa"/>
            <w:shd w:val="clear" w:color="auto" w:fill="EAF1DD" w:themeFill="accent3" w:themeFillTint="33"/>
            <w:vAlign w:val="center"/>
          </w:tcPr>
          <w:p w14:paraId="5A5F691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投标商务响应</w:t>
            </w:r>
          </w:p>
        </w:tc>
        <w:tc>
          <w:tcPr>
            <w:tcW w:w="1750" w:type="dxa"/>
            <w:shd w:val="clear" w:color="auto" w:fill="EAF1DD" w:themeFill="accent3" w:themeFillTint="33"/>
            <w:vAlign w:val="center"/>
          </w:tcPr>
          <w:p w14:paraId="5EB892D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174B985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1C7FE1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E3F4AE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4721E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91D2ADB">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4141B8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9B22E1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7B37A5E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CD5563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173AC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2D282E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F34C41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07101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95AB4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D97C41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FA1D5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DF40B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3B51D46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B65CDB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08BE62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0DFCF1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AE040F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1F5586D6">
      <w:pPr>
        <w:spacing w:line="360" w:lineRule="auto"/>
        <w:ind w:right="84" w:rightChars="40"/>
        <w:rPr>
          <w:rFonts w:hint="eastAsia" w:ascii="宋体" w:hAnsi="宋体"/>
          <w:szCs w:val="21"/>
        </w:rPr>
      </w:pPr>
      <w:r>
        <w:rPr>
          <w:rFonts w:hint="eastAsia" w:ascii="宋体" w:hAnsi="宋体"/>
          <w:szCs w:val="21"/>
        </w:rPr>
        <w:t>《商务条款响应</w:t>
      </w:r>
      <w:r>
        <w:rPr>
          <w:rFonts w:hint="eastAsia" w:ascii="宋体" w:hAnsi="宋体"/>
          <w:szCs w:val="21"/>
          <w:lang w:val="en-US" w:eastAsia="zh-CN"/>
        </w:rPr>
        <w:t>一栏表</w:t>
      </w:r>
      <w:r>
        <w:rPr>
          <w:rFonts w:hint="eastAsia" w:ascii="宋体" w:hAnsi="宋体"/>
          <w:szCs w:val="21"/>
        </w:rPr>
        <w:t>》编制指引：</w:t>
      </w:r>
    </w:p>
    <w:p w14:paraId="4E2607C5">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、“投标商务响应”一栏必须一一对照“招标商务要求”，详细填写自身响应情况，而不能不合理照搬照抄招标文件的商务要求，以体现具体响应情况。</w:t>
      </w:r>
    </w:p>
    <w:p w14:paraId="401E1F14">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商务</w:t>
      </w:r>
      <w:r>
        <w:rPr>
          <w:rFonts w:hint="eastAsia" w:ascii="宋体" w:hAnsi="宋体"/>
          <w:szCs w:val="21"/>
        </w:rPr>
        <w:t>响应优于招标商务要求”，“负偏离”表示“投标</w:t>
      </w:r>
      <w:r>
        <w:rPr>
          <w:rFonts w:hint="eastAsia" w:ascii="宋体" w:hAnsi="宋体"/>
          <w:szCs w:val="21"/>
          <w:lang w:val="en-US" w:eastAsia="zh-CN"/>
        </w:rPr>
        <w:t>商务</w:t>
      </w:r>
      <w:r>
        <w:rPr>
          <w:rFonts w:hint="eastAsia" w:ascii="宋体" w:hAnsi="宋体"/>
          <w:szCs w:val="21"/>
        </w:rPr>
        <w:t>响应不满足招标商务要求”，“无偏离”表示“投标</w:t>
      </w:r>
      <w:r>
        <w:rPr>
          <w:rFonts w:hint="eastAsia" w:ascii="宋体" w:hAnsi="宋体"/>
          <w:szCs w:val="21"/>
          <w:lang w:val="en-US" w:eastAsia="zh-CN"/>
        </w:rPr>
        <w:t>商务</w:t>
      </w:r>
      <w:r>
        <w:rPr>
          <w:rFonts w:hint="eastAsia" w:ascii="宋体" w:hAnsi="宋体"/>
          <w:szCs w:val="21"/>
        </w:rPr>
        <w:t>响应与招标商务要求一致”。</w:t>
      </w:r>
    </w:p>
    <w:p w14:paraId="381E0A73">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、“投标商务响应”对比“招标商务要求”存在响应不全（包括未响应整项招标商务要求或者未响应一项招标商务要求的部分内容），均视为“负偏离”。</w:t>
      </w:r>
    </w:p>
    <w:p w14:paraId="0D577773">
      <w:pPr>
        <w:adjustRightInd w:val="0"/>
        <w:snapToGrid w:val="0"/>
        <w:spacing w:line="300" w:lineRule="auto"/>
        <w:rPr>
          <w:rFonts w:hint="eastAsia" w:ascii="宋体" w:hAnsi="宋体" w:eastAsia="宋体" w:cs="宋体"/>
          <w:sz w:val="24"/>
          <w:highlight w:val="none"/>
        </w:rPr>
      </w:pPr>
    </w:p>
    <w:p w14:paraId="3DEAE6B1">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0FCA40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3EC51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121E48A7">
      <w:pPr>
        <w:keepNext/>
        <w:keepLines/>
        <w:widowControl w:val="0"/>
        <w:numPr>
          <w:ilvl w:val="0"/>
          <w:numId w:val="0"/>
        </w:numPr>
        <w:spacing w:line="240" w:lineRule="auto"/>
        <w:jc w:val="center"/>
        <w:outlineLvl w:val="9"/>
        <w:rPr>
          <w:rFonts w:hint="eastAsia" w:asciiTheme="majorEastAsia" w:hAnsiTheme="majorEastAsia" w:eastAsiaTheme="majorEastAsia" w:cstheme="minorBidi"/>
          <w:b/>
          <w:kern w:val="44"/>
          <w:sz w:val="30"/>
          <w:szCs w:val="30"/>
          <w:lang w:val="en-US" w:eastAsia="zh-CN" w:bidi="ar-SA"/>
        </w:rPr>
      </w:pPr>
    </w:p>
    <w:p w14:paraId="14CAA0C3">
      <w:pPr>
        <w:rPr>
          <w:rFonts w:hint="eastAsia" w:asciiTheme="majorEastAsia" w:hAnsiTheme="majorEastAsia" w:eastAsiaTheme="majorEastAsia"/>
          <w:sz w:val="30"/>
          <w:szCs w:val="30"/>
          <w:lang w:eastAsia="zh-CN"/>
        </w:rPr>
      </w:pPr>
    </w:p>
    <w:p w14:paraId="27022725">
      <w:pPr>
        <w:rPr>
          <w:rFonts w:hint="eastAsia" w:asciiTheme="majorEastAsia" w:hAnsiTheme="majorEastAsia" w:eastAsiaTheme="majorEastAsia"/>
          <w:sz w:val="30"/>
          <w:szCs w:val="30"/>
          <w:lang w:eastAsia="zh-CN"/>
        </w:rPr>
      </w:pPr>
    </w:p>
    <w:p w14:paraId="6118258B">
      <w:pPr>
        <w:rPr>
          <w:rFonts w:hint="eastAsia"/>
          <w:lang w:eastAsia="zh-CN"/>
        </w:rPr>
      </w:pPr>
    </w:p>
    <w:p w14:paraId="51884ACB">
      <w:pPr>
        <w:pStyle w:val="2"/>
        <w:numPr>
          <w:ilvl w:val="0"/>
          <w:numId w:val="0"/>
        </w:numPr>
        <w:spacing w:line="240" w:lineRule="auto"/>
        <w:jc w:val="center"/>
        <w:rPr>
          <w:rFonts w:hint="eastAsia" w:cs="宋体" w:asciiTheme="majorEastAsia" w:hAnsiTheme="majorEastAsia" w:eastAsiaTheme="majorEastAsia"/>
          <w:b w:val="0"/>
          <w:kern w:val="2"/>
          <w:sz w:val="30"/>
          <w:szCs w:val="30"/>
          <w:lang w:val="en-US" w:eastAsia="zh-CN" w:bidi="ar-SA"/>
        </w:rPr>
      </w:pPr>
      <w:bookmarkStart w:id="44" w:name="_Toc28894"/>
      <w:r>
        <w:rPr>
          <w:rFonts w:hint="eastAsia" w:cs="宋体" w:asciiTheme="majorEastAsia" w:hAnsiTheme="majorEastAsia" w:eastAsiaTheme="majorEastAsia"/>
          <w:b w:val="0"/>
          <w:kern w:val="2"/>
          <w:sz w:val="30"/>
          <w:szCs w:val="30"/>
          <w:lang w:val="en-US" w:eastAsia="zh-CN" w:bidi="ar-SA"/>
        </w:rPr>
        <w:t>（十一）投标函</w:t>
      </w:r>
      <w:bookmarkEnd w:id="37"/>
      <w:bookmarkEnd w:id="38"/>
      <w:bookmarkEnd w:id="39"/>
      <w:bookmarkEnd w:id="40"/>
      <w:bookmarkEnd w:id="41"/>
      <w:bookmarkEnd w:id="42"/>
      <w:bookmarkEnd w:id="43"/>
      <w:bookmarkEnd w:id="44"/>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21"/>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21"/>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lang w:val="en-US" w:eastAsia="zh-CN"/>
        </w:rPr>
        <w:t>120</w:t>
      </w:r>
      <w:r>
        <w:rPr>
          <w:rFonts w:hint="eastAsia" w:ascii="宋体" w:hAnsi="宋体"/>
          <w:b/>
        </w:rPr>
        <w:t>日历日内有效。</w:t>
      </w:r>
    </w:p>
    <w:p w14:paraId="78A9D3C3">
      <w:pPr>
        <w:numPr>
          <w:ilvl w:val="0"/>
          <w:numId w:val="21"/>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21"/>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21"/>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21"/>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21"/>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21"/>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21"/>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21"/>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21"/>
        </w:numPr>
        <w:tabs>
          <w:tab w:val="clear" w:pos="780"/>
        </w:tabs>
        <w:snapToGrid w:val="0"/>
        <w:spacing w:line="360" w:lineRule="auto"/>
        <w:ind w:left="426"/>
        <w:outlineLvl w:val="9"/>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9"/>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45" w:name="_Toc435515295"/>
      <w:bookmarkStart w:id="46" w:name="_Toc275865606"/>
      <w:bookmarkStart w:id="47" w:name="_Toc24650"/>
      <w:bookmarkStart w:id="48" w:name="_Toc435514855"/>
      <w:bookmarkStart w:id="49" w:name="_Toc7805"/>
      <w:bookmarkStart w:id="50" w:name="_Toc26831"/>
      <w:bookmarkStart w:id="51" w:name="_Toc4649"/>
      <w:r>
        <w:rPr>
          <w:rFonts w:hint="eastAsia" w:cs="宋体" w:asciiTheme="majorEastAsia" w:hAnsiTheme="majorEastAsia" w:eastAsiaTheme="majorEastAsia"/>
          <w:kern w:val="2"/>
          <w:sz w:val="30"/>
          <w:szCs w:val="30"/>
          <w:lang w:val="en-US" w:eastAsia="zh-CN" w:bidi="ar-SA"/>
        </w:rPr>
        <w:t>（十二）</w:t>
      </w:r>
      <w:r>
        <w:rPr>
          <w:rFonts w:hint="eastAsia" w:asciiTheme="majorEastAsia" w:hAnsiTheme="majorEastAsia" w:eastAsiaTheme="majorEastAsia"/>
          <w:sz w:val="30"/>
          <w:szCs w:val="30"/>
        </w:rPr>
        <w:t>投标人资格声明函</w:t>
      </w:r>
      <w:bookmarkEnd w:id="45"/>
      <w:bookmarkEnd w:id="46"/>
      <w:bookmarkEnd w:id="47"/>
      <w:bookmarkEnd w:id="48"/>
      <w:bookmarkEnd w:id="49"/>
      <w:bookmarkEnd w:id="50"/>
      <w:bookmarkEnd w:id="51"/>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25"/>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22"/>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22"/>
        </w:numPr>
        <w:spacing w:line="360" w:lineRule="auto"/>
        <w:ind w:right="-815" w:firstLineChars="200"/>
        <w:outlineLvl w:val="9"/>
        <w:rPr>
          <w:rFonts w:ascii="宋体" w:hAnsi="宋体"/>
          <w:szCs w:val="21"/>
        </w:rPr>
      </w:pPr>
      <w:r>
        <w:rPr>
          <w:rFonts w:hint="eastAsia" w:ascii="宋体" w:hAnsi="宋体"/>
          <w:szCs w:val="21"/>
        </w:rPr>
        <w:t>我公司对本招标项目所提供的货物或服务未侵犯知识产权。</w:t>
      </w:r>
    </w:p>
    <w:p w14:paraId="6CC207C4">
      <w:pPr>
        <w:numPr>
          <w:ilvl w:val="0"/>
          <w:numId w:val="22"/>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22"/>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22"/>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22"/>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22"/>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22"/>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22"/>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22"/>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22"/>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9"/>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9"/>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0"/>
        <w:rPr>
          <w:rFonts w:hint="eastAsia" w:ascii="宋体" w:hAnsi="宋体" w:eastAsia="宋体" w:cs="宋体"/>
          <w:b/>
          <w:bCs/>
          <w:color w:val="auto"/>
          <w:sz w:val="36"/>
          <w:szCs w:val="36"/>
          <w:highlight w:val="none"/>
        </w:rPr>
      </w:pPr>
      <w:bookmarkStart w:id="52" w:name="_承诺函"/>
      <w:bookmarkEnd w:id="52"/>
      <w:bookmarkStart w:id="53" w:name="_Toc32186"/>
      <w:bookmarkStart w:id="54" w:name="_Toc21707"/>
      <w:bookmarkStart w:id="55" w:name="_Toc435514859"/>
      <w:bookmarkStart w:id="56" w:name="_Toc27672"/>
      <w:bookmarkStart w:id="57" w:name="_Toc275865607"/>
      <w:bookmarkStart w:id="58" w:name="_Toc50736477"/>
      <w:bookmarkStart w:id="59" w:name="_Toc50737297"/>
      <w:bookmarkStart w:id="60" w:name="_Toc50737329"/>
      <w:bookmarkStart w:id="61" w:name="_Toc435515299"/>
      <w:bookmarkStart w:id="62" w:name="_Toc24149"/>
      <w:bookmarkStart w:id="63" w:name="_Toc52165081"/>
      <w:bookmarkStart w:id="64" w:name="_Toc50737328"/>
      <w:bookmarkStart w:id="65" w:name="_Toc52165080"/>
      <w:bookmarkStart w:id="66" w:name="_Toc50736476"/>
      <w:bookmarkStart w:id="67" w:name="_Toc50737296"/>
      <w:bookmarkStart w:id="68" w:name="_Toc50691034"/>
      <w:r>
        <w:rPr>
          <w:rFonts w:hint="eastAsia" w:cs="宋体" w:asciiTheme="majorEastAsia" w:hAnsiTheme="majorEastAsia" w:eastAsiaTheme="majorEastAsia"/>
          <w:kern w:val="2"/>
          <w:sz w:val="30"/>
          <w:szCs w:val="30"/>
          <w:lang w:val="en-US" w:eastAsia="zh-CN" w:bidi="ar-SA"/>
        </w:rPr>
        <w:t>（十三）政府采购违法行为风险知悉确认书</w:t>
      </w:r>
      <w:bookmarkEnd w:id="53"/>
      <w:bookmarkEnd w:id="54"/>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26"/>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rPr>
          <w:trHeight w:val="304" w:hRule="atLeast"/>
          <w:jc w:val="center"/>
        </w:trPr>
        <w:tc>
          <w:tcPr>
            <w:tcW w:w="8529" w:type="dxa"/>
            <w:tcBorders>
              <w:top w:val="nil"/>
              <w:left w:val="nil"/>
              <w:bottom w:val="single" w:color="000000" w:sz="8" w:space="0"/>
              <w:right w:val="nil"/>
            </w:tcBorders>
            <w:noWrap w:val="0"/>
            <w:vAlign w:val="top"/>
          </w:tcPr>
          <w:p w14:paraId="51BCFE1D">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3"/>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3"/>
        <w:numPr>
          <w:ilvl w:val="0"/>
          <w:numId w:val="0"/>
        </w:numPr>
        <w:spacing w:line="240" w:lineRule="auto"/>
        <w:ind w:left="0" w:leftChars="0" w:firstLine="0" w:firstLineChars="0"/>
        <w:jc w:val="center"/>
        <w:outlineLvl w:val="0"/>
        <w:rPr>
          <w:rFonts w:asciiTheme="majorEastAsia" w:hAnsiTheme="majorEastAsia" w:eastAsiaTheme="majorEastAsia"/>
          <w:sz w:val="30"/>
          <w:szCs w:val="30"/>
        </w:rPr>
      </w:pPr>
      <w:bookmarkStart w:id="69" w:name="_Toc13791"/>
      <w:bookmarkStart w:id="70" w:name="_Toc24374"/>
      <w:r>
        <w:rPr>
          <w:rFonts w:hint="eastAsia" w:cs="宋体" w:asciiTheme="majorEastAsia" w:hAnsiTheme="majorEastAsia" w:eastAsiaTheme="majorEastAsia"/>
          <w:kern w:val="2"/>
          <w:sz w:val="30"/>
          <w:szCs w:val="30"/>
          <w:lang w:val="en-US" w:eastAsia="zh-CN" w:bidi="ar-SA"/>
        </w:rPr>
        <w:t>（十四）</w:t>
      </w:r>
      <w:r>
        <w:rPr>
          <w:rFonts w:hint="eastAsia" w:asciiTheme="majorEastAsia" w:hAnsiTheme="majorEastAsia" w:eastAsiaTheme="majorEastAsia"/>
          <w:sz w:val="30"/>
          <w:szCs w:val="30"/>
        </w:rPr>
        <w:t>法定代表人授权委托书</w:t>
      </w:r>
      <w:bookmarkEnd w:id="55"/>
      <w:bookmarkEnd w:id="56"/>
      <w:bookmarkEnd w:id="57"/>
      <w:bookmarkEnd w:id="58"/>
      <w:bookmarkEnd w:id="59"/>
      <w:bookmarkEnd w:id="60"/>
      <w:bookmarkEnd w:id="61"/>
      <w:bookmarkEnd w:id="62"/>
      <w:bookmarkEnd w:id="63"/>
      <w:bookmarkEnd w:id="69"/>
      <w:bookmarkEnd w:id="70"/>
    </w:p>
    <w:p w14:paraId="232C51C3">
      <w:pPr>
        <w:pStyle w:val="10"/>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10"/>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9"/>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7"/>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71" w:name="_Toc435515300"/>
      <w:bookmarkStart w:id="72" w:name="_Toc435514860"/>
      <w:bookmarkStart w:id="73" w:name="_Toc275865608"/>
      <w:bookmarkStart w:id="74" w:name="_Toc14289"/>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备注：如参加开标时需另外单独提供法定代表人证明书或者法人代表授权委托书。</w:t>
      </w:r>
      <w:r>
        <w:rPr>
          <w:rFonts w:hint="eastAsia" w:asciiTheme="majorEastAsia" w:hAnsiTheme="majorEastAsia" w:eastAsiaTheme="majorEastAsia"/>
          <w:sz w:val="30"/>
          <w:szCs w:val="30"/>
        </w:rPr>
        <w:br w:type="page"/>
      </w:r>
    </w:p>
    <w:bookmarkEnd w:id="64"/>
    <w:bookmarkEnd w:id="65"/>
    <w:bookmarkEnd w:id="66"/>
    <w:bookmarkEnd w:id="67"/>
    <w:bookmarkEnd w:id="68"/>
    <w:bookmarkEnd w:id="71"/>
    <w:bookmarkEnd w:id="72"/>
    <w:bookmarkEnd w:id="73"/>
    <w:bookmarkEnd w:id="74"/>
    <w:p w14:paraId="0DE7F0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5" w:name="_Toc6666"/>
      <w:bookmarkStart w:id="76" w:name="_Toc571"/>
      <w:bookmarkStart w:id="77" w:name="_Toc21402"/>
      <w:bookmarkStart w:id="78" w:name="_Toc7067"/>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75"/>
      <w:bookmarkEnd w:id="76"/>
      <w:bookmarkEnd w:id="77"/>
    </w:p>
    <w:p w14:paraId="183B5364">
      <w:pPr>
        <w:spacing w:line="360" w:lineRule="auto"/>
        <w:ind w:firstLine="422" w:firstLineChars="200"/>
        <w:rPr>
          <w:rFonts w:hint="eastAsia" w:ascii="宋体" w:hAnsi="宋体" w:eastAsia="宋体" w:cs="宋体"/>
          <w:b/>
          <w:bCs w:val="0"/>
          <w:color w:val="auto"/>
          <w:kern w:val="0"/>
          <w:sz w:val="21"/>
          <w:szCs w:val="21"/>
          <w:highlight w:val="none"/>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08A4F398">
      <w:pPr>
        <w:spacing w:line="360" w:lineRule="auto"/>
        <w:jc w:val="center"/>
        <w:rPr>
          <w:rFonts w:hint="eastAsia" w:ascii="宋体" w:hAnsi="宋体" w:eastAsia="宋体" w:cs="宋体"/>
          <w:bCs/>
          <w:color w:val="auto"/>
          <w:sz w:val="21"/>
          <w:szCs w:val="21"/>
        </w:rPr>
      </w:pPr>
    </w:p>
    <w:p w14:paraId="213D1939">
      <w:pPr>
        <w:pStyle w:val="7"/>
        <w:tabs>
          <w:tab w:val="left" w:pos="562"/>
          <w:tab w:val="left" w:pos="3372"/>
          <w:tab w:val="left" w:pos="3653"/>
        </w:tabs>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rPr>
        <w:t>(说明:被授权人（授权代表）社保证明文件仅</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为核查供应商是否存在《深圳经济特区政府采购条例实施细则》第七十九条规定的“项目投标授权代表人不得在同一单位或者在同一单位缴纳社会保险”的情形，该证明文件不</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 xml:space="preserve">为废标条款。投标供应商应知悉《深圳经济特区政府采购条例实施细则》第七十九条的规定，如供应商未提供被授权人（授权代表）社保证明文件，且出现“项目投标授权代表人在同一单位或者在同一单位缴纳社会保险”情形的，投标供应商应承担相应的法律责任) </w:t>
      </w:r>
    </w:p>
    <w:p w14:paraId="08E7BD5D">
      <w:r>
        <w:br w:type="page"/>
      </w:r>
    </w:p>
    <w:p w14:paraId="7B3B68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9" w:name="_Toc29263"/>
      <w:bookmarkStart w:id="80" w:name="_Toc10390"/>
      <w:bookmarkStart w:id="81" w:name="_Toc24233"/>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rPr>
        <w:t>法定代表人证明书</w:t>
      </w:r>
      <w:bookmarkEnd w:id="78"/>
      <w:bookmarkEnd w:id="79"/>
      <w:bookmarkEnd w:id="80"/>
      <w:bookmarkEnd w:id="81"/>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9"/>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spacing w:line="5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3"/>
        <w:numPr>
          <w:ilvl w:val="0"/>
          <w:numId w:val="0"/>
        </w:numPr>
        <w:spacing w:line="240" w:lineRule="auto"/>
        <w:ind w:left="420" w:leftChars="0" w:hanging="420" w:firstLineChars="0"/>
        <w:jc w:val="center"/>
        <w:outlineLvl w:val="0"/>
        <w:rPr>
          <w:rFonts w:ascii="宋体" w:hAnsi="宋体" w:eastAsia="宋体"/>
          <w:sz w:val="30"/>
          <w:szCs w:val="30"/>
        </w:rPr>
      </w:pPr>
      <w:bookmarkStart w:id="82" w:name="_Toc30412"/>
      <w:bookmarkStart w:id="83" w:name="_Toc24644"/>
      <w:bookmarkStart w:id="84" w:name="_Toc23830"/>
      <w:r>
        <w:rPr>
          <w:rFonts w:hint="eastAsia" w:ascii="宋体" w:hAnsi="宋体" w:eastAsia="宋体" w:cs="宋体"/>
          <w:kern w:val="2"/>
          <w:sz w:val="30"/>
          <w:szCs w:val="30"/>
          <w:lang w:val="en-US" w:eastAsia="zh-CN" w:bidi="ar-SA"/>
        </w:rPr>
        <w:t>（十七）</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82"/>
      <w:bookmarkEnd w:id="83"/>
      <w:bookmarkEnd w:id="84"/>
    </w:p>
    <w:p w14:paraId="4E6988C2">
      <w:pPr>
        <w:rPr>
          <w:rFonts w:hint="eastAsia" w:ascii="宋体" w:hAnsi="宋体"/>
          <w:color w:val="auto"/>
          <w:szCs w:val="21"/>
          <w:highlight w:val="none"/>
          <w:lang w:val="en-US" w:eastAsia="zh-CN"/>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r>
        <w:rPr>
          <w:rFonts w:hint="eastAsia" w:ascii="宋体" w:hAnsi="宋体"/>
          <w:color w:val="auto"/>
          <w:szCs w:val="21"/>
          <w:highlight w:val="none"/>
          <w:lang w:val="en-US" w:eastAsia="zh-CN"/>
        </w:rPr>
        <w:br w:type="page"/>
      </w:r>
    </w:p>
    <w:p w14:paraId="6C6A5DD0">
      <w:pPr>
        <w:pStyle w:val="3"/>
        <w:numPr>
          <w:ilvl w:val="0"/>
          <w:numId w:val="0"/>
        </w:numPr>
        <w:spacing w:line="240" w:lineRule="auto"/>
        <w:ind w:left="420" w:leftChars="0" w:hanging="420" w:firstLineChars="0"/>
        <w:jc w:val="center"/>
        <w:outlineLvl w:val="0"/>
        <w:rPr>
          <w:rFonts w:ascii="宋体" w:hAnsi="宋体" w:eastAsia="宋体"/>
          <w:color w:val="auto"/>
          <w:sz w:val="30"/>
          <w:szCs w:val="30"/>
        </w:rPr>
      </w:pPr>
      <w:bookmarkStart w:id="85" w:name="_Toc2305"/>
      <w:bookmarkStart w:id="86" w:name="_Toc25910"/>
      <w:bookmarkStart w:id="87" w:name="_Toc7126"/>
      <w:bookmarkStart w:id="88" w:name="_Toc777"/>
      <w:bookmarkStart w:id="89" w:name="_Toc15871"/>
      <w:bookmarkStart w:id="90" w:name="_Toc11926"/>
      <w:bookmarkStart w:id="91" w:name="_Toc1903"/>
      <w:bookmarkStart w:id="92" w:name="_Toc11352"/>
      <w:r>
        <w:rPr>
          <w:rFonts w:hint="eastAsia" w:ascii="宋体" w:hAnsi="宋体" w:eastAsia="宋体" w:cs="宋体"/>
          <w:color w:val="auto"/>
          <w:kern w:val="2"/>
          <w:sz w:val="30"/>
          <w:szCs w:val="30"/>
          <w:lang w:val="en-US" w:eastAsia="zh-CN" w:bidi="ar-SA"/>
        </w:rPr>
        <w:t>（十八）</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85"/>
      <w:bookmarkEnd w:id="86"/>
      <w:bookmarkEnd w:id="87"/>
      <w:bookmarkEnd w:id="88"/>
      <w:bookmarkEnd w:id="89"/>
      <w:bookmarkEnd w:id="90"/>
      <w:bookmarkEnd w:id="91"/>
      <w:bookmarkEnd w:id="92"/>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790DCE5D">
      <w:pPr>
        <w:pStyle w:val="7"/>
        <w:rPr>
          <w:b/>
          <w:bCs/>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49129845">
      <w:pPr>
        <w:spacing w:line="500" w:lineRule="exact"/>
        <w:rPr>
          <w:rFonts w:ascii="宋体" w:hAnsi="宋体"/>
        </w:rPr>
      </w:pPr>
    </w:p>
    <w:p w14:paraId="0B1E9164">
      <w:pPr>
        <w:rPr>
          <w:rFonts w:hint="eastAsia"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16B3BBAB">
      <w:pPr>
        <w:pStyle w:val="3"/>
        <w:numPr>
          <w:ilvl w:val="0"/>
          <w:numId w:val="0"/>
        </w:numPr>
        <w:ind w:left="0" w:leftChars="0" w:firstLine="0" w:firstLineChars="0"/>
        <w:jc w:val="center"/>
        <w:outlineLvl w:val="0"/>
        <w:rPr>
          <w:rFonts w:ascii="宋体" w:hAnsi="宋体"/>
          <w:sz w:val="30"/>
          <w:szCs w:val="30"/>
        </w:rPr>
      </w:pPr>
      <w:bookmarkStart w:id="93" w:name="_Toc11555"/>
      <w:bookmarkStart w:id="94" w:name="_Toc23208"/>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十九</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bookmarkEnd w:id="93"/>
      <w:bookmarkEnd w:id="94"/>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9"/>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9"/>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9"/>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9"/>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03C066D2">
      <w:pPr>
        <w:ind w:right="-517" w:rightChars="-246"/>
        <w:jc w:val="center"/>
        <w:outlineLvl w:val="0"/>
        <w:rPr>
          <w:rFonts w:ascii="宋体" w:hAnsi="宋体"/>
          <w:b/>
          <w:bCs/>
          <w:snapToGrid w:val="0"/>
          <w:kern w:val="0"/>
          <w:sz w:val="32"/>
          <w:szCs w:val="32"/>
        </w:rPr>
      </w:pPr>
      <w:bookmarkStart w:id="95" w:name="_Toc7852"/>
      <w:bookmarkStart w:id="96" w:name="_Toc12169"/>
      <w:r>
        <w:rPr>
          <w:rFonts w:hint="eastAsia" w:cs="宋体" w:asciiTheme="majorEastAsia" w:hAnsiTheme="majorEastAsia" w:eastAsiaTheme="majorEastAsia"/>
          <w:kern w:val="2"/>
          <w:sz w:val="30"/>
          <w:szCs w:val="30"/>
          <w:lang w:val="en-US" w:eastAsia="zh-CN" w:bidi="ar-SA"/>
        </w:rPr>
        <w:t>（二十）福田区第二人民医院医用耗材产品质量及货源保证书</w:t>
      </w:r>
      <w:bookmarkEnd w:id="95"/>
    </w:p>
    <w:p w14:paraId="24F2A31D">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14:paraId="488CF78A">
      <w:pPr>
        <w:adjustRightInd w:val="0"/>
        <w:snapToGrid w:val="0"/>
        <w:spacing w:line="360" w:lineRule="auto"/>
        <w:ind w:right="-61" w:rightChars="-29"/>
        <w:rPr>
          <w:rFonts w:hint="eastAsia" w:ascii="宋体" w:hAnsi="宋体"/>
          <w:bCs/>
          <w:sz w:val="24"/>
        </w:rPr>
      </w:pPr>
    </w:p>
    <w:p w14:paraId="0DCC0D28">
      <w:pPr>
        <w:adjustRightInd w:val="0"/>
        <w:snapToGrid w:val="0"/>
        <w:spacing w:line="360" w:lineRule="auto"/>
        <w:ind w:right="-61" w:rightChars="-29"/>
        <w:rPr>
          <w:rFonts w:ascii="宋体" w:hAnsi="宋体"/>
          <w:bCs/>
          <w:sz w:val="24"/>
        </w:rPr>
      </w:pPr>
      <w:r>
        <w:rPr>
          <w:rFonts w:hint="eastAsia" w:ascii="宋体" w:hAnsi="宋体"/>
          <w:bCs/>
          <w:sz w:val="24"/>
        </w:rPr>
        <w:t>致：深圳市福田</w:t>
      </w:r>
      <w:r>
        <w:rPr>
          <w:rFonts w:hint="eastAsia" w:ascii="宋体" w:hAnsi="宋体"/>
          <w:bCs/>
          <w:sz w:val="24"/>
          <w:lang w:val="en-US" w:eastAsia="zh-CN"/>
        </w:rPr>
        <w:t>区</w:t>
      </w:r>
      <w:r>
        <w:rPr>
          <w:rFonts w:hint="eastAsia" w:ascii="宋体" w:hAnsi="宋体"/>
          <w:bCs/>
          <w:sz w:val="24"/>
        </w:rPr>
        <w:t>第二人民医院</w:t>
      </w:r>
    </w:p>
    <w:p w14:paraId="6A363436">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14:paraId="093F31CE">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14:paraId="5D79EBCB">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14:paraId="0E7BCC23">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14:paraId="0AA110C4">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14:paraId="09F07223">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14:paraId="1ECD042D">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14:paraId="1383A58E">
      <w:pPr>
        <w:adjustRightInd w:val="0"/>
        <w:snapToGrid w:val="0"/>
        <w:spacing w:line="360" w:lineRule="auto"/>
        <w:ind w:firstLine="420" w:firstLineChars="200"/>
        <w:rPr>
          <w:rFonts w:ascii="宋体" w:hAnsi="宋体" w:cs="宋体"/>
          <w:snapToGrid w:val="0"/>
          <w:kern w:val="0"/>
          <w:szCs w:val="21"/>
          <w:u w:val="single"/>
        </w:rPr>
      </w:pPr>
    </w:p>
    <w:p w14:paraId="2C803421">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14:paraId="2DCFF11E">
      <w:pPr>
        <w:adjustRightInd w:val="0"/>
        <w:snapToGrid w:val="0"/>
        <w:spacing w:line="360" w:lineRule="auto"/>
        <w:ind w:firstLine="420" w:firstLineChars="200"/>
        <w:rPr>
          <w:rFonts w:ascii="宋体" w:hAnsi="宋体" w:cs="宋体"/>
          <w:snapToGrid w:val="0"/>
          <w:kern w:val="0"/>
          <w:szCs w:val="21"/>
          <w:u w:val="single"/>
        </w:rPr>
      </w:pPr>
    </w:p>
    <w:p w14:paraId="7EC93113">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14:paraId="1B673300">
      <w:pPr>
        <w:adjustRightInd w:val="0"/>
        <w:snapToGrid w:val="0"/>
        <w:spacing w:line="360" w:lineRule="auto"/>
        <w:ind w:firstLine="420" w:firstLineChars="200"/>
        <w:rPr>
          <w:rFonts w:ascii="宋体" w:hAnsi="宋体" w:cs="宋体"/>
          <w:snapToGrid w:val="0"/>
          <w:kern w:val="0"/>
          <w:szCs w:val="21"/>
          <w:u w:val="single"/>
        </w:rPr>
      </w:pPr>
    </w:p>
    <w:p w14:paraId="0ED56A2E">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14:paraId="1E79EE04">
      <w:pPr>
        <w:adjustRightInd w:val="0"/>
        <w:snapToGrid w:val="0"/>
        <w:spacing w:line="360" w:lineRule="auto"/>
        <w:ind w:firstLine="420" w:firstLineChars="200"/>
        <w:rPr>
          <w:rFonts w:ascii="宋体" w:hAnsi="宋体" w:cs="宋体"/>
          <w:snapToGrid w:val="0"/>
          <w:kern w:val="0"/>
          <w:szCs w:val="21"/>
          <w:u w:val="single"/>
        </w:rPr>
      </w:pPr>
    </w:p>
    <w:p w14:paraId="21A6E655">
      <w:pPr>
        <w:keepNext w:val="0"/>
        <w:keepLines w:val="0"/>
        <w:widowControl/>
        <w:suppressLineNumbers w:val="0"/>
        <w:jc w:val="center"/>
        <w:textAlignment w:val="center"/>
        <w:outlineLvl w:val="9"/>
        <w:rPr>
          <w:rFonts w:hint="eastAsia" w:ascii="宋体" w:hAnsi="宋体"/>
          <w:bCs/>
          <w:sz w:val="24"/>
        </w:rPr>
      </w:pPr>
      <w:r>
        <w:rPr>
          <w:rFonts w:hint="eastAsia" w:ascii="宋体" w:hAnsi="宋体"/>
          <w:bCs/>
          <w:sz w:val="24"/>
          <w:lang w:val="en-US" w:eastAsia="zh-CN"/>
        </w:rPr>
        <w:t xml:space="preserve">                 </w:t>
      </w: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14:paraId="400080CB">
      <w:pPr>
        <w:keepNext w:val="0"/>
        <w:keepLines w:val="0"/>
        <w:widowControl/>
        <w:suppressLineNumbers w:val="0"/>
        <w:jc w:val="center"/>
        <w:textAlignment w:val="center"/>
        <w:outlineLvl w:val="9"/>
        <w:rPr>
          <w:rFonts w:hint="eastAsia" w:ascii="宋体" w:hAnsi="宋体"/>
          <w:bCs/>
          <w:sz w:val="24"/>
        </w:rPr>
      </w:pPr>
    </w:p>
    <w:p w14:paraId="285F90F4">
      <w:pPr>
        <w:keepNext w:val="0"/>
        <w:keepLines w:val="0"/>
        <w:widowControl/>
        <w:suppressLineNumbers w:val="0"/>
        <w:jc w:val="center"/>
        <w:textAlignment w:val="center"/>
        <w:outlineLvl w:val="9"/>
        <w:rPr>
          <w:rFonts w:hint="eastAsia" w:ascii="宋体" w:hAnsi="宋体"/>
          <w:bCs/>
          <w:sz w:val="24"/>
        </w:rPr>
      </w:pPr>
    </w:p>
    <w:p w14:paraId="2177BF2F">
      <w:pPr>
        <w:keepNext w:val="0"/>
        <w:keepLines w:val="0"/>
        <w:widowControl/>
        <w:suppressLineNumbers w:val="0"/>
        <w:jc w:val="center"/>
        <w:textAlignment w:val="center"/>
        <w:outlineLvl w:val="9"/>
        <w:rPr>
          <w:rFonts w:hint="eastAsia" w:ascii="宋体" w:hAnsi="宋体"/>
          <w:bCs/>
          <w:sz w:val="24"/>
        </w:rPr>
      </w:pPr>
    </w:p>
    <w:p w14:paraId="63BC347D">
      <w:pPr>
        <w:keepNext w:val="0"/>
        <w:keepLines w:val="0"/>
        <w:widowControl/>
        <w:suppressLineNumbers w:val="0"/>
        <w:jc w:val="center"/>
        <w:textAlignment w:val="center"/>
        <w:outlineLvl w:val="9"/>
        <w:rPr>
          <w:rFonts w:hint="eastAsia" w:ascii="宋体" w:hAnsi="宋体"/>
          <w:bCs/>
          <w:sz w:val="24"/>
        </w:rPr>
      </w:pPr>
    </w:p>
    <w:p w14:paraId="3D60B64A">
      <w:pPr>
        <w:keepNext w:val="0"/>
        <w:keepLines w:val="0"/>
        <w:widowControl/>
        <w:suppressLineNumbers w:val="0"/>
        <w:jc w:val="center"/>
        <w:textAlignment w:val="center"/>
        <w:outlineLvl w:val="9"/>
        <w:rPr>
          <w:rFonts w:hint="eastAsia" w:ascii="宋体" w:hAnsi="宋体"/>
          <w:bCs/>
          <w:sz w:val="24"/>
        </w:rPr>
      </w:pPr>
    </w:p>
    <w:p w14:paraId="13BFBC40">
      <w:pPr>
        <w:keepNext w:val="0"/>
        <w:keepLines w:val="0"/>
        <w:widowControl/>
        <w:suppressLineNumbers w:val="0"/>
        <w:jc w:val="center"/>
        <w:textAlignment w:val="center"/>
        <w:outlineLvl w:val="9"/>
        <w:rPr>
          <w:rFonts w:hint="eastAsia" w:ascii="宋体" w:hAnsi="宋体"/>
          <w:bCs/>
          <w:sz w:val="24"/>
        </w:rPr>
      </w:pPr>
    </w:p>
    <w:p w14:paraId="451040B1">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bookmarkStart w:id="97" w:name="_Toc9651"/>
      <w:r>
        <w:rPr>
          <w:rFonts w:hint="eastAsia" w:cs="宋体" w:asciiTheme="majorEastAsia" w:hAnsiTheme="majorEastAsia" w:eastAsiaTheme="majorEastAsia"/>
          <w:kern w:val="2"/>
          <w:sz w:val="30"/>
          <w:szCs w:val="30"/>
          <w:lang w:val="en-US" w:eastAsia="zh-CN" w:bidi="ar-SA"/>
        </w:rPr>
        <w:t>（二十一）</w:t>
      </w:r>
      <w:bookmarkEnd w:id="96"/>
      <w:r>
        <w:rPr>
          <w:rFonts w:hint="eastAsia" w:cs="宋体" w:asciiTheme="majorEastAsia" w:hAnsiTheme="majorEastAsia" w:eastAsiaTheme="majorEastAsia"/>
          <w:kern w:val="2"/>
          <w:sz w:val="30"/>
          <w:szCs w:val="30"/>
          <w:lang w:val="en-US" w:eastAsia="zh-CN" w:bidi="ar-SA"/>
        </w:rPr>
        <w:t>配送方案</w:t>
      </w:r>
      <w:bookmarkEnd w:id="97"/>
    </w:p>
    <w:p w14:paraId="25CC3BF9">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79A7817D">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配送时效保障方案</w:t>
      </w:r>
      <w:r>
        <w:rPr>
          <w:rFonts w:hint="eastAsia" w:asciiTheme="minorEastAsia" w:hAnsiTheme="minorEastAsia" w:eastAsiaTheme="minorEastAsia" w:cstheme="minorEastAsia"/>
          <w:color w:val="auto"/>
          <w:kern w:val="0"/>
          <w:szCs w:val="21"/>
          <w:highlight w:val="none"/>
          <w:lang w:eastAsia="zh-CN"/>
        </w:rPr>
        <w:t>；</w:t>
      </w:r>
    </w:p>
    <w:p w14:paraId="39805EE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eastAsia="zh-CN"/>
        </w:rPr>
        <w:t>；</w:t>
      </w:r>
    </w:p>
    <w:p w14:paraId="315E2D95">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配送</w:t>
      </w:r>
      <w:r>
        <w:rPr>
          <w:rFonts w:hint="eastAsia" w:asciiTheme="minorEastAsia" w:hAnsiTheme="minorEastAsia" w:eastAsiaTheme="minorEastAsia" w:cstheme="minorEastAsia"/>
          <w:color w:val="auto"/>
          <w:kern w:val="0"/>
          <w:szCs w:val="21"/>
          <w:highlight w:val="none"/>
        </w:rPr>
        <w:t>人员</w:t>
      </w:r>
      <w:r>
        <w:rPr>
          <w:rFonts w:hint="eastAsia" w:asciiTheme="minorEastAsia" w:hAnsiTheme="minorEastAsia" w:eastAsiaTheme="minorEastAsia" w:cstheme="minorEastAsia"/>
          <w:color w:val="auto"/>
          <w:kern w:val="0"/>
          <w:szCs w:val="21"/>
          <w:highlight w:val="none"/>
          <w:lang w:val="en-US" w:eastAsia="zh-CN"/>
        </w:rPr>
        <w:t>管理制度</w:t>
      </w:r>
      <w:r>
        <w:rPr>
          <w:rFonts w:hint="eastAsia" w:asciiTheme="minorEastAsia" w:hAnsiTheme="minorEastAsia" w:eastAsiaTheme="minorEastAsia" w:cstheme="minorEastAsia"/>
          <w:color w:val="auto"/>
          <w:kern w:val="0"/>
          <w:szCs w:val="21"/>
          <w:highlight w:val="none"/>
          <w:lang w:eastAsia="zh-CN"/>
        </w:rPr>
        <w:t>。</w:t>
      </w:r>
    </w:p>
    <w:p w14:paraId="4EE0BC0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64F853FC">
      <w:pPr>
        <w:widowControl w:val="0"/>
        <w:numPr>
          <w:ilvl w:val="0"/>
          <w:numId w:val="0"/>
        </w:numPr>
        <w:spacing w:after="60"/>
        <w:jc w:val="both"/>
        <w:rPr>
          <w:rFonts w:hint="eastAsia" w:cs="Arial"/>
          <w:color w:val="000000"/>
        </w:rPr>
      </w:pPr>
    </w:p>
    <w:p w14:paraId="1EE3FF98">
      <w:pPr>
        <w:widowControl w:val="0"/>
        <w:numPr>
          <w:ilvl w:val="0"/>
          <w:numId w:val="0"/>
        </w:numPr>
        <w:spacing w:after="60"/>
        <w:jc w:val="both"/>
        <w:rPr>
          <w:rFonts w:hint="eastAsia" w:cs="Arial"/>
          <w:color w:val="000000"/>
        </w:rPr>
      </w:pPr>
    </w:p>
    <w:p w14:paraId="3E0D9342">
      <w:pPr>
        <w:widowControl w:val="0"/>
        <w:numPr>
          <w:ilvl w:val="0"/>
          <w:numId w:val="0"/>
        </w:numPr>
        <w:spacing w:after="60"/>
        <w:jc w:val="both"/>
        <w:rPr>
          <w:rFonts w:hint="eastAsia" w:cs="Arial"/>
          <w:color w:val="000000"/>
        </w:rPr>
      </w:pPr>
    </w:p>
    <w:p w14:paraId="00047196">
      <w:pPr>
        <w:widowControl w:val="0"/>
        <w:numPr>
          <w:ilvl w:val="0"/>
          <w:numId w:val="0"/>
        </w:numPr>
        <w:spacing w:after="60"/>
        <w:jc w:val="both"/>
        <w:rPr>
          <w:rFonts w:hint="eastAsia" w:cs="Arial"/>
          <w:color w:val="000000"/>
        </w:rPr>
      </w:pPr>
    </w:p>
    <w:p w14:paraId="37883878">
      <w:pPr>
        <w:snapToGrid w:val="0"/>
        <w:ind w:left="0" w:leftChars="0" w:firstLine="0" w:firstLineChars="0"/>
        <w:jc w:val="center"/>
        <w:outlineLvl w:val="0"/>
        <w:rPr>
          <w:rFonts w:hint="eastAsia"/>
          <w:lang w:eastAsia="zh-CN"/>
        </w:rPr>
      </w:pPr>
      <w:bookmarkStart w:id="98" w:name="_Toc15077"/>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二十二</w:t>
      </w:r>
      <w:r>
        <w:rPr>
          <w:rFonts w:hint="eastAsia" w:asciiTheme="majorEastAsia" w:hAnsiTheme="majorEastAsia" w:eastAsiaTheme="majorEastAsia"/>
          <w:sz w:val="30"/>
          <w:szCs w:val="30"/>
          <w:lang w:eastAsia="zh-CN"/>
        </w:rPr>
        <w:t>）</w:t>
      </w:r>
      <w:r>
        <w:rPr>
          <w:rFonts w:hint="eastAsia" w:cs="宋体" w:asciiTheme="majorEastAsia" w:hAnsiTheme="majorEastAsia" w:eastAsiaTheme="majorEastAsia"/>
          <w:kern w:val="2"/>
          <w:sz w:val="30"/>
          <w:szCs w:val="30"/>
          <w:lang w:val="en-US" w:eastAsia="zh-CN" w:bidi="ar-SA"/>
        </w:rPr>
        <w:t>售后服务方案</w:t>
      </w:r>
      <w:bookmarkEnd w:id="98"/>
    </w:p>
    <w:p w14:paraId="0210C3E9">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556F466D">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eastAsia="zh-CN"/>
        </w:rPr>
        <w:t>；</w:t>
      </w:r>
    </w:p>
    <w:p w14:paraId="575A6469">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应急供货和</w:t>
      </w:r>
      <w:r>
        <w:rPr>
          <w:rFonts w:hint="eastAsia" w:asciiTheme="minorEastAsia" w:hAnsiTheme="minorEastAsia" w:eastAsiaTheme="minorEastAsia" w:cstheme="minorEastAsia"/>
          <w:color w:val="auto"/>
          <w:kern w:val="0"/>
          <w:szCs w:val="21"/>
          <w:highlight w:val="none"/>
          <w:lang w:val="en-US" w:eastAsia="zh-CN"/>
        </w:rPr>
        <w:t>产品</w:t>
      </w:r>
      <w:r>
        <w:rPr>
          <w:rFonts w:hint="eastAsia" w:asciiTheme="minorEastAsia" w:hAnsiTheme="minorEastAsia" w:eastAsiaTheme="minorEastAsia" w:cstheme="minorEastAsia"/>
          <w:color w:val="auto"/>
          <w:kern w:val="0"/>
          <w:szCs w:val="21"/>
          <w:highlight w:val="none"/>
        </w:rPr>
        <w:t>退货方案</w:t>
      </w:r>
      <w:r>
        <w:rPr>
          <w:rFonts w:hint="eastAsia" w:asciiTheme="minorEastAsia" w:hAnsiTheme="minorEastAsia" w:eastAsiaTheme="minorEastAsia" w:cstheme="minorEastAsia"/>
          <w:color w:val="auto"/>
          <w:kern w:val="0"/>
          <w:szCs w:val="21"/>
          <w:highlight w:val="none"/>
          <w:lang w:eastAsia="zh-CN"/>
        </w:rPr>
        <w:t>；</w:t>
      </w:r>
    </w:p>
    <w:p w14:paraId="6D37CFEA">
      <w:pPr>
        <w:rPr>
          <w:rFonts w:hint="eastAsia"/>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基于招标文件中的售后服务要求进行合理预判，并承诺</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cstheme="minorEastAsia"/>
          <w:color w:val="auto"/>
          <w:kern w:val="0"/>
          <w:szCs w:val="21"/>
          <w:highlight w:val="none"/>
          <w:lang w:eastAsia="zh-CN"/>
        </w:rPr>
        <w:t>。</w:t>
      </w: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08AF08E9">
      <w:pPr>
        <w:rPr>
          <w:rFonts w:hint="eastAsia"/>
          <w:lang w:eastAsia="zh-CN"/>
        </w:rPr>
      </w:pPr>
    </w:p>
    <w:p w14:paraId="60D15B59">
      <w:pPr>
        <w:rPr>
          <w:rFonts w:hint="eastAsia"/>
          <w:lang w:eastAsia="zh-CN"/>
        </w:rPr>
      </w:pPr>
    </w:p>
    <w:p w14:paraId="7557EF01">
      <w:pPr>
        <w:rPr>
          <w:rFonts w:hint="eastAsia"/>
          <w:lang w:eastAsia="zh-CN"/>
        </w:rPr>
      </w:pPr>
    </w:p>
    <w:p w14:paraId="6C3EEC4E">
      <w:pPr>
        <w:rPr>
          <w:rFonts w:hint="eastAsia"/>
          <w:lang w:eastAsia="zh-CN"/>
        </w:rPr>
      </w:pPr>
    </w:p>
    <w:p w14:paraId="62C1FB22">
      <w:pPr>
        <w:rPr>
          <w:rFonts w:hint="eastAsia"/>
          <w:lang w:eastAsia="zh-CN"/>
        </w:rPr>
      </w:pPr>
    </w:p>
    <w:p w14:paraId="22737CFA">
      <w:pPr>
        <w:rPr>
          <w:rFonts w:hint="eastAsia"/>
          <w:lang w:eastAsia="zh-CN"/>
        </w:rPr>
      </w:pPr>
    </w:p>
    <w:p w14:paraId="579A01D7">
      <w:pPr>
        <w:rPr>
          <w:rFonts w:hint="eastAsia"/>
          <w:lang w:eastAsia="zh-CN"/>
        </w:rPr>
      </w:pPr>
    </w:p>
    <w:p w14:paraId="448C72C7">
      <w:pPr>
        <w:rPr>
          <w:rFonts w:hint="eastAsia"/>
          <w:lang w:eastAsia="zh-CN"/>
        </w:rPr>
      </w:pPr>
    </w:p>
    <w:p w14:paraId="63D33E67">
      <w:pPr>
        <w:rPr>
          <w:rFonts w:hint="eastAsia"/>
          <w:lang w:eastAsia="zh-CN"/>
        </w:rPr>
      </w:pPr>
    </w:p>
    <w:p w14:paraId="6D94ED00">
      <w:pPr>
        <w:rPr>
          <w:rFonts w:hint="eastAsia"/>
          <w:lang w:eastAsia="zh-CN"/>
        </w:rPr>
      </w:pPr>
    </w:p>
    <w:p w14:paraId="77388CD7">
      <w:pPr>
        <w:rPr>
          <w:rFonts w:hint="eastAsia"/>
          <w:lang w:eastAsia="zh-CN"/>
        </w:rPr>
      </w:pPr>
    </w:p>
    <w:p w14:paraId="17DF79A4">
      <w:pPr>
        <w:rPr>
          <w:rFonts w:hint="eastAsia"/>
          <w:lang w:eastAsia="zh-CN"/>
        </w:rPr>
      </w:pPr>
    </w:p>
    <w:p w14:paraId="2E220D93">
      <w:pPr>
        <w:rPr>
          <w:rFonts w:hint="eastAsia"/>
          <w:lang w:eastAsia="zh-CN"/>
        </w:rPr>
      </w:pPr>
    </w:p>
    <w:p w14:paraId="70AD84C5">
      <w:pPr>
        <w:rPr>
          <w:rFonts w:hint="eastAsia"/>
          <w:lang w:eastAsia="zh-CN"/>
        </w:rPr>
      </w:pPr>
    </w:p>
    <w:p w14:paraId="4F68ED25">
      <w:pPr>
        <w:rPr>
          <w:rFonts w:hint="eastAsia"/>
          <w:lang w:eastAsia="zh-CN"/>
        </w:rPr>
      </w:pPr>
    </w:p>
    <w:p w14:paraId="06500827">
      <w:pPr>
        <w:rPr>
          <w:rFonts w:hint="eastAsia"/>
          <w:lang w:eastAsia="zh-CN"/>
        </w:rPr>
      </w:pPr>
    </w:p>
    <w:p w14:paraId="0B56BB10">
      <w:pPr>
        <w:rPr>
          <w:rFonts w:hint="eastAsia"/>
          <w:lang w:eastAsia="zh-CN"/>
        </w:rPr>
      </w:pPr>
    </w:p>
    <w:p w14:paraId="46A58252">
      <w:pPr>
        <w:rPr>
          <w:rFonts w:hint="eastAsia"/>
          <w:lang w:eastAsia="zh-CN"/>
        </w:rPr>
      </w:pPr>
    </w:p>
    <w:p w14:paraId="1BF22283">
      <w:pPr>
        <w:rPr>
          <w:rFonts w:hint="eastAsia"/>
          <w:lang w:eastAsia="zh-CN"/>
        </w:rPr>
      </w:pPr>
    </w:p>
    <w:p w14:paraId="01710207">
      <w:pPr>
        <w:rPr>
          <w:rFonts w:hint="eastAsia"/>
          <w:lang w:eastAsia="zh-CN"/>
        </w:rPr>
      </w:pPr>
    </w:p>
    <w:p w14:paraId="21D24E4F">
      <w:pPr>
        <w:rPr>
          <w:rFonts w:hint="eastAsia"/>
          <w:lang w:eastAsia="zh-CN"/>
        </w:rPr>
      </w:pPr>
    </w:p>
    <w:p w14:paraId="1D318D32">
      <w:pPr>
        <w:rPr>
          <w:rFonts w:hint="eastAsia"/>
          <w:lang w:eastAsia="zh-CN"/>
        </w:rPr>
      </w:pPr>
    </w:p>
    <w:p w14:paraId="395A22B5">
      <w:pPr>
        <w:rPr>
          <w:rFonts w:hint="eastAsia"/>
          <w:lang w:eastAsia="zh-CN"/>
        </w:rPr>
      </w:pPr>
    </w:p>
    <w:p w14:paraId="77A0A7D9">
      <w:pPr>
        <w:rPr>
          <w:rFonts w:hint="eastAsia"/>
          <w:lang w:eastAsia="zh-CN"/>
        </w:rPr>
      </w:pPr>
    </w:p>
    <w:p w14:paraId="6CCCB4D6">
      <w:pPr>
        <w:rPr>
          <w:rFonts w:hint="eastAsia"/>
          <w:lang w:eastAsia="zh-CN"/>
        </w:rPr>
      </w:pPr>
    </w:p>
    <w:p w14:paraId="50F6190D">
      <w:pPr>
        <w:rPr>
          <w:rFonts w:hint="eastAsia"/>
          <w:lang w:eastAsia="zh-CN"/>
        </w:rPr>
      </w:pPr>
    </w:p>
    <w:p w14:paraId="3CB0C099">
      <w:pPr>
        <w:rPr>
          <w:rFonts w:hint="eastAsia"/>
          <w:lang w:eastAsia="zh-CN"/>
        </w:rPr>
      </w:pPr>
    </w:p>
    <w:p w14:paraId="20D6CEFC">
      <w:pPr>
        <w:rPr>
          <w:rFonts w:hint="eastAsia"/>
          <w:lang w:eastAsia="zh-CN"/>
        </w:rPr>
      </w:pPr>
    </w:p>
    <w:p w14:paraId="085AE093">
      <w:pPr>
        <w:rPr>
          <w:rFonts w:hint="eastAsia"/>
          <w:lang w:eastAsia="zh-CN"/>
        </w:rPr>
      </w:pPr>
    </w:p>
    <w:p w14:paraId="7DD82DA0">
      <w:pPr>
        <w:rPr>
          <w:rFonts w:hint="eastAsia"/>
          <w:lang w:eastAsia="zh-CN"/>
        </w:rPr>
      </w:pPr>
    </w:p>
    <w:p w14:paraId="14CCD38F">
      <w:pPr>
        <w:rPr>
          <w:rFonts w:hint="eastAsia"/>
          <w:lang w:eastAsia="zh-CN"/>
        </w:rPr>
      </w:pPr>
    </w:p>
    <w:p w14:paraId="295F38B1">
      <w:pPr>
        <w:rPr>
          <w:rFonts w:hint="eastAsia"/>
          <w:lang w:eastAsia="zh-CN"/>
        </w:rPr>
      </w:pPr>
    </w:p>
    <w:p w14:paraId="5F19ED12">
      <w:pPr>
        <w:rPr>
          <w:rFonts w:hint="eastAsia"/>
          <w:lang w:eastAsia="zh-CN"/>
        </w:rPr>
      </w:pPr>
    </w:p>
    <w:p w14:paraId="5218CF74">
      <w:pPr>
        <w:snapToGrid w:val="0"/>
        <w:ind w:left="0" w:leftChars="0" w:firstLine="0" w:firstLineChars="0"/>
        <w:jc w:val="center"/>
        <w:outlineLvl w:val="0"/>
        <w:rPr>
          <w:rFonts w:hint="eastAsia" w:hAnsi="宋体" w:cs="Times New Roman" w:eastAsiaTheme="majorEastAsia"/>
          <w:sz w:val="30"/>
          <w:szCs w:val="30"/>
          <w:lang w:val="en-US" w:eastAsia="zh-CN"/>
        </w:rPr>
      </w:pPr>
      <w:bookmarkStart w:id="99" w:name="_Toc14925"/>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二十三</w:t>
      </w:r>
      <w:r>
        <w:rPr>
          <w:rFonts w:hint="eastAsia" w:asciiTheme="majorEastAsia" w:hAnsiTheme="majorEastAsia" w:eastAsiaTheme="majorEastAsia"/>
          <w:sz w:val="30"/>
          <w:szCs w:val="30"/>
          <w:lang w:eastAsia="zh-CN"/>
        </w:rPr>
        <w:t>）</w:t>
      </w:r>
      <w:r>
        <w:rPr>
          <w:rFonts w:hint="eastAsia" w:cs="宋体" w:asciiTheme="majorEastAsia" w:hAnsiTheme="majorEastAsia" w:eastAsiaTheme="majorEastAsia"/>
          <w:kern w:val="2"/>
          <w:sz w:val="30"/>
          <w:szCs w:val="30"/>
          <w:lang w:val="en-US" w:eastAsia="zh-CN" w:bidi="ar-SA"/>
        </w:rPr>
        <w:t>有效业绩</w:t>
      </w:r>
      <w:bookmarkEnd w:id="99"/>
      <w:r>
        <w:rPr>
          <w:rFonts w:hint="eastAsia" w:cs="宋体" w:asciiTheme="majorEastAsia" w:hAnsiTheme="majorEastAsia" w:eastAsiaTheme="majorEastAsia"/>
          <w:kern w:val="2"/>
          <w:sz w:val="30"/>
          <w:szCs w:val="30"/>
          <w:lang w:val="en-US" w:eastAsia="zh-CN" w:bidi="ar-SA"/>
        </w:rPr>
        <w:t xml:space="preserve"> </w:t>
      </w:r>
    </w:p>
    <w:p w14:paraId="2F919FE3">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4E4E21E2">
      <w:pPr>
        <w:keepNext w:val="0"/>
        <w:keepLines w:val="0"/>
        <w:pageBreakBefore w:val="0"/>
        <w:widowControl w:val="0"/>
        <w:kinsoku/>
        <w:overflowPunct/>
        <w:topLinePunct w:val="0"/>
        <w:autoSpaceDE/>
        <w:autoSpaceDN/>
        <w:bidi w:val="0"/>
        <w:adjustRightInd/>
        <w:spacing w:line="240" w:lineRule="auto"/>
        <w:jc w:val="left"/>
        <w:textAlignment w:val="auto"/>
        <w:rPr>
          <w:rFonts w:hint="default" w:ascii="宋体" w:hAnsi="宋体" w:eastAsia="宋体" w:cs="宋体"/>
          <w:sz w:val="21"/>
          <w:szCs w:val="21"/>
          <w:highlight w:val="none"/>
          <w:lang w:val="en-US" w:eastAsia="zh-CN"/>
        </w:rPr>
      </w:pPr>
      <w:r>
        <w:rPr>
          <w:rFonts w:hint="eastAsia" w:ascii="宋体" w:hAnsi="宋体" w:cs="宋体"/>
          <w:kern w:val="0"/>
          <w:szCs w:val="21"/>
          <w:lang w:val="en-US" w:eastAsia="zh-CN"/>
        </w:rPr>
        <w:t>1、</w:t>
      </w:r>
      <w:r>
        <w:rPr>
          <w:rFonts w:hint="eastAsia" w:ascii="宋体" w:hAnsi="宋体" w:eastAsia="宋体" w:cs="宋体"/>
          <w:sz w:val="21"/>
          <w:szCs w:val="21"/>
          <w:highlight w:val="none"/>
          <w:lang w:val="en-US" w:eastAsia="zh-CN"/>
        </w:rPr>
        <w:t>需本投标单位出具的有效发票，若非本投标单位出具的发票，做无效处理，不得分。</w:t>
      </w:r>
    </w:p>
    <w:p w14:paraId="68DA1438">
      <w:pPr>
        <w:numPr>
          <w:ilvl w:val="0"/>
          <w:numId w:val="0"/>
        </w:numPr>
        <w:spacing w:after="60"/>
        <w:rPr>
          <w:rFonts w:hint="eastAsia" w:ascii="宋体" w:hAnsi="宋体" w:cs="宋体"/>
          <w:kern w:val="0"/>
          <w:szCs w:val="21"/>
        </w:rPr>
      </w:pPr>
    </w:p>
    <w:p w14:paraId="0BB1432B">
      <w:pPr>
        <w:snapToGrid w:val="0"/>
        <w:ind w:left="0" w:leftChars="0" w:firstLine="0" w:firstLineChars="0"/>
        <w:jc w:val="left"/>
        <w:outlineLvl w:val="9"/>
        <w:rPr>
          <w:rFonts w:hint="eastAsia" w:asciiTheme="majorEastAsia" w:hAnsiTheme="majorEastAsia" w:eastAsiaTheme="majorEastAsia"/>
          <w:sz w:val="30"/>
          <w:szCs w:val="30"/>
          <w:lang w:val="en-US" w:eastAsia="zh-CN"/>
        </w:rPr>
      </w:pPr>
    </w:p>
    <w:p w14:paraId="4C5C68C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0E4EAF7">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7EFEA72">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464AD77">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CF9D943">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83F2428">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985CE7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4F0036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1D92DD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FD79D6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F83C09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937BBE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2FA4B3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852629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98D907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643461D8">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742E5A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CB168E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5A41D1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837A58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ABB4E7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EF590C3">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8F3F26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44D4C7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800AC4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914539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F27F4B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AC66CF1">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00A6EE38">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0B5DE535">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0884C510">
      <w:pPr>
        <w:snapToGrid w:val="0"/>
        <w:ind w:left="0" w:leftChars="0" w:firstLine="0" w:firstLineChars="0"/>
        <w:jc w:val="center"/>
        <w:outlineLvl w:val="0"/>
        <w:rPr>
          <w:rFonts w:hint="eastAsia" w:asciiTheme="majorEastAsia" w:hAnsiTheme="majorEastAsia" w:eastAsiaTheme="majorEastAsia"/>
          <w:sz w:val="30"/>
          <w:szCs w:val="30"/>
          <w:lang w:val="en-US" w:eastAsia="zh-CN"/>
        </w:rPr>
      </w:pPr>
      <w:bookmarkStart w:id="100" w:name="_Toc17243"/>
      <w:r>
        <w:rPr>
          <w:rFonts w:hint="eastAsia" w:asciiTheme="majorEastAsia" w:hAnsiTheme="majorEastAsia" w:eastAsiaTheme="majorEastAsia"/>
          <w:sz w:val="30"/>
          <w:szCs w:val="30"/>
          <w:lang w:val="en-US" w:eastAsia="zh-CN"/>
        </w:rPr>
        <w:t>（二十四）履约评价</w:t>
      </w:r>
      <w:bookmarkEnd w:id="100"/>
    </w:p>
    <w:p w14:paraId="0FDF2BBA">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185B487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3E9C4E7">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984304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449141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B3E271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8C4AEA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3B550C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048597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6785BC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AD7F6C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8617E38">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2737DF6">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E42D0B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6474E12">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E93B08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74EE8F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6065097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3AF5FA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CCB9BF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F7948F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A27C7C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F73428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7797AD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F2A20A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66E6298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287AE31">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3FF304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DFA959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9FA855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A29C41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C04C873">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6EF203F">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8D31A44">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678DEE95">
      <w:pPr>
        <w:snapToGrid w:val="0"/>
        <w:ind w:left="0" w:leftChars="0" w:firstLine="0" w:firstLineChars="0"/>
        <w:jc w:val="center"/>
        <w:outlineLvl w:val="0"/>
        <w:rPr>
          <w:rFonts w:hint="eastAsia" w:asciiTheme="majorEastAsia" w:hAnsiTheme="majorEastAsia" w:eastAsiaTheme="majorEastAsia"/>
          <w:sz w:val="30"/>
          <w:szCs w:val="30"/>
          <w:lang w:val="en-US" w:eastAsia="zh-CN"/>
        </w:rPr>
      </w:pPr>
      <w:bookmarkStart w:id="101" w:name="_Toc27595"/>
      <w:r>
        <w:rPr>
          <w:rFonts w:hint="eastAsia" w:asciiTheme="majorEastAsia" w:hAnsiTheme="majorEastAsia" w:eastAsiaTheme="majorEastAsia"/>
          <w:sz w:val="30"/>
          <w:szCs w:val="30"/>
          <w:lang w:val="en-US" w:eastAsia="zh-CN"/>
        </w:rPr>
        <w:t>（二十五）仓储、运输能力</w:t>
      </w:r>
      <w:bookmarkEnd w:id="101"/>
    </w:p>
    <w:p w14:paraId="2E335241">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26C6E0D6">
      <w:pPr>
        <w:rPr>
          <w:rFonts w:hint="eastAsia"/>
          <w:lang w:eastAsia="zh-CN"/>
        </w:rPr>
      </w:pPr>
    </w:p>
    <w:p w14:paraId="76EC335F">
      <w:pPr>
        <w:rPr>
          <w:rFonts w:hint="eastAsia"/>
          <w:lang w:eastAsia="zh-CN"/>
        </w:rPr>
      </w:pPr>
    </w:p>
    <w:p w14:paraId="2E2DF0E5">
      <w:pPr>
        <w:rPr>
          <w:rFonts w:hint="eastAsia"/>
          <w:lang w:eastAsia="zh-CN"/>
        </w:rPr>
      </w:pPr>
    </w:p>
    <w:p w14:paraId="4183BCCE">
      <w:pPr>
        <w:rPr>
          <w:rFonts w:hint="eastAsia"/>
          <w:lang w:eastAsia="zh-CN"/>
        </w:rPr>
      </w:pPr>
    </w:p>
    <w:p w14:paraId="2B29BD12">
      <w:pPr>
        <w:rPr>
          <w:rFonts w:hint="eastAsia"/>
          <w:lang w:eastAsia="zh-CN"/>
        </w:rPr>
      </w:pPr>
    </w:p>
    <w:p w14:paraId="54F01619">
      <w:pPr>
        <w:rPr>
          <w:rFonts w:hint="eastAsia"/>
          <w:lang w:eastAsia="zh-CN"/>
        </w:rPr>
      </w:pPr>
    </w:p>
    <w:p w14:paraId="466D7132">
      <w:pPr>
        <w:rPr>
          <w:rFonts w:hint="eastAsia"/>
          <w:lang w:eastAsia="zh-CN"/>
        </w:rPr>
      </w:pPr>
    </w:p>
    <w:p w14:paraId="2B286014">
      <w:pPr>
        <w:rPr>
          <w:rFonts w:hint="eastAsia"/>
          <w:lang w:eastAsia="zh-CN"/>
        </w:rPr>
      </w:pPr>
    </w:p>
    <w:p w14:paraId="542B8F31">
      <w:pPr>
        <w:rPr>
          <w:rFonts w:hint="eastAsia"/>
          <w:lang w:eastAsia="zh-CN"/>
        </w:rPr>
      </w:pPr>
    </w:p>
    <w:p w14:paraId="07060269">
      <w:pPr>
        <w:rPr>
          <w:rFonts w:hint="eastAsia"/>
          <w:lang w:eastAsia="zh-CN"/>
        </w:rPr>
      </w:pPr>
    </w:p>
    <w:p w14:paraId="50B76194">
      <w:pPr>
        <w:rPr>
          <w:rFonts w:hint="eastAsia"/>
          <w:lang w:eastAsia="zh-CN"/>
        </w:rPr>
      </w:pPr>
    </w:p>
    <w:p w14:paraId="12E474A3">
      <w:pPr>
        <w:rPr>
          <w:rFonts w:hint="eastAsia"/>
          <w:lang w:eastAsia="zh-CN"/>
        </w:rPr>
      </w:pPr>
    </w:p>
    <w:p w14:paraId="367F0BDB">
      <w:pPr>
        <w:rPr>
          <w:rFonts w:hint="eastAsia"/>
          <w:lang w:eastAsia="zh-CN"/>
        </w:rPr>
      </w:pPr>
    </w:p>
    <w:p w14:paraId="40BFFDF4">
      <w:pPr>
        <w:rPr>
          <w:rFonts w:hint="eastAsia"/>
          <w:lang w:eastAsia="zh-CN"/>
        </w:rPr>
      </w:pPr>
    </w:p>
    <w:p w14:paraId="1A0E51E5">
      <w:pPr>
        <w:rPr>
          <w:rFonts w:hint="eastAsia"/>
          <w:lang w:eastAsia="zh-CN"/>
        </w:rPr>
      </w:pPr>
    </w:p>
    <w:p w14:paraId="1EDA50BC">
      <w:pPr>
        <w:rPr>
          <w:rFonts w:hint="eastAsia"/>
          <w:lang w:eastAsia="zh-CN"/>
        </w:rPr>
      </w:pPr>
    </w:p>
    <w:p w14:paraId="0EC2C6ED">
      <w:pPr>
        <w:rPr>
          <w:rFonts w:hint="eastAsia"/>
          <w:lang w:eastAsia="zh-CN"/>
        </w:rPr>
      </w:pPr>
    </w:p>
    <w:p w14:paraId="73C55927">
      <w:pPr>
        <w:rPr>
          <w:rFonts w:hint="eastAsia"/>
          <w:lang w:eastAsia="zh-CN"/>
        </w:rPr>
      </w:pPr>
    </w:p>
    <w:p w14:paraId="5E406433">
      <w:pPr>
        <w:rPr>
          <w:rFonts w:hint="eastAsia"/>
          <w:lang w:eastAsia="zh-CN"/>
        </w:rPr>
      </w:pPr>
    </w:p>
    <w:p w14:paraId="419BF86E">
      <w:pPr>
        <w:rPr>
          <w:rFonts w:hint="eastAsia"/>
          <w:lang w:eastAsia="zh-CN"/>
        </w:rPr>
      </w:pPr>
    </w:p>
    <w:p w14:paraId="5FB0FD63">
      <w:pPr>
        <w:rPr>
          <w:rFonts w:hint="eastAsia"/>
          <w:lang w:eastAsia="zh-CN"/>
        </w:rPr>
      </w:pPr>
    </w:p>
    <w:p w14:paraId="72743474">
      <w:pPr>
        <w:rPr>
          <w:rFonts w:hint="eastAsia"/>
          <w:lang w:eastAsia="zh-CN"/>
        </w:rPr>
      </w:pPr>
    </w:p>
    <w:p w14:paraId="645275F9">
      <w:pPr>
        <w:rPr>
          <w:rFonts w:hint="eastAsia"/>
          <w:lang w:eastAsia="zh-CN"/>
        </w:rPr>
      </w:pPr>
    </w:p>
    <w:p w14:paraId="60E1EB92">
      <w:pPr>
        <w:rPr>
          <w:rFonts w:hint="eastAsia"/>
          <w:lang w:eastAsia="zh-CN"/>
        </w:rPr>
      </w:pPr>
    </w:p>
    <w:p w14:paraId="4306A3B2">
      <w:pPr>
        <w:rPr>
          <w:rFonts w:hint="eastAsia"/>
          <w:lang w:eastAsia="zh-CN"/>
        </w:rPr>
      </w:pPr>
    </w:p>
    <w:p w14:paraId="33972586">
      <w:pPr>
        <w:rPr>
          <w:rFonts w:hint="eastAsia"/>
          <w:lang w:eastAsia="zh-CN"/>
        </w:rPr>
      </w:pPr>
    </w:p>
    <w:p w14:paraId="42428447">
      <w:pPr>
        <w:rPr>
          <w:rFonts w:hint="eastAsia"/>
          <w:lang w:eastAsia="zh-CN"/>
        </w:rPr>
      </w:pPr>
    </w:p>
    <w:p w14:paraId="268C1902">
      <w:pPr>
        <w:rPr>
          <w:rFonts w:hint="eastAsia"/>
          <w:lang w:eastAsia="zh-CN"/>
        </w:rPr>
      </w:pPr>
    </w:p>
    <w:p w14:paraId="0ADFCDD6">
      <w:pPr>
        <w:rPr>
          <w:rFonts w:hint="eastAsia"/>
          <w:lang w:eastAsia="zh-CN"/>
        </w:rPr>
      </w:pPr>
    </w:p>
    <w:p w14:paraId="2FDA49B1">
      <w:pPr>
        <w:rPr>
          <w:rFonts w:hint="eastAsia"/>
          <w:lang w:eastAsia="zh-CN"/>
        </w:rPr>
      </w:pPr>
    </w:p>
    <w:p w14:paraId="4D933435">
      <w:pPr>
        <w:rPr>
          <w:rFonts w:hint="eastAsia"/>
          <w:lang w:eastAsia="zh-CN"/>
        </w:rPr>
      </w:pPr>
    </w:p>
    <w:p w14:paraId="6CA39B18">
      <w:pPr>
        <w:rPr>
          <w:rFonts w:hint="eastAsia"/>
          <w:lang w:eastAsia="zh-CN"/>
        </w:rPr>
      </w:pPr>
    </w:p>
    <w:p w14:paraId="59B455D2">
      <w:pPr>
        <w:rPr>
          <w:rFonts w:hint="eastAsia"/>
          <w:lang w:eastAsia="zh-CN"/>
        </w:rPr>
      </w:pPr>
    </w:p>
    <w:p w14:paraId="29A3B3CA">
      <w:pPr>
        <w:rPr>
          <w:rFonts w:hint="eastAsia"/>
          <w:lang w:eastAsia="zh-CN"/>
        </w:rPr>
      </w:pPr>
    </w:p>
    <w:p w14:paraId="45419784">
      <w:pPr>
        <w:rPr>
          <w:rFonts w:hint="eastAsia"/>
          <w:lang w:eastAsia="zh-CN"/>
        </w:rPr>
      </w:pPr>
    </w:p>
    <w:p w14:paraId="4F277E24">
      <w:pPr>
        <w:rPr>
          <w:rFonts w:hint="eastAsia"/>
          <w:lang w:eastAsia="zh-CN"/>
        </w:rPr>
      </w:pPr>
    </w:p>
    <w:p w14:paraId="3F34FB71">
      <w:pPr>
        <w:rPr>
          <w:rFonts w:hint="eastAsia"/>
          <w:lang w:eastAsia="zh-CN"/>
        </w:rPr>
      </w:pPr>
    </w:p>
    <w:p w14:paraId="375B4959">
      <w:pPr>
        <w:rPr>
          <w:rFonts w:hint="eastAsia"/>
          <w:lang w:eastAsia="zh-CN"/>
        </w:rPr>
      </w:pPr>
    </w:p>
    <w:p w14:paraId="654A794D">
      <w:pPr>
        <w:rPr>
          <w:rFonts w:hint="eastAsia"/>
          <w:lang w:eastAsia="zh-CN"/>
        </w:rPr>
      </w:pPr>
    </w:p>
    <w:p w14:paraId="655F4A10">
      <w:pPr>
        <w:rPr>
          <w:rFonts w:hint="eastAsia"/>
          <w:lang w:eastAsia="zh-CN"/>
        </w:rPr>
      </w:pPr>
    </w:p>
    <w:p w14:paraId="4BF2B290">
      <w:pPr>
        <w:rPr>
          <w:rFonts w:hint="eastAsia"/>
          <w:lang w:eastAsia="zh-CN"/>
        </w:rPr>
      </w:pPr>
    </w:p>
    <w:p w14:paraId="2833A2D6">
      <w:pPr>
        <w:snapToGrid w:val="0"/>
        <w:ind w:left="0" w:leftChars="0" w:firstLine="0" w:firstLineChars="0"/>
        <w:jc w:val="center"/>
        <w:outlineLvl w:val="0"/>
        <w:rPr>
          <w:rFonts w:hint="eastAsia" w:asciiTheme="majorEastAsia" w:hAnsiTheme="majorEastAsia" w:eastAsiaTheme="majorEastAsia"/>
          <w:sz w:val="30"/>
          <w:szCs w:val="30"/>
          <w:lang w:val="en-US" w:eastAsia="zh-CN"/>
        </w:rPr>
      </w:pPr>
      <w:bookmarkStart w:id="102" w:name="_Toc23393"/>
      <w:r>
        <w:rPr>
          <w:rFonts w:hint="eastAsia" w:asciiTheme="majorEastAsia" w:hAnsiTheme="majorEastAsia" w:eastAsiaTheme="majorEastAsia"/>
          <w:sz w:val="30"/>
          <w:szCs w:val="30"/>
          <w:lang w:val="en-US" w:eastAsia="zh-CN"/>
        </w:rPr>
        <w:t>（二十六）</w:t>
      </w:r>
      <w:r>
        <w:rPr>
          <w:rFonts w:hint="eastAsia" w:hAnsi="宋体" w:cs="Times New Roman" w:eastAsiaTheme="majorEastAsia"/>
          <w:sz w:val="30"/>
          <w:szCs w:val="30"/>
          <w:lang w:val="en-US" w:eastAsia="zh-CN"/>
        </w:rPr>
        <w:t>招标文件要求的其他内容及投标人认为需要加以说明其他内容</w:t>
      </w:r>
      <w:bookmarkEnd w:id="102"/>
    </w:p>
    <w:p w14:paraId="7DC97AFA">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31DCB9E7">
      <w:pPr>
        <w:rPr>
          <w:rFonts w:hint="eastAsia"/>
          <w:lang w:eastAsia="zh-CN"/>
        </w:rPr>
      </w:pPr>
    </w:p>
    <w:p w14:paraId="7A2686DA">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1123D5C2">
      <w:pPr>
        <w:keepNext w:val="0"/>
        <w:keepLines w:val="0"/>
        <w:widowControl/>
        <w:numPr>
          <w:ilvl w:val="0"/>
          <w:numId w:val="0"/>
        </w:numPr>
        <w:suppressLineNumbers w:val="0"/>
        <w:jc w:val="both"/>
        <w:textAlignment w:val="center"/>
        <w:rPr>
          <w:rFonts w:hint="eastAsia" w:ascii="宋体" w:hAnsi="宋体" w:eastAsia="宋体" w:cs="宋体"/>
          <w:color w:val="000000"/>
          <w:kern w:val="2"/>
          <w:sz w:val="30"/>
          <w:szCs w:val="30"/>
          <w:lang w:val="en-US" w:eastAsia="zh-CN" w:bidi="ar"/>
        </w:rPr>
      </w:pPr>
      <w:bookmarkStart w:id="103" w:name="_Toc435516650"/>
      <w:bookmarkStart w:id="104" w:name="_Toc14580"/>
      <w:bookmarkStart w:id="105" w:name="_Toc11652"/>
      <w:bookmarkStart w:id="106" w:name="_Toc1658"/>
      <w:bookmarkStart w:id="107" w:name="_Toc435174933"/>
      <w:bookmarkStart w:id="108" w:name="_Toc438223136"/>
    </w:p>
    <w:p w14:paraId="12AF93DD">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79411F40">
      <w:pPr>
        <w:widowControl w:val="0"/>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389BA552">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A60B932">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6556F5">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06F2EE0">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0081E532">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138DCA">
      <w:pPr>
        <w:widowControl w:val="0"/>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4844EB47">
      <w:pPr>
        <w:pStyle w:val="3"/>
        <w:numPr>
          <w:ilvl w:val="0"/>
          <w:numId w:val="0"/>
        </w:numPr>
        <w:spacing w:line="240" w:lineRule="auto"/>
        <w:jc w:val="center"/>
        <w:outlineLvl w:val="0"/>
        <w:rPr>
          <w:rFonts w:asciiTheme="majorEastAsia" w:hAnsiTheme="majorEastAsia" w:eastAsiaTheme="majorEastAsia"/>
          <w:sz w:val="32"/>
          <w:szCs w:val="32"/>
        </w:rPr>
      </w:pPr>
      <w:bookmarkStart w:id="109" w:name="_Toc30434"/>
      <w:r>
        <w:rPr>
          <w:rFonts w:hint="eastAsia" w:asciiTheme="majorEastAsia" w:hAnsiTheme="majorEastAsia" w:eastAsiaTheme="majorEastAsia"/>
          <w:sz w:val="32"/>
          <w:szCs w:val="32"/>
          <w:lang w:val="en-US" w:eastAsia="zh-CN"/>
        </w:rPr>
        <w:t xml:space="preserve">第五章 </w:t>
      </w:r>
      <w:r>
        <w:rPr>
          <w:rFonts w:asciiTheme="majorEastAsia" w:hAnsiTheme="majorEastAsia" w:eastAsiaTheme="majorEastAsia"/>
          <w:sz w:val="32"/>
          <w:szCs w:val="32"/>
          <w:lang w:eastAsia="zh-TW"/>
        </w:rPr>
        <w:t>说 明</w:t>
      </w:r>
      <w:bookmarkEnd w:id="103"/>
      <w:bookmarkEnd w:id="104"/>
      <w:bookmarkEnd w:id="105"/>
      <w:bookmarkEnd w:id="106"/>
      <w:bookmarkEnd w:id="107"/>
      <w:bookmarkEnd w:id="108"/>
      <w:bookmarkEnd w:id="109"/>
      <w:bookmarkStart w:id="110" w:name="_Toc292267791"/>
    </w:p>
    <w:bookmarkEnd w:id="110"/>
    <w:p w14:paraId="6C6C625E">
      <w:pPr>
        <w:numPr>
          <w:ilvl w:val="0"/>
          <w:numId w:val="23"/>
        </w:numPr>
        <w:autoSpaceDE w:val="0"/>
        <w:autoSpaceDN w:val="0"/>
        <w:adjustRightInd w:val="0"/>
        <w:snapToGrid w:val="0"/>
        <w:spacing w:line="360" w:lineRule="auto"/>
        <w:ind w:left="425" w:leftChars="0" w:hanging="425" w:firstLineChars="0"/>
        <w:outlineLvl w:val="9"/>
        <w:rPr>
          <w:rFonts w:ascii="宋体" w:hAnsi="宋体"/>
          <w:b/>
          <w:bCs/>
          <w:szCs w:val="21"/>
        </w:rPr>
      </w:pPr>
      <w:bookmarkStart w:id="111" w:name="_Toc23054"/>
      <w:r>
        <w:rPr>
          <w:rFonts w:hint="eastAsia" w:ascii="宋体" w:hAnsi="宋体"/>
          <w:b/>
          <w:bCs/>
          <w:szCs w:val="21"/>
        </w:rPr>
        <w:t>适用范围</w:t>
      </w:r>
      <w:bookmarkEnd w:id="111"/>
    </w:p>
    <w:p w14:paraId="5425D084">
      <w:pPr>
        <w:numPr>
          <w:ilvl w:val="1"/>
          <w:numId w:val="23"/>
        </w:numPr>
        <w:autoSpaceDE w:val="0"/>
        <w:autoSpaceDN w:val="0"/>
        <w:adjustRightInd w:val="0"/>
        <w:snapToGrid w:val="0"/>
        <w:spacing w:line="360" w:lineRule="auto"/>
        <w:ind w:left="567" w:leftChars="0" w:hanging="567" w:firstLineChars="0"/>
        <w:jc w:val="left"/>
        <w:outlineLvl w:val="9"/>
        <w:rPr>
          <w:rFonts w:ascii="宋体" w:hAnsi="宋体"/>
          <w:b/>
          <w:bCs/>
          <w:szCs w:val="21"/>
        </w:rPr>
      </w:pPr>
      <w:r>
        <w:rPr>
          <w:rFonts w:hint="eastAsia" w:ascii="宋体" w:hAnsi="宋体"/>
          <w:szCs w:val="21"/>
        </w:rPr>
        <w:t>本招标文件适用于本投标邀请中所述采购项目。</w:t>
      </w:r>
    </w:p>
    <w:p w14:paraId="7B029138">
      <w:pPr>
        <w:numPr>
          <w:ilvl w:val="0"/>
          <w:numId w:val="23"/>
        </w:numPr>
        <w:autoSpaceDE w:val="0"/>
        <w:autoSpaceDN w:val="0"/>
        <w:adjustRightInd w:val="0"/>
        <w:snapToGrid w:val="0"/>
        <w:spacing w:line="360" w:lineRule="auto"/>
        <w:ind w:left="449" w:leftChars="0" w:hanging="449" w:hangingChars="213"/>
        <w:outlineLvl w:val="9"/>
        <w:rPr>
          <w:rFonts w:ascii="宋体" w:hAnsi="宋体"/>
          <w:b/>
          <w:bCs/>
          <w:strike/>
          <w:szCs w:val="21"/>
        </w:rPr>
      </w:pPr>
      <w:bookmarkStart w:id="112" w:name="_Toc28379"/>
      <w:r>
        <w:rPr>
          <w:rFonts w:hint="eastAsia" w:ascii="宋体" w:hAnsi="宋体"/>
          <w:b/>
          <w:szCs w:val="21"/>
        </w:rPr>
        <w:t>定义</w:t>
      </w:r>
      <w:bookmarkEnd w:id="112"/>
    </w:p>
    <w:p w14:paraId="293D86D5">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23"/>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中标人是指经法定程序确定并授予合同的投标人。</w:t>
      </w:r>
    </w:p>
    <w:p w14:paraId="08E94636">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13" w:name="_Toc4681"/>
      <w:r>
        <w:rPr>
          <w:rFonts w:hint="eastAsia" w:ascii="宋体" w:hAnsi="宋体"/>
          <w:b/>
          <w:bCs/>
          <w:szCs w:val="21"/>
        </w:rPr>
        <w:t>合格的货物和服务</w:t>
      </w:r>
      <w:bookmarkEnd w:id="113"/>
    </w:p>
    <w:p w14:paraId="6CA79C08">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14" w:name="_Toc27847"/>
      <w:r>
        <w:rPr>
          <w:rFonts w:hint="eastAsia" w:ascii="宋体" w:hAnsi="宋体"/>
          <w:b/>
          <w:bCs/>
          <w:szCs w:val="21"/>
        </w:rPr>
        <w:t>其他</w:t>
      </w:r>
      <w:bookmarkEnd w:id="114"/>
    </w:p>
    <w:p w14:paraId="20835FFD">
      <w:pPr>
        <w:numPr>
          <w:ilvl w:val="1"/>
          <w:numId w:val="23"/>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23"/>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23"/>
        </w:numPr>
        <w:adjustRightInd w:val="0"/>
        <w:snapToGrid w:val="0"/>
        <w:spacing w:line="360" w:lineRule="auto"/>
        <w:rPr>
          <w:rFonts w:cs="宋体" w:asciiTheme="minorEastAsia" w:hAnsiTheme="minorEastAsia" w:eastAsiaTheme="minorEastAsia"/>
          <w:bCs/>
          <w:color w:val="auto"/>
          <w:szCs w:val="21"/>
          <w:highlight w:val="none"/>
        </w:rPr>
      </w:pPr>
      <w:bookmarkStart w:id="115"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16" w:name="_Hlk21591509"/>
      <w:r>
        <w:rPr>
          <w:rFonts w:hint="eastAsia" w:asciiTheme="minorEastAsia" w:hAnsiTheme="minorEastAsia" w:eastAsiaTheme="minorEastAsia"/>
          <w:color w:val="auto"/>
          <w:szCs w:val="21"/>
          <w:highlight w:val="none"/>
        </w:rPr>
        <w:t>供应商限制参与政府采购</w:t>
      </w:r>
      <w:bookmarkEnd w:id="116"/>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15"/>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71E88C04">
      <w:pPr>
        <w:pStyle w:val="3"/>
        <w:numPr>
          <w:ilvl w:val="0"/>
          <w:numId w:val="0"/>
        </w:numPr>
        <w:spacing w:line="240" w:lineRule="auto"/>
        <w:ind w:left="420" w:leftChars="0" w:hanging="420" w:firstLineChars="0"/>
        <w:jc w:val="center"/>
        <w:outlineLvl w:val="1"/>
        <w:rPr>
          <w:rFonts w:asciiTheme="majorEastAsia" w:hAnsiTheme="majorEastAsia" w:eastAsiaTheme="majorEastAsia"/>
          <w:sz w:val="30"/>
          <w:szCs w:val="30"/>
          <w:lang w:eastAsia="zh-TW"/>
        </w:rPr>
      </w:pPr>
      <w:bookmarkStart w:id="117" w:name="_Toc438223138"/>
      <w:bookmarkStart w:id="118" w:name="_Toc435174935"/>
      <w:bookmarkStart w:id="119" w:name="_Toc15510"/>
      <w:bookmarkStart w:id="120" w:name="_Toc435516652"/>
      <w:bookmarkStart w:id="121" w:name="_Toc14022"/>
      <w:bookmarkStart w:id="122" w:name="_Toc22222"/>
      <w:bookmarkStart w:id="123" w:name="_Toc15267"/>
      <w:r>
        <w:rPr>
          <w:rFonts w:hint="eastAsia" w:asciiTheme="majorEastAsia" w:hAnsiTheme="majorEastAsia" w:eastAsiaTheme="majorEastAsia"/>
          <w:sz w:val="30"/>
          <w:szCs w:val="30"/>
          <w:lang w:eastAsia="zh-TW"/>
        </w:rPr>
        <w:t>投标文件的编制</w:t>
      </w:r>
      <w:bookmarkEnd w:id="117"/>
      <w:bookmarkEnd w:id="118"/>
      <w:bookmarkEnd w:id="119"/>
      <w:bookmarkEnd w:id="120"/>
      <w:bookmarkEnd w:id="121"/>
      <w:bookmarkEnd w:id="122"/>
      <w:bookmarkEnd w:id="123"/>
    </w:p>
    <w:p w14:paraId="5EBD4F7D">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4" w:name="_Toc27317"/>
      <w:r>
        <w:rPr>
          <w:rFonts w:hint="eastAsia" w:ascii="宋体" w:hAnsi="宋体"/>
          <w:b/>
          <w:bCs/>
          <w:szCs w:val="21"/>
        </w:rPr>
        <w:t>投标的语言</w:t>
      </w:r>
      <w:bookmarkEnd w:id="124"/>
    </w:p>
    <w:p w14:paraId="60E51897">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5" w:name="_Toc2446"/>
      <w:r>
        <w:rPr>
          <w:rFonts w:hint="eastAsia" w:ascii="宋体" w:hAnsi="宋体"/>
          <w:b/>
          <w:bCs/>
          <w:szCs w:val="21"/>
        </w:rPr>
        <w:t>投标文件的构成</w:t>
      </w:r>
      <w:bookmarkEnd w:id="125"/>
    </w:p>
    <w:p w14:paraId="57D603E8">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23"/>
        </w:numPr>
        <w:autoSpaceDE w:val="0"/>
        <w:autoSpaceDN w:val="0"/>
        <w:adjustRightInd w:val="0"/>
        <w:snapToGrid w:val="0"/>
        <w:spacing w:line="360" w:lineRule="auto"/>
        <w:ind w:left="567" w:leftChars="0" w:hanging="567" w:firstLineChars="0"/>
        <w:outlineLvl w:val="9"/>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6" w:name="_Toc11091"/>
      <w:r>
        <w:rPr>
          <w:rFonts w:hint="eastAsia" w:ascii="宋体" w:hAnsi="宋体"/>
          <w:b/>
          <w:bCs/>
          <w:szCs w:val="21"/>
        </w:rPr>
        <w:t>投标文件的编写</w:t>
      </w:r>
      <w:bookmarkEnd w:id="126"/>
    </w:p>
    <w:p w14:paraId="3AA1BCA5">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23"/>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7" w:name="_Toc7497"/>
      <w:r>
        <w:rPr>
          <w:rFonts w:hint="eastAsia" w:ascii="宋体" w:hAnsi="宋体"/>
          <w:b/>
          <w:bCs/>
          <w:szCs w:val="21"/>
        </w:rPr>
        <w:t>投标报价</w:t>
      </w:r>
      <w:bookmarkEnd w:id="127"/>
    </w:p>
    <w:p w14:paraId="34667E9C">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23"/>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23"/>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23"/>
        </w:numPr>
        <w:tabs>
          <w:tab w:val="left" w:pos="851"/>
        </w:tabs>
        <w:autoSpaceDE w:val="0"/>
        <w:autoSpaceDN w:val="0"/>
        <w:adjustRightInd w:val="0"/>
        <w:snapToGrid w:val="0"/>
        <w:spacing w:line="360" w:lineRule="auto"/>
        <w:ind w:left="567" w:leftChars="0" w:hanging="567" w:firstLineChars="0"/>
        <w:jc w:val="left"/>
        <w:outlineLvl w:val="9"/>
        <w:rPr>
          <w:rFonts w:ascii="宋体" w:hAnsi="宋体" w:cs="宋体"/>
          <w:szCs w:val="21"/>
        </w:rPr>
      </w:pPr>
      <w:r>
        <w:rPr>
          <w:rFonts w:hint="eastAsia" w:ascii="宋体" w:hAnsi="宋体" w:cs="宋体"/>
          <w:szCs w:val="21"/>
        </w:rPr>
        <w:t>对于报价免费的内容须标明“免费”。</w:t>
      </w:r>
    </w:p>
    <w:p w14:paraId="3708B8C6">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8" w:name="_Toc2827"/>
      <w:r>
        <w:rPr>
          <w:rFonts w:hint="eastAsia" w:ascii="宋体" w:hAnsi="宋体"/>
          <w:b/>
          <w:bCs/>
          <w:szCs w:val="21"/>
        </w:rPr>
        <w:t>投标货币</w:t>
      </w:r>
      <w:bookmarkEnd w:id="128"/>
    </w:p>
    <w:p w14:paraId="75F25268">
      <w:pPr>
        <w:numPr>
          <w:ilvl w:val="1"/>
          <w:numId w:val="23"/>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投标人所提供的货物和服务均应以人民币报价。</w:t>
      </w:r>
    </w:p>
    <w:p w14:paraId="74EED58B">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9" w:name="_Toc23174"/>
      <w:r>
        <w:rPr>
          <w:rFonts w:hint="eastAsia" w:ascii="宋体" w:hAnsi="宋体"/>
          <w:b/>
          <w:bCs/>
          <w:szCs w:val="21"/>
        </w:rPr>
        <w:t>联合体投标</w:t>
      </w:r>
      <w:bookmarkEnd w:id="129"/>
    </w:p>
    <w:p w14:paraId="1C1E2EC5">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23"/>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23"/>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23"/>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23"/>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30" w:name="_Toc14020"/>
      <w:r>
        <w:rPr>
          <w:rFonts w:hint="eastAsia" w:ascii="宋体" w:hAnsi="宋体"/>
          <w:b/>
          <w:bCs/>
          <w:szCs w:val="21"/>
        </w:rPr>
        <w:t>证明投标人合格和资格的文件</w:t>
      </w:r>
      <w:bookmarkEnd w:id="130"/>
    </w:p>
    <w:p w14:paraId="5439B540">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31" w:name="_Toc17198"/>
      <w:r>
        <w:rPr>
          <w:rFonts w:ascii="宋体" w:hAnsi="宋体"/>
          <w:b/>
          <w:bCs/>
          <w:szCs w:val="21"/>
        </w:rPr>
        <w:t>证明投标标的的合格性和符合招标文件规定的文件</w:t>
      </w:r>
      <w:bookmarkEnd w:id="131"/>
    </w:p>
    <w:p w14:paraId="6B9702A6">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23"/>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32" w:name="_Toc20270"/>
      <w:r>
        <w:rPr>
          <w:rFonts w:hint="eastAsia" w:ascii="宋体" w:hAnsi="宋体"/>
          <w:b/>
          <w:bCs/>
          <w:szCs w:val="21"/>
        </w:rPr>
        <w:t>投标文件的式样和签署、密封</w:t>
      </w:r>
      <w:bookmarkEnd w:id="132"/>
    </w:p>
    <w:p w14:paraId="669ADE1D">
      <w:pPr>
        <w:numPr>
          <w:ilvl w:val="1"/>
          <w:numId w:val="23"/>
        </w:numPr>
        <w:autoSpaceDE w:val="0"/>
        <w:autoSpaceDN w:val="0"/>
        <w:adjustRightInd w:val="0"/>
        <w:snapToGrid w:val="0"/>
        <w:spacing w:line="360" w:lineRule="auto"/>
        <w:rPr>
          <w:rFonts w:ascii="宋体" w:hAnsi="宋体" w:cs="黑体"/>
          <w:b/>
          <w:bCs/>
          <w:szCs w:val="21"/>
        </w:rPr>
      </w:pPr>
      <w:bookmarkStart w:id="133" w:name="_Toc435174936"/>
      <w:bookmarkStart w:id="134" w:name="_Toc435516653"/>
      <w:bookmarkStart w:id="135" w:name="_Toc438223139"/>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23"/>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23"/>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23"/>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23"/>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23"/>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3"/>
        <w:numPr>
          <w:ilvl w:val="0"/>
          <w:numId w:val="0"/>
        </w:numPr>
        <w:spacing w:line="240" w:lineRule="auto"/>
        <w:ind w:left="420" w:leftChars="0" w:hanging="420" w:firstLineChars="0"/>
        <w:jc w:val="center"/>
        <w:rPr>
          <w:rFonts w:asciiTheme="majorEastAsia" w:hAnsiTheme="majorEastAsia" w:eastAsiaTheme="majorEastAsia"/>
          <w:sz w:val="30"/>
          <w:szCs w:val="30"/>
          <w:lang w:eastAsia="zh-TW"/>
        </w:rPr>
      </w:pPr>
      <w:bookmarkStart w:id="136" w:name="_Toc5252"/>
      <w:bookmarkStart w:id="137" w:name="_Toc21758"/>
      <w:bookmarkStart w:id="138" w:name="_Toc28883"/>
      <w:bookmarkStart w:id="139" w:name="_Toc3153"/>
      <w:r>
        <w:rPr>
          <w:rFonts w:hint="eastAsia" w:asciiTheme="majorEastAsia" w:hAnsiTheme="majorEastAsia" w:eastAsiaTheme="majorEastAsia"/>
          <w:sz w:val="30"/>
          <w:szCs w:val="30"/>
          <w:lang w:eastAsia="zh-TW"/>
        </w:rPr>
        <w:t>投标文件的递交</w:t>
      </w:r>
      <w:bookmarkEnd w:id="133"/>
      <w:bookmarkEnd w:id="134"/>
      <w:bookmarkEnd w:id="135"/>
      <w:bookmarkEnd w:id="136"/>
      <w:bookmarkEnd w:id="137"/>
      <w:bookmarkEnd w:id="138"/>
      <w:bookmarkEnd w:id="139"/>
    </w:p>
    <w:p w14:paraId="34019736">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40" w:name="_Toc13202"/>
      <w:r>
        <w:rPr>
          <w:rFonts w:hint="eastAsia" w:ascii="宋体" w:hAnsi="宋体"/>
          <w:b/>
          <w:bCs/>
          <w:szCs w:val="21"/>
        </w:rPr>
        <w:t>投标文件递交</w:t>
      </w:r>
      <w:bookmarkEnd w:id="140"/>
    </w:p>
    <w:p w14:paraId="6CF7C752">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23"/>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41" w:name="_Toc22017"/>
      <w:r>
        <w:rPr>
          <w:rFonts w:hint="eastAsia" w:ascii="宋体" w:hAnsi="宋体"/>
          <w:b/>
          <w:bCs/>
          <w:szCs w:val="21"/>
        </w:rPr>
        <w:t>投标文件的修改和撤回、撤销</w:t>
      </w:r>
      <w:bookmarkEnd w:id="141"/>
    </w:p>
    <w:p w14:paraId="6E8E5B6D">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23"/>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42" w:name="_Toc18853"/>
      <w:r>
        <w:rPr>
          <w:rFonts w:hint="eastAsia" w:ascii="宋体" w:hAnsi="宋体"/>
          <w:b/>
          <w:bCs/>
          <w:szCs w:val="21"/>
        </w:rPr>
        <w:t>质疑</w:t>
      </w:r>
      <w:bookmarkEnd w:id="142"/>
    </w:p>
    <w:p w14:paraId="6D72A899">
      <w:pPr>
        <w:numPr>
          <w:ilvl w:val="1"/>
          <w:numId w:val="23"/>
        </w:numPr>
        <w:autoSpaceDE w:val="0"/>
        <w:autoSpaceDN w:val="0"/>
        <w:adjustRightInd w:val="0"/>
        <w:snapToGrid w:val="0"/>
        <w:spacing w:line="360" w:lineRule="auto"/>
        <w:ind w:left="567" w:leftChars="0" w:hanging="567" w:firstLineChars="0"/>
        <w:outlineLvl w:val="9"/>
        <w:rPr>
          <w:rFonts w:ascii="宋体" w:hAnsi="宋体" w:cs="黑体"/>
          <w:bCs/>
          <w:szCs w:val="21"/>
        </w:rPr>
      </w:pPr>
      <w:r>
        <w:rPr>
          <w:rFonts w:hint="eastAsia" w:ascii="宋体" w:hAnsi="宋体" w:cs="黑体"/>
          <w:bCs/>
          <w:szCs w:val="21"/>
        </w:rPr>
        <w:t>质疑</w:t>
      </w:r>
    </w:p>
    <w:p w14:paraId="40FAED7F">
      <w:pPr>
        <w:numPr>
          <w:ilvl w:val="2"/>
          <w:numId w:val="23"/>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质疑期限：</w:t>
      </w:r>
    </w:p>
    <w:p w14:paraId="495E23B1">
      <w:pPr>
        <w:numPr>
          <w:ilvl w:val="3"/>
          <w:numId w:val="23"/>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23"/>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23"/>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23"/>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提交要求：</w:t>
      </w:r>
    </w:p>
    <w:p w14:paraId="119713E8">
      <w:pPr>
        <w:numPr>
          <w:ilvl w:val="3"/>
          <w:numId w:val="23"/>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23"/>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23"/>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23"/>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23"/>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23"/>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23"/>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43" w:name="_Toc19729"/>
      <w:r>
        <w:rPr>
          <w:rFonts w:hint="eastAsia" w:ascii="宋体" w:hAnsi="宋体"/>
          <w:b/>
          <w:bCs/>
          <w:szCs w:val="21"/>
        </w:rPr>
        <w:t>中标通知书</w:t>
      </w:r>
      <w:bookmarkEnd w:id="143"/>
    </w:p>
    <w:p w14:paraId="0275F8BA">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3"/>
        <w:numPr>
          <w:ilvl w:val="0"/>
          <w:numId w:val="0"/>
        </w:numPr>
        <w:spacing w:line="240" w:lineRule="auto"/>
        <w:ind w:left="420" w:leftChars="0" w:hanging="420" w:firstLineChars="0"/>
        <w:jc w:val="center"/>
        <w:outlineLvl w:val="1"/>
        <w:rPr>
          <w:rFonts w:asciiTheme="majorEastAsia" w:hAnsiTheme="majorEastAsia" w:eastAsiaTheme="majorEastAsia"/>
          <w:sz w:val="30"/>
          <w:szCs w:val="30"/>
          <w:lang w:eastAsia="zh-TW"/>
        </w:rPr>
      </w:pPr>
      <w:bookmarkStart w:id="144" w:name="_Toc20050"/>
      <w:bookmarkStart w:id="145" w:name="_Toc9916"/>
      <w:bookmarkStart w:id="146" w:name="_Toc7529"/>
      <w:bookmarkStart w:id="147" w:name="_Toc435174938"/>
      <w:bookmarkStart w:id="148" w:name="_Toc438223141"/>
      <w:bookmarkStart w:id="149" w:name="_Toc6704"/>
      <w:bookmarkStart w:id="150" w:name="_Toc435516655"/>
      <w:r>
        <w:rPr>
          <w:rFonts w:hint="eastAsia" w:asciiTheme="majorEastAsia" w:hAnsiTheme="majorEastAsia" w:eastAsiaTheme="majorEastAsia"/>
          <w:sz w:val="30"/>
          <w:szCs w:val="30"/>
          <w:lang w:eastAsia="zh-TW"/>
        </w:rPr>
        <w:t>授予合同</w:t>
      </w:r>
      <w:bookmarkEnd w:id="144"/>
      <w:bookmarkEnd w:id="145"/>
      <w:bookmarkEnd w:id="146"/>
      <w:bookmarkEnd w:id="147"/>
      <w:bookmarkEnd w:id="148"/>
      <w:bookmarkEnd w:id="149"/>
      <w:bookmarkEnd w:id="150"/>
    </w:p>
    <w:p w14:paraId="58EF3211">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51" w:name="_Toc23713"/>
      <w:bookmarkStart w:id="152" w:name="_Toc5467"/>
      <w:r>
        <w:rPr>
          <w:rFonts w:hint="eastAsia" w:ascii="宋体" w:hAnsi="宋体"/>
          <w:b/>
          <w:bCs/>
          <w:szCs w:val="21"/>
        </w:rPr>
        <w:t>合同的订立</w:t>
      </w:r>
      <w:bookmarkEnd w:id="151"/>
      <w:bookmarkEnd w:id="152"/>
    </w:p>
    <w:p w14:paraId="4D85A810">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53" w:name="_Toc560"/>
      <w:bookmarkStart w:id="154" w:name="_Toc5053"/>
      <w:r>
        <w:rPr>
          <w:rFonts w:hint="eastAsia" w:ascii="宋体" w:hAnsi="宋体"/>
          <w:b/>
          <w:bCs/>
          <w:szCs w:val="21"/>
        </w:rPr>
        <w:t>合同的履行</w:t>
      </w:r>
      <w:bookmarkEnd w:id="153"/>
      <w:bookmarkEnd w:id="154"/>
    </w:p>
    <w:p w14:paraId="5265F92B">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0A7B3783">
      <w:pPr>
        <w:numPr>
          <w:ilvl w:val="1"/>
          <w:numId w:val="23"/>
        </w:numPr>
        <w:autoSpaceDE w:val="0"/>
        <w:autoSpaceDN w:val="0"/>
        <w:adjustRightInd w:val="0"/>
        <w:snapToGrid w:val="0"/>
        <w:spacing w:line="360" w:lineRule="auto"/>
        <w:rPr>
          <w:color w:val="000000"/>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7FD8F398">
      <w:pPr>
        <w:keepNext/>
        <w:keepLines/>
        <w:pageBreakBefore w:val="0"/>
        <w:widowControl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outlineLvl w:val="9"/>
        <w:rPr>
          <w:rFonts w:hint="eastAsia" w:ascii="宋体" w:hAnsi="宋体" w:eastAsia="黑体" w:cs="宋体"/>
          <w:b/>
          <w:bCs/>
          <w:color w:val="000000" w:themeColor="text1"/>
          <w:kern w:val="2"/>
          <w:sz w:val="28"/>
          <w:szCs w:val="21"/>
          <w:lang w:val="en-US" w:eastAsia="zh-CN" w:bidi="ar-SA"/>
          <w14:textFill>
            <w14:solidFill>
              <w14:schemeClr w14:val="tx1"/>
            </w14:solidFill>
          </w14:textFill>
        </w:rPr>
      </w:pPr>
      <w:r>
        <w:rPr>
          <w:rFonts w:hint="eastAsia" w:ascii="宋体" w:hAnsi="宋体" w:eastAsia="黑体" w:cs="宋体"/>
          <w:b/>
          <w:bCs/>
          <w:color w:val="000000" w:themeColor="text1"/>
          <w:kern w:val="2"/>
          <w:sz w:val="28"/>
          <w:szCs w:val="21"/>
          <w:lang w:val="en-US" w:eastAsia="zh-CN" w:bidi="ar-SA"/>
          <w14:textFill>
            <w14:solidFill>
              <w14:schemeClr w14:val="tx1"/>
            </w14:solidFill>
          </w14:textFill>
        </w:rPr>
        <w:t xml:space="preserve">     </w:t>
      </w:r>
    </w:p>
    <w:p w14:paraId="6DEF610F">
      <w:pPr>
        <w:keepNext/>
        <w:keepLines/>
        <w:pageBreakBefore w:val="0"/>
        <w:widowControl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outlineLvl w:val="9"/>
        <w:rPr>
          <w:rFonts w:hint="eastAsia" w:ascii="宋体" w:hAnsi="宋体" w:eastAsia="黑体" w:cs="宋体"/>
          <w:b/>
          <w:bCs/>
          <w:color w:val="000000" w:themeColor="text1"/>
          <w:kern w:val="2"/>
          <w:sz w:val="28"/>
          <w:szCs w:val="21"/>
          <w:lang w:val="en-US" w:eastAsia="zh-CN" w:bidi="ar-SA"/>
          <w14:textFill>
            <w14:solidFill>
              <w14:schemeClr w14:val="tx1"/>
            </w14:solidFill>
          </w14:textFill>
        </w:rPr>
      </w:pPr>
    </w:p>
    <w:p w14:paraId="227C819D">
      <w:pPr>
        <w:keepNext/>
        <w:keepLines/>
        <w:pageBreakBefore w:val="0"/>
        <w:widowControl w:val="0"/>
        <w:kinsoku/>
        <w:overflowPunct/>
        <w:topLinePunct w:val="0"/>
        <w:autoSpaceDE/>
        <w:autoSpaceDN/>
        <w:bidi w:val="0"/>
        <w:adjustRightInd w:val="0"/>
        <w:snapToGrid w:val="0"/>
        <w:spacing w:before="0" w:beforeAutospacing="0" w:after="0" w:afterAutospacing="0" w:line="560" w:lineRule="exact"/>
        <w:ind w:left="0" w:leftChars="0"/>
        <w:jc w:val="both"/>
        <w:textAlignment w:val="auto"/>
        <w:outlineLvl w:val="9"/>
        <w:rPr>
          <w:rFonts w:hint="eastAsia" w:ascii="宋体" w:hAnsi="宋体" w:eastAsia="黑体" w:cs="宋体"/>
          <w:b/>
          <w:bCs/>
          <w:color w:val="000000" w:themeColor="text1"/>
          <w:kern w:val="2"/>
          <w:sz w:val="28"/>
          <w:szCs w:val="21"/>
          <w:lang w:val="en-US" w:eastAsia="zh-CN" w:bidi="ar-SA"/>
          <w14:textFill>
            <w14:solidFill>
              <w14:schemeClr w14:val="tx1"/>
            </w14:solidFill>
          </w14:textFill>
        </w:rPr>
      </w:pPr>
    </w:p>
    <w:p w14:paraId="583B4BD0">
      <w:pPr>
        <w:rPr>
          <w:rFonts w:hint="eastAsia" w:ascii="宋体" w:hAnsi="宋体" w:cs="宋体"/>
          <w:color w:val="000000" w:themeColor="text1"/>
          <w:szCs w:val="21"/>
          <w14:textFill>
            <w14:solidFill>
              <w14:schemeClr w14:val="tx1"/>
            </w14:solidFill>
          </w14:textFill>
        </w:rPr>
      </w:pPr>
    </w:p>
    <w:p w14:paraId="711E21F2">
      <w:pPr>
        <w:keepNext/>
        <w:keepLines/>
        <w:pageBreakBefore w:val="0"/>
        <w:widowControl w:val="0"/>
        <w:kinsoku/>
        <w:overflowPunct/>
        <w:topLinePunct w:val="0"/>
        <w:autoSpaceDE/>
        <w:autoSpaceDN/>
        <w:bidi w:val="0"/>
        <w:adjustRightInd w:val="0"/>
        <w:snapToGrid w:val="0"/>
        <w:spacing w:before="0" w:beforeAutospacing="0" w:after="0" w:afterAutospacing="0" w:line="560" w:lineRule="exact"/>
        <w:ind w:left="0" w:leftChars="0"/>
        <w:jc w:val="both"/>
        <w:textAlignment w:val="auto"/>
        <w:outlineLvl w:val="9"/>
        <w:rPr>
          <w:rFonts w:hint="eastAsia" w:ascii="宋体" w:hAnsi="宋体" w:eastAsia="黑体" w:cs="宋体"/>
          <w:b/>
          <w:bCs/>
          <w:color w:val="000000" w:themeColor="text1"/>
          <w:kern w:val="2"/>
          <w:sz w:val="28"/>
          <w:szCs w:val="21"/>
          <w:lang w:val="en-US" w:eastAsia="zh-CN" w:bidi="ar-SA"/>
          <w14:textFill>
            <w14:solidFill>
              <w14:schemeClr w14:val="tx1"/>
            </w14:solidFill>
          </w14:textFill>
        </w:rPr>
      </w:pPr>
      <w:r>
        <w:rPr>
          <w:rFonts w:hint="eastAsia" w:ascii="宋体" w:hAnsi="宋体" w:eastAsia="黑体" w:cs="宋体"/>
          <w:b/>
          <w:bCs/>
          <w:color w:val="000000" w:themeColor="text1"/>
          <w:kern w:val="2"/>
          <w:sz w:val="28"/>
          <w:szCs w:val="21"/>
          <w:lang w:val="en-US" w:eastAsia="zh-CN" w:bidi="ar-SA"/>
          <w14:textFill>
            <w14:solidFill>
              <w14:schemeClr w14:val="tx1"/>
            </w14:solidFill>
          </w14:textFill>
        </w:rPr>
        <w:t xml:space="preserve">   </w:t>
      </w:r>
      <w:bookmarkStart w:id="155" w:name="_Toc318878971"/>
      <w:bookmarkStart w:id="156" w:name="_Toc532"/>
      <w:bookmarkStart w:id="157" w:name="_Toc109889663"/>
      <w:bookmarkStart w:id="158" w:name="_Toc374439153"/>
      <w:bookmarkStart w:id="159" w:name="_Toc128037689"/>
    </w:p>
    <w:p w14:paraId="21DCC5FC">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4F888CFD">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9"/>
        <w:rPr>
          <w:b/>
          <w:sz w:val="52"/>
          <w:szCs w:val="52"/>
          <w:highlight w:val="none"/>
        </w:rPr>
      </w:pPr>
    </w:p>
    <w:p w14:paraId="61C26E21">
      <w:pPr>
        <w:pageBreakBefore w:val="0"/>
        <w:kinsoku/>
        <w:overflowPunct/>
        <w:topLinePunct w:val="0"/>
        <w:autoSpaceDE/>
        <w:autoSpaceDN/>
        <w:bidi w:val="0"/>
        <w:adjustRightInd w:val="0"/>
        <w:snapToGrid w:val="0"/>
        <w:spacing w:beforeAutospacing="0" w:afterAutospacing="0" w:line="560" w:lineRule="exact"/>
        <w:ind w:left="0" w:leftChars="0"/>
        <w:jc w:val="right"/>
        <w:textAlignment w:val="auto"/>
        <w:outlineLvl w:val="9"/>
        <w:rPr>
          <w:b/>
          <w:sz w:val="52"/>
          <w:szCs w:val="52"/>
          <w:highlight w:val="none"/>
          <w:u w:val="single"/>
        </w:rPr>
      </w:pPr>
      <w:r>
        <w:rPr>
          <w:rFonts w:hint="eastAsia" w:ascii="仿宋_GB2312" w:hAnsi="仿宋_GB2312" w:eastAsia="仿宋_GB2312" w:cs="仿宋_GB2312"/>
          <w:b w:val="0"/>
          <w:bCs w:val="0"/>
          <w:sz w:val="32"/>
          <w:szCs w:val="32"/>
          <w:highlight w:val="none"/>
        </w:rPr>
        <w:t>合同编号：</w:t>
      </w:r>
      <w:r>
        <w:rPr>
          <w:rFonts w:hint="eastAsia" w:ascii="仿宋_GB2312" w:hAnsi="仿宋_GB2312" w:eastAsia="仿宋_GB2312" w:cs="仿宋_GB2312"/>
          <w:b w:val="0"/>
          <w:bCs w:val="0"/>
          <w:sz w:val="32"/>
          <w:szCs w:val="32"/>
          <w:highlight w:val="none"/>
          <w:lang w:val="en-US" w:eastAsia="zh-CN"/>
        </w:rPr>
        <w:t>FTEY-HC-</w:t>
      </w:r>
    </w:p>
    <w:p w14:paraId="682CB40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p>
    <w:p w14:paraId="6DDB6AF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p>
    <w:p w14:paraId="6080789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both"/>
        <w:textAlignment w:val="auto"/>
        <w:rPr>
          <w:rFonts w:hint="eastAsia" w:ascii="宋体" w:hAnsi="宋体" w:cs="宋体"/>
          <w:b/>
          <w:bCs/>
          <w:sz w:val="72"/>
          <w:szCs w:val="72"/>
          <w:highlight w:val="none"/>
        </w:rPr>
      </w:pPr>
    </w:p>
    <w:p w14:paraId="4CEDE95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p>
    <w:p w14:paraId="5C1F1E1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r>
        <w:rPr>
          <w:rFonts w:hint="eastAsia" w:ascii="宋体" w:hAnsi="宋体" w:cs="宋体"/>
          <w:b/>
          <w:bCs/>
          <w:sz w:val="72"/>
          <w:szCs w:val="72"/>
          <w:highlight w:val="none"/>
        </w:rPr>
        <w:t>福田区卫生系统医用器械</w:t>
      </w:r>
    </w:p>
    <w:p w14:paraId="5501E74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ascii="宋体" w:hAnsi="宋体" w:cs="宋体"/>
          <w:b/>
          <w:bCs/>
          <w:sz w:val="72"/>
          <w:szCs w:val="72"/>
          <w:highlight w:val="none"/>
        </w:rPr>
      </w:pPr>
      <w:r>
        <w:rPr>
          <w:rFonts w:hint="eastAsia" w:ascii="宋体" w:hAnsi="宋体" w:cs="宋体"/>
          <w:b/>
          <w:bCs/>
          <w:sz w:val="72"/>
          <w:szCs w:val="72"/>
          <w:highlight w:val="none"/>
        </w:rPr>
        <w:t>耗材采购合同</w:t>
      </w:r>
    </w:p>
    <w:p w14:paraId="4F1576F3">
      <w:pPr>
        <w:bidi w:val="0"/>
        <w:jc w:val="center"/>
        <w:rPr>
          <w:sz w:val="44"/>
          <w:szCs w:val="44"/>
          <w:highlight w:val="none"/>
        </w:rPr>
      </w:pPr>
    </w:p>
    <w:p w14:paraId="1E2DF11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textAlignment w:val="auto"/>
        <w:outlineLvl w:val="9"/>
        <w:rPr>
          <w:rFonts w:ascii="宋体" w:hAnsi="宋体"/>
          <w:b/>
          <w:sz w:val="24"/>
          <w:highlight w:val="none"/>
        </w:rPr>
      </w:pPr>
    </w:p>
    <w:p w14:paraId="35691CCE">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16374CD3">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59361949">
      <w:pPr>
        <w:keepNext/>
        <w:keepLines/>
        <w:widowControl w:val="0"/>
        <w:spacing w:line="576" w:lineRule="auto"/>
        <w:jc w:val="both"/>
        <w:outlineLvl w:val="9"/>
        <w:rPr>
          <w:rFonts w:asciiTheme="minorHAnsi" w:hAnsiTheme="minorHAnsi" w:eastAsiaTheme="minorEastAsia" w:cstheme="minorBidi"/>
          <w:b/>
          <w:kern w:val="44"/>
          <w:sz w:val="44"/>
          <w:szCs w:val="24"/>
          <w:lang w:val="en-US" w:eastAsia="zh-CN" w:bidi="ar-SA"/>
        </w:rPr>
      </w:pPr>
    </w:p>
    <w:p w14:paraId="3003A15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4C9F6F35">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1367F6A6">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27EA40D1">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甲    方：</w:t>
      </w:r>
      <w:r>
        <w:rPr>
          <w:rFonts w:hint="eastAsia" w:ascii="仿宋_GB2312" w:hAnsi="仿宋_GB2312" w:eastAsia="仿宋_GB2312" w:cs="仿宋_GB2312"/>
          <w:bCs/>
          <w:color w:val="auto"/>
          <w:sz w:val="32"/>
          <w:szCs w:val="32"/>
          <w:highlight w:val="none"/>
          <w:u w:val="single"/>
        </w:rPr>
        <w:t xml:space="preserve">                            </w:t>
      </w:r>
    </w:p>
    <w:p w14:paraId="4EE94DC4">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u w:val="single"/>
        </w:rPr>
      </w:pPr>
      <w:r>
        <w:rPr>
          <w:rFonts w:hint="eastAsia" w:ascii="仿宋_GB2312" w:hAnsi="仿宋_GB2312" w:eastAsia="仿宋_GB2312" w:cs="仿宋_GB2312"/>
          <w:bCs/>
          <w:color w:val="auto"/>
          <w:sz w:val="32"/>
          <w:szCs w:val="32"/>
          <w:highlight w:val="none"/>
        </w:rPr>
        <w:t>乙    方：</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78CE8364">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color w:val="auto"/>
          <w:sz w:val="24"/>
          <w:highlight w:val="none"/>
        </w:rPr>
      </w:pPr>
    </w:p>
    <w:p w14:paraId="09F46B38">
      <w:pPr>
        <w:pageBreakBefore w:val="0"/>
        <w:kinsoku/>
        <w:overflowPunct/>
        <w:topLinePunct w:val="0"/>
        <w:autoSpaceDE/>
        <w:autoSpaceDN/>
        <w:bidi w:val="0"/>
        <w:adjustRightInd w:val="0"/>
        <w:snapToGrid w:val="0"/>
        <w:spacing w:beforeAutospacing="0" w:afterAutospacing="0" w:line="560" w:lineRule="exact"/>
        <w:ind w:left="0" w:leftChars="0"/>
        <w:jc w:val="both"/>
        <w:textAlignment w:val="auto"/>
        <w:outlineLvl w:val="9"/>
        <w:rPr>
          <w:rFonts w:hint="eastAsia" w:ascii="方正小标宋简体" w:hAnsi="方正小标宋简体" w:eastAsia="方正小标宋简体" w:cs="方正小标宋简体"/>
          <w:b w:val="0"/>
          <w:bCs/>
          <w:sz w:val="40"/>
          <w:szCs w:val="40"/>
          <w:highlight w:val="none"/>
        </w:rPr>
      </w:pPr>
    </w:p>
    <w:p w14:paraId="68AAC512">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9"/>
        <w:rPr>
          <w:rFonts w:hint="eastAsia" w:ascii="方正小标宋简体" w:hAnsi="方正小标宋简体" w:eastAsia="方正小标宋简体" w:cs="方正小标宋简体"/>
          <w:b w:val="0"/>
          <w:bCs/>
          <w:sz w:val="40"/>
          <w:szCs w:val="40"/>
          <w:highlight w:val="none"/>
        </w:rPr>
      </w:pPr>
    </w:p>
    <w:p w14:paraId="2B9C508F">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9"/>
        <w:rPr>
          <w:rFonts w:hint="eastAsia" w:ascii="方正小标宋简体" w:hAnsi="方正小标宋简体" w:eastAsia="方正小标宋简体" w:cs="方正小标宋简体"/>
          <w:b w:val="0"/>
          <w:bCs/>
          <w:sz w:val="40"/>
          <w:szCs w:val="40"/>
          <w:highlight w:val="none"/>
        </w:rPr>
      </w:pPr>
      <w:r>
        <w:rPr>
          <w:rFonts w:hint="eastAsia" w:ascii="方正小标宋简体" w:hAnsi="方正小标宋简体" w:eastAsia="方正小标宋简体" w:cs="方正小标宋简体"/>
          <w:b w:val="0"/>
          <w:bCs/>
          <w:sz w:val="40"/>
          <w:szCs w:val="40"/>
          <w:highlight w:val="none"/>
        </w:rPr>
        <w:t>福田区</w:t>
      </w:r>
      <w:r>
        <w:rPr>
          <w:rFonts w:hint="eastAsia" w:ascii="方正小标宋简体" w:hAnsi="方正小标宋简体" w:eastAsia="方正小标宋简体" w:cs="方正小标宋简体"/>
          <w:b w:val="0"/>
          <w:bCs/>
          <w:sz w:val="40"/>
          <w:szCs w:val="40"/>
          <w:highlight w:val="none"/>
          <w:lang w:eastAsia="zh-CN"/>
        </w:rPr>
        <w:t>第二人民医院</w:t>
      </w:r>
      <w:r>
        <w:rPr>
          <w:rFonts w:hint="eastAsia" w:ascii="方正小标宋简体" w:hAnsi="方正小标宋简体" w:eastAsia="方正小标宋简体" w:cs="方正小标宋简体"/>
          <w:b w:val="0"/>
          <w:bCs/>
          <w:sz w:val="40"/>
          <w:szCs w:val="40"/>
          <w:highlight w:val="none"/>
        </w:rPr>
        <w:t>医用器械耗材采购合同</w:t>
      </w:r>
    </w:p>
    <w:p w14:paraId="2792CF6B">
      <w:pPr>
        <w:pageBreakBefore w:val="0"/>
        <w:widowControl/>
        <w:kinsoku/>
        <w:overflowPunct/>
        <w:topLinePunct w:val="0"/>
        <w:autoSpaceDE/>
        <w:autoSpaceDN/>
        <w:bidi w:val="0"/>
        <w:adjustRightInd w:val="0"/>
        <w:snapToGrid w:val="0"/>
        <w:spacing w:beforeAutospacing="0" w:afterAutospacing="0" w:line="560" w:lineRule="exact"/>
        <w:ind w:left="0" w:leftChars="0" w:firstLine="3855" w:firstLineChars="1200"/>
        <w:textAlignment w:val="auto"/>
        <w:rPr>
          <w:rFonts w:ascii="宋体" w:hAnsi="宋体" w:cs="宋体"/>
          <w:b/>
          <w:bCs/>
          <w:kern w:val="0"/>
          <w:sz w:val="32"/>
          <w:szCs w:val="32"/>
          <w:highlight w:val="none"/>
        </w:rPr>
      </w:pPr>
    </w:p>
    <w:p w14:paraId="4AD88F6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en-US" w:eastAsia="zh-CN"/>
        </w:rPr>
        <w:t>深圳市福田区第二人民医院</w:t>
      </w:r>
    </w:p>
    <w:p w14:paraId="5558FB8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赵蓉</w:t>
      </w:r>
    </w:p>
    <w:p w14:paraId="3DDC6E8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注册地址：</w:t>
      </w:r>
      <w:r>
        <w:rPr>
          <w:rFonts w:hint="eastAsia" w:ascii="仿宋_GB2312" w:hAnsi="仿宋_GB2312" w:eastAsia="仿宋_GB2312" w:cs="仿宋_GB2312"/>
          <w:color w:val="auto"/>
          <w:sz w:val="28"/>
          <w:szCs w:val="28"/>
          <w:highlight w:val="none"/>
          <w:lang w:val="en-US" w:eastAsia="zh-CN"/>
        </w:rPr>
        <w:t>广东省深圳市福田区中康路27号</w:t>
      </w:r>
    </w:p>
    <w:p w14:paraId="48541DD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lang w:val="en-US" w:eastAsia="zh-CN"/>
        </w:rPr>
        <w:t>0755-83110237</w:t>
      </w:r>
    </w:p>
    <w:p w14:paraId="7BF6931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统一社会信用代码：</w:t>
      </w:r>
      <w:r>
        <w:rPr>
          <w:rFonts w:hint="eastAsia" w:ascii="仿宋_GB2312" w:hAnsi="仿宋_GB2312" w:eastAsia="仿宋_GB2312" w:cs="仿宋_GB2312"/>
          <w:color w:val="auto"/>
          <w:sz w:val="28"/>
          <w:szCs w:val="28"/>
          <w:highlight w:val="none"/>
          <w:lang w:val="en-US" w:eastAsia="zh-CN"/>
        </w:rPr>
        <w:t>12440304455744313D</w:t>
      </w:r>
    </w:p>
    <w:p w14:paraId="5880D89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p w14:paraId="2809D2C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p>
    <w:p w14:paraId="2830EA4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p>
    <w:p w14:paraId="0E0D8EA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注册地址：</w:t>
      </w:r>
    </w:p>
    <w:p w14:paraId="3FC8FF0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p w14:paraId="36A444B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统一社会信用代码：</w:t>
      </w:r>
    </w:p>
    <w:p w14:paraId="2017D4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3BA269E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甲、乙双方根据</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日</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深圳市福田区第二人民医院</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期</w:t>
      </w:r>
      <w:r>
        <w:rPr>
          <w:rFonts w:hint="eastAsia" w:ascii="仿宋_GB2312" w:hAnsi="仿宋_GB2312" w:eastAsia="仿宋_GB2312" w:cs="仿宋_GB2312"/>
          <w:color w:val="auto"/>
          <w:sz w:val="28"/>
          <w:szCs w:val="28"/>
          <w:highlight w:val="none"/>
          <w:u w:val="none"/>
        </w:rPr>
        <w:t>（试剂/耗材/物资）</w:t>
      </w:r>
      <w:r>
        <w:rPr>
          <w:rFonts w:hint="eastAsia" w:ascii="仿宋_GB2312" w:hAnsi="仿宋_GB2312" w:eastAsia="仿宋_GB2312" w:cs="仿宋_GB2312"/>
          <w:color w:val="auto"/>
          <w:sz w:val="28"/>
          <w:szCs w:val="28"/>
          <w:highlight w:val="none"/>
        </w:rPr>
        <w:t>采购项目”（采购项目名称</w:t>
      </w:r>
      <w:r>
        <w:rPr>
          <w:rFonts w:hint="eastAsia" w:ascii="仿宋_GB2312" w:hAnsi="仿宋_GB2312" w:eastAsia="仿宋_GB2312" w:cs="仿宋_GB2312"/>
          <w:color w:val="auto"/>
          <w:sz w:val="28"/>
          <w:szCs w:val="28"/>
          <w:highlight w:val="none"/>
          <w:u w:val="none"/>
        </w:rPr>
        <w:t>：</w:t>
      </w:r>
    </w:p>
    <w:p w14:paraId="4BE88271">
      <w:pPr>
        <w:keepNext w:val="0"/>
        <w:keepLines w:val="0"/>
        <w:pageBreakBefore w:val="0"/>
        <w:kinsoku/>
        <w:overflowPunct/>
        <w:topLinePunct w:val="0"/>
        <w:autoSpaceDE/>
        <w:autoSpaceDN/>
        <w:bidi w:val="0"/>
        <w:adjustRightInd w:val="0"/>
        <w:snapToGrid w:val="0"/>
        <w:spacing w:beforeAutospacing="0" w:afterAutospacing="0" w:line="560" w:lineRule="exact"/>
        <w:textAlignment w:val="auto"/>
        <w:rPr>
          <w:color w:val="auto"/>
          <w:highlight w:val="none"/>
        </w:rPr>
      </w:pP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rPr>
        <w:t>采购编号</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结果和采购文件的要求，按照《中华人民共和国民法典》《中华人民共和国政府采购法》《深圳经济特区政府采购条例》《深圳经济特区政府采购条例实施细则》等相关法律法规的规定，经双方协商一致，达成以下合同条款：</w:t>
      </w:r>
    </w:p>
    <w:p w14:paraId="4C8B880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bookmarkStart w:id="160" w:name="_Toc13149_WPSOffice_Level1"/>
      <w:r>
        <w:rPr>
          <w:rFonts w:hint="eastAsia" w:ascii="仿宋_GB2312" w:hAnsi="仿宋_GB2312" w:eastAsia="仿宋_GB2312" w:cs="仿宋_GB2312"/>
          <w:b/>
          <w:color w:val="auto"/>
          <w:sz w:val="28"/>
          <w:szCs w:val="28"/>
          <w:highlight w:val="none"/>
        </w:rPr>
        <w:t>第一条  合同标的</w:t>
      </w:r>
      <w:bookmarkEnd w:id="160"/>
    </w:p>
    <w:p w14:paraId="65C3486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1.乙方根据甲方需求提供（货物/设备/器材等）：（标的物名称、规格、型号、生产厂商、产地、数量及分项价款，若标的物较多可以附件形式体现，如见附件一《货</w:t>
      </w:r>
      <w:r>
        <w:rPr>
          <w:rFonts w:hint="eastAsia" w:ascii="仿宋_GB2312" w:hAnsi="仿宋_GB2312" w:eastAsia="仿宋_GB2312" w:cs="仿宋_GB2312"/>
          <w:color w:val="auto"/>
          <w:sz w:val="28"/>
          <w:szCs w:val="28"/>
          <w:highlight w:val="none"/>
          <w:lang w:val="en-US" w:eastAsia="zh-CN"/>
        </w:rPr>
        <w:t>品</w:t>
      </w:r>
      <w:r>
        <w:rPr>
          <w:rFonts w:hint="eastAsia" w:ascii="仿宋_GB2312" w:hAnsi="仿宋_GB2312" w:eastAsia="仿宋_GB2312" w:cs="仿宋_GB2312"/>
          <w:color w:val="auto"/>
          <w:sz w:val="28"/>
          <w:szCs w:val="28"/>
          <w:highlight w:val="none"/>
        </w:rPr>
        <w:t>清单》。）</w:t>
      </w:r>
    </w:p>
    <w:p w14:paraId="0F311AE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rPr>
      </w:pPr>
    </w:p>
    <w:p w14:paraId="752D94A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附件一：</w:t>
      </w:r>
    </w:p>
    <w:p w14:paraId="0C09B2EF">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货</w:t>
      </w:r>
      <w:r>
        <w:rPr>
          <w:rFonts w:hint="eastAsia" w:ascii="方正小标宋_GBK" w:hAnsi="方正小标宋_GBK" w:eastAsia="方正小标宋_GBK" w:cs="方正小标宋_GBK"/>
          <w:color w:val="auto"/>
          <w:sz w:val="44"/>
          <w:szCs w:val="44"/>
          <w:highlight w:val="none"/>
          <w:lang w:val="en-US" w:eastAsia="zh-CN"/>
        </w:rPr>
        <w:t>品</w:t>
      </w:r>
      <w:r>
        <w:rPr>
          <w:rFonts w:hint="eastAsia" w:ascii="方正小标宋_GBK" w:hAnsi="方正小标宋_GBK" w:eastAsia="方正小标宋_GBK" w:cs="方正小标宋_GBK"/>
          <w:color w:val="auto"/>
          <w:sz w:val="44"/>
          <w:szCs w:val="44"/>
          <w:highlight w:val="none"/>
        </w:rPr>
        <w:t>清单</w:t>
      </w:r>
    </w:p>
    <w:p w14:paraId="6AEAEDB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tbl>
      <w:tblPr>
        <w:tblStyle w:val="18"/>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227"/>
        <w:gridCol w:w="560"/>
        <w:gridCol w:w="973"/>
        <w:gridCol w:w="974"/>
        <w:gridCol w:w="1240"/>
        <w:gridCol w:w="1742"/>
      </w:tblGrid>
      <w:tr w14:paraId="785D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69" w:type="dxa"/>
            <w:vAlign w:val="center"/>
          </w:tcPr>
          <w:p w14:paraId="2A0E475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产品</w:t>
            </w:r>
            <w:r>
              <w:rPr>
                <w:rFonts w:hint="eastAsia" w:ascii="仿宋" w:hAnsi="仿宋" w:eastAsia="仿宋" w:cs="仿宋"/>
                <w:color w:val="auto"/>
                <w:kern w:val="0"/>
                <w:sz w:val="24"/>
                <w:szCs w:val="24"/>
                <w:highlight w:val="none"/>
              </w:rPr>
              <w:t>名称</w:t>
            </w:r>
          </w:p>
        </w:tc>
        <w:tc>
          <w:tcPr>
            <w:tcW w:w="1227" w:type="dxa"/>
            <w:vAlign w:val="center"/>
          </w:tcPr>
          <w:p w14:paraId="151F59C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规格型号</w:t>
            </w:r>
          </w:p>
        </w:tc>
        <w:tc>
          <w:tcPr>
            <w:tcW w:w="560" w:type="dxa"/>
            <w:vAlign w:val="center"/>
          </w:tcPr>
          <w:p w14:paraId="09ACB16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单位</w:t>
            </w:r>
          </w:p>
        </w:tc>
        <w:tc>
          <w:tcPr>
            <w:tcW w:w="973" w:type="dxa"/>
            <w:vAlign w:val="center"/>
          </w:tcPr>
          <w:p w14:paraId="1BC21A4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单价(元)</w:t>
            </w:r>
          </w:p>
        </w:tc>
        <w:tc>
          <w:tcPr>
            <w:tcW w:w="974" w:type="dxa"/>
            <w:vAlign w:val="center"/>
          </w:tcPr>
          <w:p w14:paraId="67232C5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阳采平台代码</w:t>
            </w:r>
          </w:p>
        </w:tc>
        <w:tc>
          <w:tcPr>
            <w:tcW w:w="1240" w:type="dxa"/>
            <w:vAlign w:val="center"/>
          </w:tcPr>
          <w:p w14:paraId="01471AB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注册证号</w:t>
            </w:r>
          </w:p>
        </w:tc>
        <w:tc>
          <w:tcPr>
            <w:tcW w:w="1742" w:type="dxa"/>
            <w:vAlign w:val="center"/>
          </w:tcPr>
          <w:p w14:paraId="496B2CA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生产厂家</w:t>
            </w:r>
          </w:p>
        </w:tc>
      </w:tr>
      <w:tr w14:paraId="0C17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0236C1D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1F39D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color w:val="auto"/>
                <w:highlight w:val="none"/>
              </w:rPr>
            </w:pPr>
          </w:p>
        </w:tc>
        <w:tc>
          <w:tcPr>
            <w:tcW w:w="560" w:type="dxa"/>
            <w:vAlign w:val="center"/>
          </w:tcPr>
          <w:p w14:paraId="6F27A605">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724BB3C8">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60E230EC">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240" w:type="dxa"/>
            <w:vAlign w:val="center"/>
          </w:tcPr>
          <w:p w14:paraId="6537B363">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742" w:type="dxa"/>
            <w:vAlign w:val="center"/>
          </w:tcPr>
          <w:p w14:paraId="14A76CC1">
            <w:pPr>
              <w:keepNext w:val="0"/>
              <w:keepLines w:val="0"/>
              <w:suppressLineNumbers w:val="0"/>
              <w:bidi w:val="0"/>
              <w:spacing w:before="0" w:beforeAutospacing="0" w:after="0" w:afterAutospacing="0"/>
              <w:ind w:right="0"/>
              <w:rPr>
                <w:rFonts w:hint="eastAsia"/>
                <w:color w:val="auto"/>
                <w:highlight w:val="none"/>
              </w:rPr>
            </w:pPr>
          </w:p>
        </w:tc>
      </w:tr>
      <w:tr w14:paraId="34B2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A9B57E6">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4DD21E4">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6088DCE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27F0B686">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8F4B5E0">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5DD89A1A">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5B41999A">
            <w:pPr>
              <w:keepNext w:val="0"/>
              <w:keepLines w:val="0"/>
              <w:suppressLineNumbers w:val="0"/>
              <w:bidi w:val="0"/>
              <w:spacing w:before="0" w:beforeAutospacing="0" w:after="0" w:afterAutospacing="0"/>
              <w:ind w:right="0"/>
              <w:rPr>
                <w:rFonts w:hint="eastAsia"/>
                <w:color w:val="auto"/>
                <w:highlight w:val="none"/>
              </w:rPr>
            </w:pPr>
          </w:p>
        </w:tc>
      </w:tr>
      <w:tr w14:paraId="7D5F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2A1EB3B">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3646E61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A9E9E1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A15254B">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45655FA">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128910BD">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1C1E7DE4">
            <w:pPr>
              <w:keepNext w:val="0"/>
              <w:keepLines w:val="0"/>
              <w:suppressLineNumbers w:val="0"/>
              <w:bidi w:val="0"/>
              <w:spacing w:before="0" w:beforeAutospacing="0" w:after="0" w:afterAutospacing="0"/>
              <w:ind w:right="0"/>
              <w:rPr>
                <w:rFonts w:hint="eastAsia"/>
                <w:color w:val="auto"/>
                <w:highlight w:val="none"/>
              </w:rPr>
            </w:pPr>
          </w:p>
        </w:tc>
      </w:tr>
      <w:tr w14:paraId="14E6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3E4ADDFA">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20089B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4A54983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72CB8AC">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4B6753C6">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2F03C22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4B7AB04">
            <w:pPr>
              <w:keepNext w:val="0"/>
              <w:keepLines w:val="0"/>
              <w:suppressLineNumbers w:val="0"/>
              <w:bidi w:val="0"/>
              <w:spacing w:before="0" w:beforeAutospacing="0" w:after="0" w:afterAutospacing="0"/>
              <w:ind w:right="0"/>
              <w:rPr>
                <w:rFonts w:hint="eastAsia"/>
                <w:color w:val="auto"/>
                <w:highlight w:val="none"/>
              </w:rPr>
            </w:pPr>
          </w:p>
        </w:tc>
      </w:tr>
      <w:tr w14:paraId="5B2D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8341EA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A3FB16F">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08CEF0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10C44DF">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B3165A2">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6946835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8EA8459">
            <w:pPr>
              <w:keepNext w:val="0"/>
              <w:keepLines w:val="0"/>
              <w:suppressLineNumbers w:val="0"/>
              <w:bidi w:val="0"/>
              <w:spacing w:before="0" w:beforeAutospacing="0" w:after="0" w:afterAutospacing="0"/>
              <w:ind w:right="0"/>
              <w:rPr>
                <w:rFonts w:hint="eastAsia"/>
                <w:color w:val="auto"/>
                <w:highlight w:val="none"/>
              </w:rPr>
            </w:pPr>
          </w:p>
        </w:tc>
      </w:tr>
    </w:tbl>
    <w:p w14:paraId="0DDDA984">
      <w:pPr>
        <w:keepNext w:val="0"/>
        <w:keepLines w:val="0"/>
        <w:pageBreakBefore w:val="0"/>
        <w:widowControl w:val="0"/>
        <w:kinsoku/>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乙方承诺《货品清单》</w:t>
      </w:r>
      <w:r>
        <w:rPr>
          <w:rFonts w:hint="eastAsia" w:ascii="仿宋_GB2312" w:hAnsi="仿宋_GB2312" w:eastAsia="仿宋_GB2312" w:cs="仿宋_GB2312"/>
          <w:color w:val="auto"/>
          <w:sz w:val="28"/>
          <w:szCs w:val="28"/>
          <w:highlight w:val="none"/>
          <w:lang w:val="en-US" w:eastAsia="zh-CN"/>
        </w:rPr>
        <w:t>中在“</w:t>
      </w:r>
      <w:r>
        <w:rPr>
          <w:rFonts w:hint="eastAsia" w:ascii="仿宋_GB2312" w:hAnsi="仿宋_GB2312" w:eastAsia="仿宋_GB2312" w:cs="仿宋_GB2312"/>
          <w:color w:val="auto"/>
          <w:sz w:val="28"/>
          <w:szCs w:val="28"/>
          <w:highlight w:val="none"/>
        </w:rPr>
        <w:t>深圳医用耗材阳光交易和监管平台</w:t>
      </w: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(以下简称平台)</w:t>
      </w:r>
      <w:r>
        <w:rPr>
          <w:rFonts w:hint="eastAsia" w:ascii="仿宋_GB2312" w:hAnsi="仿宋_GB2312" w:eastAsia="仿宋_GB2312" w:cs="仿宋_GB2312"/>
          <w:color w:val="auto"/>
          <w:sz w:val="28"/>
          <w:szCs w:val="28"/>
          <w:highlight w:val="none"/>
          <w:lang w:val="en-US" w:eastAsia="zh-CN"/>
        </w:rPr>
        <w:t>上挂网的货品</w:t>
      </w:r>
      <w:r>
        <w:rPr>
          <w:rFonts w:hint="eastAsia" w:ascii="仿宋_GB2312" w:hAnsi="仿宋_GB2312" w:eastAsia="仿宋_GB2312" w:cs="仿宋_GB2312"/>
          <w:color w:val="auto"/>
          <w:sz w:val="28"/>
          <w:szCs w:val="28"/>
          <w:highlight w:val="none"/>
        </w:rPr>
        <w:t>执行线上</w:t>
      </w:r>
      <w:r>
        <w:rPr>
          <w:rFonts w:hint="eastAsia" w:ascii="仿宋_GB2312" w:hAnsi="仿宋_GB2312" w:eastAsia="仿宋_GB2312" w:cs="仿宋_GB2312"/>
          <w:color w:val="auto"/>
          <w:sz w:val="28"/>
          <w:szCs w:val="28"/>
          <w:highlight w:val="none"/>
          <w:lang w:val="en-US" w:eastAsia="zh-CN"/>
        </w:rPr>
        <w:t>交易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本合同</w:t>
      </w:r>
      <w:r>
        <w:rPr>
          <w:rFonts w:hint="eastAsia" w:ascii="仿宋_GB2312" w:hAnsi="仿宋_GB2312" w:eastAsia="仿宋_GB2312" w:cs="仿宋_GB2312"/>
          <w:color w:val="auto"/>
          <w:sz w:val="28"/>
          <w:szCs w:val="28"/>
          <w:highlight w:val="none"/>
          <w:u w:val="none"/>
        </w:rPr>
        <w:t>有效期内</w:t>
      </w:r>
      <w:r>
        <w:rPr>
          <w:rFonts w:hint="eastAsia" w:ascii="仿宋_GB2312" w:hAnsi="仿宋_GB2312" w:eastAsia="仿宋_GB2312" w:cs="仿宋_GB2312"/>
          <w:color w:val="auto"/>
          <w:sz w:val="28"/>
          <w:szCs w:val="28"/>
          <w:highlight w:val="none"/>
          <w:u w:val="none"/>
          <w:lang w:val="en-US" w:eastAsia="zh-CN"/>
        </w:rPr>
        <w:t>货品</w:t>
      </w:r>
      <w:r>
        <w:rPr>
          <w:rFonts w:hint="eastAsia" w:ascii="仿宋_GB2312" w:hAnsi="仿宋_GB2312" w:eastAsia="仿宋_GB2312" w:cs="仿宋_GB2312"/>
          <w:color w:val="auto"/>
          <w:sz w:val="28"/>
          <w:szCs w:val="28"/>
          <w:highlight w:val="none"/>
          <w:u w:val="none"/>
        </w:rPr>
        <w:t>价格</w:t>
      </w:r>
      <w:r>
        <w:rPr>
          <w:rFonts w:hint="eastAsia" w:ascii="仿宋_GB2312" w:hAnsi="仿宋_GB2312" w:eastAsia="仿宋_GB2312" w:cs="仿宋_GB2312"/>
          <w:color w:val="auto"/>
          <w:sz w:val="28"/>
          <w:szCs w:val="28"/>
          <w:highlight w:val="none"/>
          <w:u w:val="none"/>
          <w:lang w:val="en-US" w:eastAsia="zh-CN"/>
        </w:rPr>
        <w:t>不得高于</w:t>
      </w:r>
      <w:r>
        <w:rPr>
          <w:rFonts w:hint="eastAsia" w:ascii="仿宋_GB2312" w:hAnsi="仿宋_GB2312" w:eastAsia="仿宋_GB2312" w:cs="仿宋_GB2312"/>
          <w:color w:val="auto"/>
          <w:sz w:val="28"/>
          <w:szCs w:val="28"/>
          <w:highlight w:val="none"/>
          <w:u w:val="none"/>
        </w:rPr>
        <w:t>平台三色九段中的</w:t>
      </w:r>
      <w:r>
        <w:rPr>
          <w:rFonts w:hint="eastAsia" w:ascii="仿宋_GB2312" w:hAnsi="仿宋_GB2312" w:eastAsia="仿宋_GB2312" w:cs="仿宋_GB2312"/>
          <w:color w:val="auto"/>
          <w:sz w:val="28"/>
          <w:szCs w:val="28"/>
          <w:highlight w:val="none"/>
          <w:u w:val="none"/>
          <w:lang w:val="en-US" w:eastAsia="zh-CN"/>
        </w:rPr>
        <w:t>绿</w:t>
      </w:r>
      <w:r>
        <w:rPr>
          <w:rFonts w:hint="eastAsia" w:ascii="仿宋_GB2312" w:hAnsi="仿宋_GB2312" w:eastAsia="仿宋_GB2312" w:cs="仿宋_GB2312"/>
          <w:color w:val="auto"/>
          <w:sz w:val="28"/>
          <w:szCs w:val="28"/>
          <w:highlight w:val="none"/>
          <w:u w:val="none"/>
        </w:rPr>
        <w:t>色段价格,</w:t>
      </w:r>
      <w:r>
        <w:rPr>
          <w:rFonts w:hint="eastAsia" w:ascii="仿宋_GB2312" w:hAnsi="仿宋_GB2312" w:eastAsia="仿宋_GB2312" w:cs="仿宋_GB2312"/>
          <w:color w:val="auto"/>
          <w:sz w:val="28"/>
          <w:szCs w:val="28"/>
          <w:highlight w:val="none"/>
          <w:u w:val="none"/>
          <w:lang w:val="en-US" w:eastAsia="zh-CN"/>
        </w:rPr>
        <w:t>如遇平台价格下调，</w:t>
      </w:r>
      <w:r>
        <w:rPr>
          <w:rFonts w:hint="eastAsia" w:ascii="仿宋_GB2312" w:hAnsi="仿宋_GB2312" w:eastAsia="仿宋_GB2312" w:cs="仿宋_GB2312"/>
          <w:color w:val="auto"/>
          <w:sz w:val="28"/>
          <w:szCs w:val="28"/>
          <w:highlight w:val="none"/>
          <w:u w:val="none"/>
        </w:rPr>
        <w:t>乙方</w:t>
      </w:r>
      <w:r>
        <w:rPr>
          <w:rFonts w:hint="eastAsia" w:ascii="仿宋_GB2312" w:hAnsi="仿宋_GB2312" w:eastAsia="仿宋_GB2312" w:cs="仿宋_GB2312"/>
          <w:color w:val="auto"/>
          <w:sz w:val="28"/>
          <w:szCs w:val="28"/>
          <w:highlight w:val="none"/>
          <w:u w:val="none"/>
          <w:lang w:eastAsia="zh-CN"/>
        </w:rPr>
        <w:t>应主动调整供货价格。</w:t>
      </w:r>
      <w:r>
        <w:rPr>
          <w:rFonts w:hint="eastAsia" w:ascii="仿宋_GB2312" w:hAnsi="仿宋_GB2312" w:eastAsia="仿宋_GB2312" w:cs="仿宋_GB2312"/>
          <w:color w:val="auto"/>
          <w:sz w:val="28"/>
          <w:szCs w:val="28"/>
          <w:highlight w:val="none"/>
        </w:rPr>
        <w:t>若不执行，甲方有权单方解除本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乙方应承担给甲方造成的全部经济损失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且纳入黑名单管理。</w:t>
      </w:r>
    </w:p>
    <w:p w14:paraId="3BDDEF55">
      <w:pPr>
        <w:keepNext w:val="0"/>
        <w:keepLines w:val="0"/>
        <w:pageBreakBefore w:val="0"/>
        <w:widowControl w:val="0"/>
        <w:numPr>
          <w:ilvl w:val="-1"/>
          <w:numId w:val="0"/>
        </w:numPr>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如遇政策影响等因素需要调整价格，</w:t>
      </w:r>
      <w:r>
        <w:rPr>
          <w:rFonts w:hint="eastAsia" w:ascii="仿宋_GB2312" w:hAnsi="仿宋_GB2312" w:eastAsia="仿宋_GB2312" w:cs="仿宋_GB2312"/>
          <w:color w:val="auto"/>
          <w:sz w:val="28"/>
          <w:szCs w:val="28"/>
          <w:highlight w:val="none"/>
          <w:lang w:val="en-US" w:eastAsia="zh-CN"/>
        </w:rPr>
        <w:t>按</w:t>
      </w:r>
      <w:r>
        <w:rPr>
          <w:rFonts w:hint="eastAsia" w:ascii="仿宋_GB2312" w:hAnsi="仿宋_GB2312" w:eastAsia="仿宋_GB2312" w:cs="仿宋_GB2312"/>
          <w:color w:val="auto"/>
          <w:sz w:val="28"/>
          <w:szCs w:val="28"/>
          <w:highlight w:val="none"/>
        </w:rPr>
        <w:t>政策规定的要求执行。</w:t>
      </w:r>
    </w:p>
    <w:p w14:paraId="022D6F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68A2F84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0" w:firstLineChars="0"/>
        <w:jc w:val="left"/>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u w:val="single"/>
          <w:lang w:val="en-US" w:eastAsia="zh-CN"/>
        </w:rPr>
        <w:t>乙方承诺及时在平台填报订单和发票相关信息，不影响甲方平台结算率。</w:t>
      </w:r>
      <w:r>
        <w:rPr>
          <w:rFonts w:hint="eastAsia" w:ascii="仿宋_GB2312" w:hAnsi="仿宋_GB2312" w:eastAsia="仿宋_GB2312" w:cs="仿宋_GB2312"/>
          <w:color w:val="auto"/>
          <w:sz w:val="28"/>
          <w:szCs w:val="28"/>
          <w:highlight w:val="none"/>
          <w:u w:val="single"/>
          <w:lang w:val="en-US" w:eastAsia="zh-CN"/>
        </w:rPr>
        <w:t xml:space="preserve">                                                                                                                  </w:t>
      </w:r>
    </w:p>
    <w:p w14:paraId="5A5D0F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bookmarkStart w:id="161" w:name="_Toc663_WPSOffice_Level1"/>
      <w:r>
        <w:rPr>
          <w:rFonts w:hint="eastAsia" w:ascii="仿宋_GB2312" w:hAnsi="仿宋_GB2312" w:eastAsia="仿宋_GB2312" w:cs="仿宋_GB2312"/>
          <w:b/>
          <w:color w:val="auto"/>
          <w:sz w:val="28"/>
          <w:szCs w:val="28"/>
          <w:highlight w:val="none"/>
        </w:rPr>
        <w:t>第二条  合同价款</w:t>
      </w:r>
      <w:bookmarkEnd w:id="161"/>
    </w:p>
    <w:p w14:paraId="2AA3628C">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项下甲乙双方买卖（货物/设备/器材等）含税总价款以实际送货数量结算。此价款为乙方履行本合同义务而产生的一切费用，除此以外甲方不再对乙方承担任何支付价款以外费用。此价款包括但不限于如下费用：</w:t>
      </w:r>
    </w:p>
    <w:p w14:paraId="2872C5C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（1）（附件一所列货物）的货款；</w:t>
      </w:r>
    </w:p>
    <w:p w14:paraId="674E54C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（2）货物运至合同指定地点的运输费（包括海外运输、内陆运输、工地场地内水平和垂直运输等所有运输费用）；</w:t>
      </w:r>
    </w:p>
    <w:p w14:paraId="000782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（3）货物包装费、采购保管费、安装费（包括损耗、额外材料等）、货物装卸费；</w:t>
      </w:r>
    </w:p>
    <w:p w14:paraId="309A8A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（4）乙方对甲方人员的技术培训费；</w:t>
      </w:r>
    </w:p>
    <w:p w14:paraId="07FE344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（5）（预埋件）的材料、制作、施工、检测等费用；</w:t>
      </w:r>
    </w:p>
    <w:p w14:paraId="1E3C3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（6）施工组织措施费，文明施工费、设备和材料二次搬运费、现场保管费、吊装费、工地环保费、治安费、施工垃圾外运费，与其他相关单位配合管理费等所有在采购单位可以使用货物之前的应尽的费用；</w:t>
      </w:r>
    </w:p>
    <w:p w14:paraId="41ED817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（7）保险费、税金、风险金。</w:t>
      </w:r>
    </w:p>
    <w:p w14:paraId="649B37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合同总价款不因通货膨胀、市场行情等市场价格的变动而变动，但本合同另有约定的除外。</w:t>
      </w:r>
    </w:p>
    <w:p w14:paraId="5AF47A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2.合同价款的支付方式（双方应共同选择一项，并在所选项□内打“√”）：</w:t>
      </w:r>
    </w:p>
    <w:p w14:paraId="7F15EB8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一次性支付</w:t>
      </w:r>
    </w:p>
    <w:p w14:paraId="74706159">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自甲方验收全部货物合格后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60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个工作 </w:t>
      </w:r>
      <w:r>
        <w:rPr>
          <w:rFonts w:hint="eastAsia" w:ascii="仿宋_GB2312" w:hAnsi="仿宋_GB2312" w:eastAsia="仿宋_GB2312" w:cs="仿宋_GB2312"/>
          <w:color w:val="auto"/>
          <w:sz w:val="28"/>
          <w:szCs w:val="28"/>
          <w:highlight w:val="none"/>
        </w:rPr>
        <w:t>日内支付</w:t>
      </w:r>
      <w:r>
        <w:rPr>
          <w:rFonts w:hint="eastAsia" w:ascii="仿宋_GB2312" w:hAnsi="仿宋_GB2312" w:eastAsia="仿宋_GB2312" w:cs="仿宋_GB2312"/>
          <w:color w:val="auto"/>
          <w:sz w:val="28"/>
          <w:szCs w:val="28"/>
          <w:highlight w:val="none"/>
          <w:lang w:eastAsia="zh-CN"/>
        </w:rPr>
        <w:t>随货同行发票</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总价款。</w:t>
      </w:r>
    </w:p>
    <w:p w14:paraId="55EDE355">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560" w:lineRule="exact"/>
        <w:ind w:left="0" w:leftChars="0" w:firstLine="562" w:firstLineChars="200"/>
        <w:textAlignment w:val="auto"/>
      </w:pPr>
      <w:r>
        <w:rPr>
          <w:rFonts w:hint="eastAsia" w:ascii="仿宋_GB2312" w:hAnsi="仿宋_GB2312" w:eastAsia="仿宋_GB2312" w:cs="仿宋_GB2312"/>
          <w:b/>
          <w:bCs/>
          <w:color w:val="auto"/>
          <w:sz w:val="28"/>
          <w:szCs w:val="28"/>
          <w:highlight w:val="none"/>
          <w:u w:val="single"/>
          <w:lang w:val="en-US" w:eastAsia="zh-CN"/>
        </w:rPr>
        <w:t>备注：如乙方</w:t>
      </w:r>
      <w:r>
        <w:rPr>
          <w:rFonts w:hint="eastAsia" w:ascii="仿宋_GB2312" w:hAnsi="仿宋_GB2312" w:eastAsia="仿宋_GB2312" w:cs="仿宋_GB2312"/>
          <w:b/>
          <w:bCs/>
          <w:color w:val="auto"/>
          <w:sz w:val="28"/>
          <w:szCs w:val="28"/>
          <w:highlight w:val="none"/>
          <w:u w:val="single"/>
        </w:rPr>
        <w:t>不及时在平台回填</w:t>
      </w:r>
      <w:r>
        <w:rPr>
          <w:rFonts w:hint="eastAsia" w:ascii="仿宋_GB2312" w:hAnsi="仿宋_GB2312" w:eastAsia="仿宋_GB2312" w:cs="仿宋_GB2312"/>
          <w:b/>
          <w:bCs/>
          <w:color w:val="auto"/>
          <w:sz w:val="28"/>
          <w:szCs w:val="28"/>
          <w:highlight w:val="none"/>
          <w:u w:val="single"/>
          <w:lang w:val="en-US" w:eastAsia="zh-CN"/>
        </w:rPr>
        <w:t>订单和发票等相关</w:t>
      </w:r>
      <w:r>
        <w:rPr>
          <w:rFonts w:hint="eastAsia" w:ascii="仿宋_GB2312" w:hAnsi="仿宋_GB2312" w:eastAsia="仿宋_GB2312" w:cs="仿宋_GB2312"/>
          <w:b/>
          <w:bCs/>
          <w:color w:val="auto"/>
          <w:sz w:val="28"/>
          <w:szCs w:val="28"/>
          <w:highlight w:val="none"/>
          <w:u w:val="single"/>
        </w:rPr>
        <w:t>信息或填错后不及时修改</w:t>
      </w:r>
      <w:r>
        <w:rPr>
          <w:rFonts w:hint="eastAsia" w:ascii="仿宋_GB2312" w:hAnsi="仿宋_GB2312" w:eastAsia="仿宋_GB2312" w:cs="仿宋_GB2312"/>
          <w:b/>
          <w:bCs/>
          <w:color w:val="auto"/>
          <w:sz w:val="28"/>
          <w:szCs w:val="28"/>
          <w:highlight w:val="none"/>
          <w:u w:val="single"/>
          <w:lang w:eastAsia="zh-CN"/>
        </w:rPr>
        <w:t>，</w:t>
      </w:r>
      <w:r>
        <w:rPr>
          <w:rFonts w:hint="eastAsia" w:ascii="仿宋_GB2312" w:hAnsi="仿宋_GB2312" w:eastAsia="仿宋_GB2312" w:cs="仿宋_GB2312"/>
          <w:b/>
          <w:bCs/>
          <w:color w:val="auto"/>
          <w:sz w:val="28"/>
          <w:szCs w:val="28"/>
          <w:highlight w:val="none"/>
          <w:u w:val="single"/>
          <w:lang w:val="en-US" w:eastAsia="zh-CN"/>
        </w:rPr>
        <w:t>影响甲方平台结算率</w:t>
      </w:r>
      <w:r>
        <w:rPr>
          <w:rFonts w:hint="eastAsia" w:ascii="仿宋_GB2312" w:hAnsi="仿宋_GB2312" w:eastAsia="仿宋_GB2312" w:cs="仿宋_GB2312"/>
          <w:b/>
          <w:bCs/>
          <w:color w:val="auto"/>
          <w:sz w:val="28"/>
          <w:szCs w:val="28"/>
          <w:highlight w:val="none"/>
          <w:u w:val="single"/>
        </w:rPr>
        <w:t>，逾期1天推后一个月支付货款，逾期2天推后二个月支付货款，以此类推。</w:t>
      </w:r>
      <w:r>
        <w:rPr>
          <w:rFonts w:hint="eastAsia" w:ascii="仿宋_GB2312" w:hAnsi="仿宋_GB2312" w:eastAsia="仿宋_GB2312" w:cs="仿宋_GB2312"/>
          <w:color w:val="auto"/>
          <w:sz w:val="28"/>
          <w:szCs w:val="28"/>
          <w:highlight w:val="none"/>
          <w:u w:val="single"/>
        </w:rPr>
        <w:t xml:space="preserve">                                </w:t>
      </w:r>
    </w:p>
    <w:p w14:paraId="262D4C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□分笔支付</w:t>
      </w:r>
    </w:p>
    <w:p w14:paraId="75B2407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F6716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5064176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160E0EB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第四笔款为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5F716A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551CB6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每笔款项乙方应向甲方开具同等金额合法有效的发票，甲方收到乙方开具发票后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个工作日内予以支付。除因不可抗力外，若乙方收到系统的结算通知起</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天内未向甲方出具等额的增值税发票的，视作乙方放弃此笔货款的确认并承诺不再就此笔款项向甲方要求支付，由此产生的全部责任由乙方自行承担。</w:t>
      </w:r>
    </w:p>
    <w:p w14:paraId="7DD05A7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3.乙方指定的收款账户：</w:t>
      </w:r>
    </w:p>
    <w:p w14:paraId="1CCD7C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户名：</w:t>
      </w:r>
    </w:p>
    <w:p w14:paraId="287485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银行账号：</w:t>
      </w:r>
    </w:p>
    <w:p w14:paraId="4C8AB53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开户行：</w:t>
      </w:r>
    </w:p>
    <w:p w14:paraId="019DA6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24C282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0" w:firstLineChars="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p>
    <w:p w14:paraId="667F06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5.乙方需</w:t>
      </w:r>
      <w:r>
        <w:rPr>
          <w:rFonts w:hint="eastAsia" w:ascii="仿宋_GB2312" w:hAnsi="仿宋_GB2312" w:eastAsia="仿宋_GB2312" w:cs="仿宋_GB2312"/>
          <w:color w:val="auto"/>
          <w:sz w:val="28"/>
          <w:szCs w:val="28"/>
          <w:highlight w:val="none"/>
        </w:rPr>
        <w:t>无条件配合医院SPD物流精细化管理服务，同时承诺支付</w:t>
      </w:r>
      <w:r>
        <w:rPr>
          <w:rFonts w:hint="eastAsia" w:ascii="仿宋_GB2312" w:hAnsi="仿宋_GB2312" w:eastAsia="仿宋_GB2312" w:cs="仿宋_GB2312"/>
          <w:color w:val="auto"/>
          <w:sz w:val="28"/>
          <w:szCs w:val="28"/>
          <w:highlight w:val="none"/>
          <w:lang w:val="en-US" w:eastAsia="zh-CN"/>
        </w:rPr>
        <w:t>每月</w:t>
      </w:r>
      <w:r>
        <w:rPr>
          <w:rFonts w:hint="eastAsia" w:ascii="仿宋_GB2312" w:hAnsi="仿宋_GB2312" w:eastAsia="仿宋_GB2312" w:cs="仿宋_GB2312"/>
          <w:color w:val="auto"/>
          <w:sz w:val="28"/>
          <w:szCs w:val="28"/>
          <w:highlight w:val="none"/>
        </w:rPr>
        <w:t>管理服务费(不超当月供货总额</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%)，具体与医院签合同时按合同条款执行</w:t>
      </w:r>
      <w:r>
        <w:rPr>
          <w:rFonts w:hint="eastAsia" w:ascii="仿宋_GB2312" w:hAnsi="仿宋_GB2312" w:eastAsia="仿宋_GB2312" w:cs="仿宋_GB2312"/>
          <w:color w:val="auto"/>
          <w:sz w:val="28"/>
          <w:szCs w:val="28"/>
          <w:highlight w:val="none"/>
          <w:lang w:eastAsia="zh-CN"/>
        </w:rPr>
        <w:t>。</w:t>
      </w:r>
    </w:p>
    <w:p w14:paraId="652DF0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第三条 乙方条件</w:t>
      </w:r>
    </w:p>
    <w:p w14:paraId="4D076F0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乙方应是所提供产品的供应商，应是经工商、税务部门</w:t>
      </w:r>
      <w:r>
        <w:rPr>
          <w:rFonts w:hint="eastAsia" w:ascii="仿宋_GB2312" w:hAnsi="仿宋_GB2312" w:eastAsia="仿宋_GB2312" w:cs="仿宋_GB2312"/>
          <w:bCs/>
          <w:color w:val="auto"/>
          <w:sz w:val="28"/>
          <w:szCs w:val="28"/>
          <w:highlight w:val="none"/>
          <w:lang w:eastAsia="zh-CN"/>
        </w:rPr>
        <w:t>、市场监督管理部门等相关行政部门</w:t>
      </w:r>
      <w:r>
        <w:rPr>
          <w:rFonts w:hint="eastAsia" w:ascii="仿宋_GB2312" w:hAnsi="仿宋_GB2312" w:eastAsia="仿宋_GB2312" w:cs="仿宋_GB2312"/>
          <w:bCs/>
          <w:color w:val="auto"/>
          <w:sz w:val="28"/>
          <w:szCs w:val="28"/>
          <w:highlight w:val="none"/>
        </w:rPr>
        <w:t>正式批准，具有医疗经营许可资质（资质包括但不限于医疗器械生产许可证、医疗器械经营许可证、医疗器械注册证）的医疗器械公司。</w:t>
      </w:r>
    </w:p>
    <w:p w14:paraId="670BA46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1"/>
        <w:rPr>
          <w:rFonts w:ascii="仿宋_GB2312" w:hAnsi="仿宋_GB2312" w:eastAsia="仿宋_GB2312" w:cs="仿宋_GB2312"/>
          <w:b/>
          <w:color w:val="auto"/>
          <w:sz w:val="28"/>
          <w:szCs w:val="28"/>
          <w:highlight w:val="none"/>
        </w:rPr>
      </w:pPr>
      <w:bookmarkStart w:id="162" w:name="_Toc13895"/>
      <w:r>
        <w:rPr>
          <w:rFonts w:hint="eastAsia" w:ascii="仿宋_GB2312" w:hAnsi="仿宋_GB2312" w:eastAsia="仿宋_GB2312" w:cs="仿宋_GB2312"/>
          <w:b/>
          <w:color w:val="auto"/>
          <w:sz w:val="28"/>
          <w:szCs w:val="28"/>
          <w:highlight w:val="none"/>
        </w:rPr>
        <w:t xml:space="preserve">第四条 </w:t>
      </w:r>
      <w:r>
        <w:rPr>
          <w:rFonts w:ascii="仿宋_GB2312" w:hAnsi="仿宋_GB2312" w:eastAsia="仿宋_GB2312" w:cs="仿宋_GB2312"/>
          <w:b/>
          <w:color w:val="auto"/>
          <w:sz w:val="28"/>
          <w:szCs w:val="28"/>
          <w:highlight w:val="none"/>
        </w:rPr>
        <w:t>质量标准</w:t>
      </w:r>
      <w:bookmarkEnd w:id="162"/>
    </w:p>
    <w:p w14:paraId="4BA32F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1.乙方在本合同项下向甲方提供的货物质量和技术规格应符合以下标准：</w:t>
      </w:r>
    </w:p>
    <w:p w14:paraId="6637486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（1）项目编号为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的通知书、</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文件、答疑及补充通知；</w:t>
      </w:r>
    </w:p>
    <w:p w14:paraId="1EC5A6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（2）乙方的</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w:t>
      </w:r>
    </w:p>
    <w:p w14:paraId="358CA4E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（3）本合同附件</w:t>
      </w:r>
      <w:r>
        <w:rPr>
          <w:rFonts w:hint="eastAsia" w:ascii="仿宋_GB2312" w:hAnsi="仿宋_GB2312" w:eastAsia="仿宋_GB2312" w:cs="仿宋_GB2312"/>
          <w:bCs/>
          <w:color w:val="auto"/>
          <w:sz w:val="28"/>
          <w:szCs w:val="28"/>
          <w:highlight w:val="none"/>
        </w:rPr>
        <w:t>的约定；</w:t>
      </w:r>
    </w:p>
    <w:p w14:paraId="6A7FEFD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（4）国家关于该类货物的设计和制造生产标准；</w:t>
      </w:r>
    </w:p>
    <w:p w14:paraId="5ECFCE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（5）国家关于该类货物质量的行业标准；</w:t>
      </w:r>
    </w:p>
    <w:p w14:paraId="16E0ACE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）所提供的产品经食品药品监督管理局严格审核，并取得医疗器械注册证或备案证，获准进入市场，货质来源符合国家规定，并提供产品相关的资格证明文件。</w:t>
      </w:r>
    </w:p>
    <w:p w14:paraId="3BC17F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）其他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u w:val="single"/>
          <w:lang w:val="en-US" w:eastAsia="zh-CN"/>
        </w:rPr>
        <w:t xml:space="preserve">                                             </w:t>
      </w:r>
    </w:p>
    <w:p w14:paraId="1649B6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2.乙方提供的产品必须与产品注册证的名称、规格型号一致，否则一切经济损失及其他后果均由乙方承担。</w:t>
      </w:r>
    </w:p>
    <w:p w14:paraId="24B7763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.乙方应保证货物是全新、未使用过的原装合格正品（包括零部件）。</w:t>
      </w:r>
      <w:r>
        <w:rPr>
          <w:rFonts w:hint="eastAsia" w:ascii="仿宋_GB2312" w:hAnsi="仿宋_GB2312" w:eastAsia="仿宋_GB2312" w:cs="仿宋_GB2312"/>
          <w:color w:val="auto"/>
          <w:sz w:val="28"/>
          <w:szCs w:val="28"/>
          <w:highlight w:val="none"/>
        </w:rPr>
        <w:t>如货物安装或配置了软件的，乙方保证相关软件均为正版软件。</w:t>
      </w:r>
      <w:r>
        <w:rPr>
          <w:rFonts w:hint="eastAsia" w:ascii="仿宋_GB2312" w:hAnsi="仿宋_GB2312" w:eastAsia="仿宋_GB2312" w:cs="仿宋_GB2312"/>
          <w:bCs/>
          <w:color w:val="auto"/>
          <w:sz w:val="28"/>
          <w:szCs w:val="28"/>
          <w:highlight w:val="none"/>
        </w:rPr>
        <w:t>乙方对本合同货物提供质量保证期</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2</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年（自验收合格之日起算</w:t>
      </w:r>
      <w:r>
        <w:rPr>
          <w:rFonts w:hint="eastAsia" w:ascii="仿宋_GB2312" w:hAnsi="仿宋_GB2312" w:eastAsia="仿宋_GB2312" w:cs="仿宋_GB2312"/>
          <w:bCs/>
          <w:color w:val="auto"/>
          <w:sz w:val="28"/>
          <w:szCs w:val="28"/>
          <w:highlight w:val="none"/>
          <w:lang w:eastAsia="zh-CN"/>
        </w:rPr>
        <w:t>，乙方按相关文件要求及产品性质性能自行填写</w:t>
      </w:r>
      <w:r>
        <w:rPr>
          <w:rFonts w:hint="eastAsia" w:ascii="仿宋_GB2312" w:hAnsi="仿宋_GB2312" w:eastAsia="仿宋_GB2312" w:cs="仿宋_GB2312"/>
          <w:bCs/>
          <w:color w:val="auto"/>
          <w:sz w:val="28"/>
          <w:szCs w:val="28"/>
          <w:highlight w:val="none"/>
        </w:rPr>
        <w:t>）。</w:t>
      </w:r>
    </w:p>
    <w:p w14:paraId="682948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lang w:val="en-US" w:eastAsia="zh-CN"/>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乙方所交付的货物应具有合法的质量合格凭证和文件，并随货物一同交付。</w:t>
      </w:r>
    </w:p>
    <w:p w14:paraId="6746EA2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5</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除非甲方对有效期另有要求，产品剩余的有效期不得少于该产品整个效期的三分之二，否则视为不合格产品，甲方有权予以拒收。</w:t>
      </w:r>
    </w:p>
    <w:p w14:paraId="7C5EAD5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第五条  包装</w:t>
      </w:r>
    </w:p>
    <w:p w14:paraId="3E3E9A0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1.乙方提供货物运输至本合同指定的交货地点所需要的包装，包装费用由乙方承担，包装物不返还，归甲方所有，包装方式：</w:t>
      </w:r>
    </w:p>
    <w:p w14:paraId="1FBC582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（1）通用方式：（货物/设备/器材等）</w:t>
      </w:r>
      <w:r>
        <w:rPr>
          <w:rFonts w:hint="eastAsia" w:ascii="仿宋_GB2312" w:hAnsi="仿宋_GB2312" w:eastAsia="仿宋_GB2312" w:cs="仿宋_GB2312"/>
          <w:bCs/>
          <w:color w:val="auto"/>
          <w:sz w:val="28"/>
          <w:szCs w:val="28"/>
          <w:highlight w:val="none"/>
        </w:rPr>
        <w:t>应按照同类货物通用的方式装箱或包装，如果没有此种通用方式，则按照足以保全和保护货物的方式装箱或包装（保全和保护具体是指：保护货物</w:t>
      </w:r>
      <w:r>
        <w:rPr>
          <w:rFonts w:hint="eastAsia" w:ascii="仿宋_GB2312" w:hAnsi="仿宋_GB2312" w:eastAsia="仿宋_GB2312" w:cs="仿宋_GB2312"/>
          <w:bCs/>
          <w:color w:val="auto"/>
          <w:sz w:val="28"/>
          <w:szCs w:val="28"/>
          <w:highlight w:val="none"/>
          <w:lang w:eastAsia="zh-CN"/>
        </w:rPr>
        <w:t>冷链物流要求、</w:t>
      </w:r>
      <w:r>
        <w:rPr>
          <w:rFonts w:hint="eastAsia" w:ascii="仿宋_GB2312" w:hAnsi="仿宋_GB2312" w:eastAsia="仿宋_GB2312" w:cs="仿宋_GB2312"/>
          <w:bCs/>
          <w:color w:val="auto"/>
          <w:sz w:val="28"/>
          <w:szCs w:val="28"/>
          <w:highlight w:val="none"/>
        </w:rPr>
        <w:t>防潮、防晒、防锈、防腐蚀、防震动，保护货物能经受多次搬运、装卸、运输及保护货物免受其他损害）；</w:t>
      </w:r>
    </w:p>
    <w:p w14:paraId="200DD9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（2）特别约定：</w:t>
      </w:r>
      <w:r>
        <w:rPr>
          <w:rFonts w:hint="eastAsia" w:ascii="仿宋_GB2312" w:hAnsi="仿宋_GB2312" w:eastAsia="仿宋_GB2312" w:cs="仿宋_GB2312"/>
          <w:bCs/>
          <w:color w:val="auto"/>
          <w:sz w:val="28"/>
          <w:szCs w:val="28"/>
          <w:highlight w:val="none"/>
        </w:rPr>
        <w:t>产品包装上(包括大包装、小包装等)需附有以下所列各项国家规定的中文标识：产品名称、规格、型号；生产企业名称、注册地址、生产地址、联系方式；产品注册证号、生产许可证号；产品标准编号；产品生产日期或批(编)号；限期使用的产品应标明有效期限；依据产品特点应标注的图形、符号以及其它相关内容；电源连接条件、输入功率。</w:t>
      </w:r>
    </w:p>
    <w:p w14:paraId="64EBF06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第六条 交付</w:t>
      </w:r>
    </w:p>
    <w:p w14:paraId="0A4F7DD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1.乙方配送的产品必须是产品，严禁配送目录外规格型号产品</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除科室额外申请的规格型号除外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，凡私自配送或配送目录以外的产品，甲方均不予认可，责任由乙方自行承担。</w:t>
      </w:r>
    </w:p>
    <w:p w14:paraId="1C9F9A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2.乙方必须从甲方采购人员处接受采购订单并根据订单定制产品，严禁直接接受甲方使用科室订单</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否则</w:t>
      </w:r>
      <w:r>
        <w:rPr>
          <w:rFonts w:hint="eastAsia" w:ascii="仿宋_GB2312" w:hAnsi="仿宋_GB2312" w:eastAsia="仿宋_GB2312" w:cs="仿宋_GB2312"/>
          <w:bCs/>
          <w:color w:val="auto"/>
          <w:sz w:val="28"/>
          <w:szCs w:val="28"/>
          <w:highlight w:val="none"/>
        </w:rPr>
        <w:t>甲方均不予认可，责任由乙方自行承担</w:t>
      </w:r>
      <w:r>
        <w:rPr>
          <w:rFonts w:hint="eastAsia" w:ascii="仿宋_GB2312" w:hAnsi="仿宋_GB2312" w:eastAsia="仿宋_GB2312" w:cs="仿宋_GB2312"/>
          <w:bCs/>
          <w:color w:val="auto"/>
          <w:sz w:val="28"/>
          <w:szCs w:val="28"/>
          <w:highlight w:val="none"/>
          <w:lang w:eastAsia="zh-CN"/>
        </w:rPr>
        <w:t>。</w:t>
      </w:r>
    </w:p>
    <w:p w14:paraId="31B2DF7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.甲方采购人员及联系方式：</w:t>
      </w:r>
    </w:p>
    <w:p w14:paraId="676A4D4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联系人：</w:t>
      </w:r>
      <w:r>
        <w:rPr>
          <w:rFonts w:hint="eastAsia" w:ascii="仿宋_GB2312" w:hAnsi="仿宋_GB2312" w:eastAsia="仿宋_GB2312" w:cs="仿宋_GB2312"/>
          <w:bCs/>
          <w:color w:val="auto"/>
          <w:sz w:val="28"/>
          <w:szCs w:val="28"/>
          <w:highlight w:val="none"/>
          <w:lang w:val="en-US" w:eastAsia="zh-CN"/>
        </w:rPr>
        <w:t>曾老师</w:t>
      </w:r>
    </w:p>
    <w:p w14:paraId="77B7A30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联系电话：</w:t>
      </w:r>
      <w:r>
        <w:rPr>
          <w:rFonts w:hint="eastAsia" w:ascii="仿宋_GB2312" w:hAnsi="仿宋_GB2312" w:eastAsia="仿宋_GB2312" w:cs="仿宋_GB2312"/>
          <w:bCs/>
          <w:color w:val="auto"/>
          <w:sz w:val="28"/>
          <w:szCs w:val="28"/>
          <w:highlight w:val="none"/>
          <w:lang w:val="en-US" w:eastAsia="zh-CN"/>
        </w:rPr>
        <w:t>13688802732</w:t>
      </w:r>
    </w:p>
    <w:p w14:paraId="4E1BA2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乙方配送的产品应提前至少</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24 </w:t>
      </w:r>
      <w:r>
        <w:rPr>
          <w:rFonts w:hint="eastAsia" w:ascii="仿宋_GB2312" w:hAnsi="仿宋_GB2312" w:eastAsia="仿宋_GB2312" w:cs="仿宋_GB2312"/>
          <w:bCs/>
          <w:color w:val="auto"/>
          <w:sz w:val="28"/>
          <w:szCs w:val="28"/>
          <w:highlight w:val="none"/>
          <w:u w:val="none"/>
        </w:rPr>
        <w:t>小时</w:t>
      </w:r>
      <w:r>
        <w:rPr>
          <w:rFonts w:hint="eastAsia" w:ascii="仿宋_GB2312" w:hAnsi="仿宋_GB2312" w:eastAsia="仿宋_GB2312" w:cs="仿宋_GB2312"/>
          <w:bCs/>
          <w:color w:val="auto"/>
          <w:sz w:val="28"/>
          <w:szCs w:val="28"/>
          <w:highlight w:val="none"/>
        </w:rPr>
        <w:t>通知甲方采购人员，按照甲方要求确定配送时间。</w:t>
      </w:r>
    </w:p>
    <w:p w14:paraId="6964A8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交货时间：产品必须于收到甲方采购订单时起48小时内送达；临床急救应急产品按甲方的要求送达（最迟应于4小时内配送完成）。</w:t>
      </w:r>
    </w:p>
    <w:p w14:paraId="412576B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交货地点：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福田区第二人民医院耗材仓库</w:t>
      </w:r>
      <w:r>
        <w:rPr>
          <w:rFonts w:hint="eastAsia" w:ascii="仿宋_GB2312" w:hAnsi="仿宋_GB2312" w:eastAsia="仿宋_GB2312" w:cs="仿宋_GB2312"/>
          <w:color w:val="auto"/>
          <w:sz w:val="28"/>
          <w:szCs w:val="28"/>
          <w:highlight w:val="none"/>
          <w:u w:val="single"/>
        </w:rPr>
        <w:t xml:space="preserve">  </w:t>
      </w:r>
    </w:p>
    <w:p w14:paraId="4D39768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（在乙方将（货物/设备/器材等）送至该交货地点前，甲方有权单方变更该交货地点，但应提前</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日通知乙方，乙方应无条件服从，因此产生的费用由乙方承担。）</w:t>
      </w:r>
    </w:p>
    <w:p w14:paraId="5EE373B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.运输方式：□甲乙双方共同选定</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64AB74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由乙方自行选择</w:t>
      </w:r>
      <w:r>
        <w:rPr>
          <w:rFonts w:hint="eastAsia" w:ascii="仿宋_GB2312" w:hAnsi="仿宋_GB2312" w:eastAsia="仿宋_GB2312" w:cs="仿宋_GB2312"/>
          <w:color w:val="auto"/>
          <w:sz w:val="28"/>
          <w:szCs w:val="28"/>
          <w:highlight w:val="none"/>
          <w:lang w:eastAsia="zh-CN"/>
        </w:rPr>
        <w:t>，但必须符合产品运输条件</w:t>
      </w:r>
      <w:r>
        <w:rPr>
          <w:rFonts w:hint="eastAsia" w:ascii="仿宋_GB2312" w:hAnsi="仿宋_GB2312" w:eastAsia="仿宋_GB2312" w:cs="仿宋_GB2312"/>
          <w:color w:val="auto"/>
          <w:sz w:val="28"/>
          <w:szCs w:val="28"/>
          <w:highlight w:val="none"/>
        </w:rPr>
        <w:t>。</w:t>
      </w:r>
    </w:p>
    <w:p w14:paraId="0FA9C1F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rPr>
        <w:t>.乙方应将所提供货物的使用说明书、原厂保修卡、质量合格证明文件、产品进出口检疫书、原产地证明书等附随资料和附随配件、工具等交付给甲方；乙方不能完整交付货物及本款规定的单证和工具的，视为未按合同约定交货，乙方负责补齐，因此导致逾期交付的，由乙方承担相关的违约责任。</w:t>
      </w:r>
    </w:p>
    <w:p w14:paraId="1176B6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8.</w:t>
      </w:r>
      <w:r>
        <w:rPr>
          <w:rFonts w:hint="eastAsia" w:ascii="仿宋_GB2312" w:hAnsi="仿宋_GB2312" w:eastAsia="仿宋_GB2312" w:cs="仿宋_GB2312"/>
          <w:bCs/>
          <w:color w:val="auto"/>
          <w:sz w:val="28"/>
          <w:szCs w:val="28"/>
          <w:highlight w:val="none"/>
        </w:rPr>
        <w:t>急救应急产品经甲方采购部门负责人同意可直接配送至甲方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使用科室，急救应急产品配送至甲方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使用科室之日起的十五个工作日内必须补办相关手续，逾期将视为乙方自行放弃此批产品的确认权，甲方不予认可，由此产生的所有责任由乙方自行承担。</w:t>
      </w:r>
    </w:p>
    <w:p w14:paraId="59FE8C2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rPr>
        <w:t>.甲方受领乙方交付的货物后，货物的所有权转移至甲方；如须办理所有权转移登记才发生所有权转移的，则自所有权转移登记完成之日起转移至甲方。</w:t>
      </w:r>
    </w:p>
    <w:p w14:paraId="303F494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第七条  验收</w:t>
      </w:r>
      <w:r>
        <w:rPr>
          <w:rFonts w:hint="eastAsia" w:ascii="仿宋_GB2312" w:hAnsi="仿宋_GB2312" w:eastAsia="仿宋_GB2312" w:cs="仿宋_GB2312"/>
          <w:b/>
          <w:color w:val="auto"/>
          <w:sz w:val="28"/>
          <w:szCs w:val="28"/>
          <w:highlight w:val="none"/>
          <w:lang w:eastAsia="zh-CN"/>
        </w:rPr>
        <w:t>和退换货</w:t>
      </w:r>
    </w:p>
    <w:p w14:paraId="73BCB36B">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1.乙方配送的产品必须送至甲方库房验货并办理相关手续后使用。当天，由甲方组织验收，将货物的名称、单位、数量、型号、批次等记载在验收记录</w:t>
      </w:r>
      <w:r>
        <w:rPr>
          <w:rFonts w:hint="eastAsia" w:ascii="仿宋_GB2312" w:hAnsi="仿宋_GB2312" w:eastAsia="仿宋_GB2312" w:cs="仿宋_GB2312"/>
          <w:bCs/>
          <w:color w:val="auto"/>
          <w:sz w:val="28"/>
          <w:szCs w:val="28"/>
          <w:highlight w:val="none"/>
          <w:lang w:eastAsia="zh-CN"/>
        </w:rPr>
        <w:t>单</w:t>
      </w:r>
      <w:r>
        <w:rPr>
          <w:rFonts w:hint="eastAsia" w:ascii="仿宋_GB2312" w:hAnsi="仿宋_GB2312" w:eastAsia="仿宋_GB2312" w:cs="仿宋_GB2312"/>
          <w:bCs/>
          <w:color w:val="auto"/>
          <w:sz w:val="28"/>
          <w:szCs w:val="28"/>
          <w:highlight w:val="none"/>
        </w:rPr>
        <w:t>中，但难以发现的隐蔽质量瑕疵除外。经双方验收后，由双方共同签署验收报告。如因货物性质或货物数量等原因无法进行当场验收的，双方应自乙方交货之日起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日内完成验收工作。</w:t>
      </w:r>
    </w:p>
    <w:p w14:paraId="1C3FD85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除第六条第8点约定情形外，严禁直接送至甲方使用科室，任何个人或科室的验收均不代表甲方已经收到或认可该批产品，由此导致的责任由乙方自行承担。</w:t>
      </w:r>
    </w:p>
    <w:p w14:paraId="3E8336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.如需要乙方对货物或系统进行安装调试的，乙方应该自交货</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none"/>
        </w:rPr>
        <w:t>后</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5</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日内完成安装调试，甲方应在货物安装调试完毕后的</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个工作日内进行质量验收。</w:t>
      </w:r>
    </w:p>
    <w:p w14:paraId="65B7BF30">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经验收，若乙方所送货物存在质量、数量、保质期不足等问题以及其他不符合协议约定的配送产品要求，甲方有权拒收，并要求乙方于24个小时内重新配送，由此产生的费用由乙方自行承担。经要求乙方重新配送仍不符合要求的或超时未提供的，甲方有权单方面解除供货协议，由乙方承担违约责任，赔偿因上述事宜给甲方造成的损失。</w:t>
      </w:r>
    </w:p>
    <w:p w14:paraId="0FCA7A0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.若乙方所供货物在日后使用过程中</w:t>
      </w:r>
      <w:r>
        <w:rPr>
          <w:rFonts w:hint="eastAsia" w:ascii="仿宋_GB2312" w:hAnsi="仿宋_GB2312" w:eastAsia="仿宋_GB2312" w:cs="仿宋_GB2312"/>
          <w:bCs/>
          <w:color w:val="auto"/>
          <w:sz w:val="28"/>
          <w:szCs w:val="28"/>
          <w:highlight w:val="none"/>
          <w:lang w:val="en-US" w:eastAsia="zh-CN"/>
        </w:rPr>
        <w:t>(质保期内)</w:t>
      </w:r>
      <w:r>
        <w:rPr>
          <w:rFonts w:hint="eastAsia" w:ascii="仿宋_GB2312" w:hAnsi="仿宋_GB2312" w:eastAsia="仿宋_GB2312" w:cs="仿宋_GB2312"/>
          <w:bCs/>
          <w:color w:val="auto"/>
          <w:sz w:val="28"/>
          <w:szCs w:val="28"/>
          <w:highlight w:val="none"/>
        </w:rPr>
        <w:t>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64722B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.如甲方自乙方交货之日或完成设备安装调试之日起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个工作日内未向乙方提出书面异议，则视为验收合格，双方共同签署验收报告。</w:t>
      </w:r>
    </w:p>
    <w:p w14:paraId="185F98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.货物在甲方检验合格并交付给甲方前，标的物的毁损、灭失等风险由乙方承担。</w:t>
      </w:r>
    </w:p>
    <w:p w14:paraId="5182161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jc w:val="left"/>
        <w:textAlignment w:val="auto"/>
        <w:rPr>
          <w:rFonts w:ascii="宋体" w:hAnsi="宋体" w:cs="宋体"/>
          <w:color w:val="auto"/>
          <w:kern w:val="0"/>
          <w:szCs w:val="21"/>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甲方因临床使用需求下降、相关文件要求召回、质量或配件不全等</w:t>
      </w:r>
      <w:r>
        <w:rPr>
          <w:rFonts w:hint="eastAsia" w:ascii="仿宋_GB2312" w:hAnsi="仿宋_GB2312" w:eastAsia="仿宋_GB2312" w:cs="仿宋_GB2312"/>
          <w:color w:val="auto"/>
          <w:sz w:val="28"/>
          <w:szCs w:val="28"/>
          <w:highlight w:val="none"/>
        </w:rPr>
        <w:t>货物</w:t>
      </w:r>
      <w:r>
        <w:rPr>
          <w:rFonts w:hint="eastAsia" w:ascii="仿宋_GB2312" w:hAnsi="仿宋_GB2312" w:eastAsia="仿宋_GB2312" w:cs="仿宋_GB2312"/>
          <w:color w:val="auto"/>
          <w:sz w:val="28"/>
          <w:szCs w:val="28"/>
          <w:highlight w:val="none"/>
          <w:lang w:eastAsia="zh-CN"/>
        </w:rPr>
        <w:t>出现积压及需要退换货的情况时，</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乙</w:t>
      </w:r>
      <w:r>
        <w:rPr>
          <w:rFonts w:hint="eastAsia" w:ascii="仿宋_GB2312" w:hAnsi="仿宋_GB2312" w:eastAsia="仿宋_GB2312" w:cs="仿宋_GB2312"/>
          <w:color w:val="auto"/>
          <w:sz w:val="28"/>
          <w:szCs w:val="28"/>
          <w:highlight w:val="none"/>
        </w:rPr>
        <w:t>方</w:t>
      </w:r>
      <w:r>
        <w:rPr>
          <w:rFonts w:hint="eastAsia" w:ascii="仿宋_GB2312" w:hAnsi="仿宋_GB2312" w:eastAsia="仿宋_GB2312" w:cs="仿宋_GB2312"/>
          <w:color w:val="auto"/>
          <w:sz w:val="28"/>
          <w:szCs w:val="28"/>
          <w:highlight w:val="none"/>
          <w:lang w:eastAsia="zh-CN"/>
        </w:rPr>
        <w:t>在接到</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需要退换货通知日起</w:t>
      </w:r>
      <w:r>
        <w:rPr>
          <w:rFonts w:hint="eastAsia" w:ascii="仿宋_GB2312" w:hAnsi="仿宋_GB2312" w:eastAsia="仿宋_GB2312" w:cs="仿宋_GB2312"/>
          <w:color w:val="auto"/>
          <w:sz w:val="28"/>
          <w:szCs w:val="28"/>
          <w:highlight w:val="none"/>
          <w:lang w:val="en-US" w:eastAsia="zh-CN"/>
        </w:rPr>
        <w:t>10日内办理</w:t>
      </w:r>
      <w:r>
        <w:rPr>
          <w:rFonts w:hint="eastAsia" w:ascii="仿宋_GB2312" w:hAnsi="仿宋_GB2312" w:eastAsia="仿宋_GB2312" w:cs="仿宋_GB2312"/>
          <w:color w:val="auto"/>
          <w:sz w:val="28"/>
          <w:szCs w:val="28"/>
          <w:highlight w:val="none"/>
          <w:lang w:eastAsia="zh-CN"/>
        </w:rPr>
        <w:t>退换货手续，并尽快取走需退换货</w:t>
      </w:r>
      <w:r>
        <w:rPr>
          <w:rFonts w:hint="eastAsia" w:ascii="仿宋_GB2312" w:hAnsi="仿宋_GB2312" w:eastAsia="仿宋_GB2312" w:cs="仿宋_GB2312"/>
          <w:color w:val="auto"/>
          <w:sz w:val="28"/>
          <w:szCs w:val="28"/>
          <w:highlight w:val="none"/>
        </w:rPr>
        <w:t>物</w:t>
      </w:r>
      <w:r>
        <w:rPr>
          <w:rFonts w:hint="eastAsia" w:ascii="仿宋_GB2312" w:hAnsi="仿宋_GB2312" w:eastAsia="仿宋_GB2312" w:cs="仿宋_GB2312"/>
          <w:color w:val="auto"/>
          <w:sz w:val="28"/>
          <w:szCs w:val="28"/>
          <w:highlight w:val="none"/>
          <w:lang w:eastAsia="zh-CN"/>
        </w:rPr>
        <w:t>；效期短的物品，双方协商解决退换问题。如果不能及时处理退换货导致</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eastAsia="zh-CN"/>
        </w:rPr>
        <w:t>货物过期、</w:t>
      </w:r>
      <w:r>
        <w:rPr>
          <w:rFonts w:hint="eastAsia" w:ascii="仿宋_GB2312" w:hAnsi="仿宋_GB2312" w:eastAsia="仿宋_GB2312" w:cs="仿宋_GB2312"/>
          <w:color w:val="auto"/>
          <w:sz w:val="28"/>
          <w:szCs w:val="28"/>
          <w:highlight w:val="none"/>
        </w:rPr>
        <w:t>毁损、</w:t>
      </w:r>
      <w:r>
        <w:rPr>
          <w:rFonts w:hint="eastAsia" w:ascii="仿宋_GB2312" w:hAnsi="仿宋_GB2312" w:eastAsia="仿宋_GB2312" w:cs="仿宋_GB2312"/>
          <w:color w:val="auto"/>
          <w:sz w:val="28"/>
          <w:szCs w:val="28"/>
          <w:highlight w:val="none"/>
          <w:lang w:eastAsia="zh-CN"/>
        </w:rPr>
        <w:t>丢</w:t>
      </w:r>
      <w:r>
        <w:rPr>
          <w:rFonts w:hint="eastAsia" w:ascii="仿宋_GB2312" w:hAnsi="仿宋_GB2312" w:eastAsia="仿宋_GB2312" w:cs="仿宋_GB2312"/>
          <w:color w:val="auto"/>
          <w:sz w:val="28"/>
          <w:szCs w:val="28"/>
          <w:highlight w:val="none"/>
        </w:rPr>
        <w:t>失等风险由乙方承担。</w:t>
      </w:r>
    </w:p>
    <w:p w14:paraId="721E43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第八条 权利保证</w:t>
      </w:r>
    </w:p>
    <w:p w14:paraId="4E801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1.</w:t>
      </w:r>
      <w:r>
        <w:rPr>
          <w:rFonts w:hint="eastAsia" w:ascii="仿宋_GB2312" w:hAnsi="仿宋_GB2312" w:eastAsia="仿宋_GB2312" w:cs="仿宋_GB2312"/>
          <w:color w:val="auto"/>
          <w:sz w:val="28"/>
          <w:szCs w:val="28"/>
          <w:highlight w:val="none"/>
        </w:rPr>
        <w:t>乙方保证所提供的货物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14:paraId="37BB62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2.乙方保证所提供的货物符合</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14:paraId="1F8DD3B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color w:val="auto"/>
          <w:sz w:val="28"/>
          <w:szCs w:val="28"/>
          <w:highlight w:val="none"/>
        </w:rPr>
      </w:pPr>
      <w:bookmarkStart w:id="163" w:name="_Toc2412_WPSOffice_Level1"/>
      <w:r>
        <w:rPr>
          <w:rFonts w:hint="eastAsia" w:ascii="仿宋_GB2312" w:hAnsi="仿宋_GB2312" w:eastAsia="仿宋_GB2312" w:cs="仿宋_GB2312"/>
          <w:b/>
          <w:color w:val="auto"/>
          <w:sz w:val="28"/>
          <w:szCs w:val="28"/>
          <w:highlight w:val="none"/>
        </w:rPr>
        <w:t>第九条 质量保证及售后服务</w:t>
      </w:r>
      <w:bookmarkEnd w:id="163"/>
    </w:p>
    <w:p w14:paraId="47716D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1.乙方应按照国家有关法律法规规章和“三包”规定、</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文件的要求、乙方在</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文件的相关承诺提供保修及其他服务。</w:t>
      </w:r>
    </w:p>
    <w:p w14:paraId="506360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2.保修期限：与本合同约定的质量保证期相同，从甲方验收合格之日次日起算。</w:t>
      </w:r>
    </w:p>
    <w:p w14:paraId="758E00C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保修期内，乙方负责对其提供的货物进行维修和系统维护，不再收取任何费用。所有货物保修服务方式均为乙方上门保修，即由乙方派员到货物使用现场维修，如乙方不能在故障响应期限内对货物进行维修，甲方有权选择第三方进行维修，所发生的维修费用由乙方全部承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en-US" w:eastAsia="zh-CN"/>
        </w:rPr>
        <w:t>应于</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七个工作</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日内</w:t>
      </w:r>
      <w:r>
        <w:rPr>
          <w:rFonts w:hint="eastAsia" w:ascii="仿宋_GB2312" w:hAnsi="仿宋_GB2312" w:eastAsia="仿宋_GB2312" w:cs="仿宋_GB2312"/>
          <w:color w:val="auto"/>
          <w:sz w:val="28"/>
          <w:szCs w:val="28"/>
          <w:highlight w:val="none"/>
        </w:rPr>
        <w:t>支付。</w:t>
      </w:r>
    </w:p>
    <w:p w14:paraId="18CB5E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4.保修期届满后，乙方应按其在深圳地区同类产品的优惠价格提供维保服务，具体设备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维护</w:t>
      </w:r>
      <w:r>
        <w:rPr>
          <w:rFonts w:hint="eastAsia" w:ascii="仿宋_GB2312" w:hAnsi="仿宋_GB2312" w:eastAsia="仿宋_GB2312" w:cs="仿宋_GB2312"/>
          <w:color w:val="auto"/>
          <w:sz w:val="28"/>
          <w:szCs w:val="28"/>
          <w:highlight w:val="none"/>
          <w:lang w:eastAsia="zh-Hans"/>
        </w:rPr>
        <w:t>事宜由双方</w:t>
      </w:r>
      <w:r>
        <w:rPr>
          <w:rFonts w:hint="eastAsia" w:ascii="仿宋_GB2312" w:hAnsi="仿宋_GB2312" w:eastAsia="仿宋_GB2312" w:cs="仿宋_GB2312"/>
          <w:color w:val="auto"/>
          <w:sz w:val="28"/>
          <w:szCs w:val="28"/>
          <w:highlight w:val="none"/>
        </w:rPr>
        <w:t>另行协商。</w:t>
      </w:r>
    </w:p>
    <w:p w14:paraId="0EB14C8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5.故障响应时间：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（按</w:t>
      </w:r>
      <w:r>
        <w:rPr>
          <w:rFonts w:hint="eastAsia" w:ascii="仿宋_GB2312" w:hAnsi="仿宋_GB2312" w:eastAsia="仿宋_GB2312" w:cs="仿宋_GB2312"/>
          <w:color w:val="auto"/>
          <w:sz w:val="28"/>
          <w:szCs w:val="28"/>
          <w:highlight w:val="none"/>
          <w:lang w:val="en-US" w:eastAsia="zh-CN"/>
        </w:rPr>
        <w:t>遴选响应</w:t>
      </w:r>
      <w:r>
        <w:rPr>
          <w:rFonts w:hint="eastAsia" w:ascii="仿宋_GB2312" w:hAnsi="仿宋_GB2312" w:eastAsia="仿宋_GB2312" w:cs="仿宋_GB2312"/>
          <w:color w:val="auto"/>
          <w:sz w:val="28"/>
          <w:szCs w:val="28"/>
          <w:highlight w:val="none"/>
        </w:rPr>
        <w:t>文件为准）。</w:t>
      </w:r>
    </w:p>
    <w:p w14:paraId="6B61BE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highlight w:val="none"/>
        </w:rPr>
      </w:pPr>
      <w:r>
        <w:rPr>
          <w:rFonts w:hint="eastAsia" w:ascii="仿宋_GB2312" w:hAnsi="仿宋_GB2312" w:eastAsia="仿宋_GB2312" w:cs="仿宋_GB2312"/>
          <w:color w:val="auto"/>
          <w:sz w:val="28"/>
          <w:szCs w:val="28"/>
          <w:highlight w:val="none"/>
        </w:rPr>
        <w:t>6.合同双方认为应补充的内容（不违反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文件及相关法律法规）：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297C6130">
      <w:pPr>
        <w:keepNext w:val="0"/>
        <w:keepLines w:val="0"/>
        <w:pageBreakBefore w:val="0"/>
        <w:widowControl w:val="0"/>
        <w:numPr>
          <w:ilvl w:val="255"/>
          <w:numId w:val="0"/>
        </w:numPr>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第十条 违约责任</w:t>
      </w:r>
    </w:p>
    <w:p w14:paraId="14BC30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bCs/>
          <w:color w:val="auto"/>
          <w:sz w:val="28"/>
          <w:szCs w:val="28"/>
          <w:highlight w:val="none"/>
        </w:rPr>
        <w:t>甲方逾期付设备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Cs/>
          <w:color w:val="auto"/>
          <w:sz w:val="28"/>
          <w:szCs w:val="28"/>
          <w:highlight w:val="none"/>
        </w:rPr>
        <w:t>款的，甲方向乙方每日偿付欠款总额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Cs/>
          <w:color w:val="auto"/>
          <w:sz w:val="28"/>
          <w:szCs w:val="28"/>
          <w:highlight w:val="none"/>
        </w:rPr>
        <w:t>的违约金。但因甲方使用的是财政资金，甲方应在约定期限内办理财政支付申请手续（不含政府财政支付部门审核的时间）。因财政支付流程造成的延误，应视为甲方依约履行，甲方不承担任何逾期付款的违约责任。</w:t>
      </w:r>
    </w:p>
    <w:p w14:paraId="1A34DD4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2.出现以下情况之一的，甲方有权解除协议，由乙方承担违约责任。乙方应向甲方返还甲方已支付的全部款项，按协议合同总价款</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2</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%向甲方支付违约金，并承担因违约给甲方造成的一切经济损失及法律责任；</w:t>
      </w:r>
    </w:p>
    <w:p w14:paraId="3DF46B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1</w:t>
      </w:r>
      <w:r>
        <w:rPr>
          <w:rFonts w:hint="eastAsia" w:ascii="仿宋_GB2312" w:hAnsi="仿宋_GB2312" w:eastAsia="仿宋_GB2312" w:cs="仿宋_GB2312"/>
          <w:bCs/>
          <w:color w:val="auto"/>
          <w:sz w:val="28"/>
          <w:szCs w:val="28"/>
          <w:highlight w:val="none"/>
        </w:rPr>
        <w:t>）乙方提供的产品不符合国家规定或承认的相应标准，或者不符合本协议约定的产品要求及配送要求；</w:t>
      </w:r>
    </w:p>
    <w:p w14:paraId="15F1F87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）甲方发现乙方私自配送目录以外的产品或未经甲方同意向甲方科室配送的；</w:t>
      </w:r>
    </w:p>
    <w:p w14:paraId="6AB145A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）产品注册证名称、规格、型号、价、生产厂商等与通知书不一致；</w:t>
      </w:r>
    </w:p>
    <w:p w14:paraId="6A183F7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）乙方不能按照约定为甲方提供全面的售后服务；</w:t>
      </w:r>
    </w:p>
    <w:p w14:paraId="745255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）乙方所供货存在质量问题或其他影响使用的瑕疵</w:t>
      </w:r>
      <w:r>
        <w:rPr>
          <w:rFonts w:ascii="仿宋_GB2312" w:hAnsi="仿宋_GB2312" w:eastAsia="仿宋_GB2312" w:cs="仿宋_GB2312"/>
          <w:bCs/>
          <w:color w:val="auto"/>
          <w:sz w:val="28"/>
          <w:szCs w:val="28"/>
          <w:highlight w:val="none"/>
        </w:rPr>
        <w:t>;</w:t>
      </w:r>
    </w:p>
    <w:p w14:paraId="314CE72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乙方未能按照协议的要求配送产品；</w:t>
      </w:r>
    </w:p>
    <w:p w14:paraId="1BEEDD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因乙方原因</w:t>
      </w:r>
      <w:r>
        <w:rPr>
          <w:rFonts w:hint="eastAsia" w:ascii="仿宋_GB2312" w:hAnsi="仿宋_GB2312" w:eastAsia="仿宋_GB2312" w:cs="仿宋_GB2312"/>
          <w:bCs/>
          <w:color w:val="auto"/>
          <w:sz w:val="28"/>
          <w:szCs w:val="28"/>
          <w:highlight w:val="none"/>
        </w:rPr>
        <w:t>在供货协议期内中断向甲方供货的。</w:t>
      </w:r>
    </w:p>
    <w:p w14:paraId="49C7263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color w:val="auto"/>
          <w:sz w:val="28"/>
          <w:szCs w:val="28"/>
          <w:highlight w:val="none"/>
        </w:rPr>
        <w:t>3.</w:t>
      </w:r>
      <w:bookmarkStart w:id="164" w:name="_Hlk107507629"/>
      <w:r>
        <w:rPr>
          <w:rFonts w:hint="eastAsia" w:ascii="仿宋_GB2312" w:hAnsi="仿宋_GB2312" w:eastAsia="仿宋_GB2312" w:cs="仿宋_GB2312"/>
          <w:bCs/>
          <w:color w:val="auto"/>
          <w:sz w:val="28"/>
          <w:szCs w:val="28"/>
          <w:highlight w:val="none"/>
        </w:rPr>
        <w:t>产品在医院临床试用期为一个月，若一个月内收到产品质量投诉且经甲方或政府相关部门（包括卫生行政部门、食品药品监督管理部门等）确认是有效投诉的，甲方有权单方面解除本协议，乙方需退回甲方已付的全部款项，并赔偿因上述事宜给甲方及第三方造成的损失，</w:t>
      </w:r>
      <w:r>
        <w:rPr>
          <w:rFonts w:hint="eastAsia" w:ascii="仿宋_GB2312" w:hAnsi="仿宋_GB2312" w:eastAsia="仿宋_GB2312" w:cs="仿宋_GB2312"/>
          <w:color w:val="auto"/>
          <w:sz w:val="28"/>
          <w:szCs w:val="28"/>
          <w:highlight w:val="none"/>
        </w:rPr>
        <w:t>损失包括但不限于第三方权利人索赔、因与第三方权利人侵权等纠纷导致甲方不能正常使用设备造成的全部损失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包括但不限于</w:t>
      </w:r>
      <w:r>
        <w:rPr>
          <w:rFonts w:hint="eastAsia" w:ascii="仿宋_GB2312" w:hAnsi="仿宋_GB2312" w:eastAsia="仿宋_GB2312" w:cs="仿宋_GB2312"/>
          <w:color w:val="auto"/>
          <w:sz w:val="28"/>
          <w:szCs w:val="28"/>
          <w:highlight w:val="none"/>
        </w:rPr>
        <w:t>律师费、诉讼费、取证费、差旅费、保全费、担保费、鉴证费、公证费、执行费以及间接损失等</w:t>
      </w:r>
      <w:r>
        <w:rPr>
          <w:rFonts w:hint="eastAsia" w:ascii="仿宋_GB2312" w:hAnsi="仿宋_GB2312" w:eastAsia="仿宋_GB2312" w:cs="仿宋_GB2312"/>
          <w:bCs/>
          <w:color w:val="auto"/>
          <w:sz w:val="28"/>
          <w:szCs w:val="28"/>
          <w:highlight w:val="none"/>
        </w:rPr>
        <w:t>。</w:t>
      </w:r>
      <w:bookmarkEnd w:id="164"/>
    </w:p>
    <w:p w14:paraId="3E119EC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因涉及患者的生命安全，乙方应严格按照</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文件和本协议的要求进行配送，配送的产品必须是产品，严禁配送目录外规格型号产品，凡私自配送或配送目录以外的产品，甲方均不予认可，责任由乙方自行承担。</w:t>
      </w:r>
    </w:p>
    <w:p w14:paraId="090D376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在配送过程中，乙方若不能按</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及供货协议的要求对甲方及时配送，只要存在违反一次的情形，甲方有权单方面解除供货协议，由乙方承担违约责任，赔偿因上述事宜给甲方造成的损失。解除供货协议的通知一经送达即生效，同时甲方无需支付未按要求配送产品的款项，并将乙方列为甲方不良信誉供应商，三年内不得参与甲方</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活动。</w:t>
      </w:r>
    </w:p>
    <w:p w14:paraId="4A4C453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color w:val="auto"/>
          <w:kern w:val="44"/>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.乙方在承担上述一项或多项违约责任后，仍应继续履行合同规定的义务（甲方解除合同的除外）。甲方未能及时追究乙方的任何一项违约责任并不表明甲方放弃追究乙方该项或其他违约责任。</w:t>
      </w:r>
    </w:p>
    <w:p w14:paraId="0292F7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第十一条 不可抗力</w:t>
      </w:r>
    </w:p>
    <w:p w14:paraId="0B465AA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color w:val="auto"/>
          <w:sz w:val="28"/>
          <w:szCs w:val="28"/>
          <w:highlight w:val="none"/>
        </w:rPr>
        <w:t>突发公共卫生事件</w:t>
      </w:r>
      <w:r>
        <w:rPr>
          <w:rFonts w:hint="eastAsia" w:ascii="仿宋_GB2312" w:hAnsi="仿宋_GB2312" w:eastAsia="仿宋_GB2312" w:cs="仿宋_GB2312"/>
          <w:bCs/>
          <w:color w:val="auto"/>
          <w:sz w:val="28"/>
          <w:szCs w:val="28"/>
          <w:highlight w:val="none"/>
        </w:rPr>
        <w:t>等。</w:t>
      </w:r>
    </w:p>
    <w:p w14:paraId="2F4475C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0BBDD1C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4BD181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347396F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第十二条 变更、终止条款</w:t>
      </w:r>
    </w:p>
    <w:p w14:paraId="06DCFE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1.除继续履行将损害国家利益和社会公共利益的外，双方不得擅自变更或者终止合同。</w:t>
      </w:r>
    </w:p>
    <w:p w14:paraId="3AD90E5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2.如继续履行将损害国家利益和社会公共利益的，主张变更或终止权利一方应在变更或终止事件或情形发生时通知另一方。双方另行签订变更或终止协议。</w:t>
      </w:r>
    </w:p>
    <w:p w14:paraId="0D56BF0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.若协议期内产品被纳入政府组织集中采购的，则按政府有关规定执行。甲方与政府集中采购的供应商签订供货协议之日本协议自动终止，甲方无需承担提前解除协议的违约责任。</w:t>
      </w:r>
    </w:p>
    <w:p w14:paraId="2D5306A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4.合同履行期间，相关法律、法规、规章、规范性文件和政策发生变化或者颁布新的规定，导致本合同的履行依据发生变化的，双方可以按照修改后或者新的规定执行，并另行签订变更协议。</w:t>
      </w:r>
    </w:p>
    <w:p w14:paraId="0A82D0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第十三条 争议解决</w:t>
      </w:r>
    </w:p>
    <w:p w14:paraId="2FE15AE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可能</w:t>
      </w:r>
      <w:r>
        <w:rPr>
          <w:rFonts w:hint="eastAsia" w:ascii="仿宋_GB2312" w:hAnsi="仿宋_GB2312" w:eastAsia="仿宋_GB2312" w:cs="仿宋_GB2312"/>
          <w:color w:val="auto"/>
          <w:sz w:val="28"/>
          <w:szCs w:val="28"/>
          <w:highlight w:val="none"/>
        </w:rPr>
        <w:t>因货物的质量问题发生争议的，应当由双方共同邀请国家认可的质量检测机构对货物质量进行鉴定，</w:t>
      </w:r>
      <w:r>
        <w:rPr>
          <w:rFonts w:hint="eastAsia" w:ascii="仿宋_GB2312" w:hAnsi="仿宋_GB2312" w:eastAsia="仿宋_GB2312" w:cs="仿宋_GB2312"/>
          <w:color w:val="auto"/>
          <w:sz w:val="28"/>
          <w:szCs w:val="28"/>
          <w:highlight w:val="none"/>
          <w:lang w:eastAsia="zh-CN"/>
        </w:rPr>
        <w:t>不管最终鉴定结果如何，</w:t>
      </w:r>
      <w:r>
        <w:rPr>
          <w:rFonts w:hint="eastAsia" w:ascii="仿宋_GB2312" w:hAnsi="仿宋_GB2312" w:eastAsia="仿宋_GB2312" w:cs="仿宋_GB2312"/>
          <w:color w:val="auto"/>
          <w:sz w:val="28"/>
          <w:szCs w:val="28"/>
          <w:highlight w:val="none"/>
        </w:rPr>
        <w:t>费用由乙方垫付。</w:t>
      </w:r>
    </w:p>
    <w:p w14:paraId="2F4416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2.因履行本合同引起的或与本合同有关的争议，甲、乙双方应首先通过友好协商解决，如果协商不能解决争议，则向甲方所在地有管辖权的人民法院提起诉讼。</w:t>
      </w:r>
    </w:p>
    <w:p w14:paraId="2E80A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3.有关本协议的效力、解释及可执行性的所有问题均应当受中华人民共和国法律管辖并按照其法律进行解释。</w:t>
      </w:r>
    </w:p>
    <w:p w14:paraId="172A3C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第十四条 保密责任</w:t>
      </w:r>
    </w:p>
    <w:p w14:paraId="49C408B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Cs/>
          <w:color w:val="auto"/>
          <w:sz w:val="28"/>
          <w:szCs w:val="28"/>
          <w:highlight w:val="none"/>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5CB2A1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36CCD8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bookmarkStart w:id="165" w:name="_Toc4624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五</w:t>
      </w:r>
      <w:r>
        <w:rPr>
          <w:rFonts w:hint="eastAsia" w:ascii="仿宋_GB2312" w:hAnsi="仿宋_GB2312" w:eastAsia="仿宋_GB2312" w:cs="仿宋_GB2312"/>
          <w:b/>
          <w:color w:val="auto"/>
          <w:sz w:val="28"/>
          <w:szCs w:val="28"/>
          <w:highlight w:val="none"/>
        </w:rPr>
        <w:t>条 通信送达</w:t>
      </w:r>
      <w:bookmarkEnd w:id="165"/>
    </w:p>
    <w:p w14:paraId="632FCE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1.甲、乙双方约定以下通信地址为双方通知或文件的送达地址：</w:t>
      </w:r>
    </w:p>
    <w:p w14:paraId="33551E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甲方收件地址：深圳市福田区上梅林中康路27号</w:t>
      </w:r>
      <w:r>
        <w:rPr>
          <w:rFonts w:hint="eastAsia" w:ascii="仿宋_GB2312" w:hAnsi="仿宋_GB2312" w:eastAsia="仿宋_GB2312" w:cs="仿宋_GB2312"/>
          <w:bCs/>
          <w:color w:val="auto"/>
          <w:sz w:val="28"/>
          <w:szCs w:val="28"/>
          <w:highlight w:val="none"/>
        </w:rPr>
        <w:t>：</w:t>
      </w:r>
    </w:p>
    <w:p w14:paraId="2078AC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甲方联系人：</w:t>
      </w:r>
      <w:r>
        <w:rPr>
          <w:rFonts w:hint="eastAsia" w:ascii="仿宋_GB2312" w:hAnsi="仿宋_GB2312" w:eastAsia="仿宋_GB2312" w:cs="仿宋_GB2312"/>
          <w:bCs/>
          <w:color w:val="auto"/>
          <w:sz w:val="28"/>
          <w:szCs w:val="28"/>
          <w:highlight w:val="none"/>
          <w:lang w:val="en-US" w:eastAsia="zh-CN"/>
        </w:rPr>
        <w:t>曾老师</w:t>
      </w:r>
    </w:p>
    <w:p w14:paraId="1FACA2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乙方收件地址：</w:t>
      </w:r>
    </w:p>
    <w:p w14:paraId="5234D4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乙方联系人：</w:t>
      </w:r>
    </w:p>
    <w:p w14:paraId="0D338D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2.双方确认，与本合同履行有关而发出的所有书面通知或其他通讯，或者因争议解决由司法裁判机关发出的法律文书，均以本合同确定的通讯地址为准。</w:t>
      </w:r>
    </w:p>
    <w:p w14:paraId="4057FB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以特快专递邮寄送达的方式，发生收件人拒绝签收或其他无法送达情形的，如按上述地址邮寄文件被邮政部门退回的，退回之日视为送达之日。任何一方的收件地址发生变更的，应当及时书面通知对方，否则因此产生的一切不利后果自行承担。</w:t>
      </w:r>
    </w:p>
    <w:p w14:paraId="784FD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bCs/>
          <w:color w:val="auto"/>
          <w:sz w:val="28"/>
          <w:szCs w:val="28"/>
          <w:highlight w:val="none"/>
        </w:rPr>
      </w:pPr>
      <w:bookmarkStart w:id="166" w:name="_Hlk107507037"/>
      <w:r>
        <w:rPr>
          <w:rFonts w:hint="eastAsia" w:ascii="仿宋_GB2312" w:hAnsi="仿宋_GB2312" w:eastAsia="仿宋_GB2312" w:cs="仿宋_GB2312"/>
          <w:bCs/>
          <w:color w:val="auto"/>
          <w:sz w:val="28"/>
          <w:szCs w:val="28"/>
          <w:highlight w:val="none"/>
        </w:rPr>
        <w:t>4.如上述地址无法送达的，以双方当事人的注册地址作为送达地址。</w:t>
      </w:r>
      <w:bookmarkEnd w:id="166"/>
    </w:p>
    <w:p w14:paraId="33D88F2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六</w:t>
      </w:r>
      <w:r>
        <w:rPr>
          <w:rFonts w:hint="eastAsia" w:ascii="仿宋_GB2312" w:hAnsi="仿宋_GB2312" w:eastAsia="仿宋_GB2312" w:cs="仿宋_GB2312"/>
          <w:b/>
          <w:color w:val="auto"/>
          <w:sz w:val="28"/>
          <w:szCs w:val="28"/>
          <w:highlight w:val="none"/>
        </w:rPr>
        <w:t>条 廉洁合作</w:t>
      </w:r>
    </w:p>
    <w:p w14:paraId="5D8428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4905E7F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lang w:eastAsia="zh-CN"/>
        </w:rPr>
        <w:t>如</w:t>
      </w:r>
      <w:r>
        <w:rPr>
          <w:rFonts w:hint="eastAsia" w:ascii="仿宋_GB2312" w:hAnsi="仿宋_GB2312" w:eastAsia="仿宋_GB2312" w:cs="仿宋_GB2312"/>
          <w:bCs/>
          <w:color w:val="auto"/>
          <w:sz w:val="28"/>
          <w:szCs w:val="28"/>
          <w:highlight w:val="none"/>
        </w:rPr>
        <w:t>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C908D0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七</w:t>
      </w:r>
      <w:r>
        <w:rPr>
          <w:rFonts w:hint="eastAsia" w:ascii="仿宋_GB2312" w:hAnsi="仿宋_GB2312" w:eastAsia="仿宋_GB2312" w:cs="仿宋_GB2312"/>
          <w:b/>
          <w:color w:val="auto"/>
          <w:sz w:val="28"/>
          <w:szCs w:val="28"/>
          <w:highlight w:val="none"/>
        </w:rPr>
        <w:t xml:space="preserve">条 </w:t>
      </w:r>
      <w:bookmarkStart w:id="167" w:name="_Toc12695_WPSOffice_Level1"/>
      <w:r>
        <w:rPr>
          <w:rFonts w:hint="eastAsia" w:ascii="仿宋_GB2312" w:hAnsi="仿宋_GB2312" w:eastAsia="仿宋_GB2312" w:cs="仿宋_GB2312"/>
          <w:b/>
          <w:color w:val="auto"/>
          <w:sz w:val="28"/>
          <w:szCs w:val="28"/>
          <w:highlight w:val="none"/>
        </w:rPr>
        <w:t>附则</w:t>
      </w:r>
      <w:bookmarkEnd w:id="167"/>
    </w:p>
    <w:p w14:paraId="49ABBBE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1.本合同一式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三</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份，甲方执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两</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份，乙方执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份，具有同等法律效力。本合同自双方法定代表人、负责人（或授权代表）签字并盖章之日起生效，自本合同双方权利义务履行完毕时终止。</w:t>
      </w:r>
    </w:p>
    <w:p w14:paraId="1B684EA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自本协议生效之日起</w:t>
      </w:r>
      <w:r>
        <w:rPr>
          <w:rFonts w:hint="eastAsia" w:ascii="仿宋_GB2312" w:hAnsi="仿宋_GB2312" w:eastAsia="仿宋_GB2312" w:cs="仿宋_GB2312"/>
          <w:color w:val="auto"/>
          <w:sz w:val="28"/>
          <w:szCs w:val="28"/>
          <w:highlight w:val="none"/>
          <w:lang w:eastAsia="zh-CN"/>
        </w:rPr>
        <w:t>按甲方实际发送的需求计划及时配送物资。</w:t>
      </w:r>
    </w:p>
    <w:p w14:paraId="3C00BEA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2.本合同中的任何条款如因任何原因导致无效、被撤销或不可执行，本合同其他条款仍保持原有效力，应当继续予以履行。</w:t>
      </w:r>
    </w:p>
    <w:p w14:paraId="4CFEB90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u w:val="single"/>
        </w:rPr>
      </w:pPr>
      <w:bookmarkStart w:id="168" w:name="_Toc20575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八</w:t>
      </w:r>
      <w:r>
        <w:rPr>
          <w:rFonts w:hint="eastAsia" w:ascii="仿宋_GB2312" w:hAnsi="仿宋_GB2312" w:eastAsia="仿宋_GB2312" w:cs="仿宋_GB2312"/>
          <w:b/>
          <w:color w:val="auto"/>
          <w:sz w:val="28"/>
          <w:szCs w:val="28"/>
          <w:highlight w:val="none"/>
        </w:rPr>
        <w:t>条 合同组成文件</w:t>
      </w:r>
    </w:p>
    <w:p w14:paraId="03E2FA2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4C9B907">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1.本合同及其</w:t>
      </w:r>
      <w:r>
        <w:rPr>
          <w:rFonts w:hint="eastAsia" w:ascii="仿宋_GB2312" w:hAnsi="仿宋_GB2312" w:eastAsia="仿宋_GB2312" w:cs="仿宋_GB2312"/>
          <w:color w:val="auto"/>
          <w:sz w:val="28"/>
          <w:szCs w:val="28"/>
          <w:highlight w:val="none"/>
          <w:lang w:eastAsia="zh-CN"/>
        </w:rPr>
        <w:t>附件、</w:t>
      </w:r>
      <w:r>
        <w:rPr>
          <w:rFonts w:hint="eastAsia" w:ascii="仿宋_GB2312" w:hAnsi="仿宋_GB2312" w:eastAsia="仿宋_GB2312" w:cs="仿宋_GB2312"/>
          <w:color w:val="auto"/>
          <w:sz w:val="28"/>
          <w:szCs w:val="28"/>
          <w:highlight w:val="none"/>
        </w:rPr>
        <w:t>补充合同、变更协议；</w:t>
      </w:r>
    </w:p>
    <w:p w14:paraId="694589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通知书；</w:t>
      </w:r>
    </w:p>
    <w:p w14:paraId="29B782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文件（含澄清或者说明文件）；</w:t>
      </w:r>
    </w:p>
    <w:p w14:paraId="1BFE050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文件（含澄清或者修改文件）；</w:t>
      </w:r>
    </w:p>
    <w:p w14:paraId="03D3389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其他相关采购文件。</w:t>
      </w:r>
    </w:p>
    <w:p w14:paraId="766D145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九</w:t>
      </w:r>
      <w:r>
        <w:rPr>
          <w:rFonts w:hint="eastAsia" w:ascii="仿宋_GB2312" w:hAnsi="仿宋_GB2312" w:eastAsia="仿宋_GB2312" w:cs="仿宋_GB2312"/>
          <w:b/>
          <w:color w:val="auto"/>
          <w:sz w:val="28"/>
          <w:szCs w:val="28"/>
          <w:highlight w:val="none"/>
        </w:rPr>
        <w:t>条 合同</w:t>
      </w:r>
      <w:r>
        <w:rPr>
          <w:rFonts w:hint="eastAsia" w:ascii="仿宋_GB2312" w:hAnsi="仿宋_GB2312" w:eastAsia="仿宋_GB2312" w:cs="仿宋_GB2312"/>
          <w:b/>
          <w:color w:val="auto"/>
          <w:sz w:val="28"/>
          <w:szCs w:val="28"/>
          <w:highlight w:val="none"/>
          <w:lang w:eastAsia="zh-CN"/>
        </w:rPr>
        <w:t>时限</w:t>
      </w:r>
    </w:p>
    <w:p w14:paraId="60BF4D41">
      <w:pPr>
        <w:keepNext w:val="0"/>
        <w:keepLines w:val="0"/>
        <w:pageBreakBefore w:val="0"/>
        <w:widowControl w:val="0"/>
        <w:kinsoku/>
        <w:overflowPunct/>
        <w:topLinePunct w:val="0"/>
        <w:autoSpaceDE/>
        <w:autoSpaceDN/>
        <w:bidi w:val="0"/>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eastAsia="zh-CN"/>
        </w:rPr>
        <w:t>有效时限</w:t>
      </w:r>
      <w:r>
        <w:rPr>
          <w:rFonts w:hint="eastAsia" w:ascii="仿宋" w:hAnsi="仿宋" w:eastAsia="仿宋" w:cs="仿宋"/>
          <w:color w:val="auto"/>
          <w:sz w:val="28"/>
          <w:szCs w:val="28"/>
          <w:highlight w:val="none"/>
          <w:lang w:val="en-US" w:eastAsia="zh-CN"/>
        </w:rPr>
        <w:t xml:space="preserve">  个月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年   月   日至    年   月   日</w:t>
      </w:r>
      <w:r>
        <w:rPr>
          <w:rFonts w:hint="eastAsia" w:ascii="仿宋" w:hAnsi="仿宋" w:eastAsia="仿宋" w:cs="仿宋"/>
          <w:color w:val="auto"/>
          <w:sz w:val="28"/>
          <w:szCs w:val="28"/>
          <w:highlight w:val="none"/>
          <w:lang w:eastAsia="zh-CN"/>
        </w:rPr>
        <w:t>止。</w:t>
      </w:r>
    </w:p>
    <w:p w14:paraId="229450CA">
      <w:pPr>
        <w:keepNext/>
        <w:keepLines/>
        <w:widowControl w:val="0"/>
        <w:spacing w:line="576" w:lineRule="auto"/>
        <w:jc w:val="both"/>
        <w:outlineLvl w:val="9"/>
        <w:rPr>
          <w:rFonts w:hint="eastAsia" w:ascii="仿宋_GB2312" w:hAnsi="仿宋_GB2312" w:eastAsia="仿宋_GB2312" w:cs="仿宋_GB2312"/>
          <w:b/>
          <w:color w:val="auto"/>
          <w:kern w:val="44"/>
          <w:sz w:val="28"/>
          <w:szCs w:val="28"/>
          <w:highlight w:val="none"/>
          <w:lang w:val="en-US" w:eastAsia="zh-CN" w:bidi="ar-SA"/>
        </w:rPr>
      </w:pPr>
    </w:p>
    <w:p w14:paraId="1CC65C5F">
      <w:pPr>
        <w:rPr>
          <w:rFonts w:hint="eastAsia"/>
          <w:highlight w:val="none"/>
        </w:rPr>
      </w:pPr>
    </w:p>
    <w:p w14:paraId="23505D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附件一：货</w:t>
      </w:r>
      <w:r>
        <w:rPr>
          <w:rFonts w:hint="eastAsia" w:ascii="仿宋_GB2312" w:hAnsi="仿宋_GB2312" w:eastAsia="仿宋_GB2312" w:cs="仿宋_GB2312"/>
          <w:color w:val="auto"/>
          <w:sz w:val="28"/>
          <w:szCs w:val="28"/>
          <w:highlight w:val="none"/>
          <w:lang w:val="en-US" w:eastAsia="zh-CN"/>
        </w:rPr>
        <w:t>品</w:t>
      </w:r>
      <w:r>
        <w:rPr>
          <w:rFonts w:hint="eastAsia" w:ascii="仿宋_GB2312" w:hAnsi="仿宋_GB2312" w:eastAsia="仿宋_GB2312" w:cs="仿宋_GB2312"/>
          <w:color w:val="auto"/>
          <w:sz w:val="28"/>
          <w:szCs w:val="28"/>
          <w:highlight w:val="none"/>
        </w:rPr>
        <w:t>清单</w:t>
      </w:r>
      <w:bookmarkEnd w:id="168"/>
      <w:bookmarkStart w:id="169" w:name="_Toc26357_WPSOffice_Level1"/>
    </w:p>
    <w:p w14:paraId="262854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附件二：廉洁合作承诺书（企业承诺）</w:t>
      </w:r>
      <w:bookmarkEnd w:id="169"/>
    </w:p>
    <w:p w14:paraId="395234FD">
      <w:pPr>
        <w:keepNext w:val="0"/>
        <w:keepLines w:val="0"/>
        <w:pageBreakBefore w:val="0"/>
        <w:widowControl w:val="0"/>
        <w:kinsoku/>
        <w:overflowPunct/>
        <w:topLinePunct w:val="0"/>
        <w:autoSpaceDE/>
        <w:autoSpaceDN/>
        <w:bidi w:val="0"/>
        <w:ind w:firstLine="280" w:firstLineChars="100"/>
        <w:textAlignment w:val="auto"/>
        <w:rPr>
          <w:rFonts w:hint="eastAsia" w:ascii="仿宋" w:hAnsi="仿宋" w:eastAsia="仿宋" w:cs="仿宋"/>
          <w:color w:val="auto"/>
          <w:sz w:val="28"/>
          <w:szCs w:val="28"/>
          <w:highlight w:val="none"/>
        </w:rPr>
      </w:pPr>
      <w:bookmarkStart w:id="170" w:name="_Toc28445_WPSOffice_Level1"/>
      <w:r>
        <w:rPr>
          <w:rFonts w:hint="eastAsia" w:ascii="仿宋_GB2312" w:hAnsi="仿宋_GB2312" w:eastAsia="仿宋_GB2312" w:cs="仿宋_GB2312"/>
          <w:color w:val="auto"/>
          <w:sz w:val="28"/>
          <w:szCs w:val="28"/>
          <w:highlight w:val="none"/>
        </w:rPr>
        <w:t>附件三：廉洁从业承诺书（员工承诺</w:t>
      </w:r>
      <w:bookmarkEnd w:id="170"/>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br w:type="page"/>
      </w:r>
      <w:r>
        <w:rPr>
          <w:rFonts w:hint="eastAsia" w:ascii="仿宋" w:hAnsi="仿宋" w:eastAsia="仿宋" w:cs="仿宋"/>
          <w:color w:val="auto"/>
          <w:sz w:val="28"/>
          <w:szCs w:val="28"/>
          <w:highlight w:val="none"/>
        </w:rPr>
        <w:t>（本页无正文，为</w:t>
      </w:r>
      <w:r>
        <w:rPr>
          <w:rFonts w:hint="eastAsia" w:ascii="仿宋" w:hAnsi="仿宋" w:eastAsia="仿宋" w:cs="仿宋"/>
          <w:color w:val="auto"/>
          <w:highlight w:val="none"/>
        </w:rPr>
        <w:t>《     》</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签署页）</w:t>
      </w:r>
    </w:p>
    <w:p w14:paraId="674972AE">
      <w:pPr>
        <w:pStyle w:val="29"/>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0" w:firstLineChars="0"/>
        <w:jc w:val="left"/>
        <w:textAlignment w:val="auto"/>
        <w:rPr>
          <w:rFonts w:hint="eastAsia" w:ascii="仿宋" w:hAnsi="仿宋" w:eastAsia="仿宋" w:cs="仿宋"/>
          <w:color w:val="auto"/>
          <w:highlight w:val="none"/>
        </w:rPr>
      </w:pPr>
    </w:p>
    <w:p w14:paraId="057CF15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hint="eastAsia" w:ascii="仿宋" w:hAnsi="仿宋" w:eastAsia="仿宋" w:cs="仿宋"/>
          <w:color w:val="auto"/>
          <w:sz w:val="28"/>
          <w:szCs w:val="28"/>
          <w:highlight w:val="none"/>
        </w:rPr>
      </w:pPr>
    </w:p>
    <w:p w14:paraId="3AC29902">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                              乙方：</w:t>
      </w:r>
    </w:p>
    <w:p w14:paraId="63AB85C4">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                        法定代表人：</w:t>
      </w:r>
    </w:p>
    <w:p w14:paraId="34E9B64B">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                        委托代理人：</w:t>
      </w:r>
    </w:p>
    <w:p w14:paraId="03FC3E6F">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0755-83116181</w:t>
      </w:r>
      <w:r>
        <w:rPr>
          <w:rFonts w:hint="eastAsia" w:ascii="仿宋" w:hAnsi="仿宋" w:eastAsia="仿宋" w:cs="仿宋"/>
          <w:color w:val="auto"/>
          <w:sz w:val="28"/>
          <w:szCs w:val="28"/>
          <w:highlight w:val="none"/>
        </w:rPr>
        <w:t xml:space="preserve">             联系</w:t>
      </w:r>
      <w:r>
        <w:rPr>
          <w:rFonts w:hint="eastAsia" w:ascii="仿宋" w:hAnsi="仿宋" w:eastAsia="仿宋" w:cs="仿宋"/>
          <w:color w:val="auto"/>
          <w:sz w:val="28"/>
          <w:szCs w:val="28"/>
          <w:highlight w:val="none"/>
          <w:lang w:val="en-US" w:eastAsia="zh-CN"/>
        </w:rPr>
        <w:t>电话：</w:t>
      </w:r>
    </w:p>
    <w:p w14:paraId="05EBEAD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r>
        <w:rPr>
          <w:rFonts w:hint="eastAsia" w:ascii="仿宋" w:hAnsi="仿宋" w:eastAsia="仿宋" w:cs="仿宋"/>
          <w:i w:val="0"/>
          <w:iCs w:val="0"/>
          <w:caps w:val="0"/>
          <w:color w:val="auto"/>
          <w:spacing w:val="0"/>
          <w:sz w:val="28"/>
          <w:szCs w:val="28"/>
          <w:highlight w:val="none"/>
          <w:shd w:val="clear" w:fill="FFFFFF"/>
        </w:rPr>
        <w:t>建设银行深圳梅林支行</w:t>
      </w:r>
      <w:r>
        <w:rPr>
          <w:rFonts w:hint="eastAsia" w:ascii="仿宋" w:hAnsi="仿宋" w:eastAsia="仿宋" w:cs="仿宋"/>
          <w:color w:val="auto"/>
          <w:sz w:val="28"/>
          <w:szCs w:val="28"/>
          <w:highlight w:val="none"/>
        </w:rPr>
        <w:t xml:space="preserve">      开户银行:</w:t>
      </w:r>
    </w:p>
    <w:p w14:paraId="08C5137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帐号：</w:t>
      </w:r>
      <w:r>
        <w:rPr>
          <w:rFonts w:hint="eastAsia" w:ascii="仿宋" w:hAnsi="仿宋" w:eastAsia="仿宋" w:cs="仿宋"/>
          <w:i w:val="0"/>
          <w:iCs w:val="0"/>
          <w:caps w:val="0"/>
          <w:color w:val="auto"/>
          <w:spacing w:val="0"/>
          <w:sz w:val="28"/>
          <w:szCs w:val="28"/>
          <w:highlight w:val="none"/>
          <w:shd w:val="clear" w:fill="FFFFFF"/>
        </w:rPr>
        <w:t>44201550900051002164</w:t>
      </w:r>
      <w:r>
        <w:rPr>
          <w:rFonts w:hint="eastAsia" w:ascii="仿宋" w:hAnsi="仿宋" w:eastAsia="仿宋" w:cs="仿宋"/>
          <w:color w:val="auto"/>
          <w:sz w:val="28"/>
          <w:szCs w:val="28"/>
          <w:highlight w:val="none"/>
        </w:rPr>
        <w:t xml:space="preserve">          帐号：</w:t>
      </w:r>
    </w:p>
    <w:p w14:paraId="7D6D14F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hint="eastAsia" w:ascii="仿宋" w:hAnsi="仿宋" w:eastAsia="仿宋" w:cs="仿宋"/>
          <w:color w:val="auto"/>
          <w:sz w:val="28"/>
          <w:szCs w:val="28"/>
          <w:highlight w:val="none"/>
        </w:rPr>
      </w:pPr>
    </w:p>
    <w:p w14:paraId="2D51ACFE">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签约时间：     年     月     日</w:t>
      </w:r>
    </w:p>
    <w:p w14:paraId="6220232D">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签约地点：</w:t>
      </w:r>
    </w:p>
    <w:p w14:paraId="52289DD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color w:val="auto"/>
          <w:sz w:val="28"/>
          <w:szCs w:val="28"/>
          <w:highlight w:val="none"/>
        </w:rPr>
      </w:pPr>
    </w:p>
    <w:p w14:paraId="0F9C621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0D5D49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8A4237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0093AFA0">
      <w:pPr>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5BF450C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0AE6E60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5E05CBE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4A0F695D">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5160E6F8">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11C39E99">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1C5FA0E2">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附件二：</w:t>
      </w:r>
    </w:p>
    <w:p w14:paraId="681FCABE">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p>
    <w:p w14:paraId="052D69FB">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廉洁合作承诺书</w:t>
      </w:r>
    </w:p>
    <w:p w14:paraId="06806A2B">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（企业承诺）</w:t>
      </w:r>
    </w:p>
    <w:p w14:paraId="2D7FAEE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本公司决定参加项目</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。为维护公平竞争的市场秩序，促进企业廉洁从业、诚实守信，特承诺如下：</w:t>
      </w:r>
    </w:p>
    <w:p w14:paraId="013EAC6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一、严格遵守《中华人民共和国招标投标法》、《中华人民共和国政府采购法》等法律法规，决不发生以下行为：</w:t>
      </w:r>
    </w:p>
    <w:p w14:paraId="3AE389BC">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1.以他人名义投标，允许其他单位或个人使用本单位资质投标；</w:t>
      </w:r>
    </w:p>
    <w:p w14:paraId="1FCF3DF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2.提供虚假材料，或以其他方式弄虚作假骗取中标；</w:t>
      </w:r>
    </w:p>
    <w:p w14:paraId="2B87BDE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3.与招标人或者其他投标人相互串通投标；</w:t>
      </w:r>
    </w:p>
    <w:p w14:paraId="13775BC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4.中标后将项目转包，或违法分包；</w:t>
      </w:r>
    </w:p>
    <w:p w14:paraId="2D8C6D9C">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5.中标后与招标人签订背离投标文件及合同实质性内容的私下协议；</w:t>
      </w:r>
    </w:p>
    <w:p w14:paraId="70D2C4C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6.其他违反招标投标、政府采购等法律法规的行为。</w:t>
      </w:r>
    </w:p>
    <w:p w14:paraId="74B21597">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二、不以任何理由给予采购单位、主管部门、相关单位及其工作人员以下好处：</w:t>
      </w:r>
    </w:p>
    <w:p w14:paraId="5FE55D2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37F7D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5832632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76682E88">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4.提供宴请、健身、旅游、娱乐等高消费活动； </w:t>
      </w:r>
    </w:p>
    <w:p w14:paraId="55152C10">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0A563449">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三、不以任何理由为采购单位、主管部门、相关单位的工作人员及其配偶、子女等亲属的工作安排以及出国（境）等提供方便。</w:t>
      </w:r>
    </w:p>
    <w:p w14:paraId="201C594B">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四、自觉接受有关部门和派驻廉政监察组等机构的监督，积极配合采购单位开展廉政文化进工程工作，加强廉洁从业环境宣传、项目管理制度建设，多种形式开展廉洁教育。</w:t>
      </w:r>
    </w:p>
    <w:p w14:paraId="5516112D">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上述承诺如有违反，愿接受录入诚信档案的处理，构成违纪违法的，由相关部门依纪依法作出处理。</w:t>
      </w:r>
    </w:p>
    <w:p w14:paraId="5D8946A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响应方</w:t>
      </w:r>
      <w:r>
        <w:rPr>
          <w:rFonts w:hint="eastAsia" w:ascii="仿宋_GB2312" w:hAnsi="仿宋_GB2312" w:eastAsia="仿宋_GB2312" w:cs="仿宋_GB2312"/>
          <w:color w:val="auto"/>
          <w:sz w:val="28"/>
          <w:szCs w:val="28"/>
          <w:highlight w:val="none"/>
        </w:rPr>
        <w:t>法定代表人签名，并加盖公章；一式贰份，采购单位与履约供应商各持壹份。）</w:t>
      </w:r>
    </w:p>
    <w:p w14:paraId="2C20EE9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266298F8">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61C4AA6C">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3472C59F">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法定代表人签名：</w:t>
      </w:r>
    </w:p>
    <w:p w14:paraId="5D3543BB">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承诺单位（公章）：</w:t>
      </w:r>
    </w:p>
    <w:p w14:paraId="02BABC0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承诺日期：</w:t>
      </w:r>
    </w:p>
    <w:p w14:paraId="621E2E23">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b/>
          <w:color w:val="auto"/>
          <w:sz w:val="28"/>
          <w:szCs w:val="28"/>
          <w:highlight w:val="none"/>
        </w:rPr>
        <w:t>附件三：</w:t>
      </w:r>
    </w:p>
    <w:p w14:paraId="476D0DBD">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廉洁从业承诺书</w:t>
      </w:r>
    </w:p>
    <w:p w14:paraId="568AAAB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（员工承诺）</w:t>
      </w:r>
    </w:p>
    <w:p w14:paraId="2BD038F9">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本人决定自愿参加本项目。为了更好的树立公司对外形象，更好地打造公司的品牌，促进个人廉洁从业、诚实守信，特承诺如下：</w:t>
      </w:r>
    </w:p>
    <w:p w14:paraId="3A5CA8E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一、不以任何理由给予采购单位、主管部门、相关单位及其工作人员以下好处：</w:t>
      </w:r>
    </w:p>
    <w:p w14:paraId="09710626">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49C437">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6C7D2C4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2504DF3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4.提供宴请、健身、旅游、娱乐等高消费活动；</w:t>
      </w:r>
    </w:p>
    <w:p w14:paraId="763F71A9">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5F9F2D6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二、不以任何理由为采购单位、主管部门、相关单位的工作人员及其配偶、子女等亲属的工作安排以及出国（境）等提供方便。</w:t>
      </w:r>
    </w:p>
    <w:p w14:paraId="3B5B551F">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三、自觉接受有关部门和派驻廉政监察组等机构的监督。</w:t>
      </w:r>
    </w:p>
    <w:p w14:paraId="6027A8E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以上承诺接受公司和广大员工的监督。本人如有违反承诺，自愿承担违诺责任和法律后果。</w:t>
      </w:r>
    </w:p>
    <w:p w14:paraId="62BA99E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（本承诺书由项目人员签名，一式贰份。公司与项目人员各持壹份。）</w:t>
      </w:r>
    </w:p>
    <w:p w14:paraId="1AC3F82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6979E1B2">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3FF79A7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承诺人：</w:t>
      </w:r>
    </w:p>
    <w:p w14:paraId="0DB6C6A0">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highlight w:val="none"/>
        </w:rPr>
      </w:pPr>
      <w:r>
        <w:rPr>
          <w:rFonts w:hint="eastAsia" w:ascii="仿宋_GB2312" w:hAnsi="仿宋_GB2312" w:eastAsia="仿宋_GB2312" w:cs="仿宋_GB2312"/>
          <w:color w:val="auto"/>
          <w:sz w:val="28"/>
          <w:szCs w:val="28"/>
          <w:highlight w:val="none"/>
        </w:rPr>
        <w:t>承诺日期：</w:t>
      </w:r>
      <w:bookmarkEnd w:id="155"/>
      <w:bookmarkEnd w:id="156"/>
      <w:bookmarkEnd w:id="157"/>
      <w:bookmarkEnd w:id="158"/>
      <w:bookmarkEnd w:id="159"/>
    </w:p>
    <w:p w14:paraId="753611B7">
      <w:pPr>
        <w:rPr>
          <w:rFonts w:ascii="宋体" w:hAnsi="宋体" w:cs="宋体"/>
          <w:color w:val="000000" w:themeColor="text1"/>
          <w:szCs w:val="21"/>
          <w14:textFill>
            <w14:solidFill>
              <w14:schemeClr w14:val="tx1"/>
            </w14:solidFill>
          </w14:textFill>
        </w:rPr>
      </w:pPr>
    </w:p>
    <w:p w14:paraId="7ECA77B4">
      <w:pPr>
        <w:spacing w:after="60"/>
        <w:jc w:val="center"/>
        <w:outlineLvl w:val="0"/>
        <w:rPr>
          <w:rFonts w:hint="default" w:asciiTheme="minorHAnsi" w:hAnsiTheme="minorHAnsi" w:eastAsiaTheme="minorEastAsia" w:cstheme="minorBidi"/>
          <w:b w:val="0"/>
          <w:bCs w:val="0"/>
          <w:kern w:val="2"/>
          <w:sz w:val="32"/>
          <w:szCs w:val="32"/>
          <w:lang w:val="en-US" w:eastAsia="zh-CN" w:bidi="ar-SA"/>
        </w:rPr>
      </w:pPr>
      <w:r>
        <w:rPr>
          <w:rFonts w:hint="eastAsia" w:ascii="宋体" w:hAnsi="宋体" w:cs="宋体"/>
          <w:b w:val="0"/>
          <w:bCs w:val="0"/>
          <w:color w:val="000000" w:themeColor="text1"/>
          <w:sz w:val="32"/>
          <w:szCs w:val="32"/>
          <w14:textFill>
            <w14:solidFill>
              <w14:schemeClr w14:val="tx1"/>
            </w14:solidFill>
          </w14:textFill>
        </w:rPr>
        <w:t xml:space="preserve">     </w:t>
      </w:r>
      <w:bookmarkStart w:id="171" w:name="_Toc7020"/>
      <w:r>
        <w:rPr>
          <w:rFonts w:hint="eastAsia" w:ascii="宋体" w:hAnsi="宋体" w:cs="宋体"/>
          <w:b w:val="0"/>
          <w:bCs w:val="0"/>
          <w:color w:val="000000" w:themeColor="text1"/>
          <w:sz w:val="32"/>
          <w:szCs w:val="32"/>
          <w:lang w:val="en-US" w:eastAsia="zh-CN"/>
          <w14:textFill>
            <w14:solidFill>
              <w14:schemeClr w14:val="tx1"/>
            </w14:solidFill>
          </w14:textFill>
        </w:rPr>
        <w:t xml:space="preserve">第六章 </w:t>
      </w:r>
      <w:r>
        <w:rPr>
          <w:rFonts w:hint="eastAsia" w:cstheme="minorBidi"/>
          <w:b w:val="0"/>
          <w:bCs w:val="0"/>
          <w:kern w:val="2"/>
          <w:sz w:val="32"/>
          <w:szCs w:val="32"/>
          <w:lang w:val="en-US" w:eastAsia="zh-CN" w:bidi="ar-SA"/>
        </w:rPr>
        <w:t>综合评分表</w:t>
      </w:r>
      <w:bookmarkEnd w:id="171"/>
    </w:p>
    <w:tbl>
      <w:tblPr>
        <w:tblStyle w:val="17"/>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714"/>
        <w:gridCol w:w="7109"/>
        <w:gridCol w:w="802"/>
      </w:tblGrid>
      <w:tr w14:paraId="1511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395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评分项目</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6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评分因素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A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14:paraId="24BB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18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napToGrid w:val="0"/>
                <w:kern w:val="0"/>
                <w:sz w:val="21"/>
                <w:szCs w:val="21"/>
                <w:highlight w:val="none"/>
                <w:lang w:val="en-US" w:eastAsia="zh-CN" w:bidi="ar-SA"/>
              </w:rPr>
              <w:t>技术部分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7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29AE">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kern w:val="0"/>
                <w:sz w:val="21"/>
                <w:szCs w:val="21"/>
                <w:highlight w:val="none"/>
                <w:lang w:val="en-US" w:eastAsia="zh-CN" w:bidi="ar-SA"/>
              </w:rPr>
              <w:t xml:space="preserve">技术参数响应情况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rPr>
              <w:t>：</w:t>
            </w:r>
          </w:p>
          <w:p w14:paraId="5DD96384">
            <w:pPr>
              <w:pStyle w:val="5"/>
              <w:ind w:firstLine="0"/>
              <w:rPr>
                <w:rFonts w:hint="eastAsia" w:ascii="宋体" w:hAnsi="宋体" w:eastAsia="宋体" w:cs="宋体"/>
                <w:kern w:val="0"/>
                <w:szCs w:val="21"/>
                <w:highlight w:val="none"/>
              </w:rPr>
            </w:pPr>
            <w:r>
              <w:rPr>
                <w:rFonts w:hint="eastAsia" w:ascii="宋体" w:hAnsi="宋体" w:eastAsia="宋体" w:cs="宋体"/>
                <w:kern w:val="0"/>
                <w:szCs w:val="21"/>
                <w:highlight w:val="none"/>
              </w:rPr>
              <w:t>投标人应根据</w:t>
            </w:r>
            <w:r>
              <w:rPr>
                <w:rFonts w:hint="eastAsia" w:ascii="宋体" w:hAnsi="宋体" w:cs="宋体"/>
                <w:kern w:val="0"/>
                <w:szCs w:val="21"/>
                <w:highlight w:val="none"/>
                <w:lang w:eastAsia="zh-CN"/>
              </w:rPr>
              <w:t>“采购货物清单和技术要求”的</w:t>
            </w:r>
            <w:r>
              <w:rPr>
                <w:rFonts w:hint="eastAsia" w:ascii="宋体" w:hAnsi="宋体" w:eastAsia="宋体" w:cs="宋体"/>
                <w:kern w:val="0"/>
                <w:szCs w:val="21"/>
                <w:highlight w:val="none"/>
              </w:rPr>
              <w:t>所投产品</w:t>
            </w:r>
            <w:r>
              <w:rPr>
                <w:rFonts w:hint="eastAsia" w:ascii="宋体" w:hAnsi="宋体" w:cs="宋体"/>
                <w:kern w:val="0"/>
                <w:szCs w:val="21"/>
                <w:highlight w:val="none"/>
                <w:lang w:val="en-US" w:eastAsia="zh-CN"/>
              </w:rPr>
              <w:t>情况</w:t>
            </w:r>
            <w:r>
              <w:rPr>
                <w:rFonts w:hint="eastAsia" w:ascii="宋体" w:hAnsi="宋体" w:eastAsia="宋体" w:cs="宋体"/>
                <w:kern w:val="0"/>
                <w:szCs w:val="21"/>
                <w:highlight w:val="none"/>
              </w:rPr>
              <w:t>如实填写《技术规格</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主要需求</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偏离表》，评审委员会根据招标文件技术要求及参数响应情况进行评分。完全响应招标技术要求的</w:t>
            </w:r>
            <w:r>
              <w:rPr>
                <w:rFonts w:hint="eastAsia" w:ascii="宋体" w:hAnsi="宋体" w:eastAsia="宋体" w:cs="宋体"/>
                <w:kern w:val="0"/>
                <w:szCs w:val="21"/>
                <w:highlight w:val="none"/>
                <w:lang w:val="en-US" w:eastAsia="zh-CN"/>
              </w:rPr>
              <w:t>得</w:t>
            </w:r>
            <w:r>
              <w:rPr>
                <w:rFonts w:hint="eastAsia" w:ascii="宋体" w:hAnsi="宋体" w:eastAsia="宋体" w:cs="宋体"/>
                <w:kern w:val="0"/>
                <w:szCs w:val="21"/>
                <w:highlight w:val="none"/>
              </w:rPr>
              <w:t>满分，每负偏离一项扣</w:t>
            </w:r>
            <w:r>
              <w:rPr>
                <w:rFonts w:hint="eastAsia" w:ascii="宋体" w:hAnsi="宋体" w:cs="宋体"/>
                <w:kern w:val="0"/>
                <w:szCs w:val="21"/>
                <w:highlight w:val="none"/>
                <w:lang w:val="en-US" w:eastAsia="zh-CN"/>
              </w:rPr>
              <w:t>1</w:t>
            </w:r>
            <w:r>
              <w:rPr>
                <w:rFonts w:hint="eastAsia" w:ascii="宋体" w:hAnsi="宋体" w:eastAsia="宋体" w:cs="宋体"/>
                <w:kern w:val="0"/>
                <w:szCs w:val="21"/>
                <w:highlight w:val="none"/>
              </w:rPr>
              <w:t>分。</w:t>
            </w:r>
          </w:p>
          <w:p w14:paraId="2C32CBD8">
            <w:pPr>
              <w:numPr>
                <w:ilvl w:val="0"/>
                <w:numId w:val="0"/>
              </w:numPr>
              <w:wordWrap w:val="0"/>
              <w:snapToGrid w:val="0"/>
              <w:rPr>
                <w:rFonts w:hint="eastAsia" w:ascii="宋体" w:hAnsi="宋体" w:eastAsia="宋体" w:cs="宋体"/>
                <w:b/>
                <w:bCs/>
                <w:sz w:val="21"/>
                <w:szCs w:val="21"/>
                <w:highlight w:val="none"/>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二</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评审标准：</w:t>
            </w:r>
          </w:p>
          <w:p w14:paraId="67EA039F">
            <w:pPr>
              <w:pStyle w:val="5"/>
              <w:ind w:firstLine="0"/>
              <w:rPr>
                <w:rFonts w:hint="eastAsia" w:ascii="宋体" w:hAnsi="宋体" w:eastAsia="宋体" w:cs="宋体"/>
                <w:kern w:val="0"/>
                <w:szCs w:val="21"/>
                <w:highlight w:val="none"/>
              </w:rPr>
            </w:pPr>
            <w:r>
              <w:rPr>
                <w:rFonts w:hint="eastAsia" w:ascii="宋体" w:hAnsi="宋体" w:eastAsia="宋体" w:cs="宋体"/>
                <w:kern w:val="0"/>
                <w:szCs w:val="21"/>
                <w:highlight w:val="none"/>
              </w:rPr>
              <w:t>备注：</w:t>
            </w:r>
          </w:p>
          <w:p w14:paraId="3A1CDD50">
            <w:pPr>
              <w:pStyle w:val="5"/>
              <w:ind w:firstLine="0"/>
              <w:rPr>
                <w:rFonts w:ascii="宋体" w:hAnsi="宋体" w:cs="宋体"/>
                <w:snapToGrid w:val="0"/>
                <w:kern w:val="0"/>
                <w:szCs w:val="21"/>
                <w:highlight w:val="none"/>
              </w:rPr>
            </w:pPr>
            <w:r>
              <w:rPr>
                <w:rFonts w:hint="eastAsia" w:ascii="宋体" w:hAnsi="宋体" w:cs="宋体"/>
                <w:kern w:val="0"/>
                <w:szCs w:val="21"/>
                <w:highlight w:val="none"/>
              </w:rPr>
              <w:t>1、投标人需提供</w:t>
            </w:r>
            <w:r>
              <w:rPr>
                <w:rFonts w:hint="eastAsia" w:ascii="宋体" w:hAnsi="宋体" w:cs="宋体"/>
                <w:kern w:val="0"/>
                <w:szCs w:val="21"/>
                <w:highlight w:val="none"/>
                <w:lang w:val="en-US" w:eastAsia="zh-CN"/>
              </w:rPr>
              <w:t>产品</w:t>
            </w:r>
            <w:r>
              <w:rPr>
                <w:rFonts w:hint="eastAsia" w:ascii="宋体" w:hAnsi="宋体" w:cs="宋体"/>
                <w:snapToGrid w:val="0"/>
                <w:kern w:val="0"/>
                <w:szCs w:val="21"/>
                <w:highlight w:val="none"/>
              </w:rPr>
              <w:t>相关证明材料（技术白皮书或制造商原厂彩页或产品说明书或第三方出具的检测报告等，</w:t>
            </w:r>
            <w:r>
              <w:rPr>
                <w:rFonts w:hint="eastAsia" w:ascii="宋体" w:hAnsi="宋体" w:cs="宋体"/>
                <w:kern w:val="0"/>
                <w:szCs w:val="21"/>
                <w:highlight w:val="none"/>
              </w:rPr>
              <w:t>如厂家的产品使用说明书为英文版，请同时提供中文版</w:t>
            </w:r>
            <w:r>
              <w:rPr>
                <w:rFonts w:hint="eastAsia" w:ascii="宋体" w:hAnsi="宋体" w:cs="宋体"/>
                <w:snapToGrid w:val="0"/>
                <w:kern w:val="0"/>
                <w:szCs w:val="21"/>
                <w:highlight w:val="none"/>
              </w:rPr>
              <w:t>），</w:t>
            </w:r>
            <w:r>
              <w:rPr>
                <w:rFonts w:hint="eastAsia" w:ascii="宋体" w:hAnsi="宋体" w:cs="宋体"/>
                <w:kern w:val="0"/>
                <w:szCs w:val="21"/>
                <w:highlight w:val="none"/>
              </w:rPr>
              <w:t>否则评标委员会有权视相应技术参数响应不符合招标要求</w:t>
            </w:r>
            <w:r>
              <w:rPr>
                <w:rFonts w:hint="eastAsia" w:ascii="宋体" w:hAnsi="宋体" w:cs="宋体"/>
                <w:snapToGrid w:val="0"/>
                <w:kern w:val="0"/>
                <w:szCs w:val="21"/>
                <w:highlight w:val="none"/>
              </w:rPr>
              <w:t>。</w:t>
            </w:r>
          </w:p>
          <w:p w14:paraId="4DCE6FE4">
            <w:pPr>
              <w:pStyle w:val="5"/>
              <w:ind w:firstLine="0"/>
              <w:rPr>
                <w:rFonts w:ascii="宋体" w:hAnsi="宋体" w:cs="宋体"/>
                <w:snapToGrid w:val="0"/>
                <w:kern w:val="0"/>
                <w:szCs w:val="21"/>
                <w:highlight w:val="none"/>
              </w:rPr>
            </w:pPr>
            <w:r>
              <w:rPr>
                <w:rFonts w:hint="eastAsia" w:ascii="宋体" w:hAnsi="宋体" w:cs="宋体"/>
                <w:snapToGrid w:val="0"/>
                <w:kern w:val="0"/>
                <w:szCs w:val="21"/>
                <w:highlight w:val="none"/>
              </w:rPr>
              <w:t>2、注明证明材料在投标文件中的具体位置，如投标人不按照招标文件要求放置证明材料，</w:t>
            </w:r>
            <w:r>
              <w:rPr>
                <w:rFonts w:hint="eastAsia" w:ascii="宋体" w:hAnsi="宋体" w:cs="宋体"/>
                <w:kern w:val="0"/>
                <w:szCs w:val="21"/>
                <w:highlight w:val="none"/>
              </w:rPr>
              <w:t>评标委员会有权视相应技术参数响应不符合招标要求</w:t>
            </w:r>
            <w:r>
              <w:rPr>
                <w:rFonts w:hint="eastAsia" w:ascii="宋体" w:hAnsi="宋体" w:cs="宋体"/>
                <w:snapToGrid w:val="0"/>
                <w:kern w:val="0"/>
                <w:szCs w:val="21"/>
                <w:highlight w:val="none"/>
              </w:rPr>
              <w:t>，按负偏离进行扣分。</w:t>
            </w:r>
          </w:p>
          <w:p w14:paraId="57603C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snapToGrid w:val="0"/>
                <w:kern w:val="0"/>
                <w:szCs w:val="21"/>
                <w:highlight w:val="none"/>
              </w:rPr>
              <w:t>3、提供的证明资料显示不符合招标文件要求、模糊不清无法判断或未显示是否满足招标文件参数，且投标人偏离程度响应为“无偏离或正偏离”，</w:t>
            </w:r>
            <w:r>
              <w:rPr>
                <w:rFonts w:hint="eastAsia" w:ascii="宋体" w:hAnsi="宋体" w:cs="宋体"/>
                <w:kern w:val="0"/>
                <w:szCs w:val="21"/>
                <w:highlight w:val="none"/>
              </w:rPr>
              <w:t>评标委员会有权视相应技术参数响应不符合招标要求</w:t>
            </w:r>
            <w:r>
              <w:rPr>
                <w:rFonts w:hint="eastAsia" w:ascii="宋体" w:hAnsi="宋体" w:cs="宋体"/>
                <w:snapToGrid w:val="0"/>
                <w:kern w:val="0"/>
                <w:szCs w:val="21"/>
                <w:highlight w:val="none"/>
              </w:rPr>
              <w:t>，按负偏离进行扣分。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C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DA2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724F">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C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2D66">
            <w:pPr>
              <w:numPr>
                <w:ilvl w:val="0"/>
                <w:numId w:val="0"/>
              </w:numPr>
              <w:wordWrap w:val="0"/>
              <w:snapToGrid w:val="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napToGrid w:val="0"/>
                <w:kern w:val="0"/>
                <w:sz w:val="21"/>
                <w:szCs w:val="21"/>
                <w:highlight w:val="none"/>
                <w:lang w:val="en-US" w:eastAsia="zh-CN" w:bidi="ar-SA"/>
              </w:rPr>
              <w:t>配送方案</w:t>
            </w:r>
            <w:r>
              <w:rPr>
                <w:rFonts w:hint="eastAsia" w:ascii="宋体" w:hAnsi="宋体" w:eastAsia="宋体" w:cs="宋体"/>
                <w:i w:val="0"/>
                <w:iCs w:val="0"/>
                <w:color w:val="000000"/>
                <w:kern w:val="0"/>
                <w:sz w:val="22"/>
                <w:szCs w:val="22"/>
                <w:u w:val="none"/>
                <w:lang w:val="en-US" w:eastAsia="zh-CN" w:bidi="ar"/>
              </w:rPr>
              <w:t xml:space="preserve">                                                  </w:t>
            </w:r>
          </w:p>
          <w:p w14:paraId="5E59CE18">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rPr>
              <w:t>：</w:t>
            </w:r>
          </w:p>
          <w:p w14:paraId="2F7D26C9">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评审委员会根据投标文件配送方案进行评审：</w:t>
            </w:r>
          </w:p>
          <w:p w14:paraId="045328C6">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配送时效保障方案</w:t>
            </w:r>
            <w:r>
              <w:rPr>
                <w:rFonts w:hint="eastAsia" w:asciiTheme="minorEastAsia" w:hAnsiTheme="minorEastAsia" w:eastAsiaTheme="minorEastAsia" w:cstheme="minorEastAsia"/>
                <w:color w:val="auto"/>
                <w:kern w:val="0"/>
                <w:szCs w:val="21"/>
                <w:highlight w:val="none"/>
                <w:lang w:eastAsia="zh-CN"/>
              </w:rPr>
              <w:t>；</w:t>
            </w:r>
          </w:p>
          <w:p w14:paraId="64F7B93B">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eastAsia="zh-CN"/>
              </w:rPr>
              <w:t>；</w:t>
            </w:r>
          </w:p>
          <w:p w14:paraId="4CEE106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配送</w:t>
            </w:r>
            <w:r>
              <w:rPr>
                <w:rFonts w:hint="eastAsia" w:asciiTheme="minorEastAsia" w:hAnsiTheme="minorEastAsia" w:eastAsiaTheme="minorEastAsia" w:cstheme="minorEastAsia"/>
                <w:color w:val="auto"/>
                <w:kern w:val="0"/>
                <w:szCs w:val="21"/>
                <w:highlight w:val="none"/>
              </w:rPr>
              <w:t>人员</w:t>
            </w:r>
            <w:r>
              <w:rPr>
                <w:rFonts w:hint="eastAsia" w:asciiTheme="minorEastAsia" w:hAnsiTheme="minorEastAsia" w:eastAsiaTheme="minorEastAsia" w:cstheme="minorEastAsia"/>
                <w:color w:val="auto"/>
                <w:kern w:val="0"/>
                <w:szCs w:val="21"/>
                <w:highlight w:val="none"/>
                <w:lang w:val="en-US" w:eastAsia="zh-CN"/>
              </w:rPr>
              <w:t>管理制度</w:t>
            </w:r>
            <w:r>
              <w:rPr>
                <w:rFonts w:hint="eastAsia" w:asciiTheme="minorEastAsia" w:hAnsiTheme="minorEastAsia" w:eastAsiaTheme="minorEastAsia" w:cstheme="minorEastAsia"/>
                <w:color w:val="auto"/>
                <w:kern w:val="0"/>
                <w:szCs w:val="21"/>
                <w:highlight w:val="none"/>
                <w:lang w:eastAsia="zh-CN"/>
              </w:rPr>
              <w:t>。</w:t>
            </w:r>
          </w:p>
          <w:p w14:paraId="34B2ECA1">
            <w:pPr>
              <w:numPr>
                <w:ilvl w:val="0"/>
                <w:numId w:val="0"/>
              </w:numPr>
              <w:wordWrap w:val="0"/>
              <w:snapToGrid w:val="0"/>
              <w:rPr>
                <w:rFonts w:hint="eastAsia" w:ascii="宋体" w:hAnsi="宋体" w:eastAsia="宋体" w:cs="宋体"/>
                <w:b/>
                <w:bCs/>
                <w:sz w:val="21"/>
                <w:szCs w:val="21"/>
                <w:highlight w:val="none"/>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二</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评审标准：</w:t>
            </w:r>
          </w:p>
          <w:p w14:paraId="7EE21596">
            <w:pPr>
              <w:pStyle w:val="5"/>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kern w:val="0"/>
                <w:szCs w:val="21"/>
                <w:highlight w:val="none"/>
              </w:rPr>
              <w:t>配送方案</w:t>
            </w:r>
            <w:r>
              <w:rPr>
                <w:rFonts w:hint="eastAsia" w:asciiTheme="minorEastAsia" w:hAnsiTheme="minorEastAsia" w:eastAsiaTheme="minorEastAsia" w:cstheme="minorEastAsia"/>
                <w:color w:val="auto"/>
                <w:highlight w:val="none"/>
                <w:lang w:val="en-US" w:eastAsia="zh-CN"/>
              </w:rPr>
              <w:t>满足</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en-US" w:eastAsia="zh-CN"/>
              </w:rPr>
              <w:t>一点可得2分</w:t>
            </w:r>
            <w:r>
              <w:rPr>
                <w:rFonts w:hint="eastAsia" w:asciiTheme="minorEastAsia" w:hAnsiTheme="minorEastAsia" w:eastAsiaTheme="minorEastAsia" w:cstheme="minorEastAsia"/>
                <w:color w:val="auto"/>
                <w:highlight w:val="none"/>
              </w:rPr>
              <w:t>，全部满足得</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分，其余情况不得分。</w:t>
            </w:r>
          </w:p>
          <w:p w14:paraId="5AB5F045">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在此基础上，评审委员会进行进一步评审：</w:t>
            </w:r>
          </w:p>
          <w:p w14:paraId="58B7E258">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可实施性强，配送人员管理制度全面，</w:t>
            </w:r>
            <w:r>
              <w:rPr>
                <w:rFonts w:hint="eastAsia" w:asciiTheme="minorEastAsia" w:hAnsiTheme="minorEastAsia" w:eastAsiaTheme="minorEastAsia" w:cstheme="minorEastAsia"/>
                <w:color w:val="auto"/>
                <w:kern w:val="0"/>
                <w:szCs w:val="21"/>
                <w:highlight w:val="none"/>
              </w:rPr>
              <w:t>评价为优</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加4</w:t>
            </w:r>
            <w:r>
              <w:rPr>
                <w:rFonts w:hint="eastAsia" w:asciiTheme="minorEastAsia" w:hAnsiTheme="minorEastAsia" w:eastAsiaTheme="minorEastAsia" w:cstheme="minorEastAsia"/>
                <w:color w:val="auto"/>
                <w:kern w:val="0"/>
                <w:szCs w:val="21"/>
                <w:highlight w:val="none"/>
              </w:rPr>
              <w:t>分；</w:t>
            </w:r>
          </w:p>
          <w:p w14:paraId="1CC0CCCF">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较合理，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可实施性较强，配送人员管理制度较全面，</w:t>
            </w:r>
            <w:r>
              <w:rPr>
                <w:rFonts w:hint="eastAsia" w:asciiTheme="minorEastAsia" w:hAnsiTheme="minorEastAsia" w:eastAsiaTheme="minorEastAsia" w:cstheme="minorEastAsia"/>
                <w:color w:val="auto"/>
                <w:kern w:val="0"/>
                <w:szCs w:val="21"/>
                <w:highlight w:val="none"/>
              </w:rPr>
              <w:t>评价为良</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加2</w:t>
            </w:r>
            <w:r>
              <w:rPr>
                <w:rFonts w:hint="eastAsia" w:asciiTheme="minorEastAsia" w:hAnsiTheme="minorEastAsia" w:eastAsiaTheme="minorEastAsia" w:cstheme="minorEastAsia"/>
                <w:color w:val="auto"/>
                <w:kern w:val="0"/>
                <w:szCs w:val="21"/>
                <w:highlight w:val="none"/>
              </w:rPr>
              <w:t>分；</w:t>
            </w:r>
          </w:p>
          <w:p w14:paraId="40D3D5D2">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基本合理，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可实施性一般，配送人员管理制度基本全面，</w:t>
            </w:r>
            <w:r>
              <w:rPr>
                <w:rFonts w:hint="eastAsia" w:asciiTheme="minorEastAsia" w:hAnsiTheme="minorEastAsia" w:eastAsiaTheme="minorEastAsia" w:cstheme="minorEastAsia"/>
                <w:color w:val="auto"/>
                <w:kern w:val="0"/>
                <w:szCs w:val="21"/>
                <w:highlight w:val="none"/>
              </w:rPr>
              <w:t>评价为中</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加1</w:t>
            </w:r>
            <w:r>
              <w:rPr>
                <w:rFonts w:hint="eastAsia" w:asciiTheme="minorEastAsia" w:hAnsiTheme="minorEastAsia" w:eastAsiaTheme="minorEastAsia" w:cstheme="minorEastAsia"/>
                <w:color w:val="auto"/>
                <w:kern w:val="0"/>
                <w:szCs w:val="21"/>
                <w:highlight w:val="none"/>
              </w:rPr>
              <w:t>分；</w:t>
            </w:r>
          </w:p>
          <w:p w14:paraId="2E50CDD1">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不合理，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可实施性不强，配送人员管理制度不全面，</w:t>
            </w:r>
            <w:r>
              <w:rPr>
                <w:rFonts w:hint="eastAsia" w:asciiTheme="minorEastAsia" w:hAnsiTheme="minorEastAsia" w:eastAsiaTheme="minorEastAsia" w:cstheme="minorEastAsia"/>
                <w:color w:val="auto"/>
                <w:kern w:val="0"/>
                <w:szCs w:val="21"/>
                <w:highlight w:val="none"/>
              </w:rPr>
              <w:t>评价为差</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不得</w:t>
            </w:r>
            <w:r>
              <w:rPr>
                <w:rFonts w:hint="eastAsia" w:asciiTheme="minorEastAsia" w:hAnsiTheme="minorEastAsia" w:eastAsiaTheme="minorEastAsia" w:cstheme="minorEastAsia"/>
                <w:color w:val="auto"/>
                <w:kern w:val="0"/>
                <w:szCs w:val="21"/>
                <w:highlight w:val="none"/>
              </w:rPr>
              <w:t>分；</w:t>
            </w:r>
          </w:p>
          <w:p w14:paraId="76AAB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E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F66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7DBE0">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A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A301">
            <w:pPr>
              <w:numPr>
                <w:ilvl w:val="0"/>
                <w:numId w:val="0"/>
              </w:numPr>
              <w:wordWrap w:val="0"/>
              <w:snapToGrid w:val="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napToGrid w:val="0"/>
                <w:kern w:val="0"/>
                <w:sz w:val="21"/>
                <w:szCs w:val="21"/>
                <w:highlight w:val="none"/>
                <w:lang w:val="en-US" w:eastAsia="zh-CN" w:bidi="ar-SA"/>
              </w:rPr>
              <w:t>售后服务方案</w:t>
            </w:r>
            <w:r>
              <w:rPr>
                <w:rFonts w:hint="eastAsia" w:ascii="宋体" w:hAnsi="宋体" w:eastAsia="宋体" w:cs="宋体"/>
                <w:i w:val="0"/>
                <w:iCs w:val="0"/>
                <w:color w:val="000000"/>
                <w:kern w:val="0"/>
                <w:sz w:val="22"/>
                <w:szCs w:val="22"/>
                <w:u w:val="none"/>
                <w:lang w:val="en-US" w:eastAsia="zh-CN" w:bidi="ar"/>
              </w:rPr>
              <w:t xml:space="preserve">                                              </w:t>
            </w:r>
          </w:p>
          <w:p w14:paraId="530B1856">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rPr>
              <w:t>：</w:t>
            </w:r>
          </w:p>
          <w:p w14:paraId="7CEA8024">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评审委员会根据</w:t>
            </w:r>
            <w:r>
              <w:rPr>
                <w:rFonts w:hint="eastAsia" w:asciiTheme="minorEastAsia" w:hAnsiTheme="minorEastAsia" w:eastAsiaTheme="minorEastAsia" w:cstheme="minorEastAsia"/>
                <w:color w:val="auto"/>
                <w:kern w:val="0"/>
                <w:szCs w:val="21"/>
                <w:highlight w:val="none"/>
                <w:lang w:val="en-US" w:eastAsia="zh-CN"/>
              </w:rPr>
              <w:t>投标人递交的</w:t>
            </w:r>
            <w:r>
              <w:rPr>
                <w:rFonts w:hint="eastAsia" w:asciiTheme="minorEastAsia" w:hAnsiTheme="minorEastAsia" w:eastAsiaTheme="minorEastAsia" w:cstheme="minorEastAsia"/>
                <w:color w:val="auto"/>
                <w:kern w:val="0"/>
                <w:szCs w:val="21"/>
                <w:highlight w:val="none"/>
              </w:rPr>
              <w:t>投标文件售后服务方案进行评审</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内容包含但不限于</w:t>
            </w:r>
            <w:r>
              <w:rPr>
                <w:rFonts w:hint="eastAsia" w:asciiTheme="minorEastAsia" w:hAnsiTheme="minorEastAsia" w:eastAsiaTheme="minorEastAsia" w:cstheme="minorEastAsia"/>
                <w:color w:val="auto"/>
                <w:kern w:val="0"/>
                <w:szCs w:val="21"/>
                <w:highlight w:val="none"/>
              </w:rPr>
              <w:t>：</w:t>
            </w:r>
          </w:p>
          <w:p w14:paraId="33DC311C">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eastAsia="zh-CN"/>
              </w:rPr>
              <w:t>；</w:t>
            </w:r>
          </w:p>
          <w:p w14:paraId="761C1F5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应急供货和</w:t>
            </w:r>
            <w:r>
              <w:rPr>
                <w:rFonts w:hint="eastAsia" w:asciiTheme="minorEastAsia" w:hAnsiTheme="minorEastAsia" w:eastAsiaTheme="minorEastAsia" w:cstheme="minorEastAsia"/>
                <w:color w:val="auto"/>
                <w:kern w:val="0"/>
                <w:szCs w:val="21"/>
                <w:highlight w:val="none"/>
                <w:lang w:val="en-US" w:eastAsia="zh-CN"/>
              </w:rPr>
              <w:t>产品</w:t>
            </w:r>
            <w:r>
              <w:rPr>
                <w:rFonts w:hint="eastAsia" w:asciiTheme="minorEastAsia" w:hAnsiTheme="minorEastAsia" w:eastAsiaTheme="minorEastAsia" w:cstheme="minorEastAsia"/>
                <w:color w:val="auto"/>
                <w:kern w:val="0"/>
                <w:szCs w:val="21"/>
                <w:highlight w:val="none"/>
              </w:rPr>
              <w:t>退货方案</w:t>
            </w:r>
            <w:r>
              <w:rPr>
                <w:rFonts w:hint="eastAsia" w:asciiTheme="minorEastAsia" w:hAnsiTheme="minorEastAsia" w:eastAsiaTheme="minorEastAsia" w:cstheme="minorEastAsia"/>
                <w:color w:val="auto"/>
                <w:kern w:val="0"/>
                <w:szCs w:val="21"/>
                <w:highlight w:val="none"/>
                <w:lang w:eastAsia="zh-CN"/>
              </w:rPr>
              <w:t>；</w:t>
            </w:r>
          </w:p>
          <w:p w14:paraId="2D6CFD4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基于招标文件中的售后服务要求进行合理预判，并承诺</w:t>
            </w:r>
            <w:r>
              <w:rPr>
                <w:rFonts w:hint="eastAsia" w:asciiTheme="minorEastAsia" w:hAnsiTheme="minorEastAsia" w:eastAsiaTheme="minorEastAsia" w:cstheme="minorEastAsia"/>
                <w:color w:val="auto"/>
                <w:kern w:val="0"/>
                <w:szCs w:val="21"/>
                <w:highlight w:val="none"/>
                <w:lang w:eastAsia="zh-CN"/>
              </w:rPr>
              <w:t>）。</w:t>
            </w:r>
          </w:p>
          <w:p w14:paraId="4F7C0F29">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cs="宋体"/>
                <w:b/>
                <w:bCs/>
                <w:sz w:val="21"/>
                <w:szCs w:val="21"/>
                <w:highlight w:val="none"/>
                <w:lang w:val="en-US" w:eastAsia="zh-CN"/>
              </w:rPr>
              <w:t>二</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评审标准：</w:t>
            </w:r>
          </w:p>
          <w:p w14:paraId="18FF519B">
            <w:pPr>
              <w:pStyle w:val="5"/>
              <w:ind w:firstLine="0" w:firstLineChars="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kern w:val="0"/>
                <w:szCs w:val="21"/>
                <w:highlight w:val="none"/>
              </w:rPr>
              <w:t>售后服务方案</w:t>
            </w:r>
            <w:r>
              <w:rPr>
                <w:rFonts w:hint="eastAsia" w:asciiTheme="minorEastAsia" w:hAnsiTheme="minorEastAsia" w:eastAsiaTheme="minorEastAsia" w:cstheme="minorEastAsia"/>
                <w:color w:val="auto"/>
                <w:highlight w:val="none"/>
                <w:lang w:val="en-US" w:eastAsia="zh-CN"/>
              </w:rPr>
              <w:t>满足</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en-US" w:eastAsia="zh-CN"/>
              </w:rPr>
              <w:t>一点可得2分</w:t>
            </w:r>
            <w:r>
              <w:rPr>
                <w:rFonts w:hint="eastAsia" w:asciiTheme="minorEastAsia" w:hAnsiTheme="minorEastAsia" w:eastAsiaTheme="minorEastAsia" w:cstheme="minorEastAsia"/>
                <w:color w:val="auto"/>
                <w:highlight w:val="none"/>
              </w:rPr>
              <w:t>，全部满足得</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分，其余情况不得分。</w:t>
            </w:r>
          </w:p>
          <w:p w14:paraId="17241857">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在此基础上，评审委员会进行进一步评审：</w:t>
            </w:r>
          </w:p>
          <w:p w14:paraId="6CA0F33D">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可实施性强，</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全面，充分考虑突发情况的，</w:t>
            </w:r>
            <w:r>
              <w:rPr>
                <w:rFonts w:hint="eastAsia" w:asciiTheme="minorEastAsia" w:hAnsiTheme="minorEastAsia" w:eastAsiaTheme="minorEastAsia" w:cstheme="minorEastAsia"/>
                <w:color w:val="auto"/>
                <w:kern w:val="0"/>
                <w:szCs w:val="21"/>
                <w:highlight w:val="none"/>
              </w:rPr>
              <w:t>评价为优</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w:t>
            </w:r>
            <w:r>
              <w:rPr>
                <w:rFonts w:hint="eastAsia" w:asciiTheme="minorEastAsia" w:hAnsi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分；</w:t>
            </w:r>
          </w:p>
          <w:p w14:paraId="64360891">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较合理，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可实施性较强，</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较全面，较充分考虑突发情况的，</w:t>
            </w:r>
            <w:r>
              <w:rPr>
                <w:rFonts w:hint="eastAsia" w:asciiTheme="minorEastAsia" w:hAnsiTheme="minorEastAsia" w:eastAsiaTheme="minorEastAsia" w:cstheme="minorEastAsia"/>
                <w:color w:val="auto"/>
                <w:kern w:val="0"/>
                <w:szCs w:val="21"/>
                <w:highlight w:val="none"/>
              </w:rPr>
              <w:t>评价为良</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w:t>
            </w:r>
            <w:r>
              <w:rPr>
                <w:rFonts w:hint="eastAsia" w:asciiTheme="minorEastAsia" w:hAnsi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p>
          <w:p w14:paraId="56A629E8">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基本合理，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可实施性一般，</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基本全面，基本考虑突发情况的，</w:t>
            </w:r>
            <w:r>
              <w:rPr>
                <w:rFonts w:hint="eastAsia" w:asciiTheme="minorEastAsia" w:hAnsiTheme="minorEastAsia" w:eastAsiaTheme="minorEastAsia" w:cstheme="minorEastAsia"/>
                <w:color w:val="auto"/>
                <w:kern w:val="0"/>
                <w:szCs w:val="21"/>
                <w:highlight w:val="none"/>
              </w:rPr>
              <w:t>评价为中</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w:t>
            </w:r>
            <w:r>
              <w:rPr>
                <w:rFonts w:hint="eastAsia" w:asciiTheme="minorEastAsia" w:hAnsi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分；</w:t>
            </w:r>
          </w:p>
          <w:p w14:paraId="02EDA099">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val="en-US" w:eastAsia="zh-CN"/>
              </w:rPr>
              <w:t>（4）售后服务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不合理，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可实施性不强，</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不全面，没有考虑突发情况的，</w:t>
            </w:r>
            <w:r>
              <w:rPr>
                <w:rFonts w:hint="eastAsia" w:asciiTheme="minorEastAsia" w:hAnsiTheme="minorEastAsia" w:eastAsiaTheme="minorEastAsia" w:cstheme="minorEastAsia"/>
                <w:color w:val="auto"/>
                <w:kern w:val="0"/>
                <w:szCs w:val="21"/>
                <w:highlight w:val="none"/>
              </w:rPr>
              <w:t>评价为差</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不得</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Cs w:val="21"/>
                <w:highlight w:val="none"/>
                <w:lang w:eastAsia="zh-CN"/>
              </w:rPr>
              <w:t>。</w:t>
            </w:r>
          </w:p>
          <w:p w14:paraId="65B07B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E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51A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4FDA">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7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17E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left"/>
              <w:textAlignment w:val="auto"/>
              <w:rPr>
                <w:rFonts w:hint="eastAsia" w:ascii="宋体" w:hAnsi="宋体" w:eastAsia="宋体" w:cs="宋体"/>
                <w:sz w:val="21"/>
                <w:szCs w:val="21"/>
                <w:highlight w:val="none"/>
              </w:rPr>
            </w:pPr>
            <w:r>
              <w:rPr>
                <w:rFonts w:hint="eastAsia" w:cs="宋体"/>
                <w:color w:val="000000"/>
                <w:sz w:val="21"/>
                <w:szCs w:val="21"/>
                <w:highlight w:val="none"/>
                <w:lang w:val="en-US" w:eastAsia="zh-CN"/>
              </w:rPr>
              <w:t>样品</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b/>
                <w:bCs/>
                <w:color w:val="000000"/>
                <w:sz w:val="21"/>
                <w:szCs w:val="21"/>
                <w:highlight w:val="none"/>
              </w:rPr>
              <w:t>（一）评</w:t>
            </w:r>
            <w:r>
              <w:rPr>
                <w:rFonts w:hint="eastAsia" w:eastAsia="宋体" w:cs="宋体"/>
                <w:b/>
                <w:bCs/>
                <w:color w:val="000000"/>
                <w:sz w:val="21"/>
                <w:szCs w:val="21"/>
                <w:highlight w:val="none"/>
                <w:lang w:val="en-US" w:eastAsia="zh-CN"/>
              </w:rPr>
              <w:t>审要求</w:t>
            </w:r>
            <w:r>
              <w:rPr>
                <w:rFonts w:hint="eastAsia" w:ascii="宋体" w:hAnsi="宋体" w:eastAsia="宋体" w:cs="宋体"/>
                <w:b/>
                <w:bCs/>
                <w:color w:val="000000"/>
                <w:sz w:val="21"/>
                <w:szCs w:val="21"/>
                <w:highlight w:val="none"/>
              </w:rPr>
              <w:t>：</w:t>
            </w:r>
          </w:p>
          <w:p w14:paraId="1217827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投标人根据</w:t>
            </w:r>
            <w:r>
              <w:rPr>
                <w:rFonts w:hint="eastAsia" w:eastAsia="宋体" w:cs="宋体"/>
                <w:color w:val="000000"/>
                <w:sz w:val="21"/>
                <w:szCs w:val="21"/>
                <w:highlight w:val="none"/>
                <w:lang w:val="en-US" w:eastAsia="zh-CN"/>
              </w:rPr>
              <w:t>货品清单</w:t>
            </w:r>
            <w:r>
              <w:rPr>
                <w:rFonts w:hint="eastAsia" w:ascii="宋体" w:hAnsi="宋体" w:eastAsia="宋体" w:cs="宋体"/>
                <w:color w:val="000000"/>
                <w:sz w:val="21"/>
                <w:szCs w:val="21"/>
                <w:highlight w:val="none"/>
              </w:rPr>
              <w:t>提供样品</w:t>
            </w:r>
            <w:r>
              <w:rPr>
                <w:rFonts w:hint="eastAsia" w:cs="宋体"/>
                <w:color w:val="000000"/>
                <w:sz w:val="21"/>
                <w:szCs w:val="21"/>
                <w:highlight w:val="none"/>
                <w:lang w:eastAsia="zh-CN"/>
              </w:rPr>
              <w:t>，</w:t>
            </w:r>
            <w:r>
              <w:rPr>
                <w:rFonts w:hint="eastAsia" w:cs="宋体"/>
                <w:color w:val="000000"/>
                <w:sz w:val="21"/>
                <w:szCs w:val="21"/>
                <w:highlight w:val="none"/>
                <w:lang w:val="en-US" w:eastAsia="zh-CN"/>
              </w:rPr>
              <w:t>评审专家根据样品情况进行评审。</w:t>
            </w:r>
          </w:p>
          <w:p w14:paraId="1D61EEAA">
            <w:pPr>
              <w:pStyle w:val="15"/>
              <w:keepNext w:val="0"/>
              <w:keepLines w:val="0"/>
              <w:pageBreakBefore w:val="0"/>
              <w:widowControl/>
              <w:numPr>
                <w:ilvl w:val="0"/>
                <w:numId w:val="24"/>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w:t>
            </w:r>
            <w:r>
              <w:rPr>
                <w:rFonts w:hint="eastAsia" w:eastAsia="宋体" w:cs="宋体"/>
                <w:b/>
                <w:bCs/>
                <w:color w:val="000000"/>
                <w:sz w:val="21"/>
                <w:szCs w:val="21"/>
                <w:highlight w:val="none"/>
                <w:lang w:val="en-US" w:eastAsia="zh-CN"/>
              </w:rPr>
              <w:t>审</w:t>
            </w:r>
            <w:r>
              <w:rPr>
                <w:rFonts w:hint="eastAsia" w:cs="宋体"/>
                <w:b/>
                <w:bCs/>
                <w:color w:val="000000"/>
                <w:sz w:val="21"/>
                <w:szCs w:val="21"/>
                <w:highlight w:val="none"/>
                <w:lang w:val="en-US" w:eastAsia="zh-CN"/>
              </w:rPr>
              <w:t>标准</w:t>
            </w:r>
            <w:r>
              <w:rPr>
                <w:rFonts w:hint="eastAsia" w:ascii="宋体" w:hAnsi="宋体" w:eastAsia="宋体" w:cs="宋体"/>
                <w:b/>
                <w:bCs/>
                <w:color w:val="000000"/>
                <w:sz w:val="21"/>
                <w:szCs w:val="21"/>
                <w:highlight w:val="none"/>
              </w:rPr>
              <w:t>：</w:t>
            </w:r>
          </w:p>
          <w:p w14:paraId="7074E742">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val="en-US" w:eastAsia="zh-CN"/>
              </w:rPr>
              <w:t>1、投标人提供样品得6分</w:t>
            </w:r>
            <w:r>
              <w:rPr>
                <w:rFonts w:hint="eastAsia" w:ascii="宋体" w:hAnsi="宋体" w:eastAsia="宋体" w:cs="宋体"/>
                <w:color w:val="000000"/>
                <w:sz w:val="21"/>
                <w:szCs w:val="21"/>
                <w:highlight w:val="none"/>
                <w:lang w:val="en-US" w:eastAsia="zh-CN"/>
              </w:rPr>
              <w:t>，</w:t>
            </w:r>
            <w:r>
              <w:rPr>
                <w:rFonts w:hint="eastAsia" w:cs="宋体"/>
                <w:color w:val="000000"/>
                <w:sz w:val="21"/>
                <w:szCs w:val="21"/>
                <w:highlight w:val="none"/>
                <w:lang w:val="en-US" w:eastAsia="zh-CN"/>
              </w:rPr>
              <w:t>未</w:t>
            </w:r>
            <w:r>
              <w:rPr>
                <w:rFonts w:hint="eastAsia" w:ascii="宋体" w:hAnsi="宋体" w:eastAsia="宋体" w:cs="宋体"/>
                <w:color w:val="000000"/>
                <w:sz w:val="21"/>
                <w:szCs w:val="21"/>
                <w:highlight w:val="none"/>
              </w:rPr>
              <w:t>提供</w:t>
            </w:r>
            <w:r>
              <w:rPr>
                <w:rFonts w:hint="eastAsia" w:cs="宋体"/>
                <w:color w:val="000000"/>
                <w:sz w:val="21"/>
                <w:szCs w:val="21"/>
                <w:highlight w:val="none"/>
                <w:lang w:val="en-US" w:eastAsia="zh-CN"/>
              </w:rPr>
              <w:t>样品的本项</w:t>
            </w:r>
            <w:r>
              <w:rPr>
                <w:rFonts w:hint="eastAsia" w:ascii="宋体" w:hAnsi="宋体" w:eastAsia="宋体" w:cs="宋体"/>
                <w:color w:val="000000"/>
                <w:sz w:val="21"/>
                <w:szCs w:val="21"/>
                <w:highlight w:val="none"/>
              </w:rPr>
              <w:t>不得分</w:t>
            </w:r>
            <w:r>
              <w:rPr>
                <w:rFonts w:hint="eastAsia" w:ascii="宋体" w:hAnsi="宋体" w:eastAsia="宋体" w:cs="宋体"/>
                <w:color w:val="000000"/>
                <w:sz w:val="21"/>
                <w:szCs w:val="21"/>
                <w:highlight w:val="none"/>
                <w:lang w:eastAsia="zh-CN"/>
              </w:rPr>
              <w:t>。</w:t>
            </w:r>
          </w:p>
          <w:p w14:paraId="629D20C6">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val="en-US" w:eastAsia="zh-CN"/>
              </w:rPr>
              <w:t>2、</w:t>
            </w:r>
            <w:r>
              <w:rPr>
                <w:rFonts w:hint="eastAsia" w:ascii="宋体" w:hAnsi="宋体" w:eastAsia="宋体" w:cs="宋体"/>
                <w:color w:val="000000"/>
                <w:sz w:val="21"/>
                <w:szCs w:val="21"/>
                <w:highlight w:val="none"/>
              </w:rPr>
              <w:t>在此基础上，</w:t>
            </w:r>
            <w:r>
              <w:rPr>
                <w:rFonts w:hint="eastAsia" w:cs="宋体"/>
                <w:color w:val="000000"/>
                <w:sz w:val="21"/>
                <w:szCs w:val="21"/>
                <w:highlight w:val="none"/>
                <w:lang w:val="en-US" w:eastAsia="zh-CN"/>
              </w:rPr>
              <w:t>评审专家根据样品质量情况</w:t>
            </w:r>
            <w:r>
              <w:rPr>
                <w:rFonts w:hint="eastAsia" w:ascii="宋体" w:hAnsi="宋体" w:eastAsia="宋体" w:cs="宋体"/>
                <w:color w:val="000000"/>
                <w:sz w:val="21"/>
                <w:szCs w:val="21"/>
                <w:highlight w:val="none"/>
              </w:rPr>
              <w:t>进行评分：</w:t>
            </w:r>
          </w:p>
          <w:p w14:paraId="41B4553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w:t>
            </w:r>
            <w:r>
              <w:rPr>
                <w:rFonts w:hint="eastAsia" w:cs="宋体"/>
                <w:color w:val="000000"/>
                <w:sz w:val="21"/>
                <w:szCs w:val="21"/>
                <w:highlight w:val="none"/>
                <w:lang w:val="en-US" w:eastAsia="zh-CN"/>
              </w:rPr>
              <w:t>1</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w:t>
            </w:r>
            <w:r>
              <w:rPr>
                <w:rFonts w:hint="eastAsia" w:cs="宋体"/>
                <w:color w:val="auto"/>
                <w:kern w:val="2"/>
                <w:sz w:val="21"/>
                <w:szCs w:val="21"/>
                <w:highlight w:val="none"/>
                <w:lang w:val="en-US" w:eastAsia="zh-CN" w:bidi="ar-SA"/>
              </w:rPr>
              <w:t>与</w:t>
            </w:r>
            <w:r>
              <w:rPr>
                <w:rFonts w:hint="eastAsia" w:ascii="宋体" w:hAnsi="宋体" w:eastAsia="宋体" w:cs="宋体"/>
                <w:color w:val="auto"/>
                <w:kern w:val="2"/>
                <w:sz w:val="21"/>
                <w:szCs w:val="21"/>
                <w:highlight w:val="none"/>
                <w:lang w:val="en-US" w:eastAsia="zh-CN" w:bidi="ar-SA"/>
              </w:rPr>
              <w:t>制作水平先进、实用性强、创新性高，完全满足招标文件要求的，</w:t>
            </w:r>
            <w:r>
              <w:rPr>
                <w:rFonts w:hint="eastAsia" w:ascii="宋体" w:hAnsi="宋体" w:eastAsia="宋体" w:cs="宋体"/>
                <w:color w:val="000000"/>
                <w:sz w:val="21"/>
                <w:szCs w:val="21"/>
                <w:highlight w:val="none"/>
              </w:rPr>
              <w:t>评价</w:t>
            </w:r>
            <w:r>
              <w:rPr>
                <w:rFonts w:hint="eastAsia" w:cs="宋体"/>
                <w:color w:val="000000"/>
                <w:sz w:val="21"/>
                <w:szCs w:val="21"/>
                <w:highlight w:val="none"/>
                <w:lang w:val="en-US" w:eastAsia="zh-CN"/>
              </w:rPr>
              <w:t>为优</w:t>
            </w:r>
            <w:r>
              <w:rPr>
                <w:rFonts w:hint="eastAsia" w:ascii="宋体" w:hAnsi="宋体" w:eastAsia="宋体" w:cs="宋体"/>
                <w:color w:val="000000"/>
                <w:sz w:val="21"/>
                <w:szCs w:val="21"/>
                <w:highlight w:val="none"/>
              </w:rPr>
              <w:t>，加</w:t>
            </w:r>
            <w:r>
              <w:rPr>
                <w:rFonts w:hint="eastAsia"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p w14:paraId="67231A7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w:t>
            </w:r>
            <w:r>
              <w:rPr>
                <w:rFonts w:hint="eastAsia" w:cs="宋体"/>
                <w:color w:val="000000"/>
                <w:sz w:val="21"/>
                <w:szCs w:val="21"/>
                <w:highlight w:val="none"/>
                <w:lang w:val="en-US" w:eastAsia="zh-CN"/>
              </w:rPr>
              <w:t>2</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制作工艺与制作水平比较先进、实用性较强、创新性较高，基本满足招标文件要求的，</w:t>
            </w:r>
            <w:r>
              <w:rPr>
                <w:rFonts w:hint="eastAsia" w:ascii="宋体" w:hAnsi="宋体" w:eastAsia="宋体" w:cs="宋体"/>
                <w:color w:val="000000"/>
                <w:sz w:val="21"/>
                <w:szCs w:val="21"/>
                <w:highlight w:val="none"/>
              </w:rPr>
              <w:t>评价</w:t>
            </w:r>
            <w:r>
              <w:rPr>
                <w:rFonts w:hint="eastAsia" w:cs="宋体"/>
                <w:color w:val="000000"/>
                <w:sz w:val="21"/>
                <w:szCs w:val="21"/>
                <w:highlight w:val="none"/>
                <w:lang w:val="en-US" w:eastAsia="zh-CN"/>
              </w:rPr>
              <w:t>为良</w:t>
            </w:r>
            <w:r>
              <w:rPr>
                <w:rFonts w:hint="eastAsia" w:ascii="宋体" w:hAnsi="宋体" w:eastAsia="宋体" w:cs="宋体"/>
                <w:color w:val="000000"/>
                <w:sz w:val="21"/>
                <w:szCs w:val="21"/>
                <w:highlight w:val="none"/>
              </w:rPr>
              <w:t>，加</w:t>
            </w:r>
            <w:r>
              <w:rPr>
                <w:rFonts w:hint="eastAsia"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p w14:paraId="412422B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w:t>
            </w:r>
            <w:r>
              <w:rPr>
                <w:rFonts w:hint="eastAsia" w:cs="宋体"/>
                <w:color w:val="000000"/>
                <w:sz w:val="21"/>
                <w:szCs w:val="21"/>
                <w:highlight w:val="none"/>
                <w:lang w:val="en-US" w:eastAsia="zh-CN"/>
              </w:rPr>
              <w:t>3</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制作工艺与制作水平一般，实用性和创新性一般，基本满足招标文件要求的</w:t>
            </w:r>
            <w:r>
              <w:rPr>
                <w:rFonts w:hint="eastAsia" w:ascii="宋体" w:hAnsi="宋体" w:eastAsia="宋体" w:cs="宋体"/>
                <w:color w:val="000000"/>
                <w:sz w:val="21"/>
                <w:szCs w:val="21"/>
                <w:highlight w:val="none"/>
              </w:rPr>
              <w:t>，评价</w:t>
            </w:r>
            <w:r>
              <w:rPr>
                <w:rFonts w:hint="eastAsia" w:cs="宋体"/>
                <w:color w:val="000000"/>
                <w:sz w:val="21"/>
                <w:szCs w:val="21"/>
                <w:highlight w:val="none"/>
                <w:lang w:val="en-US" w:eastAsia="zh-CN"/>
              </w:rPr>
              <w:t>为中，</w:t>
            </w:r>
            <w:r>
              <w:rPr>
                <w:rFonts w:hint="eastAsia" w:ascii="宋体" w:hAnsi="宋体" w:eastAsia="宋体" w:cs="宋体"/>
                <w:color w:val="000000"/>
                <w:sz w:val="21"/>
                <w:szCs w:val="21"/>
                <w:highlight w:val="none"/>
              </w:rPr>
              <w:t>加</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726E0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制作工艺与制作水平落后，实用性和创新性较差，不能满足招标需求及招标方样品的</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评审为差，</w:t>
            </w:r>
            <w:r>
              <w:rPr>
                <w:rFonts w:hint="eastAsia" w:ascii="宋体" w:hAnsi="宋体" w:eastAsia="宋体" w:cs="宋体"/>
                <w:color w:val="000000"/>
                <w:sz w:val="21"/>
                <w:szCs w:val="21"/>
                <w:highlight w:val="none"/>
              </w:rPr>
              <w:t>不加分</w:t>
            </w:r>
            <w:r>
              <w:rPr>
                <w:rFonts w:hint="eastAsia" w:ascii="宋体" w:hAnsi="宋体" w:eastAsia="宋体" w:cs="宋体"/>
                <w:color w:val="000000"/>
                <w:sz w:val="21"/>
                <w:szCs w:val="21"/>
                <w:highlight w:val="none"/>
                <w:lang w:eastAsia="zh-CN"/>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3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B5A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00" w:type="dxa"/>
            <w:vMerge w:val="restart"/>
            <w:tcBorders>
              <w:top w:val="single" w:color="000000" w:sz="4" w:space="0"/>
              <w:left w:val="single" w:color="000000" w:sz="4" w:space="0"/>
              <w:right w:val="single" w:color="000000" w:sz="4" w:space="0"/>
            </w:tcBorders>
            <w:shd w:val="clear" w:color="auto" w:fill="auto"/>
            <w:vAlign w:val="center"/>
          </w:tcPr>
          <w:p w14:paraId="1F146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E479C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BCA6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4C9F0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3BA8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013D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D90D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7B734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3312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D442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C190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napToGrid w:val="0"/>
                <w:kern w:val="0"/>
                <w:sz w:val="21"/>
                <w:szCs w:val="21"/>
                <w:highlight w:val="none"/>
                <w:lang w:val="en-US" w:eastAsia="zh-CN" w:bidi="ar-SA"/>
              </w:rPr>
              <w:t>商务部分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F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219B">
            <w:pPr>
              <w:keepNext w:val="0"/>
              <w:keepLines w:val="0"/>
              <w:widowControl/>
              <w:suppressLineNumbers w:val="0"/>
              <w:jc w:val="left"/>
              <w:textAlignment w:val="center"/>
              <w:rPr>
                <w:rFonts w:hint="default" w:cs="宋体"/>
                <w:color w:val="000000"/>
                <w:sz w:val="21"/>
                <w:szCs w:val="21"/>
                <w:highlight w:val="none"/>
                <w:lang w:val="en-US" w:eastAsia="zh-CN"/>
              </w:rPr>
            </w:pPr>
            <w:r>
              <w:rPr>
                <w:rFonts w:hint="eastAsia" w:cs="宋体"/>
                <w:color w:val="000000"/>
                <w:sz w:val="21"/>
                <w:szCs w:val="21"/>
                <w:highlight w:val="none"/>
                <w:lang w:val="en-US" w:eastAsia="zh-CN"/>
              </w:rPr>
              <w:t>有效业绩</w:t>
            </w:r>
          </w:p>
          <w:p w14:paraId="6B20D19F">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评审标准：</w:t>
            </w:r>
          </w:p>
          <w:p w14:paraId="5E851B30">
            <w:pPr>
              <w:keepNext w:val="0"/>
              <w:keepLines w:val="0"/>
              <w:pageBreakBefore w:val="0"/>
              <w:widowControl w:val="0"/>
              <w:kinsoku/>
              <w:overflowPunct/>
              <w:topLinePunct w:val="0"/>
              <w:autoSpaceDE/>
              <w:autoSpaceDN/>
              <w:bidi w:val="0"/>
              <w:adjustRightInd/>
              <w:spacing w:line="240" w:lineRule="auto"/>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投标人自</w:t>
            </w:r>
            <w:r>
              <w:rPr>
                <w:rFonts w:ascii="宋体" w:hAnsi="宋体" w:eastAsia="宋体" w:cs="宋体"/>
                <w:kern w:val="2"/>
                <w:sz w:val="21"/>
                <w:szCs w:val="21"/>
                <w:highlight w:val="none"/>
                <w:lang w:val="en-US" w:eastAsia="zh-CN" w:bidi="ar-SA"/>
              </w:rPr>
              <w:t>202</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年1月1日至本项目投标截止之日（以合同签订日期为准）完成的</w:t>
            </w:r>
            <w:r>
              <w:rPr>
                <w:rFonts w:hint="eastAsia" w:ascii="Times New Roman" w:hAnsi="Times New Roman" w:eastAsia="宋体" w:cs="Times New Roman"/>
                <w:kern w:val="2"/>
                <w:sz w:val="21"/>
                <w:szCs w:val="24"/>
                <w:highlight w:val="none"/>
                <w:lang w:val="en-US" w:eastAsia="zh-CN" w:bidi="ar-SA"/>
              </w:rPr>
              <w:t>医院或大学以及其他科研单位的</w:t>
            </w:r>
            <w:r>
              <w:rPr>
                <w:rFonts w:hint="eastAsia" w:ascii="宋体" w:hAnsi="宋体" w:eastAsia="宋体" w:cs="宋体"/>
                <w:sz w:val="21"/>
                <w:szCs w:val="21"/>
                <w:highlight w:val="none"/>
              </w:rPr>
              <w:t>同类产品</w:t>
            </w:r>
            <w:r>
              <w:rPr>
                <w:rFonts w:hint="eastAsia" w:ascii="宋体" w:hAnsi="宋体" w:cs="宋体"/>
                <w:sz w:val="21"/>
                <w:szCs w:val="21"/>
                <w:highlight w:val="none"/>
                <w:lang w:eastAsia="zh-CN"/>
              </w:rPr>
              <w:t>的</w:t>
            </w:r>
            <w:r>
              <w:rPr>
                <w:rFonts w:hint="eastAsia" w:ascii="宋体" w:hAnsi="宋体" w:eastAsia="宋体" w:cs="宋体"/>
                <w:sz w:val="21"/>
                <w:szCs w:val="21"/>
                <w:highlight w:val="none"/>
              </w:rPr>
              <w:t>供货业绩</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每提供一份</w:t>
            </w:r>
            <w:r>
              <w:rPr>
                <w:rFonts w:hint="eastAsia" w:ascii="宋体" w:hAnsi="宋体" w:cs="宋体"/>
                <w:sz w:val="21"/>
                <w:szCs w:val="21"/>
                <w:highlight w:val="none"/>
                <w:lang w:val="en-US" w:eastAsia="zh-CN"/>
              </w:rPr>
              <w:t>有效业绩</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分，最高得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需本投标单位出具的有效发票，若非本投标单位出具的发票，做无效处理，不得分。</w:t>
            </w:r>
          </w:p>
          <w:p w14:paraId="7139DCDC">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证明文件：</w:t>
            </w:r>
          </w:p>
          <w:p w14:paraId="1578C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1"/>
                <w:szCs w:val="21"/>
                <w:highlight w:val="none"/>
              </w:rPr>
              <w:t>提供发票或合同证明复印件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或截图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加盖公章。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F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EF2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200" w:type="dxa"/>
            <w:vMerge w:val="continue"/>
            <w:tcBorders>
              <w:left w:val="single" w:color="000000" w:sz="4" w:space="0"/>
              <w:right w:val="single" w:color="000000" w:sz="4" w:space="0"/>
            </w:tcBorders>
            <w:shd w:val="clear" w:color="auto" w:fill="auto"/>
            <w:vAlign w:val="center"/>
          </w:tcPr>
          <w:p w14:paraId="7EB27A87">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4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A555">
            <w:pPr>
              <w:keepNext w:val="0"/>
              <w:keepLines w:val="0"/>
              <w:pageBreakBefore w:val="0"/>
              <w:kinsoku/>
              <w:overflowPunct/>
              <w:topLinePunct w:val="0"/>
              <w:autoSpaceDE/>
              <w:autoSpaceDN/>
              <w:bidi w:val="0"/>
              <w:adjustRightInd/>
              <w:spacing w:line="240" w:lineRule="auto"/>
              <w:textAlignment w:val="auto"/>
              <w:rPr>
                <w:rFonts w:hint="default" w:ascii="宋体" w:hAnsi="宋体"/>
                <w:szCs w:val="21"/>
                <w:highlight w:val="none"/>
                <w:lang w:val="en-US" w:eastAsia="zh-CN"/>
              </w:rPr>
            </w:pPr>
            <w:r>
              <w:rPr>
                <w:rFonts w:hint="eastAsia" w:ascii="宋体" w:hAnsi="宋体"/>
                <w:szCs w:val="21"/>
                <w:highlight w:val="none"/>
                <w:lang w:val="en-US" w:eastAsia="zh-CN"/>
              </w:rPr>
              <w:t>履约评价</w:t>
            </w:r>
          </w:p>
          <w:p w14:paraId="473070CB">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评审标准：</w:t>
            </w:r>
          </w:p>
          <w:p w14:paraId="57CD1357">
            <w:pPr>
              <w:keepNext w:val="0"/>
              <w:keepLines w:val="0"/>
              <w:pageBreakBefore w:val="0"/>
              <w:kinsoku/>
              <w:overflowPunct/>
              <w:topLinePunct w:val="0"/>
              <w:autoSpaceDE/>
              <w:autoSpaceDN/>
              <w:bidi w:val="0"/>
              <w:adjustRightInd/>
              <w:spacing w:line="240" w:lineRule="auto"/>
              <w:textAlignment w:val="auto"/>
              <w:rPr>
                <w:rFonts w:ascii="宋体" w:hAnsi="宋体"/>
                <w:szCs w:val="21"/>
                <w:highlight w:val="none"/>
              </w:rPr>
            </w:pPr>
            <w:r>
              <w:rPr>
                <w:rFonts w:hint="eastAsia" w:ascii="宋体" w:hAnsi="宋体"/>
                <w:szCs w:val="21"/>
                <w:highlight w:val="none"/>
              </w:rPr>
              <w:t>投标人</w:t>
            </w:r>
            <w:r>
              <w:rPr>
                <w:rFonts w:hint="eastAsia" w:ascii="宋体" w:hAnsi="宋体"/>
                <w:szCs w:val="21"/>
                <w:highlight w:val="none"/>
                <w:lang w:val="en-US" w:eastAsia="zh-CN"/>
              </w:rPr>
              <w:t>在</w:t>
            </w:r>
            <w:r>
              <w:rPr>
                <w:rFonts w:hint="eastAsia" w:ascii="宋体" w:hAnsi="宋体"/>
                <w:szCs w:val="21"/>
                <w:highlight w:val="none"/>
              </w:rPr>
              <w:t>提供上述经评审有效的业绩中，能够提供用户出具的履约评价书，且评价为优或满意以上的，每份得1分；最高得5分。不提供或者不能有效证明的，得0分。</w:t>
            </w:r>
          </w:p>
          <w:p w14:paraId="05B40E31">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证明文件：</w:t>
            </w:r>
          </w:p>
          <w:p w14:paraId="69CD5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szCs w:val="21"/>
                <w:highlight w:val="none"/>
              </w:rPr>
              <w:t>须提供用户出具的履约评价书复印件，并加盖投标人公章，原件备查。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841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1200" w:type="dxa"/>
            <w:vMerge w:val="continue"/>
            <w:tcBorders>
              <w:left w:val="single" w:color="000000" w:sz="4" w:space="0"/>
              <w:right w:val="single" w:color="000000" w:sz="4" w:space="0"/>
            </w:tcBorders>
            <w:shd w:val="clear" w:color="auto" w:fill="auto"/>
            <w:vAlign w:val="center"/>
          </w:tcPr>
          <w:p w14:paraId="16A93A2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92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Cs w:val="21"/>
                <w:highlight w:val="none"/>
                <w:lang w:val="en-US" w:eastAsia="zh-CN"/>
              </w:rPr>
              <w:t xml:space="preserve">仓储、运输能力  </w:t>
            </w:r>
            <w:r>
              <w:rPr>
                <w:rFonts w:hint="eastAsia" w:ascii="宋体" w:hAnsi="宋体" w:eastAsia="宋体" w:cs="宋体"/>
                <w:i w:val="0"/>
                <w:iCs w:val="0"/>
                <w:color w:val="000000"/>
                <w:kern w:val="0"/>
                <w:sz w:val="22"/>
                <w:szCs w:val="22"/>
                <w:u w:val="none"/>
                <w:lang w:val="en-US" w:eastAsia="zh-CN" w:bidi="ar"/>
              </w:rPr>
              <w:t xml:space="preserve">      </w:t>
            </w:r>
          </w:p>
          <w:p w14:paraId="065CF543">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评审标准：</w:t>
            </w:r>
          </w:p>
          <w:p w14:paraId="4735E8F6">
            <w:pPr>
              <w:keepNext w:val="0"/>
              <w:keepLines w:val="0"/>
              <w:pageBreakBefore w:val="0"/>
              <w:kinsoku/>
              <w:overflowPunct/>
              <w:topLinePunct w:val="0"/>
              <w:autoSpaceDE/>
              <w:autoSpaceDN/>
              <w:bidi w:val="0"/>
              <w:adjustRightInd/>
              <w:spacing w:line="240" w:lineRule="auto"/>
              <w:textAlignment w:val="auto"/>
              <w:rPr>
                <w:rFonts w:hint="eastAsia" w:ascii="宋体" w:hAnsi="宋体"/>
                <w:szCs w:val="21"/>
                <w:highlight w:val="none"/>
                <w:lang w:val="en-US" w:eastAsia="zh-CN"/>
              </w:rPr>
            </w:pPr>
            <w:r>
              <w:rPr>
                <w:rFonts w:hint="eastAsia" w:ascii="宋体" w:hAnsi="宋体"/>
                <w:szCs w:val="21"/>
                <w:highlight w:val="none"/>
                <w:lang w:val="en-US" w:eastAsia="zh-CN"/>
              </w:rPr>
              <w:t>1、投标人自有或租赁仓库的，得2分。</w:t>
            </w:r>
            <w:r>
              <w:rPr>
                <w:rFonts w:hint="eastAsia" w:ascii="宋体" w:hAnsi="宋体"/>
                <w:szCs w:val="21"/>
                <w:highlight w:val="none"/>
                <w:lang w:val="en-US" w:eastAsia="zh-CN"/>
              </w:rPr>
              <w:br w:type="textWrapping"/>
            </w:r>
            <w:r>
              <w:rPr>
                <w:rFonts w:hint="eastAsia" w:ascii="宋体" w:hAnsi="宋体"/>
                <w:szCs w:val="21"/>
                <w:highlight w:val="none"/>
                <w:lang w:val="en-US" w:eastAsia="zh-CN"/>
              </w:rPr>
              <w:t>2、根据投标人仓库容积进行综合评审，面积最大的为第一名，以此类推，第一名得5分，第二名得3分，第三名得2分，第四名及以后得1分。投标时请提供相关证明材料。</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3、投标人运输车辆：拟投入一辆运输车辆得1分，最高得3分。无正规运输车辆，不得分。</w:t>
            </w:r>
          </w:p>
          <w:p w14:paraId="535D8315">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证明文件：</w:t>
            </w:r>
          </w:p>
          <w:p w14:paraId="64E11776">
            <w:pPr>
              <w:keepNext w:val="0"/>
              <w:keepLines w:val="0"/>
              <w:pageBreakBefore w:val="0"/>
              <w:kinsoku/>
              <w:wordWrap w:val="0"/>
              <w:overflowPunct/>
              <w:topLinePunct w:val="0"/>
              <w:autoSpaceDE/>
              <w:autoSpaceDN/>
              <w:bidi w:val="0"/>
              <w:adjustRightInd/>
              <w:snapToGrid w:val="0"/>
              <w:spacing w:line="240" w:lineRule="auto"/>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1、需提供自有产权或租赁相关证明材料，未提供或提供资料无法判断的，该项不得分。</w:t>
            </w:r>
          </w:p>
          <w:p w14:paraId="3DE74AE5">
            <w:pPr>
              <w:keepNext w:val="0"/>
              <w:keepLines w:val="0"/>
              <w:pageBreakBefore w:val="0"/>
              <w:kinsoku/>
              <w:wordWrap w:val="0"/>
              <w:overflowPunct/>
              <w:topLinePunct w:val="0"/>
              <w:autoSpaceDE/>
              <w:autoSpaceDN/>
              <w:bidi w:val="0"/>
              <w:adjustRightInd/>
              <w:snapToGrid w:val="0"/>
              <w:spacing w:line="240" w:lineRule="auto"/>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2、以房产证或租赁合同内载明的容积为准，如未提供或资料不完整，该项不得分。</w:t>
            </w:r>
          </w:p>
          <w:p w14:paraId="13541195">
            <w:pPr>
              <w:keepNext w:val="0"/>
              <w:keepLines w:val="0"/>
              <w:pageBreakBefore w:val="0"/>
              <w:kinsoku/>
              <w:wordWrap w:val="0"/>
              <w:overflowPunct/>
              <w:topLinePunct w:val="0"/>
              <w:autoSpaceDE/>
              <w:autoSpaceDN/>
              <w:bidi w:val="0"/>
              <w:adjustRightInd/>
              <w:snapToGrid w:val="0"/>
              <w:spacing w:line="240" w:lineRule="auto"/>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3、房产证或租赁合同内的租赁用途需为仓储，其余用途不得分。</w:t>
            </w:r>
          </w:p>
          <w:p w14:paraId="1AA02C04">
            <w:pPr>
              <w:keepNext w:val="0"/>
              <w:keepLines w:val="0"/>
              <w:pageBreakBefore w:val="0"/>
              <w:kinsoku/>
              <w:wordWrap w:val="0"/>
              <w:overflowPunct/>
              <w:topLinePunct w:val="0"/>
              <w:autoSpaceDE/>
              <w:autoSpaceDN/>
              <w:bidi w:val="0"/>
              <w:adjustRightInd/>
              <w:snapToGrid w:val="0"/>
              <w:spacing w:line="240" w:lineRule="auto"/>
              <w:textAlignment w:val="auto"/>
              <w:rPr>
                <w:rFonts w:hint="eastAsia"/>
              </w:rPr>
            </w:pPr>
            <w:r>
              <w:rPr>
                <w:rFonts w:hint="eastAsia" w:ascii="宋体" w:hAnsi="宋体" w:cs="宋体"/>
                <w:szCs w:val="21"/>
                <w:highlight w:val="none"/>
                <w:lang w:val="en-US" w:eastAsia="zh-CN"/>
              </w:rPr>
              <w:t>4、提供相关车辆的行驶证或采购合同或购买发票或者授权文件。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5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65B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00" w:type="dxa"/>
            <w:vMerge w:val="continue"/>
            <w:tcBorders>
              <w:left w:val="single" w:color="000000" w:sz="4" w:space="0"/>
              <w:bottom w:val="nil"/>
              <w:right w:val="single" w:color="000000" w:sz="4" w:space="0"/>
            </w:tcBorders>
            <w:shd w:val="clear" w:color="auto" w:fill="auto"/>
            <w:vAlign w:val="center"/>
          </w:tcPr>
          <w:p w14:paraId="20CF0FE1">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38CA">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FC56">
            <w:pPr>
              <w:keepNext w:val="0"/>
              <w:keepLines w:val="0"/>
              <w:pageBreakBefore w:val="0"/>
              <w:kinsoku/>
              <w:wordWrap w:val="0"/>
              <w:overflowPunct/>
              <w:topLinePunct w:val="0"/>
              <w:autoSpaceDE/>
              <w:autoSpaceDN/>
              <w:bidi w:val="0"/>
              <w:adjustRightInd/>
              <w:snapToGrid w:val="0"/>
              <w:spacing w:line="240" w:lineRule="auto"/>
              <w:textAlignment w:val="auto"/>
              <w:rPr>
                <w:rFonts w:hint="eastAsia" w:ascii="宋体" w:hAnsi="宋体" w:cs="宋体"/>
                <w:b/>
                <w:szCs w:val="21"/>
                <w:highlight w:val="none"/>
              </w:rPr>
            </w:pPr>
            <w:r>
              <w:rPr>
                <w:rFonts w:hint="eastAsia" w:ascii="宋体" w:hAnsi="宋体" w:cs="宋体"/>
                <w:kern w:val="0"/>
                <w:szCs w:val="21"/>
                <w:highlight w:val="none"/>
              </w:rPr>
              <w:t>诚信</w:t>
            </w:r>
          </w:p>
          <w:p w14:paraId="20AC3867">
            <w:pPr>
              <w:keepNext w:val="0"/>
              <w:keepLines w:val="0"/>
              <w:pageBreakBefore w:val="0"/>
              <w:kinsoku/>
              <w:wordWrap w:val="0"/>
              <w:overflowPunct/>
              <w:topLinePunct w:val="0"/>
              <w:autoSpaceDE/>
              <w:autoSpaceDN/>
              <w:bidi w:val="0"/>
              <w:adjustRightInd/>
              <w:snapToGrid w:val="0"/>
              <w:spacing w:line="240" w:lineRule="auto"/>
              <w:textAlignment w:val="auto"/>
              <w:rPr>
                <w:rFonts w:ascii="宋体" w:hAnsi="宋体" w:cs="宋体"/>
                <w:b/>
                <w:szCs w:val="21"/>
                <w:highlight w:val="none"/>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一</w:t>
            </w:r>
            <w:r>
              <w:rPr>
                <w:rFonts w:hint="eastAsia" w:ascii="宋体" w:hAnsi="宋体" w:cs="宋体"/>
                <w:b/>
                <w:szCs w:val="21"/>
                <w:highlight w:val="none"/>
                <w:lang w:eastAsia="zh-CN"/>
              </w:rPr>
              <w:t>）</w:t>
            </w:r>
            <w:r>
              <w:rPr>
                <w:rFonts w:hint="eastAsia" w:ascii="宋体" w:hAnsi="宋体" w:cs="宋体"/>
                <w:b/>
                <w:szCs w:val="21"/>
                <w:highlight w:val="none"/>
              </w:rPr>
              <w:t>评分内容：</w:t>
            </w:r>
          </w:p>
          <w:p w14:paraId="47D171E4">
            <w:pPr>
              <w:keepNext w:val="0"/>
              <w:keepLines w:val="0"/>
              <w:pageBreakBefore w:val="0"/>
              <w:kinsoku/>
              <w:wordWrap w:val="0"/>
              <w:overflowPunct/>
              <w:topLinePunct w:val="0"/>
              <w:autoSpaceDE/>
              <w:autoSpaceDN/>
              <w:bidi w:val="0"/>
              <w:adjustRightInd/>
              <w:snapToGrid w:val="0"/>
              <w:spacing w:line="240" w:lineRule="auto"/>
              <w:textAlignment w:val="auto"/>
              <w:rPr>
                <w:rFonts w:ascii="宋体" w:hAnsi="宋体" w:cs="宋体"/>
                <w:szCs w:val="21"/>
                <w:highlight w:val="none"/>
              </w:rPr>
            </w:pPr>
            <w:r>
              <w:rPr>
                <w:rFonts w:hint="eastAsia" w:ascii="宋体" w:hAnsi="宋体" w:cs="宋体"/>
                <w:szCs w:val="21"/>
                <w:highlight w:val="none"/>
              </w:rPr>
              <w:t>投标人在参与政府采购活动中存在诚信相关问题且在主管部门相关处理措施实施期限内的；投标人存在《深圳市财政局 政府采购供应商信用信息管理办法》（深财规〔2023〕3号）列明的一般行政处罚信息、一般违法失信记录信息的，本项不得分，否则得满分。</w:t>
            </w:r>
          </w:p>
          <w:p w14:paraId="28736340">
            <w:pPr>
              <w:keepNext w:val="0"/>
              <w:keepLines w:val="0"/>
              <w:pageBreakBefore w:val="0"/>
              <w:kinsoku/>
              <w:wordWrap w:val="0"/>
              <w:overflowPunct/>
              <w:topLinePunct w:val="0"/>
              <w:autoSpaceDE/>
              <w:autoSpaceDN/>
              <w:bidi w:val="0"/>
              <w:adjustRightInd/>
              <w:snapToGrid w:val="0"/>
              <w:spacing w:line="240" w:lineRule="auto"/>
              <w:textAlignment w:val="auto"/>
              <w:rPr>
                <w:rFonts w:ascii="宋体" w:hAnsi="宋体" w:cs="宋体"/>
                <w:b/>
                <w:szCs w:val="21"/>
                <w:highlight w:val="none"/>
              </w:rPr>
            </w:pPr>
            <w:r>
              <w:rPr>
                <w:rFonts w:hint="eastAsia" w:ascii="宋体" w:hAnsi="宋体" w:cs="宋体"/>
                <w:b/>
                <w:szCs w:val="21"/>
                <w:highlight w:val="none"/>
              </w:rPr>
              <w:t xml:space="preserve">（二）评分依据： </w:t>
            </w:r>
          </w:p>
          <w:p w14:paraId="5CA696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szCs w:val="21"/>
                <w:highlight w:val="none"/>
              </w:rPr>
              <w:t>投标人无需提供任何证明材料，由工作人员向评审委员会提供相关信息。</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C9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7836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szCs w:val="21"/>
                <w:highlight w:val="none"/>
                <w:lang w:val="en-US" w:eastAsia="zh-CN"/>
              </w:rPr>
              <w:t>价格部分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8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280">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 xml:space="preserve">采用低价优先法计算，即满足招标文件要求且投标价格最低的投标报价为评标基准价，其价格分为满分。其他投标人的价格分统一按照下列公式计算： </w:t>
            </w:r>
          </w:p>
          <w:p w14:paraId="51FA1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themeColor="text1"/>
                <w:szCs w:val="21"/>
                <w:highlight w:val="none"/>
                <w14:textFill>
                  <w14:solidFill>
                    <w14:schemeClr w14:val="tx1"/>
                  </w14:solidFill>
                </w14:textFill>
              </w:rPr>
              <w:t>投标报价得分=(评标基准价／投标报价)×</w:t>
            </w:r>
            <w:r>
              <w:rPr>
                <w:rFonts w:hint="eastAsia" w:ascii="宋体" w:hAnsi="宋体" w:cs="宋体"/>
                <w:b/>
                <w:bCs/>
                <w:color w:val="000000" w:themeColor="text1"/>
                <w:szCs w:val="21"/>
                <w:highlight w:val="none"/>
                <w:lang w:val="en-US" w:eastAsia="zh-CN"/>
                <w14:textFill>
                  <w14:solidFill>
                    <w14:schemeClr w14:val="tx1"/>
                  </w14:solidFill>
                </w14:textFill>
              </w:rPr>
              <w:t>30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7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875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EB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6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14:paraId="26098853">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DD2DE7A-3498-4CBC-84E8-5A4C19389C94}"/>
  </w:font>
  <w:font w:name="黑体">
    <w:panose1 w:val="02010609060101010101"/>
    <w:charset w:val="86"/>
    <w:family w:val="auto"/>
    <w:pitch w:val="default"/>
    <w:sig w:usb0="800002BF" w:usb1="38CF7CFA" w:usb2="00000016" w:usb3="00000000" w:csb0="00040001" w:csb1="00000000"/>
    <w:embedRegular r:id="rId2" w:fontKey="{A0A27996-17B1-4600-A850-2FD74F5BAEA1}"/>
  </w:font>
  <w:font w:name="Courier New">
    <w:panose1 w:val="02070309020205020404"/>
    <w:charset w:val="01"/>
    <w:family w:val="modern"/>
    <w:pitch w:val="default"/>
    <w:sig w:usb0="E0002EFF" w:usb1="C0007843" w:usb2="00000009" w:usb3="00000000" w:csb0="400001FF" w:csb1="FFFF0000"/>
    <w:embedRegular r:id="rId3" w:fontKey="{3F8C5B67-C5C3-4860-8C13-CEF22BA0974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F3D81A3C-4618-47C5-B13B-4A42D86FDC83}"/>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5" w:fontKey="{87C682B1-0743-4399-A955-3652A35F4A69}"/>
  </w:font>
  <w:font w:name="Tahoma">
    <w:panose1 w:val="020B0604030504040204"/>
    <w:charset w:val="00"/>
    <w:family w:val="auto"/>
    <w:pitch w:val="default"/>
    <w:sig w:usb0="E1002EFF" w:usb1="C000605B" w:usb2="00000029" w:usb3="00000000" w:csb0="200101FF" w:csb1="20280000"/>
    <w:embedRegular r:id="rId6" w:fontKey="{4C7B05B0-1E18-4E11-AEF4-3ED28098EDE1}"/>
  </w:font>
  <w:font w:name="仿宋_GB2312">
    <w:panose1 w:val="02010609030101010101"/>
    <w:charset w:val="86"/>
    <w:family w:val="auto"/>
    <w:pitch w:val="default"/>
    <w:sig w:usb0="00000001" w:usb1="080E0000" w:usb2="00000000" w:usb3="00000000" w:csb0="00040000" w:csb1="00000000"/>
    <w:embedRegular r:id="rId7" w:fontKey="{DE7800A4-2EB0-4243-B660-9A27DE36F900}"/>
  </w:font>
  <w:font w:name="方正仿宋_GBK">
    <w:altName w:val="微软雅黑"/>
    <w:panose1 w:val="00000000000000000000"/>
    <w:charset w:val="86"/>
    <w:family w:val="auto"/>
    <w:pitch w:val="default"/>
    <w:sig w:usb0="00000000" w:usb1="00000000" w:usb2="00000000" w:usb3="00000000" w:csb0="00040000" w:csb1="00000000"/>
    <w:embedRegular r:id="rId8" w:fontKey="{657159BF-0A30-4D6C-BD13-4937D53F7C70}"/>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9" w:fontKey="{028C6D7A-4177-483D-83A9-4E96773A775F}"/>
  </w:font>
  <w:font w:name="方正小标宋_GBK">
    <w:panose1 w:val="02000000000000000000"/>
    <w:charset w:val="86"/>
    <w:family w:val="script"/>
    <w:pitch w:val="default"/>
    <w:sig w:usb0="A00002BF" w:usb1="38CF7CFA" w:usb2="00082016" w:usb3="00000000" w:csb0="00040001" w:csb1="00000000"/>
    <w:embedRegular r:id="rId10" w:fontKey="{51CC7459-3369-4CAD-B529-7365A8B339BA}"/>
  </w:font>
  <w:font w:name="Wingdings 2">
    <w:panose1 w:val="05020102010507070707"/>
    <w:charset w:val="00"/>
    <w:family w:val="auto"/>
    <w:pitch w:val="default"/>
    <w:sig w:usb0="00000000" w:usb1="00000000" w:usb2="00000000" w:usb3="00000000" w:csb0="80000000" w:csb1="00000000"/>
    <w:embedRegular r:id="rId11" w:fontKey="{4AC67644-6D83-4F2C-A95E-867CD4BBD1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11"/>
      <w:jc w:val="center"/>
      <w:rPr>
        <w:rStyle w:val="20"/>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11"/>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11"/>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5AE7A01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12"/>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E351B"/>
    <w:multiLevelType w:val="singleLevel"/>
    <w:tmpl w:val="913E351B"/>
    <w:lvl w:ilvl="0" w:tentative="0">
      <w:start w:val="1"/>
      <w:numFmt w:val="decimal"/>
      <w:suff w:val="nothing"/>
      <w:lvlText w:val="%1、"/>
      <w:lvlJc w:val="left"/>
    </w:lvl>
  </w:abstractNum>
  <w:abstractNum w:abstractNumId="1">
    <w:nsid w:val="9CE760F9"/>
    <w:multiLevelType w:val="singleLevel"/>
    <w:tmpl w:val="9CE760F9"/>
    <w:lvl w:ilvl="0" w:tentative="0">
      <w:start w:val="2"/>
      <w:numFmt w:val="chineseCounting"/>
      <w:suff w:val="nothing"/>
      <w:lvlText w:val="（%1）"/>
      <w:lvlJc w:val="left"/>
      <w:rPr>
        <w:rFonts w:hint="eastAsia"/>
      </w:rPr>
    </w:lvl>
  </w:abstractNum>
  <w:abstractNum w:abstractNumId="2">
    <w:nsid w:val="BB5299E2"/>
    <w:multiLevelType w:val="singleLevel"/>
    <w:tmpl w:val="BB5299E2"/>
    <w:lvl w:ilvl="0" w:tentative="0">
      <w:start w:val="1"/>
      <w:numFmt w:val="decimal"/>
      <w:suff w:val="nothing"/>
      <w:lvlText w:val="%1、"/>
      <w:lvlJc w:val="left"/>
    </w:lvl>
  </w:abstractNum>
  <w:abstractNum w:abstractNumId="3">
    <w:nsid w:val="BFC04C30"/>
    <w:multiLevelType w:val="singleLevel"/>
    <w:tmpl w:val="BFC04C30"/>
    <w:lvl w:ilvl="0" w:tentative="0">
      <w:start w:val="1"/>
      <w:numFmt w:val="decimal"/>
      <w:suff w:val="nothing"/>
      <w:lvlText w:val="%1、"/>
      <w:lvlJc w:val="left"/>
    </w:lvl>
  </w:abstractNum>
  <w:abstractNum w:abstractNumId="4">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D6D61694"/>
    <w:multiLevelType w:val="singleLevel"/>
    <w:tmpl w:val="D6D61694"/>
    <w:lvl w:ilvl="0" w:tentative="0">
      <w:start w:val="1"/>
      <w:numFmt w:val="chineseCounting"/>
      <w:suff w:val="nothing"/>
      <w:lvlText w:val="（%1）"/>
      <w:lvlJc w:val="left"/>
      <w:rPr>
        <w:rFonts w:hint="eastAsia"/>
      </w:rPr>
    </w:lvl>
  </w:abstractNum>
  <w:abstractNum w:abstractNumId="6">
    <w:nsid w:val="E1FCAA8B"/>
    <w:multiLevelType w:val="singleLevel"/>
    <w:tmpl w:val="E1FCAA8B"/>
    <w:lvl w:ilvl="0" w:tentative="0">
      <w:start w:val="1"/>
      <w:numFmt w:val="decimal"/>
      <w:suff w:val="nothing"/>
      <w:lvlText w:val="%1、"/>
      <w:lvlJc w:val="left"/>
    </w:lvl>
  </w:abstractNum>
  <w:abstractNum w:abstractNumId="7">
    <w:nsid w:val="EB923FF4"/>
    <w:multiLevelType w:val="singleLevel"/>
    <w:tmpl w:val="EB923FF4"/>
    <w:lvl w:ilvl="0" w:tentative="0">
      <w:start w:val="1"/>
      <w:numFmt w:val="decimal"/>
      <w:suff w:val="nothing"/>
      <w:lvlText w:val="%1、"/>
      <w:lvlJc w:val="left"/>
    </w:lvl>
  </w:abstractNum>
  <w:abstractNum w:abstractNumId="8">
    <w:nsid w:val="0B8F3126"/>
    <w:multiLevelType w:val="singleLevel"/>
    <w:tmpl w:val="0B8F3126"/>
    <w:lvl w:ilvl="0" w:tentative="0">
      <w:start w:val="3"/>
      <w:numFmt w:val="chineseCounting"/>
      <w:suff w:val="nothing"/>
      <w:lvlText w:val="%1、"/>
      <w:lvlJc w:val="left"/>
      <w:rPr>
        <w:rFonts w:hint="eastAsia"/>
      </w:rPr>
    </w:lvl>
  </w:abstractNum>
  <w:abstractNum w:abstractNumId="9">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7E85C6F"/>
    <w:multiLevelType w:val="singleLevel"/>
    <w:tmpl w:val="37E85C6F"/>
    <w:lvl w:ilvl="0" w:tentative="0">
      <w:start w:val="1"/>
      <w:numFmt w:val="decimal"/>
      <w:lvlText w:val="%1."/>
      <w:lvlJc w:val="left"/>
      <w:pPr>
        <w:tabs>
          <w:tab w:val="left" w:pos="312"/>
        </w:tabs>
      </w:pPr>
    </w:lvl>
  </w:abstractNum>
  <w:abstractNum w:abstractNumId="11">
    <w:nsid w:val="3FD8FACF"/>
    <w:multiLevelType w:val="singleLevel"/>
    <w:tmpl w:val="3FD8FACF"/>
    <w:lvl w:ilvl="0" w:tentative="0">
      <w:start w:val="1"/>
      <w:numFmt w:val="decimal"/>
      <w:suff w:val="nothing"/>
      <w:lvlText w:val="%1、"/>
      <w:lvlJc w:val="left"/>
    </w:lvl>
  </w:abstractNum>
  <w:abstractNum w:abstractNumId="12">
    <w:nsid w:val="40EC10D5"/>
    <w:multiLevelType w:val="singleLevel"/>
    <w:tmpl w:val="40EC10D5"/>
    <w:lvl w:ilvl="0" w:tentative="0">
      <w:start w:val="1"/>
      <w:numFmt w:val="chineseCounting"/>
      <w:suff w:val="space"/>
      <w:lvlText w:val="第%1章"/>
      <w:lvlJc w:val="left"/>
      <w:rPr>
        <w:rFonts w:hint="eastAsia"/>
      </w:rPr>
    </w:lvl>
  </w:abstractNum>
  <w:abstractNum w:abstractNumId="13">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07A66DD"/>
    <w:multiLevelType w:val="singleLevel"/>
    <w:tmpl w:val="507A66DD"/>
    <w:lvl w:ilvl="0" w:tentative="0">
      <w:start w:val="5"/>
      <w:numFmt w:val="chineseCounting"/>
      <w:suff w:val="nothing"/>
      <w:lvlText w:val="%1、"/>
      <w:lvlJc w:val="left"/>
      <w:rPr>
        <w:rFonts w:hint="eastAsia"/>
      </w:rPr>
    </w:lvl>
  </w:abstractNum>
  <w:abstractNum w:abstractNumId="15">
    <w:nsid w:val="59215DE2"/>
    <w:multiLevelType w:val="singleLevel"/>
    <w:tmpl w:val="59215DE2"/>
    <w:lvl w:ilvl="0" w:tentative="0">
      <w:start w:val="2"/>
      <w:numFmt w:val="decimal"/>
      <w:suff w:val="nothing"/>
      <w:lvlText w:val="（%1）"/>
      <w:lvlJc w:val="left"/>
    </w:lvl>
  </w:abstractNum>
  <w:abstractNum w:abstractNumId="16">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7">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6042BE9B"/>
    <w:multiLevelType w:val="multilevel"/>
    <w:tmpl w:val="6042BE9B"/>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9">
    <w:nsid w:val="63233E82"/>
    <w:multiLevelType w:val="singleLevel"/>
    <w:tmpl w:val="63233E82"/>
    <w:lvl w:ilvl="0" w:tentative="0">
      <w:start w:val="1"/>
      <w:numFmt w:val="decimal"/>
      <w:suff w:val="nothing"/>
      <w:lvlText w:val="%1、"/>
      <w:lvlJc w:val="left"/>
    </w:lvl>
  </w:abstractNum>
  <w:abstractNum w:abstractNumId="20">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3913D82"/>
    <w:multiLevelType w:val="singleLevel"/>
    <w:tmpl w:val="73913D82"/>
    <w:lvl w:ilvl="0" w:tentative="0">
      <w:start w:val="1"/>
      <w:numFmt w:val="decimal"/>
      <w:suff w:val="nothing"/>
      <w:lvlText w:val="%1、"/>
      <w:lvlJc w:val="left"/>
    </w:lvl>
  </w:abstractNum>
  <w:abstractNum w:abstractNumId="2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5"/>
  </w:num>
  <w:num w:numId="5">
    <w:abstractNumId w:val="8"/>
  </w:num>
  <w:num w:numId="6">
    <w:abstractNumId w:val="14"/>
  </w:num>
  <w:num w:numId="7">
    <w:abstractNumId w:val="13"/>
  </w:num>
  <w:num w:numId="8">
    <w:abstractNumId w:val="9"/>
  </w:num>
  <w:num w:numId="9">
    <w:abstractNumId w:val="6"/>
  </w:num>
  <w:num w:numId="10">
    <w:abstractNumId w:val="11"/>
  </w:num>
  <w:num w:numId="11">
    <w:abstractNumId w:val="22"/>
  </w:num>
  <w:num w:numId="12">
    <w:abstractNumId w:val="7"/>
  </w:num>
  <w:num w:numId="13">
    <w:abstractNumId w:val="3"/>
  </w:num>
  <w:num w:numId="14">
    <w:abstractNumId w:val="19"/>
  </w:num>
  <w:num w:numId="15">
    <w:abstractNumId w:val="0"/>
  </w:num>
  <w:num w:numId="16">
    <w:abstractNumId w:val="2"/>
  </w:num>
  <w:num w:numId="17">
    <w:abstractNumId w:val="10"/>
  </w:num>
  <w:num w:numId="18">
    <w:abstractNumId w:val="20"/>
  </w:num>
  <w:num w:numId="19">
    <w:abstractNumId w:val="18"/>
  </w:num>
  <w:num w:numId="20">
    <w:abstractNumId w:val="5"/>
  </w:num>
  <w:num w:numId="21">
    <w:abstractNumId w:val="23"/>
  </w:num>
  <w:num w:numId="22">
    <w:abstractNumId w:val="16"/>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1FD42EF"/>
    <w:rsid w:val="02515E13"/>
    <w:rsid w:val="03824295"/>
    <w:rsid w:val="03CA1333"/>
    <w:rsid w:val="03D86CBB"/>
    <w:rsid w:val="04A41E29"/>
    <w:rsid w:val="0586171E"/>
    <w:rsid w:val="0C831895"/>
    <w:rsid w:val="0F847DFE"/>
    <w:rsid w:val="10437371"/>
    <w:rsid w:val="13272F7A"/>
    <w:rsid w:val="14DA7639"/>
    <w:rsid w:val="167968A8"/>
    <w:rsid w:val="168261AD"/>
    <w:rsid w:val="1A0F0637"/>
    <w:rsid w:val="1AC75CBA"/>
    <w:rsid w:val="1ACD08AB"/>
    <w:rsid w:val="1D740F3F"/>
    <w:rsid w:val="1FC04AB6"/>
    <w:rsid w:val="20857E4D"/>
    <w:rsid w:val="217A1947"/>
    <w:rsid w:val="22DA20BB"/>
    <w:rsid w:val="24CC6443"/>
    <w:rsid w:val="27A32756"/>
    <w:rsid w:val="28774BB2"/>
    <w:rsid w:val="292F0982"/>
    <w:rsid w:val="2AD85138"/>
    <w:rsid w:val="2BC25ADE"/>
    <w:rsid w:val="2BEF1BE2"/>
    <w:rsid w:val="2C2F1E92"/>
    <w:rsid w:val="2CAA6F1D"/>
    <w:rsid w:val="2FEF24C1"/>
    <w:rsid w:val="32A7178F"/>
    <w:rsid w:val="348C0A37"/>
    <w:rsid w:val="34D95BA1"/>
    <w:rsid w:val="37436ACA"/>
    <w:rsid w:val="38312021"/>
    <w:rsid w:val="38404012"/>
    <w:rsid w:val="3A4F4F44"/>
    <w:rsid w:val="3D691D61"/>
    <w:rsid w:val="3FF83425"/>
    <w:rsid w:val="41894625"/>
    <w:rsid w:val="42961172"/>
    <w:rsid w:val="44ED4447"/>
    <w:rsid w:val="46062A6F"/>
    <w:rsid w:val="466C27DB"/>
    <w:rsid w:val="46E84D7E"/>
    <w:rsid w:val="47507FEA"/>
    <w:rsid w:val="49BE56DF"/>
    <w:rsid w:val="4A0517DE"/>
    <w:rsid w:val="4DAD7DEB"/>
    <w:rsid w:val="4E8100AD"/>
    <w:rsid w:val="4E8E5256"/>
    <w:rsid w:val="4F0F12CA"/>
    <w:rsid w:val="4F560168"/>
    <w:rsid w:val="511864D9"/>
    <w:rsid w:val="51D63AF4"/>
    <w:rsid w:val="521F3077"/>
    <w:rsid w:val="558214CD"/>
    <w:rsid w:val="56E36785"/>
    <w:rsid w:val="580B4B95"/>
    <w:rsid w:val="58AF7528"/>
    <w:rsid w:val="58C53577"/>
    <w:rsid w:val="5A2F6381"/>
    <w:rsid w:val="5B4A22D1"/>
    <w:rsid w:val="5CAC08DD"/>
    <w:rsid w:val="5D045FFD"/>
    <w:rsid w:val="5F630463"/>
    <w:rsid w:val="65E57895"/>
    <w:rsid w:val="68A23D9A"/>
    <w:rsid w:val="69E7776E"/>
    <w:rsid w:val="6AA14535"/>
    <w:rsid w:val="6B80006E"/>
    <w:rsid w:val="6BB74550"/>
    <w:rsid w:val="6CF30DA6"/>
    <w:rsid w:val="6DD15131"/>
    <w:rsid w:val="72AC65F9"/>
    <w:rsid w:val="72AF5315"/>
    <w:rsid w:val="730B15A2"/>
    <w:rsid w:val="74055651"/>
    <w:rsid w:val="774A4416"/>
    <w:rsid w:val="7B49325B"/>
    <w:rsid w:val="7BFC1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outlineLvl w:val="1"/>
    </w:pPr>
    <w:rPr>
      <w:rFonts w:ascii="Cambria" w:hAnsi="Cambria" w:cs="宋体"/>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autoRedefine/>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widowControl w:val="0"/>
      <w:ind w:firstLine="420"/>
    </w:pPr>
    <w:rPr>
      <w:rFonts w:ascii="Times New Roman" w:hAnsi="Times New Roman" w:eastAsia="宋体" w:cs="Times New Roman"/>
      <w:kern w:val="2"/>
      <w:sz w:val="21"/>
      <w:szCs w:val="24"/>
      <w:lang w:val="en-US" w:eastAsia="zh-CN" w:bidi="ar-SA"/>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spacing w:line="560" w:lineRule="exact"/>
      <w:ind w:left="300"/>
    </w:pPr>
    <w:rPr>
      <w:sz w:val="24"/>
    </w:rPr>
  </w:style>
  <w:style w:type="paragraph" w:styleId="9">
    <w:name w:val="toc 3"/>
    <w:basedOn w:val="1"/>
    <w:next w:val="1"/>
    <w:semiHidden/>
    <w:unhideWhenUsed/>
    <w:qFormat/>
    <w:uiPriority w:val="39"/>
    <w:pPr>
      <w:ind w:left="840" w:leftChars="400"/>
    </w:pPr>
  </w:style>
  <w:style w:type="paragraph" w:styleId="10">
    <w:name w:val="Plain Text"/>
    <w:basedOn w:val="1"/>
    <w:link w:val="23"/>
    <w:semiHidden/>
    <w:unhideWhenUsed/>
    <w:qFormat/>
    <w:uiPriority w:val="99"/>
    <w:rPr>
      <w:rFonts w:ascii="宋体" w:hAnsi="Courier New" w:eastAsia="宋体" w:cs="Times New Roman"/>
      <w:szCs w:val="20"/>
    </w:rPr>
  </w:style>
  <w:style w:type="paragraph" w:styleId="11">
    <w:name w:val="footer"/>
    <w:basedOn w:val="1"/>
    <w:link w:val="22"/>
    <w:semiHidden/>
    <w:unhideWhenUsed/>
    <w:qFormat/>
    <w:uiPriority w:val="99"/>
    <w:pPr>
      <w:tabs>
        <w:tab w:val="center" w:pos="4153"/>
        <w:tab w:val="right" w:pos="8306"/>
      </w:tabs>
      <w:snapToGrid w:val="0"/>
      <w:jc w:val="left"/>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toc 2"/>
    <w:basedOn w:val="1"/>
    <w:next w:val="1"/>
    <w:semiHidden/>
    <w:unhideWhenUsed/>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8"/>
    <w:qFormat/>
    <w:uiPriority w:val="0"/>
    <w:pPr>
      <w:ind w:firstLine="420" w:firstLineChars="200"/>
    </w:pPr>
    <w:rPr>
      <w:sz w:val="21"/>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customStyle="1" w:styleId="21">
    <w:name w:val="页眉 Char"/>
    <w:basedOn w:val="19"/>
    <w:link w:val="12"/>
    <w:autoRedefine/>
    <w:semiHidden/>
    <w:qFormat/>
    <w:uiPriority w:val="99"/>
    <w:rPr>
      <w:sz w:val="18"/>
      <w:szCs w:val="18"/>
    </w:rPr>
  </w:style>
  <w:style w:type="character" w:customStyle="1" w:styleId="22">
    <w:name w:val="页脚 Char"/>
    <w:basedOn w:val="19"/>
    <w:link w:val="11"/>
    <w:semiHidden/>
    <w:qFormat/>
    <w:uiPriority w:val="99"/>
    <w:rPr>
      <w:sz w:val="18"/>
      <w:szCs w:val="18"/>
    </w:rPr>
  </w:style>
  <w:style w:type="character" w:customStyle="1" w:styleId="23">
    <w:name w:val="纯文本 Char"/>
    <w:basedOn w:val="19"/>
    <w:link w:val="10"/>
    <w:semiHidden/>
    <w:qFormat/>
    <w:uiPriority w:val="99"/>
    <w:rPr>
      <w:rFonts w:ascii="宋体" w:hAnsi="Courier New" w:eastAsia="宋体" w:cs="Times New Roman"/>
      <w:szCs w:val="20"/>
    </w:rPr>
  </w:style>
  <w:style w:type="character" w:customStyle="1" w:styleId="24">
    <w:name w:val="font11"/>
    <w:basedOn w:val="19"/>
    <w:qFormat/>
    <w:uiPriority w:val="0"/>
    <w:rPr>
      <w:rFonts w:hint="eastAsia" w:ascii="宋体" w:hAnsi="宋体" w:eastAsia="宋体" w:cs="宋体"/>
      <w:color w:val="000000"/>
      <w:sz w:val="30"/>
      <w:szCs w:val="30"/>
      <w:u w:val="none"/>
    </w:rPr>
  </w:style>
  <w:style w:type="paragraph" w:styleId="25">
    <w:name w:val="List Paragraph"/>
    <w:basedOn w:val="1"/>
    <w:autoRedefine/>
    <w:qFormat/>
    <w:uiPriority w:val="34"/>
    <w:pPr>
      <w:ind w:firstLine="420" w:firstLineChars="200"/>
    </w:pPr>
    <w:rPr>
      <w:rFonts w:ascii="Calibri" w:hAnsi="Calibri"/>
      <w:szCs w:val="22"/>
    </w:rPr>
  </w:style>
  <w:style w:type="table" w:customStyle="1" w:styleId="26">
    <w:name w:val="网格型1"/>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8">
    <w:name w:val="列出段落1"/>
    <w:basedOn w:val="1"/>
    <w:autoRedefine/>
    <w:qFormat/>
    <w:uiPriority w:val="34"/>
    <w:pPr>
      <w:ind w:firstLine="420" w:firstLineChars="200"/>
    </w:pPr>
  </w:style>
  <w:style w:type="paragraph" w:customStyle="1" w:styleId="29">
    <w:name w:val="样式1 Char Char"/>
    <w:basedOn w:val="1"/>
    <w:next w:val="10"/>
    <w:qFormat/>
    <w:uiPriority w:val="0"/>
    <w:pPr>
      <w:spacing w:line="360" w:lineRule="auto"/>
      <w:ind w:firstLine="516" w:firstLineChars="215"/>
    </w:pPr>
    <w:rPr>
      <w:sz w:val="24"/>
    </w:rPr>
  </w:style>
  <w:style w:type="paragraph" w:customStyle="1" w:styleId="30">
    <w:name w:val="文档正文"/>
    <w:qFormat/>
    <w:uiPriority w:val="99"/>
    <w:pPr>
      <w:widowControl w:val="0"/>
      <w:adjustRightInd w:val="0"/>
      <w:spacing w:line="480" w:lineRule="atLeast"/>
      <w:ind w:firstLine="567" w:firstLineChars="200"/>
      <w:textAlignment w:val="baseline"/>
    </w:pPr>
    <w:rPr>
      <w:rFonts w:ascii="长城仿宋" w:hAnsi="Times New Roman" w:eastAsia="宋体" w:cs="Times New Roman"/>
      <w:sz w:val="21"/>
      <w:lang w:val="en-US" w:eastAsia="zh-CN" w:bidi="ar-SA"/>
    </w:rPr>
  </w:style>
  <w:style w:type="character" w:customStyle="1" w:styleId="31">
    <w:name w:val="font21"/>
    <w:basedOn w:val="19"/>
    <w:qFormat/>
    <w:uiPriority w:val="0"/>
    <w:rPr>
      <w:rFonts w:hint="eastAsia" w:ascii="宋体" w:hAnsi="宋体" w:eastAsia="宋体" w:cs="宋体"/>
      <w:color w:val="000000"/>
      <w:sz w:val="20"/>
      <w:szCs w:val="20"/>
      <w:u w:val="none"/>
    </w:rPr>
  </w:style>
  <w:style w:type="character" w:customStyle="1" w:styleId="32">
    <w:name w:val="font31"/>
    <w:basedOn w:val="19"/>
    <w:qFormat/>
    <w:uiPriority w:val="0"/>
    <w:rPr>
      <w:rFonts w:ascii="Tahoma" w:hAnsi="Tahoma" w:eastAsia="Tahoma" w:cs="Tahoma"/>
      <w:color w:val="000000"/>
      <w:sz w:val="20"/>
      <w:szCs w:val="20"/>
      <w:u w:val="none"/>
    </w:rPr>
  </w:style>
  <w:style w:type="paragraph" w:customStyle="1" w:styleId="33">
    <w:name w:val="*正文"/>
    <w:basedOn w:val="1"/>
    <w:qFormat/>
    <w:uiPriority w:val="0"/>
    <w:pPr>
      <w:spacing w:line="360" w:lineRule="auto"/>
      <w:ind w:firstLine="200" w:firstLineChars="200"/>
    </w:pPr>
    <w:rPr>
      <w:rFonts w:ascii="宋体" w:hAnsi="宋体"/>
      <w:kern w:val="0"/>
      <w:sz w:val="2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6576</Words>
  <Characters>7126</Characters>
  <Lines>31</Lines>
  <Paragraphs>8</Paragraphs>
  <TotalTime>1</TotalTime>
  <ScaleCrop>false</ScaleCrop>
  <LinksUpToDate>false</LinksUpToDate>
  <CharactersWithSpaces>7550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2025-08-21T03:20:01Z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23181F0B7B0D427A88E8682F46044663_13</vt:lpwstr>
  </property>
  <property fmtid="{D5CDD505-2E9C-101B-9397-08002B2CF9AE}" pid="4" name="KSOTemplateDocerSaveRecord">
    <vt:lpwstr>eyJoZGlkIjoiM2EyNDYyYmQ1ZDA0NDE2ZWMxMTVjMTBjNjZlNGMxZWMiLCJ1c2VySWQiOiIxOTQ5NzkyNTQifQ==</vt:lpwstr>
  </property>
</Properties>
</file>