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8"/>
          <w:szCs w:val="28"/>
        </w:rPr>
      </w:pPr>
      <w:r>
        <w:rPr>
          <w:rFonts w:hint="eastAsia" w:asciiTheme="minorEastAsia" w:hAnsiTheme="minorEastAsia" w:cstheme="minorEastAsia"/>
          <w:sz w:val="28"/>
          <w:szCs w:val="28"/>
        </w:rPr>
        <w:t xml:space="preserve"> 1、深圳市福田区第二人民医院对本单位部分耗材进行公开招标。欢迎各有医疗器械经营许可权或医疗设备生产许可权的经营企业或生产企业参加投标。 </w:t>
      </w:r>
    </w:p>
    <w:p w14:paraId="5F8F90CC">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请准备</w:t>
      </w:r>
      <w:r>
        <w:rPr>
          <w:rFonts w:hint="eastAsia" w:asciiTheme="minorEastAsia" w:hAnsiTheme="minorEastAsia" w:cstheme="minorEastAsia"/>
          <w:color w:val="FF0000"/>
          <w:sz w:val="28"/>
          <w:szCs w:val="28"/>
          <w:lang w:val="en-US" w:eastAsia="zh-CN"/>
        </w:rPr>
        <w:t>纸质</w:t>
      </w:r>
      <w:r>
        <w:rPr>
          <w:rFonts w:hint="eastAsia" w:asciiTheme="minorEastAsia" w:hAnsiTheme="minorEastAsia" w:cstheme="minorEastAsia"/>
          <w:color w:val="FF0000"/>
          <w:sz w:val="28"/>
          <w:szCs w:val="28"/>
        </w:rPr>
        <w:t>投标文件</w:t>
      </w:r>
      <w:r>
        <w:rPr>
          <w:rFonts w:hint="eastAsia" w:asciiTheme="minorEastAsia" w:hAnsiTheme="minorEastAsia" w:cstheme="minorEastAsia"/>
          <w:color w:val="FF0000"/>
          <w:sz w:val="28"/>
          <w:szCs w:val="28"/>
          <w:lang w:val="en-US" w:eastAsia="zh-CN"/>
        </w:rPr>
        <w:t>六</w:t>
      </w:r>
      <w:r>
        <w:rPr>
          <w:rFonts w:hint="eastAsia" w:asciiTheme="minorEastAsia" w:hAnsiTheme="minorEastAsia" w:cstheme="minorEastAsia"/>
          <w:color w:val="FF0000"/>
          <w:sz w:val="28"/>
          <w:szCs w:val="28"/>
        </w:rPr>
        <w:t>份（一份正本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p>
    <w:p w14:paraId="7C816D8A">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2198DB7A">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 xml:space="preserve">投标文件中不许有涂改，否则作废标处理。 </w:t>
      </w:r>
    </w:p>
    <w:p w14:paraId="74291227">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招标单位不向落标方解释原因，不退还投标文件。 </w:t>
      </w:r>
    </w:p>
    <w:p w14:paraId="1739C331">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27F6233">
      <w:pPr>
        <w:keepNext/>
        <w:keepLines/>
        <w:widowControl w:val="0"/>
        <w:spacing w:line="576" w:lineRule="auto"/>
        <w:jc w:val="both"/>
        <w:outlineLvl w:val="9"/>
        <w:rPr>
          <w:rFonts w:hint="eastAsia" w:asciiTheme="minorEastAsia" w:hAnsiTheme="minorEastAsia" w:eastAsiaTheme="minorEastAsia" w:cstheme="minorEastAsia"/>
          <w:b/>
          <w:kern w:val="44"/>
          <w:sz w:val="24"/>
          <w:szCs w:val="24"/>
          <w:lang w:val="en-US" w:eastAsia="zh-CN" w:bidi="ar-SA"/>
        </w:rPr>
      </w:pPr>
    </w:p>
    <w:p w14:paraId="01B1F165">
      <w:pPr>
        <w:rPr>
          <w:rFonts w:hint="eastAsia"/>
          <w:lang w:eastAsia="zh-CN"/>
        </w:rPr>
      </w:pPr>
    </w:p>
    <w:p w14:paraId="708A9130">
      <w:pPr>
        <w:rPr>
          <w:rFonts w:hint="eastAsia" w:asciiTheme="minorEastAsia" w:hAnsiTheme="minorEastAsia" w:cstheme="minorEastAsia"/>
          <w:sz w:val="24"/>
          <w:szCs w:val="24"/>
          <w:lang w:eastAsia="zh-CN"/>
        </w:rPr>
      </w:pPr>
    </w:p>
    <w:p w14:paraId="16CCA501">
      <w:pPr>
        <w:rPr>
          <w:rFonts w:hint="eastAsia" w:asciiTheme="minorEastAsia" w:hAnsiTheme="minorEastAsia" w:cstheme="minorEastAsia"/>
          <w:b/>
          <w:bCs/>
          <w:sz w:val="28"/>
          <w:szCs w:val="28"/>
          <w:lang w:eastAsia="zh-CN"/>
        </w:rPr>
      </w:pPr>
    </w:p>
    <w:p w14:paraId="4FB5BD99">
      <w:pPr>
        <w:jc w:val="center"/>
        <w:outlineLvl w:val="9"/>
        <w:rPr>
          <w:rFonts w:hint="eastAsia" w:ascii="宋体" w:hAnsi="宋体" w:eastAsia="宋体" w:cs="宋体"/>
          <w:b/>
          <w:bCs/>
          <w:color w:val="FF0000"/>
          <w:kern w:val="44"/>
          <w:sz w:val="44"/>
          <w:szCs w:val="44"/>
          <w:highlight w:val="none"/>
          <w:lang w:eastAsia="zh-CN"/>
        </w:rPr>
      </w:pPr>
      <w:bookmarkStart w:id="0" w:name="_Toc29098"/>
      <w:bookmarkStart w:id="1" w:name="_Toc3689"/>
    </w:p>
    <w:p w14:paraId="4E47FF13">
      <w:pPr>
        <w:jc w:val="center"/>
        <w:outlineLvl w:val="9"/>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7FD0EBF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10CE5CE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52033465">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68E9C33">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326C15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BB03164">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75752CC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BF359A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0E97F3C4">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5DBC7F84">
      <w:pPr>
        <w:rPr>
          <w:rFonts w:hint="eastAsia" w:asciiTheme="minorEastAsia" w:hAnsiTheme="minorEastAsia" w:cstheme="minorEastAsia"/>
          <w:b/>
          <w:bCs/>
          <w:sz w:val="28"/>
          <w:szCs w:val="28"/>
          <w:lang w:eastAsia="zh-CN"/>
        </w:rPr>
      </w:pPr>
    </w:p>
    <w:p w14:paraId="01EB65D9">
      <w:pPr>
        <w:rPr>
          <w:rFonts w:hint="eastAsia" w:asciiTheme="minorEastAsia" w:hAnsiTheme="minorEastAsia" w:cstheme="minorEastAsia"/>
          <w:b/>
          <w:bCs/>
          <w:sz w:val="28"/>
          <w:szCs w:val="28"/>
          <w:lang w:eastAsia="zh-CN"/>
        </w:rPr>
      </w:pPr>
    </w:p>
    <w:p w14:paraId="77F281EC">
      <w:pPr>
        <w:rPr>
          <w:rFonts w:hint="eastAsia" w:asciiTheme="minorEastAsia" w:hAnsiTheme="minorEastAsia" w:cstheme="minorEastAsia"/>
          <w:b/>
          <w:bCs/>
          <w:sz w:val="28"/>
          <w:szCs w:val="28"/>
          <w:lang w:eastAsia="zh-CN"/>
        </w:rPr>
      </w:pPr>
    </w:p>
    <w:p w14:paraId="3A3BFB18">
      <w:pPr>
        <w:rPr>
          <w:rFonts w:hint="eastAsia" w:asciiTheme="minorEastAsia" w:hAnsiTheme="minorEastAsia" w:cstheme="minorEastAsia"/>
          <w:b/>
          <w:bCs/>
          <w:sz w:val="28"/>
          <w:szCs w:val="28"/>
          <w:lang w:eastAsia="zh-CN"/>
        </w:rPr>
      </w:pPr>
    </w:p>
    <w:p w14:paraId="2D2B848F">
      <w:pPr>
        <w:rPr>
          <w:rFonts w:hint="eastAsia" w:asciiTheme="minorEastAsia" w:hAnsiTheme="minorEastAsia" w:cstheme="minorEastAsia"/>
          <w:b/>
          <w:bCs/>
          <w:sz w:val="28"/>
          <w:szCs w:val="28"/>
          <w:lang w:eastAsia="zh-CN"/>
        </w:rPr>
      </w:pPr>
    </w:p>
    <w:p w14:paraId="1D345081">
      <w:pPr>
        <w:rPr>
          <w:rFonts w:hint="eastAsia" w:asciiTheme="minorEastAsia" w:hAnsiTheme="minorEastAsia" w:cstheme="minorEastAsia"/>
          <w:b/>
          <w:bCs/>
          <w:sz w:val="28"/>
          <w:szCs w:val="28"/>
          <w:lang w:eastAsia="zh-CN"/>
        </w:rPr>
      </w:pPr>
    </w:p>
    <w:p w14:paraId="23064BB5">
      <w:pPr>
        <w:rPr>
          <w:rFonts w:hint="eastAsia" w:asciiTheme="minorEastAsia" w:hAnsiTheme="minorEastAsia" w:cstheme="minorEastAsia"/>
          <w:b/>
          <w:bCs/>
          <w:sz w:val="28"/>
          <w:szCs w:val="28"/>
          <w:lang w:eastAsia="zh-CN"/>
        </w:rPr>
      </w:pPr>
    </w:p>
    <w:p w14:paraId="06C79F49">
      <w:pPr>
        <w:rPr>
          <w:rFonts w:hint="eastAsia" w:asciiTheme="minorEastAsia" w:hAnsiTheme="minorEastAsia" w:cstheme="minorEastAsia"/>
          <w:b/>
          <w:bCs/>
          <w:sz w:val="28"/>
          <w:szCs w:val="28"/>
          <w:lang w:eastAsia="zh-CN"/>
        </w:rPr>
      </w:pPr>
    </w:p>
    <w:p w14:paraId="4634AAD6">
      <w:pPr>
        <w:rPr>
          <w:rFonts w:hint="eastAsia" w:asciiTheme="minorEastAsia" w:hAnsiTheme="minorEastAsia" w:cstheme="minorEastAsia"/>
          <w:b/>
          <w:bCs/>
          <w:sz w:val="28"/>
          <w:szCs w:val="28"/>
          <w:lang w:eastAsia="zh-CN"/>
        </w:rPr>
      </w:pPr>
    </w:p>
    <w:p w14:paraId="031E49A4">
      <w:pPr>
        <w:rPr>
          <w:rFonts w:hint="eastAsia" w:asciiTheme="minorEastAsia" w:hAnsiTheme="minorEastAsia" w:cstheme="minorEastAsia"/>
          <w:b/>
          <w:bCs/>
          <w:sz w:val="28"/>
          <w:szCs w:val="28"/>
          <w:lang w:eastAsia="zh-CN"/>
        </w:rPr>
      </w:pPr>
    </w:p>
    <w:p w14:paraId="31AED3E0">
      <w:pPr>
        <w:rPr>
          <w:rFonts w:hint="eastAsia" w:asciiTheme="minorEastAsia" w:hAnsiTheme="minorEastAsia" w:cstheme="minorEastAsia"/>
          <w:b/>
          <w:bCs/>
          <w:sz w:val="28"/>
          <w:szCs w:val="28"/>
          <w:lang w:eastAsia="zh-CN"/>
        </w:rPr>
      </w:pPr>
    </w:p>
    <w:p w14:paraId="5651AF19">
      <w:pPr>
        <w:rPr>
          <w:rFonts w:hint="eastAsia" w:asciiTheme="minorEastAsia" w:hAnsiTheme="minorEastAsia" w:cstheme="minorEastAsia"/>
          <w:b/>
          <w:bCs/>
          <w:sz w:val="28"/>
          <w:szCs w:val="28"/>
          <w:lang w:eastAsia="zh-CN"/>
        </w:rPr>
      </w:pPr>
    </w:p>
    <w:p w14:paraId="49152C6C">
      <w:pPr>
        <w:rPr>
          <w:rFonts w:hint="eastAsia" w:asciiTheme="minorEastAsia" w:hAnsiTheme="minorEastAsia" w:eastAsiaTheme="minorEastAsia" w:cstheme="minorEastAsia"/>
          <w:bCs/>
          <w:kern w:val="2"/>
          <w:sz w:val="21"/>
          <w:szCs w:val="28"/>
          <w:lang w:val="en-US" w:eastAsia="zh-CN" w:bidi="ar-SA"/>
        </w:rPr>
      </w:pPr>
    </w:p>
    <w:sdt>
      <w:sdtPr>
        <w:rPr>
          <w:rFonts w:ascii="宋体" w:hAnsi="宋体" w:eastAsia="宋体" w:cstheme="minorBidi"/>
          <w:kern w:val="2"/>
          <w:sz w:val="21"/>
          <w:szCs w:val="24"/>
          <w:lang w:val="en-US" w:eastAsia="zh-CN" w:bidi="ar-SA"/>
        </w:rPr>
        <w:id w:val="147453461"/>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8"/>
          <w:lang w:val="en-US" w:eastAsia="zh-CN" w:bidi="ar-SA"/>
        </w:rPr>
      </w:sdtEndPr>
      <w:sdtContent>
        <w:p w14:paraId="0A9FF65E">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37CCAAA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646880C">
          <w:pPr>
            <w:pStyle w:val="13"/>
            <w:tabs>
              <w:tab w:val="right" w:leader="dot" w:pos="9180"/>
            </w:tabs>
            <w:rPr>
              <w:sz w:val="36"/>
              <w:szCs w:val="44"/>
            </w:rPr>
          </w:pPr>
          <w:r>
            <w:rPr>
              <w:rFonts w:hint="eastAsia" w:asciiTheme="minorEastAsia" w:hAnsiTheme="minorEastAsia" w:eastAsiaTheme="minorEastAsia" w:cstheme="minorEastAsia"/>
              <w:bCs/>
              <w:kern w:val="2"/>
              <w:sz w:val="21"/>
              <w:szCs w:val="28"/>
              <w:lang w:val="en-US" w:eastAsia="zh-CN" w:bidi="ar-SA"/>
            </w:rPr>
            <w:fldChar w:fldCharType="begin"/>
          </w:r>
          <w:r>
            <w:rPr>
              <w:rFonts w:hint="eastAsia" w:asciiTheme="minorEastAsia" w:hAnsiTheme="minorEastAsia" w:eastAsiaTheme="minorEastAsia" w:cstheme="minorEastAsia"/>
              <w:bCs/>
              <w:kern w:val="2"/>
              <w:sz w:val="21"/>
              <w:szCs w:val="28"/>
              <w:lang w:val="en-US" w:eastAsia="zh-CN" w:bidi="ar-SA"/>
            </w:rPr>
            <w:instrText xml:space="preserve">TOC \o "1-3" \h \u </w:instrText>
          </w:r>
          <w:r>
            <w:rPr>
              <w:rFonts w:hint="eastAsia" w:asciiTheme="minorEastAsia" w:hAnsiTheme="minorEastAsia" w:eastAsiaTheme="minorEastAsia" w:cstheme="minorEastAsia"/>
              <w:bCs/>
              <w:kern w:val="2"/>
              <w:sz w:val="21"/>
              <w:szCs w:val="28"/>
              <w:lang w:val="en-US" w:eastAsia="zh-CN" w:bidi="ar-SA"/>
            </w:rPr>
            <w:fldChar w:fldCharType="separate"/>
          </w: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_Toc11375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第一章 招标公告</w:t>
          </w:r>
          <w:r>
            <w:rPr>
              <w:sz w:val="36"/>
              <w:szCs w:val="44"/>
            </w:rPr>
            <w:tab/>
          </w:r>
          <w:r>
            <w:rPr>
              <w:sz w:val="36"/>
              <w:szCs w:val="44"/>
            </w:rPr>
            <w:fldChar w:fldCharType="begin"/>
          </w:r>
          <w:r>
            <w:rPr>
              <w:sz w:val="36"/>
              <w:szCs w:val="44"/>
            </w:rPr>
            <w:instrText xml:space="preserve"> PAGEREF _Toc11375 \h </w:instrText>
          </w:r>
          <w:r>
            <w:rPr>
              <w:sz w:val="36"/>
              <w:szCs w:val="44"/>
            </w:rPr>
            <w:fldChar w:fldCharType="separate"/>
          </w:r>
          <w:r>
            <w:rPr>
              <w:sz w:val="36"/>
              <w:szCs w:val="44"/>
            </w:rPr>
            <w:t>8</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7D1AC779">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_Toc24468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第二章 用户需求书</w:t>
          </w:r>
          <w:r>
            <w:rPr>
              <w:sz w:val="36"/>
              <w:szCs w:val="44"/>
            </w:rPr>
            <w:tab/>
          </w:r>
          <w:r>
            <w:rPr>
              <w:sz w:val="36"/>
              <w:szCs w:val="44"/>
            </w:rPr>
            <w:fldChar w:fldCharType="begin"/>
          </w:r>
          <w:r>
            <w:rPr>
              <w:sz w:val="36"/>
              <w:szCs w:val="44"/>
            </w:rPr>
            <w:instrText xml:space="preserve"> PAGEREF _Toc24468 \h </w:instrText>
          </w:r>
          <w:r>
            <w:rPr>
              <w:sz w:val="36"/>
              <w:szCs w:val="44"/>
            </w:rPr>
            <w:fldChar w:fldCharType="separate"/>
          </w:r>
          <w:r>
            <w:rPr>
              <w:sz w:val="36"/>
              <w:szCs w:val="44"/>
            </w:rPr>
            <w:t>11</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6A6F29F6">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_Toc16150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第三章 </w:t>
          </w:r>
          <w:r>
            <w:rPr>
              <w:rFonts w:hint="eastAsia" w:asciiTheme="majorEastAsia" w:hAnsiTheme="majorEastAsia" w:eastAsiaTheme="majorEastAsia" w:cstheme="majorEastAsia"/>
              <w:sz w:val="36"/>
              <w:szCs w:val="52"/>
            </w:rPr>
            <w:t>开标、评标、定标</w:t>
          </w:r>
          <w:r>
            <w:rPr>
              <w:sz w:val="36"/>
              <w:szCs w:val="44"/>
            </w:rPr>
            <w:tab/>
          </w:r>
          <w:r>
            <w:rPr>
              <w:sz w:val="36"/>
              <w:szCs w:val="44"/>
            </w:rPr>
            <w:fldChar w:fldCharType="begin"/>
          </w:r>
          <w:r>
            <w:rPr>
              <w:sz w:val="36"/>
              <w:szCs w:val="44"/>
            </w:rPr>
            <w:instrText xml:space="preserve"> PAGEREF _Toc16150 \h </w:instrText>
          </w:r>
          <w:r>
            <w:rPr>
              <w:sz w:val="36"/>
              <w:szCs w:val="44"/>
            </w:rPr>
            <w:fldChar w:fldCharType="separate"/>
          </w:r>
          <w:r>
            <w:rPr>
              <w:sz w:val="36"/>
              <w:szCs w:val="44"/>
            </w:rPr>
            <w:t>14</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476DE052">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_Toc26388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第四章 </w:t>
          </w:r>
          <w:r>
            <w:rPr>
              <w:rFonts w:hint="eastAsia" w:asciiTheme="majorEastAsia" w:hAnsiTheme="majorEastAsia" w:eastAsiaTheme="majorEastAsia"/>
              <w:sz w:val="36"/>
              <w:szCs w:val="52"/>
            </w:rPr>
            <w:t>投标文件</w:t>
          </w:r>
          <w:r>
            <w:rPr>
              <w:rFonts w:hint="eastAsia" w:asciiTheme="majorEastAsia" w:hAnsiTheme="majorEastAsia" w:eastAsiaTheme="majorEastAsia"/>
              <w:sz w:val="36"/>
              <w:szCs w:val="52"/>
              <w:lang w:eastAsia="zh-CN"/>
            </w:rPr>
            <w:t>（</w:t>
          </w:r>
          <w:r>
            <w:rPr>
              <w:rFonts w:hint="eastAsia" w:asciiTheme="majorEastAsia" w:hAnsiTheme="majorEastAsia" w:eastAsiaTheme="majorEastAsia"/>
              <w:sz w:val="36"/>
              <w:szCs w:val="52"/>
              <w:lang w:val="en-US" w:eastAsia="zh-CN"/>
            </w:rPr>
            <w:t>编制</w:t>
          </w:r>
          <w:r>
            <w:rPr>
              <w:rFonts w:hint="eastAsia" w:asciiTheme="majorEastAsia" w:hAnsiTheme="majorEastAsia" w:eastAsiaTheme="majorEastAsia"/>
              <w:sz w:val="36"/>
              <w:szCs w:val="52"/>
            </w:rPr>
            <w:t>参考</w:t>
          </w:r>
          <w:r>
            <w:rPr>
              <w:rFonts w:hint="eastAsia" w:asciiTheme="majorEastAsia" w:hAnsiTheme="majorEastAsia" w:eastAsiaTheme="majorEastAsia"/>
              <w:sz w:val="36"/>
              <w:szCs w:val="52"/>
              <w:lang w:val="en-US" w:eastAsia="zh-CN"/>
            </w:rPr>
            <w:t>模板</w:t>
          </w:r>
          <w:r>
            <w:rPr>
              <w:rFonts w:hint="eastAsia" w:asciiTheme="majorEastAsia" w:hAnsiTheme="majorEastAsia" w:eastAsiaTheme="majorEastAsia"/>
              <w:sz w:val="36"/>
              <w:szCs w:val="52"/>
              <w:lang w:eastAsia="zh-CN"/>
            </w:rPr>
            <w:t>）</w:t>
          </w:r>
          <w:r>
            <w:rPr>
              <w:sz w:val="36"/>
              <w:szCs w:val="44"/>
            </w:rPr>
            <w:tab/>
          </w:r>
          <w:r>
            <w:rPr>
              <w:sz w:val="36"/>
              <w:szCs w:val="44"/>
            </w:rPr>
            <w:fldChar w:fldCharType="begin"/>
          </w:r>
          <w:r>
            <w:rPr>
              <w:sz w:val="36"/>
              <w:szCs w:val="44"/>
            </w:rPr>
            <w:instrText xml:space="preserve"> PAGEREF _Toc26388 \h </w:instrText>
          </w:r>
          <w:r>
            <w:rPr>
              <w:sz w:val="36"/>
              <w:szCs w:val="44"/>
            </w:rPr>
            <w:fldChar w:fldCharType="separate"/>
          </w:r>
          <w:r>
            <w:rPr>
              <w:sz w:val="36"/>
              <w:szCs w:val="44"/>
            </w:rPr>
            <w:t>19</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233514D0">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_Toc30434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第五章 </w:t>
          </w:r>
          <w:r>
            <w:rPr>
              <w:rFonts w:asciiTheme="majorEastAsia" w:hAnsiTheme="majorEastAsia" w:eastAsiaTheme="majorEastAsia"/>
              <w:sz w:val="36"/>
              <w:szCs w:val="52"/>
              <w:lang w:eastAsia="zh-TW"/>
            </w:rPr>
            <w:t>说 明</w:t>
          </w:r>
          <w:r>
            <w:rPr>
              <w:sz w:val="36"/>
              <w:szCs w:val="44"/>
            </w:rPr>
            <w:tab/>
          </w:r>
          <w:r>
            <w:rPr>
              <w:sz w:val="36"/>
              <w:szCs w:val="44"/>
            </w:rPr>
            <w:fldChar w:fldCharType="begin"/>
          </w:r>
          <w:r>
            <w:rPr>
              <w:sz w:val="36"/>
              <w:szCs w:val="44"/>
            </w:rPr>
            <w:instrText xml:space="preserve"> PAGEREF _Toc30434 \h </w:instrText>
          </w:r>
          <w:r>
            <w:rPr>
              <w:sz w:val="36"/>
              <w:szCs w:val="44"/>
            </w:rPr>
            <w:fldChar w:fldCharType="separate"/>
          </w:r>
          <w:r>
            <w:rPr>
              <w:sz w:val="36"/>
              <w:szCs w:val="44"/>
            </w:rPr>
            <w:t>52</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12037C6">
          <w:pPr>
            <w:pStyle w:val="13"/>
            <w:tabs>
              <w:tab w:val="right" w:leader="dot" w:pos="9180"/>
            </w:tabs>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_Toc7020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宋体" w:hAnsi="宋体" w:cs="宋体"/>
              <w:bCs w:val="0"/>
              <w:sz w:val="36"/>
              <w:szCs w:val="52"/>
              <w:lang w:val="en-US" w:eastAsia="zh-CN"/>
            </w:rPr>
            <w:t xml:space="preserve">第六章 </w:t>
          </w:r>
          <w:r>
            <w:rPr>
              <w:rFonts w:hint="eastAsia" w:cstheme="minorBidi"/>
              <w:bCs w:val="0"/>
              <w:kern w:val="2"/>
              <w:sz w:val="36"/>
              <w:szCs w:val="52"/>
              <w:lang w:val="en-US" w:eastAsia="zh-CN" w:bidi="ar-SA"/>
            </w:rPr>
            <w:t>综合评分表</w:t>
          </w:r>
          <w:r>
            <w:rPr>
              <w:sz w:val="36"/>
              <w:szCs w:val="44"/>
            </w:rPr>
            <w:tab/>
          </w:r>
          <w:r>
            <w:rPr>
              <w:sz w:val="36"/>
              <w:szCs w:val="44"/>
            </w:rPr>
            <w:fldChar w:fldCharType="begin"/>
          </w:r>
          <w:r>
            <w:rPr>
              <w:sz w:val="36"/>
              <w:szCs w:val="44"/>
            </w:rPr>
            <w:instrText xml:space="preserve"> PAGEREF _Toc7020 \h </w:instrText>
          </w:r>
          <w:r>
            <w:rPr>
              <w:sz w:val="36"/>
              <w:szCs w:val="44"/>
            </w:rPr>
            <w:fldChar w:fldCharType="separate"/>
          </w:r>
          <w:r>
            <w:rPr>
              <w:sz w:val="36"/>
              <w:szCs w:val="44"/>
            </w:rPr>
            <w:t>79</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9B5DC3E">
          <w:pPr>
            <w:rPr>
              <w:rFonts w:hint="eastAsia" w:asciiTheme="minorEastAsia" w:hAnsiTheme="minorEastAsia" w:eastAsiaTheme="minorEastAsia" w:cstheme="minorEastAsia"/>
              <w:bCs/>
              <w:kern w:val="2"/>
              <w:sz w:val="21"/>
              <w:szCs w:val="28"/>
              <w:lang w:val="en-US" w:eastAsia="zh-CN" w:bidi="ar-SA"/>
            </w:rPr>
          </w:pPr>
          <w:r>
            <w:rPr>
              <w:rFonts w:hint="eastAsia" w:asciiTheme="minorEastAsia" w:hAnsiTheme="minorEastAsia" w:eastAsiaTheme="minorEastAsia" w:cstheme="minorEastAsia"/>
              <w:bCs/>
              <w:kern w:val="2"/>
              <w:szCs w:val="28"/>
              <w:lang w:val="en-US" w:eastAsia="zh-CN" w:bidi="ar-SA"/>
            </w:rPr>
            <w:fldChar w:fldCharType="end"/>
          </w:r>
        </w:p>
      </w:sdtContent>
    </w:sdt>
    <w:p w14:paraId="21CE26D5">
      <w:pPr>
        <w:rPr>
          <w:rFonts w:hint="eastAsia" w:asciiTheme="minorEastAsia" w:hAnsiTheme="minorEastAsia" w:eastAsiaTheme="minorEastAsia" w:cstheme="minorEastAsia"/>
          <w:bCs/>
          <w:kern w:val="2"/>
          <w:sz w:val="21"/>
          <w:szCs w:val="28"/>
          <w:lang w:val="en-US" w:eastAsia="zh-CN" w:bidi="ar-SA"/>
        </w:rPr>
      </w:pPr>
    </w:p>
    <w:p w14:paraId="6DB285D6">
      <w:pPr>
        <w:rPr>
          <w:rFonts w:hint="eastAsia" w:asciiTheme="minorEastAsia" w:hAnsiTheme="minorEastAsia" w:cstheme="minorEastAsia"/>
          <w:b/>
          <w:bCs/>
          <w:sz w:val="28"/>
          <w:szCs w:val="28"/>
          <w:lang w:eastAsia="zh-CN"/>
        </w:rPr>
      </w:pPr>
    </w:p>
    <w:p w14:paraId="09E4A1F6">
      <w:pPr>
        <w:rPr>
          <w:rFonts w:hint="eastAsia" w:asciiTheme="minorEastAsia" w:hAnsiTheme="minorEastAsia" w:cstheme="minorEastAsia"/>
          <w:b/>
          <w:bCs/>
          <w:sz w:val="28"/>
          <w:szCs w:val="28"/>
          <w:lang w:eastAsia="zh-CN"/>
        </w:rPr>
      </w:pPr>
    </w:p>
    <w:p w14:paraId="0D53B954">
      <w:pPr>
        <w:rPr>
          <w:rFonts w:hint="eastAsia" w:asciiTheme="minorEastAsia" w:hAnsiTheme="minorEastAsia" w:cstheme="minorEastAsia"/>
          <w:b/>
          <w:bCs/>
          <w:sz w:val="28"/>
          <w:szCs w:val="28"/>
          <w:lang w:eastAsia="zh-CN"/>
        </w:rPr>
      </w:pPr>
    </w:p>
    <w:p w14:paraId="430D7F23">
      <w:pPr>
        <w:rPr>
          <w:rFonts w:hint="eastAsia" w:asciiTheme="minorEastAsia" w:hAnsiTheme="minorEastAsia" w:cstheme="minorEastAsia"/>
          <w:b/>
          <w:bCs/>
          <w:sz w:val="28"/>
          <w:szCs w:val="28"/>
          <w:lang w:eastAsia="zh-CN"/>
        </w:rPr>
      </w:pPr>
    </w:p>
    <w:p w14:paraId="39FDD5C8">
      <w:pPr>
        <w:rPr>
          <w:rFonts w:hint="eastAsia" w:asciiTheme="minorEastAsia" w:hAnsiTheme="minorEastAsia" w:cstheme="minorEastAsia"/>
          <w:b/>
          <w:bCs/>
          <w:sz w:val="28"/>
          <w:szCs w:val="28"/>
          <w:lang w:eastAsia="zh-CN"/>
        </w:rPr>
      </w:pPr>
    </w:p>
    <w:p w14:paraId="4AB34194">
      <w:pPr>
        <w:rPr>
          <w:rFonts w:hint="eastAsia" w:asciiTheme="minorEastAsia" w:hAnsiTheme="minorEastAsia" w:cstheme="minorEastAsia"/>
          <w:b/>
          <w:bCs/>
          <w:sz w:val="28"/>
          <w:szCs w:val="28"/>
          <w:lang w:eastAsia="zh-CN"/>
        </w:rPr>
      </w:pPr>
    </w:p>
    <w:p w14:paraId="0B1A1DA1">
      <w:pPr>
        <w:rPr>
          <w:rFonts w:hint="eastAsia" w:asciiTheme="minorEastAsia" w:hAnsiTheme="minorEastAsia" w:cstheme="minorEastAsia"/>
          <w:b/>
          <w:bCs/>
          <w:sz w:val="28"/>
          <w:szCs w:val="28"/>
          <w:lang w:eastAsia="zh-CN"/>
        </w:rPr>
      </w:pPr>
    </w:p>
    <w:p w14:paraId="4A0796DC">
      <w:pPr>
        <w:rPr>
          <w:rFonts w:hint="eastAsia" w:asciiTheme="minorEastAsia" w:hAnsiTheme="minorEastAsia" w:cstheme="minorEastAsia"/>
          <w:b/>
          <w:bCs/>
          <w:sz w:val="28"/>
          <w:szCs w:val="28"/>
          <w:lang w:eastAsia="zh-CN"/>
        </w:rPr>
      </w:pPr>
    </w:p>
    <w:p w14:paraId="2B27EE69">
      <w:pPr>
        <w:rPr>
          <w:rFonts w:hint="eastAsia" w:asciiTheme="minorEastAsia" w:hAnsiTheme="minorEastAsia" w:cstheme="minorEastAsia"/>
          <w:b/>
          <w:bCs/>
          <w:sz w:val="28"/>
          <w:szCs w:val="28"/>
          <w:lang w:eastAsia="zh-CN"/>
        </w:rPr>
      </w:pPr>
    </w:p>
    <w:p w14:paraId="745A185F">
      <w:pPr>
        <w:rPr>
          <w:rFonts w:hint="eastAsia" w:asciiTheme="minorEastAsia" w:hAnsiTheme="minorEastAsia" w:cstheme="minorEastAsia"/>
          <w:b/>
          <w:bCs/>
          <w:sz w:val="28"/>
          <w:szCs w:val="28"/>
          <w:lang w:eastAsia="zh-CN"/>
        </w:rPr>
      </w:pPr>
    </w:p>
    <w:p w14:paraId="5A416AF2">
      <w:pPr>
        <w:rPr>
          <w:rFonts w:hint="eastAsia" w:asciiTheme="minorEastAsia" w:hAnsiTheme="minorEastAsia" w:cstheme="minorEastAsia"/>
          <w:b/>
          <w:bCs/>
          <w:sz w:val="28"/>
          <w:szCs w:val="28"/>
          <w:lang w:eastAsia="zh-CN"/>
        </w:rPr>
      </w:pPr>
    </w:p>
    <w:p w14:paraId="07027D59">
      <w:pPr>
        <w:rPr>
          <w:rFonts w:hint="eastAsia" w:asciiTheme="minorEastAsia" w:hAnsiTheme="minorEastAsia" w:cstheme="minorEastAsia"/>
          <w:b/>
          <w:bCs/>
          <w:sz w:val="28"/>
          <w:szCs w:val="28"/>
          <w:lang w:eastAsia="zh-CN"/>
        </w:rPr>
      </w:pPr>
    </w:p>
    <w:p w14:paraId="211426B1">
      <w:pPr>
        <w:rPr>
          <w:rFonts w:hint="eastAsia" w:asciiTheme="minorEastAsia" w:hAnsiTheme="minorEastAsia" w:cstheme="minorEastAsia"/>
          <w:b/>
          <w:bCs/>
          <w:sz w:val="28"/>
          <w:szCs w:val="28"/>
          <w:lang w:eastAsia="zh-CN"/>
        </w:rPr>
      </w:pPr>
    </w:p>
    <w:p w14:paraId="00815F36">
      <w:pPr>
        <w:widowControl/>
        <w:jc w:val="both"/>
        <w:outlineLvl w:val="9"/>
        <w:rPr>
          <w:rFonts w:hint="eastAsia" w:ascii="黑体" w:hAnsi="宋体" w:eastAsia="黑体" w:cs="宋体"/>
          <w:sz w:val="28"/>
          <w:szCs w:val="28"/>
          <w:lang w:bidi="ar"/>
        </w:rPr>
      </w:pPr>
    </w:p>
    <w:p w14:paraId="5B6B71F7">
      <w:pPr>
        <w:widowControl/>
        <w:jc w:val="center"/>
        <w:outlineLvl w:val="9"/>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6"/>
        <w:widowControl/>
        <w:ind w:left="-2" w:leftChars="-7" w:hanging="13" w:hangingChars="6"/>
        <w:jc w:val="center"/>
        <w:outlineLvl w:val="9"/>
        <w:rPr>
          <w:b/>
          <w:bCs/>
        </w:rPr>
      </w:pPr>
      <w:r>
        <w:rPr>
          <w:rFonts w:hint="eastAsia" w:cs="宋体"/>
          <w:b/>
          <w:bCs/>
        </w:rPr>
        <w:t>价格扣除</w:t>
      </w:r>
    </w:p>
    <w:p w14:paraId="600B1499">
      <w:pPr>
        <w:numPr>
          <w:ilvl w:val="0"/>
          <w:numId w:val="2"/>
        </w:numPr>
        <w:tabs>
          <w:tab w:val="left" w:pos="567"/>
        </w:tabs>
        <w:spacing w:line="360" w:lineRule="auto"/>
        <w:ind w:left="425" w:leftChars="0" w:hanging="425" w:firstLineChars="0"/>
        <w:outlineLvl w:val="0"/>
        <w:rPr>
          <w:rFonts w:ascii="宋体" w:hAnsi="宋体" w:cs="宋体"/>
          <w:szCs w:val="21"/>
        </w:rPr>
      </w:pPr>
      <w:bookmarkStart w:id="2" w:name="_Toc29386"/>
      <w:r>
        <w:rPr>
          <w:rFonts w:hint="eastAsia" w:ascii="宋体" w:hAnsi="宋体" w:cs="宋体"/>
          <w:szCs w:val="21"/>
          <w:lang w:bidi="ar"/>
        </w:rPr>
        <w:t>小型和微型企业产品价格扣除</w:t>
      </w:r>
      <w:bookmarkEnd w:id="2"/>
    </w:p>
    <w:p w14:paraId="6EB15D5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2"/>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2"/>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2"/>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410D19D5">
      <w:pPr>
        <w:widowControl w:val="0"/>
        <w:numPr>
          <w:ilvl w:val="0"/>
          <w:numId w:val="0"/>
        </w:numPr>
        <w:tabs>
          <w:tab w:val="left" w:pos="567"/>
        </w:tabs>
        <w:spacing w:line="360" w:lineRule="auto"/>
        <w:jc w:val="both"/>
        <w:rPr>
          <w:rFonts w:hint="eastAsia" w:ascii="宋体" w:hAnsi="宋体" w:cs="宋体"/>
          <w:szCs w:val="21"/>
          <w:lang w:bidi="ar"/>
        </w:rPr>
      </w:pPr>
    </w:p>
    <w:p w14:paraId="017912EA">
      <w:pPr>
        <w:widowControl w:val="0"/>
        <w:numPr>
          <w:ilvl w:val="0"/>
          <w:numId w:val="0"/>
        </w:numPr>
        <w:tabs>
          <w:tab w:val="left" w:pos="567"/>
        </w:tabs>
        <w:spacing w:line="360" w:lineRule="auto"/>
        <w:jc w:val="both"/>
        <w:rPr>
          <w:rFonts w:hint="eastAsia" w:ascii="宋体" w:hAnsi="宋体" w:cs="宋体"/>
          <w:szCs w:val="21"/>
          <w:lang w:bidi="ar"/>
        </w:rPr>
      </w:pPr>
    </w:p>
    <w:p w14:paraId="7E21F0F4">
      <w:pPr>
        <w:widowControl w:val="0"/>
        <w:numPr>
          <w:ilvl w:val="0"/>
          <w:numId w:val="0"/>
        </w:numPr>
        <w:tabs>
          <w:tab w:val="left" w:pos="567"/>
        </w:tabs>
        <w:spacing w:line="360" w:lineRule="auto"/>
        <w:jc w:val="both"/>
        <w:rPr>
          <w:rFonts w:hint="eastAsia" w:ascii="宋体" w:hAnsi="宋体" w:cs="宋体"/>
          <w:szCs w:val="21"/>
          <w:lang w:bidi="ar"/>
        </w:rPr>
      </w:pPr>
    </w:p>
    <w:p w14:paraId="278A28D2">
      <w:pPr>
        <w:widowControl w:val="0"/>
        <w:numPr>
          <w:ilvl w:val="0"/>
          <w:numId w:val="0"/>
        </w:numPr>
        <w:tabs>
          <w:tab w:val="left" w:pos="567"/>
        </w:tabs>
        <w:spacing w:line="360" w:lineRule="auto"/>
        <w:jc w:val="both"/>
        <w:rPr>
          <w:rFonts w:hint="eastAsia" w:ascii="宋体" w:hAnsi="宋体" w:cs="宋体"/>
          <w:szCs w:val="21"/>
          <w:lang w:bidi="ar"/>
        </w:rPr>
      </w:pPr>
    </w:p>
    <w:p w14:paraId="51B5C5C8">
      <w:pPr>
        <w:widowControl w:val="0"/>
        <w:numPr>
          <w:ilvl w:val="0"/>
          <w:numId w:val="0"/>
        </w:numPr>
        <w:tabs>
          <w:tab w:val="left" w:pos="567"/>
        </w:tabs>
        <w:spacing w:line="360" w:lineRule="auto"/>
        <w:jc w:val="both"/>
        <w:rPr>
          <w:rFonts w:hint="eastAsia" w:ascii="宋体" w:hAnsi="宋体" w:cs="宋体"/>
          <w:szCs w:val="21"/>
          <w:lang w:bidi="ar"/>
        </w:rPr>
      </w:pPr>
    </w:p>
    <w:p w14:paraId="02203786">
      <w:pPr>
        <w:widowControl w:val="0"/>
        <w:numPr>
          <w:ilvl w:val="0"/>
          <w:numId w:val="0"/>
        </w:numPr>
        <w:tabs>
          <w:tab w:val="left" w:pos="567"/>
        </w:tabs>
        <w:spacing w:line="360" w:lineRule="auto"/>
        <w:jc w:val="both"/>
        <w:rPr>
          <w:rFonts w:hint="eastAsia" w:ascii="宋体" w:hAnsi="宋体" w:cs="宋体"/>
          <w:szCs w:val="21"/>
          <w:lang w:bidi="ar"/>
        </w:rPr>
      </w:pPr>
    </w:p>
    <w:p w14:paraId="4AD4D8CF">
      <w:pPr>
        <w:widowControl w:val="0"/>
        <w:numPr>
          <w:ilvl w:val="0"/>
          <w:numId w:val="0"/>
        </w:numPr>
        <w:tabs>
          <w:tab w:val="left" w:pos="567"/>
        </w:tabs>
        <w:spacing w:line="360" w:lineRule="auto"/>
        <w:jc w:val="both"/>
        <w:rPr>
          <w:rFonts w:hint="eastAsia" w:ascii="宋体" w:hAnsi="宋体" w:cs="宋体"/>
          <w:szCs w:val="21"/>
          <w:lang w:bidi="ar"/>
        </w:rPr>
      </w:pPr>
    </w:p>
    <w:p w14:paraId="7D3AF6E1">
      <w:pPr>
        <w:widowControl w:val="0"/>
        <w:numPr>
          <w:ilvl w:val="0"/>
          <w:numId w:val="0"/>
        </w:numPr>
        <w:tabs>
          <w:tab w:val="left" w:pos="567"/>
        </w:tabs>
        <w:spacing w:line="360" w:lineRule="auto"/>
        <w:jc w:val="both"/>
        <w:rPr>
          <w:rFonts w:hint="eastAsia" w:ascii="宋体" w:hAnsi="宋体" w:cs="宋体"/>
          <w:szCs w:val="21"/>
          <w:lang w:bidi="ar"/>
        </w:rPr>
      </w:pPr>
    </w:p>
    <w:p w14:paraId="26B6CF80">
      <w:pPr>
        <w:widowControl w:val="0"/>
        <w:numPr>
          <w:ilvl w:val="0"/>
          <w:numId w:val="0"/>
        </w:numPr>
        <w:tabs>
          <w:tab w:val="left" w:pos="567"/>
        </w:tabs>
        <w:spacing w:line="360" w:lineRule="auto"/>
        <w:jc w:val="both"/>
        <w:rPr>
          <w:rFonts w:hint="eastAsia" w:ascii="宋体" w:hAnsi="宋体" w:cs="宋体"/>
          <w:szCs w:val="21"/>
          <w:lang w:bidi="ar"/>
        </w:rPr>
      </w:pPr>
    </w:p>
    <w:p w14:paraId="4F9FC11B">
      <w:pPr>
        <w:widowControl w:val="0"/>
        <w:numPr>
          <w:ilvl w:val="0"/>
          <w:numId w:val="0"/>
        </w:numPr>
        <w:tabs>
          <w:tab w:val="left" w:pos="567"/>
        </w:tabs>
        <w:spacing w:line="360" w:lineRule="auto"/>
        <w:jc w:val="both"/>
        <w:rPr>
          <w:rFonts w:hint="eastAsia" w:ascii="宋体" w:hAnsi="宋体" w:cs="宋体"/>
          <w:szCs w:val="21"/>
          <w:lang w:bidi="ar"/>
        </w:rPr>
      </w:pPr>
    </w:p>
    <w:p w14:paraId="1ED2C2B7">
      <w:pPr>
        <w:widowControl w:val="0"/>
        <w:numPr>
          <w:ilvl w:val="0"/>
          <w:numId w:val="0"/>
        </w:numPr>
        <w:tabs>
          <w:tab w:val="left" w:pos="567"/>
        </w:tabs>
        <w:spacing w:line="360" w:lineRule="auto"/>
        <w:jc w:val="both"/>
        <w:rPr>
          <w:rFonts w:hint="eastAsia" w:ascii="宋体" w:hAnsi="宋体" w:cs="宋体"/>
          <w:szCs w:val="21"/>
          <w:lang w:bidi="ar"/>
        </w:rPr>
      </w:pPr>
    </w:p>
    <w:p w14:paraId="2CE07816">
      <w:pPr>
        <w:widowControl w:val="0"/>
        <w:numPr>
          <w:ilvl w:val="0"/>
          <w:numId w:val="0"/>
        </w:numPr>
        <w:tabs>
          <w:tab w:val="left" w:pos="567"/>
        </w:tabs>
        <w:spacing w:line="360" w:lineRule="auto"/>
        <w:jc w:val="both"/>
        <w:rPr>
          <w:rFonts w:hint="eastAsia" w:ascii="宋体" w:hAnsi="宋体" w:cs="宋体"/>
          <w:szCs w:val="21"/>
          <w:lang w:bidi="ar"/>
        </w:rPr>
      </w:pPr>
    </w:p>
    <w:p w14:paraId="5C054A8D">
      <w:pPr>
        <w:widowControl w:val="0"/>
        <w:numPr>
          <w:ilvl w:val="0"/>
          <w:numId w:val="0"/>
        </w:numPr>
        <w:tabs>
          <w:tab w:val="left" w:pos="567"/>
        </w:tabs>
        <w:spacing w:line="360" w:lineRule="auto"/>
        <w:jc w:val="both"/>
        <w:rPr>
          <w:rFonts w:hint="eastAsia" w:ascii="宋体" w:hAnsi="宋体" w:cs="宋体"/>
          <w:szCs w:val="21"/>
          <w:lang w:bidi="ar"/>
        </w:rPr>
      </w:pPr>
    </w:p>
    <w:p w14:paraId="7D7822F5">
      <w:pPr>
        <w:widowControl w:val="0"/>
        <w:numPr>
          <w:ilvl w:val="0"/>
          <w:numId w:val="0"/>
        </w:numPr>
        <w:tabs>
          <w:tab w:val="left" w:pos="567"/>
        </w:tabs>
        <w:spacing w:line="360" w:lineRule="auto"/>
        <w:jc w:val="both"/>
        <w:rPr>
          <w:rFonts w:hint="eastAsia" w:ascii="宋体" w:hAnsi="宋体" w:cs="宋体"/>
          <w:szCs w:val="21"/>
          <w:lang w:bidi="ar"/>
        </w:rPr>
      </w:pPr>
    </w:p>
    <w:p w14:paraId="4B743458">
      <w:pPr>
        <w:widowControl w:val="0"/>
        <w:numPr>
          <w:ilvl w:val="0"/>
          <w:numId w:val="0"/>
        </w:numPr>
        <w:tabs>
          <w:tab w:val="left" w:pos="567"/>
        </w:tabs>
        <w:spacing w:line="360" w:lineRule="auto"/>
        <w:jc w:val="both"/>
        <w:rPr>
          <w:rFonts w:hint="eastAsia" w:ascii="宋体" w:hAnsi="宋体" w:cs="宋体"/>
          <w:szCs w:val="21"/>
          <w:lang w:bidi="ar"/>
        </w:rPr>
      </w:pPr>
    </w:p>
    <w:p w14:paraId="2C2480CA">
      <w:pPr>
        <w:widowControl w:val="0"/>
        <w:numPr>
          <w:ilvl w:val="0"/>
          <w:numId w:val="0"/>
        </w:numPr>
        <w:tabs>
          <w:tab w:val="left" w:pos="567"/>
        </w:tabs>
        <w:spacing w:line="360" w:lineRule="auto"/>
        <w:jc w:val="both"/>
        <w:rPr>
          <w:rFonts w:hint="eastAsia" w:ascii="宋体" w:hAnsi="宋体" w:cs="宋体"/>
          <w:szCs w:val="21"/>
          <w:lang w:bidi="ar"/>
        </w:rPr>
      </w:pPr>
    </w:p>
    <w:p w14:paraId="2633BB7B">
      <w:pPr>
        <w:widowControl w:val="0"/>
        <w:numPr>
          <w:ilvl w:val="0"/>
          <w:numId w:val="0"/>
        </w:numPr>
        <w:tabs>
          <w:tab w:val="left" w:pos="567"/>
        </w:tabs>
        <w:spacing w:line="360" w:lineRule="auto"/>
        <w:jc w:val="both"/>
        <w:rPr>
          <w:rFonts w:hint="eastAsia" w:ascii="宋体" w:hAnsi="宋体" w:cs="宋体"/>
          <w:szCs w:val="21"/>
          <w:lang w:bidi="ar"/>
        </w:rPr>
      </w:pPr>
    </w:p>
    <w:p w14:paraId="2B7539EB">
      <w:pPr>
        <w:widowControl w:val="0"/>
        <w:numPr>
          <w:ilvl w:val="0"/>
          <w:numId w:val="0"/>
        </w:numPr>
        <w:tabs>
          <w:tab w:val="left" w:pos="567"/>
        </w:tabs>
        <w:spacing w:line="360" w:lineRule="auto"/>
        <w:jc w:val="both"/>
        <w:rPr>
          <w:rFonts w:hint="eastAsia" w:ascii="宋体" w:hAnsi="宋体" w:cs="宋体"/>
          <w:szCs w:val="21"/>
          <w:lang w:bidi="ar"/>
        </w:rPr>
      </w:pPr>
    </w:p>
    <w:p w14:paraId="217EECD4">
      <w:pPr>
        <w:widowControl w:val="0"/>
        <w:numPr>
          <w:ilvl w:val="0"/>
          <w:numId w:val="0"/>
        </w:numPr>
        <w:tabs>
          <w:tab w:val="left" w:pos="567"/>
        </w:tabs>
        <w:spacing w:line="360" w:lineRule="auto"/>
        <w:jc w:val="both"/>
        <w:rPr>
          <w:rFonts w:hint="eastAsia" w:ascii="宋体" w:hAnsi="宋体" w:cs="宋体"/>
          <w:szCs w:val="21"/>
          <w:lang w:bidi="ar"/>
        </w:rPr>
      </w:pPr>
    </w:p>
    <w:p w14:paraId="6446377F">
      <w:pPr>
        <w:widowControl w:val="0"/>
        <w:numPr>
          <w:ilvl w:val="0"/>
          <w:numId w:val="0"/>
        </w:numPr>
        <w:tabs>
          <w:tab w:val="left" w:pos="567"/>
        </w:tabs>
        <w:spacing w:line="360" w:lineRule="auto"/>
        <w:jc w:val="both"/>
        <w:rPr>
          <w:rFonts w:hint="eastAsia" w:ascii="宋体" w:hAnsi="宋体" w:cs="宋体"/>
          <w:szCs w:val="21"/>
          <w:lang w:bidi="ar"/>
        </w:rPr>
      </w:pPr>
    </w:p>
    <w:p w14:paraId="4C0FFA16">
      <w:pPr>
        <w:widowControl w:val="0"/>
        <w:numPr>
          <w:ilvl w:val="0"/>
          <w:numId w:val="0"/>
        </w:numPr>
        <w:tabs>
          <w:tab w:val="left" w:pos="567"/>
        </w:tabs>
        <w:spacing w:line="360" w:lineRule="auto"/>
        <w:jc w:val="both"/>
        <w:rPr>
          <w:rFonts w:hint="eastAsia" w:ascii="宋体" w:hAnsi="宋体" w:cs="宋体"/>
          <w:szCs w:val="21"/>
          <w:lang w:bidi="ar"/>
        </w:rPr>
      </w:pPr>
    </w:p>
    <w:p w14:paraId="05B40DEC">
      <w:pPr>
        <w:widowControl w:val="0"/>
        <w:numPr>
          <w:ilvl w:val="0"/>
          <w:numId w:val="0"/>
        </w:numPr>
        <w:tabs>
          <w:tab w:val="left" w:pos="567"/>
        </w:tabs>
        <w:spacing w:line="360" w:lineRule="auto"/>
        <w:jc w:val="both"/>
        <w:rPr>
          <w:rFonts w:hint="eastAsia" w:ascii="宋体" w:hAnsi="宋体" w:cs="宋体"/>
          <w:szCs w:val="21"/>
          <w:lang w:bidi="ar"/>
        </w:rPr>
      </w:pPr>
    </w:p>
    <w:p w14:paraId="692C3E51">
      <w:pPr>
        <w:numPr>
          <w:ilvl w:val="0"/>
          <w:numId w:val="3"/>
        </w:numPr>
        <w:jc w:val="center"/>
        <w:outlineLvl w:val="0"/>
        <w:rPr>
          <w:rFonts w:hint="eastAsia" w:asciiTheme="majorEastAsia" w:hAnsiTheme="majorEastAsia" w:eastAsiaTheme="majorEastAsia"/>
          <w:sz w:val="32"/>
          <w:szCs w:val="32"/>
          <w:lang w:val="en-US" w:eastAsia="zh-CN"/>
        </w:rPr>
      </w:pPr>
      <w:bookmarkStart w:id="3" w:name="_Toc11375"/>
      <w:r>
        <w:rPr>
          <w:rFonts w:hint="eastAsia" w:asciiTheme="majorEastAsia" w:hAnsiTheme="majorEastAsia" w:eastAsiaTheme="majorEastAsia"/>
          <w:sz w:val="32"/>
          <w:szCs w:val="32"/>
          <w:lang w:val="en-US" w:eastAsia="zh-CN"/>
        </w:rPr>
        <w:t>招标公告</w:t>
      </w:r>
      <w:bookmarkEnd w:id="3"/>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4" w:name="OLE_LINK3"/>
      <w:bookmarkStart w:id="5"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复合酸抑菌凝胶</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9</w:t>
      </w:r>
      <w:r>
        <w:rPr>
          <w:rFonts w:hint="eastAsia" w:ascii="宋体" w:hAnsi="宋体"/>
          <w:bCs/>
          <w:szCs w:val="28"/>
          <w:u w:val="single"/>
        </w:rPr>
        <w:t>月</w:t>
      </w:r>
      <w:r>
        <w:rPr>
          <w:rFonts w:hint="eastAsia" w:ascii="宋体" w:hAnsi="宋体"/>
          <w:bCs/>
          <w:szCs w:val="28"/>
          <w:u w:val="single"/>
          <w:lang w:val="en-US" w:eastAsia="zh-CN"/>
        </w:rPr>
        <w:t>17</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6" w:name="OLE_LINK2"/>
    </w:p>
    <w:p w14:paraId="445E017D">
      <w:pPr>
        <w:spacing w:line="360" w:lineRule="auto"/>
        <w:ind w:firstLine="420" w:firstLineChars="200"/>
        <w:outlineLvl w:val="9"/>
        <w:rPr>
          <w:rFonts w:ascii="宋体" w:hAnsi="宋体"/>
          <w:b/>
        </w:rPr>
      </w:pPr>
      <w:r>
        <w:rPr>
          <w:rFonts w:hint="eastAsia" w:ascii="宋体" w:hAnsi="宋体"/>
        </w:rPr>
        <w:t>一、项目基本情况</w:t>
      </w:r>
    </w:p>
    <w:p w14:paraId="2C46AC76">
      <w:pPr>
        <w:spacing w:line="360" w:lineRule="auto"/>
        <w:ind w:firstLine="420" w:firstLineChars="200"/>
        <w:rPr>
          <w:rFonts w:hint="default" w:ascii="宋体" w:hAnsi="宋体"/>
          <w:lang w:val="en-US"/>
        </w:rPr>
      </w:pPr>
      <w:r>
        <w:rPr>
          <w:rFonts w:hint="eastAsia" w:ascii="宋体" w:hAnsi="宋体"/>
        </w:rPr>
        <w:t>项目编号：</w:t>
      </w:r>
      <w:r>
        <w:rPr>
          <w:rFonts w:hint="eastAsia" w:ascii="宋体" w:hAnsi="宋体"/>
          <w:szCs w:val="28"/>
          <w:u w:val="none"/>
          <w:lang w:val="en-US" w:eastAsia="zh-CN"/>
        </w:rPr>
        <w:t>FTEY-FYC-002</w:t>
      </w:r>
    </w:p>
    <w:p w14:paraId="4C536290">
      <w:pPr>
        <w:spacing w:line="360" w:lineRule="auto"/>
        <w:ind w:firstLine="420" w:firstLineChars="200"/>
        <w:rPr>
          <w:rFonts w:ascii="宋体" w:hAnsi="宋体"/>
        </w:rPr>
      </w:pPr>
      <w:r>
        <w:rPr>
          <w:rFonts w:hint="eastAsia" w:ascii="宋体" w:hAnsi="宋体"/>
        </w:rPr>
        <w:t>项目名称：</w:t>
      </w:r>
      <w:r>
        <w:rPr>
          <w:rFonts w:hint="eastAsia" w:ascii="宋体" w:hAnsi="宋体"/>
          <w:szCs w:val="28"/>
          <w:u w:val="none"/>
          <w:lang w:val="en-US" w:eastAsia="zh-CN"/>
        </w:rPr>
        <w:t>复合酸抑菌凝胶</w:t>
      </w:r>
    </w:p>
    <w:p w14:paraId="6B8796DB">
      <w:pPr>
        <w:spacing w:line="360" w:lineRule="auto"/>
        <w:ind w:firstLine="420" w:firstLineChars="200"/>
        <w:rPr>
          <w:rFonts w:ascii="宋体" w:hAnsi="宋体"/>
        </w:rPr>
      </w:pPr>
      <w:r>
        <w:rPr>
          <w:rFonts w:hint="eastAsia" w:ascii="宋体" w:hAnsi="宋体"/>
        </w:rPr>
        <w:t>预算金额（支付上限）：人民币肆万零伍拾元整（¥</w:t>
      </w:r>
      <w:r>
        <w:rPr>
          <w:rFonts w:hint="eastAsia" w:ascii="宋体" w:hAnsi="宋体"/>
          <w:lang w:val="en-US" w:eastAsia="zh-CN"/>
        </w:rPr>
        <w:t>40050.00</w:t>
      </w:r>
      <w:r>
        <w:rPr>
          <w:rFonts w:hint="eastAsia" w:ascii="宋体" w:hAnsi="宋体"/>
          <w:szCs w:val="21"/>
        </w:rPr>
        <w:t>元）</w:t>
      </w:r>
    </w:p>
    <w:p w14:paraId="53438E1E">
      <w:pPr>
        <w:spacing w:line="360" w:lineRule="auto"/>
        <w:ind w:firstLine="420" w:firstLineChars="200"/>
        <w:rPr>
          <w:rFonts w:ascii="宋体" w:hAnsi="宋体"/>
          <w:u w:val="single"/>
        </w:rPr>
      </w:pPr>
      <w:r>
        <w:rPr>
          <w:rFonts w:hint="eastAsia" w:ascii="宋体" w:hAnsi="宋体"/>
        </w:rPr>
        <w:t>采购需求：详见招标文件</w:t>
      </w:r>
    </w:p>
    <w:p w14:paraId="7CF96533">
      <w:pPr>
        <w:spacing w:line="360" w:lineRule="auto"/>
        <w:ind w:firstLine="420" w:firstLineChars="200"/>
        <w:rPr>
          <w:rFonts w:ascii="宋体" w:hAnsi="宋体"/>
          <w:u w:val="single"/>
        </w:rPr>
      </w:pPr>
      <w:r>
        <w:rPr>
          <w:rFonts w:hint="eastAsia" w:ascii="宋体" w:hAnsi="宋体"/>
        </w:rPr>
        <w:t>合同履行期限：详见招标文件</w:t>
      </w:r>
    </w:p>
    <w:p w14:paraId="37C81C40">
      <w:pPr>
        <w:spacing w:line="360" w:lineRule="auto"/>
        <w:ind w:firstLine="420" w:firstLineChars="200"/>
        <w:rPr>
          <w:rFonts w:hint="eastAsia" w:ascii="宋体" w:hAnsi="宋体"/>
        </w:rPr>
      </w:pPr>
      <w:r>
        <w:rPr>
          <w:rFonts w:hint="eastAsia" w:ascii="宋体" w:hAnsi="宋体"/>
        </w:rPr>
        <w:t>本项目不接受联合体投标。</w:t>
      </w:r>
    </w:p>
    <w:p w14:paraId="16B89916">
      <w:pPr>
        <w:spacing w:line="360" w:lineRule="auto"/>
        <w:ind w:firstLine="420" w:firstLineChars="200"/>
        <w:rPr>
          <w:rFonts w:hint="eastAsia" w:ascii="宋体" w:hAnsi="宋体"/>
        </w:rPr>
      </w:pPr>
    </w:p>
    <w:p w14:paraId="1FCF967D">
      <w:pPr>
        <w:spacing w:line="360" w:lineRule="auto"/>
        <w:ind w:firstLine="420" w:firstLineChars="200"/>
        <w:outlineLvl w:val="9"/>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7"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7"/>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8"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8"/>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77EE1078">
      <w:pPr>
        <w:numPr>
          <w:ilvl w:val="0"/>
          <w:numId w:val="5"/>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报名时间：2025年9月2日8时00分至2025年9月8日17时00分止。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0FBAB5B0">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9"/>
        <w:rPr>
          <w:rFonts w:ascii="宋体" w:hAnsi="宋体"/>
          <w:b/>
        </w:rPr>
      </w:pPr>
      <w:r>
        <w:rPr>
          <w:rFonts w:hint="eastAsia" w:ascii="宋体" w:hAnsi="宋体"/>
          <w:lang w:val="en-US" w:eastAsia="zh-CN"/>
        </w:rPr>
        <w:t>四</w:t>
      </w:r>
      <w:r>
        <w:rPr>
          <w:rFonts w:hint="eastAsia" w:ascii="宋体" w:hAnsi="宋体"/>
        </w:rPr>
        <w:t>、公告期限</w:t>
      </w:r>
    </w:p>
    <w:p w14:paraId="790F53A0">
      <w:pPr>
        <w:spacing w:line="360" w:lineRule="auto"/>
        <w:ind w:firstLine="420" w:firstLineChars="200"/>
        <w:rPr>
          <w:rFonts w:hint="eastAsia" w:ascii="宋体" w:hAnsi="宋体"/>
          <w:kern w:val="0"/>
        </w:rPr>
      </w:pPr>
      <w:r>
        <w:rPr>
          <w:rFonts w:hint="eastAsia" w:ascii="宋体" w:hAnsi="宋体"/>
          <w:kern w:val="0"/>
        </w:rPr>
        <w:t>自本公告发布之日起5个工作日。</w:t>
      </w:r>
    </w:p>
    <w:p w14:paraId="783EA265">
      <w:pPr>
        <w:pStyle w:val="30"/>
        <w:rPr>
          <w:rFonts w:hint="eastAsia"/>
          <w:lang w:val="en-US" w:eastAsia="zh-CN"/>
        </w:rPr>
      </w:pPr>
    </w:p>
    <w:p w14:paraId="0972B18F">
      <w:pPr>
        <w:numPr>
          <w:ilvl w:val="0"/>
          <w:numId w:val="6"/>
        </w:numPr>
        <w:spacing w:line="360" w:lineRule="auto"/>
        <w:ind w:firstLine="420" w:firstLineChars="200"/>
        <w:outlineLvl w:val="9"/>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6212F695">
      <w:pPr>
        <w:pStyle w:val="30"/>
        <w:rPr>
          <w:rFonts w:hint="default"/>
          <w:lang w:val="en-US" w:eastAsia="zh-CN"/>
        </w:rPr>
      </w:pPr>
    </w:p>
    <w:p w14:paraId="4F2DF4E0">
      <w:pPr>
        <w:numPr>
          <w:ilvl w:val="0"/>
          <w:numId w:val="6"/>
        </w:numPr>
        <w:spacing w:line="360" w:lineRule="auto"/>
        <w:ind w:firstLine="420" w:firstLineChars="200"/>
        <w:outlineLvl w:val="9"/>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6A64976">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2、投标人有义务在招标活动期间浏览深圳市福田区第二人民医院网站（https://www.ft2yy.cn/）。相关公告在上述媒体上公布之日即视为有效送达，不再另行通知。</w:t>
      </w:r>
    </w:p>
    <w:p w14:paraId="14DB6B97">
      <w:pPr>
        <w:pStyle w:val="30"/>
        <w:rPr>
          <w:rFonts w:hint="eastAsia"/>
          <w:lang w:val="en-US" w:eastAsia="zh-CN"/>
        </w:rPr>
      </w:pPr>
    </w:p>
    <w:p w14:paraId="3019BE1D">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七、对本次招标提出询问，请按以下方式联系。</w:t>
      </w:r>
    </w:p>
    <w:p w14:paraId="4F679AC3">
      <w:pPr>
        <w:numPr>
          <w:ilvl w:val="0"/>
          <w:numId w:val="0"/>
        </w:numPr>
        <w:spacing w:line="360" w:lineRule="auto"/>
        <w:ind w:firstLine="420" w:firstLineChars="200"/>
        <w:rPr>
          <w:rFonts w:hint="default" w:ascii="宋体" w:hAnsi="宋体"/>
          <w:lang w:val="en-US" w:eastAsia="zh-CN"/>
        </w:rPr>
      </w:pPr>
      <w:r>
        <w:rPr>
          <w:rFonts w:hint="eastAsia" w:ascii="宋体" w:hAnsi="宋体"/>
          <w:lang w:val="en-US" w:eastAsia="zh-CN"/>
        </w:rPr>
        <w:t>医学装备部联系人：曾老师 0755-83116181</w:t>
      </w:r>
    </w:p>
    <w:p w14:paraId="1D33796B">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w:t>
      </w:r>
      <w:bookmarkStart w:id="172" w:name="_GoBack"/>
      <w:bookmarkEnd w:id="172"/>
      <w:r>
        <w:rPr>
          <w:rFonts w:hint="eastAsia" w:ascii="宋体" w:hAnsi="宋体"/>
        </w:rPr>
        <w:t>日</w:t>
      </w:r>
      <w:bookmarkEnd w:id="4"/>
      <w:bookmarkEnd w:id="5"/>
      <w:bookmarkEnd w:id="6"/>
    </w:p>
    <w:p w14:paraId="55CA3F6B">
      <w:pPr>
        <w:spacing w:line="400" w:lineRule="exact"/>
        <w:ind w:firstLine="420" w:firstLineChars="200"/>
        <w:jc w:val="right"/>
        <w:rPr>
          <w:rFonts w:hint="eastAsia" w:ascii="宋体" w:hAnsi="宋体"/>
        </w:rPr>
      </w:pPr>
    </w:p>
    <w:p w14:paraId="6469AE78">
      <w:pPr>
        <w:spacing w:line="400" w:lineRule="exact"/>
        <w:ind w:firstLine="420" w:firstLineChars="200"/>
        <w:jc w:val="right"/>
        <w:rPr>
          <w:rFonts w:hint="eastAsia" w:ascii="宋体" w:hAnsi="宋体"/>
        </w:rPr>
      </w:pPr>
    </w:p>
    <w:p w14:paraId="57457995">
      <w:pPr>
        <w:spacing w:line="400" w:lineRule="exact"/>
        <w:ind w:firstLine="420" w:firstLineChars="200"/>
        <w:jc w:val="right"/>
        <w:rPr>
          <w:rFonts w:hint="eastAsia" w:ascii="宋体" w:hAnsi="宋体"/>
        </w:rPr>
      </w:pPr>
    </w:p>
    <w:p w14:paraId="25FF5FA9">
      <w:pPr>
        <w:spacing w:line="400" w:lineRule="exact"/>
        <w:ind w:firstLine="420" w:firstLineChars="200"/>
        <w:jc w:val="right"/>
        <w:rPr>
          <w:rFonts w:hint="eastAsia" w:ascii="宋体" w:hAnsi="宋体"/>
        </w:rPr>
      </w:pPr>
    </w:p>
    <w:p w14:paraId="07D4EAE5">
      <w:pPr>
        <w:spacing w:line="400" w:lineRule="exact"/>
        <w:ind w:firstLine="420" w:firstLineChars="200"/>
        <w:jc w:val="right"/>
        <w:rPr>
          <w:rFonts w:hint="eastAsia" w:ascii="宋体" w:hAnsi="宋体"/>
        </w:rPr>
      </w:pPr>
    </w:p>
    <w:p w14:paraId="0BBD54F1">
      <w:pPr>
        <w:spacing w:line="400" w:lineRule="exact"/>
        <w:ind w:firstLine="420" w:firstLineChars="200"/>
        <w:jc w:val="right"/>
        <w:rPr>
          <w:rFonts w:hint="eastAsia" w:ascii="宋体" w:hAnsi="宋体"/>
        </w:rPr>
      </w:pPr>
    </w:p>
    <w:p w14:paraId="5E18DCF2">
      <w:pPr>
        <w:spacing w:line="400" w:lineRule="exact"/>
        <w:jc w:val="both"/>
        <w:rPr>
          <w:rFonts w:hint="eastAsia" w:ascii="宋体" w:hAnsi="宋体"/>
        </w:rPr>
      </w:pPr>
    </w:p>
    <w:p w14:paraId="2E497A98">
      <w:pPr>
        <w:spacing w:line="400" w:lineRule="exact"/>
        <w:jc w:val="both"/>
        <w:rPr>
          <w:rFonts w:hint="eastAsia" w:ascii="宋体" w:hAnsi="宋体"/>
        </w:rPr>
      </w:pPr>
    </w:p>
    <w:p w14:paraId="13CFC3C1">
      <w:pPr>
        <w:spacing w:line="400" w:lineRule="exact"/>
        <w:jc w:val="both"/>
        <w:rPr>
          <w:rFonts w:hint="eastAsia" w:ascii="宋体" w:hAnsi="宋体"/>
        </w:rPr>
      </w:pPr>
    </w:p>
    <w:p w14:paraId="6A5E8848">
      <w:pPr>
        <w:spacing w:line="400" w:lineRule="exact"/>
        <w:jc w:val="both"/>
        <w:rPr>
          <w:rFonts w:hint="eastAsia" w:ascii="宋体" w:hAnsi="宋体"/>
        </w:rPr>
      </w:pPr>
    </w:p>
    <w:p w14:paraId="1B01E0D4">
      <w:pPr>
        <w:spacing w:line="400" w:lineRule="exact"/>
        <w:jc w:val="both"/>
        <w:rPr>
          <w:rFonts w:hint="eastAsia" w:ascii="宋体" w:hAnsi="宋体"/>
        </w:rPr>
      </w:pPr>
    </w:p>
    <w:p w14:paraId="1BE84547">
      <w:pPr>
        <w:widowControl/>
        <w:numPr>
          <w:ilvl w:val="0"/>
          <w:numId w:val="3"/>
        </w:numPr>
        <w:ind w:left="0" w:leftChars="0" w:firstLine="0" w:firstLineChars="0"/>
        <w:jc w:val="center"/>
        <w:outlineLvl w:val="0"/>
        <w:rPr>
          <w:rFonts w:hint="eastAsia" w:asciiTheme="majorEastAsia" w:hAnsiTheme="majorEastAsia" w:eastAsiaTheme="majorEastAsia"/>
          <w:sz w:val="32"/>
          <w:szCs w:val="32"/>
          <w:lang w:val="en-US" w:eastAsia="zh-CN"/>
        </w:rPr>
      </w:pPr>
      <w:bookmarkStart w:id="9" w:name="_Toc24468"/>
      <w:r>
        <w:rPr>
          <w:rFonts w:hint="eastAsia" w:asciiTheme="majorEastAsia" w:hAnsiTheme="majorEastAsia" w:eastAsiaTheme="majorEastAsia"/>
          <w:sz w:val="32"/>
          <w:szCs w:val="32"/>
          <w:lang w:val="en-US" w:eastAsia="zh-CN"/>
        </w:rPr>
        <w:t>用户需求书</w:t>
      </w:r>
      <w:bookmarkEnd w:id="9"/>
    </w:p>
    <w:p w14:paraId="1A0964E7">
      <w:pPr>
        <w:snapToGrid w:val="0"/>
        <w:spacing w:line="360" w:lineRule="auto"/>
        <w:rPr>
          <w:rFonts w:ascii="宋体"/>
          <w:b/>
          <w:bCs/>
          <w:szCs w:val="20"/>
        </w:rPr>
      </w:pPr>
      <w:r>
        <w:rPr>
          <w:rFonts w:hint="eastAsia" w:ascii="宋体"/>
          <w:b/>
          <w:bCs/>
          <w:szCs w:val="20"/>
        </w:rPr>
        <w:t>说明：</w:t>
      </w:r>
    </w:p>
    <w:p w14:paraId="41B0864D">
      <w:pPr>
        <w:numPr>
          <w:ilvl w:val="0"/>
          <w:numId w:val="7"/>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7"/>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7"/>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10"/>
        <w:numPr>
          <w:ilvl w:val="0"/>
          <w:numId w:val="8"/>
        </w:numPr>
        <w:tabs>
          <w:tab w:val="left" w:pos="540"/>
        </w:tabs>
        <w:adjustRightInd w:val="0"/>
        <w:snapToGrid w:val="0"/>
        <w:spacing w:line="360" w:lineRule="auto"/>
        <w:ind w:left="420" w:leftChars="0" w:hanging="420" w:firstLineChars="0"/>
        <w:outlineLvl w:val="9"/>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复合酸抑菌凝胶</w:t>
            </w:r>
          </w:p>
        </w:tc>
        <w:tc>
          <w:tcPr>
            <w:tcW w:w="693" w:type="dxa"/>
            <w:vAlign w:val="center"/>
          </w:tcPr>
          <w:p w14:paraId="390AF9D4">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1批</w:t>
            </w:r>
          </w:p>
        </w:tc>
        <w:tc>
          <w:tcPr>
            <w:tcW w:w="2859" w:type="dxa"/>
            <w:vAlign w:val="center"/>
          </w:tcPr>
          <w:p w14:paraId="36A3EC96">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合同签订并接院方通知后2日内交货</w:t>
            </w:r>
          </w:p>
        </w:tc>
        <w:tc>
          <w:tcPr>
            <w:tcW w:w="1937" w:type="dxa"/>
            <w:vAlign w:val="center"/>
          </w:tcPr>
          <w:p w14:paraId="113A87B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人民币40050.00元</w:t>
            </w:r>
          </w:p>
        </w:tc>
        <w:tc>
          <w:tcPr>
            <w:tcW w:w="1937" w:type="dxa"/>
            <w:vAlign w:val="center"/>
          </w:tcPr>
          <w:p w14:paraId="6694BA1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10"/>
        <w:tabs>
          <w:tab w:val="left" w:pos="540"/>
        </w:tabs>
        <w:adjustRightInd w:val="0"/>
        <w:snapToGrid w:val="0"/>
        <w:spacing w:line="360" w:lineRule="auto"/>
        <w:rPr>
          <w:rFonts w:hAnsi="宋体"/>
          <w:b/>
          <w:color w:val="auto"/>
        </w:rPr>
      </w:pPr>
    </w:p>
    <w:p w14:paraId="705CA8FA">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lang w:val="en-US" w:eastAsia="zh-CN"/>
        </w:rPr>
        <w:t>货品清单及</w:t>
      </w:r>
      <w:r>
        <w:rPr>
          <w:rFonts w:hint="eastAsia" w:hAnsi="宋体"/>
          <w:b/>
          <w:color w:val="auto"/>
        </w:rPr>
        <w:t>技术要求：</w:t>
      </w:r>
    </w:p>
    <w:tbl>
      <w:tblPr>
        <w:tblStyle w:val="17"/>
        <w:tblW w:w="1130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996"/>
        <w:gridCol w:w="3786"/>
        <w:gridCol w:w="953"/>
        <w:gridCol w:w="969"/>
        <w:gridCol w:w="1361"/>
        <w:gridCol w:w="804"/>
        <w:gridCol w:w="1435"/>
      </w:tblGrid>
      <w:tr w14:paraId="41E73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EEECE1" w:themeFill="background2"/>
            <w:vAlign w:val="center"/>
          </w:tcPr>
          <w:p w14:paraId="640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3786" w:type="dxa"/>
            <w:tcBorders>
              <w:tl2br w:val="nil"/>
              <w:tr2bl w:val="nil"/>
            </w:tcBorders>
            <w:shd w:val="clear" w:color="auto" w:fill="EEECE1" w:themeFill="background2"/>
            <w:vAlign w:val="center"/>
          </w:tcPr>
          <w:p w14:paraId="4D145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技术要求/主要需求</w:t>
            </w:r>
          </w:p>
        </w:tc>
        <w:tc>
          <w:tcPr>
            <w:tcW w:w="953" w:type="dxa"/>
            <w:tcBorders>
              <w:tl2br w:val="nil"/>
              <w:tr2bl w:val="nil"/>
            </w:tcBorders>
            <w:shd w:val="clear" w:color="auto" w:fill="EEECE1" w:themeFill="background2"/>
            <w:vAlign w:val="center"/>
          </w:tcPr>
          <w:p w14:paraId="0E3D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规格</w:t>
            </w:r>
          </w:p>
        </w:tc>
        <w:tc>
          <w:tcPr>
            <w:tcW w:w="969" w:type="dxa"/>
            <w:tcBorders>
              <w:tl2br w:val="nil"/>
              <w:tr2bl w:val="nil"/>
            </w:tcBorders>
            <w:shd w:val="clear" w:color="auto" w:fill="EEECE1" w:themeFill="background2"/>
            <w:vAlign w:val="center"/>
          </w:tcPr>
          <w:p w14:paraId="7B6DD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最小计量单位</w:t>
            </w:r>
          </w:p>
        </w:tc>
        <w:tc>
          <w:tcPr>
            <w:tcW w:w="1361" w:type="dxa"/>
            <w:tcBorders>
              <w:tl2br w:val="nil"/>
              <w:tr2bl w:val="nil"/>
            </w:tcBorders>
            <w:shd w:val="clear" w:color="auto" w:fill="EEECE1" w:themeFill="background2"/>
            <w:vAlign w:val="center"/>
          </w:tcPr>
          <w:p w14:paraId="7A55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最小单位预算价格（元）</w:t>
            </w:r>
          </w:p>
        </w:tc>
        <w:tc>
          <w:tcPr>
            <w:tcW w:w="804" w:type="dxa"/>
            <w:tcBorders>
              <w:tl2br w:val="nil"/>
              <w:tr2bl w:val="nil"/>
            </w:tcBorders>
            <w:shd w:val="clear" w:color="auto" w:fill="EEECE1" w:themeFill="background2"/>
            <w:vAlign w:val="center"/>
          </w:tcPr>
          <w:p w14:paraId="1A69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参考数量</w:t>
            </w:r>
          </w:p>
        </w:tc>
        <w:tc>
          <w:tcPr>
            <w:tcW w:w="1435" w:type="dxa"/>
            <w:tcBorders>
              <w:tl2br w:val="nil"/>
              <w:tr2bl w:val="nil"/>
            </w:tcBorders>
            <w:shd w:val="clear" w:color="auto" w:fill="EEECE1" w:themeFill="background2"/>
            <w:vAlign w:val="center"/>
          </w:tcPr>
          <w:p w14:paraId="73CFF5ED">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rPr>
            </w:pPr>
            <w:r>
              <w:rPr>
                <w:rFonts w:hint="eastAsia" w:ascii="宋体" w:hAnsi="宋体" w:cs="宋体"/>
                <w:b/>
                <w:bCs/>
                <w:kern w:val="0"/>
                <w:szCs w:val="21"/>
              </w:rPr>
              <w:t>总预计年使用金额（元）</w:t>
            </w:r>
          </w:p>
        </w:tc>
      </w:tr>
      <w:tr w14:paraId="4852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rFonts w:hint="eastAsia"/>
                <w:lang w:val="en-US" w:eastAsia="zh-CN" w:bidi="ar"/>
              </w:rPr>
              <w:t>复合酸抑菌凝胶</w:t>
            </w:r>
            <w:r>
              <w:rPr>
                <w:rStyle w:val="32"/>
                <w:lang w:val="en-US" w:eastAsia="zh-CN" w:bidi="ar"/>
              </w:rPr>
              <w:t xml:space="preserve"> </w:t>
            </w:r>
          </w:p>
        </w:tc>
        <w:tc>
          <w:tcPr>
            <w:tcW w:w="3786" w:type="dxa"/>
            <w:tcBorders>
              <w:tl2br w:val="nil"/>
              <w:tr2bl w:val="nil"/>
            </w:tcBorders>
            <w:shd w:val="clear" w:color="auto" w:fill="auto"/>
            <w:vAlign w:val="center"/>
          </w:tcPr>
          <w:p w14:paraId="13F1937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化学焕肤术功能作用：痤疮、玫瑰痤疮，痤疮后色素沉着；表皮色素增加性皮肤病：如黄褐斑、炎症后色素沉着；瘢痕；皮肤光老化；光电治疗前的预处理；其他：毛周角化病、鱼鳞病、皮肤淀粉样变病等皮肤疾病，起到了有效的临床治疗手段，在皮肤科和美容科得到了广泛的应用。</w:t>
            </w:r>
          </w:p>
          <w:p w14:paraId="58E57E5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复合酸抑菌凝胶组成，含水杨酸浓度24%±2%,扁桃酸浓度6%±2%，有较强的抑菌功效及用途，水杨酸及扁桃酸的协同作用，降低角质形成细胞的黏着性，加速表皮细胞的新陈代谢率，启动皮肤损伤修复的重建机制，激活真皮胶原合成的组织修复，减轻皮肤炎症反应，减少痤疮皮损的同时使皮肤坚实有弹性。</w:t>
            </w:r>
          </w:p>
        </w:tc>
        <w:tc>
          <w:tcPr>
            <w:tcW w:w="953" w:type="dxa"/>
            <w:tcBorders>
              <w:tl2br w:val="nil"/>
              <w:tr2bl w:val="nil"/>
            </w:tcBorders>
            <w:shd w:val="clear" w:color="auto" w:fill="auto"/>
            <w:vAlign w:val="center"/>
          </w:tcPr>
          <w:p w14:paraId="66304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rFonts w:hint="eastAsia"/>
                <w:lang w:val="en-US" w:eastAsia="zh-CN" w:bidi="ar"/>
              </w:rPr>
              <w:t>10g</w:t>
            </w:r>
          </w:p>
        </w:tc>
        <w:tc>
          <w:tcPr>
            <w:tcW w:w="969" w:type="dxa"/>
            <w:tcBorders>
              <w:tl2br w:val="nil"/>
              <w:tr2bl w:val="nil"/>
            </w:tcBorders>
            <w:shd w:val="clear" w:color="auto" w:fill="auto"/>
            <w:vAlign w:val="center"/>
          </w:tcPr>
          <w:p w14:paraId="2A61A83B">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支</w:t>
            </w:r>
          </w:p>
        </w:tc>
        <w:tc>
          <w:tcPr>
            <w:tcW w:w="1361" w:type="dxa"/>
            <w:tcBorders>
              <w:tl2br w:val="nil"/>
              <w:tr2bl w:val="nil"/>
            </w:tcBorders>
            <w:shd w:val="clear" w:color="auto" w:fill="auto"/>
            <w:vAlign w:val="center"/>
          </w:tcPr>
          <w:p w14:paraId="6DE5C442">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445</w:t>
            </w:r>
          </w:p>
        </w:tc>
        <w:tc>
          <w:tcPr>
            <w:tcW w:w="804" w:type="dxa"/>
            <w:tcBorders>
              <w:tl2br w:val="nil"/>
              <w:tr2bl w:val="nil"/>
            </w:tcBorders>
            <w:shd w:val="clear" w:color="auto" w:fill="auto"/>
            <w:vAlign w:val="center"/>
          </w:tcPr>
          <w:p w14:paraId="70F9B9B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90</w:t>
            </w:r>
          </w:p>
        </w:tc>
        <w:tc>
          <w:tcPr>
            <w:tcW w:w="1435" w:type="dxa"/>
            <w:tcBorders>
              <w:tl2br w:val="nil"/>
              <w:tr2bl w:val="nil"/>
            </w:tcBorders>
            <w:shd w:val="clear" w:color="auto" w:fill="auto"/>
            <w:vAlign w:val="center"/>
          </w:tcPr>
          <w:p w14:paraId="4FCBA07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r>
              <w:rPr>
                <w:rStyle w:val="31"/>
                <w:rFonts w:hint="eastAsia"/>
                <w:lang w:val="en-US" w:eastAsia="zh-CN" w:bidi="ar"/>
              </w:rPr>
              <w:t>40050</w:t>
            </w:r>
          </w:p>
        </w:tc>
      </w:tr>
    </w:tbl>
    <w:p w14:paraId="1FFD18C6">
      <w:pPr>
        <w:pStyle w:val="10"/>
        <w:tabs>
          <w:tab w:val="left" w:pos="420"/>
          <w:tab w:val="left" w:pos="540"/>
        </w:tabs>
        <w:adjustRightInd w:val="0"/>
        <w:snapToGrid w:val="0"/>
        <w:spacing w:line="360" w:lineRule="auto"/>
        <w:rPr>
          <w:rFonts w:hAnsi="宋体"/>
          <w:b/>
          <w:color w:val="auto"/>
        </w:rPr>
      </w:pPr>
    </w:p>
    <w:p w14:paraId="7C2FC4C4">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rPr>
        <w:t>商务要求：</w:t>
      </w:r>
    </w:p>
    <w:p w14:paraId="6E48CCF4">
      <w:pPr>
        <w:keepNext w:val="0"/>
        <w:keepLines w:val="0"/>
        <w:pageBreakBefore w:val="0"/>
        <w:widowControl w:val="0"/>
        <w:numPr>
          <w:ilvl w:val="0"/>
          <w:numId w:val="9"/>
        </w:numPr>
        <w:tabs>
          <w:tab w:val="left" w:pos="0"/>
          <w:tab w:val="left" w:pos="220"/>
          <w:tab w:val="clear" w:pos="312"/>
        </w:tabs>
        <w:kinsoku/>
        <w:wordWrap w:val="0"/>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ascii="宋体" w:hAnsi="宋体" w:eastAsia="宋体" w:cs="宋体"/>
          <w:b/>
          <w:bCs/>
          <w:color w:val="auto"/>
          <w:sz w:val="21"/>
          <w:szCs w:val="21"/>
          <w:highlight w:val="none"/>
          <w:lang w:val="en-US" w:eastAsia="zh-CN"/>
        </w:rPr>
        <w:t>合同履行</w:t>
      </w:r>
      <w:r>
        <w:rPr>
          <w:rFonts w:hint="eastAsia" w:ascii="宋体" w:hAnsi="宋体" w:eastAsia="宋体" w:cs="宋体"/>
          <w:b/>
          <w:bCs/>
          <w:color w:val="auto"/>
          <w:sz w:val="21"/>
          <w:szCs w:val="21"/>
          <w:highlight w:val="none"/>
          <w:lang w:val="zh-CN"/>
        </w:rPr>
        <w:t>期限：</w:t>
      </w:r>
      <w:r>
        <w:rPr>
          <w:rFonts w:hint="eastAsia"/>
          <w:highlight w:val="none"/>
          <w:lang w:val="en-US" w:eastAsia="zh-CN"/>
        </w:rPr>
        <w:t>24个月。</w:t>
      </w:r>
    </w:p>
    <w:p w14:paraId="4E72E39F">
      <w:pPr>
        <w:keepNext w:val="0"/>
        <w:keepLines w:val="0"/>
        <w:pageBreakBefore w:val="0"/>
        <w:widowControl w:val="0"/>
        <w:numPr>
          <w:ilvl w:val="0"/>
          <w:numId w:val="9"/>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en-US" w:eastAsia="zh-CN"/>
        </w:rPr>
        <w:t>交货时间</w:t>
      </w:r>
      <w:r>
        <w:rPr>
          <w:rFonts w:hint="eastAsia" w:ascii="宋体" w:hAnsi="宋体" w:eastAsia="宋体" w:cs="宋体"/>
          <w:b/>
          <w:bCs/>
          <w:color w:val="auto"/>
          <w:sz w:val="21"/>
          <w:szCs w:val="21"/>
          <w:highlight w:val="none"/>
          <w:lang w:val="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收到采购人的需求清单后</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zh-CN"/>
        </w:rPr>
        <w:t>天内交货。</w:t>
      </w:r>
    </w:p>
    <w:p w14:paraId="34696E9B">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报价方式：</w:t>
      </w:r>
    </w:p>
    <w:p w14:paraId="1AE3C9D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报价使用货币及单位：人民币（元），报价精确到元。</w:t>
      </w:r>
    </w:p>
    <w:p w14:paraId="7FFFEC8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投标人所报价格为含税、配送商费用等的全包价。</w:t>
      </w:r>
    </w:p>
    <w:p w14:paraId="12EF6EC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投标人的投标报价不得高于深圳市最低成交价。</w:t>
      </w:r>
    </w:p>
    <w:p w14:paraId="69A9D4A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val="zh-CN"/>
        </w:rPr>
        <w:t>不得以低于自身成本的报价投标：当评标委员会认为其报价低于成本价时，评标委员会有权要求其对成本构成进行介绍，并要求投标方用书面的形式进行低价说明（在保证质量的前提下，能够大副节省经费的手段或原因）；如投标人没有合理的理由或不按要求提供低价说明，可视为不被接受的有风险的报价。</w:t>
      </w:r>
    </w:p>
    <w:p w14:paraId="0239CD57">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付款方式：</w:t>
      </w:r>
    </w:p>
    <w:p w14:paraId="7B3BE365">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rPr>
        <w:t>按月</w:t>
      </w:r>
      <w:r>
        <w:rPr>
          <w:rFonts w:hint="eastAsia" w:ascii="宋体" w:hAnsi="宋体" w:eastAsia="宋体" w:cs="宋体"/>
          <w:color w:val="auto"/>
          <w:sz w:val="21"/>
          <w:szCs w:val="21"/>
          <w:highlight w:val="none"/>
          <w:lang w:val="en-US" w:eastAsia="zh-CN"/>
        </w:rPr>
        <w:t>据实</w:t>
      </w:r>
      <w:r>
        <w:rPr>
          <w:rFonts w:hint="eastAsia" w:ascii="宋体" w:hAnsi="宋体" w:eastAsia="宋体" w:cs="宋体"/>
          <w:color w:val="auto"/>
          <w:sz w:val="21"/>
          <w:szCs w:val="21"/>
          <w:highlight w:val="none"/>
          <w:lang w:val="zh-CN"/>
        </w:rPr>
        <w:t>结算，</w:t>
      </w:r>
      <w:r>
        <w:rPr>
          <w:rFonts w:hint="eastAsia" w:ascii="宋体" w:hAnsi="宋体" w:eastAsia="宋体" w:cs="宋体"/>
          <w:color w:val="auto"/>
          <w:sz w:val="21"/>
          <w:szCs w:val="21"/>
          <w:highlight w:val="none"/>
          <w:lang w:val="en-US" w:eastAsia="zh-CN"/>
        </w:rPr>
        <w:t>投标人在中标后，每月根据采购人</w:t>
      </w:r>
      <w:r>
        <w:rPr>
          <w:rFonts w:hint="eastAsia" w:ascii="宋体" w:hAnsi="宋体" w:cs="宋体"/>
          <w:color w:val="auto"/>
          <w:sz w:val="21"/>
          <w:szCs w:val="21"/>
          <w:highlight w:val="none"/>
          <w:lang w:val="en-US" w:eastAsia="zh-CN"/>
        </w:rPr>
        <w:t>的采购</w:t>
      </w:r>
      <w:r>
        <w:rPr>
          <w:rFonts w:hint="eastAsia" w:ascii="宋体" w:hAnsi="宋体" w:eastAsia="宋体" w:cs="宋体"/>
          <w:color w:val="auto"/>
          <w:sz w:val="21"/>
          <w:szCs w:val="21"/>
          <w:highlight w:val="none"/>
          <w:lang w:val="en-US" w:eastAsia="zh-CN"/>
        </w:rPr>
        <w:t>订货单、货物验收签到表以及开具购买</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val="en-US" w:eastAsia="zh-CN"/>
        </w:rPr>
        <w:t>耗材的发票金额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向采购人申请支付费用</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lang w:val="en-US" w:eastAsia="zh-CN"/>
        </w:rPr>
        <w:t>。全年总支付金额不超过</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预算金额</w:t>
      </w:r>
      <w:r>
        <w:rPr>
          <w:rFonts w:hint="eastAsia" w:ascii="宋体" w:hAnsi="宋体" w:cs="宋体"/>
          <w:b/>
          <w:bCs/>
          <w:color w:val="auto"/>
          <w:sz w:val="21"/>
          <w:szCs w:val="21"/>
          <w:highlight w:val="none"/>
          <w:u w:val="single"/>
          <w:lang w:val="en-US" w:eastAsia="zh-CN"/>
        </w:rPr>
        <w:t>40050.00</w:t>
      </w:r>
      <w:r>
        <w:rPr>
          <w:rFonts w:hint="eastAsia" w:ascii="宋体" w:hAnsi="宋体" w:eastAsia="宋体" w:cs="宋体"/>
          <w:b/>
          <w:bCs/>
          <w:i w:val="0"/>
          <w:iCs w:val="0"/>
          <w:color w:val="000000"/>
          <w:kern w:val="0"/>
          <w:sz w:val="21"/>
          <w:szCs w:val="21"/>
          <w:highlight w:val="none"/>
          <w:u w:val="single"/>
          <w:lang w:val="en-US" w:eastAsia="zh-CN" w:bidi="ar"/>
        </w:rPr>
        <w:t>元</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color w:val="auto"/>
          <w:sz w:val="21"/>
          <w:szCs w:val="21"/>
          <w:highlight w:val="none"/>
          <w:lang w:val="zh-CN"/>
        </w:rPr>
        <w:t>具体方式由供需双方在合同中约定。</w:t>
      </w:r>
    </w:p>
    <w:p w14:paraId="1D12A3D2">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质量保证</w:t>
      </w:r>
      <w:r>
        <w:rPr>
          <w:rFonts w:hint="eastAsia" w:ascii="宋体" w:hAnsi="宋体" w:eastAsia="宋体" w:cs="宋体"/>
          <w:b/>
          <w:bCs/>
          <w:color w:val="auto"/>
          <w:sz w:val="21"/>
          <w:szCs w:val="21"/>
          <w:highlight w:val="none"/>
          <w:lang w:val="en-US" w:eastAsia="zh-CN"/>
        </w:rPr>
        <w:t>：</w:t>
      </w:r>
    </w:p>
    <w:p w14:paraId="079899C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中标人需按国家相关标准进行耗材包装，耗材的包装均</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有良好的防湿、防锈、防潮、防雨、防腐及防碰撞的措施，并适宜深圳的气候条件。凡由于包装不良造成的损失和由此产生的费用均由</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标人承担。</w:t>
      </w:r>
    </w:p>
    <w:p w14:paraId="663681FE">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5.2</w:t>
      </w:r>
      <w:r>
        <w:rPr>
          <w:rFonts w:hint="eastAsia" w:ascii="宋体" w:hAnsi="宋体" w:eastAsia="宋体" w:cs="宋体"/>
          <w:color w:val="auto"/>
          <w:sz w:val="21"/>
          <w:szCs w:val="21"/>
          <w:highlight w:val="none"/>
          <w:lang w:val="zh-CN"/>
        </w:rPr>
        <w:t>中标人应提供完整的技术资料，包括但不限于产品说明书、质量保证文件、服务指南等，所有外文资料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提供中文译本。文件应随货物一并交付至采购人指定地点。</w:t>
      </w:r>
    </w:p>
    <w:p w14:paraId="7625E7FE">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5.3</w:t>
      </w:r>
      <w:r>
        <w:rPr>
          <w:rFonts w:hint="eastAsia" w:ascii="宋体" w:hAnsi="宋体" w:eastAsia="宋体" w:cs="宋体"/>
          <w:color w:val="auto"/>
          <w:szCs w:val="21"/>
          <w:highlight w:val="none"/>
          <w:lang w:val="en-US" w:eastAsia="zh-CN"/>
        </w:rPr>
        <w:t>在临床使用中出现不良事件，</w:t>
      </w:r>
      <w:r>
        <w:rPr>
          <w:rFonts w:hint="eastAsia" w:ascii="宋体" w:hAnsi="宋体" w:eastAsia="宋体" w:cs="宋体"/>
          <w:color w:val="auto"/>
          <w:sz w:val="21"/>
          <w:szCs w:val="21"/>
          <w:highlight w:val="none"/>
          <w:lang w:val="zh-CN"/>
        </w:rPr>
        <w:t>中标人</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接到通知后半小时内响应，两小时内赶到现场。经国家相关质量监察部门鉴定后，确实属于产品质量问题的，</w:t>
      </w:r>
      <w:r>
        <w:rPr>
          <w:rFonts w:hint="eastAsia" w:ascii="宋体" w:hAnsi="宋体" w:cs="宋体"/>
          <w:color w:val="auto"/>
          <w:szCs w:val="21"/>
          <w:highlight w:val="none"/>
          <w:lang w:val="en-US" w:eastAsia="zh-CN"/>
        </w:rPr>
        <w:t>由</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承担全部责任。</w:t>
      </w:r>
    </w:p>
    <w:p w14:paraId="0EFCD6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cs="宋体" w:asciiTheme="minorEastAsia" w:hAnsiTheme="minorEastAsia"/>
          <w:color w:val="auto"/>
          <w:kern w:val="0"/>
          <w:highlight w:val="none"/>
          <w:lang w:val="en-US" w:eastAsia="zh-CN"/>
        </w:rPr>
      </w:pP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4</w:t>
      </w:r>
      <w:r>
        <w:rPr>
          <w:rFonts w:hint="eastAsia" w:cs="宋体" w:asciiTheme="minorEastAsia" w:hAnsiTheme="minorEastAsia"/>
          <w:color w:val="auto"/>
          <w:kern w:val="0"/>
          <w:highlight w:val="none"/>
          <w:lang w:val="en-US" w:eastAsia="zh-CN"/>
        </w:rPr>
        <w:t>货物有效期不低于</w:t>
      </w:r>
      <w:r>
        <w:rPr>
          <w:rFonts w:hint="eastAsia" w:cs="宋体" w:asciiTheme="minorEastAsia" w:hAnsiTheme="minorEastAsia"/>
          <w:b/>
          <w:bCs/>
          <w:color w:val="auto"/>
          <w:kern w:val="0"/>
          <w:highlight w:val="none"/>
          <w:u w:val="single"/>
          <w:lang w:val="en-US" w:eastAsia="zh-CN"/>
        </w:rPr>
        <w:t>产品有效期的三分之二</w:t>
      </w:r>
      <w:r>
        <w:rPr>
          <w:rFonts w:hint="eastAsia" w:cs="宋体" w:asciiTheme="minorEastAsia" w:hAnsiTheme="minorEastAsia"/>
          <w:color w:val="auto"/>
          <w:kern w:val="0"/>
          <w:highlight w:val="none"/>
          <w:lang w:val="en-US" w:eastAsia="zh-CN"/>
        </w:rPr>
        <w:t>，有效期内有任何产品质量问题，中标人需免费进行更换。</w:t>
      </w:r>
    </w:p>
    <w:p w14:paraId="66DC0D09">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售后服务要求</w:t>
      </w:r>
      <w:r>
        <w:rPr>
          <w:rFonts w:hint="eastAsia" w:ascii="宋体" w:hAnsi="宋体" w:cs="宋体"/>
          <w:b/>
          <w:bCs/>
          <w:color w:val="auto"/>
          <w:sz w:val="21"/>
          <w:szCs w:val="21"/>
          <w:highlight w:val="none"/>
          <w:lang w:val="zh-CN"/>
        </w:rPr>
        <w:t>：</w:t>
      </w:r>
    </w:p>
    <w:p w14:paraId="5F3755D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zh-CN"/>
        </w:rPr>
        <w:t>耗材出现问题时，中标人</w:t>
      </w:r>
      <w:r>
        <w:rPr>
          <w:rFonts w:hint="eastAsia" w:ascii="宋体" w:hAnsi="宋体" w:cs="宋体"/>
          <w:color w:val="auto"/>
          <w:szCs w:val="21"/>
          <w:highlight w:val="none"/>
          <w:lang w:val="en-US" w:eastAsia="zh-CN"/>
        </w:rPr>
        <w:t>要求中标人能在2</w:t>
      </w:r>
      <w:r>
        <w:rPr>
          <w:rFonts w:hint="eastAsia" w:ascii="宋体" w:hAnsi="宋体" w:eastAsia="宋体" w:cs="宋体"/>
          <w:color w:val="auto"/>
          <w:szCs w:val="21"/>
          <w:highlight w:val="none"/>
          <w:lang w:val="en-US" w:eastAsia="zh-CN"/>
        </w:rPr>
        <w:t>小时内响应，</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小时内到达现场。</w:t>
      </w:r>
    </w:p>
    <w:p w14:paraId="06C9F3BA">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rPr>
        <w:t>中标人投标时所提供的耗材如在实际供货时已经停产，</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按原价提供</w:t>
      </w:r>
      <w:r>
        <w:rPr>
          <w:rFonts w:hint="eastAsia" w:ascii="宋体" w:hAnsi="宋体" w:cs="宋体"/>
          <w:color w:val="auto"/>
          <w:sz w:val="21"/>
          <w:szCs w:val="21"/>
          <w:highlight w:val="none"/>
          <w:lang w:val="en-US" w:eastAsia="zh-CN"/>
        </w:rPr>
        <w:t>用途相同的</w:t>
      </w:r>
      <w:r>
        <w:rPr>
          <w:rFonts w:hint="eastAsia" w:ascii="宋体" w:hAnsi="宋体" w:eastAsia="宋体" w:cs="宋体"/>
          <w:color w:val="auto"/>
          <w:sz w:val="21"/>
          <w:szCs w:val="21"/>
          <w:highlight w:val="none"/>
          <w:lang w:val="zh-CN"/>
        </w:rPr>
        <w:t>更优质的耗材。</w:t>
      </w:r>
    </w:p>
    <w:p w14:paraId="4EE5287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采购人订单发出</w:t>
      </w:r>
      <w:r>
        <w:rPr>
          <w:rFonts w:hint="eastAsia" w:ascii="宋体" w:hAnsi="宋体" w:eastAsia="宋体" w:cs="宋体"/>
          <w:color w:val="auto"/>
          <w:szCs w:val="21"/>
          <w:highlight w:val="none"/>
          <w:lang w:val="en-US" w:eastAsia="zh-CN"/>
        </w:rPr>
        <w:t>之</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要求</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Cs w:val="21"/>
          <w:highlight w:val="none"/>
          <w:lang w:val="en-US" w:eastAsia="zh-CN"/>
        </w:rPr>
        <w:t>配送</w:t>
      </w:r>
      <w:r>
        <w:rPr>
          <w:rFonts w:hint="eastAsia" w:ascii="宋体" w:hAnsi="宋体" w:cs="宋体"/>
          <w:color w:val="auto"/>
          <w:szCs w:val="21"/>
          <w:highlight w:val="none"/>
          <w:lang w:val="en-US" w:eastAsia="zh-CN"/>
        </w:rPr>
        <w:t>时限一般</w:t>
      </w:r>
      <w:r>
        <w:rPr>
          <w:rFonts w:hint="eastAsia" w:ascii="宋体" w:hAnsi="宋体" w:eastAsia="宋体" w:cs="宋体"/>
          <w:color w:val="auto"/>
          <w:szCs w:val="21"/>
          <w:highlight w:val="none"/>
          <w:lang w:val="en-US" w:eastAsia="zh-CN"/>
        </w:rPr>
        <w:t>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小时。</w:t>
      </w:r>
      <w:r>
        <w:rPr>
          <w:rFonts w:hint="eastAsia" w:ascii="宋体" w:hAnsi="宋体" w:cs="宋体"/>
          <w:color w:val="auto"/>
          <w:szCs w:val="21"/>
          <w:highlight w:val="none"/>
          <w:lang w:val="en-US" w:eastAsia="zh-CN"/>
        </w:rPr>
        <w:t>若采购人要求</w:t>
      </w:r>
      <w:r>
        <w:rPr>
          <w:rFonts w:hint="eastAsia" w:ascii="宋体" w:hAnsi="宋体" w:eastAsia="宋体" w:cs="宋体"/>
          <w:color w:val="auto"/>
          <w:szCs w:val="21"/>
          <w:highlight w:val="none"/>
          <w:lang w:val="en-US" w:eastAsia="zh-CN"/>
        </w:rPr>
        <w:t>紧急配送，</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Cs w:val="21"/>
          <w:highlight w:val="none"/>
          <w:lang w:val="en-US" w:eastAsia="zh-CN"/>
        </w:rPr>
        <w:t>保证所有</w:t>
      </w:r>
      <w:r>
        <w:rPr>
          <w:rFonts w:hint="eastAsia" w:ascii="宋体" w:hAnsi="宋体" w:cs="宋体"/>
          <w:color w:val="auto"/>
          <w:szCs w:val="21"/>
          <w:highlight w:val="none"/>
          <w:lang w:val="en-US" w:eastAsia="zh-CN"/>
        </w:rPr>
        <w:t>耗材</w:t>
      </w: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小时内送达。</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订单发出</w:t>
      </w:r>
      <w:r>
        <w:rPr>
          <w:rFonts w:hint="eastAsia" w:ascii="宋体" w:hAnsi="宋体" w:cs="宋体"/>
          <w:color w:val="auto"/>
          <w:szCs w:val="21"/>
          <w:highlight w:val="none"/>
          <w:lang w:val="en-US" w:eastAsia="zh-CN"/>
        </w:rPr>
        <w:t>时间包含</w:t>
      </w:r>
      <w:r>
        <w:rPr>
          <w:rFonts w:hint="eastAsia" w:ascii="宋体" w:hAnsi="宋体" w:eastAsia="宋体" w:cs="宋体"/>
          <w:color w:val="auto"/>
          <w:szCs w:val="21"/>
          <w:highlight w:val="none"/>
          <w:lang w:val="en-US" w:eastAsia="zh-CN"/>
        </w:rPr>
        <w:t>节假日</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应留置值班人员以满足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订货需求。</w:t>
      </w:r>
    </w:p>
    <w:p w14:paraId="08076FB4">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6.4</w:t>
      </w:r>
      <w:r>
        <w:rPr>
          <w:rFonts w:hint="eastAsia" w:ascii="宋体" w:hAnsi="宋体" w:eastAsia="宋体" w:cs="宋体"/>
          <w:color w:val="auto"/>
          <w:sz w:val="21"/>
          <w:szCs w:val="21"/>
          <w:highlight w:val="none"/>
          <w:lang w:val="zh-CN"/>
        </w:rPr>
        <w:t>中标人应派专业技术人员对采购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指定人员进行定期培训及指导</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且不额外收费</w:t>
      </w:r>
      <w:r>
        <w:rPr>
          <w:rFonts w:hint="eastAsia" w:ascii="宋体" w:hAnsi="宋体" w:eastAsia="宋体" w:cs="宋体"/>
          <w:color w:val="auto"/>
          <w:sz w:val="21"/>
          <w:szCs w:val="21"/>
          <w:highlight w:val="none"/>
          <w:lang w:val="zh-CN"/>
        </w:rPr>
        <w:t>。</w:t>
      </w:r>
    </w:p>
    <w:p w14:paraId="6FAB44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应按其投标文件中的承诺，进行其他售后服务工作。</w:t>
      </w:r>
    </w:p>
    <w:p w14:paraId="641A96C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CN"/>
        </w:rPr>
        <w:t>验收及相关技术文件、资料</w:t>
      </w:r>
      <w:r>
        <w:rPr>
          <w:rFonts w:hint="eastAsia" w:ascii="宋体" w:hAnsi="宋体" w:cs="宋体"/>
          <w:b/>
          <w:bCs/>
          <w:color w:val="auto"/>
          <w:sz w:val="21"/>
          <w:szCs w:val="21"/>
          <w:highlight w:val="none"/>
          <w:lang w:val="zh-CN"/>
        </w:rPr>
        <w:t>：</w:t>
      </w:r>
    </w:p>
    <w:p w14:paraId="771A21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val="zh-CN" w:eastAsia="zh-CN"/>
        </w:rPr>
        <w:t>投标人提供的耗材</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符合国家承认的相应标准。</w:t>
      </w:r>
      <w:r>
        <w:rPr>
          <w:rFonts w:hint="eastAsia" w:ascii="宋体" w:hAnsi="宋体" w:cs="宋体"/>
          <w:color w:val="auto"/>
          <w:szCs w:val="21"/>
          <w:highlight w:val="none"/>
          <w:lang w:val="en-US" w:eastAsia="zh-CN"/>
        </w:rPr>
        <w:t>满足采购要求。</w:t>
      </w:r>
    </w:p>
    <w:p w14:paraId="43D72B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lang w:val="zh-CN" w:eastAsia="zh-CN"/>
        </w:rPr>
        <w:t>投标人所提供的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是其合法生产或代理的合格耗材，并能够按照耗材成交确认合同规定的商标、产地、质量、价格、</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eastAsia="zh-CN"/>
        </w:rPr>
        <w:t>效期及时供货。</w:t>
      </w:r>
    </w:p>
    <w:p w14:paraId="78D5FDEC">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7.3</w:t>
      </w:r>
      <w:r>
        <w:rPr>
          <w:rFonts w:hint="eastAsia" w:ascii="宋体" w:hAnsi="宋体" w:eastAsia="宋体" w:cs="宋体"/>
          <w:color w:val="auto"/>
          <w:sz w:val="21"/>
          <w:szCs w:val="21"/>
          <w:highlight w:val="none"/>
          <w:lang w:val="zh-CN"/>
        </w:rPr>
        <w:t>耗材外观清洁，产品包装上（包括大包装、小包装等）需附有以下所列各项国家规定的中文标识：</w:t>
      </w:r>
    </w:p>
    <w:p w14:paraId="12AA719E">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（1）耗材名称、型号、规格；</w:t>
      </w:r>
    </w:p>
    <w:p w14:paraId="7970AA57">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（2）生产企业名称、注册地址、生产地址、联系方式；</w:t>
      </w:r>
    </w:p>
    <w:p w14:paraId="7BD933FF">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）耗材生产日期或批（编）号、有效期限。</w:t>
      </w:r>
    </w:p>
    <w:p w14:paraId="15B48AC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sz w:val="21"/>
          <w:szCs w:val="21"/>
          <w:highlight w:val="none"/>
          <w:lang w:val="zh-CN"/>
        </w:rPr>
        <w:t>所有耗材在开封检验时</w:t>
      </w:r>
      <w:r>
        <w:rPr>
          <w:rFonts w:hint="eastAsia" w:ascii="宋体" w:hAnsi="宋体" w:cs="宋体"/>
          <w:color w:val="auto"/>
          <w:szCs w:val="21"/>
          <w:highlight w:val="none"/>
          <w:lang w:val="en-US" w:eastAsia="zh-CN"/>
        </w:rPr>
        <w:t>应</w:t>
      </w:r>
      <w:r>
        <w:rPr>
          <w:rFonts w:hint="eastAsia" w:ascii="宋体" w:hAnsi="宋体" w:eastAsia="宋体" w:cs="宋体"/>
          <w:color w:val="auto"/>
          <w:sz w:val="21"/>
          <w:szCs w:val="21"/>
          <w:highlight w:val="none"/>
          <w:lang w:val="zh-CN"/>
        </w:rPr>
        <w:t>完好，无破损，配置与说明书相符。如有破损，应无条件退换。</w:t>
      </w:r>
    </w:p>
    <w:p w14:paraId="03E23A03">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sz w:val="21"/>
          <w:szCs w:val="21"/>
          <w:highlight w:val="none"/>
          <w:lang w:val="zh-CN"/>
        </w:rPr>
        <w:t>耗材符合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文件技术要求，具备产品合格证，性能满足要求。</w:t>
      </w:r>
    </w:p>
    <w:p w14:paraId="13A7BD2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7.6采购人</w:t>
      </w:r>
      <w:r>
        <w:rPr>
          <w:rFonts w:hint="eastAsia" w:ascii="宋体" w:hAnsi="宋体" w:eastAsia="宋体" w:cs="宋体"/>
          <w:color w:val="auto"/>
          <w:szCs w:val="21"/>
          <w:highlight w:val="none"/>
          <w:lang w:val="en-US" w:eastAsia="zh-CN"/>
        </w:rPr>
        <w:t>接受货物后若有疑义或使用前发现不宜使用的现象，</w:t>
      </w:r>
      <w:r>
        <w:rPr>
          <w:rFonts w:hint="eastAsia" w:ascii="宋体" w:hAnsi="宋体" w:cs="宋体"/>
          <w:color w:val="auto"/>
          <w:szCs w:val="21"/>
          <w:highlight w:val="none"/>
          <w:lang w:val="en-US" w:eastAsia="zh-CN"/>
        </w:rPr>
        <w:t>中标人需</w:t>
      </w:r>
      <w:r>
        <w:rPr>
          <w:rFonts w:hint="eastAsia" w:ascii="宋体" w:hAnsi="宋体" w:eastAsia="宋体" w:cs="宋体"/>
          <w:color w:val="auto"/>
          <w:szCs w:val="21"/>
          <w:highlight w:val="none"/>
          <w:lang w:val="en-US" w:eastAsia="zh-CN"/>
        </w:rPr>
        <w:t>提供退换货服务</w:t>
      </w:r>
      <w:r>
        <w:rPr>
          <w:rFonts w:hint="eastAsia" w:ascii="宋体" w:hAnsi="宋体" w:cs="宋体"/>
          <w:color w:val="auto"/>
          <w:szCs w:val="21"/>
          <w:highlight w:val="none"/>
          <w:lang w:val="en-US" w:eastAsia="zh-CN"/>
        </w:rPr>
        <w:t>，不额外收费</w:t>
      </w:r>
      <w:r>
        <w:rPr>
          <w:rFonts w:hint="eastAsia" w:ascii="宋体" w:hAnsi="宋体" w:eastAsia="宋体" w:cs="宋体"/>
          <w:color w:val="auto"/>
          <w:szCs w:val="21"/>
          <w:highlight w:val="none"/>
          <w:lang w:val="en-US" w:eastAsia="zh-CN"/>
        </w:rPr>
        <w:t>。</w:t>
      </w:r>
    </w:p>
    <w:p w14:paraId="2467B0F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运输要求</w:t>
      </w:r>
      <w:r>
        <w:rPr>
          <w:rFonts w:hint="eastAsia" w:ascii="宋体" w:hAnsi="宋体" w:cs="宋体"/>
          <w:b/>
          <w:bCs/>
          <w:color w:val="auto"/>
          <w:sz w:val="21"/>
          <w:szCs w:val="21"/>
          <w:highlight w:val="none"/>
          <w:lang w:val="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标人负责将耗材安全无损运抵采购人指定地点，并承担包装、运输、保险、装卸、关税、增值税等费用。</w:t>
      </w:r>
    </w:p>
    <w:p w14:paraId="7722D280">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质量及知识产权要求</w:t>
      </w:r>
      <w:r>
        <w:rPr>
          <w:rFonts w:hint="eastAsia" w:ascii="宋体" w:hAnsi="宋体" w:cs="宋体"/>
          <w:b/>
          <w:bCs/>
          <w:color w:val="auto"/>
          <w:sz w:val="21"/>
          <w:szCs w:val="21"/>
          <w:highlight w:val="none"/>
          <w:lang w:val="zh-CN"/>
        </w:rPr>
        <w:t>：</w:t>
      </w:r>
    </w:p>
    <w:p w14:paraId="249F376F">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w:t>
      </w:r>
    </w:p>
    <w:p w14:paraId="33D00D2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采购人购买产品后，有权对该产品与其他设备进行配套、整合或适当改进，而免受侵犯专利权的起诉。</w:t>
      </w:r>
    </w:p>
    <w:p w14:paraId="0FD884CC">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违约责任</w:t>
      </w:r>
      <w:r>
        <w:rPr>
          <w:rFonts w:hint="eastAsia" w:ascii="宋体" w:hAnsi="宋体" w:cs="宋体"/>
          <w:b/>
          <w:bCs/>
          <w:color w:val="auto"/>
          <w:sz w:val="21"/>
          <w:szCs w:val="21"/>
          <w:highlight w:val="none"/>
          <w:lang w:val="zh-CN"/>
        </w:rPr>
        <w:t>：</w:t>
      </w:r>
    </w:p>
    <w:p w14:paraId="2E2E01D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zh-CN"/>
        </w:rPr>
        <w:t>如投标人未按照投标文件中承诺的时间交货或提供服务，投标人应承担延期交货和延期服务的违约责任，并赔偿采购人因此造成的实际经济损失。</w:t>
      </w:r>
    </w:p>
    <w:p w14:paraId="118206F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10.2</w:t>
      </w:r>
      <w:r>
        <w:rPr>
          <w:rFonts w:hint="eastAsia" w:ascii="宋体" w:hAnsi="宋体" w:eastAsia="宋体" w:cs="宋体"/>
          <w:color w:val="auto"/>
          <w:sz w:val="21"/>
          <w:szCs w:val="21"/>
          <w:highlight w:val="none"/>
          <w:lang w:val="zh-CN"/>
        </w:rPr>
        <w:t>投标人所提供检测试剂的品种、型号、规格、质量、技术参数等方面不能实质性满足遴选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14:paraId="60FDCCE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10.3</w:t>
      </w:r>
      <w:r>
        <w:rPr>
          <w:rFonts w:hint="eastAsia" w:ascii="宋体" w:hAnsi="宋体" w:eastAsia="宋体" w:cs="宋体"/>
          <w:color w:val="auto"/>
          <w:sz w:val="21"/>
          <w:szCs w:val="21"/>
          <w:highlight w:val="none"/>
          <w:lang w:val="zh-CN"/>
        </w:rPr>
        <w:t>投标人不能交付</w:t>
      </w:r>
      <w:r>
        <w:rPr>
          <w:rFonts w:hint="eastAsia" w:ascii="宋体" w:hAnsi="宋体" w:cs="宋体"/>
          <w:color w:val="auto"/>
          <w:sz w:val="21"/>
          <w:szCs w:val="21"/>
          <w:highlight w:val="none"/>
          <w:lang w:val="en-US" w:eastAsia="zh-CN"/>
        </w:rPr>
        <w:t>产品时</w:t>
      </w:r>
      <w:r>
        <w:rPr>
          <w:rFonts w:hint="eastAsia" w:ascii="宋体" w:hAnsi="宋体" w:eastAsia="宋体" w:cs="宋体"/>
          <w:color w:val="auto"/>
          <w:sz w:val="21"/>
          <w:szCs w:val="21"/>
          <w:highlight w:val="none"/>
          <w:lang w:val="zh-CN"/>
        </w:rPr>
        <w:t>，投标人向采购人偿付项目采购金额千分之二十（千分之十以上千分之二十以下）的违约金；造成严重后果的，根据《深圳经济特区政府采购条例》第五十七条第（二）款规定，由主管部门对中标人进行处罚。</w:t>
      </w:r>
    </w:p>
    <w:p w14:paraId="5097FA0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11.其他商务要求：</w:t>
      </w:r>
    </w:p>
    <w:p w14:paraId="38B25A18">
      <w:pPr>
        <w:keepNext w:val="0"/>
        <w:keepLines w:val="0"/>
        <w:suppressLineNumbers w:val="0"/>
        <w:spacing w:before="0" w:beforeAutospacing="0" w:after="0" w:afterAutospacing="0"/>
        <w:ind w:left="0" w:right="0"/>
        <w:jc w:val="left"/>
        <w:rPr>
          <w:rFonts w:hint="eastAsia" w:ascii="宋体" w:hAnsi="宋体" w:eastAsia="宋体" w:cs="宋体"/>
          <w:snapToGrid/>
          <w:color w:val="auto"/>
          <w:spacing w:val="0"/>
          <w:kern w:val="2"/>
          <w:sz w:val="21"/>
          <w:szCs w:val="24"/>
          <w:highlight w:val="none"/>
          <w:lang w:val="en-US" w:eastAsia="zh-CN" w:bidi="ar-SA"/>
        </w:rPr>
      </w:pPr>
      <w:r>
        <w:rPr>
          <w:rFonts w:hint="eastAsia" w:asciiTheme="minorEastAsia" w:hAnsiTheme="minorEastAsia" w:eastAsiaTheme="minorEastAsia"/>
          <w:b/>
          <w:bCs/>
          <w:color w:val="auto"/>
          <w:szCs w:val="21"/>
        </w:rPr>
        <w:t>★</w:t>
      </w:r>
      <w:r>
        <w:rPr>
          <w:rFonts w:hint="eastAsia" w:ascii="宋体" w:hAnsi="宋体" w:eastAsia="宋体" w:cs="宋体"/>
          <w:snapToGrid/>
          <w:color w:val="auto"/>
          <w:spacing w:val="0"/>
          <w:kern w:val="2"/>
          <w:sz w:val="21"/>
          <w:szCs w:val="24"/>
          <w:highlight w:val="none"/>
          <w:lang w:val="en-US" w:eastAsia="zh-CN" w:bidi="ar-SA"/>
        </w:rPr>
        <w:t>1、中标公司无条件配合医院SPD物流精细化管理服务，同时承诺支付每月管理服务费(不超当月供货总额的3%)，具体与医院签合同时按合同条款执行。</w:t>
      </w:r>
    </w:p>
    <w:p w14:paraId="438C124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271A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F7597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00CBE54">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C9F282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6150"/>
    </w:p>
    <w:p w14:paraId="39635CD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6FD5AC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FBA496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C32CB1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DD1D0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CA1FFA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3B822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AE125F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93365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3818F0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FAB7815">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10"/>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1" w:name="_Toc24015563"/>
      <w:bookmarkStart w:id="12" w:name="_Toc15209"/>
      <w:bookmarkStart w:id="13" w:name="_Toc1988"/>
      <w:bookmarkStart w:id="14" w:name="_Toc10794"/>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10"/>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6" w:name="_Toc11989"/>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0A4E0289">
      <w:pPr>
        <w:tabs>
          <w:tab w:val="left" w:pos="420"/>
          <w:tab w:val="left" w:pos="630"/>
        </w:tabs>
        <w:autoSpaceDE w:val="0"/>
        <w:autoSpaceDN w:val="0"/>
        <w:adjustRightInd w:val="0"/>
        <w:spacing w:line="360" w:lineRule="auto"/>
        <w:rPr>
          <w:rFonts w:hint="eastAsia" w:hAnsi="宋体"/>
          <w:lang w:val="en-US" w:eastAsia="zh-CN"/>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4D79F9F6">
      <w:pPr>
        <w:pStyle w:val="28"/>
        <w:widowControl/>
        <w:numPr>
          <w:ilvl w:val="0"/>
          <w:numId w:val="11"/>
        </w:numPr>
        <w:spacing w:line="360" w:lineRule="auto"/>
        <w:ind w:left="425" w:leftChars="0" w:hanging="425" w:firstLineChars="0"/>
        <w:jc w:val="left"/>
        <w:outlineLvl w:val="9"/>
        <w:rPr>
          <w:rFonts w:hint="eastAsia" w:hAnsi="宋体"/>
          <w:b/>
        </w:rPr>
      </w:pPr>
      <w:r>
        <w:rPr>
          <w:rFonts w:hint="eastAsia" w:hAnsi="宋体"/>
          <w:b/>
        </w:rPr>
        <w:t>开标</w:t>
      </w:r>
    </w:p>
    <w:p w14:paraId="0369ECD0">
      <w:pPr>
        <w:pStyle w:val="28"/>
        <w:widowControl/>
        <w:numPr>
          <w:ilvl w:val="1"/>
          <w:numId w:val="11"/>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28"/>
        <w:widowControl/>
        <w:numPr>
          <w:ilvl w:val="1"/>
          <w:numId w:val="11"/>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28"/>
        <w:widowControl/>
        <w:numPr>
          <w:ilvl w:val="0"/>
          <w:numId w:val="11"/>
        </w:numPr>
        <w:spacing w:line="360" w:lineRule="auto"/>
        <w:ind w:left="425" w:leftChars="0" w:hanging="425" w:firstLineChars="0"/>
        <w:jc w:val="left"/>
        <w:outlineLvl w:val="9"/>
        <w:rPr>
          <w:rFonts w:hint="eastAsia" w:hAnsi="宋体"/>
          <w:b/>
        </w:rPr>
      </w:pPr>
      <w:r>
        <w:rPr>
          <w:rFonts w:hint="eastAsia" w:hAnsi="宋体"/>
          <w:b/>
        </w:rPr>
        <w:t>评标委员会的组成</w:t>
      </w:r>
    </w:p>
    <w:p w14:paraId="3509FA96">
      <w:pPr>
        <w:pStyle w:val="28"/>
        <w:widowControl/>
        <w:numPr>
          <w:ilvl w:val="1"/>
          <w:numId w:val="11"/>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5"/>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5"/>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5"/>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5"/>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5"/>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28"/>
        <w:widowControl/>
        <w:numPr>
          <w:ilvl w:val="1"/>
          <w:numId w:val="11"/>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28"/>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28"/>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28"/>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28"/>
        <w:widowControl/>
        <w:numPr>
          <w:ilvl w:val="2"/>
          <w:numId w:val="11"/>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28"/>
        <w:widowControl/>
        <w:numPr>
          <w:ilvl w:val="1"/>
          <w:numId w:val="11"/>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28"/>
        <w:widowControl/>
        <w:numPr>
          <w:ilvl w:val="1"/>
          <w:numId w:val="11"/>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28"/>
        <w:widowControl/>
        <w:numPr>
          <w:ilvl w:val="1"/>
          <w:numId w:val="11"/>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28"/>
        <w:widowControl/>
        <w:numPr>
          <w:ilvl w:val="0"/>
          <w:numId w:val="11"/>
        </w:numPr>
        <w:spacing w:line="360" w:lineRule="auto"/>
        <w:ind w:left="425" w:leftChars="0" w:hanging="425" w:firstLineChars="0"/>
        <w:jc w:val="left"/>
        <w:outlineLvl w:val="9"/>
        <w:rPr>
          <w:rFonts w:hAnsi="宋体"/>
          <w:b/>
        </w:rPr>
      </w:pPr>
      <w:r>
        <w:rPr>
          <w:rFonts w:hint="eastAsia" w:hAnsi="宋体"/>
          <w:b/>
        </w:rPr>
        <w:t>评标（适用综合评分法）：</w:t>
      </w:r>
    </w:p>
    <w:p w14:paraId="7870AC05">
      <w:pPr>
        <w:pStyle w:val="28"/>
        <w:widowControl/>
        <w:numPr>
          <w:ilvl w:val="1"/>
          <w:numId w:val="11"/>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28"/>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28"/>
        <w:widowControl/>
        <w:numPr>
          <w:ilvl w:val="1"/>
          <w:numId w:val="11"/>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28"/>
        <w:widowControl/>
        <w:numPr>
          <w:ilvl w:val="2"/>
          <w:numId w:val="11"/>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28"/>
        <w:widowControl/>
        <w:numPr>
          <w:ilvl w:val="2"/>
          <w:numId w:val="11"/>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28"/>
        <w:widowControl/>
        <w:numPr>
          <w:ilvl w:val="2"/>
          <w:numId w:val="11"/>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28"/>
        <w:widowControl/>
        <w:numPr>
          <w:ilvl w:val="3"/>
          <w:numId w:val="11"/>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28"/>
        <w:widowControl/>
        <w:numPr>
          <w:ilvl w:val="3"/>
          <w:numId w:val="11"/>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28"/>
        <w:widowControl/>
        <w:numPr>
          <w:ilvl w:val="3"/>
          <w:numId w:val="11"/>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28"/>
        <w:widowControl/>
        <w:numPr>
          <w:ilvl w:val="3"/>
          <w:numId w:val="11"/>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28"/>
        <w:widowControl/>
        <w:numPr>
          <w:ilvl w:val="3"/>
          <w:numId w:val="11"/>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28"/>
        <w:widowControl/>
        <w:numPr>
          <w:ilvl w:val="3"/>
          <w:numId w:val="11"/>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28"/>
        <w:widowControl/>
        <w:numPr>
          <w:ilvl w:val="3"/>
          <w:numId w:val="11"/>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5"/>
        <w:widowControl/>
        <w:numPr>
          <w:ilvl w:val="0"/>
          <w:numId w:val="11"/>
        </w:numPr>
        <w:spacing w:line="360" w:lineRule="auto"/>
        <w:ind w:left="425" w:leftChars="0" w:hanging="425" w:firstLineChars="0"/>
        <w:jc w:val="left"/>
        <w:outlineLvl w:val="9"/>
        <w:rPr>
          <w:rFonts w:ascii="宋体" w:hAnsi="宋体"/>
          <w:b/>
          <w:szCs w:val="21"/>
        </w:rPr>
      </w:pPr>
      <w:r>
        <w:rPr>
          <w:rFonts w:hint="eastAsia" w:ascii="宋体" w:hAnsi="宋体"/>
          <w:b/>
          <w:szCs w:val="21"/>
        </w:rPr>
        <w:t>定标</w:t>
      </w:r>
    </w:p>
    <w:p w14:paraId="4BEC88FB">
      <w:pPr>
        <w:pStyle w:val="25"/>
        <w:widowControl/>
        <w:numPr>
          <w:ilvl w:val="1"/>
          <w:numId w:val="11"/>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5"/>
        <w:widowControl/>
        <w:numPr>
          <w:ilvl w:val="1"/>
          <w:numId w:val="11"/>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28"/>
        <w:widowControl/>
        <w:numPr>
          <w:ilvl w:val="0"/>
          <w:numId w:val="11"/>
        </w:numPr>
        <w:spacing w:line="360" w:lineRule="auto"/>
        <w:ind w:left="425" w:leftChars="0" w:hanging="425" w:firstLineChars="0"/>
        <w:jc w:val="left"/>
        <w:outlineLvl w:val="9"/>
        <w:rPr>
          <w:rFonts w:ascii="宋体" w:hAnsi="宋体"/>
          <w:b/>
          <w:szCs w:val="21"/>
        </w:rPr>
      </w:pPr>
      <w:r>
        <w:rPr>
          <w:rFonts w:ascii="宋体" w:hAnsi="宋体"/>
          <w:b/>
          <w:szCs w:val="21"/>
        </w:rPr>
        <w:t>特别说明</w:t>
      </w:r>
    </w:p>
    <w:p w14:paraId="70EEA8B4">
      <w:pPr>
        <w:pStyle w:val="28"/>
        <w:widowControl/>
        <w:numPr>
          <w:ilvl w:val="1"/>
          <w:numId w:val="11"/>
        </w:numPr>
        <w:spacing w:line="360" w:lineRule="auto"/>
        <w:ind w:left="567" w:leftChars="0" w:hanging="567" w:firstLineChars="0"/>
        <w:jc w:val="left"/>
        <w:outlineLvl w:val="9"/>
        <w:rPr>
          <w:rFonts w:ascii="宋体" w:hAnsi="宋体"/>
          <w:szCs w:val="21"/>
        </w:rPr>
      </w:pPr>
      <w:r>
        <w:rPr>
          <w:rFonts w:hint="eastAsia" w:ascii="宋体" w:hAnsi="宋体"/>
          <w:szCs w:val="21"/>
        </w:rPr>
        <w:t>有下列情形之一的，视为投标人串通投标，其投标无效：</w:t>
      </w:r>
    </w:p>
    <w:p w14:paraId="776BF247">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28"/>
        <w:widowControl/>
        <w:numPr>
          <w:ilvl w:val="2"/>
          <w:numId w:val="11"/>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28"/>
        <w:widowControl/>
        <w:numPr>
          <w:ilvl w:val="1"/>
          <w:numId w:val="11"/>
        </w:numPr>
        <w:spacing w:line="360" w:lineRule="auto"/>
        <w:ind w:left="567" w:leftChars="0" w:hanging="567" w:firstLineChars="0"/>
        <w:jc w:val="left"/>
        <w:outlineLvl w:val="9"/>
        <w:rPr>
          <w:rFonts w:ascii="宋体" w:hAnsi="宋体"/>
          <w:szCs w:val="21"/>
        </w:rPr>
      </w:pPr>
      <w:r>
        <w:rPr>
          <w:rFonts w:hint="eastAsia" w:ascii="宋体" w:hAnsi="宋体"/>
          <w:szCs w:val="21"/>
        </w:rPr>
        <w:t>投标人存在下列情况之一的，投标无效：</w:t>
      </w:r>
    </w:p>
    <w:p w14:paraId="2B978D18">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28"/>
        <w:widowControl/>
        <w:numPr>
          <w:ilvl w:val="2"/>
          <w:numId w:val="11"/>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28"/>
        <w:widowControl/>
        <w:numPr>
          <w:ilvl w:val="0"/>
          <w:numId w:val="0"/>
        </w:numPr>
        <w:spacing w:line="360" w:lineRule="auto"/>
        <w:ind w:leftChars="0"/>
        <w:jc w:val="left"/>
        <w:rPr>
          <w:rFonts w:hint="eastAsia" w:ascii="宋体" w:hAnsi="宋体"/>
          <w:szCs w:val="21"/>
        </w:rPr>
      </w:pPr>
      <w:r>
        <w:rPr>
          <w:rFonts w:hint="eastAsia" w:ascii="宋体" w:hAnsi="宋体"/>
          <w:szCs w:val="21"/>
          <w:lang w:val="en-US" w:eastAsia="zh-CN"/>
        </w:rPr>
        <w:t xml:space="preserve">5.3. </w:t>
      </w:r>
      <w:r>
        <w:rPr>
          <w:rFonts w:hint="eastAsia" w:ascii="宋体" w:hAnsi="宋体"/>
          <w:szCs w:val="21"/>
        </w:rPr>
        <w:t>废标</w:t>
      </w:r>
    </w:p>
    <w:p w14:paraId="10C28F40">
      <w:pPr>
        <w:pStyle w:val="28"/>
        <w:widowControl/>
        <w:numPr>
          <w:ilvl w:val="0"/>
          <w:numId w:val="0"/>
        </w:numPr>
        <w:spacing w:line="360" w:lineRule="auto"/>
        <w:ind w:leftChars="0"/>
        <w:jc w:val="left"/>
        <w:outlineLvl w:val="9"/>
        <w:rPr>
          <w:rFonts w:ascii="宋体" w:hAnsi="宋体"/>
          <w:szCs w:val="21"/>
        </w:rPr>
      </w:pPr>
      <w:r>
        <w:rPr>
          <w:rFonts w:hint="eastAsia" w:ascii="宋体" w:hAnsi="宋体"/>
          <w:szCs w:val="21"/>
          <w:lang w:val="en-US" w:eastAsia="zh-CN"/>
        </w:rPr>
        <w:t xml:space="preserve">5.3.1. </w:t>
      </w:r>
      <w:r>
        <w:rPr>
          <w:rFonts w:ascii="宋体" w:hAnsi="宋体"/>
          <w:szCs w:val="21"/>
        </w:rPr>
        <w:t>在招标采购中，出现下列情形之一的，应予废标</w:t>
      </w:r>
      <w:r>
        <w:rPr>
          <w:rFonts w:hint="eastAsia" w:ascii="宋体" w:hAnsi="宋体"/>
          <w:szCs w:val="21"/>
        </w:rPr>
        <w:t>。</w:t>
      </w:r>
    </w:p>
    <w:p w14:paraId="7667ED95">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5.3.2.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5.3.3. </w:t>
      </w:r>
      <w:r>
        <w:rPr>
          <w:rFonts w:ascii="宋体" w:hAnsi="宋体"/>
          <w:szCs w:val="21"/>
        </w:rPr>
        <w:t>出现影响采购公正的违法、违规行为的；</w:t>
      </w:r>
    </w:p>
    <w:p w14:paraId="55C2363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5.3.4. </w:t>
      </w:r>
      <w:r>
        <w:rPr>
          <w:rFonts w:ascii="宋体" w:hAnsi="宋体"/>
          <w:szCs w:val="21"/>
        </w:rPr>
        <w:t>投标人的报价均超过了采购预算，采购人不能支付的；</w:t>
      </w:r>
    </w:p>
    <w:p w14:paraId="4B57E99D">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5.3.5. </w:t>
      </w:r>
      <w:r>
        <w:rPr>
          <w:rFonts w:ascii="宋体" w:hAnsi="宋体"/>
          <w:szCs w:val="21"/>
        </w:rPr>
        <w:t>因重大变故，采购任务取消的</w:t>
      </w:r>
      <w:r>
        <w:rPr>
          <w:rFonts w:hint="eastAsia" w:ascii="宋体" w:hAnsi="宋体"/>
          <w:szCs w:val="21"/>
        </w:rPr>
        <w:t>。</w:t>
      </w:r>
    </w:p>
    <w:p w14:paraId="462F3870">
      <w:pPr>
        <w:pStyle w:val="28"/>
        <w:widowControl/>
        <w:numPr>
          <w:ilvl w:val="0"/>
          <w:numId w:val="11"/>
        </w:numPr>
        <w:spacing w:line="360" w:lineRule="auto"/>
        <w:ind w:left="425" w:leftChars="0" w:hanging="425" w:firstLineChars="0"/>
        <w:jc w:val="left"/>
        <w:outlineLvl w:val="9"/>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28"/>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本项目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28"/>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28"/>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477403C6">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21C614C">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15AE82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E77A0B3">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9EE6D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FE34FB5">
      <w:pPr>
        <w:widowControl/>
        <w:numPr>
          <w:ilvl w:val="0"/>
          <w:numId w:val="0"/>
        </w:numPr>
        <w:ind w:leftChars="0"/>
        <w:jc w:val="center"/>
        <w:outlineLvl w:val="9"/>
        <w:rPr>
          <w:rFonts w:hint="eastAsia" w:asciiTheme="majorEastAsia" w:hAnsiTheme="majorEastAsia" w:eastAsiaTheme="majorEastAsia"/>
          <w:sz w:val="32"/>
          <w:szCs w:val="32"/>
          <w:lang w:val="en-US" w:eastAsia="zh-CN"/>
        </w:rPr>
      </w:pPr>
    </w:p>
    <w:p w14:paraId="7143261E">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74C0BE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F28EEB4">
      <w:pPr>
        <w:widowControl/>
        <w:numPr>
          <w:ilvl w:val="0"/>
          <w:numId w:val="0"/>
        </w:numPr>
        <w:ind w:leftChars="0"/>
        <w:jc w:val="center"/>
        <w:outlineLvl w:val="0"/>
        <w:rPr>
          <w:rFonts w:hint="eastAsia" w:asciiTheme="majorEastAsia" w:hAnsiTheme="majorEastAsia" w:eastAsiaTheme="majorEastAsia"/>
          <w:sz w:val="32"/>
          <w:szCs w:val="32"/>
          <w:lang w:val="en-US" w:eastAsia="zh-CN"/>
        </w:rPr>
      </w:pPr>
      <w:bookmarkStart w:id="18" w:name="_Toc26388"/>
    </w:p>
    <w:p w14:paraId="5E756B5F">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3B04AAEC">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08AAE381">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5B50149B">
      <w:pPr>
        <w:widowControl/>
        <w:numPr>
          <w:ilvl w:val="0"/>
          <w:numId w:val="0"/>
        </w:numPr>
        <w:ind w:leftChars="0"/>
        <w:jc w:val="both"/>
        <w:outlineLvl w:val="0"/>
        <w:rPr>
          <w:rFonts w:hint="eastAsia" w:asciiTheme="majorEastAsia" w:hAnsiTheme="majorEastAsia" w:eastAsiaTheme="majorEastAsia"/>
          <w:sz w:val="32"/>
          <w:szCs w:val="32"/>
          <w:lang w:val="en-US" w:eastAsia="zh-CN"/>
        </w:rPr>
      </w:pPr>
    </w:p>
    <w:p w14:paraId="3C89600C">
      <w:pPr>
        <w:widowControl/>
        <w:numPr>
          <w:ilvl w:val="0"/>
          <w:numId w:val="0"/>
        </w:numPr>
        <w:ind w:leftChars="0"/>
        <w:jc w:val="center"/>
        <w:outlineLvl w:val="0"/>
        <w:rPr>
          <w:rFonts w:hint="eastAsia" w:asciiTheme="minorEastAsia" w:hAnsiTheme="minorEastAsia" w:cstheme="minorEastAsia"/>
          <w:b/>
          <w:bCs/>
          <w:sz w:val="28"/>
          <w:szCs w:val="28"/>
          <w:lang w:eastAsia="zh-CN"/>
        </w:rPr>
      </w:pPr>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jc w:val="center"/>
        </w:trPr>
        <w:tc>
          <w:tcPr>
            <w:tcW w:w="9018" w:type="dxa"/>
            <w:vAlign w:val="center"/>
          </w:tcPr>
          <w:p w14:paraId="0168BCD2">
            <w:pPr>
              <w:pStyle w:val="7"/>
              <w:spacing w:line="360" w:lineRule="auto"/>
              <w:ind w:firstLine="482" w:firstLineChars="150"/>
              <w:rPr>
                <w:rFonts w:ascii="仿宋_GB2312" w:eastAsia="仿宋_GB2312"/>
                <w:b/>
                <w:sz w:val="32"/>
              </w:rPr>
            </w:pPr>
          </w:p>
          <w:p w14:paraId="5DD66652">
            <w:pPr>
              <w:pStyle w:val="7"/>
              <w:spacing w:line="360" w:lineRule="auto"/>
              <w:ind w:firstLine="482" w:firstLineChars="150"/>
              <w:rPr>
                <w:rFonts w:ascii="仿宋_GB2312" w:eastAsia="仿宋_GB2312"/>
                <w:b/>
                <w:sz w:val="32"/>
              </w:rPr>
            </w:pPr>
          </w:p>
          <w:p w14:paraId="4F96A7D5">
            <w:pPr>
              <w:pStyle w:val="7"/>
              <w:spacing w:line="360" w:lineRule="auto"/>
              <w:ind w:firstLine="482" w:firstLineChars="150"/>
              <w:rPr>
                <w:rFonts w:ascii="仿宋_GB2312" w:eastAsia="仿宋_GB2312"/>
                <w:b/>
                <w:sz w:val="32"/>
              </w:rPr>
            </w:pPr>
          </w:p>
          <w:p w14:paraId="24E0C28B">
            <w:pPr>
              <w:pStyle w:val="7"/>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7"/>
              <w:spacing w:line="360" w:lineRule="auto"/>
              <w:rPr>
                <w:rFonts w:ascii="仿宋_GB2312" w:eastAsia="仿宋_GB2312"/>
                <w:b/>
                <w:sz w:val="32"/>
              </w:rPr>
            </w:pPr>
          </w:p>
          <w:p w14:paraId="408DEE70">
            <w:pPr>
              <w:pStyle w:val="7"/>
              <w:spacing w:line="360" w:lineRule="auto"/>
              <w:rPr>
                <w:rFonts w:ascii="仿宋_GB2312" w:eastAsia="仿宋_GB2312"/>
                <w:b/>
                <w:sz w:val="32"/>
              </w:rPr>
            </w:pPr>
          </w:p>
          <w:p w14:paraId="1F535991">
            <w:pPr>
              <w:pStyle w:val="7"/>
              <w:spacing w:line="360" w:lineRule="auto"/>
              <w:rPr>
                <w:rFonts w:ascii="仿宋_GB2312" w:eastAsia="仿宋_GB2312"/>
                <w:b/>
                <w:sz w:val="32"/>
              </w:rPr>
            </w:pPr>
          </w:p>
          <w:p w14:paraId="18F76FDC">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60FA2FDE">
      <w:pPr>
        <w:jc w:val="both"/>
        <w:rPr>
          <w:rFonts w:hint="eastAsia" w:asciiTheme="minorEastAsia" w:hAnsiTheme="minorEastAsia" w:cstheme="minorEastAsia"/>
          <w:b/>
          <w:bCs/>
          <w:sz w:val="28"/>
          <w:szCs w:val="28"/>
          <w:lang w:eastAsia="zh-CN"/>
        </w:rPr>
      </w:pPr>
    </w:p>
    <w:p w14:paraId="5B3C692F">
      <w:pPr>
        <w:pStyle w:val="3"/>
        <w:numPr>
          <w:ilvl w:val="0"/>
          <w:numId w:val="12"/>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19" w:name="_Toc25542"/>
      <w:bookmarkStart w:id="20" w:name="_Toc6779"/>
      <w:r>
        <w:rPr>
          <w:rFonts w:hint="eastAsia" w:cs="宋体" w:asciiTheme="majorEastAsia" w:hAnsiTheme="majorEastAsia" w:eastAsiaTheme="majorEastAsia"/>
          <w:kern w:val="2"/>
          <w:sz w:val="30"/>
          <w:szCs w:val="30"/>
          <w:lang w:val="en-US" w:eastAsia="zh-CN" w:bidi="ar-SA"/>
        </w:rPr>
        <w:t>资格性自查表</w:t>
      </w:r>
      <w:bookmarkEnd w:id="19"/>
      <w:bookmarkEnd w:id="20"/>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12"/>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1" w:name="_Toc21714"/>
      <w:bookmarkStart w:id="22" w:name="_Toc29213"/>
      <w:r>
        <w:rPr>
          <w:rFonts w:hint="eastAsia" w:cs="宋体" w:asciiTheme="majorEastAsia" w:hAnsiTheme="majorEastAsia" w:eastAsiaTheme="majorEastAsia"/>
          <w:kern w:val="2"/>
          <w:sz w:val="30"/>
          <w:szCs w:val="30"/>
          <w:lang w:val="en-US" w:eastAsia="zh-CN" w:bidi="ar-SA"/>
        </w:rPr>
        <w:t>符合性自查表</w:t>
      </w:r>
      <w:bookmarkEnd w:id="21"/>
      <w:bookmarkEnd w:id="22"/>
    </w:p>
    <w:tbl>
      <w:tblPr>
        <w:tblStyle w:val="1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bookmarkStart w:id="23" w:name="_Toc1526"/>
      <w:bookmarkStart w:id="24" w:name="_Toc20641"/>
      <w:r>
        <w:rPr>
          <w:rFonts w:hint="eastAsia" w:cs="宋体" w:asciiTheme="majorEastAsia" w:hAnsiTheme="majorEastAsia" w:eastAsiaTheme="majorEastAsia"/>
          <w:kern w:val="2"/>
          <w:sz w:val="30"/>
          <w:szCs w:val="30"/>
          <w:lang w:val="en-US" w:eastAsia="zh-CN" w:bidi="ar-SA"/>
        </w:rPr>
        <w:t>（三）警示情形自查确认表</w:t>
      </w:r>
      <w:bookmarkEnd w:id="23"/>
      <w:bookmarkEnd w:id="24"/>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bookmarkStart w:id="25" w:name="_Toc15495"/>
      <w:bookmarkStart w:id="26" w:name="_Toc30883"/>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bookmarkEnd w:id="26"/>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bookmarkStart w:id="27" w:name="_Toc5508"/>
      <w:bookmarkStart w:id="28" w:name="_Toc31601"/>
      <w:r>
        <w:rPr>
          <w:rFonts w:hint="eastAsia" w:cs="宋体" w:asciiTheme="majorEastAsia" w:hAnsiTheme="majorEastAsia" w:eastAsiaTheme="majorEastAsia"/>
          <w:kern w:val="2"/>
          <w:sz w:val="30"/>
          <w:szCs w:val="30"/>
          <w:lang w:val="en-US" w:eastAsia="zh-CN" w:bidi="ar-SA"/>
        </w:rPr>
        <w:t>（五）诚信及信用信息证明</w:t>
      </w:r>
      <w:bookmarkEnd w:id="27"/>
      <w:bookmarkEnd w:id="28"/>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9" w:name="_Toc12322"/>
      <w:bookmarkStart w:id="30" w:name="_Toc2713"/>
      <w:bookmarkStart w:id="31" w:name="_Toc11281"/>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29"/>
      <w:bookmarkEnd w:id="30"/>
      <w:bookmarkEnd w:id="31"/>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090A3839">
      <w:pPr>
        <w:jc w:val="center"/>
        <w:rPr>
          <w:rFonts w:hint="eastAsia" w:asciiTheme="minorEastAsia" w:hAnsiTheme="minorEastAsia" w:cstheme="minorEastAsia"/>
          <w:b/>
          <w:bCs/>
          <w:sz w:val="28"/>
          <w:szCs w:val="28"/>
          <w:lang w:eastAsia="zh-CN"/>
        </w:rPr>
      </w:pPr>
    </w:p>
    <w:p w14:paraId="0981D0C8">
      <w:pPr>
        <w:jc w:val="center"/>
        <w:rPr>
          <w:rFonts w:hint="eastAsia" w:asciiTheme="minorEastAsia" w:hAnsiTheme="minorEastAsia" w:cstheme="minorEastAsia"/>
          <w:b/>
          <w:bCs/>
          <w:sz w:val="28"/>
          <w:szCs w:val="28"/>
          <w:lang w:eastAsia="zh-CN"/>
        </w:rPr>
      </w:pPr>
    </w:p>
    <w:p w14:paraId="23ED3C9B">
      <w:pPr>
        <w:jc w:val="center"/>
        <w:rPr>
          <w:rFonts w:hint="eastAsia" w:asciiTheme="minorEastAsia" w:hAnsiTheme="minorEastAsia" w:cstheme="minorEastAsia"/>
          <w:b/>
          <w:bCs/>
          <w:sz w:val="28"/>
          <w:szCs w:val="28"/>
          <w:lang w:eastAsia="zh-CN"/>
        </w:rPr>
      </w:pPr>
    </w:p>
    <w:p w14:paraId="21EDC35B">
      <w:pPr>
        <w:jc w:val="center"/>
        <w:rPr>
          <w:rFonts w:hint="eastAsia" w:asciiTheme="minorEastAsia" w:hAnsiTheme="minorEastAsia" w:cstheme="minorEastAsia"/>
          <w:b/>
          <w:bCs/>
          <w:sz w:val="28"/>
          <w:szCs w:val="28"/>
          <w:lang w:eastAsia="zh-CN"/>
        </w:rPr>
      </w:pPr>
    </w:p>
    <w:p w14:paraId="6D95A4B1">
      <w:pPr>
        <w:jc w:val="center"/>
        <w:rPr>
          <w:rFonts w:hint="eastAsia" w:asciiTheme="minorEastAsia" w:hAnsiTheme="minorEastAsia" w:cstheme="minorEastAsia"/>
          <w:b/>
          <w:bCs/>
          <w:sz w:val="28"/>
          <w:szCs w:val="28"/>
          <w:lang w:eastAsia="zh-CN"/>
        </w:rPr>
      </w:pPr>
    </w:p>
    <w:p w14:paraId="133C1CB5">
      <w:pPr>
        <w:jc w:val="center"/>
        <w:rPr>
          <w:rFonts w:hint="eastAsia" w:asciiTheme="minorEastAsia" w:hAnsiTheme="minorEastAsia" w:cstheme="minorEastAsia"/>
          <w:b/>
          <w:bCs/>
          <w:sz w:val="28"/>
          <w:szCs w:val="28"/>
          <w:lang w:eastAsia="zh-CN"/>
        </w:rPr>
      </w:pPr>
    </w:p>
    <w:p w14:paraId="6B35AE39">
      <w:pPr>
        <w:jc w:val="center"/>
        <w:rPr>
          <w:rFonts w:hint="eastAsia" w:asciiTheme="minorEastAsia" w:hAnsiTheme="minorEastAsia" w:cstheme="minorEastAsia"/>
          <w:b/>
          <w:bCs/>
          <w:sz w:val="28"/>
          <w:szCs w:val="28"/>
          <w:lang w:eastAsia="zh-CN"/>
        </w:rPr>
      </w:pPr>
    </w:p>
    <w:p w14:paraId="183A7A36">
      <w:pPr>
        <w:jc w:val="center"/>
        <w:rPr>
          <w:rFonts w:hint="eastAsia" w:asciiTheme="minorEastAsia" w:hAnsiTheme="minorEastAsia" w:cstheme="minorEastAsia"/>
          <w:b/>
          <w:bCs/>
          <w:sz w:val="28"/>
          <w:szCs w:val="28"/>
          <w:lang w:eastAsia="zh-CN"/>
        </w:rPr>
      </w:pP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32" w:name="_Toc227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2"/>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33"/>
        <w:spacing w:before="120" w:after="120" w:line="276" w:lineRule="auto"/>
        <w:ind w:left="0" w:leftChars="0" w:firstLine="0" w:firstLineChars="0"/>
        <w:rPr>
          <w:rFonts w:hint="eastAsia"/>
          <w:b/>
          <w:color w:val="auto"/>
          <w:sz w:val="24"/>
        </w:rPr>
      </w:pPr>
    </w:p>
    <w:p w14:paraId="4B1D9CBC">
      <w:pPr>
        <w:pStyle w:val="33"/>
        <w:spacing w:before="120" w:after="120" w:line="276" w:lineRule="auto"/>
        <w:ind w:firstLine="482" w:firstLineChars="200"/>
        <w:outlineLvl w:val="9"/>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3" w:name="_Hlk72259001"/>
      <w:r>
        <w:rPr>
          <w:rFonts w:hint="eastAsia"/>
          <w:b/>
          <w:bCs/>
          <w:color w:val="auto"/>
        </w:rPr>
        <w:t>招标文件</w:t>
      </w:r>
      <w:bookmarkEnd w:id="33"/>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7"/>
        <w:rPr>
          <w:color w:val="auto"/>
        </w:rPr>
      </w:pPr>
    </w:p>
    <w:p w14:paraId="04F8DE87">
      <w:pPr>
        <w:spacing w:after="60"/>
        <w:jc w:val="center"/>
        <w:outlineLvl w:val="9"/>
        <w:rPr>
          <w:b/>
          <w:color w:val="auto"/>
        </w:rPr>
      </w:pPr>
      <w:r>
        <w:rPr>
          <w:rFonts w:hint="eastAsia"/>
          <w:b/>
          <w:color w:val="auto"/>
        </w:rPr>
        <w:t>1、中小企业声明函</w:t>
      </w:r>
    </w:p>
    <w:p w14:paraId="260C3881">
      <w:pPr>
        <w:pStyle w:val="7"/>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7"/>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7"/>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7"/>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38CC619">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6E6FCFC3">
      <w:pPr>
        <w:jc w:val="center"/>
        <w:rPr>
          <w:rFonts w:hint="eastAsia" w:cs="宋体" w:asciiTheme="majorEastAsia" w:hAnsiTheme="majorEastAsia" w:eastAsiaTheme="majorEastAsia"/>
          <w:kern w:val="2"/>
          <w:sz w:val="30"/>
          <w:szCs w:val="30"/>
          <w:lang w:val="en-US" w:eastAsia="zh-CN" w:bidi="ar-SA"/>
        </w:rPr>
      </w:pPr>
    </w:p>
    <w:p w14:paraId="5FF718F7">
      <w:pPr>
        <w:jc w:val="center"/>
        <w:outlineLvl w:val="0"/>
        <w:rPr>
          <w:rFonts w:hint="eastAsia" w:cs="宋体" w:asciiTheme="majorEastAsia" w:hAnsiTheme="majorEastAsia" w:eastAsiaTheme="majorEastAsia"/>
          <w:kern w:val="2"/>
          <w:sz w:val="30"/>
          <w:szCs w:val="30"/>
          <w:lang w:val="en-US" w:eastAsia="zh-CN" w:bidi="ar-SA"/>
        </w:rPr>
      </w:pPr>
      <w:bookmarkStart w:id="34" w:name="_Toc29547"/>
      <w:r>
        <w:rPr>
          <w:rFonts w:hint="eastAsia" w:cs="宋体" w:asciiTheme="majorEastAsia" w:hAnsiTheme="majorEastAsia" w:eastAsiaTheme="majorEastAsia"/>
          <w:kern w:val="2"/>
          <w:sz w:val="30"/>
          <w:szCs w:val="30"/>
          <w:lang w:val="en-US" w:eastAsia="zh-CN" w:bidi="ar-SA"/>
        </w:rPr>
        <w:t>（八）福田区第二人民医院报价表</w:t>
      </w:r>
      <w:bookmarkEnd w:id="34"/>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7"/>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35" w:name="_Toc1891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技术规格</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主要需求</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偏离表</w:t>
      </w:r>
      <w:bookmarkEnd w:id="35"/>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81DAB5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olor w:val="auto"/>
                <w:szCs w:val="21"/>
              </w:rPr>
              <w:t>序号</w:t>
            </w:r>
          </w:p>
        </w:tc>
        <w:tc>
          <w:tcPr>
            <w:tcW w:w="830" w:type="dxa"/>
            <w:shd w:val="clear" w:color="auto" w:fill="EAF1DD" w:themeFill="accent3" w:themeFillTint="33"/>
            <w:vAlign w:val="center"/>
          </w:tcPr>
          <w:p w14:paraId="5FB9D4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货品名称</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证明文件</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441495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1</w:t>
            </w:r>
          </w:p>
        </w:tc>
        <w:tc>
          <w:tcPr>
            <w:tcW w:w="830" w:type="dxa"/>
            <w:vAlign w:val="center"/>
          </w:tcPr>
          <w:p w14:paraId="5128567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1D6455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7CDBD0A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2</w:t>
            </w:r>
          </w:p>
        </w:tc>
        <w:tc>
          <w:tcPr>
            <w:tcW w:w="830" w:type="dxa"/>
            <w:vAlign w:val="center"/>
          </w:tcPr>
          <w:p w14:paraId="1634348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DF9696A">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559E886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p>
        </w:tc>
        <w:tc>
          <w:tcPr>
            <w:tcW w:w="830" w:type="dxa"/>
            <w:vAlign w:val="center"/>
          </w:tcPr>
          <w:p w14:paraId="778A6E0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EFB38C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88C66C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p>
        </w:tc>
        <w:tc>
          <w:tcPr>
            <w:tcW w:w="830" w:type="dxa"/>
            <w:vAlign w:val="center"/>
          </w:tcPr>
          <w:p w14:paraId="212791F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3D4E48A8">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009DD5D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830" w:type="dxa"/>
            <w:vAlign w:val="center"/>
          </w:tcPr>
          <w:p w14:paraId="77CEAF63">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015303A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63127AB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p>
        </w:tc>
        <w:tc>
          <w:tcPr>
            <w:tcW w:w="830" w:type="dxa"/>
            <w:vAlign w:val="center"/>
          </w:tcPr>
          <w:p w14:paraId="73B101DF">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67486C06">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shd w:val="clear" w:color="auto" w:fill="auto"/>
            <w:vAlign w:val="center"/>
          </w:tcPr>
          <w:p w14:paraId="3136F83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w:t>
            </w:r>
          </w:p>
        </w:tc>
        <w:tc>
          <w:tcPr>
            <w:tcW w:w="830" w:type="dxa"/>
            <w:vAlign w:val="center"/>
          </w:tcPr>
          <w:p w14:paraId="44DBDA3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47EF327">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5A12BB44">
      <w:pPr>
        <w:rPr>
          <w:color w:val="000000"/>
        </w:rPr>
      </w:pP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51E94B8">
      <w:pPr>
        <w:spacing w:after="60"/>
        <w:ind w:firstLine="2100" w:firstLineChars="1000"/>
        <w:jc w:val="both"/>
        <w:rPr>
          <w:rFonts w:hint="eastAsia" w:cs="Arial"/>
          <w:b/>
          <w:color w:val="000000"/>
          <w:sz w:val="28"/>
          <w:szCs w:val="28"/>
        </w:rPr>
      </w:pPr>
      <w:r>
        <w:rPr>
          <w:rFonts w:hint="eastAsia" w:ascii="宋体" w:hAnsi="宋体" w:cs="宋体"/>
          <w:color w:val="000000" w:themeColor="text1"/>
          <w:szCs w:val="21"/>
          <w14:textFill>
            <w14:solidFill>
              <w14:schemeClr w14:val="tx1"/>
            </w14:solidFill>
          </w14:textFill>
        </w:rPr>
        <w:t xml:space="preserve">  </w:t>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6" w:name="_Toc29077"/>
      <w:bookmarkStart w:id="37" w:name="_Toc20322_WPSOffice_Level1"/>
      <w:bookmarkStart w:id="38" w:name="_Toc435515294"/>
      <w:bookmarkStart w:id="39" w:name="_Toc9447"/>
      <w:bookmarkStart w:id="40" w:name="_Toc435514854"/>
      <w:bookmarkStart w:id="41" w:name="_Toc24434"/>
      <w:bookmarkStart w:id="42" w:name="_Toc275865605"/>
      <w:bookmarkStart w:id="43" w:name="_Toc1762"/>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36"/>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21E48A7">
      <w:pPr>
        <w:keepNext/>
        <w:keepLines/>
        <w:widowControl w:val="0"/>
        <w:numPr>
          <w:ilvl w:val="0"/>
          <w:numId w:val="0"/>
        </w:numPr>
        <w:spacing w:line="240" w:lineRule="auto"/>
        <w:jc w:val="center"/>
        <w:outlineLvl w:val="9"/>
        <w:rPr>
          <w:rFonts w:hint="eastAsia" w:asciiTheme="majorEastAsia" w:hAnsiTheme="majorEastAsia" w:eastAsiaTheme="majorEastAsia" w:cstheme="minorBidi"/>
          <w:b/>
          <w:kern w:val="44"/>
          <w:sz w:val="30"/>
          <w:szCs w:val="30"/>
          <w:lang w:val="en-US" w:eastAsia="zh-CN" w:bidi="ar-SA"/>
        </w:rPr>
      </w:pPr>
    </w:p>
    <w:p w14:paraId="14CAA0C3">
      <w:pPr>
        <w:rPr>
          <w:rFonts w:hint="eastAsia" w:asciiTheme="majorEastAsia" w:hAnsiTheme="majorEastAsia" w:eastAsiaTheme="majorEastAsia"/>
          <w:sz w:val="30"/>
          <w:szCs w:val="30"/>
          <w:lang w:eastAsia="zh-CN"/>
        </w:rPr>
      </w:pPr>
    </w:p>
    <w:p w14:paraId="27022725">
      <w:pPr>
        <w:rPr>
          <w:rFonts w:hint="eastAsia" w:asciiTheme="majorEastAsia" w:hAnsiTheme="majorEastAsia" w:eastAsiaTheme="majorEastAsia"/>
          <w:sz w:val="30"/>
          <w:szCs w:val="30"/>
          <w:lang w:eastAsia="zh-CN"/>
        </w:rPr>
      </w:pPr>
    </w:p>
    <w:p w14:paraId="6118258B">
      <w:pPr>
        <w:rPr>
          <w:rFonts w:hint="eastAsia"/>
          <w:lang w:eastAsia="zh-CN"/>
        </w:rPr>
      </w:pPr>
    </w:p>
    <w:p w14:paraId="51884ACB">
      <w:pPr>
        <w:pStyle w:val="2"/>
        <w:numPr>
          <w:ilvl w:val="0"/>
          <w:numId w:val="0"/>
        </w:numPr>
        <w:spacing w:line="240" w:lineRule="auto"/>
        <w:jc w:val="center"/>
        <w:rPr>
          <w:rFonts w:hint="eastAsia" w:cs="宋体" w:asciiTheme="majorEastAsia" w:hAnsiTheme="majorEastAsia" w:eastAsiaTheme="majorEastAsia"/>
          <w:b w:val="0"/>
          <w:kern w:val="2"/>
          <w:sz w:val="30"/>
          <w:szCs w:val="30"/>
          <w:lang w:val="en-US" w:eastAsia="zh-CN" w:bidi="ar-SA"/>
        </w:rPr>
      </w:pPr>
      <w:bookmarkStart w:id="44" w:name="_Toc28894"/>
      <w:r>
        <w:rPr>
          <w:rFonts w:hint="eastAsia" w:cs="宋体" w:asciiTheme="majorEastAsia" w:hAnsiTheme="majorEastAsia" w:eastAsiaTheme="majorEastAsia"/>
          <w:b w:val="0"/>
          <w:kern w:val="2"/>
          <w:sz w:val="30"/>
          <w:szCs w:val="30"/>
          <w:lang w:val="en-US" w:eastAsia="zh-CN" w:bidi="ar-SA"/>
        </w:rPr>
        <w:t>（十一）投标函</w:t>
      </w:r>
      <w:bookmarkEnd w:id="37"/>
      <w:bookmarkEnd w:id="38"/>
      <w:bookmarkEnd w:id="39"/>
      <w:bookmarkEnd w:id="40"/>
      <w:bookmarkEnd w:id="41"/>
      <w:bookmarkEnd w:id="42"/>
      <w:bookmarkEnd w:id="43"/>
      <w:bookmarkEnd w:id="44"/>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3"/>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3"/>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3"/>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3"/>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3"/>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3"/>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3"/>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3"/>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3"/>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3"/>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3"/>
        </w:numPr>
        <w:tabs>
          <w:tab w:val="clear" w:pos="780"/>
        </w:tabs>
        <w:snapToGrid w:val="0"/>
        <w:spacing w:line="360" w:lineRule="auto"/>
        <w:ind w:left="426"/>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5" w:name="_Toc24650"/>
      <w:bookmarkStart w:id="46" w:name="_Toc26831"/>
      <w:bookmarkStart w:id="47" w:name="_Toc435515295"/>
      <w:bookmarkStart w:id="48" w:name="_Toc435514855"/>
      <w:bookmarkStart w:id="49" w:name="_Toc4649"/>
      <w:bookmarkStart w:id="50" w:name="_Toc7805"/>
      <w:bookmarkStart w:id="51" w:name="_Toc275865606"/>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45"/>
      <w:bookmarkEnd w:id="46"/>
      <w:bookmarkEnd w:id="47"/>
      <w:bookmarkEnd w:id="48"/>
      <w:bookmarkEnd w:id="49"/>
      <w:bookmarkEnd w:id="50"/>
      <w:bookmarkEnd w:id="5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5"/>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4"/>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4"/>
        </w:numPr>
        <w:spacing w:line="360" w:lineRule="auto"/>
        <w:ind w:right="-815"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4"/>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4"/>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4"/>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4"/>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4"/>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4"/>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4"/>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4"/>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52" w:name="_承诺函"/>
      <w:bookmarkEnd w:id="52"/>
      <w:bookmarkStart w:id="53" w:name="_Toc32186"/>
      <w:bookmarkStart w:id="54" w:name="_Toc21707"/>
      <w:bookmarkStart w:id="55" w:name="_Toc435515299"/>
      <w:bookmarkStart w:id="56" w:name="_Toc27672"/>
      <w:bookmarkStart w:id="57" w:name="_Toc24149"/>
      <w:bookmarkStart w:id="58" w:name="_Toc435514859"/>
      <w:bookmarkStart w:id="59" w:name="_Toc50736477"/>
      <w:bookmarkStart w:id="60" w:name="_Toc52165081"/>
      <w:bookmarkStart w:id="61" w:name="_Toc50737297"/>
      <w:bookmarkStart w:id="62" w:name="_Toc275865607"/>
      <w:bookmarkStart w:id="63" w:name="_Toc50737329"/>
      <w:bookmarkStart w:id="64" w:name="_Toc50691034"/>
      <w:bookmarkStart w:id="65" w:name="_Toc50737296"/>
      <w:bookmarkStart w:id="66" w:name="_Toc50736476"/>
      <w:bookmarkStart w:id="67" w:name="_Toc50737328"/>
      <w:bookmarkStart w:id="68" w:name="_Toc52165080"/>
      <w:r>
        <w:rPr>
          <w:rFonts w:hint="eastAsia" w:cs="宋体" w:asciiTheme="majorEastAsia" w:hAnsiTheme="majorEastAsia" w:eastAsiaTheme="majorEastAsia"/>
          <w:kern w:val="2"/>
          <w:sz w:val="30"/>
          <w:szCs w:val="30"/>
          <w:lang w:val="en-US" w:eastAsia="zh-CN" w:bidi="ar-SA"/>
        </w:rPr>
        <w:t>（十三）政府采购违法行为风险知悉确认书</w:t>
      </w:r>
      <w:bookmarkEnd w:id="53"/>
      <w:bookmarkEnd w:id="54"/>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6"/>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bookmarkStart w:id="69" w:name="_Toc13791"/>
      <w:bookmarkStart w:id="70" w:name="_Toc24374"/>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55"/>
      <w:bookmarkEnd w:id="56"/>
      <w:bookmarkEnd w:id="57"/>
      <w:bookmarkEnd w:id="58"/>
      <w:bookmarkEnd w:id="59"/>
      <w:bookmarkEnd w:id="60"/>
      <w:bookmarkEnd w:id="61"/>
      <w:bookmarkEnd w:id="62"/>
      <w:bookmarkEnd w:id="63"/>
      <w:bookmarkEnd w:id="69"/>
      <w:bookmarkEnd w:id="70"/>
    </w:p>
    <w:p w14:paraId="232C51C3">
      <w:pPr>
        <w:pStyle w:val="1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10"/>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7"/>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1" w:name="_Toc435514860"/>
      <w:bookmarkStart w:id="72" w:name="_Toc435515300"/>
      <w:bookmarkStart w:id="73" w:name="_Toc14289"/>
      <w:bookmarkStart w:id="74"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64"/>
    <w:bookmarkEnd w:id="65"/>
    <w:bookmarkEnd w:id="66"/>
    <w:bookmarkEnd w:id="67"/>
    <w:bookmarkEnd w:id="68"/>
    <w:bookmarkEnd w:id="71"/>
    <w:bookmarkEnd w:id="72"/>
    <w:bookmarkEnd w:id="73"/>
    <w:bookmarkEnd w:id="74"/>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5" w:name="_Toc21402"/>
      <w:bookmarkStart w:id="76" w:name="_Toc571"/>
      <w:bookmarkStart w:id="77" w:name="_Toc6666"/>
      <w:bookmarkStart w:id="78"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75"/>
      <w:bookmarkEnd w:id="76"/>
      <w:bookmarkEnd w:id="77"/>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502F8DD2">
      <w:pPr>
        <w:spacing w:line="360" w:lineRule="auto"/>
        <w:ind w:firstLine="422" w:firstLineChars="200"/>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E63DD1E">
      <w:pPr>
        <w:spacing w:line="360" w:lineRule="auto"/>
        <w:ind w:firstLine="422" w:firstLineChars="200"/>
        <w:rPr>
          <w:rFonts w:hint="eastAsia" w:ascii="宋体" w:hAnsi="宋体" w:eastAsia="宋体" w:cs="宋体"/>
          <w:b/>
          <w:bCs w:val="0"/>
          <w:color w:val="auto"/>
          <w:kern w:val="0"/>
          <w:sz w:val="21"/>
          <w:szCs w:val="21"/>
          <w:highlight w:val="none"/>
          <w:lang w:eastAsia="zh-CN"/>
        </w:rPr>
      </w:pPr>
    </w:p>
    <w:p w14:paraId="08A4F398">
      <w:pPr>
        <w:spacing w:line="360" w:lineRule="auto"/>
        <w:jc w:val="center"/>
        <w:rPr>
          <w:rFonts w:hint="eastAsia" w:ascii="宋体" w:hAnsi="宋体" w:eastAsia="宋体" w:cs="宋体"/>
          <w:bCs/>
          <w:color w:val="auto"/>
          <w:sz w:val="21"/>
          <w:szCs w:val="21"/>
        </w:rPr>
      </w:pPr>
    </w:p>
    <w:p w14:paraId="08E7BD5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b/>
          <w:bCs w:val="0"/>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9" w:name="_Toc24233"/>
      <w:bookmarkStart w:id="80" w:name="_Toc10390"/>
      <w:bookmarkStart w:id="81" w:name="_Toc2926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78"/>
      <w:bookmarkEnd w:id="79"/>
      <w:bookmarkEnd w:id="80"/>
      <w:bookmarkEnd w:id="81"/>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82" w:name="_Toc30412"/>
      <w:bookmarkStart w:id="83" w:name="_Toc24644"/>
      <w:bookmarkStart w:id="84"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2"/>
      <w:bookmarkEnd w:id="83"/>
      <w:bookmarkEnd w:id="84"/>
    </w:p>
    <w:p w14:paraId="16E0E90C">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6CF6A4A8">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85" w:name="_Toc1903"/>
      <w:bookmarkStart w:id="86" w:name="_Toc15871"/>
      <w:bookmarkStart w:id="87" w:name="_Toc7126"/>
      <w:bookmarkStart w:id="88" w:name="_Toc11926"/>
      <w:bookmarkStart w:id="89" w:name="_Toc11352"/>
      <w:bookmarkStart w:id="90" w:name="_Toc25910"/>
      <w:bookmarkStart w:id="91" w:name="_Toc2305"/>
      <w:bookmarkStart w:id="92" w:name="_Toc777"/>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85"/>
      <w:bookmarkEnd w:id="86"/>
      <w:bookmarkEnd w:id="87"/>
      <w:bookmarkEnd w:id="88"/>
      <w:bookmarkEnd w:id="89"/>
      <w:bookmarkEnd w:id="90"/>
      <w:bookmarkEnd w:id="91"/>
      <w:bookmarkEnd w:id="92"/>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1C60B558">
      <w:pPr>
        <w:pStyle w:val="7"/>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601E95E">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3"/>
        <w:numPr>
          <w:ilvl w:val="0"/>
          <w:numId w:val="0"/>
        </w:numPr>
        <w:ind w:left="0" w:leftChars="0" w:firstLine="0" w:firstLineChars="0"/>
        <w:jc w:val="center"/>
        <w:outlineLvl w:val="0"/>
        <w:rPr>
          <w:rFonts w:ascii="宋体" w:hAnsi="宋体"/>
          <w:sz w:val="30"/>
          <w:szCs w:val="30"/>
        </w:rPr>
      </w:pPr>
      <w:bookmarkStart w:id="93" w:name="_Toc23208"/>
      <w:bookmarkStart w:id="94" w:name="_Toc11555"/>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十九</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93"/>
      <w:bookmarkEnd w:id="94"/>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outlineLvl w:val="0"/>
        <w:rPr>
          <w:rFonts w:ascii="宋体" w:hAnsi="宋体"/>
          <w:b/>
          <w:bCs/>
          <w:snapToGrid w:val="0"/>
          <w:kern w:val="0"/>
          <w:sz w:val="32"/>
          <w:szCs w:val="32"/>
        </w:rPr>
      </w:pPr>
      <w:bookmarkStart w:id="95" w:name="_Toc7852"/>
      <w:bookmarkStart w:id="96" w:name="_Toc12169"/>
      <w:r>
        <w:rPr>
          <w:rFonts w:hint="eastAsia" w:cs="宋体" w:asciiTheme="majorEastAsia" w:hAnsiTheme="majorEastAsia" w:eastAsiaTheme="majorEastAsia"/>
          <w:kern w:val="2"/>
          <w:sz w:val="30"/>
          <w:szCs w:val="30"/>
          <w:lang w:val="en-US" w:eastAsia="zh-CN" w:bidi="ar-SA"/>
        </w:rPr>
        <w:t>（二十）福田区第二人民医院医用耗材产品质量及货源保证书</w:t>
      </w:r>
      <w:bookmarkEnd w:id="95"/>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9"/>
        <w:rPr>
          <w:rFonts w:hint="eastAsia" w:ascii="宋体" w:hAnsi="宋体"/>
          <w:bCs/>
          <w:sz w:val="24"/>
        </w:rPr>
      </w:pPr>
    </w:p>
    <w:p w14:paraId="285F90F4">
      <w:pPr>
        <w:keepNext w:val="0"/>
        <w:keepLines w:val="0"/>
        <w:widowControl/>
        <w:suppressLineNumbers w:val="0"/>
        <w:jc w:val="center"/>
        <w:textAlignment w:val="center"/>
        <w:outlineLvl w:val="9"/>
        <w:rPr>
          <w:rFonts w:hint="eastAsia" w:ascii="宋体" w:hAnsi="宋体"/>
          <w:bCs/>
          <w:sz w:val="24"/>
        </w:rPr>
      </w:pPr>
    </w:p>
    <w:p w14:paraId="2177BF2F">
      <w:pPr>
        <w:keepNext w:val="0"/>
        <w:keepLines w:val="0"/>
        <w:widowControl/>
        <w:suppressLineNumbers w:val="0"/>
        <w:jc w:val="center"/>
        <w:textAlignment w:val="center"/>
        <w:outlineLvl w:val="9"/>
        <w:rPr>
          <w:rFonts w:hint="eastAsia" w:ascii="宋体" w:hAnsi="宋体"/>
          <w:bCs/>
          <w:sz w:val="24"/>
        </w:rPr>
      </w:pPr>
    </w:p>
    <w:p w14:paraId="63BC347D">
      <w:pPr>
        <w:keepNext w:val="0"/>
        <w:keepLines w:val="0"/>
        <w:widowControl/>
        <w:suppressLineNumbers w:val="0"/>
        <w:jc w:val="center"/>
        <w:textAlignment w:val="center"/>
        <w:outlineLvl w:val="9"/>
        <w:rPr>
          <w:rFonts w:hint="eastAsia" w:ascii="宋体" w:hAnsi="宋体"/>
          <w:bCs/>
          <w:sz w:val="24"/>
        </w:rPr>
      </w:pPr>
    </w:p>
    <w:p w14:paraId="3D60B64A">
      <w:pPr>
        <w:keepNext w:val="0"/>
        <w:keepLines w:val="0"/>
        <w:widowControl/>
        <w:suppressLineNumbers w:val="0"/>
        <w:jc w:val="center"/>
        <w:textAlignment w:val="center"/>
        <w:outlineLvl w:val="9"/>
        <w:rPr>
          <w:rFonts w:hint="eastAsia" w:ascii="宋体" w:hAnsi="宋体"/>
          <w:bCs/>
          <w:sz w:val="24"/>
        </w:rPr>
      </w:pPr>
    </w:p>
    <w:p w14:paraId="13BFBC40">
      <w:pPr>
        <w:keepNext w:val="0"/>
        <w:keepLines w:val="0"/>
        <w:widowControl/>
        <w:suppressLineNumbers w:val="0"/>
        <w:jc w:val="center"/>
        <w:textAlignment w:val="center"/>
        <w:outlineLvl w:val="9"/>
        <w:rPr>
          <w:rFonts w:hint="eastAsia" w:ascii="宋体" w:hAnsi="宋体"/>
          <w:bCs/>
          <w:sz w:val="24"/>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bookmarkStart w:id="97" w:name="_Toc9651"/>
      <w:r>
        <w:rPr>
          <w:rFonts w:hint="eastAsia" w:cs="宋体" w:asciiTheme="majorEastAsia" w:hAnsiTheme="majorEastAsia" w:eastAsiaTheme="majorEastAsia"/>
          <w:kern w:val="2"/>
          <w:sz w:val="30"/>
          <w:szCs w:val="30"/>
          <w:lang w:val="en-US" w:eastAsia="zh-CN" w:bidi="ar-SA"/>
        </w:rPr>
        <w:t>（二十一）</w:t>
      </w:r>
      <w:bookmarkEnd w:id="96"/>
      <w:r>
        <w:rPr>
          <w:rFonts w:hint="eastAsia" w:cs="宋体" w:asciiTheme="majorEastAsia" w:hAnsiTheme="majorEastAsia" w:eastAsiaTheme="majorEastAsia"/>
          <w:kern w:val="2"/>
          <w:sz w:val="30"/>
          <w:szCs w:val="30"/>
          <w:lang w:val="en-US" w:eastAsia="zh-CN" w:bidi="ar-SA"/>
        </w:rPr>
        <w:t>配送方案</w:t>
      </w:r>
      <w:bookmarkEnd w:id="97"/>
    </w:p>
    <w:p w14:paraId="25CC3BF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79A7817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39805EE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315E2D95">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4EE0BC0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3E0D9342">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0"/>
        <w:rPr>
          <w:rFonts w:hint="eastAsia"/>
          <w:lang w:eastAsia="zh-CN"/>
        </w:rPr>
      </w:pPr>
      <w:bookmarkStart w:id="98" w:name="_Toc1507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bookmarkEnd w:id="98"/>
    </w:p>
    <w:p w14:paraId="0210C3E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556F466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575A646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6D37CFEA">
      <w:pPr>
        <w:rPr>
          <w:rFonts w:hint="eastAsia"/>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w:t>
      </w: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0"/>
        <w:rPr>
          <w:rFonts w:hint="eastAsia" w:hAnsi="宋体" w:cs="Times New Roman" w:eastAsiaTheme="majorEastAsia"/>
          <w:sz w:val="30"/>
          <w:szCs w:val="30"/>
          <w:lang w:val="en-US" w:eastAsia="zh-CN"/>
        </w:rPr>
      </w:pPr>
      <w:bookmarkStart w:id="99" w:name="_Toc1492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有效业绩</w:t>
      </w:r>
      <w:bookmarkEnd w:id="99"/>
      <w:r>
        <w:rPr>
          <w:rFonts w:hint="eastAsia" w:cs="宋体" w:asciiTheme="majorEastAsia" w:hAnsiTheme="majorEastAsia" w:eastAsiaTheme="majorEastAsia"/>
          <w:kern w:val="2"/>
          <w:sz w:val="30"/>
          <w:szCs w:val="30"/>
          <w:lang w:val="en-US" w:eastAsia="zh-CN" w:bidi="ar-SA"/>
        </w:rPr>
        <w:t xml:space="preserve"> </w:t>
      </w:r>
    </w:p>
    <w:p w14:paraId="2F919FE3">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4E4E21E2">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kern w:val="0"/>
          <w:szCs w:val="21"/>
          <w:lang w:val="en-US" w:eastAsia="zh-CN"/>
        </w:rPr>
        <w:t>1、</w:t>
      </w:r>
      <w:r>
        <w:rPr>
          <w:rFonts w:hint="eastAsia" w:ascii="宋体" w:hAnsi="宋体" w:eastAsia="宋体" w:cs="宋体"/>
          <w:sz w:val="21"/>
          <w:szCs w:val="21"/>
          <w:highlight w:val="none"/>
          <w:lang w:val="en-US" w:eastAsia="zh-CN"/>
        </w:rPr>
        <w:t>需本投标单位出具的有效发票或合同，若非本投标单位出具的发票或合同，将做无效处理，不得分。</w:t>
      </w:r>
    </w:p>
    <w:p w14:paraId="68DA1438">
      <w:pPr>
        <w:numPr>
          <w:ilvl w:val="0"/>
          <w:numId w:val="0"/>
        </w:numPr>
        <w:spacing w:after="60"/>
        <w:rPr>
          <w:rFonts w:hint="eastAsia" w:ascii="宋体" w:hAnsi="宋体" w:cs="宋体"/>
          <w:kern w:val="0"/>
          <w:szCs w:val="21"/>
        </w:rPr>
      </w:pPr>
    </w:p>
    <w:p w14:paraId="0BB1432B">
      <w:pPr>
        <w:snapToGrid w:val="0"/>
        <w:ind w:left="0" w:leftChars="0" w:firstLine="0" w:firstLineChars="0"/>
        <w:jc w:val="left"/>
        <w:outlineLvl w:val="9"/>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27F4B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C66CF1">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0A6EE38">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B5DE535">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0" w:name="_Toc17243"/>
      <w:r>
        <w:rPr>
          <w:rFonts w:hint="eastAsia" w:asciiTheme="majorEastAsia" w:hAnsiTheme="majorEastAsia" w:eastAsiaTheme="majorEastAsia"/>
          <w:sz w:val="30"/>
          <w:szCs w:val="30"/>
          <w:lang w:val="en-US" w:eastAsia="zh-CN"/>
        </w:rPr>
        <w:t>（二十四）履约评价</w:t>
      </w:r>
      <w:bookmarkEnd w:id="100"/>
    </w:p>
    <w:p w14:paraId="0FDF2BB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185B48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E93B08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4EE8F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065097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3AF5FA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CCB9BF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7948F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A27C7C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F73428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7797AD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2A20A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6E6298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87AE31">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3FF304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DFA959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9FA855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A29C41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C04C87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6EF203F">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D31A44">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1" w:name="_Toc27595"/>
      <w:r>
        <w:rPr>
          <w:rFonts w:hint="eastAsia" w:asciiTheme="majorEastAsia" w:hAnsiTheme="majorEastAsia" w:eastAsiaTheme="majorEastAsia"/>
          <w:sz w:val="30"/>
          <w:szCs w:val="30"/>
          <w:lang w:val="en-US" w:eastAsia="zh-CN"/>
        </w:rPr>
        <w:t>（二十五）仓储、运输能力</w:t>
      </w:r>
      <w:bookmarkEnd w:id="101"/>
    </w:p>
    <w:p w14:paraId="2E335241">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26C6E0D6">
      <w:pPr>
        <w:rPr>
          <w:rFonts w:hint="eastAsia"/>
          <w:lang w:eastAsia="zh-CN"/>
        </w:rPr>
      </w:pPr>
    </w:p>
    <w:p w14:paraId="76EC335F">
      <w:pPr>
        <w:rPr>
          <w:rFonts w:hint="eastAsia"/>
          <w:lang w:eastAsia="zh-CN"/>
        </w:rPr>
      </w:pPr>
    </w:p>
    <w:p w14:paraId="2E2DF0E5">
      <w:pPr>
        <w:rPr>
          <w:rFonts w:hint="eastAsia"/>
          <w:lang w:eastAsia="zh-CN"/>
        </w:rPr>
      </w:pPr>
    </w:p>
    <w:p w14:paraId="4183BCCE">
      <w:pPr>
        <w:rPr>
          <w:rFonts w:hint="eastAsia"/>
          <w:lang w:eastAsia="zh-CN"/>
        </w:rPr>
      </w:pPr>
    </w:p>
    <w:p w14:paraId="2B29BD12">
      <w:pPr>
        <w:rPr>
          <w:rFonts w:hint="eastAsia"/>
          <w:lang w:eastAsia="zh-CN"/>
        </w:rPr>
      </w:pPr>
    </w:p>
    <w:p w14:paraId="54F01619">
      <w:pPr>
        <w:rPr>
          <w:rFonts w:hint="eastAsia"/>
          <w:lang w:eastAsia="zh-CN"/>
        </w:rPr>
      </w:pPr>
    </w:p>
    <w:p w14:paraId="466D7132">
      <w:pPr>
        <w:rPr>
          <w:rFonts w:hint="eastAsia"/>
          <w:lang w:eastAsia="zh-CN"/>
        </w:rPr>
      </w:pPr>
    </w:p>
    <w:p w14:paraId="2B286014">
      <w:pPr>
        <w:rPr>
          <w:rFonts w:hint="eastAsia"/>
          <w:lang w:eastAsia="zh-CN"/>
        </w:rPr>
      </w:pPr>
    </w:p>
    <w:p w14:paraId="542B8F31">
      <w:pPr>
        <w:rPr>
          <w:rFonts w:hint="eastAsia"/>
          <w:lang w:eastAsia="zh-CN"/>
        </w:rPr>
      </w:pPr>
    </w:p>
    <w:p w14:paraId="07060269">
      <w:pPr>
        <w:rPr>
          <w:rFonts w:hint="eastAsia"/>
          <w:lang w:eastAsia="zh-CN"/>
        </w:rPr>
      </w:pPr>
    </w:p>
    <w:p w14:paraId="50B76194">
      <w:pPr>
        <w:rPr>
          <w:rFonts w:hint="eastAsia"/>
          <w:lang w:eastAsia="zh-CN"/>
        </w:rPr>
      </w:pPr>
    </w:p>
    <w:p w14:paraId="12E474A3">
      <w:pPr>
        <w:rPr>
          <w:rFonts w:hint="eastAsia"/>
          <w:lang w:eastAsia="zh-CN"/>
        </w:rPr>
      </w:pPr>
    </w:p>
    <w:p w14:paraId="367F0BDB">
      <w:pPr>
        <w:rPr>
          <w:rFonts w:hint="eastAsia"/>
          <w:lang w:eastAsia="zh-CN"/>
        </w:rPr>
      </w:pPr>
    </w:p>
    <w:p w14:paraId="40BFFDF4">
      <w:pPr>
        <w:rPr>
          <w:rFonts w:hint="eastAsia"/>
          <w:lang w:eastAsia="zh-CN"/>
        </w:rPr>
      </w:pPr>
    </w:p>
    <w:p w14:paraId="1A0E51E5">
      <w:pPr>
        <w:rPr>
          <w:rFonts w:hint="eastAsia"/>
          <w:lang w:eastAsia="zh-CN"/>
        </w:rPr>
      </w:pPr>
    </w:p>
    <w:p w14:paraId="1EDA50BC">
      <w:pPr>
        <w:rPr>
          <w:rFonts w:hint="eastAsia"/>
          <w:lang w:eastAsia="zh-CN"/>
        </w:rPr>
      </w:pPr>
    </w:p>
    <w:p w14:paraId="0EC2C6ED">
      <w:pPr>
        <w:rPr>
          <w:rFonts w:hint="eastAsia"/>
          <w:lang w:eastAsia="zh-CN"/>
        </w:rPr>
      </w:pPr>
    </w:p>
    <w:p w14:paraId="73C55927">
      <w:pPr>
        <w:rPr>
          <w:rFonts w:hint="eastAsia"/>
          <w:lang w:eastAsia="zh-CN"/>
        </w:rPr>
      </w:pPr>
    </w:p>
    <w:p w14:paraId="5E406433">
      <w:pPr>
        <w:rPr>
          <w:rFonts w:hint="eastAsia"/>
          <w:lang w:eastAsia="zh-CN"/>
        </w:rPr>
      </w:pPr>
    </w:p>
    <w:p w14:paraId="419BF86E">
      <w:pPr>
        <w:rPr>
          <w:rFonts w:hint="eastAsia"/>
          <w:lang w:eastAsia="zh-CN"/>
        </w:rPr>
      </w:pPr>
    </w:p>
    <w:p w14:paraId="5FB0FD63">
      <w:pPr>
        <w:rPr>
          <w:rFonts w:hint="eastAsia"/>
          <w:lang w:eastAsia="zh-CN"/>
        </w:rPr>
      </w:pPr>
    </w:p>
    <w:p w14:paraId="72743474">
      <w:pPr>
        <w:rPr>
          <w:rFonts w:hint="eastAsia"/>
          <w:lang w:eastAsia="zh-CN"/>
        </w:rPr>
      </w:pPr>
    </w:p>
    <w:p w14:paraId="645275F9">
      <w:pPr>
        <w:rPr>
          <w:rFonts w:hint="eastAsia"/>
          <w:lang w:eastAsia="zh-CN"/>
        </w:rPr>
      </w:pPr>
    </w:p>
    <w:p w14:paraId="60E1EB92">
      <w:pPr>
        <w:rPr>
          <w:rFonts w:hint="eastAsia"/>
          <w:lang w:eastAsia="zh-CN"/>
        </w:rPr>
      </w:pPr>
    </w:p>
    <w:p w14:paraId="4306A3B2">
      <w:pPr>
        <w:rPr>
          <w:rFonts w:hint="eastAsia"/>
          <w:lang w:eastAsia="zh-CN"/>
        </w:rPr>
      </w:pPr>
    </w:p>
    <w:p w14:paraId="33972586">
      <w:pPr>
        <w:rPr>
          <w:rFonts w:hint="eastAsia"/>
          <w:lang w:eastAsia="zh-CN"/>
        </w:rPr>
      </w:pPr>
    </w:p>
    <w:p w14:paraId="42428447">
      <w:pPr>
        <w:rPr>
          <w:rFonts w:hint="eastAsia"/>
          <w:lang w:eastAsia="zh-CN"/>
        </w:rPr>
      </w:pPr>
    </w:p>
    <w:p w14:paraId="268C1902">
      <w:pPr>
        <w:rPr>
          <w:rFonts w:hint="eastAsia"/>
          <w:lang w:eastAsia="zh-CN"/>
        </w:rPr>
      </w:pPr>
    </w:p>
    <w:p w14:paraId="0ADFCDD6">
      <w:pPr>
        <w:rPr>
          <w:rFonts w:hint="eastAsia"/>
          <w:lang w:eastAsia="zh-CN"/>
        </w:rPr>
      </w:pPr>
    </w:p>
    <w:p w14:paraId="2FDA49B1">
      <w:pPr>
        <w:rPr>
          <w:rFonts w:hint="eastAsia"/>
          <w:lang w:eastAsia="zh-CN"/>
        </w:rPr>
      </w:pPr>
    </w:p>
    <w:p w14:paraId="4D933435">
      <w:pPr>
        <w:rPr>
          <w:rFonts w:hint="eastAsia"/>
          <w:lang w:eastAsia="zh-CN"/>
        </w:rPr>
      </w:pPr>
    </w:p>
    <w:p w14:paraId="6CA39B18">
      <w:pPr>
        <w:rPr>
          <w:rFonts w:hint="eastAsia"/>
          <w:lang w:eastAsia="zh-CN"/>
        </w:rPr>
      </w:pPr>
    </w:p>
    <w:p w14:paraId="59B455D2">
      <w:pPr>
        <w:rPr>
          <w:rFonts w:hint="eastAsia"/>
          <w:lang w:eastAsia="zh-CN"/>
        </w:rPr>
      </w:pPr>
    </w:p>
    <w:p w14:paraId="29A3B3CA">
      <w:pPr>
        <w:rPr>
          <w:rFonts w:hint="eastAsia"/>
          <w:lang w:eastAsia="zh-CN"/>
        </w:rPr>
      </w:pPr>
    </w:p>
    <w:p w14:paraId="45419784">
      <w:pPr>
        <w:rPr>
          <w:rFonts w:hint="eastAsia"/>
          <w:lang w:eastAsia="zh-CN"/>
        </w:rPr>
      </w:pPr>
    </w:p>
    <w:p w14:paraId="4F277E24">
      <w:pPr>
        <w:rPr>
          <w:rFonts w:hint="eastAsia"/>
          <w:lang w:eastAsia="zh-CN"/>
        </w:rPr>
      </w:pPr>
    </w:p>
    <w:p w14:paraId="3F34FB71">
      <w:pPr>
        <w:rPr>
          <w:rFonts w:hint="eastAsia"/>
          <w:lang w:eastAsia="zh-CN"/>
        </w:rPr>
      </w:pPr>
    </w:p>
    <w:p w14:paraId="375B4959">
      <w:pPr>
        <w:rPr>
          <w:rFonts w:hint="eastAsia"/>
          <w:lang w:eastAsia="zh-CN"/>
        </w:rPr>
      </w:pPr>
    </w:p>
    <w:p w14:paraId="654A794D">
      <w:pPr>
        <w:rPr>
          <w:rFonts w:hint="eastAsia"/>
          <w:lang w:eastAsia="zh-CN"/>
        </w:rPr>
      </w:pPr>
    </w:p>
    <w:p w14:paraId="655F4A10">
      <w:pPr>
        <w:rPr>
          <w:rFonts w:hint="eastAsia"/>
          <w:lang w:eastAsia="zh-CN"/>
        </w:rPr>
      </w:pPr>
    </w:p>
    <w:p w14:paraId="4BF2B290">
      <w:pPr>
        <w:rPr>
          <w:rFonts w:hint="eastAsia"/>
          <w:lang w:eastAsia="zh-CN"/>
        </w:rPr>
      </w:pPr>
    </w:p>
    <w:p w14:paraId="2833A2D6">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2" w:name="_Toc23393"/>
      <w:r>
        <w:rPr>
          <w:rFonts w:hint="eastAsia" w:asciiTheme="majorEastAsia" w:hAnsiTheme="majorEastAsia" w:eastAsiaTheme="majorEastAsia"/>
          <w:sz w:val="30"/>
          <w:szCs w:val="30"/>
          <w:lang w:val="en-US" w:eastAsia="zh-CN"/>
        </w:rPr>
        <w:t>（二十六）</w:t>
      </w:r>
      <w:r>
        <w:rPr>
          <w:rFonts w:hint="eastAsia" w:hAnsi="宋体" w:cs="Times New Roman" w:eastAsiaTheme="majorEastAsia"/>
          <w:sz w:val="30"/>
          <w:szCs w:val="30"/>
          <w:lang w:val="en-US" w:eastAsia="zh-CN"/>
        </w:rPr>
        <w:t>招标文件要求的其他内容及投标人认为需要加以说明其他内容</w:t>
      </w:r>
      <w:bookmarkEnd w:id="102"/>
    </w:p>
    <w:p w14:paraId="7DC97AF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31DCB9E7">
      <w:pPr>
        <w:rPr>
          <w:rFonts w:hint="eastAsia"/>
          <w:lang w:eastAsia="zh-CN"/>
        </w:rPr>
      </w:pPr>
    </w:p>
    <w:p w14:paraId="7A2686DA">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1123D5C2">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bookmarkStart w:id="103" w:name="_Toc11652"/>
      <w:bookmarkStart w:id="104" w:name="_Toc14580"/>
      <w:bookmarkStart w:id="105" w:name="_Toc1658"/>
      <w:bookmarkStart w:id="106" w:name="_Toc435516650"/>
      <w:bookmarkStart w:id="107" w:name="_Toc438223136"/>
      <w:bookmarkStart w:id="108" w:name="_Toc435174933"/>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411F40">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389BA55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A60B9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6556F5">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06F2EE0">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081E5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138DCA">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4844EB47">
      <w:pPr>
        <w:pStyle w:val="3"/>
        <w:numPr>
          <w:ilvl w:val="0"/>
          <w:numId w:val="0"/>
        </w:numPr>
        <w:spacing w:line="240" w:lineRule="auto"/>
        <w:jc w:val="center"/>
        <w:outlineLvl w:val="0"/>
        <w:rPr>
          <w:rFonts w:asciiTheme="majorEastAsia" w:hAnsiTheme="majorEastAsia" w:eastAsiaTheme="majorEastAsia"/>
          <w:sz w:val="32"/>
          <w:szCs w:val="32"/>
        </w:rPr>
      </w:pPr>
      <w:bookmarkStart w:id="109" w:name="_Toc30434"/>
      <w:r>
        <w:rPr>
          <w:rFonts w:hint="eastAsia" w:asciiTheme="majorEastAsia" w:hAnsiTheme="majorEastAsia" w:eastAsiaTheme="majorEastAsia"/>
          <w:sz w:val="32"/>
          <w:szCs w:val="32"/>
          <w:lang w:val="en-US" w:eastAsia="zh-CN"/>
        </w:rPr>
        <w:t xml:space="preserve">第五章 </w:t>
      </w:r>
      <w:r>
        <w:rPr>
          <w:rFonts w:asciiTheme="majorEastAsia" w:hAnsiTheme="majorEastAsia" w:eastAsiaTheme="majorEastAsia"/>
          <w:sz w:val="32"/>
          <w:szCs w:val="32"/>
          <w:lang w:eastAsia="zh-TW"/>
        </w:rPr>
        <w:t>说 明</w:t>
      </w:r>
      <w:bookmarkEnd w:id="103"/>
      <w:bookmarkEnd w:id="104"/>
      <w:bookmarkEnd w:id="105"/>
      <w:bookmarkEnd w:id="106"/>
      <w:bookmarkEnd w:id="107"/>
      <w:bookmarkEnd w:id="108"/>
      <w:bookmarkEnd w:id="109"/>
      <w:bookmarkStart w:id="110" w:name="_Toc292267791"/>
    </w:p>
    <w:bookmarkEnd w:id="110"/>
    <w:p w14:paraId="6C6C625E">
      <w:pPr>
        <w:numPr>
          <w:ilvl w:val="0"/>
          <w:numId w:val="15"/>
        </w:numPr>
        <w:autoSpaceDE w:val="0"/>
        <w:autoSpaceDN w:val="0"/>
        <w:adjustRightInd w:val="0"/>
        <w:snapToGrid w:val="0"/>
        <w:spacing w:line="360" w:lineRule="auto"/>
        <w:ind w:left="425" w:leftChars="0" w:hanging="425" w:firstLineChars="0"/>
        <w:outlineLvl w:val="9"/>
        <w:rPr>
          <w:rFonts w:ascii="宋体" w:hAnsi="宋体"/>
          <w:b/>
          <w:bCs/>
          <w:szCs w:val="21"/>
        </w:rPr>
      </w:pPr>
      <w:bookmarkStart w:id="111" w:name="_Toc23054"/>
      <w:r>
        <w:rPr>
          <w:rFonts w:hint="eastAsia" w:ascii="宋体" w:hAnsi="宋体"/>
          <w:b/>
          <w:bCs/>
          <w:szCs w:val="21"/>
        </w:rPr>
        <w:t>适用范围</w:t>
      </w:r>
      <w:bookmarkEnd w:id="111"/>
    </w:p>
    <w:p w14:paraId="5425D084">
      <w:pPr>
        <w:numPr>
          <w:ilvl w:val="1"/>
          <w:numId w:val="15"/>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5"/>
        </w:numPr>
        <w:autoSpaceDE w:val="0"/>
        <w:autoSpaceDN w:val="0"/>
        <w:adjustRightInd w:val="0"/>
        <w:snapToGrid w:val="0"/>
        <w:spacing w:line="360" w:lineRule="auto"/>
        <w:ind w:left="449" w:leftChars="0" w:hanging="449" w:hangingChars="213"/>
        <w:outlineLvl w:val="9"/>
        <w:rPr>
          <w:rFonts w:ascii="宋体" w:hAnsi="宋体"/>
          <w:b/>
          <w:bCs/>
          <w:strike/>
          <w:szCs w:val="21"/>
        </w:rPr>
      </w:pPr>
      <w:bookmarkStart w:id="112" w:name="_Toc28379"/>
      <w:r>
        <w:rPr>
          <w:rFonts w:hint="eastAsia" w:ascii="宋体" w:hAnsi="宋体"/>
          <w:b/>
          <w:szCs w:val="21"/>
        </w:rPr>
        <w:t>定义</w:t>
      </w:r>
      <w:bookmarkEnd w:id="112"/>
    </w:p>
    <w:p w14:paraId="293D86D5">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5"/>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3" w:name="_Toc4681"/>
      <w:r>
        <w:rPr>
          <w:rFonts w:hint="eastAsia" w:ascii="宋体" w:hAnsi="宋体"/>
          <w:b/>
          <w:bCs/>
          <w:szCs w:val="21"/>
        </w:rPr>
        <w:t>合格的货物和服务</w:t>
      </w:r>
      <w:bookmarkEnd w:id="113"/>
    </w:p>
    <w:p w14:paraId="6CA79C08">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4" w:name="_Toc27847"/>
      <w:r>
        <w:rPr>
          <w:rFonts w:hint="eastAsia" w:ascii="宋体" w:hAnsi="宋体"/>
          <w:b/>
          <w:bCs/>
          <w:szCs w:val="21"/>
        </w:rPr>
        <w:t>其他</w:t>
      </w:r>
      <w:bookmarkEnd w:id="114"/>
    </w:p>
    <w:p w14:paraId="20835FFD">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5"/>
        </w:numPr>
        <w:adjustRightInd w:val="0"/>
        <w:snapToGrid w:val="0"/>
        <w:spacing w:line="360" w:lineRule="auto"/>
        <w:rPr>
          <w:rFonts w:cs="宋体" w:asciiTheme="minorEastAsia" w:hAnsiTheme="minorEastAsia" w:eastAsiaTheme="minorEastAsia"/>
          <w:bCs/>
          <w:color w:val="auto"/>
          <w:szCs w:val="21"/>
          <w:highlight w:val="none"/>
        </w:rPr>
      </w:pPr>
      <w:bookmarkStart w:id="115"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16" w:name="_Hlk21591509"/>
      <w:r>
        <w:rPr>
          <w:rFonts w:hint="eastAsia" w:asciiTheme="minorEastAsia" w:hAnsiTheme="minorEastAsia" w:eastAsiaTheme="minorEastAsia"/>
          <w:color w:val="auto"/>
          <w:szCs w:val="21"/>
          <w:highlight w:val="none"/>
        </w:rPr>
        <w:t>供应商限制参与政府采购</w:t>
      </w:r>
      <w:bookmarkEnd w:id="116"/>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15"/>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17" w:name="_Toc435516652"/>
      <w:bookmarkStart w:id="118" w:name="_Toc22222"/>
      <w:bookmarkStart w:id="119" w:name="_Toc435174935"/>
      <w:bookmarkStart w:id="120" w:name="_Toc15510"/>
      <w:bookmarkStart w:id="121" w:name="_Toc14022"/>
      <w:bookmarkStart w:id="122" w:name="_Toc438223138"/>
      <w:bookmarkStart w:id="123" w:name="_Toc15267"/>
      <w:r>
        <w:rPr>
          <w:rFonts w:hint="eastAsia" w:asciiTheme="majorEastAsia" w:hAnsiTheme="majorEastAsia" w:eastAsiaTheme="majorEastAsia"/>
          <w:sz w:val="30"/>
          <w:szCs w:val="30"/>
          <w:lang w:eastAsia="zh-TW"/>
        </w:rPr>
        <w:t>投标文件的编制</w:t>
      </w:r>
      <w:bookmarkEnd w:id="117"/>
      <w:bookmarkEnd w:id="118"/>
      <w:bookmarkEnd w:id="119"/>
      <w:bookmarkEnd w:id="120"/>
      <w:bookmarkEnd w:id="121"/>
      <w:bookmarkEnd w:id="122"/>
      <w:bookmarkEnd w:id="123"/>
    </w:p>
    <w:p w14:paraId="5EBD4F7D">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4" w:name="_Toc27317"/>
      <w:r>
        <w:rPr>
          <w:rFonts w:hint="eastAsia" w:ascii="宋体" w:hAnsi="宋体"/>
          <w:b/>
          <w:bCs/>
          <w:szCs w:val="21"/>
        </w:rPr>
        <w:t>投标的语言</w:t>
      </w:r>
      <w:bookmarkEnd w:id="124"/>
    </w:p>
    <w:p w14:paraId="60E51897">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5" w:name="_Toc2446"/>
      <w:r>
        <w:rPr>
          <w:rFonts w:hint="eastAsia" w:ascii="宋体" w:hAnsi="宋体"/>
          <w:b/>
          <w:bCs/>
          <w:szCs w:val="21"/>
        </w:rPr>
        <w:t>投标文件的构成</w:t>
      </w:r>
      <w:bookmarkEnd w:id="125"/>
    </w:p>
    <w:p w14:paraId="57D603E8">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5"/>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6" w:name="_Toc11091"/>
      <w:r>
        <w:rPr>
          <w:rFonts w:hint="eastAsia" w:ascii="宋体" w:hAnsi="宋体"/>
          <w:b/>
          <w:bCs/>
          <w:szCs w:val="21"/>
        </w:rPr>
        <w:t>投标文件的编写</w:t>
      </w:r>
      <w:bookmarkEnd w:id="126"/>
    </w:p>
    <w:p w14:paraId="3AA1BCA5">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5"/>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7" w:name="_Toc7497"/>
      <w:r>
        <w:rPr>
          <w:rFonts w:hint="eastAsia" w:ascii="宋体" w:hAnsi="宋体"/>
          <w:b/>
          <w:bCs/>
          <w:szCs w:val="21"/>
        </w:rPr>
        <w:t>投标报价</w:t>
      </w:r>
      <w:bookmarkEnd w:id="127"/>
    </w:p>
    <w:p w14:paraId="34667E9C">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5"/>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5"/>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5"/>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8" w:name="_Toc2827"/>
      <w:r>
        <w:rPr>
          <w:rFonts w:hint="eastAsia" w:ascii="宋体" w:hAnsi="宋体"/>
          <w:b/>
          <w:bCs/>
          <w:szCs w:val="21"/>
        </w:rPr>
        <w:t>投标货币</w:t>
      </w:r>
      <w:bookmarkEnd w:id="128"/>
    </w:p>
    <w:p w14:paraId="75F25268">
      <w:pPr>
        <w:numPr>
          <w:ilvl w:val="1"/>
          <w:numId w:val="15"/>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9" w:name="_Toc23174"/>
      <w:r>
        <w:rPr>
          <w:rFonts w:hint="eastAsia" w:ascii="宋体" w:hAnsi="宋体"/>
          <w:b/>
          <w:bCs/>
          <w:szCs w:val="21"/>
        </w:rPr>
        <w:t>联合体投标</w:t>
      </w:r>
      <w:bookmarkEnd w:id="129"/>
    </w:p>
    <w:p w14:paraId="1C1E2EC5">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5"/>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5"/>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5"/>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5"/>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0" w:name="_Toc14020"/>
      <w:r>
        <w:rPr>
          <w:rFonts w:hint="eastAsia" w:ascii="宋体" w:hAnsi="宋体"/>
          <w:b/>
          <w:bCs/>
          <w:szCs w:val="21"/>
        </w:rPr>
        <w:t>证明投标人合格和资格的文件</w:t>
      </w:r>
      <w:bookmarkEnd w:id="130"/>
    </w:p>
    <w:p w14:paraId="5439B540">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1" w:name="_Toc17198"/>
      <w:r>
        <w:rPr>
          <w:rFonts w:ascii="宋体" w:hAnsi="宋体"/>
          <w:b/>
          <w:bCs/>
          <w:szCs w:val="21"/>
        </w:rPr>
        <w:t>证明投标标的的合格性和符合招标文件规定的文件</w:t>
      </w:r>
      <w:bookmarkEnd w:id="131"/>
    </w:p>
    <w:p w14:paraId="6B9702A6">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5"/>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2" w:name="_Toc20270"/>
      <w:r>
        <w:rPr>
          <w:rFonts w:hint="eastAsia" w:ascii="宋体" w:hAnsi="宋体"/>
          <w:b/>
          <w:bCs/>
          <w:szCs w:val="21"/>
        </w:rPr>
        <w:t>投标文件的式样和签署、密封</w:t>
      </w:r>
      <w:bookmarkEnd w:id="132"/>
    </w:p>
    <w:p w14:paraId="669ADE1D">
      <w:pPr>
        <w:numPr>
          <w:ilvl w:val="1"/>
          <w:numId w:val="15"/>
        </w:numPr>
        <w:autoSpaceDE w:val="0"/>
        <w:autoSpaceDN w:val="0"/>
        <w:adjustRightInd w:val="0"/>
        <w:snapToGrid w:val="0"/>
        <w:spacing w:line="360" w:lineRule="auto"/>
        <w:rPr>
          <w:rFonts w:ascii="宋体" w:hAnsi="宋体" w:cs="黑体"/>
          <w:b/>
          <w:bCs/>
          <w:szCs w:val="21"/>
        </w:rPr>
      </w:pPr>
      <w:bookmarkStart w:id="133" w:name="_Toc435174936"/>
      <w:bookmarkStart w:id="134" w:name="_Toc435516653"/>
      <w:bookmarkStart w:id="135"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5"/>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5"/>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5"/>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36" w:name="_Toc28883"/>
      <w:bookmarkStart w:id="137" w:name="_Toc3153"/>
      <w:bookmarkStart w:id="138" w:name="_Toc21758"/>
      <w:bookmarkStart w:id="139" w:name="_Toc5252"/>
      <w:r>
        <w:rPr>
          <w:rFonts w:hint="eastAsia" w:asciiTheme="majorEastAsia" w:hAnsiTheme="majorEastAsia" w:eastAsiaTheme="majorEastAsia"/>
          <w:sz w:val="30"/>
          <w:szCs w:val="30"/>
          <w:lang w:eastAsia="zh-TW"/>
        </w:rPr>
        <w:t>投标文件的递交</w:t>
      </w:r>
      <w:bookmarkEnd w:id="133"/>
      <w:bookmarkEnd w:id="134"/>
      <w:bookmarkEnd w:id="135"/>
      <w:bookmarkEnd w:id="136"/>
      <w:bookmarkEnd w:id="137"/>
      <w:bookmarkEnd w:id="138"/>
      <w:bookmarkEnd w:id="139"/>
    </w:p>
    <w:p w14:paraId="34019736">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0" w:name="_Toc13202"/>
      <w:r>
        <w:rPr>
          <w:rFonts w:hint="eastAsia" w:ascii="宋体" w:hAnsi="宋体"/>
          <w:b/>
          <w:bCs/>
          <w:szCs w:val="21"/>
        </w:rPr>
        <w:t>投标文件递交</w:t>
      </w:r>
      <w:bookmarkEnd w:id="140"/>
    </w:p>
    <w:p w14:paraId="6CF7C752">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5"/>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1" w:name="_Toc22017"/>
      <w:r>
        <w:rPr>
          <w:rFonts w:hint="eastAsia" w:ascii="宋体" w:hAnsi="宋体"/>
          <w:b/>
          <w:bCs/>
          <w:szCs w:val="21"/>
        </w:rPr>
        <w:t>投标文件的修改和撤回、撤销</w:t>
      </w:r>
      <w:bookmarkEnd w:id="141"/>
    </w:p>
    <w:p w14:paraId="6E8E5B6D">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5"/>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2" w:name="_Toc18853"/>
      <w:r>
        <w:rPr>
          <w:rFonts w:hint="eastAsia" w:ascii="宋体" w:hAnsi="宋体"/>
          <w:b/>
          <w:bCs/>
          <w:szCs w:val="21"/>
        </w:rPr>
        <w:t>质疑</w:t>
      </w:r>
      <w:bookmarkEnd w:id="142"/>
    </w:p>
    <w:p w14:paraId="6D72A899">
      <w:pPr>
        <w:numPr>
          <w:ilvl w:val="1"/>
          <w:numId w:val="15"/>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w:t>
      </w:r>
    </w:p>
    <w:p w14:paraId="40FAED7F">
      <w:pPr>
        <w:numPr>
          <w:ilvl w:val="2"/>
          <w:numId w:val="15"/>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5"/>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5"/>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5"/>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5"/>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5"/>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3" w:name="_Toc19729"/>
      <w:r>
        <w:rPr>
          <w:rFonts w:hint="eastAsia" w:ascii="宋体" w:hAnsi="宋体"/>
          <w:b/>
          <w:bCs/>
          <w:szCs w:val="21"/>
        </w:rPr>
        <w:t>中标通知书</w:t>
      </w:r>
      <w:bookmarkEnd w:id="143"/>
    </w:p>
    <w:p w14:paraId="0275F8BA">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44" w:name="_Toc438223141"/>
      <w:bookmarkStart w:id="145" w:name="_Toc20050"/>
      <w:bookmarkStart w:id="146" w:name="_Toc9916"/>
      <w:bookmarkStart w:id="147" w:name="_Toc6704"/>
      <w:bookmarkStart w:id="148" w:name="_Toc435174938"/>
      <w:bookmarkStart w:id="149" w:name="_Toc7529"/>
      <w:bookmarkStart w:id="150" w:name="_Toc435516655"/>
      <w:r>
        <w:rPr>
          <w:rFonts w:hint="eastAsia" w:asciiTheme="majorEastAsia" w:hAnsiTheme="majorEastAsia" w:eastAsiaTheme="majorEastAsia"/>
          <w:sz w:val="30"/>
          <w:szCs w:val="30"/>
          <w:lang w:eastAsia="zh-TW"/>
        </w:rPr>
        <w:t>授予合同</w:t>
      </w:r>
      <w:bookmarkEnd w:id="144"/>
      <w:bookmarkEnd w:id="145"/>
      <w:bookmarkEnd w:id="146"/>
      <w:bookmarkEnd w:id="147"/>
      <w:bookmarkEnd w:id="148"/>
      <w:bookmarkEnd w:id="149"/>
      <w:bookmarkEnd w:id="150"/>
    </w:p>
    <w:p w14:paraId="58EF3211">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1" w:name="_Toc5467"/>
      <w:bookmarkStart w:id="152" w:name="_Toc23713"/>
      <w:r>
        <w:rPr>
          <w:rFonts w:hint="eastAsia" w:ascii="宋体" w:hAnsi="宋体"/>
          <w:b/>
          <w:bCs/>
          <w:szCs w:val="21"/>
        </w:rPr>
        <w:t>合同的订立</w:t>
      </w:r>
      <w:bookmarkEnd w:id="151"/>
      <w:bookmarkEnd w:id="152"/>
    </w:p>
    <w:p w14:paraId="4D85A810">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5"/>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5"/>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3" w:name="_Toc5053"/>
      <w:bookmarkStart w:id="154" w:name="_Toc560"/>
      <w:r>
        <w:rPr>
          <w:rFonts w:hint="eastAsia" w:ascii="宋体" w:hAnsi="宋体"/>
          <w:b/>
          <w:bCs/>
          <w:szCs w:val="21"/>
        </w:rPr>
        <w:t>合同的履行</w:t>
      </w:r>
      <w:bookmarkEnd w:id="153"/>
      <w:bookmarkEnd w:id="154"/>
    </w:p>
    <w:p w14:paraId="5265F92B">
      <w:pPr>
        <w:numPr>
          <w:ilvl w:val="1"/>
          <w:numId w:val="1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A7B3783">
      <w:pPr>
        <w:numPr>
          <w:ilvl w:val="1"/>
          <w:numId w:val="15"/>
        </w:numPr>
        <w:autoSpaceDE w:val="0"/>
        <w:autoSpaceDN w:val="0"/>
        <w:adjustRightInd w:val="0"/>
        <w:snapToGrid w:val="0"/>
        <w:spacing w:line="360" w:lineRule="auto"/>
        <w:rPr>
          <w:color w:val="000000"/>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7FD8F398">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p>
    <w:p w14:paraId="6DEF610F">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227C819D">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583B4BD0">
      <w:pPr>
        <w:rPr>
          <w:rFonts w:hint="eastAsia" w:ascii="宋体" w:hAnsi="宋体" w:cs="宋体"/>
          <w:color w:val="000000" w:themeColor="text1"/>
          <w:szCs w:val="21"/>
          <w14:textFill>
            <w14:solidFill>
              <w14:schemeClr w14:val="tx1"/>
            </w14:solidFill>
          </w14:textFill>
        </w:rPr>
      </w:pPr>
    </w:p>
    <w:p w14:paraId="711E21F2">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bookmarkStart w:id="155" w:name="_Toc109889663"/>
      <w:bookmarkStart w:id="156" w:name="_Toc128037689"/>
      <w:bookmarkStart w:id="157" w:name="_Toc532"/>
      <w:bookmarkStart w:id="158" w:name="_Toc318878971"/>
      <w:bookmarkStart w:id="159" w:name="_Toc374439153"/>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b/>
          <w:sz w:val="52"/>
          <w:szCs w:val="52"/>
          <w:highlight w:val="none"/>
          <w:u w:val="single"/>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FTEY-HC-</w:t>
      </w:r>
    </w:p>
    <w:p w14:paraId="682CB4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DDB6A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0807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both"/>
        <w:textAlignment w:val="auto"/>
        <w:rPr>
          <w:rFonts w:hint="eastAsia" w:ascii="宋体" w:hAnsi="宋体" w:cs="宋体"/>
          <w:b/>
          <w:bCs/>
          <w:sz w:val="72"/>
          <w:szCs w:val="72"/>
          <w:highlight w:val="none"/>
        </w:rPr>
      </w:pPr>
    </w:p>
    <w:p w14:paraId="4CEDE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9"/>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59361949">
      <w:pPr>
        <w:keepNext/>
        <w:keepLines/>
        <w:widowControl w:val="0"/>
        <w:spacing w:line="576" w:lineRule="auto"/>
        <w:jc w:val="both"/>
        <w:outlineLvl w:val="9"/>
        <w:rPr>
          <w:rFonts w:asciiTheme="minorHAnsi" w:hAnsiTheme="minorHAnsi" w:eastAsiaTheme="minorEastAsia" w:cstheme="minorBidi"/>
          <w:b/>
          <w:kern w:val="44"/>
          <w:sz w:val="44"/>
          <w:szCs w:val="24"/>
          <w:lang w:val="en-US" w:eastAsia="zh-CN" w:bidi="ar-SA"/>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color w:val="auto"/>
          <w:sz w:val="24"/>
          <w:highlight w:val="none"/>
        </w:rPr>
      </w:pPr>
    </w:p>
    <w:p w14:paraId="09F46B38">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outlineLvl w:val="9"/>
        <w:rPr>
          <w:rFonts w:hint="eastAsia" w:ascii="方正小标宋简体" w:hAnsi="方正小标宋简体" w:eastAsia="方正小标宋简体" w:cs="方正小标宋简体"/>
          <w:b w:val="0"/>
          <w:bCs/>
          <w:sz w:val="40"/>
          <w:szCs w:val="40"/>
          <w:highlight w:val="none"/>
        </w:rPr>
      </w:pPr>
    </w:p>
    <w:p w14:paraId="68AAC512">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福田区</w:t>
      </w:r>
      <w:r>
        <w:rPr>
          <w:rFonts w:hint="eastAsia" w:ascii="方正小标宋简体" w:hAnsi="方正小标宋简体" w:eastAsia="方正小标宋简体" w:cs="方正小标宋简体"/>
          <w:b w:val="0"/>
          <w:bCs/>
          <w:sz w:val="40"/>
          <w:szCs w:val="40"/>
          <w:highlight w:val="none"/>
          <w:lang w:eastAsia="zh-CN"/>
        </w:rPr>
        <w:t>第二人民医院</w:t>
      </w:r>
      <w:r>
        <w:rPr>
          <w:rFonts w:hint="eastAsia" w:ascii="方正小标宋简体" w:hAnsi="方正小标宋简体" w:eastAsia="方正小标宋简体" w:cs="方正小标宋简体"/>
          <w:b w:val="0"/>
          <w:bCs/>
          <w:sz w:val="40"/>
          <w:szCs w:val="40"/>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0" w:name="_Toc13149_WPSOffice_Level1"/>
      <w:r>
        <w:rPr>
          <w:rFonts w:hint="eastAsia" w:ascii="仿宋_GB2312" w:hAnsi="仿宋_GB2312" w:eastAsia="仿宋_GB2312" w:cs="仿宋_GB2312"/>
          <w:b/>
          <w:color w:val="auto"/>
          <w:sz w:val="28"/>
          <w:szCs w:val="28"/>
          <w:highlight w:val="none"/>
        </w:rPr>
        <w:t>第一条  合同标的</w:t>
      </w:r>
      <w:bookmarkEnd w:id="160"/>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乙方承诺及时在平台填报订单和发票相关信息，不影响甲方平台结算率。</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1" w:name="_Toc663_WPSOffice_Level1"/>
      <w:r>
        <w:rPr>
          <w:rFonts w:hint="eastAsia" w:ascii="仿宋_GB2312" w:hAnsi="仿宋_GB2312" w:eastAsia="仿宋_GB2312" w:cs="仿宋_GB2312"/>
          <w:b/>
          <w:color w:val="auto"/>
          <w:sz w:val="28"/>
          <w:szCs w:val="28"/>
          <w:highlight w:val="none"/>
        </w:rPr>
        <w:t>第二条  合同价款</w:t>
      </w:r>
      <w:bookmarkEnd w:id="161"/>
    </w:p>
    <w:p w14:paraId="2AA3628C">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74706159">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55EDE355">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2" w:firstLineChars="200"/>
        <w:textAlignment w:val="auto"/>
      </w:pPr>
      <w:r>
        <w:rPr>
          <w:rFonts w:hint="eastAsia" w:ascii="仿宋_GB2312" w:hAnsi="仿宋_GB2312" w:eastAsia="仿宋_GB2312" w:cs="仿宋_GB2312"/>
          <w:b/>
          <w:bCs/>
          <w:color w:val="auto"/>
          <w:sz w:val="28"/>
          <w:szCs w:val="28"/>
          <w:highlight w:val="none"/>
          <w:u w:val="single"/>
          <w:lang w:val="en-US" w:eastAsia="zh-CN"/>
        </w:rPr>
        <w:t>备注：如乙方</w:t>
      </w:r>
      <w:r>
        <w:rPr>
          <w:rFonts w:hint="eastAsia" w:ascii="仿宋_GB2312" w:hAnsi="仿宋_GB2312" w:eastAsia="仿宋_GB2312" w:cs="仿宋_GB2312"/>
          <w:b/>
          <w:bCs/>
          <w:color w:val="auto"/>
          <w:sz w:val="28"/>
          <w:szCs w:val="28"/>
          <w:highlight w:val="none"/>
          <w:u w:val="single"/>
        </w:rPr>
        <w:t>不及时在平台回填</w:t>
      </w:r>
      <w:r>
        <w:rPr>
          <w:rFonts w:hint="eastAsia" w:ascii="仿宋_GB2312" w:hAnsi="仿宋_GB2312" w:eastAsia="仿宋_GB2312" w:cs="仿宋_GB2312"/>
          <w:b/>
          <w:bCs/>
          <w:color w:val="auto"/>
          <w:sz w:val="28"/>
          <w:szCs w:val="28"/>
          <w:highlight w:val="none"/>
          <w:u w:val="single"/>
          <w:lang w:val="en-US" w:eastAsia="zh-CN"/>
        </w:rPr>
        <w:t>订单和发票等相关</w:t>
      </w:r>
      <w:r>
        <w:rPr>
          <w:rFonts w:hint="eastAsia" w:ascii="仿宋_GB2312" w:hAnsi="仿宋_GB2312" w:eastAsia="仿宋_GB2312" w:cs="仿宋_GB2312"/>
          <w:b/>
          <w:bCs/>
          <w:color w:val="auto"/>
          <w:sz w:val="28"/>
          <w:szCs w:val="28"/>
          <w:highlight w:val="none"/>
          <w:u w:val="single"/>
        </w:rPr>
        <w:t>信息或填错后不及时修改</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影响甲方平台结算率</w:t>
      </w:r>
      <w:r>
        <w:rPr>
          <w:rFonts w:hint="eastAsia" w:ascii="仿宋_GB2312" w:hAnsi="仿宋_GB2312" w:eastAsia="仿宋_GB2312" w:cs="仿宋_GB2312"/>
          <w:b/>
          <w:bCs/>
          <w:color w:val="auto"/>
          <w:sz w:val="28"/>
          <w:szCs w:val="28"/>
          <w:highlight w:val="none"/>
          <w:u w:val="single"/>
        </w:rPr>
        <w:t>，逾期1天推后一个月支付货款，逾期2天推后二个月支付货款，以此类推。</w:t>
      </w:r>
      <w:r>
        <w:rPr>
          <w:rFonts w:hint="eastAsia" w:ascii="仿宋_GB2312" w:hAnsi="仿宋_GB2312" w:eastAsia="仿宋_GB2312" w:cs="仿宋_GB2312"/>
          <w:color w:val="auto"/>
          <w:sz w:val="28"/>
          <w:szCs w:val="28"/>
          <w:highlight w:val="none"/>
          <w:u w:val="single"/>
        </w:rPr>
        <w:t xml:space="preserve">                                </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1"/>
        <w:rPr>
          <w:rFonts w:ascii="仿宋_GB2312" w:hAnsi="仿宋_GB2312" w:eastAsia="仿宋_GB2312" w:cs="仿宋_GB2312"/>
          <w:b/>
          <w:color w:val="auto"/>
          <w:sz w:val="28"/>
          <w:szCs w:val="28"/>
          <w:highlight w:val="none"/>
        </w:rPr>
      </w:pPr>
      <w:bookmarkStart w:id="162" w:name="_Toc13895"/>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bookmarkEnd w:id="162"/>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bookmarkStart w:id="163" w:name="_Toc2412_WPSOffice_Level1"/>
      <w:r>
        <w:rPr>
          <w:rFonts w:hint="eastAsia" w:ascii="仿宋_GB2312" w:hAnsi="仿宋_GB2312" w:eastAsia="仿宋_GB2312" w:cs="仿宋_GB2312"/>
          <w:b/>
          <w:color w:val="auto"/>
          <w:sz w:val="28"/>
          <w:szCs w:val="28"/>
          <w:highlight w:val="none"/>
        </w:rPr>
        <w:t>第九条 质量保证及售后服务</w:t>
      </w:r>
      <w:bookmarkEnd w:id="163"/>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164"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164"/>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5"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165"/>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166"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166"/>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167" w:name="_Toc12695_WPSOffice_Level1"/>
      <w:r>
        <w:rPr>
          <w:rFonts w:hint="eastAsia" w:ascii="仿宋_GB2312" w:hAnsi="仿宋_GB2312" w:eastAsia="仿宋_GB2312" w:cs="仿宋_GB2312"/>
          <w:b/>
          <w:color w:val="auto"/>
          <w:sz w:val="28"/>
          <w:szCs w:val="28"/>
          <w:highlight w:val="none"/>
        </w:rPr>
        <w:t>附则</w:t>
      </w:r>
      <w:bookmarkEnd w:id="167"/>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bookmarkStart w:id="168"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keepNext/>
        <w:keepLines/>
        <w:widowControl w:val="0"/>
        <w:spacing w:line="576" w:lineRule="auto"/>
        <w:jc w:val="both"/>
        <w:outlineLvl w:val="9"/>
        <w:rPr>
          <w:rFonts w:hint="eastAsia" w:ascii="仿宋_GB2312" w:hAnsi="仿宋_GB2312" w:eastAsia="仿宋_GB2312" w:cs="仿宋_GB2312"/>
          <w:b/>
          <w:color w:val="auto"/>
          <w:kern w:val="44"/>
          <w:sz w:val="28"/>
          <w:szCs w:val="28"/>
          <w:highlight w:val="none"/>
          <w:lang w:val="en-US" w:eastAsia="zh-CN" w:bidi="ar-SA"/>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168"/>
      <w:bookmarkStart w:id="169"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169"/>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170" w:name="_Toc28445_WPSOffice_Level1"/>
      <w:r>
        <w:rPr>
          <w:rFonts w:hint="eastAsia" w:ascii="仿宋_GB2312" w:hAnsi="仿宋_GB2312" w:eastAsia="仿宋_GB2312" w:cs="仿宋_GB2312"/>
          <w:color w:val="auto"/>
          <w:sz w:val="28"/>
          <w:szCs w:val="28"/>
          <w:highlight w:val="none"/>
        </w:rPr>
        <w:t>附件三：廉洁从业承诺书（员工承诺</w:t>
      </w:r>
      <w:bookmarkEnd w:id="170"/>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5160E6F8">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1C39E99">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155"/>
      <w:bookmarkEnd w:id="156"/>
      <w:bookmarkEnd w:id="157"/>
      <w:bookmarkEnd w:id="158"/>
      <w:bookmarkEnd w:id="159"/>
    </w:p>
    <w:p w14:paraId="753611B7">
      <w:pPr>
        <w:rPr>
          <w:rFonts w:ascii="宋体" w:hAnsi="宋体" w:cs="宋体"/>
          <w:color w:val="000000" w:themeColor="text1"/>
          <w:szCs w:val="21"/>
          <w14:textFill>
            <w14:solidFill>
              <w14:schemeClr w14:val="tx1"/>
            </w14:solidFill>
          </w14:textFill>
        </w:rPr>
      </w:pPr>
    </w:p>
    <w:p w14:paraId="7ECA77B4">
      <w:pPr>
        <w:spacing w:after="60"/>
        <w:jc w:val="center"/>
        <w:outlineLvl w:val="0"/>
        <w:rPr>
          <w:rFonts w:hint="default" w:asciiTheme="minorHAnsi" w:hAnsiTheme="minorHAnsi" w:eastAsiaTheme="minorEastAsia" w:cstheme="minorBidi"/>
          <w:b w:val="0"/>
          <w:bCs w:val="0"/>
          <w:kern w:val="2"/>
          <w:sz w:val="32"/>
          <w:szCs w:val="32"/>
          <w:lang w:val="en-US" w:eastAsia="zh-CN" w:bidi="ar-SA"/>
        </w:rPr>
      </w:pPr>
      <w:r>
        <w:rPr>
          <w:rFonts w:hint="eastAsia" w:ascii="宋体" w:hAnsi="宋体" w:cs="宋体"/>
          <w:b w:val="0"/>
          <w:bCs w:val="0"/>
          <w:color w:val="000000" w:themeColor="text1"/>
          <w:sz w:val="32"/>
          <w:szCs w:val="32"/>
          <w14:textFill>
            <w14:solidFill>
              <w14:schemeClr w14:val="tx1"/>
            </w14:solidFill>
          </w14:textFill>
        </w:rPr>
        <w:t xml:space="preserve">     </w:t>
      </w:r>
      <w:bookmarkStart w:id="171" w:name="_Toc7020"/>
      <w:r>
        <w:rPr>
          <w:rFonts w:hint="eastAsia" w:ascii="宋体" w:hAnsi="宋体" w:cs="宋体"/>
          <w:b w:val="0"/>
          <w:bCs w:val="0"/>
          <w:color w:val="000000" w:themeColor="text1"/>
          <w:sz w:val="32"/>
          <w:szCs w:val="32"/>
          <w:lang w:val="en-US" w:eastAsia="zh-CN"/>
          <w14:textFill>
            <w14:solidFill>
              <w14:schemeClr w14:val="tx1"/>
            </w14:solidFill>
          </w14:textFill>
        </w:rPr>
        <w:t xml:space="preserve">第六章 </w:t>
      </w:r>
      <w:r>
        <w:rPr>
          <w:rFonts w:hint="eastAsia" w:cstheme="minorBidi"/>
          <w:b w:val="0"/>
          <w:bCs w:val="0"/>
          <w:kern w:val="2"/>
          <w:sz w:val="32"/>
          <w:szCs w:val="32"/>
          <w:lang w:val="en-US" w:eastAsia="zh-CN" w:bidi="ar-SA"/>
        </w:rPr>
        <w:t>综合评分表</w:t>
      </w:r>
      <w:bookmarkEnd w:id="171"/>
    </w:p>
    <w:tbl>
      <w:tblPr>
        <w:tblStyle w:val="17"/>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9AE">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lang w:val="en-US" w:eastAsia="zh-CN" w:bidi="ar-SA"/>
              </w:rPr>
              <w:t xml:space="preserve">技术参数响应情况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5DD96384">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投标人应根据</w:t>
            </w:r>
            <w:r>
              <w:rPr>
                <w:rFonts w:hint="eastAsia" w:ascii="宋体" w:hAnsi="宋体" w:cs="宋体"/>
                <w:kern w:val="0"/>
                <w:szCs w:val="21"/>
                <w:highlight w:val="none"/>
                <w:lang w:eastAsia="zh-CN"/>
              </w:rPr>
              <w:t>“采购货物清单和技术要求”的</w:t>
            </w:r>
            <w:r>
              <w:rPr>
                <w:rFonts w:hint="eastAsia" w:ascii="宋体" w:hAnsi="宋体" w:eastAsia="宋体" w:cs="宋体"/>
                <w:kern w:val="0"/>
                <w:szCs w:val="21"/>
                <w:highlight w:val="none"/>
              </w:rPr>
              <w:t>所投产品</w:t>
            </w:r>
            <w:r>
              <w:rPr>
                <w:rFonts w:hint="eastAsia" w:ascii="宋体" w:hAnsi="宋体" w:cs="宋体"/>
                <w:kern w:val="0"/>
                <w:szCs w:val="21"/>
                <w:highlight w:val="none"/>
                <w:lang w:val="en-US" w:eastAsia="zh-CN"/>
              </w:rPr>
              <w:t>情况</w:t>
            </w:r>
            <w:r>
              <w:rPr>
                <w:rFonts w:hint="eastAsia" w:ascii="宋体" w:hAnsi="宋体" w:eastAsia="宋体" w:cs="宋体"/>
                <w:kern w:val="0"/>
                <w:szCs w:val="21"/>
                <w:highlight w:val="none"/>
              </w:rPr>
              <w:t>如实填写《技术规格</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主要需求</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偏离表》，评审委员会根据招标文件技术要求及参数响应情况进行评分。完全响应招标技术要求的</w:t>
            </w:r>
            <w:r>
              <w:rPr>
                <w:rFonts w:hint="eastAsia" w:ascii="宋体" w:hAnsi="宋体" w:eastAsia="宋体" w:cs="宋体"/>
                <w:kern w:val="0"/>
                <w:szCs w:val="21"/>
                <w:highlight w:val="none"/>
                <w:lang w:val="en-US" w:eastAsia="zh-CN"/>
              </w:rPr>
              <w:t>得</w:t>
            </w:r>
            <w:r>
              <w:rPr>
                <w:rFonts w:hint="eastAsia" w:ascii="宋体" w:hAnsi="宋体" w:eastAsia="宋体" w:cs="宋体"/>
                <w:kern w:val="0"/>
                <w:szCs w:val="21"/>
                <w:highlight w:val="none"/>
              </w:rPr>
              <w:t>满分，每负偏离一项扣</w:t>
            </w:r>
            <w:r>
              <w:rPr>
                <w:rFonts w:hint="eastAsia" w:ascii="宋体" w:hAnsi="宋体" w:cs="宋体"/>
                <w:kern w:val="0"/>
                <w:szCs w:val="21"/>
                <w:highlight w:val="none"/>
                <w:lang w:val="en-US" w:eastAsia="zh-CN"/>
              </w:rPr>
              <w:t>7.5</w:t>
            </w:r>
            <w:r>
              <w:rPr>
                <w:rFonts w:hint="eastAsia" w:ascii="宋体" w:hAnsi="宋体" w:eastAsia="宋体" w:cs="宋体"/>
                <w:kern w:val="0"/>
                <w:szCs w:val="21"/>
                <w:highlight w:val="none"/>
              </w:rPr>
              <w:t>分。</w:t>
            </w:r>
          </w:p>
          <w:p w14:paraId="2C32CBD8">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67EA039F">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p w14:paraId="3A1CDD50">
            <w:pPr>
              <w:pStyle w:val="5"/>
              <w:ind w:firstLine="0"/>
              <w:rPr>
                <w:rFonts w:ascii="宋体" w:hAnsi="宋体" w:cs="宋体"/>
                <w:snapToGrid w:val="0"/>
                <w:kern w:val="0"/>
                <w:szCs w:val="21"/>
                <w:highlight w:val="none"/>
              </w:rPr>
            </w:pPr>
            <w:r>
              <w:rPr>
                <w:rFonts w:hint="eastAsia" w:ascii="宋体" w:hAnsi="宋体" w:cs="宋体"/>
                <w:kern w:val="0"/>
                <w:szCs w:val="21"/>
                <w:highlight w:val="none"/>
              </w:rPr>
              <w:t>1、投标人需提供</w:t>
            </w:r>
            <w:r>
              <w:rPr>
                <w:rFonts w:hint="eastAsia" w:ascii="宋体" w:hAnsi="宋体" w:cs="宋体"/>
                <w:kern w:val="0"/>
                <w:szCs w:val="21"/>
                <w:highlight w:val="none"/>
                <w:lang w:val="en-US" w:eastAsia="zh-CN"/>
              </w:rPr>
              <w:t>产品</w:t>
            </w:r>
            <w:r>
              <w:rPr>
                <w:rFonts w:hint="eastAsia" w:ascii="宋体" w:hAnsi="宋体" w:cs="宋体"/>
                <w:snapToGrid w:val="0"/>
                <w:kern w:val="0"/>
                <w:szCs w:val="21"/>
                <w:highlight w:val="none"/>
              </w:rPr>
              <w:t>相关证明材料（技术白皮书或制造商原厂彩页或产品说明书或第三方出具的检测报告等，</w:t>
            </w:r>
            <w:r>
              <w:rPr>
                <w:rFonts w:hint="eastAsia" w:ascii="宋体" w:hAnsi="宋体" w:cs="宋体"/>
                <w:kern w:val="0"/>
                <w:szCs w:val="21"/>
                <w:highlight w:val="none"/>
              </w:rPr>
              <w:t>如厂家的产品使用说明书为英文版，请同时提供中文版</w:t>
            </w:r>
            <w:r>
              <w:rPr>
                <w:rFonts w:hint="eastAsia" w:ascii="宋体" w:hAnsi="宋体" w:cs="宋体"/>
                <w:snapToGrid w:val="0"/>
                <w:kern w:val="0"/>
                <w:szCs w:val="21"/>
                <w:highlight w:val="none"/>
              </w:rPr>
              <w:t>），</w:t>
            </w:r>
            <w:r>
              <w:rPr>
                <w:rFonts w:hint="eastAsia" w:ascii="宋体" w:hAnsi="宋体" w:cs="宋体"/>
                <w:kern w:val="0"/>
                <w:szCs w:val="21"/>
                <w:highlight w:val="none"/>
              </w:rPr>
              <w:t>否则评标委员会有权视相应技术参数响应不符合招标要求</w:t>
            </w:r>
            <w:r>
              <w:rPr>
                <w:rFonts w:hint="eastAsia" w:ascii="宋体" w:hAnsi="宋体" w:cs="宋体"/>
                <w:snapToGrid w:val="0"/>
                <w:kern w:val="0"/>
                <w:szCs w:val="21"/>
                <w:highlight w:val="none"/>
              </w:rPr>
              <w:t>。</w:t>
            </w:r>
          </w:p>
          <w:p w14:paraId="4DCE6FE4">
            <w:pPr>
              <w:pStyle w:val="5"/>
              <w:ind w:firstLine="0"/>
              <w:rPr>
                <w:rFonts w:ascii="宋体" w:hAnsi="宋体" w:cs="宋体"/>
                <w:snapToGrid w:val="0"/>
                <w:kern w:val="0"/>
                <w:szCs w:val="21"/>
                <w:highlight w:val="none"/>
              </w:rPr>
            </w:pPr>
            <w:r>
              <w:rPr>
                <w:rFonts w:hint="eastAsia" w:ascii="宋体" w:hAnsi="宋体" w:cs="宋体"/>
                <w:snapToGrid w:val="0"/>
                <w:kern w:val="0"/>
                <w:szCs w:val="21"/>
                <w:highlight w:val="none"/>
              </w:rPr>
              <w:t>2、注明证明材料在投标文件中的具体位置，如投标人不按照招标文件要求放置证明材料，</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p w14:paraId="57603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snapToGrid w:val="0"/>
                <w:kern w:val="0"/>
                <w:szCs w:val="21"/>
                <w:highlight w:val="none"/>
              </w:rPr>
              <w:t>3、提供的证明资料显示不符合招标文件要求、模糊不清无法判断或未显示是否满足招标文件参数，且投标人偏离程度响应为“无偏离或正偏离”，</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D66">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配送方案</w:t>
            </w:r>
            <w:r>
              <w:rPr>
                <w:rFonts w:hint="eastAsia" w:ascii="宋体" w:hAnsi="宋体" w:eastAsia="宋体" w:cs="宋体"/>
                <w:i w:val="0"/>
                <w:iCs w:val="0"/>
                <w:color w:val="000000"/>
                <w:kern w:val="0"/>
                <w:sz w:val="22"/>
                <w:szCs w:val="22"/>
                <w:u w:val="none"/>
                <w:lang w:val="en-US" w:eastAsia="zh-CN" w:bidi="ar"/>
              </w:rPr>
              <w:t xml:space="preserve">                                                  </w:t>
            </w:r>
          </w:p>
          <w:p w14:paraId="5E59CE18">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2F7D26C9">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评审委员会根据投标文件配送方案进行评审：</w:t>
            </w:r>
          </w:p>
          <w:p w14:paraId="045328C6">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64F7B93B">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4CEE106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34B2ECA1">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7EE21596">
            <w:pPr>
              <w:pStyle w:val="5"/>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配送方案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5AB5F045">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58B7E25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可实施性强，配送人员管理制度全面，</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加4</w:t>
            </w:r>
            <w:r>
              <w:rPr>
                <w:rFonts w:hint="eastAsia" w:asciiTheme="minorEastAsia" w:hAnsiTheme="minorEastAsia" w:eastAsiaTheme="minorEastAsia" w:cstheme="minorEastAsia"/>
                <w:color w:val="auto"/>
                <w:kern w:val="0"/>
                <w:szCs w:val="21"/>
                <w:highlight w:val="none"/>
              </w:rPr>
              <w:t>分；</w:t>
            </w:r>
          </w:p>
          <w:p w14:paraId="1CC0CCCF">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可实施性较强，配送人员管理制度较全面，</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加2</w:t>
            </w:r>
            <w:r>
              <w:rPr>
                <w:rFonts w:hint="eastAsia" w:asciiTheme="minorEastAsia" w:hAnsiTheme="minorEastAsia" w:eastAsiaTheme="minorEastAsia" w:cstheme="minorEastAsia"/>
                <w:color w:val="auto"/>
                <w:kern w:val="0"/>
                <w:szCs w:val="21"/>
                <w:highlight w:val="none"/>
              </w:rPr>
              <w:t>分；</w:t>
            </w:r>
          </w:p>
          <w:p w14:paraId="40D3D5D2">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可实施性一般，配送人员管理制度基本全面，</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加1</w:t>
            </w:r>
            <w:r>
              <w:rPr>
                <w:rFonts w:hint="eastAsia" w:asciiTheme="minorEastAsia" w:hAnsiTheme="minorEastAsia" w:eastAsiaTheme="minorEastAsia" w:cstheme="minorEastAsia"/>
                <w:color w:val="auto"/>
                <w:kern w:val="0"/>
                <w:szCs w:val="21"/>
                <w:highlight w:val="none"/>
              </w:rPr>
              <w:t>分；</w:t>
            </w:r>
          </w:p>
          <w:p w14:paraId="2E50CDD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可实施性不强，配送人员管理制度不全面，</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p>
          <w:p w14:paraId="76AA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01">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售后服务方案</w:t>
            </w:r>
            <w:r>
              <w:rPr>
                <w:rFonts w:hint="eastAsia" w:ascii="宋体" w:hAnsi="宋体" w:eastAsia="宋体" w:cs="宋体"/>
                <w:i w:val="0"/>
                <w:iCs w:val="0"/>
                <w:color w:val="000000"/>
                <w:kern w:val="0"/>
                <w:sz w:val="22"/>
                <w:szCs w:val="22"/>
                <w:u w:val="none"/>
                <w:lang w:val="en-US" w:eastAsia="zh-CN" w:bidi="ar"/>
              </w:rPr>
              <w:t xml:space="preserve">                                              </w:t>
            </w:r>
          </w:p>
          <w:p w14:paraId="530B1856">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7CEA8024">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w:t>
            </w:r>
            <w:r>
              <w:rPr>
                <w:rFonts w:hint="eastAsia" w:asciiTheme="minorEastAsia" w:hAnsiTheme="minorEastAsia" w:eastAsiaTheme="minorEastAsia" w:cstheme="minorEastAsia"/>
                <w:color w:val="auto"/>
                <w:kern w:val="0"/>
                <w:szCs w:val="21"/>
                <w:highlight w:val="none"/>
                <w:lang w:val="en-US" w:eastAsia="zh-CN"/>
              </w:rPr>
              <w:t>投标人递交的</w:t>
            </w:r>
            <w:r>
              <w:rPr>
                <w:rFonts w:hint="eastAsia" w:asciiTheme="minorEastAsia" w:hAnsiTheme="minorEastAsia" w:eastAsiaTheme="minorEastAsia" w:cstheme="minorEastAsia"/>
                <w:color w:val="auto"/>
                <w:kern w:val="0"/>
                <w:szCs w:val="21"/>
                <w:highlight w:val="none"/>
              </w:rPr>
              <w:t>投标文件售后服务方案进行评审</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内容包含但不限于</w:t>
            </w:r>
            <w:r>
              <w:rPr>
                <w:rFonts w:hint="eastAsia" w:asciiTheme="minorEastAsia" w:hAnsiTheme="minorEastAsia" w:eastAsiaTheme="minorEastAsia" w:cstheme="minorEastAsia"/>
                <w:color w:val="auto"/>
                <w:kern w:val="0"/>
                <w:szCs w:val="21"/>
                <w:highlight w:val="none"/>
              </w:rPr>
              <w:t>：</w:t>
            </w:r>
          </w:p>
          <w:p w14:paraId="33DC311C">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761C1F5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2D6CFD4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p>
          <w:p w14:paraId="4F7C0F29">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评审标准：</w:t>
            </w:r>
          </w:p>
          <w:p w14:paraId="18FF519B">
            <w:pPr>
              <w:pStyle w:val="5"/>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售后服务方案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17241857">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6CA0F33D">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全面，充分考虑突发情况的，</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6436089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可实施性较强，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较全面，较充分考虑突发情况的，</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56A629E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可实施性一般，</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基本全面，基本考虑突发情况的，</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2EDA09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可实施性不强，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不全面，没有考虑突发情况的，</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65B0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7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left"/>
              <w:textAlignment w:val="auto"/>
              <w:rPr>
                <w:rFonts w:hint="eastAsia" w:ascii="宋体" w:hAnsi="宋体" w:eastAsia="宋体" w:cs="宋体"/>
                <w:sz w:val="21"/>
                <w:szCs w:val="21"/>
                <w:highlight w:val="none"/>
              </w:rPr>
            </w:pPr>
            <w:r>
              <w:rPr>
                <w:rFonts w:hint="eastAsia" w:cs="宋体"/>
                <w:color w:val="000000"/>
                <w:sz w:val="21"/>
                <w:szCs w:val="21"/>
                <w:highlight w:val="none"/>
                <w:lang w:val="en-US" w:eastAsia="zh-CN"/>
              </w:rPr>
              <w:t>样品</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color w:val="000000"/>
                <w:sz w:val="21"/>
                <w:szCs w:val="21"/>
                <w:highlight w:val="none"/>
              </w:rPr>
              <w:t>（一）评</w:t>
            </w:r>
            <w:r>
              <w:rPr>
                <w:rFonts w:hint="eastAsia" w:eastAsia="宋体" w:cs="宋体"/>
                <w:b/>
                <w:bCs/>
                <w:color w:val="000000"/>
                <w:sz w:val="21"/>
                <w:szCs w:val="21"/>
                <w:highlight w:val="none"/>
                <w:lang w:val="en-US" w:eastAsia="zh-CN"/>
              </w:rPr>
              <w:t>审要求</w:t>
            </w:r>
            <w:r>
              <w:rPr>
                <w:rFonts w:hint="eastAsia" w:ascii="宋体" w:hAnsi="宋体" w:eastAsia="宋体" w:cs="宋体"/>
                <w:b/>
                <w:bCs/>
                <w:color w:val="000000"/>
                <w:sz w:val="21"/>
                <w:szCs w:val="21"/>
                <w:highlight w:val="none"/>
              </w:rPr>
              <w:t>：</w:t>
            </w:r>
          </w:p>
          <w:p w14:paraId="12178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投标人根据</w:t>
            </w:r>
            <w:r>
              <w:rPr>
                <w:rFonts w:hint="eastAsia" w:eastAsia="宋体" w:cs="宋体"/>
                <w:color w:val="000000"/>
                <w:sz w:val="21"/>
                <w:szCs w:val="21"/>
                <w:highlight w:val="none"/>
                <w:lang w:val="en-US" w:eastAsia="zh-CN"/>
              </w:rPr>
              <w:t>货品清单</w:t>
            </w:r>
            <w:r>
              <w:rPr>
                <w:rFonts w:hint="eastAsia" w:ascii="宋体" w:hAnsi="宋体" w:eastAsia="宋体" w:cs="宋体"/>
                <w:color w:val="000000"/>
                <w:sz w:val="21"/>
                <w:szCs w:val="21"/>
                <w:highlight w:val="none"/>
              </w:rPr>
              <w:t>提供样品</w:t>
            </w:r>
            <w:r>
              <w:rPr>
                <w:rFonts w:hint="eastAsia" w:cs="宋体"/>
                <w:color w:val="000000"/>
                <w:sz w:val="21"/>
                <w:szCs w:val="21"/>
                <w:highlight w:val="none"/>
                <w:lang w:eastAsia="zh-CN"/>
              </w:rPr>
              <w:t>，</w:t>
            </w:r>
            <w:r>
              <w:rPr>
                <w:rFonts w:hint="eastAsia" w:cs="宋体"/>
                <w:color w:val="000000"/>
                <w:sz w:val="21"/>
                <w:szCs w:val="21"/>
                <w:highlight w:val="none"/>
                <w:lang w:val="en-US" w:eastAsia="zh-CN"/>
              </w:rPr>
              <w:t>评审专家根据样品情况进行评审。</w:t>
            </w:r>
          </w:p>
          <w:p w14:paraId="1D61EEAA">
            <w:pPr>
              <w:pStyle w:val="15"/>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w:t>
            </w:r>
            <w:r>
              <w:rPr>
                <w:rFonts w:hint="eastAsia" w:eastAsia="宋体" w:cs="宋体"/>
                <w:b/>
                <w:bCs/>
                <w:color w:val="000000"/>
                <w:sz w:val="21"/>
                <w:szCs w:val="21"/>
                <w:highlight w:val="none"/>
                <w:lang w:val="en-US" w:eastAsia="zh-CN"/>
              </w:rPr>
              <w:t>审</w:t>
            </w:r>
            <w:r>
              <w:rPr>
                <w:rFonts w:hint="eastAsia" w:cs="宋体"/>
                <w:b/>
                <w:bCs/>
                <w:color w:val="000000"/>
                <w:sz w:val="21"/>
                <w:szCs w:val="21"/>
                <w:highlight w:val="none"/>
                <w:lang w:val="en-US" w:eastAsia="zh-CN"/>
              </w:rPr>
              <w:t>标准</w:t>
            </w:r>
            <w:r>
              <w:rPr>
                <w:rFonts w:hint="eastAsia" w:ascii="宋体" w:hAnsi="宋体" w:eastAsia="宋体" w:cs="宋体"/>
                <w:b/>
                <w:bCs/>
                <w:color w:val="000000"/>
                <w:sz w:val="21"/>
                <w:szCs w:val="21"/>
                <w:highlight w:val="none"/>
              </w:rPr>
              <w:t>：</w:t>
            </w:r>
          </w:p>
          <w:p w14:paraId="7074E74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1、投标人提供样品得6分</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未</w:t>
            </w:r>
            <w:r>
              <w:rPr>
                <w:rFonts w:hint="eastAsia" w:ascii="宋体" w:hAnsi="宋体" w:eastAsia="宋体" w:cs="宋体"/>
                <w:color w:val="000000"/>
                <w:sz w:val="21"/>
                <w:szCs w:val="21"/>
                <w:highlight w:val="none"/>
              </w:rPr>
              <w:t>提供</w:t>
            </w:r>
            <w:r>
              <w:rPr>
                <w:rFonts w:hint="eastAsia" w:cs="宋体"/>
                <w:color w:val="000000"/>
                <w:sz w:val="21"/>
                <w:szCs w:val="21"/>
                <w:highlight w:val="none"/>
                <w:lang w:val="en-US" w:eastAsia="zh-CN"/>
              </w:rPr>
              <w:t>样品的本项</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p w14:paraId="629D20C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在此基础上，</w:t>
            </w:r>
            <w:r>
              <w:rPr>
                <w:rFonts w:hint="eastAsia" w:cs="宋体"/>
                <w:color w:val="000000"/>
                <w:sz w:val="21"/>
                <w:szCs w:val="21"/>
                <w:highlight w:val="none"/>
                <w:lang w:val="en-US" w:eastAsia="zh-CN"/>
              </w:rPr>
              <w:t>评审专家根据样品质量情况</w:t>
            </w:r>
            <w:r>
              <w:rPr>
                <w:rFonts w:hint="eastAsia" w:ascii="宋体" w:hAnsi="宋体" w:eastAsia="宋体" w:cs="宋体"/>
                <w:color w:val="000000"/>
                <w:sz w:val="21"/>
                <w:szCs w:val="21"/>
                <w:highlight w:val="none"/>
              </w:rPr>
              <w:t>进行评分：</w:t>
            </w:r>
          </w:p>
          <w:p w14:paraId="41B455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1</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w:t>
            </w:r>
            <w:r>
              <w:rPr>
                <w:rFonts w:hint="eastAsia" w:cs="宋体"/>
                <w:color w:val="auto"/>
                <w:kern w:val="2"/>
                <w:sz w:val="21"/>
                <w:szCs w:val="21"/>
                <w:highlight w:val="none"/>
                <w:lang w:val="en-US" w:eastAsia="zh-CN" w:bidi="ar-SA"/>
              </w:rPr>
              <w:t>与</w:t>
            </w:r>
            <w:r>
              <w:rPr>
                <w:rFonts w:hint="eastAsia" w:ascii="宋体" w:hAnsi="宋体" w:eastAsia="宋体" w:cs="宋体"/>
                <w:color w:val="auto"/>
                <w:kern w:val="2"/>
                <w:sz w:val="21"/>
                <w:szCs w:val="21"/>
                <w:highlight w:val="none"/>
                <w:lang w:val="en-US" w:eastAsia="zh-CN" w:bidi="ar-SA"/>
              </w:rPr>
              <w:t>制作水平先进、实用性强、创新性高，完全满足招标文件要求的，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为优</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7231A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2</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制作工艺与制作水平比较先进、实用性较强、创新性较高，基本满足招标文件要求的，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为良</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412422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3</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制作工艺与制作水平一般，实用性和创新性一般，基本满足招标文件要求的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为中，</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26E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制作工艺与制作水平落后，实用性和创新性较差，不能满足招标需求及招标方样品的</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评审为差，</w:t>
            </w:r>
            <w:r>
              <w:rPr>
                <w:rFonts w:hint="eastAsia" w:ascii="宋体" w:hAnsi="宋体" w:eastAsia="宋体" w:cs="宋体"/>
                <w:color w:val="000000"/>
                <w:sz w:val="21"/>
                <w:szCs w:val="21"/>
                <w:highlight w:val="none"/>
              </w:rPr>
              <w:t>不加分</w:t>
            </w:r>
            <w:r>
              <w:rPr>
                <w:rFonts w:hint="eastAsia" w:ascii="宋体" w:hAnsi="宋体" w:eastAsia="宋体" w:cs="宋体"/>
                <w:color w:val="000000"/>
                <w:sz w:val="21"/>
                <w:szCs w:val="21"/>
                <w:highlight w:val="none"/>
                <w:lang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19B">
            <w:pPr>
              <w:keepNext w:val="0"/>
              <w:keepLines w:val="0"/>
              <w:widowControl/>
              <w:suppressLineNumbers w:val="0"/>
              <w:jc w:val="left"/>
              <w:textAlignment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有效业绩</w:t>
            </w:r>
          </w:p>
          <w:p w14:paraId="6B20D19F">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E851B30">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投标人自</w:t>
            </w:r>
            <w:r>
              <w:rPr>
                <w:rFonts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年1月1日至本项目投标截止之日（以合同签订日期为准）完成的</w:t>
            </w:r>
            <w:r>
              <w:rPr>
                <w:rFonts w:hint="eastAsia" w:ascii="Times New Roman" w:hAnsi="Times New Roman" w:eastAsia="宋体" w:cs="Times New Roman"/>
                <w:kern w:val="2"/>
                <w:sz w:val="21"/>
                <w:szCs w:val="24"/>
                <w:highlight w:val="none"/>
                <w:lang w:val="en-US" w:eastAsia="zh-CN" w:bidi="ar-SA"/>
              </w:rPr>
              <w:t>医院或大学以及其他科研单位的</w:t>
            </w:r>
            <w:r>
              <w:rPr>
                <w:rFonts w:hint="eastAsia" w:ascii="宋体" w:hAnsi="宋体" w:eastAsia="宋体" w:cs="宋体"/>
                <w:sz w:val="21"/>
                <w:szCs w:val="21"/>
                <w:highlight w:val="none"/>
              </w:rPr>
              <w:t>同类产品</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供货业绩</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每提供一份</w:t>
            </w:r>
            <w:r>
              <w:rPr>
                <w:rFonts w:hint="eastAsia" w:ascii="宋体" w:hAnsi="宋体" w:cs="宋体"/>
                <w:sz w:val="21"/>
                <w:szCs w:val="21"/>
                <w:highlight w:val="none"/>
                <w:lang w:val="en-US" w:eastAsia="zh-CN"/>
              </w:rPr>
              <w:t>有效业绩</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需本投标单位出具的有效发票或合同，若非本投标单位出具的发票或合同，做无效处理，不得分。</w:t>
            </w:r>
          </w:p>
          <w:p w14:paraId="7139DCDC">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1578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提供发票或合同证明复印件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或截图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left w:val="single" w:color="000000" w:sz="4" w:space="0"/>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55">
            <w:pPr>
              <w:keepNext w:val="0"/>
              <w:keepLines w:val="0"/>
              <w:pageBreakBefore w:val="0"/>
              <w:kinsoku/>
              <w:overflowPunct/>
              <w:topLinePunct w:val="0"/>
              <w:autoSpaceDE/>
              <w:autoSpaceDN/>
              <w:bidi w:val="0"/>
              <w:adjustRightInd/>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履约评价</w:t>
            </w:r>
          </w:p>
          <w:p w14:paraId="473070CB">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7CD1357">
            <w:pPr>
              <w:keepNext w:val="0"/>
              <w:keepLines w:val="0"/>
              <w:pageBreakBefore w:val="0"/>
              <w:kinsoku/>
              <w:overflowPunct/>
              <w:topLinePunct w:val="0"/>
              <w:autoSpaceDE/>
              <w:autoSpaceDN/>
              <w:bidi w:val="0"/>
              <w:adjustRightInd/>
              <w:spacing w:line="240" w:lineRule="auto"/>
              <w:textAlignment w:val="auto"/>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在</w:t>
            </w:r>
            <w:r>
              <w:rPr>
                <w:rFonts w:hint="eastAsia" w:ascii="宋体" w:hAnsi="宋体"/>
                <w:szCs w:val="21"/>
                <w:highlight w:val="none"/>
              </w:rPr>
              <w:t>提供上述经评审有效的业绩中，能够提供用户出具的履约评价书，且评价为优或满意以上的，每份得1分；最高得5分。不提供或者不能有效证明的，得0分。</w:t>
            </w:r>
          </w:p>
          <w:p w14:paraId="05B40E31">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9CD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szCs w:val="21"/>
                <w:highlight w:val="none"/>
              </w:rPr>
              <w:t>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left w:val="single" w:color="000000" w:sz="4" w:space="0"/>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Cs w:val="21"/>
                <w:highlight w:val="none"/>
                <w:lang w:val="en-US" w:eastAsia="zh-CN"/>
              </w:rPr>
              <w:t xml:space="preserve">仓储、运输能力  </w:t>
            </w:r>
            <w:r>
              <w:rPr>
                <w:rFonts w:hint="eastAsia" w:ascii="宋体" w:hAnsi="宋体" w:eastAsia="宋体" w:cs="宋体"/>
                <w:i w:val="0"/>
                <w:iCs w:val="0"/>
                <w:color w:val="000000"/>
                <w:kern w:val="0"/>
                <w:sz w:val="22"/>
                <w:szCs w:val="22"/>
                <w:u w:val="none"/>
                <w:lang w:val="en-US" w:eastAsia="zh-CN" w:bidi="ar"/>
              </w:rPr>
              <w:t xml:space="preserve">      </w:t>
            </w:r>
          </w:p>
          <w:p w14:paraId="065CF543">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4735E8F6">
            <w:pPr>
              <w:keepNext w:val="0"/>
              <w:keepLines w:val="0"/>
              <w:pageBreakBefore w:val="0"/>
              <w:kinsoku/>
              <w:overflowPunct/>
              <w:topLinePunct w:val="0"/>
              <w:autoSpaceDE/>
              <w:autoSpaceDN/>
              <w:bidi w:val="0"/>
              <w:adjustRightInd/>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t>1、投标人自有或租赁仓库的，得2分。</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2、根据投标人仓库容积进行综合评审，面积最大的为第一名，以此类推，第一名得5分，第二名得3分，第三名得2分，第四名及以后得1分。投标时请提供相关证明材料。</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3、投标人运输车辆：拟投入一辆运输车辆得1分，最高得3分。无正规运输车辆，不得分。</w:t>
            </w:r>
          </w:p>
          <w:p w14:paraId="535D8315">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4E1177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1、需提供自有产权或租赁相关证明材料，未提供或提供资料无法判断的，该项不得分。</w:t>
            </w:r>
          </w:p>
          <w:p w14:paraId="3DE74AE5">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2、以房产证或租赁合同内载明的容积为准，如未提供或资料不完整，该项不得分。</w:t>
            </w:r>
          </w:p>
          <w:p w14:paraId="13541195">
            <w:pPr>
              <w:keepNext w:val="0"/>
              <w:keepLines w:val="0"/>
              <w:pageBreakBefore w:val="0"/>
              <w:kinsoku/>
              <w:wordWrap w:val="0"/>
              <w:overflowPunct/>
              <w:topLinePunct w:val="0"/>
              <w:autoSpaceDE/>
              <w:autoSpaceDN/>
              <w:bidi w:val="0"/>
              <w:adjustRightInd/>
              <w:snapToGrid w:val="0"/>
              <w:spacing w:line="240" w:lineRule="auto"/>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3、房产证或租赁合同内的租赁用途需为仓储，其余用途不得分。</w:t>
            </w:r>
          </w:p>
          <w:p w14:paraId="1AA02C04">
            <w:pPr>
              <w:keepNext w:val="0"/>
              <w:keepLines w:val="0"/>
              <w:pageBreakBefore w:val="0"/>
              <w:kinsoku/>
              <w:wordWrap w:val="0"/>
              <w:overflowPunct/>
              <w:topLinePunct w:val="0"/>
              <w:autoSpaceDE/>
              <w:autoSpaceDN/>
              <w:bidi w:val="0"/>
              <w:adjustRightInd/>
              <w:snapToGrid w:val="0"/>
              <w:spacing w:line="240" w:lineRule="auto"/>
              <w:textAlignment w:val="auto"/>
              <w:rPr>
                <w:rFonts w:hint="eastAsia"/>
              </w:rPr>
            </w:pPr>
            <w:r>
              <w:rPr>
                <w:rFonts w:hint="eastAsia" w:ascii="宋体" w:hAnsi="宋体" w:cs="宋体"/>
                <w:szCs w:val="21"/>
                <w:highlight w:val="none"/>
                <w:lang w:val="en-US" w:eastAsia="zh-CN"/>
              </w:rPr>
              <w:t>4、提供相关车辆的行驶证或采购合同或购买发票或者授权文件。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65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continue"/>
            <w:tcBorders>
              <w:left w:val="single" w:color="000000" w:sz="4" w:space="0"/>
              <w:bottom w:val="nil"/>
              <w:right w:val="single" w:color="000000" w:sz="4" w:space="0"/>
            </w:tcBorders>
            <w:shd w:val="clear" w:color="auto" w:fill="auto"/>
            <w:vAlign w:val="center"/>
          </w:tcPr>
          <w:p w14:paraId="20CF0FE1">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8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b/>
                <w:szCs w:val="21"/>
                <w:highlight w:val="none"/>
              </w:rPr>
            </w:pPr>
            <w:r>
              <w:rPr>
                <w:rFonts w:hint="eastAsia" w:ascii="宋体" w:hAnsi="宋体" w:cs="宋体"/>
                <w:kern w:val="0"/>
                <w:szCs w:val="21"/>
                <w:highlight w:val="none"/>
              </w:rPr>
              <w:t>诚信</w:t>
            </w:r>
          </w:p>
          <w:p w14:paraId="20AC3867">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一</w:t>
            </w:r>
            <w:r>
              <w:rPr>
                <w:rFonts w:hint="eastAsia" w:ascii="宋体" w:hAnsi="宋体" w:cs="宋体"/>
                <w:b/>
                <w:szCs w:val="21"/>
                <w:highlight w:val="none"/>
                <w:lang w:eastAsia="zh-CN"/>
              </w:rPr>
              <w:t>）</w:t>
            </w:r>
            <w:r>
              <w:rPr>
                <w:rFonts w:hint="eastAsia" w:ascii="宋体" w:hAnsi="宋体" w:cs="宋体"/>
                <w:b/>
                <w:szCs w:val="21"/>
                <w:highlight w:val="none"/>
              </w:rPr>
              <w:t>评分内容：</w:t>
            </w:r>
          </w:p>
          <w:p w14:paraId="47D171E4">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rPr>
              <w:t xml:space="preserve">（二）评分依据： </w:t>
            </w:r>
          </w:p>
          <w:p w14:paraId="5CA69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rPr>
              <w:t>投标人无需提供任何证明材料，由工作人员向评审委员会提供相关信息。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szCs w:val="21"/>
                <w:highlight w:val="none"/>
                <w:lang w:val="en-US" w:eastAsia="zh-CN"/>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 xml:space="preserve">采用低价优先法计算，即满足招标文件要求且投标价格最低的投标报价为评标基准价，其价格分为满分。其他投标人的价格分统一按照下列公式计算： </w:t>
            </w:r>
          </w:p>
          <w:p w14:paraId="51FA1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themeColor="text1"/>
                <w:szCs w:val="21"/>
                <w:highlight w:val="none"/>
                <w14:textFill>
                  <w14:solidFill>
                    <w14:schemeClr w14:val="tx1"/>
                  </w14:solidFill>
                </w14:textFill>
              </w:rPr>
              <w:t>投标报价得分=(评标基准价／投标报价)×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7A0F6D-769A-4B60-96F7-827EC73AFCA6}"/>
  </w:font>
  <w:font w:name="黑体">
    <w:panose1 w:val="02010609060101010101"/>
    <w:charset w:val="86"/>
    <w:family w:val="auto"/>
    <w:pitch w:val="default"/>
    <w:sig w:usb0="800002BF" w:usb1="38CF7CFA" w:usb2="00000016" w:usb3="00000000" w:csb0="00040001" w:csb1="00000000"/>
    <w:embedRegular r:id="rId2" w:fontKey="{EA949BDC-ED3D-4642-84C6-7FDF738C5B0E}"/>
  </w:font>
  <w:font w:name="Courier New">
    <w:panose1 w:val="02070309020205020404"/>
    <w:charset w:val="01"/>
    <w:family w:val="modern"/>
    <w:pitch w:val="default"/>
    <w:sig w:usb0="E0002EFF" w:usb1="C0007843" w:usb2="00000009" w:usb3="00000000" w:csb0="400001FF" w:csb1="FFFF0000"/>
    <w:embedRegular r:id="rId3" w:fontKey="{909B936F-6007-495F-B3CB-55C00DC968C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788BF46-8AA8-4BE8-A237-6E0D90D21A4F}"/>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6A6DB656-64E9-4002-8386-8D175373B19E}"/>
  </w:font>
  <w:font w:name="Tahoma">
    <w:panose1 w:val="020B0604030504040204"/>
    <w:charset w:val="00"/>
    <w:family w:val="auto"/>
    <w:pitch w:val="default"/>
    <w:sig w:usb0="E1002EFF" w:usb1="C000605B" w:usb2="00000029" w:usb3="00000000" w:csb0="200101FF" w:csb1="20280000"/>
    <w:embedRegular r:id="rId6" w:fontKey="{0BBBDC11-CC80-44AF-BACF-D2E07C597C14}"/>
  </w:font>
  <w:font w:name="仿宋_GB2312">
    <w:panose1 w:val="02010609030101010101"/>
    <w:charset w:val="86"/>
    <w:family w:val="auto"/>
    <w:pitch w:val="default"/>
    <w:sig w:usb0="00000001" w:usb1="080E0000" w:usb2="00000000" w:usb3="00000000" w:csb0="00040000" w:csb1="00000000"/>
    <w:embedRegular r:id="rId7" w:fontKey="{21A17A88-BD03-4691-B9E0-75D0C50066F1}"/>
  </w:font>
  <w:font w:name="方正仿宋_GBK">
    <w:altName w:val="微软雅黑"/>
    <w:panose1 w:val="00000000000000000000"/>
    <w:charset w:val="86"/>
    <w:family w:val="auto"/>
    <w:pitch w:val="default"/>
    <w:sig w:usb0="00000000" w:usb1="00000000" w:usb2="00000000" w:usb3="00000000" w:csb0="00040000" w:csb1="00000000"/>
    <w:embedRegular r:id="rId8" w:fontKey="{4C96F8B3-26B0-42BC-85FA-F610C80875EA}"/>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9" w:fontKey="{3BABFA48-E6F2-4FE2-AF72-84114A942EA1}"/>
  </w:font>
  <w:font w:name="方正小标宋_GBK">
    <w:panose1 w:val="02000000000000000000"/>
    <w:charset w:val="86"/>
    <w:family w:val="script"/>
    <w:pitch w:val="default"/>
    <w:sig w:usb0="A00002BF" w:usb1="38CF7CFA" w:usb2="00082016" w:usb3="00000000" w:csb0="00040001" w:csb1="00000000"/>
    <w:embedRegular r:id="rId10" w:fontKey="{4DEA1F04-F7AA-4595-A727-81A38C9EEBAB}"/>
  </w:font>
  <w:font w:name="Wingdings 2">
    <w:panose1 w:val="05020102010507070707"/>
    <w:charset w:val="00"/>
    <w:family w:val="auto"/>
    <w:pitch w:val="default"/>
    <w:sig w:usb0="00000000" w:usb1="00000000" w:usb2="00000000" w:usb3="00000000" w:csb0="80000000" w:csb1="00000000"/>
    <w:embedRegular r:id="rId11" w:fontKey="{A9974C42-9126-410C-9461-937CC5183CB1}"/>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1"/>
      <w:jc w:val="center"/>
      <w:rPr>
        <w:rStyle w:val="2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2"/>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760F9"/>
    <w:multiLevelType w:val="singleLevel"/>
    <w:tmpl w:val="9CE760F9"/>
    <w:lvl w:ilvl="0" w:tentative="0">
      <w:start w:val="2"/>
      <w:numFmt w:val="chineseCounting"/>
      <w:suff w:val="nothing"/>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6D61694"/>
    <w:multiLevelType w:val="singleLevel"/>
    <w:tmpl w:val="D6D61694"/>
    <w:lvl w:ilvl="0" w:tentative="0">
      <w:start w:val="1"/>
      <w:numFmt w:val="chineseCounting"/>
      <w:suff w:val="nothing"/>
      <w:lvlText w:val="（%1）"/>
      <w:lvlJc w:val="left"/>
      <w:rPr>
        <w:rFonts w:hint="eastAsia"/>
      </w:rPr>
    </w:lvl>
  </w:abstractNum>
  <w:abstractNum w:abstractNumId="3">
    <w:nsid w:val="0B8F3126"/>
    <w:multiLevelType w:val="singleLevel"/>
    <w:tmpl w:val="0B8F3126"/>
    <w:lvl w:ilvl="0" w:tentative="0">
      <w:start w:val="3"/>
      <w:numFmt w:val="chineseCounting"/>
      <w:suff w:val="nothing"/>
      <w:lvlText w:val="%1、"/>
      <w:lvlJc w:val="left"/>
      <w:rPr>
        <w:rFonts w:hint="eastAsia"/>
      </w:rPr>
    </w:lvl>
  </w:abstractNum>
  <w:abstractNum w:abstractNumId="4">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E85C6F"/>
    <w:multiLevelType w:val="singleLevel"/>
    <w:tmpl w:val="37E85C6F"/>
    <w:lvl w:ilvl="0" w:tentative="0">
      <w:start w:val="1"/>
      <w:numFmt w:val="decimal"/>
      <w:lvlText w:val="%1."/>
      <w:lvlJc w:val="left"/>
      <w:pPr>
        <w:tabs>
          <w:tab w:val="left" w:pos="312"/>
        </w:tabs>
      </w:pPr>
    </w:lvl>
  </w:abstractNum>
  <w:abstractNum w:abstractNumId="6">
    <w:nsid w:val="40EC10D5"/>
    <w:multiLevelType w:val="singleLevel"/>
    <w:tmpl w:val="40EC10D5"/>
    <w:lvl w:ilvl="0" w:tentative="0">
      <w:start w:val="1"/>
      <w:numFmt w:val="chineseCounting"/>
      <w:suff w:val="space"/>
      <w:lvlText w:val="第%1章"/>
      <w:lvlJc w:val="left"/>
      <w:rPr>
        <w:rFonts w:hint="eastAsia"/>
      </w:r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07A66DD"/>
    <w:multiLevelType w:val="singleLevel"/>
    <w:tmpl w:val="507A66DD"/>
    <w:lvl w:ilvl="0" w:tentative="0">
      <w:start w:val="5"/>
      <w:numFmt w:val="chineseCounting"/>
      <w:suff w:val="nothing"/>
      <w:lvlText w:val="%1、"/>
      <w:lvlJc w:val="left"/>
      <w:rPr>
        <w:rFonts w:hint="eastAsia"/>
      </w:rPr>
    </w:lvl>
  </w:abstractNum>
  <w:abstractNum w:abstractNumId="9">
    <w:nsid w:val="59215DE2"/>
    <w:multiLevelType w:val="singleLevel"/>
    <w:tmpl w:val="59215DE2"/>
    <w:lvl w:ilvl="0" w:tentative="0">
      <w:start w:val="2"/>
      <w:numFmt w:val="decimal"/>
      <w:suff w:val="nothing"/>
      <w:lvlText w:val="（%1）"/>
      <w:lvlJc w:val="left"/>
    </w:lvl>
  </w:abstractNum>
  <w:abstractNum w:abstractNumId="10">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1">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9"/>
  </w:num>
  <w:num w:numId="5">
    <w:abstractNumId w:val="3"/>
  </w:num>
  <w:num w:numId="6">
    <w:abstractNumId w:val="8"/>
  </w:num>
  <w:num w:numId="7">
    <w:abstractNumId w:val="7"/>
  </w:num>
  <w:num w:numId="8">
    <w:abstractNumId w:val="4"/>
  </w:num>
  <w:num w:numId="9">
    <w:abstractNumId w:val="5"/>
  </w:num>
  <w:num w:numId="10">
    <w:abstractNumId w:val="13"/>
  </w:num>
  <w:num w:numId="11">
    <w:abstractNumId w:val="12"/>
  </w:num>
  <w:num w:numId="12">
    <w:abstractNumId w:val="2"/>
  </w:num>
  <w:num w:numId="13">
    <w:abstractNumId w:val="15"/>
  </w:num>
  <w:num w:numId="14">
    <w:abstractNumId w:val="10"/>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FD42EF"/>
    <w:rsid w:val="02515E13"/>
    <w:rsid w:val="03824295"/>
    <w:rsid w:val="03CA1333"/>
    <w:rsid w:val="03D86CBB"/>
    <w:rsid w:val="04A41E29"/>
    <w:rsid w:val="0586171E"/>
    <w:rsid w:val="0C831895"/>
    <w:rsid w:val="0F847DFE"/>
    <w:rsid w:val="10437371"/>
    <w:rsid w:val="13272F7A"/>
    <w:rsid w:val="14DA7639"/>
    <w:rsid w:val="167968A8"/>
    <w:rsid w:val="168261AD"/>
    <w:rsid w:val="1A0F0637"/>
    <w:rsid w:val="1AC75CBA"/>
    <w:rsid w:val="1ACD08AB"/>
    <w:rsid w:val="1D740F3F"/>
    <w:rsid w:val="1FC04AB6"/>
    <w:rsid w:val="20857E4D"/>
    <w:rsid w:val="2110276B"/>
    <w:rsid w:val="217A1947"/>
    <w:rsid w:val="22DA20BB"/>
    <w:rsid w:val="24CC6443"/>
    <w:rsid w:val="27A32756"/>
    <w:rsid w:val="28774BB2"/>
    <w:rsid w:val="292F0982"/>
    <w:rsid w:val="2AD85138"/>
    <w:rsid w:val="2BC25ADE"/>
    <w:rsid w:val="2BEF1BE2"/>
    <w:rsid w:val="2C2F1E92"/>
    <w:rsid w:val="2CAA6F1D"/>
    <w:rsid w:val="2FEF24C1"/>
    <w:rsid w:val="32A7178F"/>
    <w:rsid w:val="348C0A37"/>
    <w:rsid w:val="34D95BA1"/>
    <w:rsid w:val="37436ACA"/>
    <w:rsid w:val="38312021"/>
    <w:rsid w:val="38404012"/>
    <w:rsid w:val="3A4F4F44"/>
    <w:rsid w:val="3CFF2687"/>
    <w:rsid w:val="3D691D61"/>
    <w:rsid w:val="3FF83425"/>
    <w:rsid w:val="41894625"/>
    <w:rsid w:val="42961172"/>
    <w:rsid w:val="44ED4447"/>
    <w:rsid w:val="46062A6F"/>
    <w:rsid w:val="466C27DB"/>
    <w:rsid w:val="46E84D7E"/>
    <w:rsid w:val="47507FEA"/>
    <w:rsid w:val="49BE56DF"/>
    <w:rsid w:val="4A0517DE"/>
    <w:rsid w:val="4DAD7DEB"/>
    <w:rsid w:val="4E8100AD"/>
    <w:rsid w:val="4E8E5256"/>
    <w:rsid w:val="4F0F12CA"/>
    <w:rsid w:val="4F560168"/>
    <w:rsid w:val="511864D9"/>
    <w:rsid w:val="51D63AF4"/>
    <w:rsid w:val="521F3077"/>
    <w:rsid w:val="558214CD"/>
    <w:rsid w:val="56E36785"/>
    <w:rsid w:val="580B4B95"/>
    <w:rsid w:val="58AF7528"/>
    <w:rsid w:val="58C53577"/>
    <w:rsid w:val="5A2F6381"/>
    <w:rsid w:val="5B4A22D1"/>
    <w:rsid w:val="5BC7458E"/>
    <w:rsid w:val="5CAC08DD"/>
    <w:rsid w:val="5CEC7157"/>
    <w:rsid w:val="5D045FFD"/>
    <w:rsid w:val="5F630463"/>
    <w:rsid w:val="65265113"/>
    <w:rsid w:val="65E57895"/>
    <w:rsid w:val="68A23D9A"/>
    <w:rsid w:val="69E7776E"/>
    <w:rsid w:val="6AA14535"/>
    <w:rsid w:val="6ACC2680"/>
    <w:rsid w:val="6B80006E"/>
    <w:rsid w:val="6BB74550"/>
    <w:rsid w:val="6CF30DA6"/>
    <w:rsid w:val="6DD15131"/>
    <w:rsid w:val="72AC65F9"/>
    <w:rsid w:val="72AF5315"/>
    <w:rsid w:val="730B15A2"/>
    <w:rsid w:val="74055651"/>
    <w:rsid w:val="774A4416"/>
    <w:rsid w:val="7B49325B"/>
    <w:rsid w:val="7BFC15FE"/>
    <w:rsid w:val="7C4E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outlineLvl w:val="1"/>
    </w:pPr>
    <w:rPr>
      <w:rFonts w:ascii="Cambria" w:hAnsi="Cambria" w:cs="宋体"/>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val="0"/>
      <w:ind w:firstLine="420"/>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line="560" w:lineRule="exact"/>
      <w:ind w:left="300"/>
    </w:pPr>
    <w:rPr>
      <w:sz w:val="24"/>
    </w:rPr>
  </w:style>
  <w:style w:type="paragraph" w:styleId="9">
    <w:name w:val="toc 3"/>
    <w:basedOn w:val="1"/>
    <w:next w:val="1"/>
    <w:semiHidden/>
    <w:unhideWhenUsed/>
    <w:qFormat/>
    <w:uiPriority w:val="39"/>
    <w:pPr>
      <w:ind w:left="840" w:leftChars="400"/>
    </w:pPr>
  </w:style>
  <w:style w:type="paragraph" w:styleId="10">
    <w:name w:val="Plain Text"/>
    <w:basedOn w:val="1"/>
    <w:link w:val="23"/>
    <w:semiHidden/>
    <w:unhideWhenUsed/>
    <w:qFormat/>
    <w:uiPriority w:val="99"/>
    <w:rPr>
      <w:rFonts w:ascii="宋体" w:hAnsi="Courier New" w:eastAsia="宋体" w:cs="Times New Roman"/>
      <w:szCs w:val="20"/>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Char"/>
    <w:basedOn w:val="19"/>
    <w:link w:val="12"/>
    <w:autoRedefine/>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纯文本 Char"/>
    <w:basedOn w:val="19"/>
    <w:link w:val="10"/>
    <w:semiHidden/>
    <w:qFormat/>
    <w:uiPriority w:val="99"/>
    <w:rPr>
      <w:rFonts w:ascii="宋体" w:hAnsi="Courier New" w:eastAsia="宋体" w:cs="Times New Roman"/>
      <w:szCs w:val="20"/>
    </w:rPr>
  </w:style>
  <w:style w:type="character" w:customStyle="1" w:styleId="24">
    <w:name w:val="font11"/>
    <w:basedOn w:val="19"/>
    <w:qFormat/>
    <w:uiPriority w:val="0"/>
    <w:rPr>
      <w:rFonts w:hint="eastAsia" w:ascii="宋体" w:hAnsi="宋体" w:eastAsia="宋体" w:cs="宋体"/>
      <w:color w:val="000000"/>
      <w:sz w:val="30"/>
      <w:szCs w:val="30"/>
      <w:u w:val="none"/>
    </w:rPr>
  </w:style>
  <w:style w:type="paragraph" w:styleId="25">
    <w:name w:val="List Paragraph"/>
    <w:basedOn w:val="1"/>
    <w:autoRedefine/>
    <w:qFormat/>
    <w:uiPriority w:val="34"/>
    <w:pPr>
      <w:ind w:firstLine="420" w:firstLineChars="200"/>
    </w:pPr>
    <w:rPr>
      <w:rFonts w:ascii="Calibri" w:hAnsi="Calibri"/>
      <w:szCs w:val="22"/>
    </w:rPr>
  </w:style>
  <w:style w:type="table" w:customStyle="1" w:styleId="26">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
    <w:basedOn w:val="1"/>
    <w:autoRedefine/>
    <w:qFormat/>
    <w:uiPriority w:val="34"/>
    <w:pPr>
      <w:ind w:firstLine="420" w:firstLineChars="200"/>
    </w:pPr>
  </w:style>
  <w:style w:type="paragraph" w:customStyle="1" w:styleId="29">
    <w:name w:val="样式1 Char Char"/>
    <w:basedOn w:val="1"/>
    <w:next w:val="10"/>
    <w:qFormat/>
    <w:uiPriority w:val="0"/>
    <w:pPr>
      <w:spacing w:line="360" w:lineRule="auto"/>
      <w:ind w:firstLine="516" w:firstLineChars="215"/>
    </w:pPr>
    <w:rPr>
      <w:sz w:val="24"/>
    </w:rPr>
  </w:style>
  <w:style w:type="paragraph" w:customStyle="1" w:styleId="30">
    <w:name w:val="文档正文"/>
    <w:qFormat/>
    <w:uiPriority w:val="99"/>
    <w:pPr>
      <w:widowControl w:val="0"/>
      <w:adjustRightInd w:val="0"/>
      <w:spacing w:line="480" w:lineRule="atLeast"/>
      <w:ind w:firstLine="567" w:firstLineChars="200"/>
      <w:textAlignment w:val="baseline"/>
    </w:pPr>
    <w:rPr>
      <w:rFonts w:ascii="长城仿宋" w:hAnsi="Times New Roman" w:eastAsia="宋体" w:cs="Times New Roman"/>
      <w:sz w:val="21"/>
      <w:lang w:val="en-US" w:eastAsia="zh-CN" w:bidi="ar-SA"/>
    </w:rPr>
  </w:style>
  <w:style w:type="character" w:customStyle="1" w:styleId="31">
    <w:name w:val="font21"/>
    <w:basedOn w:val="19"/>
    <w:qFormat/>
    <w:uiPriority w:val="0"/>
    <w:rPr>
      <w:rFonts w:hint="eastAsia" w:ascii="宋体" w:hAnsi="宋体" w:eastAsia="宋体" w:cs="宋体"/>
      <w:color w:val="000000"/>
      <w:sz w:val="20"/>
      <w:szCs w:val="20"/>
      <w:u w:val="none"/>
    </w:rPr>
  </w:style>
  <w:style w:type="character" w:customStyle="1" w:styleId="32">
    <w:name w:val="font31"/>
    <w:basedOn w:val="19"/>
    <w:qFormat/>
    <w:uiPriority w:val="0"/>
    <w:rPr>
      <w:rFonts w:ascii="Tahoma" w:hAnsi="Tahoma" w:eastAsia="Tahoma" w:cs="Tahoma"/>
      <w:color w:val="000000"/>
      <w:sz w:val="20"/>
      <w:szCs w:val="20"/>
      <w:u w:val="none"/>
    </w:rPr>
  </w:style>
  <w:style w:type="paragraph" w:customStyle="1" w:styleId="33">
    <w:name w:val="*正文"/>
    <w:basedOn w:val="1"/>
    <w:qFormat/>
    <w:uiPriority w:val="0"/>
    <w:pPr>
      <w:spacing w:line="360" w:lineRule="auto"/>
      <w:ind w:firstLine="200" w:firstLineChars="200"/>
    </w:pPr>
    <w:rPr>
      <w:rFonts w:ascii="宋体" w:hAnsi="宋体"/>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3530</Words>
  <Characters>3572</Characters>
  <Lines>31</Lines>
  <Paragraphs>8</Paragraphs>
  <TotalTime>1</TotalTime>
  <ScaleCrop>false</ScaleCrop>
  <LinksUpToDate>false</LinksUpToDate>
  <CharactersWithSpaces>3604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2025-09-01T00:23:35Z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BDFC7EA1DCF04D05BF870147B673EB34_13</vt:lpwstr>
  </property>
  <property fmtid="{D5CDD505-2E9C-101B-9397-08002B2CF9AE}" pid="4" name="KSOTemplateDocerSaveRecord">
    <vt:lpwstr>eyJoZGlkIjoiM2EyNDYyYmQ1ZDA0NDE2ZWMxMTVjMTBjNjZlNGMxZWMiLCJ1c2VySWQiOiIxOTQ5NzkyNTQifQ==</vt:lpwstr>
  </property>
</Properties>
</file>