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032FC704">
      <w:pPr>
        <w:jc w:val="cente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福田区第二人民医院医疗器械招标文件</w:t>
      </w:r>
    </w:p>
    <w:p w14:paraId="7CB31B7A">
      <w:pPr>
        <w:ind w:firstLine="440" w:firstLineChars="200"/>
        <w:jc w:val="left"/>
        <w:rPr>
          <w:rFonts w:asciiTheme="minorEastAsia" w:hAnsiTheme="minorEastAsia" w:cstheme="minorEastAsia"/>
          <w:sz w:val="28"/>
          <w:szCs w:val="28"/>
        </w:rPr>
      </w:pPr>
      <w:r>
        <w:rPr>
          <w:rFonts w:hint="eastAsia" w:asciiTheme="minorEastAsia" w:hAnsiTheme="minorEastAsia" w:cstheme="minorEastAsia"/>
          <w:sz w:val="22"/>
          <w:szCs w:val="22"/>
        </w:rPr>
        <w:t>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w:t>
      </w:r>
      <w:r>
        <w:rPr>
          <w:rFonts w:hint="eastAsia" w:asciiTheme="minorEastAsia" w:hAnsiTheme="minorEastAsia" w:cstheme="minorEastAsia"/>
          <w:sz w:val="28"/>
          <w:szCs w:val="28"/>
        </w:rPr>
        <w:t>1、深圳市福田区第二人民医院对本单位部分医疗</w:t>
      </w:r>
      <w:r>
        <w:rPr>
          <w:rFonts w:hint="eastAsia" w:asciiTheme="minorEastAsia" w:hAnsiTheme="minorEastAsia" w:cstheme="minorEastAsia"/>
          <w:sz w:val="28"/>
          <w:szCs w:val="28"/>
          <w:lang w:val="en-US" w:eastAsia="zh-CN"/>
        </w:rPr>
        <w:t>器械</w:t>
      </w:r>
      <w:r>
        <w:rPr>
          <w:rFonts w:hint="eastAsia" w:asciiTheme="minorEastAsia" w:hAnsiTheme="minorEastAsia" w:cstheme="minorEastAsia"/>
          <w:sz w:val="28"/>
          <w:szCs w:val="28"/>
        </w:rPr>
        <w:t>采购进行</w:t>
      </w:r>
      <w:r>
        <w:rPr>
          <w:rFonts w:hint="eastAsia" w:asciiTheme="minorEastAsia" w:hAnsiTheme="minorEastAsia" w:cstheme="minorEastAsia"/>
          <w:sz w:val="28"/>
          <w:szCs w:val="28"/>
          <w:lang w:val="en-US" w:eastAsia="zh-CN"/>
        </w:rPr>
        <w:t>挂网招标</w:t>
      </w:r>
      <w:r>
        <w:rPr>
          <w:rFonts w:hint="eastAsia" w:asciiTheme="minorEastAsia" w:hAnsiTheme="minorEastAsia" w:cstheme="minorEastAsia"/>
          <w:sz w:val="28"/>
          <w:szCs w:val="28"/>
        </w:rPr>
        <w:t>。欢迎各有医疗器械经营许可权或医疗设备生产许可权的经营企业或生产企业参加投标。</w:t>
      </w:r>
    </w:p>
    <w:p w14:paraId="46BEE8EA">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2、供应商可根据自身的经营情况，选择投一个或多个采购条目，但不允许将一个采购条目流水号的内容拆散。</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六</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r>
        <w:rPr>
          <w:rFonts w:hint="eastAsia" w:asciiTheme="minorEastAsia" w:hAnsiTheme="minorEastAsia" w:cstheme="minorEastAsia"/>
          <w:sz w:val="28"/>
          <w:szCs w:val="28"/>
        </w:rPr>
        <w:t>）。</w:t>
      </w:r>
    </w:p>
    <w:p w14:paraId="5D4F8DD4">
      <w:pPr>
        <w:numPr>
          <w:ilvl w:val="0"/>
          <w:numId w:val="0"/>
        </w:num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属于国家强制计量检测设备项目需提供有效期内</w:t>
      </w:r>
      <w:r>
        <w:rPr>
          <w:rFonts w:hint="eastAsia" w:asciiTheme="minorEastAsia" w:hAnsiTheme="minorEastAsia" w:cstheme="minorEastAsia"/>
          <w:sz w:val="28"/>
          <w:szCs w:val="28"/>
        </w:rPr>
        <w:t>的第三方检测报告及检测合格证</w:t>
      </w:r>
      <w:r>
        <w:rPr>
          <w:rFonts w:hint="eastAsia" w:asciiTheme="minorEastAsia" w:hAnsiTheme="minorEastAsia" w:cstheme="minorEastAsia"/>
          <w:sz w:val="28"/>
          <w:szCs w:val="28"/>
          <w:lang w:eastAsia="zh-CN"/>
        </w:rPr>
        <w:t>。</w:t>
      </w:r>
    </w:p>
    <w:p w14:paraId="372890EF">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每家</w:t>
      </w:r>
      <w:r>
        <w:rPr>
          <w:rFonts w:hint="eastAsia" w:asciiTheme="minorEastAsia" w:hAnsiTheme="minorEastAsia" w:cstheme="minorEastAsia"/>
          <w:sz w:val="28"/>
          <w:szCs w:val="28"/>
          <w:lang w:val="en-US" w:eastAsia="zh-CN"/>
        </w:rPr>
        <w:t>应标</w:t>
      </w:r>
      <w:r>
        <w:rPr>
          <w:rFonts w:hint="eastAsia" w:asciiTheme="minorEastAsia" w:hAnsiTheme="minorEastAsia" w:cstheme="minorEastAsia"/>
          <w:sz w:val="28"/>
          <w:szCs w:val="28"/>
        </w:rPr>
        <w:t>公司参与投标的同品名、同规格的品种，不得超过1个。</w:t>
      </w:r>
    </w:p>
    <w:p w14:paraId="0F98208C">
      <w:pPr>
        <w:ind w:firstLine="560" w:firstLineChars="200"/>
        <w:jc w:val="left"/>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710E4FB1">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合同有效期内，如政府调价或市政府统一招标，双方应无条件按上级文件执行，并相应修改合同的有关条款。</w:t>
      </w:r>
    </w:p>
    <w:p w14:paraId="4B9050B9">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企业参加投标，即表示接受本次招标的各项要求。</w:t>
      </w:r>
    </w:p>
    <w:p w14:paraId="3CB0ADCA">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招标活动的最终解释权属于深圳市福田区第二人民医院。</w:t>
      </w:r>
    </w:p>
    <w:p w14:paraId="6DB632C7">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评审组由相关科室专家、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、医院纪检部门等组成。</w:t>
      </w:r>
    </w:p>
    <w:p w14:paraId="4FDB9A17">
      <w:pPr>
        <w:ind w:firstLine="560" w:firstLineChars="200"/>
        <w:jc w:val="left"/>
        <w:outlineLvl w:val="9"/>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57A9920B">
      <w:pPr>
        <w:ind w:firstLine="560" w:firstLineChars="200"/>
        <w:jc w:val="left"/>
        <w:outlineLvl w:val="9"/>
        <w:rPr>
          <w:rFonts w:asciiTheme="minorEastAsia" w:hAnsiTheme="minorEastAsia" w:cstheme="minorEastAsia"/>
          <w:sz w:val="28"/>
          <w:szCs w:val="28"/>
        </w:rPr>
      </w:pPr>
    </w:p>
    <w:p w14:paraId="7C632130">
      <w:pPr>
        <w:rPr>
          <w:rFonts w:asciiTheme="minorEastAsia" w:hAnsiTheme="minorEastAsia" w:cstheme="minorEastAsia"/>
          <w:szCs w:val="21"/>
        </w:rPr>
      </w:pPr>
    </w:p>
    <w:p w14:paraId="4AC5A8A9">
      <w:pPr>
        <w:jc w:val="both"/>
        <w:rPr>
          <w:rFonts w:hint="eastAsia" w:ascii="宋体" w:hAnsi="宋体" w:eastAsia="宋体" w:cs="宋体"/>
          <w:b/>
          <w:bCs/>
          <w:color w:val="FF0000"/>
          <w:kern w:val="44"/>
          <w:sz w:val="44"/>
          <w:szCs w:val="44"/>
          <w:highlight w:val="none"/>
          <w:lang w:eastAsia="zh-CN"/>
        </w:rPr>
      </w:pPr>
    </w:p>
    <w:p w14:paraId="4600B415">
      <w:pPr>
        <w:jc w:val="both"/>
        <w:rPr>
          <w:rFonts w:hint="eastAsia" w:ascii="宋体" w:hAnsi="宋体" w:eastAsia="宋体" w:cs="宋体"/>
          <w:b/>
          <w:bCs/>
          <w:color w:val="FF0000"/>
          <w:kern w:val="44"/>
          <w:sz w:val="44"/>
          <w:szCs w:val="44"/>
          <w:highlight w:val="none"/>
          <w:lang w:eastAsia="zh-CN"/>
        </w:rPr>
      </w:pPr>
    </w:p>
    <w:p w14:paraId="4748F82C">
      <w:pPr>
        <w:jc w:val="both"/>
        <w:rPr>
          <w:rFonts w:hint="eastAsia" w:ascii="宋体" w:hAnsi="宋体" w:eastAsia="宋体" w:cs="宋体"/>
          <w:b/>
          <w:bCs/>
          <w:color w:val="FF0000"/>
          <w:kern w:val="44"/>
          <w:sz w:val="44"/>
          <w:szCs w:val="44"/>
          <w:highlight w:val="none"/>
          <w:lang w:eastAsia="zh-CN"/>
        </w:rPr>
      </w:pPr>
    </w:p>
    <w:p w14:paraId="3AA58BAC">
      <w:pPr>
        <w:jc w:val="center"/>
        <w:rPr>
          <w:rFonts w:hint="eastAsia" w:ascii="宋体" w:hAnsi="宋体" w:eastAsia="宋体" w:cs="宋体"/>
          <w:b/>
          <w:bCs/>
          <w:color w:val="FF0000"/>
          <w:kern w:val="44"/>
          <w:sz w:val="44"/>
          <w:szCs w:val="44"/>
          <w:highlight w:val="none"/>
          <w:lang w:eastAsia="zh-CN"/>
        </w:rPr>
      </w:pPr>
    </w:p>
    <w:p w14:paraId="4E47FF13">
      <w:pPr>
        <w:jc w:val="center"/>
        <w:outlineLvl w:val="9"/>
        <w:rPr>
          <w:rFonts w:hint="eastAsia" w:ascii="宋体" w:hAnsi="宋体" w:eastAsia="宋体" w:cs="宋体"/>
          <w:b/>
          <w:bCs/>
          <w:color w:val="FF0000"/>
          <w:sz w:val="28"/>
          <w:szCs w:val="28"/>
          <w:highlight w:val="none"/>
          <w:lang w:val="en-US" w:eastAsia="zh-CN"/>
        </w:rPr>
      </w:pPr>
      <w:bookmarkStart w:id="0" w:name="_Toc29098"/>
      <w:bookmarkStart w:id="1" w:name="_Toc3689"/>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0D29888F">
      <w:pPr>
        <w:keepNext/>
        <w:keepLines/>
        <w:jc w:val="both"/>
        <w:outlineLvl w:val="9"/>
        <w:rPr>
          <w:rFonts w:hint="eastAsia" w:ascii="宋体" w:hAnsi="宋体" w:eastAsia="宋体" w:cs="宋体"/>
          <w:b/>
          <w:bCs/>
          <w:color w:val="FF0000"/>
          <w:kern w:val="44"/>
          <w:sz w:val="44"/>
          <w:szCs w:val="44"/>
          <w:highlight w:val="none"/>
        </w:rPr>
      </w:pPr>
    </w:p>
    <w:p w14:paraId="0E26ACCF">
      <w:pPr>
        <w:keepNext/>
        <w:keepLines/>
        <w:jc w:val="both"/>
        <w:outlineLvl w:val="9"/>
        <w:rPr>
          <w:rFonts w:hint="eastAsia" w:ascii="宋体" w:hAnsi="宋体" w:eastAsia="宋体" w:cs="宋体"/>
          <w:b/>
          <w:bCs/>
          <w:color w:val="FF0000"/>
          <w:kern w:val="44"/>
          <w:sz w:val="44"/>
          <w:szCs w:val="44"/>
          <w:highlight w:val="none"/>
        </w:rPr>
      </w:pPr>
    </w:p>
    <w:p w14:paraId="47EFE977">
      <w:pPr>
        <w:ind w:firstLine="480" w:firstLineChars="200"/>
        <w:outlineLvl w:val="9"/>
        <w:rPr>
          <w:rFonts w:hint="eastAsia" w:ascii="宋体" w:hAnsi="宋体" w:eastAsia="宋体" w:cs="宋体"/>
          <w:color w:val="FF0000"/>
          <w:sz w:val="24"/>
          <w:highlight w:val="none"/>
        </w:rPr>
      </w:pPr>
    </w:p>
    <w:p w14:paraId="47ED932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47039B92">
      <w:pPr>
        <w:rPr>
          <w:rFonts w:hint="eastAsia" w:asciiTheme="minorEastAsia" w:hAnsiTheme="minorEastAsia" w:cstheme="minorEastAsia"/>
          <w:szCs w:val="21"/>
        </w:rPr>
      </w:pPr>
    </w:p>
    <w:p w14:paraId="7B13E3C0">
      <w:pPr>
        <w:rPr>
          <w:rFonts w:hint="eastAsia" w:asciiTheme="minorEastAsia" w:hAnsiTheme="minorEastAsia" w:cstheme="minorEastAsia"/>
          <w:szCs w:val="21"/>
        </w:rPr>
      </w:pPr>
    </w:p>
    <w:p w14:paraId="5A64B025">
      <w:pPr>
        <w:rPr>
          <w:rFonts w:hint="eastAsia" w:asciiTheme="minorEastAsia" w:hAnsiTheme="minorEastAsia" w:cstheme="minorEastAsia"/>
          <w:szCs w:val="21"/>
        </w:rPr>
      </w:pPr>
    </w:p>
    <w:p w14:paraId="34556B53">
      <w:pPr>
        <w:rPr>
          <w:rFonts w:hint="eastAsia" w:asciiTheme="minorEastAsia" w:hAnsiTheme="minorEastAsia" w:cstheme="minorEastAsia"/>
          <w:szCs w:val="21"/>
        </w:rPr>
      </w:pPr>
    </w:p>
    <w:p w14:paraId="63B3F4CA">
      <w:pPr>
        <w:rPr>
          <w:rFonts w:hint="eastAsia" w:asciiTheme="minorEastAsia" w:hAnsiTheme="minorEastAsia" w:cstheme="minorEastAsia"/>
          <w:szCs w:val="21"/>
        </w:rPr>
      </w:pPr>
    </w:p>
    <w:p w14:paraId="238999D2">
      <w:pPr>
        <w:rPr>
          <w:rFonts w:hint="eastAsia" w:asciiTheme="minorEastAsia" w:hAnsiTheme="minorEastAsia" w:cstheme="minorEastAsia"/>
          <w:szCs w:val="21"/>
        </w:rPr>
      </w:pPr>
    </w:p>
    <w:p w14:paraId="5EE83BD7">
      <w:pPr>
        <w:rPr>
          <w:rFonts w:hint="eastAsia" w:asciiTheme="minorEastAsia" w:hAnsiTheme="minorEastAsia" w:cstheme="minorEastAsia"/>
          <w:szCs w:val="21"/>
        </w:rPr>
      </w:pPr>
    </w:p>
    <w:p w14:paraId="1A7B06A3">
      <w:pPr>
        <w:rPr>
          <w:rFonts w:hint="eastAsia" w:asciiTheme="minorEastAsia" w:hAnsiTheme="minorEastAsia" w:cstheme="minorEastAsia"/>
          <w:szCs w:val="21"/>
        </w:rPr>
      </w:pPr>
    </w:p>
    <w:p w14:paraId="0BE9234F">
      <w:pPr>
        <w:rPr>
          <w:rFonts w:hint="eastAsia" w:asciiTheme="minorEastAsia" w:hAnsiTheme="minorEastAsia" w:cstheme="minorEastAsia"/>
          <w:szCs w:val="21"/>
        </w:rPr>
      </w:pPr>
    </w:p>
    <w:p w14:paraId="6AFB3A9E">
      <w:pPr>
        <w:rPr>
          <w:rFonts w:hint="eastAsia" w:asciiTheme="minorEastAsia" w:hAnsiTheme="minorEastAsia" w:cstheme="minorEastAsia"/>
          <w:szCs w:val="21"/>
        </w:rPr>
      </w:pPr>
    </w:p>
    <w:p w14:paraId="3251FB3B">
      <w:pPr>
        <w:rPr>
          <w:rFonts w:hint="eastAsia" w:asciiTheme="minorEastAsia" w:hAnsiTheme="minorEastAsia" w:cstheme="minorEastAsia"/>
          <w:szCs w:val="21"/>
        </w:rPr>
      </w:pPr>
    </w:p>
    <w:p w14:paraId="0EF5ADC6">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3B8FF10C">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8395D03">
      <w:pPr>
        <w:jc w:val="center"/>
        <w:rPr>
          <w:rFonts w:hint="eastAsia" w:asciiTheme="minorEastAsia" w:hAnsiTheme="minorEastAsia" w:cstheme="minorEastAsia"/>
          <w:sz w:val="36"/>
          <w:szCs w:val="36"/>
          <w:lang w:val="en-US" w:eastAsia="zh-CN"/>
        </w:rPr>
      </w:pPr>
    </w:p>
    <w:p w14:paraId="4D764082">
      <w:pPr>
        <w:jc w:val="center"/>
        <w:rPr>
          <w:rFonts w:hint="eastAsia" w:asciiTheme="minorEastAsia" w:hAnsiTheme="minorEastAsia" w:cstheme="minorEastAsia"/>
          <w:sz w:val="36"/>
          <w:szCs w:val="36"/>
          <w:lang w:val="en-US" w:eastAsia="zh-CN"/>
        </w:rPr>
      </w:pPr>
      <w:bookmarkStart w:id="138" w:name="_GoBack"/>
      <w:bookmarkEnd w:id="138"/>
    </w:p>
    <w:p w14:paraId="51B6ABE7">
      <w:pPr>
        <w:jc w:val="center"/>
        <w:rPr>
          <w:rFonts w:hint="eastAsia" w:asciiTheme="minorEastAsia" w:hAnsiTheme="minorEastAsia" w:cstheme="minorEastAsia"/>
          <w:sz w:val="36"/>
          <w:szCs w:val="36"/>
          <w:lang w:val="en-US" w:eastAsia="zh-CN"/>
        </w:rPr>
      </w:pPr>
    </w:p>
    <w:p w14:paraId="193D958E">
      <w:pPr>
        <w:jc w:val="both"/>
        <w:rPr>
          <w:rFonts w:hint="eastAsia" w:asciiTheme="minorEastAsia" w:hAnsiTheme="minorEastAsia" w:cstheme="minorEastAsia"/>
          <w:sz w:val="36"/>
          <w:szCs w:val="36"/>
          <w:lang w:val="en-US" w:eastAsia="zh-CN"/>
        </w:rPr>
      </w:pPr>
    </w:p>
    <w:sdt>
      <w:sdtPr>
        <w:rPr>
          <w:rFonts w:ascii="宋体" w:hAnsi="宋体" w:eastAsia="宋体" w:cstheme="minorBidi"/>
          <w:kern w:val="2"/>
          <w:sz w:val="52"/>
          <w:szCs w:val="60"/>
          <w:lang w:val="en-US" w:eastAsia="zh-CN" w:bidi="ar-SA"/>
        </w:rPr>
        <w:id w:val="147469591"/>
        <w15:color w:val="DBDBDB"/>
        <w:docPartObj>
          <w:docPartGallery w:val="Table of Contents"/>
          <w:docPartUnique/>
        </w:docPartObj>
      </w:sdtPr>
      <w:sdtEndPr>
        <w:rPr>
          <w:rFonts w:hint="eastAsia" w:asciiTheme="majorEastAsia" w:hAnsiTheme="majorEastAsia" w:eastAsiaTheme="majorEastAsia" w:cstheme="majorEastAsia"/>
          <w:kern w:val="2"/>
          <w:sz w:val="36"/>
          <w:szCs w:val="44"/>
          <w:lang w:val="en-US" w:eastAsia="zh-CN" w:bidi="ar-SA"/>
        </w:rPr>
      </w:sdtEndPr>
      <w:sdtContent>
        <w:p w14:paraId="2B4FFD52">
          <w:pPr>
            <w:spacing w:before="0" w:beforeLines="0" w:after="0" w:afterLines="0" w:line="240" w:lineRule="auto"/>
            <w:ind w:left="0" w:leftChars="0" w:right="0" w:rightChars="0" w:firstLine="0" w:firstLineChars="0"/>
            <w:jc w:val="center"/>
            <w:rPr>
              <w:sz w:val="52"/>
              <w:szCs w:val="60"/>
            </w:rPr>
          </w:pPr>
          <w:r>
            <w:rPr>
              <w:rFonts w:ascii="宋体" w:hAnsi="宋体" w:eastAsia="宋体"/>
              <w:sz w:val="52"/>
              <w:szCs w:val="60"/>
            </w:rPr>
            <w:t>目录</w:t>
          </w:r>
        </w:p>
        <w:p w14:paraId="025925AB">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TOC \o "1-1" \h \u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_Toc27897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第一章 综合评分表</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_Toc27897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1C2C024F">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_Toc16421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第二章 招标公告</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_Toc16421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10</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3B83435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_Toc27909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第三章 用户需求书</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_Toc27909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13</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0E83D99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_Toc113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第四章 </w:t>
          </w:r>
          <w:r>
            <w:rPr>
              <w:rFonts w:hint="eastAsia" w:asciiTheme="majorEastAsia" w:hAnsiTheme="majorEastAsia" w:eastAsiaTheme="majorEastAsia" w:cstheme="majorEastAsia"/>
              <w:sz w:val="36"/>
              <w:szCs w:val="52"/>
            </w:rPr>
            <w:t>开标、评标、定标</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_Toc113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788C09A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_Toc14800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第五章 </w:t>
          </w:r>
          <w:r>
            <w:rPr>
              <w:rFonts w:hint="eastAsia" w:asciiTheme="majorEastAsia" w:hAnsiTheme="majorEastAsia" w:eastAsiaTheme="majorEastAsia" w:cstheme="majorEastAsia"/>
              <w:sz w:val="36"/>
              <w:szCs w:val="52"/>
            </w:rPr>
            <w:t>投标文件</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52"/>
              <w:lang w:val="en-US" w:eastAsia="zh-CN"/>
            </w:rPr>
            <w:t>编制</w:t>
          </w:r>
          <w:r>
            <w:rPr>
              <w:rFonts w:hint="eastAsia" w:asciiTheme="majorEastAsia" w:hAnsiTheme="majorEastAsia" w:eastAsiaTheme="majorEastAsia" w:cstheme="majorEastAsia"/>
              <w:sz w:val="36"/>
              <w:szCs w:val="52"/>
            </w:rPr>
            <w:t>参考</w:t>
          </w:r>
          <w:r>
            <w:rPr>
              <w:rFonts w:hint="eastAsia" w:asciiTheme="majorEastAsia" w:hAnsiTheme="majorEastAsia" w:eastAsiaTheme="majorEastAsia" w:cstheme="majorEastAsia"/>
              <w:sz w:val="36"/>
              <w:szCs w:val="52"/>
              <w:lang w:val="en-US" w:eastAsia="zh-CN"/>
            </w:rPr>
            <w:t>模板</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_Toc14800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22</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4FD02B4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_Toc21111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第六章 </w:t>
          </w:r>
          <w:r>
            <w:rPr>
              <w:rFonts w:hint="eastAsia" w:asciiTheme="majorEastAsia" w:hAnsiTheme="majorEastAsia" w:eastAsiaTheme="majorEastAsia" w:cstheme="majorEastAsia"/>
              <w:sz w:val="36"/>
              <w:szCs w:val="52"/>
              <w:lang w:eastAsia="zh-TW"/>
            </w:rPr>
            <w:t>说 明</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_Toc21111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58</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50CEB7C1">
          <w:pPr>
            <w:rPr>
              <w:rFonts w:hint="eastAsia" w:asciiTheme="majorEastAsia" w:hAnsiTheme="majorEastAsia" w:eastAsiaTheme="majorEastAsia" w:cstheme="majorEastAsia"/>
              <w:kern w:val="2"/>
              <w:sz w:val="36"/>
              <w:szCs w:val="44"/>
              <w:lang w:val="en-US" w:eastAsia="zh-CN" w:bidi="ar-SA"/>
            </w:rPr>
          </w:pPr>
          <w:r>
            <w:rPr>
              <w:rFonts w:hint="eastAsia" w:asciiTheme="majorEastAsia" w:hAnsiTheme="majorEastAsia" w:eastAsiaTheme="majorEastAsia" w:cstheme="majorEastAsia"/>
              <w:kern w:val="2"/>
              <w:sz w:val="36"/>
              <w:szCs w:val="44"/>
              <w:lang w:val="en-US" w:eastAsia="zh-CN" w:bidi="ar-SA"/>
            </w:rPr>
            <w:fldChar w:fldCharType="end"/>
          </w:r>
        </w:p>
      </w:sdtContent>
    </w:sdt>
    <w:p w14:paraId="5BBB0E65">
      <w:pPr>
        <w:rPr>
          <w:rFonts w:asciiTheme="minorHAnsi" w:hAnsiTheme="minorHAnsi" w:eastAsiaTheme="minorEastAsia" w:cstheme="minorBidi"/>
          <w:kern w:val="2"/>
          <w:sz w:val="21"/>
          <w:szCs w:val="24"/>
          <w:lang w:val="en-US" w:eastAsia="zh-CN" w:bidi="ar-SA"/>
        </w:rPr>
      </w:pPr>
    </w:p>
    <w:p w14:paraId="0CF51C02"/>
    <w:p w14:paraId="2EC45284">
      <w:pPr>
        <w:pStyle w:val="3"/>
        <w:numPr>
          <w:ilvl w:val="0"/>
          <w:numId w:val="0"/>
        </w:numPr>
        <w:spacing w:line="240" w:lineRule="auto"/>
        <w:ind w:left="0" w:leftChars="0" w:firstLine="0" w:firstLineChars="0"/>
        <w:jc w:val="both"/>
        <w:outlineLvl w:val="9"/>
        <w:rPr>
          <w:rFonts w:hint="eastAsia" w:cs="宋体" w:asciiTheme="majorEastAsia" w:hAnsiTheme="majorEastAsia" w:eastAsiaTheme="majorEastAsia"/>
          <w:kern w:val="2"/>
          <w:sz w:val="32"/>
          <w:szCs w:val="32"/>
          <w:lang w:val="en-US" w:eastAsia="zh-CN" w:bidi="ar-SA"/>
        </w:rPr>
      </w:pPr>
      <w:r>
        <w:br w:type="page"/>
      </w:r>
      <w:bookmarkStart w:id="2" w:name="_Toc24015566"/>
      <w:bookmarkStart w:id="3" w:name="_Toc28823"/>
    </w:p>
    <w:bookmarkEnd w:id="2"/>
    <w:bookmarkEnd w:id="3"/>
    <w:p w14:paraId="549DA7AA">
      <w:pPr>
        <w:widowControl/>
        <w:numPr>
          <w:ilvl w:val="0"/>
          <w:numId w:val="2"/>
        </w:numPr>
        <w:ind w:firstLine="640" w:firstLineChars="200"/>
        <w:jc w:val="center"/>
        <w:outlineLvl w:val="0"/>
        <w:rPr>
          <w:rFonts w:hint="eastAsia" w:cs="宋体" w:asciiTheme="majorEastAsia" w:hAnsiTheme="majorEastAsia" w:eastAsiaTheme="majorEastAsia"/>
          <w:kern w:val="2"/>
          <w:sz w:val="32"/>
          <w:szCs w:val="32"/>
          <w:lang w:val="en-US" w:eastAsia="zh-CN" w:bidi="ar-SA"/>
        </w:rPr>
      </w:pPr>
      <w:bookmarkStart w:id="4" w:name="_Toc27897"/>
      <w:r>
        <w:rPr>
          <w:rFonts w:hint="eastAsia" w:cs="宋体" w:asciiTheme="majorEastAsia" w:hAnsiTheme="majorEastAsia" w:eastAsiaTheme="majorEastAsia"/>
          <w:kern w:val="2"/>
          <w:sz w:val="32"/>
          <w:szCs w:val="32"/>
          <w:lang w:val="en-US" w:eastAsia="zh-CN" w:bidi="ar-SA"/>
        </w:rPr>
        <w:t>综合评分表</w:t>
      </w:r>
      <w:bookmarkEnd w:id="4"/>
    </w:p>
    <w:tbl>
      <w:tblPr>
        <w:tblStyle w:val="16"/>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647"/>
        <w:gridCol w:w="7443"/>
        <w:gridCol w:w="702"/>
      </w:tblGrid>
      <w:tr w14:paraId="0C03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22B43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27"/>
                <w:sz w:val="21"/>
                <w:szCs w:val="21"/>
                <w:lang w:val="en-US" w:eastAsia="zh-CN" w:bidi="ar"/>
              </w:rPr>
              <w:t>项目名称：                         招标编号：</w:t>
            </w:r>
          </w:p>
        </w:tc>
      </w:tr>
      <w:tr w14:paraId="3E15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0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评分项目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3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D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r>
      <w:tr w14:paraId="43AF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4928A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A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8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技术参数响应情况                                                               投标供应商应如实填写《技术规格偏离表》，评审委员会根据技术需求参数响应情况进行打分，每1项负偏离的，扣1分；扣完为止。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C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w:t>
            </w:r>
          </w:p>
        </w:tc>
      </w:tr>
      <w:tr w14:paraId="598F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73041C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6A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重要技术参数响应评分                                                                投标供应商应如实填写《技术规格偏离表》，评审委员会根据技术需求参数响应情况进行打分，每1项负偏离的，扣6分；扣完为止。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14:paraId="47BE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7"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679023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6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DF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技术保障措施</w:t>
            </w:r>
          </w:p>
          <w:p w14:paraId="7D17F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投标人在投标文件中提供技术保障措施，评分标准：</w:t>
            </w:r>
          </w:p>
          <w:p w14:paraId="6609C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1.安装售后服务保障</w:t>
            </w:r>
          </w:p>
          <w:p w14:paraId="5FBAF8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2.紧急情况相应程度</w:t>
            </w:r>
          </w:p>
          <w:p w14:paraId="141FA3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3.人员培训措施综合评价</w:t>
            </w:r>
          </w:p>
          <w:p w14:paraId="79261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每提供一项得1分，最高不超过3分。</w:t>
            </w:r>
          </w:p>
          <w:p w14:paraId="57C736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在此基础上，专家根据各供应商的具体响应内容进一步评审，评审标准如下：</w:t>
            </w:r>
          </w:p>
          <w:p w14:paraId="77CDA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(1)所投产品的安装售后服务保障、紧急情况响应程度、人员培训措施内容全面，得12分，</w:t>
            </w:r>
          </w:p>
          <w:p w14:paraId="61A53E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(2)所投产品的安装售后服务保障、紧急情况响应程度、人员培训措施评价较为内容全面，得7分，</w:t>
            </w:r>
          </w:p>
          <w:p w14:paraId="74049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(3)所投产品的安装售后服务保障、紧急情况响应程度、人员培训措施评价一般，得3分，</w:t>
            </w:r>
          </w:p>
          <w:p w14:paraId="0BDFF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(4)所投产品的安装售后服务保障、紧急情况响应程度、人员培训措施评价差，不得分。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46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r>
      <w:tr w14:paraId="195E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right w:val="single" w:color="000000" w:sz="4" w:space="0"/>
            </w:tcBorders>
            <w:shd w:val="clear" w:color="auto" w:fill="auto"/>
            <w:vAlign w:val="center"/>
          </w:tcPr>
          <w:p w14:paraId="2663C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2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E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有效业绩                                                                        提供1项有效业绩的，得1分；以此类推，最高不超过6分。不提供或者不能有效证明的，得0分。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1.为投标供应商所投产品的同类业绩。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2.合同签订时间为2023年1月1日至投标截止时间前。</w:t>
            </w:r>
          </w:p>
          <w:p w14:paraId="411884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3.合同、中标通知书、发票等证明文件必须是以该投标人出具的。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供应商必须提供项目合同或中标通知书或发票复印件，未提供或无法判断则不得分，原件备查。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34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w:t>
            </w:r>
          </w:p>
        </w:tc>
      </w:tr>
      <w:tr w14:paraId="0F5F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33E6AF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B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10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履约评价</w:t>
            </w:r>
          </w:p>
          <w:p w14:paraId="304408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投标人提供上述同类项目业绩中，能够提供用户出具的履约评书，且评价为优或满意以上的，每提供1份得1分，本项最高得6分。</w:t>
            </w:r>
          </w:p>
          <w:p w14:paraId="372752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3EA45D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须提供用户出具的履约评价书扫描件或复印件，并加盖用户公章，原件备查。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14:paraId="4AF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7FF657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E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F7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p>
          <w:p w14:paraId="16777C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5A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bottom w:val="nil"/>
              <w:right w:val="single" w:color="000000" w:sz="4" w:space="0"/>
            </w:tcBorders>
            <w:shd w:val="clear" w:color="auto" w:fill="auto"/>
            <w:vAlign w:val="center"/>
          </w:tcPr>
          <w:p w14:paraId="3A7A0E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3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诚信</w:t>
            </w:r>
          </w:p>
          <w:p w14:paraId="47D171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2380428D">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投标人无需提供任何证明材料，由工作人员向评审委员会提供相关信息。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6F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7860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E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采用低价优先法计算，即满足招标文件要求且投标价格最低的投标报价为评标基准价，其价格分为满分。其他投标人的价格分统一按照下列公式计算： </w:t>
            </w:r>
          </w:p>
          <w:p w14:paraId="0C6EF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投标报价得分=(评标基准价／投标报价)×30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C2B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9C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E733A93">
      <w:pPr>
        <w:widowControl/>
        <w:jc w:val="left"/>
        <w:rPr>
          <w:rFonts w:hint="eastAsia" w:ascii="宋体" w:cs="宋体"/>
          <w:snapToGrid w:val="0"/>
          <w:kern w:val="0"/>
        </w:rPr>
      </w:pPr>
      <w:r>
        <w:rPr>
          <w:rFonts w:hint="eastAsia" w:ascii="宋体" w:cs="宋体"/>
          <w:snapToGrid w:val="0"/>
          <w:kern w:val="0"/>
        </w:rPr>
        <w:t>备注：招标文件要求提交的与评价指标体系相关的各类有效资料，投标人如未按要求提交的，该项评分为零分。</w:t>
      </w:r>
    </w:p>
    <w:p w14:paraId="6435363A">
      <w:pPr>
        <w:widowControl/>
        <w:jc w:val="left"/>
        <w:rPr>
          <w:rFonts w:hint="eastAsia" w:ascii="宋体" w:cs="宋体"/>
          <w:snapToGrid w:val="0"/>
          <w:kern w:val="0"/>
        </w:rPr>
      </w:pPr>
    </w:p>
    <w:p w14:paraId="7FAC5CF9">
      <w:pPr>
        <w:widowControl/>
        <w:jc w:val="left"/>
        <w:rPr>
          <w:rFonts w:hint="eastAsia" w:ascii="宋体" w:cs="宋体"/>
          <w:snapToGrid w:val="0"/>
          <w:kern w:val="0"/>
        </w:rPr>
      </w:pPr>
    </w:p>
    <w:p w14:paraId="521C6A40">
      <w:pPr>
        <w:widowControl/>
        <w:jc w:val="left"/>
        <w:rPr>
          <w:rFonts w:hint="eastAsia" w:ascii="宋体" w:cs="宋体"/>
          <w:snapToGrid w:val="0"/>
          <w:kern w:val="0"/>
        </w:rPr>
      </w:pPr>
    </w:p>
    <w:p w14:paraId="06190832">
      <w:pPr>
        <w:widowControl/>
        <w:jc w:val="left"/>
        <w:rPr>
          <w:rFonts w:hint="eastAsia" w:ascii="宋体" w:cs="宋体"/>
          <w:snapToGrid w:val="0"/>
          <w:kern w:val="0"/>
        </w:rPr>
      </w:pPr>
    </w:p>
    <w:p w14:paraId="472306B9">
      <w:pPr>
        <w:widowControl/>
        <w:jc w:val="left"/>
        <w:rPr>
          <w:rFonts w:hint="eastAsia" w:ascii="宋体" w:cs="宋体"/>
          <w:snapToGrid w:val="0"/>
          <w:kern w:val="0"/>
        </w:rPr>
      </w:pPr>
    </w:p>
    <w:p w14:paraId="6B9FED75">
      <w:pPr>
        <w:widowControl/>
        <w:jc w:val="left"/>
        <w:rPr>
          <w:rFonts w:hint="eastAsia" w:ascii="宋体" w:cs="宋体"/>
          <w:snapToGrid w:val="0"/>
          <w:kern w:val="0"/>
        </w:rPr>
      </w:pPr>
    </w:p>
    <w:p w14:paraId="5884F5C0">
      <w:pPr>
        <w:widowControl/>
        <w:jc w:val="left"/>
        <w:rPr>
          <w:rFonts w:hint="eastAsia" w:ascii="宋体" w:cs="宋体"/>
          <w:snapToGrid w:val="0"/>
          <w:kern w:val="0"/>
        </w:rPr>
      </w:pPr>
    </w:p>
    <w:p w14:paraId="501FB820">
      <w:pPr>
        <w:widowControl/>
        <w:jc w:val="left"/>
        <w:rPr>
          <w:rFonts w:hint="eastAsia" w:ascii="宋体" w:cs="宋体"/>
          <w:snapToGrid w:val="0"/>
          <w:kern w:val="0"/>
        </w:rPr>
      </w:pPr>
    </w:p>
    <w:p w14:paraId="4C76C92A">
      <w:pPr>
        <w:widowControl/>
        <w:jc w:val="left"/>
        <w:rPr>
          <w:rFonts w:hint="eastAsia" w:ascii="宋体" w:cs="宋体"/>
          <w:snapToGrid w:val="0"/>
          <w:kern w:val="0"/>
        </w:rPr>
      </w:pPr>
    </w:p>
    <w:p w14:paraId="5B5E2F15">
      <w:pPr>
        <w:widowControl/>
        <w:jc w:val="left"/>
        <w:rPr>
          <w:rFonts w:hint="eastAsia" w:ascii="宋体" w:cs="宋体"/>
          <w:snapToGrid w:val="0"/>
          <w:kern w:val="0"/>
        </w:rPr>
      </w:pPr>
    </w:p>
    <w:p w14:paraId="034C2B92">
      <w:pPr>
        <w:widowControl/>
        <w:jc w:val="left"/>
        <w:rPr>
          <w:rFonts w:hint="eastAsia" w:ascii="宋体" w:cs="宋体"/>
          <w:snapToGrid w:val="0"/>
          <w:kern w:val="0"/>
        </w:rPr>
      </w:pPr>
    </w:p>
    <w:p w14:paraId="47B59301">
      <w:pPr>
        <w:widowControl/>
        <w:jc w:val="left"/>
        <w:rPr>
          <w:rFonts w:hint="eastAsia" w:ascii="宋体" w:cs="宋体"/>
          <w:snapToGrid w:val="0"/>
          <w:kern w:val="0"/>
        </w:rPr>
      </w:pPr>
    </w:p>
    <w:p w14:paraId="18160263">
      <w:pPr>
        <w:widowControl/>
        <w:jc w:val="left"/>
        <w:rPr>
          <w:rFonts w:hint="eastAsia" w:ascii="宋体" w:cs="宋体"/>
          <w:snapToGrid w:val="0"/>
          <w:kern w:val="0"/>
        </w:rPr>
      </w:pPr>
    </w:p>
    <w:p w14:paraId="2ECDB819">
      <w:pPr>
        <w:widowControl/>
        <w:jc w:val="left"/>
        <w:rPr>
          <w:rFonts w:hint="eastAsia" w:ascii="宋体" w:cs="宋体"/>
          <w:snapToGrid w:val="0"/>
          <w:kern w:val="0"/>
        </w:rPr>
      </w:pPr>
    </w:p>
    <w:p w14:paraId="3F39DACF">
      <w:pPr>
        <w:widowControl/>
        <w:jc w:val="left"/>
        <w:rPr>
          <w:rFonts w:hint="eastAsia" w:ascii="宋体" w:cs="宋体"/>
          <w:snapToGrid w:val="0"/>
          <w:kern w:val="0"/>
        </w:rPr>
      </w:pPr>
    </w:p>
    <w:p w14:paraId="3B0DF469">
      <w:pPr>
        <w:widowControl/>
        <w:jc w:val="left"/>
        <w:rPr>
          <w:rFonts w:hint="eastAsia" w:ascii="宋体" w:cs="宋体"/>
          <w:snapToGrid w:val="0"/>
          <w:kern w:val="0"/>
        </w:rPr>
      </w:pPr>
    </w:p>
    <w:p w14:paraId="7936A017">
      <w:pPr>
        <w:widowControl/>
        <w:jc w:val="left"/>
        <w:rPr>
          <w:rFonts w:hint="eastAsia" w:ascii="宋体" w:cs="宋体"/>
          <w:snapToGrid w:val="0"/>
          <w:kern w:val="0"/>
        </w:rPr>
      </w:pPr>
    </w:p>
    <w:p w14:paraId="2C368AE4">
      <w:pPr>
        <w:widowControl/>
        <w:jc w:val="left"/>
        <w:rPr>
          <w:rFonts w:hint="eastAsia" w:ascii="宋体" w:cs="宋体"/>
          <w:snapToGrid w:val="0"/>
          <w:kern w:val="0"/>
        </w:rPr>
      </w:pPr>
    </w:p>
    <w:p w14:paraId="541605B7">
      <w:pPr>
        <w:widowControl/>
        <w:jc w:val="left"/>
        <w:rPr>
          <w:rFonts w:hint="eastAsia" w:ascii="宋体" w:cs="宋体"/>
          <w:snapToGrid w:val="0"/>
          <w:kern w:val="0"/>
        </w:rPr>
      </w:pPr>
    </w:p>
    <w:p w14:paraId="4D5860BD">
      <w:pPr>
        <w:widowControl/>
        <w:jc w:val="left"/>
        <w:rPr>
          <w:rFonts w:hint="eastAsia" w:ascii="宋体" w:cs="宋体"/>
          <w:snapToGrid w:val="0"/>
          <w:kern w:val="0"/>
        </w:rPr>
      </w:pPr>
    </w:p>
    <w:p w14:paraId="15BCC94D">
      <w:pPr>
        <w:widowControl/>
        <w:jc w:val="left"/>
        <w:rPr>
          <w:rFonts w:hint="eastAsia" w:ascii="宋体" w:cs="宋体"/>
          <w:snapToGrid w:val="0"/>
          <w:kern w:val="0"/>
        </w:rPr>
      </w:pPr>
    </w:p>
    <w:p w14:paraId="42F6C424">
      <w:pPr>
        <w:widowControl/>
        <w:jc w:val="left"/>
        <w:rPr>
          <w:rFonts w:hint="eastAsia" w:ascii="宋体" w:cs="宋体"/>
          <w:snapToGrid w:val="0"/>
          <w:kern w:val="0"/>
        </w:rPr>
      </w:pPr>
    </w:p>
    <w:p w14:paraId="5F7E00AB">
      <w:pPr>
        <w:widowControl/>
        <w:jc w:val="left"/>
        <w:rPr>
          <w:rFonts w:hint="eastAsia" w:ascii="宋体" w:cs="宋体"/>
          <w:snapToGrid w:val="0"/>
          <w:kern w:val="0"/>
        </w:rPr>
      </w:pPr>
    </w:p>
    <w:p w14:paraId="16309AA4">
      <w:pPr>
        <w:widowControl/>
        <w:jc w:val="left"/>
        <w:rPr>
          <w:rFonts w:hint="eastAsia" w:ascii="宋体" w:cs="宋体"/>
          <w:snapToGrid w:val="0"/>
          <w:kern w:val="0"/>
        </w:rPr>
      </w:pPr>
    </w:p>
    <w:p w14:paraId="4A2149EB">
      <w:pPr>
        <w:widowControl/>
        <w:jc w:val="left"/>
        <w:rPr>
          <w:rFonts w:hint="eastAsia" w:ascii="宋体" w:cs="宋体"/>
          <w:snapToGrid w:val="0"/>
          <w:kern w:val="0"/>
        </w:rPr>
      </w:pPr>
    </w:p>
    <w:p w14:paraId="66F24A15">
      <w:pPr>
        <w:widowControl/>
        <w:jc w:val="left"/>
        <w:rPr>
          <w:rFonts w:hint="eastAsia" w:ascii="宋体" w:cs="宋体"/>
          <w:snapToGrid w:val="0"/>
          <w:kern w:val="0"/>
        </w:rPr>
      </w:pPr>
    </w:p>
    <w:p w14:paraId="483038EC">
      <w:pPr>
        <w:widowControl/>
        <w:jc w:val="left"/>
        <w:rPr>
          <w:rFonts w:hint="eastAsia" w:ascii="宋体" w:cs="宋体"/>
          <w:snapToGrid w:val="0"/>
          <w:kern w:val="0"/>
        </w:rPr>
      </w:pPr>
    </w:p>
    <w:p w14:paraId="468CB623">
      <w:pPr>
        <w:widowControl/>
        <w:jc w:val="left"/>
        <w:rPr>
          <w:rFonts w:hint="eastAsia" w:ascii="宋体" w:cs="宋体"/>
          <w:snapToGrid w:val="0"/>
          <w:kern w:val="0"/>
        </w:rPr>
      </w:pPr>
    </w:p>
    <w:p w14:paraId="3F8F5A74">
      <w:pPr>
        <w:widowControl/>
        <w:jc w:val="left"/>
        <w:rPr>
          <w:rFonts w:hint="eastAsia" w:ascii="宋体" w:cs="宋体"/>
          <w:snapToGrid w:val="0"/>
          <w:kern w:val="0"/>
        </w:rPr>
      </w:pPr>
    </w:p>
    <w:p w14:paraId="413A7A8C">
      <w:pPr>
        <w:widowControl/>
        <w:jc w:val="left"/>
        <w:rPr>
          <w:rFonts w:hint="eastAsia" w:ascii="宋体" w:cs="宋体"/>
          <w:snapToGrid w:val="0"/>
          <w:kern w:val="0"/>
        </w:rPr>
      </w:pPr>
    </w:p>
    <w:p w14:paraId="1CF88144">
      <w:pPr>
        <w:widowControl/>
        <w:jc w:val="left"/>
        <w:rPr>
          <w:rFonts w:hint="eastAsia" w:ascii="宋体" w:cs="宋体"/>
          <w:snapToGrid w:val="0"/>
          <w:kern w:val="0"/>
        </w:rPr>
      </w:pPr>
    </w:p>
    <w:p w14:paraId="73316491">
      <w:pPr>
        <w:widowControl/>
        <w:jc w:val="left"/>
        <w:rPr>
          <w:rFonts w:hint="eastAsia" w:ascii="宋体" w:cs="宋体"/>
          <w:snapToGrid w:val="0"/>
          <w:kern w:val="0"/>
        </w:rPr>
      </w:pPr>
    </w:p>
    <w:p w14:paraId="363E7F86">
      <w:pPr>
        <w:widowControl/>
        <w:jc w:val="left"/>
        <w:rPr>
          <w:rFonts w:hint="eastAsia" w:ascii="宋体" w:cs="宋体"/>
          <w:snapToGrid w:val="0"/>
          <w:kern w:val="0"/>
        </w:rPr>
      </w:pPr>
    </w:p>
    <w:p w14:paraId="4FFB062A">
      <w:pPr>
        <w:widowControl/>
        <w:jc w:val="left"/>
        <w:rPr>
          <w:rFonts w:hint="eastAsia" w:ascii="宋体" w:cs="宋体"/>
          <w:snapToGrid w:val="0"/>
          <w:kern w:val="0"/>
        </w:rPr>
      </w:pPr>
    </w:p>
    <w:p w14:paraId="153AF54F">
      <w:pPr>
        <w:widowControl/>
        <w:jc w:val="left"/>
        <w:rPr>
          <w:rFonts w:hint="eastAsia" w:ascii="宋体" w:cs="宋体"/>
          <w:snapToGrid w:val="0"/>
          <w:kern w:val="0"/>
        </w:rPr>
      </w:pPr>
    </w:p>
    <w:p w14:paraId="5B6B71F7">
      <w:pPr>
        <w:widowControl/>
        <w:jc w:val="center"/>
        <w:outlineLvl w:val="0"/>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5"/>
        <w:widowControl/>
        <w:ind w:left="-2" w:leftChars="-7" w:hanging="13" w:hangingChars="6"/>
        <w:jc w:val="center"/>
        <w:outlineLvl w:val="0"/>
        <w:rPr>
          <w:b/>
          <w:bCs/>
        </w:rPr>
      </w:pPr>
      <w:r>
        <w:rPr>
          <w:rFonts w:hint="eastAsia" w:cs="宋体"/>
          <w:b/>
          <w:bCs/>
        </w:rPr>
        <w:t>价格扣除</w:t>
      </w:r>
    </w:p>
    <w:p w14:paraId="600B1499">
      <w:pPr>
        <w:numPr>
          <w:ilvl w:val="0"/>
          <w:numId w:val="3"/>
        </w:numPr>
        <w:tabs>
          <w:tab w:val="left" w:pos="567"/>
        </w:tabs>
        <w:spacing w:line="360" w:lineRule="auto"/>
        <w:outlineLvl w:val="9"/>
        <w:rPr>
          <w:rFonts w:ascii="宋体" w:hAnsi="宋体" w:cs="宋体"/>
          <w:szCs w:val="21"/>
        </w:rPr>
      </w:pPr>
      <w:r>
        <w:rPr>
          <w:rFonts w:hint="eastAsia" w:ascii="宋体" w:hAnsi="宋体" w:cs="宋体"/>
          <w:szCs w:val="21"/>
          <w:lang w:bidi="ar"/>
        </w:rPr>
        <w:t>小型和微型企业产品价格扣除</w:t>
      </w:r>
    </w:p>
    <w:p w14:paraId="6EB15D5D">
      <w:pPr>
        <w:numPr>
          <w:ilvl w:val="1"/>
          <w:numId w:val="3"/>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3"/>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3"/>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3"/>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3"/>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3"/>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3"/>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3"/>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3"/>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3"/>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7C88F462">
      <w:pPr>
        <w:widowControl/>
        <w:numPr>
          <w:ilvl w:val="0"/>
          <w:numId w:val="2"/>
        </w:numPr>
        <w:ind w:left="0" w:leftChars="0" w:firstLine="420" w:firstLineChars="200"/>
        <w:jc w:val="center"/>
        <w:outlineLvl w:val="0"/>
        <w:rPr>
          <w:rFonts w:hint="eastAsia" w:asciiTheme="majorEastAsia" w:hAnsiTheme="majorEastAsia" w:eastAsiaTheme="majorEastAsia"/>
          <w:sz w:val="32"/>
          <w:szCs w:val="32"/>
          <w:lang w:val="en-US" w:eastAsia="zh-CN"/>
        </w:rPr>
      </w:pPr>
      <w:r>
        <w:br w:type="page"/>
      </w:r>
      <w:bookmarkStart w:id="5" w:name="_Toc16421"/>
      <w:r>
        <w:rPr>
          <w:rFonts w:hint="eastAsia" w:asciiTheme="majorEastAsia" w:hAnsiTheme="majorEastAsia" w:eastAsiaTheme="majorEastAsia"/>
          <w:sz w:val="32"/>
          <w:szCs w:val="32"/>
          <w:lang w:val="en-US" w:eastAsia="zh-CN"/>
        </w:rPr>
        <w:t>招标公告</w:t>
      </w:r>
      <w:bookmarkEnd w:id="5"/>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6" w:name="OLE_LINK1"/>
      <w:bookmarkStart w:id="7" w:name="OLE_LINK3"/>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rPr>
        <w:t>诊断型听力计</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9</w:t>
      </w:r>
      <w:r>
        <w:rPr>
          <w:rFonts w:hint="eastAsia" w:ascii="宋体" w:hAnsi="宋体"/>
          <w:bCs/>
          <w:szCs w:val="28"/>
          <w:u w:val="single"/>
        </w:rPr>
        <w:t>月</w:t>
      </w:r>
      <w:r>
        <w:rPr>
          <w:rFonts w:hint="eastAsia" w:ascii="宋体" w:hAnsi="宋体"/>
          <w:bCs/>
          <w:szCs w:val="28"/>
          <w:u w:val="single"/>
          <w:lang w:val="en-US" w:eastAsia="zh-CN"/>
        </w:rPr>
        <w:t>24</w:t>
      </w:r>
      <w:r>
        <w:rPr>
          <w:rFonts w:hint="eastAsia" w:ascii="宋体" w:hAnsi="宋体"/>
          <w:bCs/>
          <w:szCs w:val="28"/>
          <w:u w:val="single"/>
        </w:rPr>
        <w:t>日14点30分（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8" w:name="OLE_LINK2"/>
    </w:p>
    <w:p w14:paraId="445E017D">
      <w:pPr>
        <w:spacing w:line="360" w:lineRule="auto"/>
        <w:ind w:firstLine="420" w:firstLineChars="200"/>
        <w:outlineLvl w:val="0"/>
        <w:rPr>
          <w:rFonts w:ascii="宋体" w:hAnsi="宋体"/>
          <w:b/>
        </w:rPr>
      </w:pPr>
      <w:r>
        <w:rPr>
          <w:rFonts w:hint="eastAsia" w:ascii="宋体" w:hAnsi="宋体"/>
        </w:rPr>
        <w:t>一、项目基本情况</w:t>
      </w:r>
    </w:p>
    <w:p w14:paraId="656BF1CC">
      <w:pPr>
        <w:spacing w:line="360" w:lineRule="auto"/>
        <w:ind w:firstLine="420" w:firstLineChars="200"/>
        <w:rPr>
          <w:rFonts w:hint="default" w:ascii="宋体" w:hAnsi="宋体" w:eastAsiaTheme="minorEastAsia"/>
          <w:lang w:val="en-US" w:eastAsia="zh-CN"/>
        </w:rPr>
      </w:pPr>
      <w:r>
        <w:rPr>
          <w:rFonts w:hint="eastAsia" w:ascii="宋体" w:hAnsi="宋体"/>
        </w:rPr>
        <w:t>项目编号：</w:t>
      </w:r>
      <w:r>
        <w:rPr>
          <w:rFonts w:hint="eastAsia" w:ascii="宋体" w:hAnsi="宋体"/>
          <w:lang w:val="en-US" w:eastAsia="zh-CN"/>
        </w:rPr>
        <w:t>FTEY-202504-QX006</w:t>
      </w:r>
    </w:p>
    <w:p w14:paraId="792813B2">
      <w:pPr>
        <w:spacing w:line="360" w:lineRule="auto"/>
        <w:ind w:firstLine="420" w:firstLineChars="200"/>
        <w:rPr>
          <w:rFonts w:ascii="宋体" w:hAnsi="宋体"/>
        </w:rPr>
      </w:pPr>
      <w:r>
        <w:rPr>
          <w:rFonts w:hint="eastAsia" w:ascii="宋体" w:hAnsi="宋体"/>
        </w:rPr>
        <w:t>项目名称：诊断型听力计</w:t>
      </w:r>
    </w:p>
    <w:p w14:paraId="118885C8">
      <w:pPr>
        <w:spacing w:line="360" w:lineRule="auto"/>
        <w:ind w:firstLine="420" w:firstLineChars="200"/>
        <w:rPr>
          <w:rFonts w:ascii="宋体" w:hAnsi="宋体"/>
        </w:rPr>
      </w:pPr>
      <w:r>
        <w:rPr>
          <w:rFonts w:hint="eastAsia" w:ascii="宋体" w:hAnsi="宋体"/>
        </w:rPr>
        <w:t>预算金额：人民币</w:t>
      </w:r>
      <w:r>
        <w:rPr>
          <w:rFonts w:hint="eastAsia" w:ascii="宋体" w:hAnsi="宋体"/>
          <w:lang w:val="en-US" w:eastAsia="zh-CN"/>
        </w:rPr>
        <w:t>玖</w:t>
      </w:r>
      <w:r>
        <w:rPr>
          <w:rFonts w:hint="eastAsia" w:ascii="宋体" w:hAnsi="宋体"/>
        </w:rPr>
        <w:t>万元整（¥</w:t>
      </w:r>
      <w:r>
        <w:rPr>
          <w:rFonts w:hint="eastAsia" w:ascii="宋体" w:hAnsi="宋体"/>
          <w:lang w:val="en-US" w:eastAsia="zh-CN"/>
        </w:rPr>
        <w:t>900</w:t>
      </w:r>
      <w:r>
        <w:rPr>
          <w:rFonts w:hint="eastAsia" w:ascii="宋体" w:hAnsi="宋体"/>
          <w:szCs w:val="21"/>
          <w:lang w:val="en-US" w:eastAsia="zh-CN"/>
        </w:rPr>
        <w:t>00</w:t>
      </w:r>
      <w:r>
        <w:rPr>
          <w:rFonts w:hint="eastAsia" w:ascii="宋体" w:hAnsi="宋体"/>
          <w:szCs w:val="21"/>
        </w:rPr>
        <w:t>.00元）</w:t>
      </w:r>
    </w:p>
    <w:p w14:paraId="3D8115B5">
      <w:pPr>
        <w:spacing w:line="360" w:lineRule="auto"/>
        <w:ind w:firstLine="420" w:firstLineChars="200"/>
        <w:rPr>
          <w:rFonts w:ascii="宋体" w:hAnsi="宋体"/>
          <w:u w:val="single"/>
        </w:rPr>
      </w:pPr>
      <w:r>
        <w:rPr>
          <w:rFonts w:hint="eastAsia" w:ascii="宋体" w:hAnsi="宋体"/>
        </w:rPr>
        <w:t>采购需求：详见招标文件</w:t>
      </w:r>
    </w:p>
    <w:p w14:paraId="1C2AA89B">
      <w:pPr>
        <w:spacing w:line="360" w:lineRule="auto"/>
        <w:ind w:firstLine="420" w:firstLineChars="200"/>
        <w:rPr>
          <w:rFonts w:ascii="宋体" w:hAnsi="宋体"/>
          <w:u w:val="single"/>
        </w:rPr>
      </w:pPr>
      <w:r>
        <w:rPr>
          <w:rFonts w:hint="eastAsia" w:ascii="宋体" w:hAnsi="宋体"/>
        </w:rPr>
        <w:t>合同履行期限：详见招标文件</w:t>
      </w:r>
    </w:p>
    <w:p w14:paraId="22B32CBD">
      <w:pPr>
        <w:spacing w:line="360" w:lineRule="auto"/>
        <w:ind w:firstLine="420" w:firstLineChars="200"/>
        <w:rPr>
          <w:rFonts w:hint="eastAsia" w:ascii="宋体" w:hAnsi="宋体"/>
        </w:rPr>
      </w:pPr>
      <w:r>
        <w:rPr>
          <w:rFonts w:hint="eastAsia" w:ascii="宋体" w:hAnsi="宋体"/>
        </w:rPr>
        <w:t>本项目不接受联合体投标。</w:t>
      </w:r>
    </w:p>
    <w:p w14:paraId="25206CE6">
      <w:pPr>
        <w:spacing w:line="360" w:lineRule="auto"/>
        <w:ind w:firstLine="420" w:firstLineChars="200"/>
        <w:rPr>
          <w:rFonts w:hint="eastAsia" w:ascii="宋体" w:hAnsi="宋体"/>
        </w:rPr>
      </w:pPr>
    </w:p>
    <w:p w14:paraId="1FCF967D">
      <w:pPr>
        <w:spacing w:line="360" w:lineRule="auto"/>
        <w:ind w:firstLine="420" w:firstLineChars="200"/>
        <w:outlineLvl w:val="0"/>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9"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9"/>
    </w:p>
    <w:p w14:paraId="4857933A">
      <w:pPr>
        <w:spacing w:line="360" w:lineRule="auto"/>
        <w:ind w:firstLine="420" w:firstLineChars="200"/>
        <w:rPr>
          <w:rFonts w:hint="eastAsia" w:ascii="宋体" w:hAnsi="宋体"/>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4D702BE4">
      <w:pPr>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投标人的医疗器械生产/经营资格：</w:t>
      </w:r>
    </w:p>
    <w:p w14:paraId="63509820">
      <w:pPr>
        <w:spacing w:line="360" w:lineRule="auto"/>
        <w:ind w:firstLine="420" w:firstLineChars="200"/>
        <w:rPr>
          <w:rFonts w:hint="eastAsia" w:ascii="宋体" w:hAnsi="宋体"/>
        </w:rPr>
      </w:pPr>
      <w:r>
        <w:rPr>
          <w:rFonts w:hint="eastAsia" w:ascii="宋体" w:hAnsi="宋体"/>
        </w:rPr>
        <w:t>①如投标人为所投产品的生产企业且所投产品为第一类医疗器械的，投标人须提供监督管理部门签发的涵盖所投医疗器械的有效《医疗器械生产备案凭证》（提供复印件加盖公章，原件备查）；</w:t>
      </w:r>
    </w:p>
    <w:p w14:paraId="25E8FCB6">
      <w:pPr>
        <w:spacing w:line="360" w:lineRule="auto"/>
        <w:ind w:firstLine="420" w:firstLineChars="200"/>
        <w:rPr>
          <w:rFonts w:hint="eastAsia" w:ascii="宋体" w:hAnsi="宋体"/>
        </w:rPr>
      </w:pPr>
      <w:r>
        <w:rPr>
          <w:rFonts w:hint="eastAsia" w:ascii="宋体" w:hAnsi="宋体"/>
        </w:rPr>
        <w:t>②如投标人为所投产品的生产企业且所投产品为第二、三类医疗器械的，投标人须提供监督管理部门签发的涵盖所投医疗器械的有效《医疗器械生产许可证》（提供复印件加盖公章，原件备查）；</w:t>
      </w:r>
    </w:p>
    <w:p w14:paraId="763399F8">
      <w:pPr>
        <w:spacing w:line="360" w:lineRule="auto"/>
        <w:ind w:firstLine="420" w:firstLineChars="200"/>
        <w:rPr>
          <w:rFonts w:hint="eastAsia" w:ascii="宋体" w:hAnsi="宋体"/>
        </w:rPr>
      </w:pPr>
      <w:r>
        <w:rPr>
          <w:rFonts w:hint="eastAsia" w:ascii="宋体" w:hAnsi="宋体"/>
        </w:rPr>
        <w:t>③如投标人为所投产品的经营企业且所投产品为第二类医疗器械的，投标人须提供监督管理部门签发的涵盖所投医疗器械的有效《医疗器械经营备案凭证》（提供复印件加盖公章，原件备查）；</w:t>
      </w:r>
    </w:p>
    <w:p w14:paraId="34A6C6B7">
      <w:pPr>
        <w:spacing w:line="360" w:lineRule="auto"/>
        <w:ind w:firstLine="420" w:firstLineChars="200"/>
        <w:rPr>
          <w:rFonts w:hint="eastAsia" w:ascii="宋体" w:hAnsi="宋体"/>
        </w:rPr>
      </w:pPr>
      <w:r>
        <w:rPr>
          <w:rFonts w:hint="eastAsia" w:ascii="宋体" w:hAnsi="宋体"/>
        </w:rPr>
        <w:t>④如投标人为所投产品的经营企业且所投产品为第三类医疗器械的，投标人须提供监督管理部门签发的涵盖所投医疗器械的有效《医疗器械经营许可证》（提供复印件加盖公章，原件备查）；</w:t>
      </w:r>
    </w:p>
    <w:p w14:paraId="2991F11E">
      <w:pPr>
        <w:spacing w:line="360" w:lineRule="auto"/>
        <w:ind w:firstLine="420" w:firstLineChars="200"/>
        <w:rPr>
          <w:rFonts w:hint="default" w:ascii="宋体" w:hAnsi="宋体"/>
          <w:lang w:val="en-US" w:eastAsia="zh-CN"/>
        </w:rPr>
      </w:pPr>
      <w:r>
        <w:rPr>
          <w:rFonts w:hint="eastAsia" w:ascii="宋体" w:hAnsi="宋体"/>
        </w:rPr>
        <w:t>⑤如投标人所投产品不</w:t>
      </w:r>
      <w:r>
        <w:rPr>
          <w:rFonts w:hint="eastAsia" w:ascii="宋体" w:hAnsi="宋体"/>
          <w:lang w:val="en-US" w:eastAsia="zh-CN"/>
        </w:rPr>
        <w:t>属</w:t>
      </w:r>
      <w:r>
        <w:rPr>
          <w:rFonts w:hint="eastAsia" w:ascii="宋体" w:hAnsi="宋体"/>
        </w:rPr>
        <w:t>于第一、二、三类医疗器械的，投标人无需提供医疗器械生产/经营资格相关证明材料，但需提供投标人关于所投产品不属于医疗器械的相关说明（加盖投标人公章）。</w:t>
      </w:r>
    </w:p>
    <w:p w14:paraId="62B7FE0C">
      <w:pPr>
        <w:spacing w:line="360" w:lineRule="auto"/>
        <w:ind w:firstLine="420" w:firstLineChars="200"/>
        <w:rPr>
          <w:rFonts w:ascii="宋体" w:hAnsi="宋体"/>
        </w:rPr>
      </w:pPr>
      <w:r>
        <w:rPr>
          <w:rFonts w:hint="eastAsia" w:ascii="宋体" w:hAnsi="宋体"/>
          <w:lang w:val="en-US" w:eastAsia="zh-CN"/>
        </w:rPr>
        <w:t>4</w:t>
      </w:r>
      <w:r>
        <w:rPr>
          <w:rFonts w:hint="eastAsia" w:ascii="宋体" w:hAnsi="宋体"/>
        </w:rPr>
        <w:t>、本项目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10" w:name="_Toc27695"/>
      <w:r>
        <w:rPr>
          <w:rFonts w:hint="eastAsia" w:ascii="宋体" w:hAnsi="宋体"/>
          <w:lang w:val="en-US" w:eastAsia="zh-CN"/>
        </w:rPr>
        <w:t>5</w:t>
      </w:r>
      <w:r>
        <w:rPr>
          <w:rFonts w:hint="eastAsia" w:ascii="宋体" w:hAnsi="宋体"/>
        </w:rPr>
        <w:t>、参与本项目投标前三年内，在经营活动中没有重大违法记录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10"/>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6</w:t>
      </w:r>
      <w:r>
        <w:rPr>
          <w:rFonts w:hint="eastAsia" w:ascii="宋体" w:hAnsi="宋体"/>
        </w:rPr>
        <w:t>、参与本项目政府采购活动时不存在被有关部门禁止参与政府采购活动且在有效期内的情况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7</w:t>
      </w:r>
      <w:r>
        <w:rPr>
          <w:rFonts w:hint="eastAsia" w:ascii="宋体" w:hAnsi="宋体"/>
        </w:rPr>
        <w:t>、供应商未被列入失信被执行人、重大税收违法案件当事人名单、政府采购严重违法失信行为记录名单，不存在《深圳市财政局政府采购供应商信用信息管理办法》（深财规〔2023〕3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763DD6D8">
      <w:pPr>
        <w:spacing w:line="360" w:lineRule="auto"/>
        <w:ind w:firstLine="420" w:firstLineChars="200"/>
        <w:rPr>
          <w:rFonts w:ascii="宋体" w:hAnsi="宋体"/>
        </w:rPr>
      </w:pPr>
      <w:r>
        <w:rPr>
          <w:rFonts w:hint="eastAsia" w:ascii="宋体" w:hAnsi="宋体"/>
          <w:lang w:val="en-US" w:eastAsia="zh-CN"/>
        </w:rPr>
        <w:t>8</w:t>
      </w:r>
      <w:r>
        <w:rPr>
          <w:rFonts w:hint="eastAsia" w:ascii="宋体" w:hAnsi="宋体"/>
        </w:rPr>
        <w:t>、本项目不接受联合体投标，不允许分包、转包。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9</w:t>
      </w:r>
      <w:r>
        <w:rPr>
          <w:rFonts w:hint="eastAsia" w:ascii="宋体" w:hAnsi="宋体"/>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E1264F4">
      <w:pPr>
        <w:spacing w:line="360" w:lineRule="auto"/>
        <w:ind w:firstLine="420" w:firstLineChars="200"/>
        <w:rPr>
          <w:rFonts w:ascii="宋体" w:hAnsi="宋体"/>
        </w:rPr>
      </w:pPr>
      <w:r>
        <w:rPr>
          <w:rFonts w:hint="eastAsia" w:ascii="宋体" w:hAnsi="宋体"/>
          <w:lang w:val="en-US" w:eastAsia="zh-CN"/>
        </w:rPr>
        <w:t>10</w:t>
      </w:r>
      <w:r>
        <w:rPr>
          <w:rFonts w:hint="eastAsia" w:ascii="宋体" w:hAnsi="宋体"/>
        </w:rPr>
        <w:t>、本项目是（否）专门面向中小企业采购：否。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w:t>
      </w:r>
      <w:r>
        <w:rPr>
          <w:rFonts w:hint="eastAsia" w:ascii="宋体" w:hAnsi="宋体"/>
          <w:lang w:val="en-US" w:eastAsia="zh-CN"/>
        </w:rPr>
        <w:t>1</w:t>
      </w:r>
      <w:r>
        <w:rPr>
          <w:rFonts w:hint="eastAsia" w:ascii="宋体" w:hAnsi="宋体"/>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2E0B1E6D">
      <w:pPr>
        <w:spacing w:line="360" w:lineRule="auto"/>
        <w:ind w:firstLine="420" w:firstLineChars="200"/>
        <w:outlineLvl w:val="0"/>
        <w:rPr>
          <w:rFonts w:hint="default" w:ascii="宋体" w:hAnsi="宋体" w:eastAsiaTheme="minorEastAsia"/>
          <w:b/>
          <w:lang w:val="en-US" w:eastAsia="zh-CN"/>
        </w:rPr>
      </w:pPr>
      <w:r>
        <w:rPr>
          <w:rFonts w:hint="eastAsia" w:ascii="宋体" w:hAnsi="宋体"/>
          <w:lang w:val="en-US" w:eastAsia="zh-CN"/>
        </w:rPr>
        <w:t>三</w:t>
      </w:r>
      <w:r>
        <w:rPr>
          <w:rFonts w:hint="eastAsia" w:ascii="宋体" w:hAnsi="宋体"/>
        </w:rPr>
        <w:t>、</w:t>
      </w:r>
      <w:r>
        <w:rPr>
          <w:rFonts w:hint="eastAsia" w:ascii="宋体" w:hAnsi="宋体"/>
          <w:lang w:val="en-US" w:eastAsia="zh-CN"/>
        </w:rPr>
        <w:t>相关招投标时间及地点信息</w:t>
      </w:r>
    </w:p>
    <w:p w14:paraId="6F0FAEE1">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报名时间：2025年9月15日8时00分至2025年9月19日17时00分止。</w:t>
      </w:r>
    </w:p>
    <w:p w14:paraId="1A0158DA">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24</w:t>
      </w:r>
      <w:r>
        <w:rPr>
          <w:rFonts w:hint="eastAsia" w:ascii="宋体" w:hAnsi="宋体"/>
        </w:rPr>
        <w:t>日</w:t>
      </w:r>
      <w:r>
        <w:rPr>
          <w:rFonts w:hint="eastAsia" w:ascii="宋体" w:hAnsi="宋体"/>
          <w:bCs/>
        </w:rPr>
        <w:t>14:00至14:30（北京时间）；</w:t>
      </w:r>
    </w:p>
    <w:p w14:paraId="1157F1DE">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74CAA61F">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24</w:t>
      </w:r>
      <w:r>
        <w:rPr>
          <w:rFonts w:hint="eastAsia" w:ascii="宋体" w:hAnsi="宋体"/>
        </w:rPr>
        <w:t>日</w:t>
      </w:r>
      <w:r>
        <w:rPr>
          <w:rFonts w:hint="eastAsia" w:ascii="宋体" w:hAnsi="宋体"/>
          <w:bCs/>
        </w:rPr>
        <w:t>14:30（北京时间）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416C132A">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24</w:t>
      </w:r>
      <w:r>
        <w:rPr>
          <w:rFonts w:hint="eastAsia" w:ascii="宋体" w:hAnsi="宋体"/>
        </w:rPr>
        <w:t>日</w:t>
      </w:r>
      <w:r>
        <w:rPr>
          <w:rFonts w:hint="eastAsia" w:ascii="宋体" w:hAnsi="宋体"/>
          <w:bCs/>
        </w:rPr>
        <w:t>14:30（北京时间）</w:t>
      </w:r>
    </w:p>
    <w:p w14:paraId="7CA577EA">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003CCE7E">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0"/>
        <w:rPr>
          <w:rFonts w:ascii="宋体" w:hAnsi="宋体"/>
          <w:b/>
        </w:rPr>
      </w:pPr>
      <w:r>
        <w:rPr>
          <w:rFonts w:hint="eastAsia" w:ascii="宋体" w:hAnsi="宋体"/>
          <w:lang w:val="en-US" w:eastAsia="zh-CN"/>
        </w:rPr>
        <w:t>四</w:t>
      </w:r>
      <w:r>
        <w:rPr>
          <w:rFonts w:hint="eastAsia" w:ascii="宋体" w:hAnsi="宋体"/>
        </w:rPr>
        <w:t>、公告期限</w:t>
      </w:r>
    </w:p>
    <w:p w14:paraId="53BA3E0E">
      <w:pPr>
        <w:spacing w:line="360" w:lineRule="auto"/>
        <w:ind w:firstLine="420" w:firstLineChars="200"/>
        <w:rPr>
          <w:rFonts w:ascii="宋体" w:hAnsi="宋体"/>
          <w:kern w:val="0"/>
        </w:rPr>
      </w:pPr>
      <w:r>
        <w:rPr>
          <w:rFonts w:hint="eastAsia" w:ascii="宋体" w:hAnsi="宋体"/>
          <w:kern w:val="0"/>
        </w:rPr>
        <w:t>自本公告发布之日起5个工作日。</w:t>
      </w:r>
    </w:p>
    <w:p w14:paraId="790F53A0">
      <w:pPr>
        <w:spacing w:line="360" w:lineRule="auto"/>
        <w:ind w:firstLine="420" w:firstLineChars="200"/>
        <w:rPr>
          <w:rFonts w:hint="eastAsia" w:ascii="宋体" w:hAnsi="宋体"/>
          <w:lang w:val="en-US" w:eastAsia="zh-CN"/>
        </w:rPr>
      </w:pPr>
    </w:p>
    <w:p w14:paraId="0972B18F">
      <w:pPr>
        <w:numPr>
          <w:ilvl w:val="0"/>
          <w:numId w:val="5"/>
        </w:numPr>
        <w:spacing w:line="360" w:lineRule="auto"/>
        <w:ind w:firstLine="420" w:firstLineChars="200"/>
        <w:outlineLvl w:val="0"/>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5AAE8624">
      <w:pPr>
        <w:numPr>
          <w:ilvl w:val="0"/>
          <w:numId w:val="0"/>
        </w:numPr>
        <w:spacing w:line="360" w:lineRule="auto"/>
        <w:ind w:firstLine="420" w:firstLineChars="200"/>
        <w:rPr>
          <w:rFonts w:hint="default" w:ascii="宋体" w:hAnsi="宋体"/>
          <w:lang w:val="en-US" w:eastAsia="zh-CN"/>
        </w:rPr>
      </w:pPr>
    </w:p>
    <w:p w14:paraId="4F2DF4E0">
      <w:pPr>
        <w:numPr>
          <w:ilvl w:val="0"/>
          <w:numId w:val="5"/>
        </w:numPr>
        <w:spacing w:line="360" w:lineRule="auto"/>
        <w:ind w:firstLine="420" w:firstLineChars="200"/>
        <w:outlineLvl w:val="0"/>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0405C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r>
        <w:rPr>
          <w:rFonts w:hint="eastAsia" w:ascii="宋体" w:hAnsi="宋体"/>
          <w:lang w:val="en-US" w:eastAsia="zh-CN"/>
        </w:rPr>
        <w:t>2.</w:t>
      </w:r>
      <w:r>
        <w:rPr>
          <w:rFonts w:hint="eastAsia" w:ascii="宋体" w:hAnsi="宋体"/>
        </w:rPr>
        <w:t>投标人有义务在招标活动期间浏览</w:t>
      </w:r>
      <w:r>
        <w:rPr>
          <w:rFonts w:hint="eastAsia" w:ascii="宋体" w:hAnsi="宋体"/>
          <w:lang w:val="en-US" w:eastAsia="zh-CN"/>
        </w:rPr>
        <w:t>深圳市福田区第二人民医院</w:t>
      </w:r>
      <w:r>
        <w:rPr>
          <w:rFonts w:hint="eastAsia" w:ascii="宋体"/>
          <w:bCs/>
          <w:color w:val="auto"/>
          <w:szCs w:val="20"/>
          <w:highlight w:val="none"/>
          <w:lang w:val="en-US" w:eastAsia="zh-CN"/>
        </w:rPr>
        <w:t>网站（https://www.ft2yy.cn/）。相关公告在上述媒体上公布之日即视为有效送达，不再另行通知。</w:t>
      </w:r>
    </w:p>
    <w:p w14:paraId="28D320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p>
    <w:p w14:paraId="3019BE1D">
      <w:pPr>
        <w:spacing w:line="360" w:lineRule="auto"/>
        <w:ind w:firstLine="420" w:firstLineChars="200"/>
        <w:outlineLvl w:val="0"/>
        <w:rPr>
          <w:rFonts w:ascii="宋体" w:hAnsi="宋体"/>
          <w:b/>
        </w:rPr>
      </w:pPr>
      <w:r>
        <w:rPr>
          <w:rFonts w:hint="eastAsia" w:ascii="宋体" w:hAnsi="宋体"/>
          <w:lang w:val="en-US" w:eastAsia="zh-CN"/>
        </w:rPr>
        <w:t>七</w:t>
      </w:r>
      <w:r>
        <w:rPr>
          <w:rFonts w:hint="eastAsia" w:ascii="宋体" w:hAnsi="宋体"/>
        </w:rPr>
        <w:t>、对本次招标提出询问，请按</w:t>
      </w:r>
      <w:r>
        <w:rPr>
          <w:rFonts w:ascii="宋体" w:hAnsi="宋体"/>
        </w:rPr>
        <w:t>以下方式</w:t>
      </w:r>
      <w:r>
        <w:rPr>
          <w:rFonts w:hint="eastAsia" w:ascii="宋体" w:hAnsi="宋体"/>
        </w:rPr>
        <w:t>联系。</w:t>
      </w:r>
    </w:p>
    <w:p w14:paraId="4F679AC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医学装备部联系人</w:t>
      </w:r>
      <w:r>
        <w:rPr>
          <w:rFonts w:hint="eastAsia" w:ascii="宋体"/>
          <w:bCs/>
          <w:color w:val="auto"/>
          <w:szCs w:val="20"/>
          <w:highlight w:val="none"/>
        </w:rPr>
        <w:t>：</w:t>
      </w:r>
      <w:r>
        <w:rPr>
          <w:rFonts w:hint="eastAsia" w:ascii="宋体"/>
          <w:bCs/>
          <w:color w:val="auto"/>
          <w:szCs w:val="20"/>
          <w:highlight w:val="none"/>
          <w:lang w:val="en-US" w:eastAsia="zh-CN"/>
        </w:rPr>
        <w:t>石老师 0755-83116181</w:t>
      </w:r>
    </w:p>
    <w:p w14:paraId="1D33796B">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招标采购办联系人：吴老师 0755-83279817</w:t>
      </w:r>
    </w:p>
    <w:p w14:paraId="1FF851B1">
      <w:pPr>
        <w:spacing w:line="360" w:lineRule="auto"/>
        <w:ind w:firstLine="420" w:firstLineChars="200"/>
        <w:rPr>
          <w:rFonts w:ascii="宋体" w:hAnsi="宋体"/>
        </w:rPr>
      </w:pPr>
    </w:p>
    <w:p w14:paraId="4B886C7A">
      <w:pPr>
        <w:spacing w:line="400" w:lineRule="exact"/>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7A1260C9">
      <w:pPr>
        <w:spacing w:line="400" w:lineRule="exact"/>
        <w:ind w:firstLine="420" w:firstLineChars="200"/>
        <w:jc w:val="right"/>
        <w:rPr>
          <w:rFonts w:hint="eastAsia" w:ascii="宋体" w:hAnsi="宋体"/>
          <w:lang w:val="en-US" w:eastAsia="zh-CN"/>
        </w:rPr>
      </w:pP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12</w:t>
      </w:r>
      <w:r>
        <w:rPr>
          <w:rFonts w:hint="eastAsia" w:ascii="宋体" w:hAnsi="宋体"/>
        </w:rPr>
        <w:t>日</w:t>
      </w:r>
      <w:bookmarkEnd w:id="6"/>
      <w:bookmarkEnd w:id="7"/>
      <w:bookmarkEnd w:id="8"/>
    </w:p>
    <w:p w14:paraId="3F56D25A">
      <w:pPr>
        <w:widowControl/>
        <w:numPr>
          <w:ilvl w:val="0"/>
          <w:numId w:val="2"/>
        </w:numPr>
        <w:ind w:left="0" w:leftChars="0" w:firstLine="640" w:firstLineChars="200"/>
        <w:jc w:val="center"/>
        <w:outlineLvl w:val="0"/>
        <w:rPr>
          <w:rFonts w:hint="eastAsia" w:asciiTheme="majorEastAsia" w:hAnsiTheme="majorEastAsia" w:eastAsiaTheme="majorEastAsia"/>
          <w:sz w:val="32"/>
          <w:szCs w:val="32"/>
          <w:lang w:val="en-US" w:eastAsia="zh-CN"/>
        </w:rPr>
      </w:pPr>
      <w:bookmarkStart w:id="11" w:name="_Toc27909"/>
      <w:r>
        <w:rPr>
          <w:rFonts w:hint="eastAsia" w:asciiTheme="majorEastAsia" w:hAnsiTheme="majorEastAsia" w:eastAsiaTheme="majorEastAsia"/>
          <w:sz w:val="32"/>
          <w:szCs w:val="32"/>
          <w:lang w:val="en-US" w:eastAsia="zh-CN"/>
        </w:rPr>
        <w:t>用户需求书</w:t>
      </w:r>
      <w:bookmarkEnd w:id="11"/>
    </w:p>
    <w:p w14:paraId="1A0964E7">
      <w:pPr>
        <w:snapToGrid w:val="0"/>
        <w:spacing w:line="360" w:lineRule="auto"/>
        <w:rPr>
          <w:rFonts w:ascii="宋体"/>
          <w:b/>
          <w:bCs/>
          <w:szCs w:val="20"/>
        </w:rPr>
      </w:pPr>
      <w:r>
        <w:rPr>
          <w:rFonts w:hint="eastAsia" w:ascii="宋体"/>
          <w:b/>
          <w:bCs/>
          <w:szCs w:val="20"/>
        </w:rPr>
        <w:t>说明：</w:t>
      </w:r>
    </w:p>
    <w:p w14:paraId="41B0864D">
      <w:pPr>
        <w:numPr>
          <w:ilvl w:val="0"/>
          <w:numId w:val="6"/>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6"/>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6"/>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9"/>
        <w:numPr>
          <w:ilvl w:val="0"/>
          <w:numId w:val="7"/>
        </w:numPr>
        <w:tabs>
          <w:tab w:val="left" w:pos="540"/>
        </w:tabs>
        <w:adjustRightInd w:val="0"/>
        <w:snapToGrid w:val="0"/>
        <w:spacing w:line="360" w:lineRule="auto"/>
        <w:ind w:left="420" w:leftChars="0" w:hanging="420" w:firstLineChars="0"/>
        <w:outlineLvl w:val="0"/>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leftChars="0" w:right="0" w:rightChars="0"/>
              <w:jc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rPr>
              <w:t>诊断型听力计</w:t>
            </w:r>
          </w:p>
        </w:tc>
        <w:tc>
          <w:tcPr>
            <w:tcW w:w="693" w:type="dxa"/>
            <w:vAlign w:val="center"/>
          </w:tcPr>
          <w:p w14:paraId="390AF9D4">
            <w:pPr>
              <w:keepNext w:val="0"/>
              <w:keepLines w:val="0"/>
              <w:suppressLineNumbers w:val="0"/>
              <w:spacing w:before="0" w:beforeAutospacing="0" w:after="0" w:afterAutospacing="0"/>
              <w:ind w:left="0" w:leftChars="0" w:right="0" w:rightChars="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1台</w:t>
            </w:r>
          </w:p>
        </w:tc>
        <w:tc>
          <w:tcPr>
            <w:tcW w:w="2859" w:type="dxa"/>
            <w:vAlign w:val="center"/>
          </w:tcPr>
          <w:p w14:paraId="36A3EC96">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合同签订并接院方通知后15日内交货</w:t>
            </w:r>
          </w:p>
        </w:tc>
        <w:tc>
          <w:tcPr>
            <w:tcW w:w="1937" w:type="dxa"/>
            <w:vAlign w:val="center"/>
          </w:tcPr>
          <w:p w14:paraId="113A87B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人民币90000.00元</w:t>
            </w:r>
          </w:p>
        </w:tc>
        <w:tc>
          <w:tcPr>
            <w:tcW w:w="1937" w:type="dxa"/>
            <w:vAlign w:val="center"/>
          </w:tcPr>
          <w:p w14:paraId="6694BA1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70B3C683">
      <w:pPr>
        <w:pStyle w:val="9"/>
        <w:tabs>
          <w:tab w:val="left" w:pos="540"/>
        </w:tabs>
        <w:adjustRightInd w:val="0"/>
        <w:snapToGrid w:val="0"/>
        <w:spacing w:line="360" w:lineRule="auto"/>
        <w:rPr>
          <w:rFonts w:hAnsi="宋体"/>
          <w:b/>
          <w:color w:val="auto"/>
        </w:rPr>
      </w:pPr>
    </w:p>
    <w:p w14:paraId="3142D659">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项目采购标的清单</w:t>
      </w:r>
      <w:r>
        <w:rPr>
          <w:rFonts w:hint="eastAsia" w:hAnsi="宋体"/>
          <w:b/>
          <w:color w:val="auto"/>
          <w:lang w:eastAsia="zh-CN"/>
        </w:rPr>
        <w:t>（</w:t>
      </w:r>
      <w:r>
        <w:rPr>
          <w:rFonts w:hint="eastAsia" w:hAnsi="宋体"/>
          <w:b/>
          <w:color w:val="auto"/>
          <w:lang w:val="en-US" w:eastAsia="zh-CN"/>
        </w:rPr>
        <w:t>配</w:t>
      </w:r>
      <w:r>
        <w:rPr>
          <w:rFonts w:hint="eastAsia" w:ascii="宋体" w:hAnsi="宋体" w:eastAsia="宋体"/>
          <w:b/>
          <w:color w:val="auto"/>
          <w:lang w:val="en-US" w:eastAsia="zh-CN"/>
        </w:rPr>
        <w:t>置清单</w:t>
      </w:r>
      <w:r>
        <w:rPr>
          <w:rFonts w:hint="eastAsia" w:ascii="宋体" w:hAnsi="宋体" w:eastAsia="宋体"/>
          <w:b/>
          <w:color w:val="auto"/>
          <w:lang w:eastAsia="zh-CN"/>
        </w:rPr>
        <w:t>）：（</w:t>
      </w:r>
      <w:r>
        <w:rPr>
          <w:rFonts w:hint="eastAsia" w:ascii="宋体" w:hAnsi="宋体" w:eastAsia="宋体"/>
          <w:b/>
          <w:color w:val="auto"/>
          <w:lang w:val="en-US" w:eastAsia="zh-CN"/>
        </w:rPr>
        <w:t>每台</w:t>
      </w:r>
      <w:r>
        <w:rPr>
          <w:rFonts w:hint="eastAsia" w:ascii="宋体" w:hAnsi="宋体" w:eastAsia="宋体"/>
          <w:b/>
          <w:color w:val="auto"/>
          <w:lang w:eastAsia="zh-CN"/>
        </w:rPr>
        <w:t>不低于下表配置）</w:t>
      </w:r>
    </w:p>
    <w:tbl>
      <w:tblPr>
        <w:tblStyle w:val="17"/>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323"/>
        <w:gridCol w:w="1629"/>
        <w:gridCol w:w="922"/>
        <w:gridCol w:w="1022"/>
        <w:gridCol w:w="1286"/>
        <w:gridCol w:w="1286"/>
      </w:tblGrid>
      <w:tr w14:paraId="7B66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shd w:val="clear" w:color="auto" w:fill="EEECE1" w:themeFill="background2"/>
            <w:vAlign w:val="center"/>
          </w:tcPr>
          <w:p w14:paraId="03B00895">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序号</w:t>
            </w:r>
          </w:p>
        </w:tc>
        <w:tc>
          <w:tcPr>
            <w:tcW w:w="2323" w:type="dxa"/>
            <w:shd w:val="clear" w:color="auto" w:fill="EEECE1" w:themeFill="background2"/>
            <w:vAlign w:val="center"/>
          </w:tcPr>
          <w:p w14:paraId="5D73C2B6">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货物名称</w:t>
            </w:r>
          </w:p>
        </w:tc>
        <w:tc>
          <w:tcPr>
            <w:tcW w:w="1629" w:type="dxa"/>
            <w:shd w:val="clear" w:color="auto" w:fill="EEECE1" w:themeFill="background2"/>
            <w:vAlign w:val="center"/>
          </w:tcPr>
          <w:p w14:paraId="1E04CB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价格</w:t>
            </w:r>
          </w:p>
        </w:tc>
        <w:tc>
          <w:tcPr>
            <w:tcW w:w="922" w:type="dxa"/>
            <w:shd w:val="clear" w:color="auto" w:fill="EEECE1" w:themeFill="background2"/>
            <w:vAlign w:val="center"/>
          </w:tcPr>
          <w:p w14:paraId="47C57830">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数量</w:t>
            </w:r>
          </w:p>
        </w:tc>
        <w:tc>
          <w:tcPr>
            <w:tcW w:w="1022" w:type="dxa"/>
            <w:shd w:val="clear" w:color="auto" w:fill="EEECE1" w:themeFill="background2"/>
            <w:vAlign w:val="center"/>
          </w:tcPr>
          <w:p w14:paraId="7360B4CB">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单位</w:t>
            </w:r>
          </w:p>
        </w:tc>
        <w:tc>
          <w:tcPr>
            <w:tcW w:w="1286" w:type="dxa"/>
            <w:shd w:val="clear" w:color="auto" w:fill="EEECE1" w:themeFill="background2"/>
            <w:vAlign w:val="center"/>
          </w:tcPr>
          <w:p w14:paraId="418117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备注</w:t>
            </w:r>
          </w:p>
        </w:tc>
        <w:tc>
          <w:tcPr>
            <w:tcW w:w="1286" w:type="dxa"/>
            <w:shd w:val="clear" w:color="auto" w:fill="EEECE1" w:themeFill="background2"/>
            <w:vAlign w:val="center"/>
          </w:tcPr>
          <w:p w14:paraId="6A4FFD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14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1A2A29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1</w:t>
            </w:r>
          </w:p>
        </w:tc>
        <w:tc>
          <w:tcPr>
            <w:tcW w:w="2323" w:type="dxa"/>
            <w:shd w:val="clear" w:color="auto" w:fill="auto"/>
            <w:vAlign w:val="center"/>
          </w:tcPr>
          <w:p w14:paraId="6C431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听力计主机</w:t>
            </w:r>
          </w:p>
        </w:tc>
        <w:tc>
          <w:tcPr>
            <w:tcW w:w="1629" w:type="dxa"/>
            <w:vAlign w:val="center"/>
          </w:tcPr>
          <w:p w14:paraId="3BA217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人民币90000.00元</w:t>
            </w:r>
          </w:p>
        </w:tc>
        <w:tc>
          <w:tcPr>
            <w:tcW w:w="922" w:type="dxa"/>
            <w:shd w:val="clear" w:color="auto" w:fill="auto"/>
            <w:vAlign w:val="center"/>
          </w:tcPr>
          <w:p w14:paraId="75E6B6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70C3D3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1286" w:type="dxa"/>
            <w:vAlign w:val="center"/>
          </w:tcPr>
          <w:p w14:paraId="51BE97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589C0B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核心产品</w:t>
            </w:r>
          </w:p>
        </w:tc>
      </w:tr>
      <w:tr w14:paraId="346F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4DD4B9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2</w:t>
            </w:r>
          </w:p>
        </w:tc>
        <w:tc>
          <w:tcPr>
            <w:tcW w:w="2323" w:type="dxa"/>
            <w:shd w:val="clear" w:color="auto" w:fill="auto"/>
            <w:vAlign w:val="center"/>
          </w:tcPr>
          <w:p w14:paraId="3CFF0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气导耳机</w:t>
            </w:r>
          </w:p>
        </w:tc>
        <w:tc>
          <w:tcPr>
            <w:tcW w:w="1629" w:type="dxa"/>
            <w:vAlign w:val="center"/>
          </w:tcPr>
          <w:p w14:paraId="22E66D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774810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0182F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副</w:t>
            </w:r>
          </w:p>
        </w:tc>
        <w:tc>
          <w:tcPr>
            <w:tcW w:w="1286" w:type="dxa"/>
            <w:vAlign w:val="center"/>
          </w:tcPr>
          <w:p w14:paraId="41FBC5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20626A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40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6767FFA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3</w:t>
            </w:r>
          </w:p>
        </w:tc>
        <w:tc>
          <w:tcPr>
            <w:tcW w:w="2323" w:type="dxa"/>
            <w:shd w:val="clear" w:color="auto" w:fill="auto"/>
            <w:vAlign w:val="center"/>
          </w:tcPr>
          <w:p w14:paraId="015D4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骨导耳机</w:t>
            </w:r>
          </w:p>
        </w:tc>
        <w:tc>
          <w:tcPr>
            <w:tcW w:w="1629" w:type="dxa"/>
            <w:vAlign w:val="center"/>
          </w:tcPr>
          <w:p w14:paraId="7E662E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3A6FB5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20D7B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副</w:t>
            </w:r>
          </w:p>
        </w:tc>
        <w:tc>
          <w:tcPr>
            <w:tcW w:w="1286" w:type="dxa"/>
            <w:vAlign w:val="center"/>
          </w:tcPr>
          <w:p w14:paraId="5FEAEB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2E7774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E06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D4963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4</w:t>
            </w:r>
          </w:p>
        </w:tc>
        <w:tc>
          <w:tcPr>
            <w:tcW w:w="2323" w:type="dxa"/>
            <w:shd w:val="clear" w:color="auto" w:fill="auto"/>
            <w:vAlign w:val="center"/>
          </w:tcPr>
          <w:p w14:paraId="45D3F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应答开关</w:t>
            </w:r>
          </w:p>
        </w:tc>
        <w:tc>
          <w:tcPr>
            <w:tcW w:w="1629" w:type="dxa"/>
            <w:vAlign w:val="center"/>
          </w:tcPr>
          <w:p w14:paraId="547B9A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03FB51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1C3DC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86" w:type="dxa"/>
            <w:vAlign w:val="center"/>
          </w:tcPr>
          <w:p w14:paraId="61A539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4F67DC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34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ECE1D4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323" w:type="dxa"/>
            <w:shd w:val="clear" w:color="auto" w:fill="auto"/>
            <w:vAlign w:val="center"/>
          </w:tcPr>
          <w:p w14:paraId="1CF52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软件</w:t>
            </w:r>
          </w:p>
        </w:tc>
        <w:tc>
          <w:tcPr>
            <w:tcW w:w="1629" w:type="dxa"/>
            <w:vAlign w:val="center"/>
          </w:tcPr>
          <w:p w14:paraId="3D0DE1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5E0172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31CC3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1286" w:type="dxa"/>
            <w:vAlign w:val="center"/>
          </w:tcPr>
          <w:p w14:paraId="7AC1BB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349710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DDC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03504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323" w:type="dxa"/>
            <w:shd w:val="clear" w:color="auto" w:fill="auto"/>
            <w:vAlign w:val="center"/>
          </w:tcPr>
          <w:p w14:paraId="5B934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数据线</w:t>
            </w:r>
          </w:p>
        </w:tc>
        <w:tc>
          <w:tcPr>
            <w:tcW w:w="1629" w:type="dxa"/>
            <w:vAlign w:val="center"/>
          </w:tcPr>
          <w:p w14:paraId="134773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2940CE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2BD1F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条</w:t>
            </w:r>
          </w:p>
        </w:tc>
        <w:tc>
          <w:tcPr>
            <w:tcW w:w="1286" w:type="dxa"/>
            <w:vAlign w:val="center"/>
          </w:tcPr>
          <w:p w14:paraId="76DD5F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1168D3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848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1B1AC1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323" w:type="dxa"/>
            <w:shd w:val="clear" w:color="auto" w:fill="auto"/>
            <w:vAlign w:val="center"/>
          </w:tcPr>
          <w:p w14:paraId="2DF5C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听力图</w:t>
            </w:r>
          </w:p>
        </w:tc>
        <w:tc>
          <w:tcPr>
            <w:tcW w:w="1629" w:type="dxa"/>
            <w:vAlign w:val="center"/>
          </w:tcPr>
          <w:p w14:paraId="3C48F3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257D43A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7F913C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w:t>
            </w:r>
          </w:p>
        </w:tc>
        <w:tc>
          <w:tcPr>
            <w:tcW w:w="1286" w:type="dxa"/>
            <w:vAlign w:val="center"/>
          </w:tcPr>
          <w:p w14:paraId="1ADBFC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7D6422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B18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79272A9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323" w:type="dxa"/>
            <w:shd w:val="clear" w:color="auto" w:fill="auto"/>
            <w:vAlign w:val="center"/>
          </w:tcPr>
          <w:p w14:paraId="44255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隔音室</w:t>
            </w:r>
          </w:p>
        </w:tc>
        <w:tc>
          <w:tcPr>
            <w:tcW w:w="1629" w:type="dxa"/>
            <w:vAlign w:val="center"/>
          </w:tcPr>
          <w:p w14:paraId="471C04B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583726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3D81C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间</w:t>
            </w:r>
          </w:p>
        </w:tc>
        <w:tc>
          <w:tcPr>
            <w:tcW w:w="1286" w:type="dxa"/>
            <w:vAlign w:val="center"/>
          </w:tcPr>
          <w:p w14:paraId="5BE61E9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3F89128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7463BC71">
      <w:pPr>
        <w:pStyle w:val="26"/>
        <w:ind w:firstLine="422"/>
        <w:rPr>
          <w:rFonts w:hAnsi="宋体"/>
          <w:b/>
          <w:color w:val="auto"/>
        </w:rPr>
      </w:pPr>
    </w:p>
    <w:p w14:paraId="705CA8FA">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hAnsi="宋体"/>
          <w:b/>
          <w:color w:val="auto"/>
        </w:rPr>
        <w:t>技术要求：</w:t>
      </w:r>
    </w:p>
    <w:tbl>
      <w:tblPr>
        <w:tblStyle w:val="16"/>
        <w:tblW w:w="964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754"/>
        <w:gridCol w:w="6743"/>
        <w:gridCol w:w="1152"/>
      </w:tblGrid>
      <w:tr w14:paraId="37185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tcBorders>
              <w:tl2br w:val="nil"/>
              <w:tr2bl w:val="nil"/>
            </w:tcBorders>
            <w:shd w:val="clear" w:color="auto" w:fill="EEECE1" w:themeFill="background2"/>
            <w:vAlign w:val="center"/>
          </w:tcPr>
          <w:p w14:paraId="1AEF6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6743" w:type="dxa"/>
            <w:tcBorders>
              <w:tl2br w:val="nil"/>
              <w:tr2bl w:val="nil"/>
            </w:tcBorders>
            <w:shd w:val="clear" w:color="auto" w:fill="EEECE1" w:themeFill="background2"/>
            <w:vAlign w:val="center"/>
          </w:tcPr>
          <w:p w14:paraId="740C3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技术要求</w:t>
            </w:r>
          </w:p>
        </w:tc>
        <w:tc>
          <w:tcPr>
            <w:tcW w:w="1152" w:type="dxa"/>
            <w:tcBorders>
              <w:tl2br w:val="nil"/>
              <w:tr2bl w:val="nil"/>
            </w:tcBorders>
            <w:shd w:val="clear" w:color="auto" w:fill="EEECE1" w:themeFill="background2"/>
            <w:vAlign w:val="center"/>
          </w:tcPr>
          <w:p w14:paraId="0E03F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标注</w:t>
            </w:r>
          </w:p>
        </w:tc>
      </w:tr>
      <w:tr w14:paraId="37312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restart"/>
            <w:tcBorders>
              <w:tl2br w:val="nil"/>
              <w:tr2bl w:val="nil"/>
            </w:tcBorders>
            <w:shd w:val="clear" w:color="auto" w:fill="auto"/>
            <w:vAlign w:val="center"/>
          </w:tcPr>
          <w:p w14:paraId="5F238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rPr>
              <w:t>诊断型听力计</w:t>
            </w:r>
          </w:p>
        </w:tc>
        <w:tc>
          <w:tcPr>
            <w:tcW w:w="6743" w:type="dxa"/>
            <w:tcBorders>
              <w:tl2br w:val="nil"/>
              <w:tr2bl w:val="nil"/>
            </w:tcBorders>
            <w:shd w:val="clear" w:color="auto" w:fill="auto"/>
            <w:vAlign w:val="center"/>
          </w:tcPr>
          <w:p w14:paraId="771AACBC">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通道：两路独立输出通道。</w:t>
            </w:r>
          </w:p>
        </w:tc>
        <w:tc>
          <w:tcPr>
            <w:tcW w:w="1152" w:type="dxa"/>
            <w:tcBorders>
              <w:tl2br w:val="nil"/>
              <w:tr2bl w:val="nil"/>
            </w:tcBorders>
            <w:shd w:val="clear" w:color="auto" w:fill="auto"/>
            <w:vAlign w:val="center"/>
          </w:tcPr>
          <w:p w14:paraId="32141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CFE55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08DA3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1F67273">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测试频率：气导125~8000Hz、骨导250~6000Hz，误差小于±2%。</w:t>
            </w:r>
          </w:p>
        </w:tc>
        <w:tc>
          <w:tcPr>
            <w:tcW w:w="1152" w:type="dxa"/>
            <w:tcBorders>
              <w:tl2br w:val="nil"/>
              <w:tr2bl w:val="nil"/>
            </w:tcBorders>
            <w:shd w:val="clear" w:color="auto" w:fill="auto"/>
            <w:vAlign w:val="center"/>
          </w:tcPr>
          <w:p w14:paraId="182F1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C9D0B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1B950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3FD447">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测试强度范围：气导-10~120dB、骨导-10~70dB。（所投产品涵盖此范围即认定为满足该项技术要求）</w:t>
            </w:r>
          </w:p>
        </w:tc>
        <w:tc>
          <w:tcPr>
            <w:tcW w:w="1152" w:type="dxa"/>
            <w:tcBorders>
              <w:tl2br w:val="nil"/>
              <w:tr2bl w:val="nil"/>
            </w:tcBorders>
            <w:shd w:val="clear" w:color="auto" w:fill="auto"/>
            <w:vAlign w:val="center"/>
          </w:tcPr>
          <w:p w14:paraId="349B8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9BA54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0E3F9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ADCF014">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掩蔽强度范围：-10~110dB。（所投产品涵盖此范围即认定为满足该项技术要求）</w:t>
            </w:r>
          </w:p>
        </w:tc>
        <w:tc>
          <w:tcPr>
            <w:tcW w:w="1152" w:type="dxa"/>
            <w:tcBorders>
              <w:tl2br w:val="nil"/>
              <w:tr2bl w:val="nil"/>
            </w:tcBorders>
            <w:shd w:val="clear" w:color="auto" w:fill="auto"/>
            <w:vAlign w:val="center"/>
          </w:tcPr>
          <w:p w14:paraId="72B14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796EB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CEB0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2FBEE5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啭音调制频率：5Hz正弦波。</w:t>
            </w:r>
          </w:p>
        </w:tc>
        <w:tc>
          <w:tcPr>
            <w:tcW w:w="1152" w:type="dxa"/>
            <w:tcBorders>
              <w:tl2br w:val="nil"/>
              <w:tr2bl w:val="nil"/>
            </w:tcBorders>
            <w:shd w:val="clear" w:color="auto" w:fill="auto"/>
            <w:vAlign w:val="center"/>
          </w:tcPr>
          <w:p w14:paraId="0F1A1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9A7C6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6F948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213DE73">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测试信号：至少包含纯音、脉冲音、啭音和窄带噪声。</w:t>
            </w:r>
          </w:p>
        </w:tc>
        <w:tc>
          <w:tcPr>
            <w:tcW w:w="1152" w:type="dxa"/>
            <w:tcBorders>
              <w:tl2br w:val="nil"/>
              <w:tr2bl w:val="nil"/>
            </w:tcBorders>
            <w:shd w:val="clear" w:color="auto" w:fill="auto"/>
            <w:vAlign w:val="center"/>
          </w:tcPr>
          <w:p w14:paraId="28D87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9EA77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2C0B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9354D39">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显示屏：LCD显示屏，双行精确数值显示。</w:t>
            </w:r>
          </w:p>
        </w:tc>
        <w:tc>
          <w:tcPr>
            <w:tcW w:w="1152" w:type="dxa"/>
            <w:tcBorders>
              <w:tl2br w:val="nil"/>
              <w:tr2bl w:val="nil"/>
            </w:tcBorders>
            <w:shd w:val="clear" w:color="auto" w:fill="auto"/>
            <w:vAlign w:val="center"/>
          </w:tcPr>
          <w:p w14:paraId="36E2D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27AD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53E81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62DD10">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失真度：气导小于2.5%，骨导小于5.5%。</w:t>
            </w:r>
          </w:p>
        </w:tc>
        <w:tc>
          <w:tcPr>
            <w:tcW w:w="1152" w:type="dxa"/>
            <w:tcBorders>
              <w:tl2br w:val="nil"/>
              <w:tr2bl w:val="nil"/>
            </w:tcBorders>
            <w:shd w:val="clear" w:color="auto" w:fill="auto"/>
            <w:vAlign w:val="center"/>
          </w:tcPr>
          <w:p w14:paraId="27030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DB14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5921F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17071BB">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精度：连续衰减/步进5dB，误差小于1dB。</w:t>
            </w:r>
          </w:p>
        </w:tc>
        <w:tc>
          <w:tcPr>
            <w:tcW w:w="1152" w:type="dxa"/>
            <w:tcBorders>
              <w:tl2br w:val="nil"/>
              <w:tr2bl w:val="nil"/>
            </w:tcBorders>
            <w:shd w:val="clear" w:color="auto" w:fill="auto"/>
            <w:vAlign w:val="center"/>
          </w:tcPr>
          <w:p w14:paraId="7C76F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C0E95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DA59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05E8A0">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患者应答：外置应答手柄，内置蜂鸣提示。</w:t>
            </w:r>
          </w:p>
        </w:tc>
        <w:tc>
          <w:tcPr>
            <w:tcW w:w="1152" w:type="dxa"/>
            <w:tcBorders>
              <w:tl2br w:val="nil"/>
              <w:tr2bl w:val="nil"/>
            </w:tcBorders>
            <w:shd w:val="clear" w:color="auto" w:fill="auto"/>
            <w:vAlign w:val="center"/>
          </w:tcPr>
          <w:p w14:paraId="29E76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2FC33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610D5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E43D95">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麦克风：内置麦克风、对讲系统，便于与受试者沟通。(0-50强度可调)（所投产品涵盖此范围即认定为满足该项技术要求，需提供产品彩页或技术白皮书佐证）</w:t>
            </w:r>
          </w:p>
        </w:tc>
        <w:tc>
          <w:tcPr>
            <w:tcW w:w="1152" w:type="dxa"/>
            <w:tcBorders>
              <w:tl2br w:val="nil"/>
              <w:tr2bl w:val="nil"/>
            </w:tcBorders>
            <w:shd w:val="clear" w:color="auto" w:fill="auto"/>
            <w:vAlign w:val="center"/>
          </w:tcPr>
          <w:p w14:paraId="300B8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5688B0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1B5EA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7D28362A">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给声方式：按键给声。</w:t>
            </w:r>
          </w:p>
        </w:tc>
        <w:tc>
          <w:tcPr>
            <w:tcW w:w="1152" w:type="dxa"/>
            <w:tcBorders>
              <w:tl2br w:val="nil"/>
              <w:tr2bl w:val="nil"/>
            </w:tcBorders>
            <w:shd w:val="clear" w:color="auto" w:fill="auto"/>
            <w:vAlign w:val="center"/>
          </w:tcPr>
          <w:p w14:paraId="3FA38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87799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3B0B6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4A551C4">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输出：至少包含气导耳机、骨导耳机、自由声场。</w:t>
            </w:r>
          </w:p>
        </w:tc>
        <w:tc>
          <w:tcPr>
            <w:tcW w:w="1152" w:type="dxa"/>
            <w:tcBorders>
              <w:tl2br w:val="nil"/>
              <w:tr2bl w:val="nil"/>
            </w:tcBorders>
            <w:shd w:val="clear" w:color="auto" w:fill="auto"/>
            <w:vAlign w:val="center"/>
          </w:tcPr>
          <w:p w14:paraId="47D3B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E0CCC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109A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1EA298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 xml:space="preserve">保护功能: 符合声学安全要求,有效保护受试者听力。 </w:t>
            </w:r>
          </w:p>
        </w:tc>
        <w:tc>
          <w:tcPr>
            <w:tcW w:w="1152" w:type="dxa"/>
            <w:tcBorders>
              <w:tl2br w:val="nil"/>
              <w:tr2bl w:val="nil"/>
            </w:tcBorders>
            <w:shd w:val="clear" w:color="auto" w:fill="auto"/>
            <w:vAlign w:val="center"/>
          </w:tcPr>
          <w:p w14:paraId="6238C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6D9FA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63B21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4E11906">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掩蔽：气导、骨导双路独立对侧掩蔽，可自由切换，无需调换气导耳机，自带掩蔽提示功能。</w:t>
            </w:r>
          </w:p>
        </w:tc>
        <w:tc>
          <w:tcPr>
            <w:tcW w:w="1152" w:type="dxa"/>
            <w:tcBorders>
              <w:tl2br w:val="nil"/>
              <w:tr2bl w:val="nil"/>
            </w:tcBorders>
            <w:shd w:val="clear" w:color="auto" w:fill="auto"/>
            <w:vAlign w:val="center"/>
          </w:tcPr>
          <w:p w14:paraId="374FE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477E10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460A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C25FD3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声场测试：可接外置功放，内置声场校准功能。</w:t>
            </w:r>
          </w:p>
        </w:tc>
        <w:tc>
          <w:tcPr>
            <w:tcW w:w="1152" w:type="dxa"/>
            <w:tcBorders>
              <w:tl2br w:val="nil"/>
              <w:tr2bl w:val="nil"/>
            </w:tcBorders>
            <w:shd w:val="clear" w:color="auto" w:fill="auto"/>
            <w:vAlign w:val="center"/>
          </w:tcPr>
          <w:p w14:paraId="5735C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AA312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301FA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938625E">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气骨导PTA计算方式：世界卫生组织(WHO)标准，美国国家标准协会(ANSI)标准，自定义/可选。</w:t>
            </w:r>
          </w:p>
        </w:tc>
        <w:tc>
          <w:tcPr>
            <w:tcW w:w="1152" w:type="dxa"/>
            <w:tcBorders>
              <w:tl2br w:val="nil"/>
              <w:tr2bl w:val="nil"/>
            </w:tcBorders>
            <w:shd w:val="clear" w:color="auto" w:fill="auto"/>
            <w:vAlign w:val="center"/>
          </w:tcPr>
          <w:p w14:paraId="44C65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72362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3CC1B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789A7C2E">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听力诊断辅助分析： 单/双耳高频平均听阀，单/双耳语频平均听阀、单耳听阀加权值，爆震聋，单耳平均听阀，爆震聋辅助计算，噪声聋辅助计算，自动生成噪声聋报告。</w:t>
            </w:r>
          </w:p>
        </w:tc>
        <w:tc>
          <w:tcPr>
            <w:tcW w:w="1152" w:type="dxa"/>
            <w:tcBorders>
              <w:tl2br w:val="nil"/>
              <w:tr2bl w:val="nil"/>
            </w:tcBorders>
            <w:shd w:val="clear" w:color="auto" w:fill="auto"/>
            <w:vAlign w:val="center"/>
          </w:tcPr>
          <w:p w14:paraId="6FCA3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A8FB6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490A8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18D79CD">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自定义计算精度：原始数据、保留整数、保留小数点后2位。</w:t>
            </w:r>
          </w:p>
        </w:tc>
        <w:tc>
          <w:tcPr>
            <w:tcW w:w="1152" w:type="dxa"/>
            <w:tcBorders>
              <w:tl2br w:val="nil"/>
              <w:tr2bl w:val="nil"/>
            </w:tcBorders>
            <w:shd w:val="clear" w:color="auto" w:fill="auto"/>
            <w:vAlign w:val="center"/>
          </w:tcPr>
          <w:p w14:paraId="2BD52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1FE52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525BF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D595954">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诊断模板：可自定义听力诊断模板。(纯音听力诊断模板，噪声聋诊断模板)</w:t>
            </w:r>
          </w:p>
        </w:tc>
        <w:tc>
          <w:tcPr>
            <w:tcW w:w="1152" w:type="dxa"/>
            <w:tcBorders>
              <w:tl2br w:val="nil"/>
              <w:tr2bl w:val="nil"/>
            </w:tcBorders>
            <w:shd w:val="clear" w:color="auto" w:fill="auto"/>
            <w:vAlign w:val="center"/>
          </w:tcPr>
          <w:p w14:paraId="64E82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74CC7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27B34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E97CF6E">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职业病诊断： 根据《GBT 7582-2004声学听阈与年龄关系的统计分布》和《GBZ49-2014职业病噪声聋诊断》，对听力结果进行年龄性别修正，对听力测试数据一键计算分析，直接获取噪声聋诊断数值和诊断分级。（需提供产品彩页或技术白皮书佐证）</w:t>
            </w:r>
          </w:p>
        </w:tc>
        <w:tc>
          <w:tcPr>
            <w:tcW w:w="1152" w:type="dxa"/>
            <w:tcBorders>
              <w:tl2br w:val="nil"/>
              <w:tr2bl w:val="nil"/>
            </w:tcBorders>
            <w:shd w:val="clear" w:color="auto" w:fill="auto"/>
            <w:vAlign w:val="center"/>
          </w:tcPr>
          <w:p w14:paraId="1A341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10D148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080CE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52D2617">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个性化报告设置：≥4种报告表头模板可供选择，报告参数自由组合，支持电子签名。</w:t>
            </w:r>
          </w:p>
        </w:tc>
        <w:tc>
          <w:tcPr>
            <w:tcW w:w="1152" w:type="dxa"/>
            <w:tcBorders>
              <w:tl2br w:val="nil"/>
              <w:tr2bl w:val="nil"/>
            </w:tcBorders>
            <w:shd w:val="clear" w:color="auto" w:fill="auto"/>
            <w:vAlign w:val="center"/>
          </w:tcPr>
          <w:p w14:paraId="0A362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16BAD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43D4E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13FEBA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报告命名：导出报告文件名可依姓名、编号，或自定义命名。</w:t>
            </w:r>
          </w:p>
        </w:tc>
        <w:tc>
          <w:tcPr>
            <w:tcW w:w="1152" w:type="dxa"/>
            <w:tcBorders>
              <w:tl2br w:val="nil"/>
              <w:tr2bl w:val="nil"/>
            </w:tcBorders>
            <w:shd w:val="clear" w:color="auto" w:fill="auto"/>
            <w:vAlign w:val="center"/>
          </w:tcPr>
          <w:p w14:paraId="3CF30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A53FE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0ED63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C9517FC">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测试报告存储：依据PC容量，通过FTP传输至指定目录存储，可选多种存储格式。(JPG/PDF/XML)</w:t>
            </w:r>
          </w:p>
        </w:tc>
        <w:tc>
          <w:tcPr>
            <w:tcW w:w="1152" w:type="dxa"/>
            <w:tcBorders>
              <w:tl2br w:val="nil"/>
              <w:tr2bl w:val="nil"/>
            </w:tcBorders>
            <w:shd w:val="clear" w:color="auto" w:fill="auto"/>
            <w:vAlign w:val="center"/>
          </w:tcPr>
          <w:p w14:paraId="2B4E2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35C8B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1CF76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9AED596">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数据传输：使用 USB 接口连接 PC端，实时获取听力计数据，存储测试数据打印测试报告。</w:t>
            </w:r>
          </w:p>
        </w:tc>
        <w:tc>
          <w:tcPr>
            <w:tcW w:w="1152" w:type="dxa"/>
            <w:tcBorders>
              <w:tl2br w:val="nil"/>
              <w:tr2bl w:val="nil"/>
            </w:tcBorders>
            <w:shd w:val="clear" w:color="auto" w:fill="auto"/>
            <w:vAlign w:val="center"/>
          </w:tcPr>
          <w:p w14:paraId="11F60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8F9E9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4E0E5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3FF7F8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医疗系统对接：支持HL7协议对接，XML文件对接，数据库对接，轻松实现与医疗系统信息对接，获取受试者原始数据及修正后数据。</w:t>
            </w:r>
          </w:p>
        </w:tc>
        <w:tc>
          <w:tcPr>
            <w:tcW w:w="1152" w:type="dxa"/>
            <w:tcBorders>
              <w:tl2br w:val="nil"/>
              <w:tr2bl w:val="nil"/>
            </w:tcBorders>
            <w:shd w:val="clear" w:color="auto" w:fill="auto"/>
            <w:vAlign w:val="center"/>
          </w:tcPr>
          <w:p w14:paraId="1D5C4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3B00EA24">
      <w:pPr>
        <w:pStyle w:val="9"/>
        <w:tabs>
          <w:tab w:val="left" w:pos="420"/>
          <w:tab w:val="left" w:pos="540"/>
        </w:tabs>
        <w:adjustRightInd w:val="0"/>
        <w:snapToGrid w:val="0"/>
        <w:spacing w:line="360" w:lineRule="auto"/>
        <w:rPr>
          <w:rFonts w:hAnsi="宋体"/>
          <w:b/>
          <w:color w:val="auto"/>
        </w:rPr>
      </w:pPr>
    </w:p>
    <w:p w14:paraId="7C2FC4C4">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商务要求：</w:t>
      </w:r>
    </w:p>
    <w:tbl>
      <w:tblPr>
        <w:tblStyle w:val="16"/>
        <w:tblW w:w="9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7"/>
        <w:gridCol w:w="7995"/>
      </w:tblGrid>
      <w:tr w14:paraId="1667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商务条款</w:t>
            </w:r>
          </w:p>
        </w:tc>
      </w:tr>
      <w:tr w14:paraId="6893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9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2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交货时间：合同签订并接院方通知后15日内。</w:t>
            </w:r>
          </w:p>
        </w:tc>
      </w:tr>
      <w:tr w14:paraId="7568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6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1D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3年内 。</w:t>
            </w:r>
          </w:p>
        </w:tc>
      </w:tr>
      <w:tr w14:paraId="7877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0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C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中标方应保证设备是全新、未使用过的原装合格正品（包括零部件），设备到达院方安装现场时外包装应完好无损。进口产品生产日期在采购人收到货物日期前</w:t>
            </w:r>
            <w:r>
              <w:rPr>
                <w:rFonts w:hint="default" w:ascii="宋体" w:hAnsi="宋体" w:eastAsia="宋体" w:cs="宋体"/>
                <w:i w:val="0"/>
                <w:iCs w:val="0"/>
                <w:color w:val="auto"/>
                <w:kern w:val="0"/>
                <w:sz w:val="21"/>
                <w:szCs w:val="21"/>
                <w:u w:val="none"/>
                <w:lang w:val="en-US" w:eastAsia="zh-CN" w:bidi="ar"/>
              </w:rPr>
              <w:t>12</w:t>
            </w:r>
            <w:r>
              <w:rPr>
                <w:rFonts w:hint="eastAsia" w:ascii="宋体" w:hAnsi="宋体" w:eastAsia="宋体" w:cs="宋体"/>
                <w:i w:val="0"/>
                <w:iCs w:val="0"/>
                <w:color w:val="auto"/>
                <w:kern w:val="0"/>
                <w:sz w:val="21"/>
                <w:szCs w:val="21"/>
                <w:u w:val="none"/>
                <w:lang w:val="en-US" w:eastAsia="zh-CN" w:bidi="ar"/>
              </w:rPr>
              <w:t>个月内，本国产品生产日期在采购人收到货物日期前</w:t>
            </w:r>
            <w:r>
              <w:rPr>
                <w:rFonts w:hint="default" w:ascii="宋体" w:hAnsi="宋体" w:eastAsia="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个月内，最新生产批次且经检验合格的产品。</w:t>
            </w:r>
          </w:p>
        </w:tc>
      </w:tr>
      <w:tr w14:paraId="2D24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p w14:paraId="1D6E6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2A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标方应随设备向院方交付设备中文版《使用说明书》《医疗器械生产企业许可证》《医疗器械经营企业许可证》《医疗器械注册证》等与本合同设备使用有关的所有资料。如为进口设备，中标方还应提供进口设备原产地证、检测报告、《进口医疗器械注册证》、检验检疫证明、进口报关手续等资料。</w:t>
            </w:r>
          </w:p>
        </w:tc>
      </w:tr>
      <w:tr w14:paraId="3661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E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51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105F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77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货到安装、调试验收合格后，中标方应按本合同全额价款出具正规税务发票，院方财务科收到中标方发票等相关资料后</w:t>
            </w:r>
            <w:r>
              <w:rPr>
                <w:rFonts w:hint="default" w:ascii="宋体" w:hAnsi="宋体" w:eastAsia="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个工作日内向中标方支付合同全款。</w:t>
            </w:r>
          </w:p>
        </w:tc>
      </w:tr>
      <w:tr w14:paraId="2B21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设备出现故障时中标方应在接到院方通知时</w:t>
            </w:r>
            <w:r>
              <w:rPr>
                <w:rFonts w:hint="default" w:ascii="宋体" w:hAnsi="宋体" w:eastAsia="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小时响应，</w:t>
            </w:r>
            <w:r>
              <w:rPr>
                <w:rFonts w:hint="default" w:ascii="宋体" w:hAnsi="宋体" w:eastAsia="宋体" w:cs="宋体"/>
                <w:i w:val="0"/>
                <w:iCs w:val="0"/>
                <w:color w:val="auto"/>
                <w:kern w:val="0"/>
                <w:sz w:val="21"/>
                <w:szCs w:val="21"/>
                <w:u w:val="none"/>
                <w:lang w:val="en-US" w:eastAsia="zh-CN" w:bidi="ar"/>
              </w:rPr>
              <w:t>24</w:t>
            </w:r>
            <w:r>
              <w:rPr>
                <w:rFonts w:hint="eastAsia" w:ascii="宋体" w:hAnsi="宋体" w:eastAsia="宋体" w:cs="宋体"/>
                <w:i w:val="0"/>
                <w:iCs w:val="0"/>
                <w:color w:val="auto"/>
                <w:kern w:val="0"/>
                <w:sz w:val="21"/>
                <w:szCs w:val="21"/>
                <w:u w:val="none"/>
                <w:lang w:val="en-US" w:eastAsia="zh-CN" w:bidi="ar"/>
              </w:rPr>
              <w:t>小时内到位，若中标方未能在</w:t>
            </w:r>
            <w:r>
              <w:rPr>
                <w:rFonts w:hint="default" w:ascii="宋体" w:hAnsi="宋体" w:eastAsia="宋体" w:cs="宋体"/>
                <w:i w:val="0"/>
                <w:iCs w:val="0"/>
                <w:color w:val="auto"/>
                <w:kern w:val="0"/>
                <w:sz w:val="21"/>
                <w:szCs w:val="21"/>
                <w:u w:val="none"/>
                <w:lang w:val="en-US" w:eastAsia="zh-CN" w:bidi="ar"/>
              </w:rPr>
              <w:t>24</w:t>
            </w:r>
            <w:r>
              <w:rPr>
                <w:rFonts w:hint="eastAsia" w:ascii="宋体" w:hAnsi="宋体" w:eastAsia="宋体" w:cs="宋体"/>
                <w:i w:val="0"/>
                <w:iCs w:val="0"/>
                <w:color w:val="auto"/>
                <w:kern w:val="0"/>
                <w:sz w:val="21"/>
                <w:szCs w:val="21"/>
                <w:u w:val="none"/>
                <w:lang w:val="en-US" w:eastAsia="zh-CN" w:bidi="ar"/>
              </w:rPr>
              <w:t>小时内消除障碍，院方有权聘请第三方消除障碍，所发生的费用由中标方全部承担。</w:t>
            </w:r>
          </w:p>
        </w:tc>
      </w:tr>
      <w:tr w14:paraId="4DC5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0B0FB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p w14:paraId="5BD46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A0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如中标设备需要医院信息端口，则由中标方负责医院信息系统端口连接的安装工作及费用（包含信息系统方的接口开发费），医院协助中标方完成信息系统安装，确保设备稳定运行。</w:t>
            </w:r>
          </w:p>
        </w:tc>
      </w:tr>
    </w:tbl>
    <w:p w14:paraId="150D0FF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2" w:name="_Toc113"/>
    </w:p>
    <w:p w14:paraId="2742E9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BA9EDC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99DB3D1">
      <w:pPr>
        <w:pStyle w:val="3"/>
        <w:numPr>
          <w:ilvl w:val="0"/>
          <w:numId w:val="0"/>
        </w:numPr>
        <w:spacing w:line="240" w:lineRule="auto"/>
        <w:ind w:left="0" w:leftChars="0" w:firstLine="0" w:firstLineChars="0"/>
        <w:jc w:val="both"/>
        <w:outlineLvl w:val="0"/>
        <w:rPr>
          <w:rFonts w:hint="eastAsia" w:asciiTheme="majorEastAsia" w:hAnsiTheme="majorEastAsia" w:eastAsiaTheme="majorEastAsia" w:cstheme="majorEastAsia"/>
          <w:kern w:val="2"/>
          <w:sz w:val="32"/>
          <w:szCs w:val="32"/>
          <w:lang w:val="en-US" w:eastAsia="zh-CN" w:bidi="ar-SA"/>
        </w:rPr>
      </w:pPr>
    </w:p>
    <w:p w14:paraId="7F5A267B">
      <w:pPr>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第四章 </w:t>
      </w:r>
      <w:r>
        <w:rPr>
          <w:rFonts w:hint="eastAsia" w:asciiTheme="majorEastAsia" w:hAnsiTheme="majorEastAsia" w:eastAsiaTheme="majorEastAsia" w:cstheme="majorEastAsia"/>
          <w:sz w:val="32"/>
          <w:szCs w:val="32"/>
        </w:rPr>
        <w:t>开标、评标、定标</w:t>
      </w:r>
      <w:bookmarkEnd w:id="12"/>
    </w:p>
    <w:p w14:paraId="3B4C8BEE">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3" w:name="_Toc15209"/>
      <w:bookmarkStart w:id="14" w:name="_Toc1988"/>
      <w:bookmarkStart w:id="15" w:name="_Toc24015563"/>
      <w:r>
        <w:rPr>
          <w:rFonts w:hint="eastAsia" w:ascii="宋体" w:hAnsi="宋体" w:cs="宋体" w:eastAsiaTheme="minorEastAsia"/>
          <w:kern w:val="2"/>
          <w:sz w:val="21"/>
          <w:szCs w:val="21"/>
          <w:lang w:val="en-US" w:eastAsia="zh-CN" w:bidi="ar-SA"/>
        </w:rPr>
        <w:t>资格性审查表</w:t>
      </w:r>
      <w:bookmarkEnd w:id="13"/>
      <w:bookmarkEnd w:id="14"/>
      <w:bookmarkEnd w:id="15"/>
    </w:p>
    <w:tbl>
      <w:tblPr>
        <w:tblStyle w:val="1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6"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6"/>
    </w:p>
    <w:p w14:paraId="41BA4C69">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p>
    <w:tbl>
      <w:tblPr>
        <w:tblStyle w:val="1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71DEE524">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587C7218">
      <w:pPr>
        <w:pStyle w:val="4"/>
        <w:numPr>
          <w:ilvl w:val="0"/>
          <w:numId w:val="9"/>
        </w:numPr>
        <w:ind w:left="0" w:leftChars="0" w:firstLine="0"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福田区自行采购供应商资格审查表</w:t>
      </w:r>
    </w:p>
    <w:p w14:paraId="58D1A2AD">
      <w:pPr>
        <w:pStyle w:val="5"/>
        <w:rPr>
          <w:color w:val="auto"/>
        </w:rPr>
      </w:pPr>
    </w:p>
    <w:tbl>
      <w:tblPr>
        <w:tblStyle w:val="17"/>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768" w:type="dxa"/>
            <w:noWrap w:val="0"/>
            <w:vAlign w:val="center"/>
          </w:tcPr>
          <w:p w14:paraId="32D01AB9">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keepNext w:val="0"/>
              <w:keepLines w:val="0"/>
              <w:widowControl/>
              <w:suppressLineNumbers w:val="0"/>
              <w:spacing w:before="0" w:beforeLines="0" w:beforeAutospacing="0" w:after="0" w:afterLines="0" w:afterAutospacing="0" w:line="380" w:lineRule="exact"/>
              <w:ind w:left="0" w:right="0"/>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2834" w:right="0"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4D79F9F6">
      <w:pPr>
        <w:pStyle w:val="32"/>
        <w:widowControl/>
        <w:numPr>
          <w:ilvl w:val="0"/>
          <w:numId w:val="0"/>
        </w:numPr>
        <w:spacing w:line="360" w:lineRule="auto"/>
        <w:ind w:left="0" w:leftChars="0" w:firstLine="0" w:firstLineChars="0"/>
        <w:jc w:val="left"/>
        <w:outlineLvl w:val="1"/>
        <w:rPr>
          <w:rFonts w:hAnsi="宋体"/>
        </w:rPr>
      </w:pPr>
      <w:r>
        <w:rPr>
          <w:rFonts w:hint="eastAsia" w:hAnsi="宋体"/>
          <w:lang w:val="en-US" w:eastAsia="zh-CN"/>
        </w:rPr>
        <w:t>1.</w:t>
      </w:r>
      <w:r>
        <w:rPr>
          <w:rFonts w:hint="eastAsia" w:hAnsi="宋体"/>
        </w:rPr>
        <w:t>开标</w:t>
      </w:r>
    </w:p>
    <w:p w14:paraId="0369ECD0">
      <w:pPr>
        <w:pStyle w:val="32"/>
        <w:widowControl/>
        <w:numPr>
          <w:ilvl w:val="1"/>
          <w:numId w:val="10"/>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投标人未参加开标的，视同认可开标结果。</w:t>
      </w:r>
    </w:p>
    <w:p w14:paraId="06CA2A8F">
      <w:pPr>
        <w:pStyle w:val="32"/>
        <w:widowControl/>
        <w:numPr>
          <w:ilvl w:val="0"/>
          <w:numId w:val="10"/>
        </w:numPr>
        <w:spacing w:line="360" w:lineRule="auto"/>
        <w:ind w:left="425" w:leftChars="0" w:hanging="425" w:firstLineChars="0"/>
        <w:jc w:val="left"/>
        <w:outlineLvl w:val="1"/>
        <w:rPr>
          <w:rFonts w:hAnsi="宋体"/>
        </w:rPr>
      </w:pPr>
      <w:r>
        <w:rPr>
          <w:rFonts w:hint="eastAsia" w:hAnsi="宋体"/>
        </w:rPr>
        <w:t>评标委员会的组成</w:t>
      </w:r>
    </w:p>
    <w:p w14:paraId="3509FA96">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评标委员会依法组建，由5人单数组成。</w:t>
      </w:r>
    </w:p>
    <w:p w14:paraId="78A0413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评标委员会负责具体评标事务，并独立履行下列职责：</w:t>
      </w:r>
    </w:p>
    <w:p w14:paraId="0FFF602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32"/>
        <w:widowControl/>
        <w:numPr>
          <w:ilvl w:val="1"/>
          <w:numId w:val="10"/>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32"/>
        <w:widowControl/>
        <w:numPr>
          <w:ilvl w:val="1"/>
          <w:numId w:val="10"/>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32"/>
        <w:widowControl/>
        <w:numPr>
          <w:ilvl w:val="0"/>
          <w:numId w:val="10"/>
        </w:numPr>
        <w:spacing w:line="360" w:lineRule="auto"/>
        <w:ind w:left="425" w:leftChars="0" w:hanging="425" w:firstLineChars="0"/>
        <w:jc w:val="left"/>
        <w:outlineLvl w:val="1"/>
        <w:rPr>
          <w:rFonts w:hAnsi="宋体"/>
          <w:b/>
        </w:rPr>
      </w:pPr>
      <w:r>
        <w:rPr>
          <w:rFonts w:hint="eastAsia" w:hAnsi="宋体"/>
          <w:b/>
        </w:rPr>
        <w:t>评标（适用综合评分法）：</w:t>
      </w:r>
    </w:p>
    <w:p w14:paraId="7870AC05">
      <w:pPr>
        <w:pStyle w:val="32"/>
        <w:widowControl/>
        <w:numPr>
          <w:ilvl w:val="1"/>
          <w:numId w:val="10"/>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32"/>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32"/>
        <w:widowControl/>
        <w:numPr>
          <w:ilvl w:val="1"/>
          <w:numId w:val="10"/>
        </w:numPr>
        <w:spacing w:line="360" w:lineRule="auto"/>
        <w:ind w:left="567" w:leftChars="0" w:hanging="567" w:firstLineChars="0"/>
        <w:jc w:val="left"/>
        <w:outlineLvl w:val="9"/>
        <w:rPr>
          <w:rFonts w:ascii="宋体" w:hAnsi="宋体"/>
          <w:bCs/>
          <w:szCs w:val="21"/>
        </w:rPr>
      </w:pPr>
      <w:r>
        <w:rPr>
          <w:rFonts w:hint="eastAsia" w:ascii="宋体" w:hAnsi="宋体"/>
          <w:bCs/>
          <w:szCs w:val="21"/>
        </w:rPr>
        <w:t>评标步骤：</w:t>
      </w:r>
    </w:p>
    <w:p w14:paraId="5FC91109">
      <w:pPr>
        <w:pStyle w:val="32"/>
        <w:widowControl/>
        <w:numPr>
          <w:ilvl w:val="2"/>
          <w:numId w:val="10"/>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32"/>
        <w:widowControl/>
        <w:numPr>
          <w:ilvl w:val="2"/>
          <w:numId w:val="10"/>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32"/>
        <w:widowControl/>
        <w:numPr>
          <w:ilvl w:val="2"/>
          <w:numId w:val="10"/>
        </w:numPr>
        <w:spacing w:line="360" w:lineRule="auto"/>
        <w:ind w:left="709" w:leftChars="0" w:hanging="709" w:firstLineChars="0"/>
        <w:jc w:val="left"/>
        <w:outlineLvl w:val="9"/>
        <w:rPr>
          <w:rFonts w:ascii="宋体" w:cs="宋体"/>
          <w:szCs w:val="21"/>
        </w:rPr>
      </w:pPr>
      <w:r>
        <w:rPr>
          <w:rFonts w:hint="eastAsia" w:ascii="宋体" w:cs="宋体"/>
          <w:szCs w:val="21"/>
        </w:rPr>
        <w:t>详细评审及推荐中标候选人：</w:t>
      </w:r>
    </w:p>
    <w:p w14:paraId="30D9F3BE">
      <w:pPr>
        <w:pStyle w:val="32"/>
        <w:widowControl/>
        <w:numPr>
          <w:ilvl w:val="3"/>
          <w:numId w:val="10"/>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32"/>
        <w:widowControl/>
        <w:numPr>
          <w:ilvl w:val="3"/>
          <w:numId w:val="10"/>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32"/>
        <w:widowControl/>
        <w:numPr>
          <w:ilvl w:val="3"/>
          <w:numId w:val="10"/>
        </w:numPr>
        <w:spacing w:line="360" w:lineRule="auto"/>
        <w:ind w:firstLineChars="0"/>
        <w:jc w:val="left"/>
        <w:rPr>
          <w:rFonts w:ascii="宋体" w:hAnsi="宋体"/>
          <w:szCs w:val="21"/>
        </w:rPr>
      </w:pPr>
      <w:bookmarkStart w:id="17"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7"/>
      <w:r>
        <w:rPr>
          <w:rFonts w:hint="eastAsia" w:ascii="宋体" w:hAnsi="宋体" w:cs="宋体"/>
          <w:szCs w:val="21"/>
        </w:rPr>
        <w:t>得分。</w:t>
      </w:r>
    </w:p>
    <w:p w14:paraId="27E7C87F">
      <w:pPr>
        <w:pStyle w:val="32"/>
        <w:widowControl/>
        <w:numPr>
          <w:ilvl w:val="3"/>
          <w:numId w:val="10"/>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32"/>
        <w:widowControl/>
        <w:numPr>
          <w:ilvl w:val="3"/>
          <w:numId w:val="10"/>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6"/>
        <w:widowControl/>
        <w:numPr>
          <w:ilvl w:val="0"/>
          <w:numId w:val="10"/>
        </w:numPr>
        <w:spacing w:line="360" w:lineRule="auto"/>
        <w:ind w:left="425" w:leftChars="0" w:hanging="425" w:firstLineChars="0"/>
        <w:jc w:val="left"/>
        <w:outlineLvl w:val="1"/>
        <w:rPr>
          <w:rFonts w:ascii="宋体" w:hAnsi="宋体"/>
          <w:b/>
          <w:szCs w:val="21"/>
        </w:rPr>
      </w:pPr>
      <w:r>
        <w:rPr>
          <w:rFonts w:hint="eastAsia" w:ascii="宋体" w:hAnsi="宋体"/>
          <w:b/>
          <w:szCs w:val="21"/>
        </w:rPr>
        <w:t>定标</w:t>
      </w:r>
    </w:p>
    <w:p w14:paraId="4BEC88FB">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32"/>
        <w:widowControl/>
        <w:numPr>
          <w:ilvl w:val="0"/>
          <w:numId w:val="10"/>
        </w:numPr>
        <w:spacing w:line="360" w:lineRule="auto"/>
        <w:ind w:left="425" w:leftChars="0" w:hanging="425" w:firstLineChars="0"/>
        <w:jc w:val="left"/>
        <w:outlineLvl w:val="1"/>
        <w:rPr>
          <w:rFonts w:ascii="宋体" w:hAnsi="宋体"/>
          <w:b/>
          <w:szCs w:val="21"/>
        </w:rPr>
      </w:pPr>
      <w:r>
        <w:rPr>
          <w:rFonts w:ascii="宋体" w:hAnsi="宋体"/>
          <w:b/>
          <w:szCs w:val="21"/>
        </w:rPr>
        <w:t>特别说明</w:t>
      </w:r>
    </w:p>
    <w:p w14:paraId="70EEA8B4">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有下列情形之一的，视为投标人串通投标，其投标无效：</w:t>
      </w:r>
    </w:p>
    <w:p w14:paraId="776BF247">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32"/>
        <w:widowControl/>
        <w:numPr>
          <w:ilvl w:val="2"/>
          <w:numId w:val="10"/>
        </w:numPr>
        <w:spacing w:line="360" w:lineRule="auto"/>
        <w:ind w:left="709" w:leftChars="0" w:hanging="709" w:firstLineChars="0"/>
        <w:jc w:val="left"/>
        <w:outlineLvl w:val="9"/>
        <w:rPr>
          <w:rFonts w:ascii="宋体" w:hAnsi="宋体"/>
          <w:szCs w:val="21"/>
        </w:rPr>
      </w:pPr>
      <w:r>
        <w:rPr>
          <w:rFonts w:hint="eastAsia" w:ascii="宋体" w:hAnsi="宋体"/>
          <w:szCs w:val="21"/>
        </w:rPr>
        <w:t>不同投标人的投标文件相互混装；</w:t>
      </w:r>
    </w:p>
    <w:p w14:paraId="2FAB76F9">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投标人存在下列情况之一的，投标无效：</w:t>
      </w:r>
    </w:p>
    <w:p w14:paraId="2B978D1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55F4A46C">
      <w:pPr>
        <w:pStyle w:val="32"/>
        <w:widowControl/>
        <w:numPr>
          <w:ilvl w:val="2"/>
          <w:numId w:val="10"/>
        </w:numPr>
        <w:spacing w:line="360" w:lineRule="auto"/>
        <w:ind w:firstLineChars="0"/>
        <w:jc w:val="left"/>
        <w:rPr>
          <w:rFonts w:hint="eastAsia" w:ascii="宋体" w:hAnsi="宋体"/>
          <w:szCs w:val="21"/>
        </w:rPr>
      </w:pPr>
      <w:r>
        <w:rPr>
          <w:rFonts w:hint="eastAsia" w:ascii="宋体" w:hAnsi="宋体"/>
          <w:szCs w:val="21"/>
        </w:rPr>
        <w:t>法律、法规和招标文件规定的其他无效情形。</w:t>
      </w:r>
    </w:p>
    <w:p w14:paraId="32DBCFA2">
      <w:pPr>
        <w:pStyle w:val="32"/>
        <w:widowControl/>
        <w:numPr>
          <w:ilvl w:val="1"/>
          <w:numId w:val="10"/>
        </w:numPr>
        <w:spacing w:line="360" w:lineRule="auto"/>
        <w:ind w:left="567" w:leftChars="0" w:hanging="567" w:firstLineChars="0"/>
        <w:jc w:val="left"/>
        <w:rPr>
          <w:rFonts w:hint="eastAsia" w:ascii="宋体" w:hAnsi="宋体"/>
          <w:szCs w:val="21"/>
        </w:rPr>
      </w:pPr>
      <w:r>
        <w:rPr>
          <w:rFonts w:hint="eastAsia" w:ascii="宋体" w:hAnsi="宋体"/>
          <w:szCs w:val="21"/>
        </w:rPr>
        <w:t>废标</w:t>
      </w:r>
    </w:p>
    <w:p w14:paraId="10C28F40">
      <w:pPr>
        <w:pStyle w:val="32"/>
        <w:widowControl/>
        <w:numPr>
          <w:ilvl w:val="2"/>
          <w:numId w:val="10"/>
        </w:numPr>
        <w:spacing w:line="360" w:lineRule="auto"/>
        <w:ind w:left="709" w:leftChars="0" w:hanging="709" w:firstLineChars="0"/>
        <w:jc w:val="left"/>
        <w:outlineLvl w:val="9"/>
        <w:rPr>
          <w:rFonts w:ascii="宋体" w:hAnsi="宋体"/>
          <w:szCs w:val="21"/>
        </w:rPr>
      </w:pPr>
      <w:r>
        <w:rPr>
          <w:rFonts w:ascii="宋体" w:hAnsi="宋体"/>
          <w:szCs w:val="21"/>
        </w:rPr>
        <w:t>在招标采购中，出现下列情形之一的，应予废标</w:t>
      </w:r>
      <w:r>
        <w:rPr>
          <w:rFonts w:hint="eastAsia" w:ascii="宋体" w:hAnsi="宋体"/>
          <w:szCs w:val="21"/>
        </w:rPr>
        <w:t>。</w:t>
      </w:r>
    </w:p>
    <w:p w14:paraId="7667ED95">
      <w:pPr>
        <w:pStyle w:val="32"/>
        <w:widowControl/>
        <w:numPr>
          <w:ilvl w:val="2"/>
          <w:numId w:val="10"/>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32"/>
        <w:widowControl/>
        <w:numPr>
          <w:ilvl w:val="2"/>
          <w:numId w:val="10"/>
        </w:numPr>
        <w:spacing w:line="360" w:lineRule="auto"/>
        <w:ind w:firstLineChars="0"/>
        <w:jc w:val="left"/>
        <w:rPr>
          <w:rFonts w:ascii="宋体" w:hAnsi="宋体"/>
          <w:szCs w:val="21"/>
        </w:rPr>
      </w:pPr>
      <w:r>
        <w:rPr>
          <w:rFonts w:ascii="宋体" w:hAnsi="宋体"/>
          <w:szCs w:val="21"/>
        </w:rPr>
        <w:t>出现影响采购公正的违法、违规行为的；</w:t>
      </w:r>
    </w:p>
    <w:p w14:paraId="55C2363F">
      <w:pPr>
        <w:pStyle w:val="32"/>
        <w:widowControl/>
        <w:numPr>
          <w:ilvl w:val="2"/>
          <w:numId w:val="10"/>
        </w:numPr>
        <w:spacing w:line="360" w:lineRule="auto"/>
        <w:ind w:firstLineChars="0"/>
        <w:jc w:val="left"/>
        <w:rPr>
          <w:rFonts w:ascii="宋体" w:hAnsi="宋体"/>
          <w:szCs w:val="21"/>
        </w:rPr>
      </w:pPr>
      <w:r>
        <w:rPr>
          <w:rFonts w:ascii="宋体" w:hAnsi="宋体"/>
          <w:szCs w:val="21"/>
        </w:rPr>
        <w:t>投标人的报价均超过了采购预算，采购人不能支付的；</w:t>
      </w:r>
    </w:p>
    <w:p w14:paraId="4B57E99D">
      <w:pPr>
        <w:pStyle w:val="32"/>
        <w:widowControl/>
        <w:numPr>
          <w:ilvl w:val="2"/>
          <w:numId w:val="10"/>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14:paraId="462F3870">
      <w:pPr>
        <w:pStyle w:val="32"/>
        <w:widowControl/>
        <w:numPr>
          <w:ilvl w:val="0"/>
          <w:numId w:val="10"/>
        </w:numPr>
        <w:spacing w:line="360" w:lineRule="auto"/>
        <w:ind w:left="425" w:leftChars="0" w:hanging="425" w:firstLineChars="0"/>
        <w:jc w:val="left"/>
        <w:outlineLvl w:val="1"/>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1FF9DAA">
      <w:pPr>
        <w:pStyle w:val="32"/>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6.2. 该项目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6.3. </w:t>
      </w:r>
      <w:r>
        <w:rPr>
          <w:rFonts w:hint="eastAsia" w:cs="Arial" w:asciiTheme="minorEastAsia" w:hAnsiTheme="minorEastAsia" w:eastAsiaTheme="minorEastAsia"/>
          <w:bCs/>
          <w:kern w:val="0"/>
          <w:szCs w:val="21"/>
        </w:rPr>
        <w:t>本项目不安排现场踏勘。</w:t>
      </w:r>
    </w:p>
    <w:p w14:paraId="4C27887E">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6.4. </w:t>
      </w:r>
      <w:r>
        <w:rPr>
          <w:rFonts w:hint="eastAsia" w:cs="Arial" w:asciiTheme="minorEastAsia" w:hAnsiTheme="minorEastAsia" w:eastAsiaTheme="minorEastAsia"/>
          <w:bCs/>
          <w:kern w:val="0"/>
          <w:szCs w:val="21"/>
        </w:rPr>
        <w:t>本项目不安排现场演示。</w:t>
      </w:r>
    </w:p>
    <w:p w14:paraId="013A9618">
      <w:pPr>
        <w:pStyle w:val="32"/>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6.5.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6.6.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32"/>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6.7.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3CAB0B6D">
      <w:pPr>
        <w:pStyle w:val="32"/>
        <w:widowControl/>
        <w:numPr>
          <w:ilvl w:val="0"/>
          <w:numId w:val="0"/>
        </w:numPr>
        <w:spacing w:line="360" w:lineRule="auto"/>
        <w:ind w:leftChars="0"/>
        <w:jc w:val="left"/>
        <w:rPr>
          <w:rFonts w:hint="default" w:asciiTheme="minorEastAsia" w:hAnsiTheme="minorEastAsia"/>
          <w:szCs w:val="21"/>
          <w:lang w:val="en-US" w:eastAsia="zh-CN"/>
        </w:rPr>
      </w:pPr>
    </w:p>
    <w:p w14:paraId="1025FF3E">
      <w:pPr>
        <w:rPr>
          <w:rFonts w:ascii="宋体" w:hAnsi="宋体"/>
          <w:szCs w:val="21"/>
        </w:rPr>
      </w:pPr>
      <w:r>
        <w:rPr>
          <w:rFonts w:hint="eastAsia" w:ascii="宋体" w:hAnsi="宋体"/>
          <w:szCs w:val="21"/>
        </w:rPr>
        <w:br w:type="page"/>
      </w:r>
    </w:p>
    <w:p w14:paraId="1B56CBFB">
      <w:pPr>
        <w:pStyle w:val="3"/>
        <w:numPr>
          <w:ilvl w:val="0"/>
          <w:numId w:val="0"/>
        </w:numPr>
        <w:spacing w:line="240" w:lineRule="auto"/>
        <w:ind w:leftChars="0"/>
        <w:jc w:val="center"/>
        <w:outlineLvl w:val="0"/>
        <w:rPr>
          <w:rFonts w:asciiTheme="majorEastAsia" w:hAnsiTheme="majorEastAsia" w:eastAsiaTheme="majorEastAsia"/>
          <w:sz w:val="32"/>
          <w:szCs w:val="32"/>
        </w:rPr>
      </w:pPr>
      <w:bookmarkStart w:id="18" w:name="_Toc8080"/>
      <w:bookmarkStart w:id="19" w:name="_Toc435515292"/>
      <w:bookmarkStart w:id="20" w:name="_Toc1246"/>
      <w:bookmarkStart w:id="21" w:name="_Toc435514852"/>
      <w:bookmarkStart w:id="22" w:name="_Toc14800"/>
      <w:r>
        <w:rPr>
          <w:rFonts w:hint="eastAsia" w:asciiTheme="majorEastAsia" w:hAnsiTheme="majorEastAsia" w:eastAsiaTheme="majorEastAsia"/>
          <w:sz w:val="32"/>
          <w:szCs w:val="32"/>
          <w:lang w:val="en-US" w:eastAsia="zh-CN"/>
        </w:rPr>
        <w:t xml:space="preserve">第五章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8"/>
      <w:bookmarkEnd w:id="19"/>
      <w:bookmarkEnd w:id="20"/>
      <w:bookmarkEnd w:id="21"/>
      <w:bookmarkEnd w:id="22"/>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5DD6665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4F96A7D5">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24E0C28B">
            <w:pPr>
              <w:pStyle w:val="5"/>
              <w:keepNext w:val="0"/>
              <w:keepLines w:val="0"/>
              <w:suppressLineNumbers w:val="0"/>
              <w:spacing w:before="0" w:beforeAutospacing="0" w:afterAutospacing="0" w:line="360" w:lineRule="auto"/>
              <w:ind w:left="0" w:right="0"/>
              <w:jc w:val="center"/>
              <w:rPr>
                <w:rFonts w:hint="default" w:ascii="黑体" w:eastAsia="黑体"/>
                <w:b/>
                <w:sz w:val="72"/>
                <w:szCs w:val="72"/>
              </w:rPr>
            </w:pPr>
            <w:r>
              <w:rPr>
                <w:rFonts w:hint="eastAsia" w:ascii="黑体" w:eastAsia="黑体"/>
                <w:b/>
                <w:sz w:val="72"/>
                <w:szCs w:val="72"/>
              </w:rPr>
              <w:t>投 标 文 件</w:t>
            </w:r>
          </w:p>
          <w:p w14:paraId="056E2451">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408DEE70">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F535991">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8F76FDC">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投标人名称：</w:t>
            </w:r>
          </w:p>
          <w:p w14:paraId="3E773E6D">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投标人地址：</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eastAsia" w:ascii="仿宋_GB2312" w:eastAsia="仿宋_GB2312"/>
                <w:b/>
                <w:sz w:val="28"/>
                <w:szCs w:val="28"/>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default" w:ascii="仿宋_GB2312" w:eastAsia="仿宋_GB2312"/>
                <w:b/>
                <w:sz w:val="32"/>
              </w:rPr>
            </w:pPr>
            <w:r>
              <w:rPr>
                <w:rFonts w:hint="eastAsia" w:ascii="仿宋_GB2312" w:eastAsia="仿宋_GB2312"/>
                <w:b/>
                <w:sz w:val="28"/>
                <w:szCs w:val="28"/>
              </w:rPr>
              <w:t>开标之前不得启封</w:t>
            </w:r>
          </w:p>
        </w:tc>
      </w:tr>
    </w:tbl>
    <w:p w14:paraId="24A46D78">
      <w:bookmarkStart w:id="23" w:name="_Toc435514865"/>
      <w:bookmarkStart w:id="24" w:name="_Toc435515305"/>
      <w:r>
        <w:rPr>
          <w:rFonts w:hint="eastAsia"/>
        </w:rPr>
        <w:br w:type="page"/>
      </w:r>
    </w:p>
    <w:p w14:paraId="5B3C692F">
      <w:pPr>
        <w:pStyle w:val="3"/>
        <w:numPr>
          <w:ilvl w:val="0"/>
          <w:numId w:val="0"/>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5" w:name="_Toc28307"/>
      <w:bookmarkStart w:id="26" w:name="_Toc29334"/>
      <w:r>
        <w:rPr>
          <w:rFonts w:hint="eastAsia" w:cs="宋体" w:asciiTheme="majorEastAsia" w:hAnsiTheme="majorEastAsia" w:eastAsiaTheme="majorEastAsia"/>
          <w:kern w:val="2"/>
          <w:sz w:val="30"/>
          <w:szCs w:val="30"/>
          <w:lang w:val="en-US" w:eastAsia="zh-CN" w:bidi="ar-SA"/>
        </w:rPr>
        <w:t>（一）资格性自查表</w:t>
      </w:r>
    </w:p>
    <w:tbl>
      <w:tblPr>
        <w:tblStyle w:val="16"/>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keepNext w:val="0"/>
              <w:keepLines w:val="0"/>
              <w:suppressLineNumbers w:val="0"/>
              <w:spacing w:before="0" w:beforeAutospacing="0" w:after="0" w:afterAutospacing="0"/>
              <w:ind w:left="36" w:leftChars="17" w:right="0"/>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keepNext w:val="0"/>
              <w:keepLines w:val="0"/>
              <w:suppressLineNumbers w:val="0"/>
              <w:spacing w:before="0" w:beforeAutospacing="0" w:after="0" w:afterAutospacing="0"/>
              <w:ind w:left="0"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0"/>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（二）符合性自查表</w:t>
      </w:r>
    </w:p>
    <w:tbl>
      <w:tblPr>
        <w:tblStyle w:val="16"/>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（三）警示情形自查确认表</w:t>
      </w: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611745D">
      <w:pPr>
        <w:pStyle w:val="3"/>
        <w:numPr>
          <w:ilvl w:val="0"/>
          <w:numId w:val="9"/>
        </w:numPr>
        <w:spacing w:line="240" w:lineRule="auto"/>
        <w:ind w:left="0" w:leftChars="0" w:firstLine="0" w:firstLineChars="0"/>
        <w:jc w:val="center"/>
        <w:outlineLvl w:val="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综合评分指引</w:t>
      </w:r>
    </w:p>
    <w:p w14:paraId="168FCB66">
      <w:pPr>
        <w:adjustRightInd w:val="0"/>
        <w:snapToGrid w:val="0"/>
        <w:spacing w:line="30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请投标人按照招标文件</w:t>
      </w:r>
      <w:r>
        <w:rPr>
          <w:rFonts w:hint="eastAsia" w:ascii="宋体" w:hAnsi="宋体"/>
          <w:b/>
          <w:szCs w:val="21"/>
        </w:rPr>
        <w:t>评标信息评分细则表</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14:paraId="257ABC5B">
      <w:pPr>
        <w:adjustRightInd w:val="0"/>
        <w:snapToGrid w:val="0"/>
        <w:spacing w:line="300" w:lineRule="auto"/>
        <w:rPr>
          <w:rFonts w:ascii="宋体" w:hAnsi="宋体"/>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2636"/>
        <w:gridCol w:w="3367"/>
      </w:tblGrid>
      <w:tr w14:paraId="58E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01" w:type="dxa"/>
            <w:vAlign w:val="center"/>
          </w:tcPr>
          <w:p w14:paraId="7098C0A7">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评分因素</w:t>
            </w:r>
          </w:p>
        </w:tc>
        <w:tc>
          <w:tcPr>
            <w:tcW w:w="2636" w:type="dxa"/>
            <w:vAlign w:val="center"/>
          </w:tcPr>
          <w:p w14:paraId="2F23BF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评分准则</w:t>
            </w:r>
          </w:p>
        </w:tc>
        <w:tc>
          <w:tcPr>
            <w:tcW w:w="3367" w:type="dxa"/>
            <w:vAlign w:val="center"/>
          </w:tcPr>
          <w:p w14:paraId="097497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证明文件</w:t>
            </w:r>
          </w:p>
        </w:tc>
      </w:tr>
      <w:tr w14:paraId="44BB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01" w:type="dxa"/>
            <w:vAlign w:val="center"/>
          </w:tcPr>
          <w:p w14:paraId="4C8851E2">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24BA1A3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28CF5B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7C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001" w:type="dxa"/>
            <w:vAlign w:val="center"/>
          </w:tcPr>
          <w:p w14:paraId="61AE6F4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7BF120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7FC4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6A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01" w:type="dxa"/>
            <w:vAlign w:val="center"/>
          </w:tcPr>
          <w:p w14:paraId="725CDC1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F7544B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00DAD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5F6D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01" w:type="dxa"/>
            <w:vAlign w:val="center"/>
          </w:tcPr>
          <w:p w14:paraId="133B850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D6C3D8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8257C3">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24C0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0E5EF5F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C0DE59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2D667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D7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6E5F3AE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18F6629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5A69511D">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r w14:paraId="09B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7360DA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0D1FA4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7C5C56C">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bl>
    <w:p w14:paraId="360D7A47">
      <w:pPr>
        <w:numPr>
          <w:ilvl w:val="0"/>
          <w:numId w:val="0"/>
        </w:numPr>
        <w:ind w:leftChars="0"/>
        <w:rPr>
          <w:rFonts w:hint="eastAsia"/>
          <w:lang w:val="en-US" w:eastAsia="zh-CN"/>
        </w:rPr>
      </w:pPr>
    </w:p>
    <w:p w14:paraId="1B2C3062">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3652D17">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163C87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CA0D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24022B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C0E4DD3">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7186ED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48117D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D3A274">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F674D68">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4115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D7BB6C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6D7C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（五）</w:t>
      </w:r>
      <w:r>
        <w:rPr>
          <w:rFonts w:hint="eastAsia" w:asciiTheme="majorEastAsia" w:hAnsiTheme="majorEastAsia" w:eastAsiaTheme="majorEastAsia"/>
          <w:sz w:val="30"/>
          <w:szCs w:val="30"/>
          <w:lang w:val="en-US" w:eastAsia="zh-CN"/>
        </w:rPr>
        <w:t>营业执</w:t>
      </w:r>
      <w:r>
        <w:rPr>
          <w:rFonts w:hint="eastAsia" w:cs="宋体" w:asciiTheme="majorEastAsia" w:hAnsiTheme="majorEastAsia" w:eastAsiaTheme="majorEastAsia"/>
          <w:sz w:val="30"/>
          <w:szCs w:val="30"/>
        </w:rPr>
        <w:t>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5"/>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（六）诚信及信用信息证明</w:t>
      </w:r>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如有）（http://www.gjsy.gov.cn/sydwfrxxcx/）、全国社会组织信用信息公示平台（如有）（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7" w:name="_Toc12322"/>
      <w:r>
        <w:rPr>
          <w:rFonts w:hint="eastAsia" w:cs="宋体" w:asciiTheme="majorEastAsia" w:hAnsiTheme="majorEastAsia" w:eastAsiaTheme="majorEastAsia"/>
          <w:kern w:val="2"/>
          <w:sz w:val="30"/>
          <w:szCs w:val="30"/>
          <w:lang w:val="en-US" w:eastAsia="zh-CN" w:bidi="ar-SA"/>
        </w:rPr>
        <w:t>（七）</w:t>
      </w:r>
      <w:r>
        <w:rPr>
          <w:rFonts w:hint="eastAsia" w:asciiTheme="majorEastAsia" w:hAnsiTheme="majorEastAsia" w:eastAsiaTheme="majorEastAsia"/>
          <w:sz w:val="30"/>
          <w:szCs w:val="30"/>
        </w:rPr>
        <w:t>供应商基本情况表</w:t>
      </w:r>
      <w:bookmarkEnd w:id="27"/>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45A0A5D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1B42BE4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93FE52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83A26E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5FD7B4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19B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2F47493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D911DD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C0051F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48729E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E035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D102E7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5A708A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50CDBC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39CE7BC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B62990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BC94FC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6B2E6F3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2A7418A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28" w:name="_Toc30875"/>
      <w:bookmarkStart w:id="29" w:name="_Toc2074"/>
      <w:r>
        <w:rPr>
          <w:rFonts w:hint="eastAsia" w:cs="宋体" w:asciiTheme="majorEastAsia" w:hAnsiTheme="majorEastAsia" w:eastAsiaTheme="majorEastAsia"/>
          <w:color w:val="auto"/>
          <w:kern w:val="2"/>
          <w:sz w:val="30"/>
          <w:szCs w:val="30"/>
          <w:lang w:val="en-US" w:eastAsia="zh-CN" w:bidi="ar-SA"/>
        </w:rPr>
        <w:t>（八）</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28"/>
      <w:bookmarkEnd w:id="29"/>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9"/>
        <w:spacing w:before="120" w:after="120" w:line="276" w:lineRule="auto"/>
        <w:ind w:left="0" w:leftChars="0" w:firstLine="0" w:firstLineChars="0"/>
        <w:rPr>
          <w:rFonts w:hint="eastAsia"/>
          <w:b/>
          <w:color w:val="auto"/>
          <w:sz w:val="24"/>
        </w:rPr>
      </w:pPr>
    </w:p>
    <w:p w14:paraId="4B1D9CBC">
      <w:pPr>
        <w:pStyle w:val="29"/>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0" w:name="_Hlk72259001"/>
      <w:r>
        <w:rPr>
          <w:rFonts w:hint="eastAsia"/>
          <w:b/>
          <w:bCs/>
          <w:color w:val="auto"/>
        </w:rPr>
        <w:t>招标文件</w:t>
      </w:r>
      <w:bookmarkEnd w:id="30"/>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5"/>
        <w:rPr>
          <w:color w:val="auto"/>
        </w:rPr>
      </w:pPr>
    </w:p>
    <w:p w14:paraId="04F8DE87">
      <w:pPr>
        <w:spacing w:after="60"/>
        <w:jc w:val="center"/>
        <w:outlineLvl w:val="1"/>
        <w:rPr>
          <w:b/>
          <w:color w:val="auto"/>
        </w:rPr>
      </w:pPr>
      <w:r>
        <w:rPr>
          <w:rFonts w:hint="eastAsia"/>
          <w:b/>
          <w:color w:val="auto"/>
        </w:rPr>
        <w:t>1、中小企业声明函</w:t>
      </w:r>
    </w:p>
    <w:p w14:paraId="260C3881">
      <w:pPr>
        <w:pStyle w:val="5"/>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5"/>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5"/>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1"/>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1"/>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5"/>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1" w:name="_Toc824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开标一览表(报价表)</w:t>
      </w:r>
      <w:bookmarkEnd w:id="26"/>
      <w:bookmarkEnd w:id="31"/>
    </w:p>
    <w:bookmarkEnd w:id="23"/>
    <w:bookmarkEnd w:id="24"/>
    <w:tbl>
      <w:tblPr>
        <w:tblStyle w:val="16"/>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65"/>
        <w:gridCol w:w="1870"/>
        <w:gridCol w:w="1435"/>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8" w:type="dxa"/>
            <w:tcBorders>
              <w:top w:val="single" w:color="auto" w:sz="12" w:space="0"/>
              <w:bottom w:val="single" w:color="auto" w:sz="12" w:space="0"/>
            </w:tcBorders>
            <w:shd w:val="clear" w:color="auto" w:fill="EEECE1"/>
            <w:vAlign w:val="center"/>
          </w:tcPr>
          <w:p w14:paraId="12F100D1">
            <w:pPr>
              <w:keepNext w:val="0"/>
              <w:keepLines w:val="0"/>
              <w:suppressLineNumbers w:val="0"/>
              <w:spacing w:before="0" w:beforeAutospacing="0" w:after="0" w:afterAutospacing="0"/>
              <w:ind w:left="0" w:right="0"/>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1665" w:type="dxa"/>
            <w:tcBorders>
              <w:top w:val="single" w:color="auto" w:sz="12" w:space="0"/>
              <w:bottom w:val="single" w:color="auto" w:sz="12" w:space="0"/>
            </w:tcBorders>
            <w:shd w:val="clear" w:color="auto" w:fill="EEECE1"/>
            <w:vAlign w:val="center"/>
          </w:tcPr>
          <w:p w14:paraId="7DF2F416">
            <w:pPr>
              <w:keepNext w:val="0"/>
              <w:keepLines w:val="0"/>
              <w:suppressLineNumbers w:val="0"/>
              <w:spacing w:before="0" w:beforeAutospacing="0" w:after="0" w:afterAutospacing="0"/>
              <w:ind w:left="0" w:right="0"/>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870" w:type="dxa"/>
            <w:tcBorders>
              <w:top w:val="single" w:color="auto" w:sz="12" w:space="0"/>
              <w:bottom w:val="single" w:color="auto" w:sz="12" w:space="0"/>
            </w:tcBorders>
            <w:shd w:val="clear" w:color="auto" w:fill="EEECE1"/>
            <w:vAlign w:val="center"/>
          </w:tcPr>
          <w:p w14:paraId="760D13ED">
            <w:pPr>
              <w:keepNext w:val="0"/>
              <w:keepLines w:val="0"/>
              <w:suppressLineNumbers w:val="0"/>
              <w:tabs>
                <w:tab w:val="left" w:pos="8364"/>
              </w:tabs>
              <w:snapToGrid w:val="0"/>
              <w:spacing w:before="0" w:beforeAutospacing="0" w:after="0" w:afterAutospacing="0"/>
              <w:ind w:left="0" w:right="-58"/>
              <w:jc w:val="center"/>
              <w:rPr>
                <w:rFonts w:hint="eastAsia" w:ascii="宋体" w:hAnsi="宋体" w:eastAsia="宋体" w:cs="宋体"/>
                <w:b/>
                <w:szCs w:val="21"/>
                <w:highlight w:val="none"/>
              </w:rPr>
            </w:pPr>
            <w:r>
              <w:rPr>
                <w:rFonts w:hint="eastAsia" w:ascii="宋体" w:hAnsi="宋体" w:eastAsia="宋体" w:cs="宋体"/>
                <w:b/>
                <w:szCs w:val="21"/>
                <w:highlight w:val="none"/>
              </w:rPr>
              <w:t>制造商、原产地</w:t>
            </w:r>
          </w:p>
          <w:p w14:paraId="0FC0ABDC">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435" w:type="dxa"/>
            <w:tcBorders>
              <w:top w:val="single" w:color="auto" w:sz="12" w:space="0"/>
              <w:bottom w:val="single" w:color="auto" w:sz="12" w:space="0"/>
            </w:tcBorders>
            <w:shd w:val="clear" w:color="auto" w:fill="EEECE1"/>
            <w:vAlign w:val="center"/>
          </w:tcPr>
          <w:p w14:paraId="65458354">
            <w:pPr>
              <w:keepNext w:val="0"/>
              <w:keepLines w:val="0"/>
              <w:suppressLineNumbers w:val="0"/>
              <w:spacing w:before="0" w:beforeAutospacing="0" w:after="0" w:afterAutospacing="0"/>
              <w:ind w:left="0" w:right="0"/>
              <w:jc w:val="center"/>
              <w:rPr>
                <w:rFonts w:hint="eastAsia" w:ascii="宋体" w:hAnsi="宋体" w:cs="宋体"/>
                <w:b/>
                <w:color w:val="FF0000"/>
                <w:szCs w:val="21"/>
                <w:highlight w:val="none"/>
                <w:lang w:eastAsia="zh-CN"/>
              </w:rPr>
            </w:pPr>
            <w:r>
              <w:rPr>
                <w:rFonts w:hint="eastAsia" w:ascii="宋体" w:hAnsi="宋体" w:eastAsia="宋体" w:cs="宋体"/>
                <w:b/>
                <w:szCs w:val="21"/>
                <w:highlight w:val="none"/>
              </w:rPr>
              <w:t>品牌、型号</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078" w:type="dxa"/>
            <w:tcBorders>
              <w:top w:val="single" w:color="auto" w:sz="12" w:space="0"/>
              <w:bottom w:val="single" w:color="auto" w:sz="12" w:space="0"/>
            </w:tcBorders>
            <w:shd w:val="clear" w:color="auto" w:fill="EEECE1"/>
            <w:vAlign w:val="center"/>
          </w:tcPr>
          <w:p w14:paraId="0DE0CD21">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single" w:color="auto" w:sz="12" w:space="0"/>
            </w:tcBorders>
            <w:shd w:val="clear" w:color="auto" w:fill="EEECE1"/>
            <w:vAlign w:val="center"/>
          </w:tcPr>
          <w:p w14:paraId="07C9EA11">
            <w:pPr>
              <w:keepNext w:val="0"/>
              <w:keepLines w:val="0"/>
              <w:suppressLineNumbers w:val="0"/>
              <w:spacing w:before="0" w:beforeAutospacing="0" w:after="0" w:afterAutospacing="0"/>
              <w:ind w:left="0" w:right="0"/>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万元）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638" w:type="dxa"/>
            <w:tcBorders>
              <w:top w:val="single" w:color="auto" w:sz="12" w:space="0"/>
              <w:bottom w:val="single" w:color="auto" w:sz="12" w:space="0"/>
            </w:tcBorders>
            <w:vAlign w:val="center"/>
          </w:tcPr>
          <w:p w14:paraId="27FCC3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665" w:type="dxa"/>
            <w:tcBorders>
              <w:top w:val="single" w:color="auto" w:sz="12" w:space="0"/>
              <w:bottom w:val="single" w:color="auto" w:sz="12" w:space="0"/>
            </w:tcBorders>
            <w:vAlign w:val="center"/>
          </w:tcPr>
          <w:p w14:paraId="431C6ED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napToGrid/>
                <w:color w:val="auto"/>
                <w:spacing w:val="0"/>
                <w:kern w:val="2"/>
                <w:sz w:val="21"/>
                <w:szCs w:val="24"/>
                <w:lang w:val="en-US" w:eastAsia="zh-CN" w:bidi="ar-SA"/>
              </w:rPr>
            </w:pPr>
          </w:p>
        </w:tc>
        <w:tc>
          <w:tcPr>
            <w:tcW w:w="1870" w:type="dxa"/>
            <w:tcBorders>
              <w:top w:val="single" w:color="auto" w:sz="12" w:space="0"/>
              <w:bottom w:val="single" w:color="auto" w:sz="12" w:space="0"/>
            </w:tcBorders>
            <w:vAlign w:val="center"/>
          </w:tcPr>
          <w:p w14:paraId="53030D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435" w:type="dxa"/>
            <w:tcBorders>
              <w:top w:val="single" w:color="auto" w:sz="12" w:space="0"/>
              <w:bottom w:val="single" w:color="auto" w:sz="12" w:space="0"/>
            </w:tcBorders>
            <w:vAlign w:val="center"/>
          </w:tcPr>
          <w:p w14:paraId="5CAF2A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078" w:type="dxa"/>
            <w:tcBorders>
              <w:top w:val="single" w:color="auto" w:sz="12" w:space="0"/>
              <w:bottom w:val="single" w:color="auto" w:sz="12" w:space="0"/>
            </w:tcBorders>
            <w:vAlign w:val="center"/>
          </w:tcPr>
          <w:p w14:paraId="7E633B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single" w:color="auto" w:sz="12" w:space="0"/>
              <w:bottom w:val="single" w:color="auto" w:sz="12" w:space="0"/>
            </w:tcBorders>
            <w:vAlign w:val="center"/>
          </w:tcPr>
          <w:p w14:paraId="6885F932">
            <w:pPr>
              <w:pStyle w:val="30"/>
              <w:keepLines w:val="0"/>
              <w:suppressLineNumbers w:val="0"/>
              <w:spacing w:beforeAutospacing="0" w:afterAutospacing="0" w:line="240" w:lineRule="auto"/>
              <w:ind w:left="0" w:right="0"/>
              <w:rPr>
                <w:rFonts w:hint="default" w:ascii="宋体"/>
                <w:bCs/>
                <w:color w:val="auto"/>
                <w:szCs w:val="21"/>
                <w:u w:val="single"/>
              </w:rPr>
            </w:pPr>
          </w:p>
        </w:tc>
      </w:tr>
      <w:tr w14:paraId="7168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298" w:type="dxa"/>
            <w:gridSpan w:val="6"/>
            <w:tcBorders>
              <w:top w:val="single" w:color="auto" w:sz="12" w:space="0"/>
              <w:bottom w:val="single" w:color="auto" w:sz="12" w:space="0"/>
            </w:tcBorders>
            <w:vAlign w:val="center"/>
          </w:tcPr>
          <w:p w14:paraId="366CD76F">
            <w:pPr>
              <w:keepNext w:val="0"/>
              <w:keepLines w:val="0"/>
              <w:suppressLineNumbers w:val="0"/>
              <w:spacing w:before="0" w:beforeAutospacing="0" w:after="0" w:afterAutospacing="0"/>
              <w:ind w:left="0" w:right="0"/>
              <w:jc w:val="left"/>
              <w:rPr>
                <w:rFonts w:hint="default" w:ascii="宋体"/>
                <w:bCs/>
                <w:color w:val="auto"/>
                <w:szCs w:val="21"/>
                <w:u w:val="single"/>
                <w:lang w:val="en-US"/>
              </w:rPr>
            </w:pPr>
            <w:r>
              <w:rPr>
                <w:rFonts w:hint="eastAsia" w:hAnsi="宋体"/>
                <w:b/>
                <w:color w:val="auto"/>
                <w:vertAlign w:val="baseline"/>
                <w:lang w:val="en-US" w:eastAsia="zh-CN"/>
              </w:rPr>
              <w:t>投标报价（人民币 万元）小写：                大写：</w:t>
            </w:r>
          </w:p>
        </w:tc>
      </w:tr>
    </w:tbl>
    <w:p w14:paraId="2F8AE64B">
      <w:pPr>
        <w:pStyle w:val="31"/>
      </w:pPr>
    </w:p>
    <w:p w14:paraId="3E7E1871">
      <w:pPr>
        <w:pStyle w:val="31"/>
      </w:pPr>
    </w:p>
    <w:p w14:paraId="65FD6EFB">
      <w:pPr>
        <w:pStyle w:val="31"/>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outlineLvl w:val="9"/>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5"/>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1"/>
        </w:numPr>
        <w:tabs>
          <w:tab w:val="left" w:pos="360"/>
          <w:tab w:val="clear" w:pos="1620"/>
        </w:tabs>
        <w:snapToGrid w:val="0"/>
        <w:spacing w:line="360" w:lineRule="auto"/>
        <w:ind w:left="360" w:leftChars="0" w:hanging="360" w:firstLineChars="0"/>
        <w:outlineLvl w:val="9"/>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1"/>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1"/>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015DCFDE">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详细填写所投货物的制造商名称；若所投产品属于定制类的非量产货物或无具体品牌型号的货物，可以不填写品牌、型号等信息，但应当标注投标产品为定制产品。招标文件已要求提供核心产品的，供应商必须明确所投核心产品的品牌。</w:t>
      </w:r>
    </w:p>
    <w:p w14:paraId="3DCB839C">
      <w:pPr>
        <w:pStyle w:val="5"/>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57D675F">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eastAsia="zh-CN"/>
        </w:rPr>
      </w:pPr>
      <w:bookmarkStart w:id="32" w:name="_Toc435515306"/>
      <w:bookmarkStart w:id="33" w:name="_Toc275865611"/>
      <w:bookmarkStart w:id="34" w:name="_Toc22031"/>
      <w:bookmarkStart w:id="35" w:name="_Toc6350"/>
      <w:bookmarkStart w:id="36" w:name="_Toc192662843"/>
      <w:bookmarkStart w:id="37" w:name="_Toc435514866"/>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32"/>
      <w:bookmarkEnd w:id="33"/>
      <w:bookmarkEnd w:id="34"/>
      <w:bookmarkEnd w:id="35"/>
      <w:bookmarkEnd w:id="36"/>
      <w:bookmarkEnd w:id="37"/>
    </w:p>
    <w:tbl>
      <w:tblPr>
        <w:tblStyle w:val="16"/>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50"/>
        <w:gridCol w:w="990"/>
        <w:gridCol w:w="990"/>
        <w:gridCol w:w="750"/>
        <w:gridCol w:w="870"/>
        <w:gridCol w:w="1020"/>
        <w:gridCol w:w="968"/>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tcBorders>
              <w:top w:val="single" w:color="auto" w:sz="12" w:space="0"/>
              <w:bottom w:val="double" w:color="auto" w:sz="4" w:space="0"/>
            </w:tcBorders>
            <w:shd w:val="clear" w:color="auto" w:fill="EEECE1"/>
            <w:vAlign w:val="center"/>
          </w:tcPr>
          <w:p w14:paraId="5F5EBF4D">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序号</w:t>
            </w:r>
          </w:p>
        </w:tc>
        <w:tc>
          <w:tcPr>
            <w:tcW w:w="1050" w:type="dxa"/>
            <w:tcBorders>
              <w:top w:val="single" w:color="auto" w:sz="12" w:space="0"/>
              <w:bottom w:val="double" w:color="auto" w:sz="4" w:space="0"/>
            </w:tcBorders>
            <w:shd w:val="clear" w:color="auto" w:fill="EEECE1"/>
            <w:vAlign w:val="center"/>
          </w:tcPr>
          <w:p w14:paraId="5915C804">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产品</w:t>
            </w:r>
          </w:p>
          <w:p w14:paraId="384D549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名称</w:t>
            </w:r>
          </w:p>
        </w:tc>
        <w:tc>
          <w:tcPr>
            <w:tcW w:w="990" w:type="dxa"/>
            <w:tcBorders>
              <w:top w:val="single" w:color="auto" w:sz="12" w:space="0"/>
              <w:bottom w:val="double" w:color="auto" w:sz="4" w:space="0"/>
            </w:tcBorders>
            <w:shd w:val="clear" w:color="auto" w:fill="EEECE1"/>
            <w:vAlign w:val="center"/>
          </w:tcPr>
          <w:p w14:paraId="4F87A1A6">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规格</w:t>
            </w:r>
            <w:r>
              <w:rPr>
                <w:rFonts w:hint="eastAsia" w:ascii="宋体" w:hAnsi="宋体"/>
                <w:lang w:val="en-US" w:eastAsia="zh-CN"/>
              </w:rPr>
              <w:t xml:space="preserve">  </w:t>
            </w:r>
            <w:r>
              <w:rPr>
                <w:rFonts w:hint="default" w:ascii="宋体" w:hAnsi="宋体"/>
              </w:rPr>
              <w:t>型号</w:t>
            </w:r>
          </w:p>
        </w:tc>
        <w:tc>
          <w:tcPr>
            <w:tcW w:w="990" w:type="dxa"/>
            <w:tcBorders>
              <w:top w:val="single" w:color="auto" w:sz="12" w:space="0"/>
              <w:bottom w:val="double" w:color="auto" w:sz="4" w:space="0"/>
            </w:tcBorders>
            <w:shd w:val="clear" w:color="auto" w:fill="EEECE1"/>
            <w:vAlign w:val="center"/>
          </w:tcPr>
          <w:p w14:paraId="69A5DBCF">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品牌</w:t>
            </w:r>
          </w:p>
        </w:tc>
        <w:tc>
          <w:tcPr>
            <w:tcW w:w="750" w:type="dxa"/>
            <w:tcBorders>
              <w:top w:val="single" w:color="auto" w:sz="12" w:space="0"/>
              <w:bottom w:val="double" w:color="auto" w:sz="4" w:space="0"/>
            </w:tcBorders>
            <w:shd w:val="clear" w:color="auto" w:fill="EEECE1"/>
            <w:vAlign w:val="center"/>
          </w:tcPr>
          <w:p w14:paraId="22B38E5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单位</w:t>
            </w:r>
          </w:p>
        </w:tc>
        <w:tc>
          <w:tcPr>
            <w:tcW w:w="870" w:type="dxa"/>
            <w:tcBorders>
              <w:top w:val="single" w:color="auto" w:sz="12" w:space="0"/>
              <w:bottom w:val="double" w:color="auto" w:sz="4" w:space="0"/>
            </w:tcBorders>
            <w:shd w:val="clear" w:color="auto" w:fill="EEECE1"/>
            <w:vAlign w:val="center"/>
          </w:tcPr>
          <w:p w14:paraId="3C4AF9D9">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数量</w:t>
            </w:r>
          </w:p>
        </w:tc>
        <w:tc>
          <w:tcPr>
            <w:tcW w:w="1020" w:type="dxa"/>
            <w:tcBorders>
              <w:top w:val="single" w:color="auto" w:sz="12" w:space="0"/>
              <w:bottom w:val="double" w:color="auto" w:sz="4" w:space="0"/>
            </w:tcBorders>
            <w:shd w:val="clear" w:color="auto" w:fill="EEECE1"/>
            <w:vAlign w:val="center"/>
          </w:tcPr>
          <w:p w14:paraId="1D2B96D2">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单价</w:t>
            </w:r>
            <w:r>
              <w:rPr>
                <w:rFonts w:hint="eastAsia" w:ascii="宋体" w:hAnsi="宋体"/>
                <w:lang w:val="en-US" w:eastAsia="zh-CN"/>
              </w:rPr>
              <w:t xml:space="preserve">   </w:t>
            </w:r>
            <w:r>
              <w:rPr>
                <w:rFonts w:hint="default" w:ascii="宋体" w:hAnsi="宋体"/>
              </w:rPr>
              <w:t>（</w:t>
            </w:r>
            <w:r>
              <w:rPr>
                <w:rFonts w:hint="eastAsia" w:ascii="宋体" w:hAnsi="宋体"/>
                <w:lang w:val="en-US" w:eastAsia="zh-CN"/>
              </w:rPr>
              <w:t>万</w:t>
            </w:r>
            <w:r>
              <w:rPr>
                <w:rFonts w:hint="default" w:ascii="宋体" w:hAnsi="宋体"/>
              </w:rPr>
              <w:t>元）</w:t>
            </w:r>
          </w:p>
        </w:tc>
        <w:tc>
          <w:tcPr>
            <w:tcW w:w="968" w:type="dxa"/>
            <w:tcBorders>
              <w:top w:val="single" w:color="auto" w:sz="12" w:space="0"/>
              <w:bottom w:val="double" w:color="auto" w:sz="4" w:space="0"/>
            </w:tcBorders>
            <w:shd w:val="clear" w:color="auto" w:fill="EEECE1"/>
            <w:vAlign w:val="center"/>
          </w:tcPr>
          <w:p w14:paraId="122C5C98">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万</w:t>
            </w:r>
            <w:r>
              <w:rPr>
                <w:rFonts w:hint="eastAsia" w:ascii="宋体" w:hAnsi="宋体"/>
              </w:rPr>
              <w:t>元）</w:t>
            </w:r>
          </w:p>
        </w:tc>
        <w:tc>
          <w:tcPr>
            <w:tcW w:w="725" w:type="dxa"/>
            <w:tcBorders>
              <w:top w:val="single" w:color="auto" w:sz="12" w:space="0"/>
              <w:bottom w:val="double" w:color="auto" w:sz="4" w:space="0"/>
            </w:tcBorders>
            <w:shd w:val="clear" w:color="auto" w:fill="EEECE1"/>
            <w:vAlign w:val="center"/>
          </w:tcPr>
          <w:p w14:paraId="26BB7D70">
            <w:pPr>
              <w:keepNext w:val="0"/>
              <w:keepLines w:val="0"/>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6ADCBEC4">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p>
        </w:tc>
        <w:tc>
          <w:tcPr>
            <w:tcW w:w="1050" w:type="dxa"/>
            <w:vAlign w:val="center"/>
          </w:tcPr>
          <w:p w14:paraId="587D43AF">
            <w:pPr>
              <w:keepNext w:val="0"/>
              <w:keepLines w:val="0"/>
              <w:suppressLineNumbers w:val="0"/>
              <w:spacing w:before="0" w:beforeAutospacing="0" w:after="0" w:afterAutospacing="0"/>
              <w:ind w:left="0" w:right="0"/>
              <w:jc w:val="center"/>
              <w:rPr>
                <w:rFonts w:hint="default"/>
              </w:rPr>
            </w:pPr>
          </w:p>
        </w:tc>
        <w:tc>
          <w:tcPr>
            <w:tcW w:w="990" w:type="dxa"/>
            <w:vAlign w:val="center"/>
          </w:tcPr>
          <w:p w14:paraId="1FBD9E86">
            <w:pPr>
              <w:keepNext w:val="0"/>
              <w:keepLines w:val="0"/>
              <w:suppressLineNumbers w:val="0"/>
              <w:spacing w:before="0" w:beforeAutospacing="0" w:after="0" w:afterAutospacing="0"/>
              <w:ind w:left="0" w:right="0"/>
              <w:jc w:val="center"/>
              <w:rPr>
                <w:rFonts w:hint="default"/>
              </w:rPr>
            </w:pPr>
          </w:p>
        </w:tc>
        <w:tc>
          <w:tcPr>
            <w:tcW w:w="990" w:type="dxa"/>
            <w:vAlign w:val="center"/>
          </w:tcPr>
          <w:p w14:paraId="4F5FDCC7">
            <w:pPr>
              <w:keepNext w:val="0"/>
              <w:keepLines w:val="0"/>
              <w:suppressLineNumbers w:val="0"/>
              <w:spacing w:before="0" w:beforeAutospacing="0" w:after="0" w:afterAutospacing="0"/>
              <w:ind w:left="0" w:right="0"/>
              <w:jc w:val="center"/>
              <w:rPr>
                <w:rFonts w:hint="default"/>
              </w:rPr>
            </w:pPr>
          </w:p>
        </w:tc>
        <w:tc>
          <w:tcPr>
            <w:tcW w:w="750" w:type="dxa"/>
            <w:vAlign w:val="center"/>
          </w:tcPr>
          <w:p w14:paraId="5DEBA6A7">
            <w:pPr>
              <w:keepNext w:val="0"/>
              <w:keepLines w:val="0"/>
              <w:suppressLineNumbers w:val="0"/>
              <w:spacing w:before="0" w:beforeAutospacing="0" w:after="0" w:afterAutospacing="0"/>
              <w:ind w:left="0" w:right="0"/>
              <w:jc w:val="center"/>
              <w:rPr>
                <w:rFonts w:hint="default"/>
              </w:rPr>
            </w:pPr>
          </w:p>
        </w:tc>
        <w:tc>
          <w:tcPr>
            <w:tcW w:w="870" w:type="dxa"/>
            <w:vAlign w:val="center"/>
          </w:tcPr>
          <w:p w14:paraId="150DCEB5">
            <w:pPr>
              <w:keepNext w:val="0"/>
              <w:keepLines w:val="0"/>
              <w:suppressLineNumbers w:val="0"/>
              <w:spacing w:before="0" w:beforeAutospacing="0" w:after="0" w:afterAutospacing="0"/>
              <w:ind w:left="0" w:right="0"/>
              <w:jc w:val="center"/>
              <w:rPr>
                <w:rFonts w:hint="default"/>
              </w:rPr>
            </w:pPr>
          </w:p>
        </w:tc>
        <w:tc>
          <w:tcPr>
            <w:tcW w:w="1020" w:type="dxa"/>
            <w:vAlign w:val="center"/>
          </w:tcPr>
          <w:p w14:paraId="0B6ACCDB">
            <w:pPr>
              <w:keepNext w:val="0"/>
              <w:keepLines w:val="0"/>
              <w:suppressLineNumbers w:val="0"/>
              <w:spacing w:before="0" w:beforeAutospacing="0" w:after="0" w:afterAutospacing="0"/>
              <w:ind w:left="0" w:right="0"/>
              <w:jc w:val="center"/>
              <w:rPr>
                <w:rFonts w:hint="default"/>
              </w:rPr>
            </w:pPr>
          </w:p>
        </w:tc>
        <w:tc>
          <w:tcPr>
            <w:tcW w:w="968" w:type="dxa"/>
            <w:vAlign w:val="center"/>
          </w:tcPr>
          <w:p w14:paraId="7BBE7B51">
            <w:pPr>
              <w:keepNext w:val="0"/>
              <w:keepLines w:val="0"/>
              <w:suppressLineNumbers w:val="0"/>
              <w:spacing w:before="0" w:beforeAutospacing="0" w:after="0" w:afterAutospacing="0"/>
              <w:ind w:left="0" w:right="0"/>
              <w:jc w:val="center"/>
              <w:rPr>
                <w:rFonts w:hint="default"/>
              </w:rPr>
            </w:pPr>
          </w:p>
        </w:tc>
        <w:tc>
          <w:tcPr>
            <w:tcW w:w="725" w:type="dxa"/>
            <w:vAlign w:val="center"/>
          </w:tcPr>
          <w:p w14:paraId="3A11F0BB">
            <w:pPr>
              <w:keepNext w:val="0"/>
              <w:keepLines w:val="0"/>
              <w:suppressLineNumbers w:val="0"/>
              <w:spacing w:before="0" w:beforeAutospacing="0" w:after="0" w:afterAutospacing="0"/>
              <w:ind w:left="0" w:right="0"/>
              <w:jc w:val="center"/>
              <w:rPr>
                <w:rFonts w:hint="default"/>
              </w:rP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D8B611E">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p>
        </w:tc>
        <w:tc>
          <w:tcPr>
            <w:tcW w:w="1050" w:type="dxa"/>
            <w:vAlign w:val="center"/>
          </w:tcPr>
          <w:p w14:paraId="70669F5F">
            <w:pPr>
              <w:keepNext w:val="0"/>
              <w:keepLines w:val="0"/>
              <w:suppressLineNumbers w:val="0"/>
              <w:spacing w:before="0" w:beforeAutospacing="0" w:after="0" w:afterAutospacing="0"/>
              <w:ind w:left="0" w:right="0"/>
              <w:jc w:val="center"/>
              <w:rPr>
                <w:rFonts w:hint="default"/>
              </w:rPr>
            </w:pPr>
          </w:p>
        </w:tc>
        <w:tc>
          <w:tcPr>
            <w:tcW w:w="990" w:type="dxa"/>
            <w:vAlign w:val="center"/>
          </w:tcPr>
          <w:p w14:paraId="41ED0F8E">
            <w:pPr>
              <w:keepNext w:val="0"/>
              <w:keepLines w:val="0"/>
              <w:suppressLineNumbers w:val="0"/>
              <w:spacing w:before="0" w:beforeAutospacing="0" w:after="0" w:afterAutospacing="0"/>
              <w:ind w:left="0" w:right="0"/>
              <w:jc w:val="center"/>
              <w:rPr>
                <w:rFonts w:hint="default"/>
              </w:rPr>
            </w:pPr>
          </w:p>
        </w:tc>
        <w:tc>
          <w:tcPr>
            <w:tcW w:w="990" w:type="dxa"/>
            <w:vAlign w:val="center"/>
          </w:tcPr>
          <w:p w14:paraId="222424AE">
            <w:pPr>
              <w:keepNext w:val="0"/>
              <w:keepLines w:val="0"/>
              <w:suppressLineNumbers w:val="0"/>
              <w:spacing w:before="0" w:beforeAutospacing="0" w:after="0" w:afterAutospacing="0"/>
              <w:ind w:left="0" w:right="0"/>
              <w:jc w:val="center"/>
              <w:rPr>
                <w:rFonts w:hint="default"/>
              </w:rPr>
            </w:pPr>
          </w:p>
        </w:tc>
        <w:tc>
          <w:tcPr>
            <w:tcW w:w="750" w:type="dxa"/>
            <w:vAlign w:val="center"/>
          </w:tcPr>
          <w:p w14:paraId="72412A1D">
            <w:pPr>
              <w:keepNext w:val="0"/>
              <w:keepLines w:val="0"/>
              <w:suppressLineNumbers w:val="0"/>
              <w:spacing w:before="0" w:beforeAutospacing="0" w:after="0" w:afterAutospacing="0"/>
              <w:ind w:left="0" w:right="0"/>
              <w:jc w:val="center"/>
              <w:rPr>
                <w:rFonts w:hint="default"/>
              </w:rPr>
            </w:pPr>
          </w:p>
        </w:tc>
        <w:tc>
          <w:tcPr>
            <w:tcW w:w="870" w:type="dxa"/>
            <w:vAlign w:val="center"/>
          </w:tcPr>
          <w:p w14:paraId="257186F2">
            <w:pPr>
              <w:keepNext w:val="0"/>
              <w:keepLines w:val="0"/>
              <w:suppressLineNumbers w:val="0"/>
              <w:spacing w:before="0" w:beforeAutospacing="0" w:after="0" w:afterAutospacing="0"/>
              <w:ind w:left="0" w:right="0"/>
              <w:jc w:val="center"/>
              <w:rPr>
                <w:rFonts w:hint="default"/>
              </w:rPr>
            </w:pPr>
          </w:p>
        </w:tc>
        <w:tc>
          <w:tcPr>
            <w:tcW w:w="1020" w:type="dxa"/>
            <w:vAlign w:val="center"/>
          </w:tcPr>
          <w:p w14:paraId="42E249AF">
            <w:pPr>
              <w:keepNext w:val="0"/>
              <w:keepLines w:val="0"/>
              <w:suppressLineNumbers w:val="0"/>
              <w:spacing w:before="0" w:beforeAutospacing="0" w:after="0" w:afterAutospacing="0"/>
              <w:ind w:left="0" w:right="0"/>
              <w:jc w:val="center"/>
              <w:rPr>
                <w:rFonts w:hint="default"/>
              </w:rPr>
            </w:pPr>
          </w:p>
        </w:tc>
        <w:tc>
          <w:tcPr>
            <w:tcW w:w="968" w:type="dxa"/>
            <w:vAlign w:val="center"/>
          </w:tcPr>
          <w:p w14:paraId="5C60D203">
            <w:pPr>
              <w:keepNext w:val="0"/>
              <w:keepLines w:val="0"/>
              <w:suppressLineNumbers w:val="0"/>
              <w:spacing w:before="0" w:beforeAutospacing="0" w:after="0" w:afterAutospacing="0"/>
              <w:ind w:left="0" w:right="0"/>
              <w:jc w:val="center"/>
              <w:rPr>
                <w:rFonts w:hint="default"/>
              </w:rPr>
            </w:pPr>
          </w:p>
        </w:tc>
        <w:tc>
          <w:tcPr>
            <w:tcW w:w="725" w:type="dxa"/>
            <w:vAlign w:val="center"/>
          </w:tcPr>
          <w:p w14:paraId="5A6C1D5A">
            <w:pPr>
              <w:keepNext w:val="0"/>
              <w:keepLines w:val="0"/>
              <w:suppressLineNumbers w:val="0"/>
              <w:spacing w:before="0" w:beforeAutospacing="0" w:after="0" w:afterAutospacing="0"/>
              <w:ind w:left="0" w:right="0"/>
              <w:jc w:val="center"/>
              <w:rPr>
                <w:rFonts w:hint="default"/>
              </w:rP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6FB0D31">
            <w:pPr>
              <w:keepNext w:val="0"/>
              <w:keepLines w:val="0"/>
              <w:suppressLineNumbers w:val="0"/>
              <w:spacing w:before="0" w:beforeAutospacing="0" w:after="0" w:afterAutospacing="0"/>
              <w:ind w:left="0" w:right="0"/>
              <w:jc w:val="center"/>
              <w:rPr>
                <w:rFonts w:hint="eastAsia" w:eastAsiaTheme="minorEastAsia"/>
                <w:lang w:eastAsia="zh-CN"/>
              </w:rPr>
            </w:pPr>
            <w:r>
              <w:rPr>
                <w:rFonts w:hint="eastAsia"/>
                <w:lang w:val="en-US" w:eastAsia="zh-CN"/>
              </w:rPr>
              <w:t>3</w:t>
            </w:r>
          </w:p>
        </w:tc>
        <w:tc>
          <w:tcPr>
            <w:tcW w:w="1050" w:type="dxa"/>
            <w:vAlign w:val="center"/>
          </w:tcPr>
          <w:p w14:paraId="745F5712">
            <w:pPr>
              <w:keepNext w:val="0"/>
              <w:keepLines w:val="0"/>
              <w:suppressLineNumbers w:val="0"/>
              <w:spacing w:before="0" w:beforeAutospacing="0" w:after="0" w:afterAutospacing="0"/>
              <w:ind w:left="0" w:right="0"/>
              <w:jc w:val="center"/>
              <w:rPr>
                <w:rFonts w:hint="default"/>
              </w:rPr>
            </w:pPr>
          </w:p>
        </w:tc>
        <w:tc>
          <w:tcPr>
            <w:tcW w:w="990" w:type="dxa"/>
            <w:vAlign w:val="center"/>
          </w:tcPr>
          <w:p w14:paraId="77BF9D43">
            <w:pPr>
              <w:keepNext w:val="0"/>
              <w:keepLines w:val="0"/>
              <w:suppressLineNumbers w:val="0"/>
              <w:spacing w:before="0" w:beforeAutospacing="0" w:after="0" w:afterAutospacing="0"/>
              <w:ind w:left="0" w:right="0"/>
              <w:jc w:val="center"/>
              <w:rPr>
                <w:rFonts w:hint="default"/>
              </w:rPr>
            </w:pPr>
          </w:p>
        </w:tc>
        <w:tc>
          <w:tcPr>
            <w:tcW w:w="990" w:type="dxa"/>
            <w:vAlign w:val="center"/>
          </w:tcPr>
          <w:p w14:paraId="0A5DC4D5">
            <w:pPr>
              <w:keepNext w:val="0"/>
              <w:keepLines w:val="0"/>
              <w:suppressLineNumbers w:val="0"/>
              <w:spacing w:before="0" w:beforeAutospacing="0" w:after="0" w:afterAutospacing="0"/>
              <w:ind w:left="0" w:right="0"/>
              <w:jc w:val="center"/>
              <w:rPr>
                <w:rFonts w:hint="default"/>
              </w:rPr>
            </w:pPr>
          </w:p>
        </w:tc>
        <w:tc>
          <w:tcPr>
            <w:tcW w:w="750" w:type="dxa"/>
            <w:vAlign w:val="center"/>
          </w:tcPr>
          <w:p w14:paraId="10A066A4">
            <w:pPr>
              <w:keepNext w:val="0"/>
              <w:keepLines w:val="0"/>
              <w:suppressLineNumbers w:val="0"/>
              <w:spacing w:before="0" w:beforeAutospacing="0" w:after="0" w:afterAutospacing="0"/>
              <w:ind w:left="0" w:right="0"/>
              <w:jc w:val="center"/>
              <w:rPr>
                <w:rFonts w:hint="default"/>
              </w:rPr>
            </w:pPr>
          </w:p>
        </w:tc>
        <w:tc>
          <w:tcPr>
            <w:tcW w:w="870" w:type="dxa"/>
            <w:vAlign w:val="center"/>
          </w:tcPr>
          <w:p w14:paraId="7B558961">
            <w:pPr>
              <w:keepNext w:val="0"/>
              <w:keepLines w:val="0"/>
              <w:suppressLineNumbers w:val="0"/>
              <w:spacing w:before="0" w:beforeAutospacing="0" w:after="0" w:afterAutospacing="0"/>
              <w:ind w:left="0" w:right="0"/>
              <w:jc w:val="center"/>
              <w:rPr>
                <w:rFonts w:hint="default"/>
              </w:rPr>
            </w:pPr>
          </w:p>
        </w:tc>
        <w:tc>
          <w:tcPr>
            <w:tcW w:w="1020" w:type="dxa"/>
            <w:vAlign w:val="center"/>
          </w:tcPr>
          <w:p w14:paraId="7E193032">
            <w:pPr>
              <w:keepNext w:val="0"/>
              <w:keepLines w:val="0"/>
              <w:suppressLineNumbers w:val="0"/>
              <w:spacing w:before="0" w:beforeAutospacing="0" w:after="0" w:afterAutospacing="0"/>
              <w:ind w:left="0" w:right="0"/>
              <w:jc w:val="center"/>
              <w:rPr>
                <w:rFonts w:hint="default"/>
              </w:rPr>
            </w:pPr>
          </w:p>
        </w:tc>
        <w:tc>
          <w:tcPr>
            <w:tcW w:w="968" w:type="dxa"/>
            <w:vAlign w:val="center"/>
          </w:tcPr>
          <w:p w14:paraId="50C0846A">
            <w:pPr>
              <w:keepNext w:val="0"/>
              <w:keepLines w:val="0"/>
              <w:suppressLineNumbers w:val="0"/>
              <w:spacing w:before="0" w:beforeAutospacing="0" w:after="0" w:afterAutospacing="0"/>
              <w:ind w:left="0" w:right="0"/>
              <w:jc w:val="center"/>
              <w:rPr>
                <w:rFonts w:hint="default"/>
              </w:rPr>
            </w:pPr>
          </w:p>
        </w:tc>
        <w:tc>
          <w:tcPr>
            <w:tcW w:w="725" w:type="dxa"/>
            <w:vAlign w:val="center"/>
          </w:tcPr>
          <w:p w14:paraId="1AB98162">
            <w:pPr>
              <w:keepNext w:val="0"/>
              <w:keepLines w:val="0"/>
              <w:suppressLineNumbers w:val="0"/>
              <w:spacing w:before="0" w:beforeAutospacing="0" w:after="0" w:afterAutospacing="0"/>
              <w:ind w:left="0" w:right="0"/>
              <w:jc w:val="center"/>
              <w:rPr>
                <w:rFonts w:hint="default"/>
              </w:rPr>
            </w:pPr>
          </w:p>
        </w:tc>
      </w:tr>
      <w:tr w14:paraId="47AF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37BEBF6">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1050" w:type="dxa"/>
            <w:vAlign w:val="center"/>
          </w:tcPr>
          <w:p w14:paraId="7C2988EE">
            <w:pPr>
              <w:keepNext w:val="0"/>
              <w:keepLines w:val="0"/>
              <w:suppressLineNumbers w:val="0"/>
              <w:spacing w:before="0" w:beforeAutospacing="0" w:after="0" w:afterAutospacing="0"/>
              <w:ind w:left="0" w:right="0"/>
              <w:jc w:val="center"/>
              <w:rPr>
                <w:rFonts w:hint="default"/>
              </w:rPr>
            </w:pPr>
          </w:p>
        </w:tc>
        <w:tc>
          <w:tcPr>
            <w:tcW w:w="990" w:type="dxa"/>
            <w:vAlign w:val="center"/>
          </w:tcPr>
          <w:p w14:paraId="29A2E49B">
            <w:pPr>
              <w:keepNext w:val="0"/>
              <w:keepLines w:val="0"/>
              <w:suppressLineNumbers w:val="0"/>
              <w:spacing w:before="0" w:beforeAutospacing="0" w:after="0" w:afterAutospacing="0"/>
              <w:ind w:left="0" w:right="0"/>
              <w:jc w:val="center"/>
              <w:rPr>
                <w:rFonts w:hint="default"/>
              </w:rPr>
            </w:pPr>
          </w:p>
        </w:tc>
        <w:tc>
          <w:tcPr>
            <w:tcW w:w="990" w:type="dxa"/>
            <w:vAlign w:val="center"/>
          </w:tcPr>
          <w:p w14:paraId="63DDBB0D">
            <w:pPr>
              <w:keepNext w:val="0"/>
              <w:keepLines w:val="0"/>
              <w:suppressLineNumbers w:val="0"/>
              <w:spacing w:before="0" w:beforeAutospacing="0" w:after="0" w:afterAutospacing="0"/>
              <w:ind w:left="0" w:right="0"/>
              <w:jc w:val="center"/>
              <w:rPr>
                <w:rFonts w:hint="default"/>
              </w:rPr>
            </w:pPr>
          </w:p>
        </w:tc>
        <w:tc>
          <w:tcPr>
            <w:tcW w:w="750" w:type="dxa"/>
            <w:vAlign w:val="center"/>
          </w:tcPr>
          <w:p w14:paraId="097E2DB7">
            <w:pPr>
              <w:keepNext w:val="0"/>
              <w:keepLines w:val="0"/>
              <w:suppressLineNumbers w:val="0"/>
              <w:spacing w:before="0" w:beforeAutospacing="0" w:after="0" w:afterAutospacing="0"/>
              <w:ind w:left="0" w:right="0"/>
              <w:jc w:val="center"/>
              <w:rPr>
                <w:rFonts w:hint="default"/>
              </w:rPr>
            </w:pPr>
          </w:p>
        </w:tc>
        <w:tc>
          <w:tcPr>
            <w:tcW w:w="870" w:type="dxa"/>
            <w:vAlign w:val="center"/>
          </w:tcPr>
          <w:p w14:paraId="06F59F69">
            <w:pPr>
              <w:keepNext w:val="0"/>
              <w:keepLines w:val="0"/>
              <w:suppressLineNumbers w:val="0"/>
              <w:spacing w:before="0" w:beforeAutospacing="0" w:after="0" w:afterAutospacing="0"/>
              <w:ind w:left="0" w:right="0"/>
              <w:jc w:val="center"/>
              <w:rPr>
                <w:rFonts w:hint="default"/>
              </w:rPr>
            </w:pPr>
          </w:p>
        </w:tc>
        <w:tc>
          <w:tcPr>
            <w:tcW w:w="1020" w:type="dxa"/>
            <w:vAlign w:val="center"/>
          </w:tcPr>
          <w:p w14:paraId="7033E8FE">
            <w:pPr>
              <w:keepNext w:val="0"/>
              <w:keepLines w:val="0"/>
              <w:suppressLineNumbers w:val="0"/>
              <w:spacing w:before="0" w:beforeAutospacing="0" w:after="0" w:afterAutospacing="0"/>
              <w:ind w:left="0" w:right="0"/>
              <w:jc w:val="center"/>
              <w:rPr>
                <w:rFonts w:hint="default"/>
              </w:rPr>
            </w:pPr>
          </w:p>
        </w:tc>
        <w:tc>
          <w:tcPr>
            <w:tcW w:w="968" w:type="dxa"/>
            <w:vAlign w:val="center"/>
          </w:tcPr>
          <w:p w14:paraId="190F58CD">
            <w:pPr>
              <w:keepNext w:val="0"/>
              <w:keepLines w:val="0"/>
              <w:suppressLineNumbers w:val="0"/>
              <w:spacing w:before="0" w:beforeAutospacing="0" w:after="0" w:afterAutospacing="0"/>
              <w:ind w:left="0" w:right="0"/>
              <w:jc w:val="center"/>
              <w:rPr>
                <w:rFonts w:hint="default"/>
              </w:rPr>
            </w:pPr>
          </w:p>
        </w:tc>
        <w:tc>
          <w:tcPr>
            <w:tcW w:w="725" w:type="dxa"/>
            <w:vAlign w:val="center"/>
          </w:tcPr>
          <w:p w14:paraId="0069FDC3">
            <w:pPr>
              <w:keepNext w:val="0"/>
              <w:keepLines w:val="0"/>
              <w:suppressLineNumbers w:val="0"/>
              <w:spacing w:before="0" w:beforeAutospacing="0" w:after="0" w:afterAutospacing="0"/>
              <w:ind w:left="0" w:right="0"/>
              <w:jc w:val="center"/>
              <w:rPr>
                <w:rFonts w:hint="default"/>
              </w:rPr>
            </w:pPr>
          </w:p>
        </w:tc>
      </w:tr>
      <w:tr w14:paraId="304F6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3D46894B">
            <w:pPr>
              <w:keepNext w:val="0"/>
              <w:keepLines w:val="0"/>
              <w:suppressLineNumbers w:val="0"/>
              <w:spacing w:before="0" w:beforeAutospacing="0" w:after="0" w:afterAutospacing="0"/>
              <w:ind w:left="0" w:right="0"/>
              <w:jc w:val="center"/>
              <w:rPr>
                <w:rFonts w:hint="eastAsia"/>
              </w:rPr>
            </w:pPr>
            <w:r>
              <w:rPr>
                <w:rFonts w:hint="eastAsia"/>
              </w:rPr>
              <w:t>……</w:t>
            </w:r>
          </w:p>
        </w:tc>
        <w:tc>
          <w:tcPr>
            <w:tcW w:w="1050" w:type="dxa"/>
            <w:vAlign w:val="center"/>
          </w:tcPr>
          <w:p w14:paraId="6D7736AA">
            <w:pPr>
              <w:keepNext w:val="0"/>
              <w:keepLines w:val="0"/>
              <w:suppressLineNumbers w:val="0"/>
              <w:spacing w:before="0" w:beforeAutospacing="0" w:after="0" w:afterAutospacing="0"/>
              <w:ind w:left="0" w:right="0"/>
              <w:jc w:val="center"/>
              <w:rPr>
                <w:rFonts w:hint="default"/>
              </w:rPr>
            </w:pPr>
          </w:p>
        </w:tc>
        <w:tc>
          <w:tcPr>
            <w:tcW w:w="990" w:type="dxa"/>
            <w:vAlign w:val="center"/>
          </w:tcPr>
          <w:p w14:paraId="1CE8CDF5">
            <w:pPr>
              <w:keepNext w:val="0"/>
              <w:keepLines w:val="0"/>
              <w:suppressLineNumbers w:val="0"/>
              <w:spacing w:before="0" w:beforeAutospacing="0" w:after="0" w:afterAutospacing="0"/>
              <w:ind w:left="0" w:right="0"/>
              <w:jc w:val="center"/>
              <w:rPr>
                <w:rFonts w:hint="default"/>
              </w:rPr>
            </w:pPr>
          </w:p>
        </w:tc>
        <w:tc>
          <w:tcPr>
            <w:tcW w:w="990" w:type="dxa"/>
            <w:vAlign w:val="center"/>
          </w:tcPr>
          <w:p w14:paraId="0A436446">
            <w:pPr>
              <w:keepNext w:val="0"/>
              <w:keepLines w:val="0"/>
              <w:suppressLineNumbers w:val="0"/>
              <w:spacing w:before="0" w:beforeAutospacing="0" w:after="0" w:afterAutospacing="0"/>
              <w:ind w:left="0" w:right="0"/>
              <w:jc w:val="center"/>
              <w:rPr>
                <w:rFonts w:hint="default"/>
              </w:rPr>
            </w:pPr>
          </w:p>
        </w:tc>
        <w:tc>
          <w:tcPr>
            <w:tcW w:w="750" w:type="dxa"/>
            <w:vAlign w:val="center"/>
          </w:tcPr>
          <w:p w14:paraId="793DB9AB">
            <w:pPr>
              <w:keepNext w:val="0"/>
              <w:keepLines w:val="0"/>
              <w:suppressLineNumbers w:val="0"/>
              <w:spacing w:before="0" w:beforeAutospacing="0" w:after="0" w:afterAutospacing="0"/>
              <w:ind w:left="0" w:right="0"/>
              <w:jc w:val="center"/>
              <w:rPr>
                <w:rFonts w:hint="default"/>
              </w:rPr>
            </w:pPr>
          </w:p>
        </w:tc>
        <w:tc>
          <w:tcPr>
            <w:tcW w:w="870" w:type="dxa"/>
            <w:vAlign w:val="center"/>
          </w:tcPr>
          <w:p w14:paraId="572BDF3D">
            <w:pPr>
              <w:keepNext w:val="0"/>
              <w:keepLines w:val="0"/>
              <w:suppressLineNumbers w:val="0"/>
              <w:spacing w:before="0" w:beforeAutospacing="0" w:after="0" w:afterAutospacing="0"/>
              <w:ind w:left="0" w:right="0"/>
              <w:jc w:val="center"/>
              <w:rPr>
                <w:rFonts w:hint="default"/>
              </w:rPr>
            </w:pPr>
          </w:p>
        </w:tc>
        <w:tc>
          <w:tcPr>
            <w:tcW w:w="1020" w:type="dxa"/>
            <w:vAlign w:val="center"/>
          </w:tcPr>
          <w:p w14:paraId="0D5FDA0D">
            <w:pPr>
              <w:keepNext w:val="0"/>
              <w:keepLines w:val="0"/>
              <w:suppressLineNumbers w:val="0"/>
              <w:spacing w:before="0" w:beforeAutospacing="0" w:after="0" w:afterAutospacing="0"/>
              <w:ind w:left="0" w:right="0"/>
              <w:jc w:val="center"/>
              <w:rPr>
                <w:rFonts w:hint="default"/>
              </w:rPr>
            </w:pPr>
          </w:p>
        </w:tc>
        <w:tc>
          <w:tcPr>
            <w:tcW w:w="968" w:type="dxa"/>
            <w:vAlign w:val="center"/>
          </w:tcPr>
          <w:p w14:paraId="4386A38B">
            <w:pPr>
              <w:keepNext w:val="0"/>
              <w:keepLines w:val="0"/>
              <w:suppressLineNumbers w:val="0"/>
              <w:spacing w:before="0" w:beforeAutospacing="0" w:after="0" w:afterAutospacing="0"/>
              <w:ind w:left="0" w:right="0"/>
              <w:jc w:val="center"/>
              <w:rPr>
                <w:rFonts w:hint="default"/>
              </w:rPr>
            </w:pPr>
          </w:p>
        </w:tc>
        <w:tc>
          <w:tcPr>
            <w:tcW w:w="725" w:type="dxa"/>
            <w:vAlign w:val="center"/>
          </w:tcPr>
          <w:p w14:paraId="3AE151F1">
            <w:pPr>
              <w:keepNext w:val="0"/>
              <w:keepLines w:val="0"/>
              <w:suppressLineNumbers w:val="0"/>
              <w:spacing w:before="0" w:beforeAutospacing="0" w:after="0" w:afterAutospacing="0"/>
              <w:ind w:left="0" w:right="0"/>
              <w:jc w:val="center"/>
              <w:rPr>
                <w:rFonts w:hint="default"/>
              </w:rP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299453B2">
            <w:pPr>
              <w:keepNext w:val="0"/>
              <w:keepLines w:val="0"/>
              <w:suppressLineNumbers w:val="0"/>
              <w:spacing w:before="0" w:beforeAutospacing="0" w:after="0" w:afterAutospacing="0"/>
              <w:ind w:left="0" w:right="0"/>
              <w:jc w:val="center"/>
              <w:rPr>
                <w:rFonts w:hint="eastAsia" w:ascii="宋体" w:hAnsi="宋体" w:eastAsiaTheme="minorEastAsia"/>
                <w:lang w:eastAsia="zh-CN"/>
              </w:rPr>
            </w:pPr>
            <w:r>
              <w:rPr>
                <w:rFonts w:hint="eastAsia" w:ascii="宋体" w:hAnsi="宋体"/>
              </w:rPr>
              <w:t>总计</w:t>
            </w:r>
          </w:p>
        </w:tc>
        <w:tc>
          <w:tcPr>
            <w:tcW w:w="7363" w:type="dxa"/>
            <w:gridSpan w:val="8"/>
            <w:vAlign w:val="center"/>
          </w:tcPr>
          <w:p w14:paraId="44A20969">
            <w:pPr>
              <w:keepNext w:val="0"/>
              <w:keepLines w:val="0"/>
              <w:suppressLineNumbers w:val="0"/>
              <w:spacing w:before="0" w:beforeAutospacing="0" w:after="0" w:afterAutospacing="0"/>
              <w:ind w:left="0" w:right="0"/>
              <w:rPr>
                <w:rFonts w:hint="default"/>
              </w:rPr>
            </w:pPr>
            <w:r>
              <w:rPr>
                <w:rFonts w:hint="eastAsia"/>
                <w:lang w:val="en-US" w:eastAsia="zh-CN"/>
              </w:rPr>
              <w:t>小写：</w:t>
            </w:r>
            <w:r>
              <w:rPr>
                <w:rFonts w:hint="eastAsia"/>
              </w:rPr>
              <w:t xml:space="preserve">            大写：</w:t>
            </w:r>
          </w:p>
        </w:tc>
      </w:tr>
    </w:tbl>
    <w:p w14:paraId="74DB6181">
      <w:pPr>
        <w:widowControl/>
        <w:wordWrap w:val="0"/>
        <w:spacing w:line="360" w:lineRule="auto"/>
        <w:jc w:val="left"/>
        <w:rPr>
          <w:rFonts w:ascii="ˎ̥" w:hAnsi="ˎ̥" w:cs="宋体"/>
          <w:kern w:val="0"/>
          <w:sz w:val="18"/>
          <w:szCs w:val="18"/>
        </w:rPr>
      </w:pPr>
    </w:p>
    <w:p w14:paraId="6AA29BC1">
      <w:pPr>
        <w:pStyle w:val="5"/>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outlineLvl w:val="9"/>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57712ECD">
      <w:pPr>
        <w:pStyle w:val="3"/>
        <w:numPr>
          <w:ilvl w:val="0"/>
          <w:numId w:val="0"/>
        </w:numPr>
        <w:spacing w:line="240" w:lineRule="auto"/>
        <w:ind w:left="420" w:leftChars="0" w:hanging="420" w:firstLineChars="0"/>
        <w:jc w:val="center"/>
        <w:outlineLvl w:val="9"/>
        <w:rPr>
          <w:rFonts w:ascii="宋体" w:hAnsi="宋体"/>
          <w:color w:val="000000"/>
        </w:rPr>
      </w:pPr>
    </w:p>
    <w:p w14:paraId="37B42F00">
      <w:pPr>
        <w:rPr>
          <w:rFonts w:ascii="宋体" w:hAnsi="宋体"/>
          <w:color w:val="000000"/>
        </w:rPr>
      </w:pPr>
    </w:p>
    <w:p w14:paraId="48A26FD0">
      <w:pPr>
        <w:pStyle w:val="5"/>
        <w:rPr>
          <w:rFonts w:ascii="宋体" w:hAnsi="宋体"/>
          <w:color w:val="000000"/>
        </w:rPr>
      </w:pPr>
    </w:p>
    <w:p w14:paraId="1EE00335">
      <w:pPr>
        <w:rPr>
          <w:rFonts w:ascii="宋体" w:hAnsi="宋体"/>
          <w:color w:val="000000"/>
        </w:rPr>
      </w:pPr>
    </w:p>
    <w:p w14:paraId="074A18CC">
      <w:pPr>
        <w:pStyle w:val="5"/>
        <w:rPr>
          <w:rFonts w:ascii="宋体" w:hAnsi="宋体"/>
          <w:color w:val="000000"/>
        </w:rPr>
      </w:pPr>
    </w:p>
    <w:p w14:paraId="1EAF0F35">
      <w:pPr>
        <w:rPr>
          <w:rFonts w:ascii="宋体" w:hAnsi="宋体"/>
          <w:color w:val="000000"/>
        </w:rPr>
      </w:pPr>
    </w:p>
    <w:p w14:paraId="561C5F22">
      <w:pPr>
        <w:pStyle w:val="5"/>
        <w:rPr>
          <w:rFonts w:ascii="宋体" w:hAnsi="宋体"/>
          <w:color w:val="000000"/>
        </w:rPr>
      </w:pPr>
    </w:p>
    <w:p w14:paraId="68A50261">
      <w:pPr>
        <w:rPr>
          <w:rFonts w:ascii="宋体" w:hAnsi="宋体"/>
          <w:color w:val="000000"/>
        </w:rPr>
      </w:pPr>
    </w:p>
    <w:p w14:paraId="7E8FC21E">
      <w:pPr>
        <w:pStyle w:val="5"/>
        <w:rPr>
          <w:rFonts w:ascii="宋体" w:hAnsi="宋体"/>
          <w:color w:val="000000"/>
        </w:rPr>
      </w:pPr>
    </w:p>
    <w:p w14:paraId="25AF6C6E">
      <w:pPr>
        <w:rPr>
          <w:rFonts w:ascii="宋体" w:hAnsi="宋体"/>
          <w:color w:val="000000"/>
        </w:rPr>
      </w:pPr>
    </w:p>
    <w:p w14:paraId="51E2905D">
      <w:pPr>
        <w:pStyle w:val="5"/>
      </w:pPr>
    </w:p>
    <w:p w14:paraId="48791E83">
      <w:pPr>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（十一）产品配置清单</w:t>
      </w:r>
    </w:p>
    <w:tbl>
      <w:tblPr>
        <w:tblStyle w:val="16"/>
        <w:tblW w:w="4996"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02"/>
        <w:gridCol w:w="1359"/>
        <w:gridCol w:w="1446"/>
        <w:gridCol w:w="1098"/>
        <w:gridCol w:w="1350"/>
        <w:gridCol w:w="2391"/>
        <w:gridCol w:w="957"/>
      </w:tblGrid>
      <w:tr w14:paraId="59B3688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27"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27C78ED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序号</w:t>
            </w:r>
          </w:p>
        </w:tc>
        <w:tc>
          <w:tcPr>
            <w:tcW w:w="73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81144DE">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品名</w:t>
            </w:r>
          </w:p>
        </w:tc>
        <w:tc>
          <w:tcPr>
            <w:tcW w:w="785"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7AE266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规格说明</w:t>
            </w:r>
          </w:p>
        </w:tc>
        <w:tc>
          <w:tcPr>
            <w:tcW w:w="596"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3EDABADF">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采购数量</w:t>
            </w:r>
          </w:p>
        </w:tc>
        <w:tc>
          <w:tcPr>
            <w:tcW w:w="733"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46D0FDD2">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投标</w:t>
            </w:r>
            <w:r>
              <w:rPr>
                <w:rFonts w:hint="eastAsia" w:ascii="宋体" w:hAnsi="宋体"/>
                <w:highlight w:val="none"/>
              </w:rPr>
              <w:t>数量</w:t>
            </w:r>
          </w:p>
        </w:tc>
        <w:tc>
          <w:tcPr>
            <w:tcW w:w="129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616CA0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偏离情况（填写“正偏离、</w:t>
            </w:r>
            <w:r>
              <w:rPr>
                <w:rFonts w:hint="eastAsia" w:ascii="宋体" w:hAnsi="宋体"/>
                <w:highlight w:val="none"/>
                <w:lang w:val="en-US" w:eastAsia="zh-CN"/>
              </w:rPr>
              <w:t>无偏离</w:t>
            </w:r>
            <w:r>
              <w:rPr>
                <w:rFonts w:hint="eastAsia" w:ascii="宋体" w:hAnsi="宋体"/>
                <w:highlight w:val="none"/>
              </w:rPr>
              <w:t>或负偏离”）</w:t>
            </w:r>
          </w:p>
        </w:tc>
        <w:tc>
          <w:tcPr>
            <w:tcW w:w="519"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281F3E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备注</w:t>
            </w:r>
          </w:p>
        </w:tc>
      </w:tr>
      <w:tr w14:paraId="0C11F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double" w:color="auto" w:sz="4" w:space="0"/>
              <w:left w:val="single" w:color="auto" w:sz="4" w:space="0"/>
              <w:bottom w:val="single" w:color="auto" w:sz="4" w:space="0"/>
              <w:right w:val="single" w:color="auto" w:sz="4" w:space="0"/>
            </w:tcBorders>
            <w:vAlign w:val="center"/>
          </w:tcPr>
          <w:p w14:paraId="226BB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38" w:type="pct"/>
            <w:tcBorders>
              <w:top w:val="double" w:color="auto" w:sz="4" w:space="0"/>
              <w:left w:val="single" w:color="auto" w:sz="4" w:space="0"/>
              <w:bottom w:val="single" w:color="auto" w:sz="4" w:space="0"/>
              <w:right w:val="single" w:color="auto" w:sz="4" w:space="0"/>
            </w:tcBorders>
            <w:vAlign w:val="center"/>
          </w:tcPr>
          <w:p w14:paraId="49504AD2">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double" w:color="auto" w:sz="4" w:space="0"/>
              <w:left w:val="single" w:color="auto" w:sz="4" w:space="0"/>
              <w:bottom w:val="single" w:color="auto" w:sz="4" w:space="0"/>
              <w:right w:val="single" w:color="auto" w:sz="4" w:space="0"/>
            </w:tcBorders>
            <w:vAlign w:val="center"/>
          </w:tcPr>
          <w:p w14:paraId="399BD18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double" w:color="auto" w:sz="4" w:space="0"/>
              <w:left w:val="single" w:color="auto" w:sz="4" w:space="0"/>
              <w:bottom w:val="single" w:color="auto" w:sz="4" w:space="0"/>
              <w:right w:val="single" w:color="auto" w:sz="4" w:space="0"/>
            </w:tcBorders>
            <w:vAlign w:val="center"/>
          </w:tcPr>
          <w:p w14:paraId="681D123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double" w:color="auto" w:sz="4" w:space="0"/>
              <w:left w:val="single" w:color="auto" w:sz="4" w:space="0"/>
              <w:bottom w:val="single" w:color="auto" w:sz="4" w:space="0"/>
              <w:right w:val="single" w:color="auto" w:sz="4" w:space="0"/>
            </w:tcBorders>
            <w:vAlign w:val="center"/>
          </w:tcPr>
          <w:p w14:paraId="11E35DC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double" w:color="auto" w:sz="4" w:space="0"/>
              <w:left w:val="single" w:color="auto" w:sz="4" w:space="0"/>
              <w:bottom w:val="single" w:color="auto" w:sz="4" w:space="0"/>
              <w:right w:val="single" w:color="auto" w:sz="4" w:space="0"/>
            </w:tcBorders>
            <w:vAlign w:val="center"/>
          </w:tcPr>
          <w:p w14:paraId="3B9FCC3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double" w:color="auto" w:sz="4" w:space="0"/>
              <w:left w:val="single" w:color="auto" w:sz="4" w:space="0"/>
              <w:bottom w:val="single" w:color="auto" w:sz="4" w:space="0"/>
              <w:right w:val="single" w:color="auto" w:sz="4" w:space="0"/>
            </w:tcBorders>
            <w:vAlign w:val="center"/>
          </w:tcPr>
          <w:p w14:paraId="6742F55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610D87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6EAC12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38" w:type="pct"/>
            <w:tcBorders>
              <w:top w:val="single" w:color="auto" w:sz="4" w:space="0"/>
              <w:left w:val="single" w:color="auto" w:sz="4" w:space="0"/>
              <w:bottom w:val="single" w:color="auto" w:sz="4" w:space="0"/>
              <w:right w:val="single" w:color="auto" w:sz="4" w:space="0"/>
            </w:tcBorders>
            <w:vAlign w:val="center"/>
          </w:tcPr>
          <w:p w14:paraId="5E3D5F7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FA75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220495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7270A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BAF619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6906FD8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1656BA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17C54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w:t>
            </w:r>
          </w:p>
        </w:tc>
        <w:tc>
          <w:tcPr>
            <w:tcW w:w="738" w:type="pct"/>
            <w:tcBorders>
              <w:top w:val="single" w:color="auto" w:sz="4" w:space="0"/>
              <w:left w:val="single" w:color="auto" w:sz="4" w:space="0"/>
              <w:bottom w:val="single" w:color="auto" w:sz="4" w:space="0"/>
              <w:right w:val="single" w:color="auto" w:sz="4" w:space="0"/>
            </w:tcBorders>
            <w:vAlign w:val="center"/>
          </w:tcPr>
          <w:p w14:paraId="25216D35">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247AEBA6">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192661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2241BF8">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0A80945A">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11E0420E">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0B694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33DA7F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38" w:type="pct"/>
            <w:tcBorders>
              <w:top w:val="single" w:color="auto" w:sz="4" w:space="0"/>
              <w:left w:val="single" w:color="auto" w:sz="4" w:space="0"/>
              <w:bottom w:val="single" w:color="auto" w:sz="4" w:space="0"/>
              <w:right w:val="single" w:color="auto" w:sz="4" w:space="0"/>
            </w:tcBorders>
            <w:vAlign w:val="center"/>
          </w:tcPr>
          <w:p w14:paraId="34C2F6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14A87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5108311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FE7BB6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FBC13D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343D8A2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B343F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050012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3DF3997D">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37F8DD0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134A4BC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26568D7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F72E6A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CE24A0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4ACF3B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CE6BB2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738" w:type="pct"/>
            <w:tcBorders>
              <w:top w:val="single" w:color="auto" w:sz="4" w:space="0"/>
              <w:left w:val="single" w:color="auto" w:sz="4" w:space="0"/>
              <w:bottom w:val="single" w:color="auto" w:sz="4" w:space="0"/>
              <w:right w:val="single" w:color="auto" w:sz="4" w:space="0"/>
            </w:tcBorders>
            <w:vAlign w:val="center"/>
          </w:tcPr>
          <w:p w14:paraId="5869EB8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0594AAA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67A414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42933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9713A4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5E5BAD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bl>
    <w:p w14:paraId="21CB7445">
      <w:pPr>
        <w:rPr>
          <w:rFonts w:asciiTheme="minorEastAsia" w:hAnsiTheme="minorEastAsia" w:cstheme="minorEastAsia"/>
          <w:szCs w:val="21"/>
        </w:rPr>
      </w:pPr>
    </w:p>
    <w:p w14:paraId="76382B3F">
      <w:pPr>
        <w:pStyle w:val="9"/>
        <w:numPr>
          <w:ilvl w:val="0"/>
          <w:numId w:val="0"/>
        </w:numPr>
        <w:tabs>
          <w:tab w:val="left" w:pos="540"/>
        </w:tabs>
        <w:adjustRightInd w:val="0"/>
        <w:snapToGrid w:val="0"/>
        <w:spacing w:line="360" w:lineRule="auto"/>
        <w:ind w:leftChars="0"/>
        <w:rPr>
          <w:rFonts w:hint="eastAsia" w:ascii="宋体" w:hAnsi="宋体"/>
        </w:rPr>
      </w:pPr>
      <w:r>
        <w:rPr>
          <w:rFonts w:hint="eastAsia" w:ascii="宋体" w:hAnsi="宋体"/>
        </w:rPr>
        <w:t>注：</w:t>
      </w:r>
    </w:p>
    <w:p w14:paraId="40CC3990">
      <w:pPr>
        <w:pStyle w:val="9"/>
        <w:numPr>
          <w:ilvl w:val="0"/>
          <w:numId w:val="13"/>
        </w:numPr>
        <w:tabs>
          <w:tab w:val="left" w:pos="540"/>
          <w:tab w:val="clear" w:pos="312"/>
        </w:tabs>
        <w:adjustRightInd w:val="0"/>
        <w:snapToGrid w:val="0"/>
        <w:spacing w:line="360" w:lineRule="auto"/>
        <w:ind w:leftChars="0"/>
        <w:rPr>
          <w:rFonts w:hint="eastAsia" w:ascii="宋体" w:hAnsi="宋体" w:eastAsia="宋体" w:cs="Times New Roman"/>
          <w:lang w:val="en-US" w:eastAsia="zh-CN"/>
        </w:rPr>
      </w:pPr>
      <w:r>
        <w:rPr>
          <w:rFonts w:hint="eastAsia" w:ascii="宋体" w:hAnsi="宋体" w:eastAsia="宋体" w:cs="Times New Roman"/>
        </w:rPr>
        <w:t>此表为项目采购标的清单的</w:t>
      </w:r>
      <w:r>
        <w:rPr>
          <w:rFonts w:hint="eastAsia" w:ascii="宋体" w:hAnsi="宋体" w:eastAsia="宋体" w:cs="Times New Roman"/>
          <w:lang w:val="en-US" w:eastAsia="zh-CN"/>
        </w:rPr>
        <w:t>响应情况表。</w:t>
      </w:r>
    </w:p>
    <w:p w14:paraId="5C82DA66">
      <w:pPr>
        <w:pStyle w:val="9"/>
        <w:numPr>
          <w:ilvl w:val="0"/>
          <w:numId w:val="13"/>
        </w:numPr>
        <w:tabs>
          <w:tab w:val="left" w:pos="540"/>
          <w:tab w:val="clear" w:pos="312"/>
        </w:tabs>
        <w:adjustRightInd w:val="0"/>
        <w:snapToGrid w:val="0"/>
        <w:spacing w:line="360" w:lineRule="auto"/>
        <w:ind w:leftChars="0"/>
        <w:rPr>
          <w:rFonts w:hint="default" w:ascii="宋体" w:hAnsi="宋体" w:eastAsia="宋体" w:cs="Times New Roman"/>
          <w:lang w:val="en-US" w:eastAsia="zh-CN"/>
        </w:rPr>
      </w:pPr>
      <w:r>
        <w:rPr>
          <w:rFonts w:hint="eastAsia" w:ascii="宋体" w:hAnsi="宋体" w:eastAsia="宋体" w:cs="Times New Roman"/>
          <w:lang w:val="en-US" w:eastAsia="zh-CN"/>
        </w:rPr>
        <w:t>投标人需根据招标文件采购数量如实填写投标数量。</w:t>
      </w:r>
    </w:p>
    <w:p w14:paraId="71BC2208">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768874C">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4C5FED8B">
      <w:pPr>
        <w:pStyle w:val="9"/>
        <w:numPr>
          <w:ilvl w:val="0"/>
          <w:numId w:val="0"/>
        </w:numPr>
        <w:tabs>
          <w:tab w:val="left" w:pos="540"/>
        </w:tabs>
        <w:adjustRightInd w:val="0"/>
        <w:snapToGrid w:val="0"/>
        <w:spacing w:line="360" w:lineRule="auto"/>
        <w:rPr>
          <w:rFonts w:hint="default" w:ascii="宋体" w:hAnsi="宋体" w:eastAsia="宋体" w:cs="Times New Roman"/>
          <w:lang w:val="en-US" w:eastAsia="zh-CN"/>
        </w:rPr>
      </w:pPr>
    </w:p>
    <w:p w14:paraId="51884ACB">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r>
        <w:rPr>
          <w:rFonts w:ascii="宋体" w:hAnsi="宋体"/>
          <w:color w:val="000000"/>
        </w:rPr>
        <w:br w:type="page"/>
      </w:r>
      <w:bookmarkStart w:id="38" w:name="_Toc20322_WPSOffice_Level1"/>
      <w:bookmarkStart w:id="39" w:name="_Toc1762"/>
      <w:bookmarkStart w:id="40" w:name="_Toc275865605"/>
      <w:bookmarkStart w:id="41" w:name="_Toc24434"/>
      <w:bookmarkStart w:id="42" w:name="_Toc435514854"/>
      <w:bookmarkStart w:id="43" w:name="_Toc435515294"/>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十二</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38"/>
      <w:bookmarkEnd w:id="39"/>
      <w:bookmarkEnd w:id="40"/>
      <w:bookmarkEnd w:id="41"/>
      <w:bookmarkEnd w:id="42"/>
      <w:bookmarkEnd w:id="4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14"/>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4"/>
        </w:numPr>
        <w:tabs>
          <w:tab w:val="clear" w:pos="780"/>
        </w:tabs>
        <w:snapToGrid w:val="0"/>
        <w:spacing w:line="360" w:lineRule="auto"/>
        <w:ind w:left="426" w:leftChars="0" w:hanging="360" w:firstLineChars="0"/>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4" w:name="_Toc24650"/>
      <w:bookmarkStart w:id="45" w:name="_Toc4649"/>
      <w:bookmarkStart w:id="46" w:name="_Toc275865606"/>
      <w:bookmarkStart w:id="47" w:name="_Toc435515295"/>
      <w:bookmarkStart w:id="48" w:name="_Toc435514855"/>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投标人资格声明函</w:t>
      </w:r>
      <w:bookmarkEnd w:id="44"/>
      <w:bookmarkEnd w:id="45"/>
      <w:bookmarkEnd w:id="46"/>
      <w:bookmarkEnd w:id="47"/>
      <w:bookmarkEnd w:id="48"/>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6"/>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5"/>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5"/>
        </w:numPr>
        <w:spacing w:line="360" w:lineRule="auto"/>
        <w:ind w:left="0" w:leftChars="0" w:right="-815" w:rightChars="0" w:firstLine="420"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5"/>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5"/>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5"/>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5"/>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5"/>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5"/>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5"/>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5"/>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49" w:name="_承诺函"/>
      <w:bookmarkEnd w:id="49"/>
      <w:bookmarkStart w:id="50" w:name="_Toc50737297"/>
      <w:bookmarkStart w:id="51" w:name="_Toc435514859"/>
      <w:bookmarkStart w:id="52" w:name="_Toc52165081"/>
      <w:bookmarkStart w:id="53" w:name="_Toc27672"/>
      <w:bookmarkStart w:id="54" w:name="_Toc50736477"/>
      <w:bookmarkStart w:id="55" w:name="_Toc50737329"/>
      <w:bookmarkStart w:id="56" w:name="_Toc435515299"/>
      <w:bookmarkStart w:id="57" w:name="_Toc24149"/>
      <w:bookmarkStart w:id="58" w:name="_Toc275865607"/>
      <w:bookmarkStart w:id="59" w:name="_Toc50691034"/>
      <w:bookmarkStart w:id="60" w:name="_Toc50737296"/>
      <w:bookmarkStart w:id="61" w:name="_Toc50736476"/>
      <w:bookmarkStart w:id="62" w:name="_Toc52165080"/>
      <w:bookmarkStart w:id="63" w:name="_Toc50737328"/>
      <w:r>
        <w:rPr>
          <w:rFonts w:hint="eastAsia" w:cs="宋体" w:asciiTheme="majorEastAsia" w:hAnsiTheme="majorEastAsia" w:eastAsiaTheme="majorEastAsia"/>
          <w:kern w:val="2"/>
          <w:sz w:val="30"/>
          <w:szCs w:val="30"/>
          <w:lang w:val="en-US" w:eastAsia="zh-CN" w:bidi="ar-SA"/>
        </w:rPr>
        <w:t>（十四）政府采购违法行为风险知悉确认书</w:t>
      </w:r>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33"/>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法定代表人授权委托书</w:t>
      </w:r>
      <w:bookmarkEnd w:id="50"/>
      <w:bookmarkEnd w:id="51"/>
      <w:bookmarkEnd w:id="52"/>
      <w:bookmarkEnd w:id="53"/>
      <w:bookmarkEnd w:id="54"/>
      <w:bookmarkEnd w:id="55"/>
      <w:bookmarkEnd w:id="56"/>
      <w:bookmarkEnd w:id="57"/>
      <w:bookmarkEnd w:id="58"/>
    </w:p>
    <w:p w14:paraId="232C51C3">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9"/>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5"/>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64" w:name="_Toc275865608"/>
      <w:bookmarkStart w:id="65" w:name="_Toc435515300"/>
      <w:bookmarkStart w:id="66" w:name="_Toc435514860"/>
      <w:bookmarkStart w:id="67" w:name="_Toc14289"/>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46D4BB7D">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Theme="majorEastAsia" w:hAnsiTheme="majorEastAsia" w:eastAsiaTheme="majorEastAsia"/>
          <w:sz w:val="30"/>
          <w:szCs w:val="30"/>
        </w:rPr>
        <w:br w:type="page"/>
      </w:r>
    </w:p>
    <w:bookmarkEnd w:id="59"/>
    <w:bookmarkEnd w:id="60"/>
    <w:bookmarkEnd w:id="61"/>
    <w:bookmarkEnd w:id="62"/>
    <w:bookmarkEnd w:id="63"/>
    <w:bookmarkEnd w:id="64"/>
    <w:bookmarkEnd w:id="65"/>
    <w:bookmarkEnd w:id="66"/>
    <w:bookmarkEnd w:id="67"/>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68" w:name="_Toc6666"/>
      <w:bookmarkStart w:id="69" w:name="_Toc7067"/>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68"/>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3A73B24C">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A4F398">
      <w:pPr>
        <w:spacing w:line="360" w:lineRule="auto"/>
        <w:ind w:firstLine="422" w:firstLineChars="200"/>
        <w:rPr>
          <w:rFonts w:hint="eastAsia" w:ascii="宋体" w:hAnsi="宋体" w:eastAsia="宋体" w:cs="宋体"/>
          <w:b/>
          <w:bCs w:val="0"/>
          <w:color w:val="auto"/>
          <w:kern w:val="0"/>
          <w:sz w:val="21"/>
          <w:szCs w:val="21"/>
          <w:highlight w:val="none"/>
          <w:lang w:eastAsia="zh-CN"/>
        </w:rPr>
      </w:pPr>
    </w:p>
    <w:p w14:paraId="08E7BD5D">
      <w:pPr>
        <w:spacing w:line="360" w:lineRule="auto"/>
        <w:ind w:firstLine="422" w:firstLineChars="200"/>
      </w:pPr>
      <w:r>
        <w:rPr>
          <w:rFonts w:hint="eastAsia" w:ascii="宋体" w:hAnsi="宋体" w:eastAsia="宋体" w:cs="宋体"/>
          <w:b/>
          <w:bCs w:val="0"/>
          <w:color w:val="auto"/>
          <w:kern w:val="0"/>
          <w:sz w:val="21"/>
          <w:szCs w:val="21"/>
          <w:highlight w:val="none"/>
          <w:lang w:val="en-US" w:eastAsia="zh-CN"/>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0" w:name="_Toc24233"/>
      <w:r>
        <w:rPr>
          <w:rFonts w:hint="eastAsia" w:cs="宋体" w:asciiTheme="majorEastAsia" w:hAnsiTheme="majorEastAsia" w:eastAsiaTheme="majorEastAsia"/>
          <w:kern w:val="2"/>
          <w:sz w:val="30"/>
          <w:szCs w:val="30"/>
          <w:lang w:val="en-US" w:eastAsia="zh-CN" w:bidi="ar-SA"/>
        </w:rPr>
        <w:t>（十七）</w:t>
      </w:r>
      <w:r>
        <w:rPr>
          <w:rFonts w:hint="eastAsia" w:asciiTheme="majorEastAsia" w:hAnsiTheme="majorEastAsia" w:eastAsiaTheme="majorEastAsia"/>
          <w:sz w:val="30"/>
          <w:szCs w:val="30"/>
        </w:rPr>
        <w:t>法定代表人证明书</w:t>
      </w:r>
      <w:bookmarkEnd w:id="69"/>
      <w:bookmarkEnd w:id="70"/>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71" w:name="_Toc24644"/>
      <w:r>
        <w:rPr>
          <w:rFonts w:hint="eastAsia" w:ascii="宋体" w:hAnsi="宋体" w:eastAsia="宋体" w:cs="宋体"/>
          <w:kern w:val="2"/>
          <w:sz w:val="30"/>
          <w:szCs w:val="30"/>
          <w:lang w:val="en-US" w:eastAsia="zh-CN" w:bidi="ar-SA"/>
        </w:rPr>
        <w:t>（十八）</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71"/>
    </w:p>
    <w:p w14:paraId="0263054A">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72" w:name="_Toc2305"/>
      <w:bookmarkStart w:id="73" w:name="_Toc7126"/>
      <w:bookmarkStart w:id="74" w:name="_Toc11352"/>
      <w:bookmarkStart w:id="75" w:name="_Toc777"/>
      <w:bookmarkStart w:id="76" w:name="_Toc25910"/>
      <w:bookmarkStart w:id="77" w:name="_Toc15871"/>
      <w:r>
        <w:rPr>
          <w:rFonts w:hint="eastAsia" w:ascii="宋体" w:hAnsi="宋体" w:eastAsia="宋体" w:cs="宋体"/>
          <w:color w:val="auto"/>
          <w:kern w:val="2"/>
          <w:sz w:val="30"/>
          <w:szCs w:val="30"/>
          <w:lang w:val="en-US" w:eastAsia="zh-CN" w:bidi="ar-SA"/>
        </w:rPr>
        <w:t>（十九）</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72"/>
      <w:bookmarkEnd w:id="73"/>
      <w:bookmarkEnd w:id="74"/>
      <w:bookmarkEnd w:id="75"/>
      <w:bookmarkEnd w:id="76"/>
      <w:bookmarkEnd w:id="77"/>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5"/>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006300D">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78" w:name="_Toc8619"/>
      <w:bookmarkStart w:id="79" w:name="_Toc435515308"/>
      <w:bookmarkStart w:id="80" w:name="_Toc435514868"/>
      <w:r>
        <w:rPr>
          <w:rFonts w:hint="eastAsia" w:asciiTheme="majorEastAsia" w:hAnsiTheme="majorEastAsia" w:eastAsiaTheme="majorEastAsia"/>
          <w:sz w:val="30"/>
          <w:szCs w:val="30"/>
        </w:rPr>
        <w:br w:type="page"/>
      </w: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81" w:name="_Toc29264"/>
      <w:r>
        <w:rPr>
          <w:rFonts w:hint="eastAsia" w:cs="宋体" w:asciiTheme="majorEastAsia" w:hAnsiTheme="majorEastAsia" w:eastAsiaTheme="majorEastAsia"/>
          <w:kern w:val="2"/>
          <w:sz w:val="30"/>
          <w:szCs w:val="30"/>
          <w:lang w:val="en-US" w:eastAsia="zh-CN" w:bidi="ar-SA"/>
        </w:rPr>
        <w:t>（二十）</w:t>
      </w:r>
      <w:r>
        <w:rPr>
          <w:rFonts w:hint="eastAsia" w:asciiTheme="majorEastAsia" w:hAnsiTheme="majorEastAsia" w:eastAsiaTheme="majorEastAsia"/>
          <w:sz w:val="30"/>
          <w:szCs w:val="30"/>
        </w:rPr>
        <w:t>技术规格偏离表</w:t>
      </w:r>
      <w:bookmarkEnd w:id="81"/>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1D64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DF9696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FB38C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D4E48A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015303A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67486C06">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47EF3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82" w:name="_Toc1851"/>
      <w:r>
        <w:rPr>
          <w:rFonts w:hint="eastAsia" w:cs="宋体" w:asciiTheme="majorEastAsia" w:hAnsiTheme="majorEastAsia" w:eastAsiaTheme="majorEastAsia"/>
          <w:kern w:val="2"/>
          <w:sz w:val="30"/>
          <w:szCs w:val="30"/>
          <w:lang w:val="en-US" w:eastAsia="zh-CN" w:bidi="ar-SA"/>
        </w:rPr>
        <w:t>（二十一）</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78"/>
      <w:bookmarkEnd w:id="82"/>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79"/>
    <w:bookmarkEnd w:id="80"/>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bookmarkStart w:id="83" w:name="_Toc435515318"/>
      <w:bookmarkStart w:id="84" w:name="_Toc173553195"/>
      <w:bookmarkStart w:id="85" w:name="_Toc435514878"/>
      <w:bookmarkStart w:id="86" w:name="_Toc275865626"/>
    </w:p>
    <w:p w14:paraId="57099E2D">
      <w:pPr>
        <w:pStyle w:val="3"/>
        <w:numPr>
          <w:ilvl w:val="0"/>
          <w:numId w:val="0"/>
        </w:numPr>
        <w:jc w:val="center"/>
        <w:outlineLvl w:val="9"/>
        <w:rPr>
          <w:rFonts w:hint="eastAsia" w:ascii="宋体" w:hAnsi="宋体" w:cs="宋体" w:eastAsiaTheme="minorEastAsia"/>
          <w:kern w:val="2"/>
          <w:sz w:val="30"/>
          <w:szCs w:val="30"/>
          <w:lang w:val="en-US" w:eastAsia="zh-CN" w:bidi="ar-SA"/>
        </w:rPr>
      </w:pPr>
      <w:bookmarkStart w:id="87" w:name="_Toc5084"/>
      <w:bookmarkStart w:id="88" w:name="_Toc24015580"/>
      <w:bookmarkStart w:id="89" w:name="_Toc23178"/>
    </w:p>
    <w:p w14:paraId="7A683F8F">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34D72260">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16B3BBAB">
      <w:pPr>
        <w:pStyle w:val="3"/>
        <w:numPr>
          <w:ilvl w:val="0"/>
          <w:numId w:val="0"/>
        </w:numPr>
        <w:ind w:left="0" w:leftChars="0" w:firstLine="0" w:firstLineChars="0"/>
        <w:jc w:val="center"/>
        <w:outlineLvl w:val="0"/>
        <w:rPr>
          <w:rFonts w:ascii="宋体" w:hAnsi="宋体"/>
          <w:sz w:val="30"/>
          <w:szCs w:val="30"/>
        </w:rPr>
      </w:pPr>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二十二</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outlineLvl w:val="0"/>
        <w:rPr>
          <w:rFonts w:hint="eastAsia" w:asciiTheme="minorEastAsia" w:hAnsi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二十三</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outlineLvl w:val="1"/>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16"/>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16"/>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w:t>
      </w:r>
      <w:r>
        <w:rPr>
          <w:rFonts w:ascii="宋体" w:hAnsi="宋体" w:cs="宋体"/>
          <w:color w:val="000000" w:themeColor="text1"/>
          <w:szCs w:val="21"/>
          <w14:textFill>
            <w14:solidFill>
              <w14:schemeClr w14:val="tx1"/>
            </w14:solidFill>
          </w14:textFill>
        </w:rPr>
        <w:t>费</w:t>
      </w:r>
      <w:r>
        <w:rPr>
          <w:rFonts w:ascii="宋体" w:hAnsi="宋体" w:cs="宋体"/>
          <w:color w:val="000000" w:themeColor="text1"/>
          <w:szCs w:val="21"/>
          <w:highlight w:val="yellow"/>
          <w14:textFill>
            <w14:solidFill>
              <w14:schemeClr w14:val="tx1"/>
            </w14:solidFill>
          </w14:textFill>
        </w:rPr>
        <w:t>保修期</w:t>
      </w:r>
      <w:r>
        <w:rPr>
          <w:rFonts w:hint="eastAsia" w:ascii="宋体" w:hAnsi="宋体" w:cs="宋体"/>
          <w:color w:val="000000" w:themeColor="text1"/>
          <w:szCs w:val="21"/>
          <w:highlight w:val="yellow"/>
          <w14:textFill>
            <w14:solidFill>
              <w14:schemeClr w14:val="tx1"/>
            </w14:solidFill>
          </w14:textFill>
        </w:rPr>
        <w:t>叁</w:t>
      </w:r>
      <w:r>
        <w:rPr>
          <w:rFonts w:ascii="宋体" w:hAnsi="宋体" w:cs="宋体"/>
          <w:color w:val="000000" w:themeColor="text1"/>
          <w:szCs w:val="21"/>
          <w:highlight w:val="yellow"/>
          <w14:textFill>
            <w14:solidFill>
              <w14:schemeClr w14:val="tx1"/>
            </w14:solidFill>
          </w14:textFill>
        </w:rPr>
        <w:t>年</w:t>
      </w:r>
      <w:r>
        <w:rPr>
          <w:rFonts w:ascii="宋体" w:hAnsi="宋体" w:cs="宋体"/>
          <w:szCs w:val="21"/>
        </w:rPr>
        <w:t>，终身有偿维修。年度定期预防性维护保养次数应</w:t>
      </w:r>
      <w:r>
        <w:rPr>
          <w:rFonts w:ascii="宋体" w:hAnsi="宋体" w:cs="宋体"/>
          <w:szCs w:val="21"/>
          <w:highlight w:val="yellow"/>
        </w:rPr>
        <w:t>不少于2次</w:t>
      </w:r>
      <w:r>
        <w:rPr>
          <w:rFonts w:hint="eastAsia" w:ascii="宋体" w:hAnsi="宋体" w:cs="宋体"/>
          <w:szCs w:val="21"/>
          <w:highlight w:val="yellow"/>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rPr>
          <w:highlight w:val="yellow"/>
        </w:rPr>
        <w:t>2.由我方提供售后服务，2小时内响应，8小时维修到位（不可抗力情况除外）。消耗品和零配件供应及时，特殊情况下可提供备用机</w:t>
      </w:r>
      <w:r>
        <w:t>。</w:t>
      </w:r>
      <w:r>
        <w:rPr>
          <w:rFonts w:hint="eastAsia"/>
        </w:rPr>
        <w:t xml:space="preserve">   </w:t>
      </w:r>
    </w:p>
    <w:p w14:paraId="44D01A4A">
      <w:pPr>
        <w:outlineLvl w:val="9"/>
      </w:pPr>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8FC25D">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A806D6A">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2FE106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A407C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5E40BD2">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（二十四）</w:t>
      </w:r>
      <w:bookmarkEnd w:id="87"/>
      <w:r>
        <w:rPr>
          <w:rFonts w:hint="eastAsia" w:cs="宋体" w:asciiTheme="majorEastAsia" w:hAnsiTheme="majorEastAsia" w:eastAsiaTheme="majorEastAsia"/>
          <w:kern w:val="2"/>
          <w:sz w:val="30"/>
          <w:szCs w:val="30"/>
          <w:lang w:val="en-US" w:eastAsia="zh-CN" w:bidi="ar-SA"/>
        </w:rPr>
        <w:t>技术保障措施</w:t>
      </w:r>
    </w:p>
    <w:p w14:paraId="32448156">
      <w:pPr>
        <w:keepNext w:val="0"/>
        <w:keepLines w:val="0"/>
        <w:widowControl/>
        <w:suppressLineNumbers w:val="0"/>
        <w:jc w:val="center"/>
        <w:textAlignment w:val="center"/>
        <w:outlineLvl w:val="9"/>
        <w:rPr>
          <w:rFonts w:hint="default"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05FF5B71">
      <w:pPr>
        <w:pStyle w:val="3"/>
        <w:numPr>
          <w:ilvl w:val="0"/>
          <w:numId w:val="0"/>
        </w:numPr>
        <w:spacing w:line="240" w:lineRule="auto"/>
        <w:ind w:left="0" w:leftChars="0" w:firstLine="0" w:firstLineChars="0"/>
        <w:jc w:val="center"/>
        <w:outlineLvl w:val="9"/>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90" w:name="_Toc435515322"/>
      <w:bookmarkStart w:id="91" w:name="_Toc435514882"/>
    </w:p>
    <w:p w14:paraId="44FBB5B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15"/>
        <w:numPr>
          <w:ilvl w:val="0"/>
          <w:numId w:val="0"/>
        </w:numPr>
        <w:ind w:left="0" w:leftChars="0" w:firstLine="0" w:firstLineChars="0"/>
        <w:jc w:val="both"/>
        <w:rPr>
          <w:rFonts w:hint="eastAsia" w:asciiTheme="majorEastAsia" w:hAnsiTheme="majorEastAsia" w:eastAsiaTheme="minorEastAsia" w:cstheme="minorBidi"/>
          <w:kern w:val="2"/>
          <w:sz w:val="32"/>
          <w:szCs w:val="32"/>
          <w:lang w:val="en-US" w:eastAsia="zh-CN" w:bidi="ar-SA"/>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（二十五）有效业绩</w:t>
      </w:r>
    </w:p>
    <w:p w14:paraId="4A0B5855">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7FDCF3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F9ADBB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E12505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34E2CF8">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（二十六）履约评价</w:t>
      </w:r>
    </w:p>
    <w:p w14:paraId="7FB48CE9">
      <w:pPr>
        <w:pStyle w:val="15"/>
        <w:widowControl w:val="0"/>
        <w:numPr>
          <w:ilvl w:val="0"/>
          <w:numId w:val="0"/>
        </w:numPr>
        <w:spacing w:line="560" w:lineRule="exact"/>
        <w:jc w:val="center"/>
        <w:rPr>
          <w:rFonts w:hint="eastAsia" w:asciiTheme="majorEastAsia" w:hAnsiTheme="majorEastAsia"/>
          <w:sz w:val="32"/>
          <w:szCs w:val="32"/>
        </w:rPr>
      </w:pPr>
    </w:p>
    <w:p w14:paraId="1E64563B">
      <w:pPr>
        <w:pStyle w:val="15"/>
        <w:widowControl w:val="0"/>
        <w:numPr>
          <w:ilvl w:val="0"/>
          <w:numId w:val="0"/>
        </w:numPr>
        <w:spacing w:line="560" w:lineRule="exact"/>
        <w:jc w:val="center"/>
        <w:rPr>
          <w:rFonts w:hint="eastAsia" w:asciiTheme="majorEastAsia" w:hAnsiTheme="majorEastAsia"/>
          <w:sz w:val="32"/>
          <w:szCs w:val="32"/>
        </w:rPr>
      </w:pPr>
    </w:p>
    <w:p w14:paraId="1E9153AC">
      <w:pPr>
        <w:pStyle w:val="15"/>
        <w:widowControl w:val="0"/>
        <w:numPr>
          <w:ilvl w:val="0"/>
          <w:numId w:val="0"/>
        </w:numPr>
        <w:spacing w:line="560" w:lineRule="exact"/>
        <w:jc w:val="center"/>
        <w:rPr>
          <w:rFonts w:hint="eastAsia" w:asciiTheme="majorEastAsia" w:hAnsiTheme="majorEastAsia"/>
          <w:sz w:val="32"/>
          <w:szCs w:val="32"/>
        </w:rPr>
      </w:pPr>
    </w:p>
    <w:p w14:paraId="5F101BCF">
      <w:pPr>
        <w:pStyle w:val="15"/>
        <w:widowControl w:val="0"/>
        <w:numPr>
          <w:ilvl w:val="0"/>
          <w:numId w:val="0"/>
        </w:numPr>
        <w:spacing w:line="560" w:lineRule="exact"/>
        <w:jc w:val="center"/>
        <w:rPr>
          <w:rFonts w:hint="eastAsia" w:asciiTheme="majorEastAsia" w:hAnsiTheme="majorEastAsia"/>
          <w:sz w:val="32"/>
          <w:szCs w:val="32"/>
        </w:rPr>
      </w:pPr>
    </w:p>
    <w:p w14:paraId="1F62F63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175A2CD7">
      <w:pPr>
        <w:snapToGrid w:val="0"/>
        <w:ind w:left="0" w:leftChars="0" w:firstLine="0" w:firstLineChars="0"/>
        <w:jc w:val="center"/>
        <w:rPr>
          <w:rFonts w:hint="eastAsia" w:asciiTheme="majorEastAsia" w:hAnsiTheme="majorEastAsia" w:eastAsiaTheme="majorEastAsia"/>
          <w:sz w:val="30"/>
          <w:szCs w:val="30"/>
          <w:lang w:eastAsia="zh-CN"/>
        </w:rPr>
      </w:pPr>
    </w:p>
    <w:p w14:paraId="46420AF4">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二十七</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质保期</w:t>
      </w:r>
    </w:p>
    <w:p w14:paraId="1535852E">
      <w:pPr>
        <w:snapToGrid w:val="0"/>
        <w:ind w:left="0" w:leftChars="0" w:firstLine="0" w:firstLineChars="0"/>
        <w:jc w:val="center"/>
        <w:outlineLvl w:val="9"/>
        <w:rPr>
          <w:rFonts w:hint="eastAsia" w:asciiTheme="majorEastAsia" w:hAnsiTheme="majorEastAsia" w:eastAsiaTheme="minorEastAsia" w:cstheme="minorBidi"/>
          <w:kern w:val="2"/>
          <w:sz w:val="30"/>
          <w:szCs w:val="30"/>
          <w:lang w:val="en-US" w:eastAsia="zh-CN" w:bidi="ar-SA"/>
        </w:rPr>
      </w:pPr>
      <w:r>
        <w:rPr>
          <w:rFonts w:hint="eastAsia" w:asciiTheme="majorEastAsia" w:hAnsiTheme="majorEastAsia" w:eastAsiaTheme="minorEastAsia" w:cstheme="minorBidi"/>
          <w:kern w:val="2"/>
          <w:sz w:val="30"/>
          <w:szCs w:val="30"/>
          <w:lang w:val="en-US" w:eastAsia="zh-CN" w:bidi="ar-SA"/>
        </w:rPr>
        <w:t>（根据投标人情况提供承诺，格式自拟）</w:t>
      </w:r>
    </w:p>
    <w:p w14:paraId="1785BFA1">
      <w:pPr>
        <w:jc w:val="center"/>
        <w:rPr>
          <w:rFonts w:hint="eastAsia" w:asciiTheme="majorEastAsia" w:hAnsiTheme="majorEastAsia" w:eastAsiaTheme="majorEastAsia"/>
          <w:sz w:val="30"/>
          <w:szCs w:val="30"/>
          <w:lang w:eastAsia="zh-CN"/>
        </w:rPr>
      </w:pPr>
    </w:p>
    <w:p w14:paraId="076E8443">
      <w:pPr>
        <w:pStyle w:val="5"/>
        <w:rPr>
          <w:rFonts w:hint="eastAsia" w:asciiTheme="majorEastAsia" w:hAnsiTheme="majorEastAsia" w:eastAsiaTheme="majorEastAsia"/>
          <w:sz w:val="30"/>
          <w:szCs w:val="30"/>
          <w:lang w:eastAsia="zh-CN"/>
        </w:rPr>
      </w:pPr>
    </w:p>
    <w:p w14:paraId="6F8BD450">
      <w:pPr>
        <w:rPr>
          <w:rFonts w:hint="eastAsia" w:asciiTheme="majorEastAsia" w:hAnsiTheme="majorEastAsia" w:eastAsiaTheme="majorEastAsia"/>
          <w:sz w:val="30"/>
          <w:szCs w:val="30"/>
          <w:lang w:eastAsia="zh-CN"/>
        </w:rPr>
      </w:pPr>
    </w:p>
    <w:p w14:paraId="51439EBE">
      <w:pPr>
        <w:rPr>
          <w:rFonts w:hint="eastAsia" w:asciiTheme="majorEastAsia" w:hAnsiTheme="majorEastAsia" w:eastAsiaTheme="majorEastAsia"/>
          <w:sz w:val="30"/>
          <w:szCs w:val="30"/>
          <w:lang w:eastAsia="zh-CN"/>
        </w:rPr>
      </w:pPr>
    </w:p>
    <w:p w14:paraId="70E44D4C">
      <w:pPr>
        <w:rPr>
          <w:rFonts w:hint="eastAsia" w:asciiTheme="majorEastAsia" w:hAnsiTheme="majorEastAsia" w:eastAsiaTheme="majorEastAsia"/>
          <w:sz w:val="30"/>
          <w:szCs w:val="30"/>
          <w:lang w:eastAsia="zh-CN"/>
        </w:rPr>
      </w:pPr>
    </w:p>
    <w:p w14:paraId="77D7B746">
      <w:pPr>
        <w:rPr>
          <w:rFonts w:hint="eastAsia" w:asciiTheme="majorEastAsia" w:hAnsiTheme="majorEastAsia" w:eastAsiaTheme="majorEastAsia"/>
          <w:sz w:val="30"/>
          <w:szCs w:val="30"/>
          <w:lang w:eastAsia="zh-CN"/>
        </w:rPr>
      </w:pPr>
    </w:p>
    <w:p w14:paraId="5D61D772">
      <w:pPr>
        <w:rPr>
          <w:rFonts w:hint="eastAsia" w:asciiTheme="majorEastAsia" w:hAnsiTheme="majorEastAsia" w:eastAsiaTheme="majorEastAsia"/>
          <w:sz w:val="30"/>
          <w:szCs w:val="30"/>
          <w:lang w:eastAsia="zh-CN"/>
        </w:rPr>
      </w:pPr>
    </w:p>
    <w:p w14:paraId="4D3D118A">
      <w:pPr>
        <w:rPr>
          <w:rFonts w:hint="eastAsia" w:asciiTheme="majorEastAsia" w:hAnsiTheme="majorEastAsia" w:eastAsiaTheme="majorEastAsia"/>
          <w:sz w:val="30"/>
          <w:szCs w:val="30"/>
          <w:lang w:eastAsia="zh-CN"/>
        </w:rPr>
      </w:pPr>
    </w:p>
    <w:p w14:paraId="5302882E">
      <w:pPr>
        <w:rPr>
          <w:rFonts w:hint="eastAsia" w:asciiTheme="majorEastAsia" w:hAnsiTheme="majorEastAsia" w:eastAsiaTheme="majorEastAsia"/>
          <w:sz w:val="30"/>
          <w:szCs w:val="30"/>
          <w:lang w:eastAsia="zh-CN"/>
        </w:rPr>
      </w:pPr>
    </w:p>
    <w:p w14:paraId="295B4F01">
      <w:pPr>
        <w:rPr>
          <w:rFonts w:hint="eastAsia" w:asciiTheme="majorEastAsia" w:hAnsiTheme="majorEastAsia" w:eastAsiaTheme="majorEastAsia"/>
          <w:sz w:val="30"/>
          <w:szCs w:val="30"/>
          <w:lang w:eastAsia="zh-CN"/>
        </w:rPr>
      </w:pPr>
    </w:p>
    <w:p w14:paraId="1A606DEA">
      <w:pPr>
        <w:rPr>
          <w:rFonts w:hint="eastAsia" w:asciiTheme="majorEastAsia" w:hAnsiTheme="majorEastAsia" w:eastAsiaTheme="majorEastAsia"/>
          <w:sz w:val="30"/>
          <w:szCs w:val="30"/>
          <w:lang w:eastAsia="zh-CN"/>
        </w:rPr>
      </w:pPr>
    </w:p>
    <w:p w14:paraId="726B63A6">
      <w:pPr>
        <w:rPr>
          <w:rFonts w:hint="eastAsia" w:asciiTheme="majorEastAsia" w:hAnsiTheme="majorEastAsia" w:eastAsiaTheme="majorEastAsia"/>
          <w:sz w:val="30"/>
          <w:szCs w:val="30"/>
          <w:lang w:eastAsia="zh-CN"/>
        </w:rPr>
      </w:pPr>
    </w:p>
    <w:p w14:paraId="5D363DC9">
      <w:pPr>
        <w:rPr>
          <w:rFonts w:hint="eastAsia" w:asciiTheme="majorEastAsia" w:hAnsiTheme="majorEastAsia" w:eastAsiaTheme="majorEastAsia"/>
          <w:sz w:val="30"/>
          <w:szCs w:val="30"/>
          <w:lang w:eastAsia="zh-CN"/>
        </w:rPr>
      </w:pPr>
    </w:p>
    <w:p w14:paraId="55ED6738">
      <w:pPr>
        <w:rPr>
          <w:rFonts w:hint="eastAsia" w:asciiTheme="majorEastAsia" w:hAnsiTheme="majorEastAsia" w:eastAsiaTheme="majorEastAsia"/>
          <w:sz w:val="30"/>
          <w:szCs w:val="30"/>
          <w:lang w:eastAsia="zh-CN"/>
        </w:rPr>
      </w:pPr>
    </w:p>
    <w:p w14:paraId="44188481">
      <w:pPr>
        <w:rPr>
          <w:rFonts w:hint="eastAsia" w:asciiTheme="majorEastAsia" w:hAnsiTheme="majorEastAsia" w:eastAsiaTheme="majorEastAsia"/>
          <w:sz w:val="30"/>
          <w:szCs w:val="30"/>
          <w:lang w:eastAsia="zh-CN"/>
        </w:rPr>
      </w:pPr>
    </w:p>
    <w:p w14:paraId="0E08CF18">
      <w:pPr>
        <w:rPr>
          <w:rFonts w:hint="eastAsia" w:asciiTheme="majorEastAsia" w:hAnsiTheme="majorEastAsia" w:eastAsiaTheme="majorEastAsia"/>
          <w:sz w:val="30"/>
          <w:szCs w:val="30"/>
          <w:lang w:eastAsia="zh-CN"/>
        </w:rPr>
      </w:pPr>
    </w:p>
    <w:p w14:paraId="54F7E3A7">
      <w:pPr>
        <w:rPr>
          <w:rFonts w:hint="eastAsia" w:asciiTheme="majorEastAsia" w:hAnsiTheme="majorEastAsia" w:eastAsiaTheme="majorEastAsia"/>
          <w:sz w:val="30"/>
          <w:szCs w:val="30"/>
          <w:lang w:eastAsia="zh-CN"/>
        </w:rPr>
      </w:pPr>
    </w:p>
    <w:p w14:paraId="4FD042A8">
      <w:pPr>
        <w:rPr>
          <w:rFonts w:hint="eastAsia" w:asciiTheme="majorEastAsia" w:hAnsiTheme="majorEastAsia" w:eastAsiaTheme="majorEastAsia"/>
          <w:sz w:val="30"/>
          <w:szCs w:val="30"/>
          <w:lang w:eastAsia="zh-CN"/>
        </w:rPr>
      </w:pPr>
    </w:p>
    <w:p w14:paraId="4B38098E">
      <w:pPr>
        <w:rPr>
          <w:rFonts w:hint="eastAsia" w:asciiTheme="majorEastAsia" w:hAnsiTheme="majorEastAsia" w:eastAsiaTheme="majorEastAsia"/>
          <w:sz w:val="30"/>
          <w:szCs w:val="30"/>
          <w:lang w:eastAsia="zh-CN"/>
        </w:rPr>
      </w:pPr>
    </w:p>
    <w:p w14:paraId="29E48FF0">
      <w:pPr>
        <w:rPr>
          <w:rFonts w:hint="eastAsia" w:asciiTheme="majorEastAsia" w:hAnsiTheme="majorEastAsia" w:eastAsiaTheme="majorEastAsia"/>
          <w:sz w:val="30"/>
          <w:szCs w:val="30"/>
          <w:lang w:eastAsia="zh-CN"/>
        </w:rPr>
      </w:pPr>
    </w:p>
    <w:p w14:paraId="6E958AAC">
      <w:pPr>
        <w:rPr>
          <w:rFonts w:hint="eastAsia" w:asciiTheme="majorEastAsia" w:hAnsiTheme="majorEastAsia" w:eastAsiaTheme="majorEastAsia"/>
          <w:sz w:val="30"/>
          <w:szCs w:val="30"/>
          <w:lang w:eastAsia="zh-CN"/>
        </w:rPr>
      </w:pPr>
    </w:p>
    <w:p w14:paraId="3323938C">
      <w:pPr>
        <w:pStyle w:val="15"/>
        <w:numPr>
          <w:ilvl w:val="0"/>
          <w:numId w:val="0"/>
        </w:numPr>
        <w:ind w:left="0" w:leftChars="0" w:firstLine="0" w:firstLineChars="0"/>
        <w:jc w:val="center"/>
        <w:outlineLvl w:val="0"/>
        <w:rPr>
          <w:rFonts w:hint="eastAsia" w:asciiTheme="majorEastAsia" w:hAnsiTheme="majorEastAsia"/>
          <w:sz w:val="30"/>
          <w:szCs w:val="30"/>
        </w:rPr>
      </w:pP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二十八</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p>
    <w:p w14:paraId="40472A44">
      <w:pPr>
        <w:rPr>
          <w:rFonts w:hint="eastAsia" w:asciiTheme="majorEastAsia" w:hAnsiTheme="majorEastAsia" w:eastAsiaTheme="majorEastAsia"/>
          <w:sz w:val="30"/>
          <w:szCs w:val="30"/>
          <w:lang w:eastAsia="zh-CN"/>
        </w:rPr>
      </w:pPr>
    </w:p>
    <w:p w14:paraId="7588BA56">
      <w:pPr>
        <w:pStyle w:val="5"/>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5"/>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5"/>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5"/>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5"/>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5"/>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5"/>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5"/>
        <w:rPr>
          <w:rFonts w:hint="eastAsia" w:asciiTheme="majorEastAsia" w:hAnsiTheme="majorEastAsia" w:eastAsiaTheme="majorEastAsia"/>
          <w:sz w:val="30"/>
          <w:szCs w:val="30"/>
          <w:lang w:eastAsia="zh-CN"/>
        </w:rPr>
      </w:pPr>
    </w:p>
    <w:p w14:paraId="6412A59E">
      <w:pPr>
        <w:pStyle w:val="5"/>
        <w:rPr>
          <w:rFonts w:hint="eastAsia"/>
          <w:lang w:eastAsia="zh-CN"/>
        </w:rPr>
      </w:pPr>
    </w:p>
    <w:p w14:paraId="706D9213">
      <w:pPr>
        <w:rPr>
          <w:rFonts w:hint="eastAsia"/>
          <w:lang w:eastAsia="zh-CN"/>
        </w:rPr>
      </w:pPr>
    </w:p>
    <w:p w14:paraId="565BAA7E">
      <w:pPr>
        <w:rPr>
          <w:rFonts w:hint="eastAsia"/>
          <w:lang w:eastAsia="zh-CN"/>
        </w:rPr>
      </w:pPr>
    </w:p>
    <w:p w14:paraId="0D900A92">
      <w:pPr>
        <w:rPr>
          <w:rFonts w:hint="eastAsia"/>
          <w:lang w:eastAsia="zh-CN"/>
        </w:rPr>
      </w:pPr>
    </w:p>
    <w:p w14:paraId="22E4BFDB">
      <w:pPr>
        <w:rPr>
          <w:rFonts w:hint="eastAsia"/>
          <w:lang w:eastAsia="zh-CN"/>
        </w:rPr>
      </w:pPr>
    </w:p>
    <w:p w14:paraId="7D5BD77E">
      <w:pPr>
        <w:snapToGrid w:val="0"/>
        <w:ind w:left="0" w:leftChars="0" w:firstLine="0" w:firstLineChars="0"/>
        <w:jc w:val="center"/>
        <w:outlineLvl w:val="9"/>
        <w:rPr>
          <w:rFonts w:hint="eastAsia" w:asciiTheme="majorEastAsia" w:hAnsiTheme="majorEastAsia" w:eastAsiaTheme="majorEastAsia"/>
          <w:sz w:val="30"/>
          <w:szCs w:val="30"/>
          <w:lang w:eastAsia="zh-CN"/>
        </w:rPr>
      </w:pPr>
    </w:p>
    <w:p w14:paraId="5F0A14F1">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二十九</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招标文件要求的其他内容及投标人认为需要加以说明其他内容</w:t>
      </w:r>
    </w:p>
    <w:p w14:paraId="37883878">
      <w:pPr>
        <w:rPr>
          <w:rFonts w:hint="eastAsia"/>
          <w:lang w:eastAsia="zh-CN"/>
        </w:rPr>
      </w:pPr>
    </w:p>
    <w:p w14:paraId="7D6A108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199634B8">
      <w:pPr>
        <w:rPr>
          <w:rFonts w:hint="eastAsia"/>
          <w:lang w:eastAsia="zh-CN"/>
        </w:rPr>
      </w:pPr>
    </w:p>
    <w:p w14:paraId="70B5E125">
      <w:pPr>
        <w:rPr>
          <w:rFonts w:hint="eastAsia"/>
          <w:lang w:eastAsia="zh-CN"/>
        </w:rPr>
      </w:pPr>
    </w:p>
    <w:p w14:paraId="5F19ED12">
      <w:pPr>
        <w:rPr>
          <w:rFonts w:hint="eastAsia"/>
          <w:lang w:eastAsia="zh-CN"/>
        </w:rPr>
      </w:pPr>
    </w:p>
    <w:p w14:paraId="738613B9">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54EC5EB0">
      <w:pPr>
        <w:rPr>
          <w:rFonts w:hint="eastAsia"/>
          <w:lang w:eastAsia="zh-CN"/>
        </w:rPr>
      </w:pPr>
    </w:p>
    <w:bookmarkEnd w:id="83"/>
    <w:bookmarkEnd w:id="84"/>
    <w:bookmarkEnd w:id="85"/>
    <w:bookmarkEnd w:id="86"/>
    <w:bookmarkEnd w:id="88"/>
    <w:bookmarkEnd w:id="89"/>
    <w:bookmarkEnd w:id="90"/>
    <w:bookmarkEnd w:id="91"/>
    <w:p w14:paraId="5AFDC160">
      <w:pPr>
        <w:pStyle w:val="3"/>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92" w:name="_Toc435516650"/>
      <w:bookmarkStart w:id="93" w:name="_Toc435174933"/>
      <w:bookmarkStart w:id="94" w:name="_Toc1658"/>
      <w:bookmarkStart w:id="95" w:name="_Toc11652"/>
      <w:bookmarkStart w:id="96" w:name="_Toc438223136"/>
    </w:p>
    <w:p w14:paraId="4844EB47">
      <w:pPr>
        <w:pStyle w:val="3"/>
        <w:numPr>
          <w:ilvl w:val="0"/>
          <w:numId w:val="0"/>
        </w:numPr>
        <w:spacing w:line="240" w:lineRule="auto"/>
        <w:ind w:left="420" w:leftChars="0" w:hanging="420" w:firstLineChars="0"/>
        <w:jc w:val="center"/>
        <w:outlineLvl w:val="0"/>
        <w:rPr>
          <w:rFonts w:asciiTheme="majorEastAsia" w:hAnsiTheme="majorEastAsia" w:eastAsiaTheme="majorEastAsia"/>
          <w:sz w:val="32"/>
          <w:szCs w:val="32"/>
        </w:rPr>
      </w:pPr>
      <w:bookmarkStart w:id="97" w:name="_Toc21111"/>
      <w:r>
        <w:rPr>
          <w:rFonts w:hint="eastAsia" w:asciiTheme="majorEastAsia" w:hAnsiTheme="majorEastAsia" w:eastAsiaTheme="majorEastAsia"/>
          <w:sz w:val="32"/>
          <w:szCs w:val="32"/>
          <w:lang w:val="en-US" w:eastAsia="zh-CN"/>
        </w:rPr>
        <w:t xml:space="preserve">第六章 </w:t>
      </w:r>
      <w:r>
        <w:rPr>
          <w:rFonts w:asciiTheme="majorEastAsia" w:hAnsiTheme="majorEastAsia" w:eastAsiaTheme="majorEastAsia"/>
          <w:sz w:val="32"/>
          <w:szCs w:val="32"/>
          <w:lang w:eastAsia="zh-TW"/>
        </w:rPr>
        <w:t>说 明</w:t>
      </w:r>
      <w:bookmarkEnd w:id="92"/>
      <w:bookmarkEnd w:id="93"/>
      <w:bookmarkEnd w:id="94"/>
      <w:bookmarkEnd w:id="95"/>
      <w:bookmarkEnd w:id="96"/>
      <w:bookmarkEnd w:id="97"/>
      <w:bookmarkStart w:id="98" w:name="_Toc292267791"/>
    </w:p>
    <w:bookmarkEnd w:id="98"/>
    <w:p w14:paraId="6C6C625E">
      <w:pPr>
        <w:numPr>
          <w:ilvl w:val="0"/>
          <w:numId w:val="17"/>
        </w:numPr>
        <w:autoSpaceDE w:val="0"/>
        <w:autoSpaceDN w:val="0"/>
        <w:adjustRightInd w:val="0"/>
        <w:snapToGrid w:val="0"/>
        <w:spacing w:line="360" w:lineRule="auto"/>
        <w:outlineLvl w:val="1"/>
        <w:rPr>
          <w:rFonts w:ascii="宋体" w:hAnsi="宋体"/>
          <w:b/>
          <w:bCs/>
          <w:szCs w:val="21"/>
        </w:rPr>
      </w:pPr>
      <w:bookmarkStart w:id="99" w:name="_Toc23054"/>
      <w:r>
        <w:rPr>
          <w:rFonts w:hint="eastAsia" w:ascii="宋体" w:hAnsi="宋体"/>
          <w:b/>
          <w:bCs/>
          <w:szCs w:val="21"/>
        </w:rPr>
        <w:t>适用范围</w:t>
      </w:r>
      <w:bookmarkEnd w:id="99"/>
    </w:p>
    <w:p w14:paraId="5425D084">
      <w:pPr>
        <w:numPr>
          <w:ilvl w:val="1"/>
          <w:numId w:val="17"/>
        </w:numPr>
        <w:autoSpaceDE w:val="0"/>
        <w:autoSpaceDN w:val="0"/>
        <w:adjustRightInd w:val="0"/>
        <w:snapToGrid w:val="0"/>
        <w:spacing w:line="360" w:lineRule="auto"/>
        <w:ind w:left="567" w:leftChars="0" w:hanging="567" w:firstLineChars="0"/>
        <w:jc w:val="left"/>
        <w:outlineLvl w:val="9"/>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100" w:name="_Toc28379"/>
      <w:r>
        <w:rPr>
          <w:rFonts w:hint="eastAsia" w:ascii="宋体" w:hAnsi="宋体"/>
          <w:b/>
          <w:szCs w:val="21"/>
        </w:rPr>
        <w:t>定义</w:t>
      </w:r>
      <w:bookmarkEnd w:id="100"/>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1" w:name="_Toc4681"/>
      <w:r>
        <w:rPr>
          <w:rFonts w:hint="eastAsia" w:ascii="宋体" w:hAnsi="宋体"/>
          <w:b/>
          <w:bCs/>
          <w:szCs w:val="21"/>
        </w:rPr>
        <w:t>合格的货物和服务</w:t>
      </w:r>
      <w:bookmarkEnd w:id="101"/>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2" w:name="_Toc27847"/>
      <w:r>
        <w:rPr>
          <w:rFonts w:hint="eastAsia" w:ascii="宋体" w:hAnsi="宋体"/>
          <w:b/>
          <w:bCs/>
          <w:szCs w:val="21"/>
        </w:rPr>
        <w:t>其他</w:t>
      </w:r>
      <w:bookmarkEnd w:id="102"/>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103"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04" w:name="_Hlk21591509"/>
      <w:r>
        <w:rPr>
          <w:rFonts w:hint="eastAsia" w:asciiTheme="minorEastAsia" w:hAnsiTheme="minorEastAsia" w:eastAsiaTheme="minorEastAsia"/>
          <w:color w:val="auto"/>
          <w:szCs w:val="21"/>
          <w:highlight w:val="none"/>
        </w:rPr>
        <w:t>供应商限制参与政府采购</w:t>
      </w:r>
      <w:bookmarkEnd w:id="10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0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05" w:name="_Toc435174935"/>
      <w:bookmarkStart w:id="106" w:name="_Toc438223138"/>
      <w:bookmarkStart w:id="107" w:name="_Toc22222"/>
      <w:bookmarkStart w:id="108" w:name="_Toc15510"/>
      <w:bookmarkStart w:id="109" w:name="_Toc435516652"/>
      <w:r>
        <w:rPr>
          <w:rFonts w:hint="eastAsia" w:asciiTheme="majorEastAsia" w:hAnsiTheme="majorEastAsia" w:eastAsiaTheme="majorEastAsia"/>
          <w:sz w:val="30"/>
          <w:szCs w:val="30"/>
          <w:lang w:eastAsia="zh-TW"/>
        </w:rPr>
        <w:t>投标文件的编制</w:t>
      </w:r>
      <w:bookmarkEnd w:id="105"/>
      <w:bookmarkEnd w:id="106"/>
      <w:bookmarkEnd w:id="107"/>
      <w:bookmarkEnd w:id="108"/>
      <w:bookmarkEnd w:id="109"/>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0" w:name="_Toc27317"/>
      <w:r>
        <w:rPr>
          <w:rFonts w:hint="eastAsia" w:ascii="宋体" w:hAnsi="宋体"/>
          <w:b/>
          <w:bCs/>
          <w:szCs w:val="21"/>
        </w:rPr>
        <w:t>投标的语言</w:t>
      </w:r>
      <w:bookmarkEnd w:id="110"/>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1" w:name="_Toc2446"/>
      <w:r>
        <w:rPr>
          <w:rFonts w:hint="eastAsia" w:ascii="宋体" w:hAnsi="宋体"/>
          <w:b/>
          <w:bCs/>
          <w:szCs w:val="21"/>
        </w:rPr>
        <w:t>投标文件的构成</w:t>
      </w:r>
      <w:bookmarkEnd w:id="111"/>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ind w:left="567" w:leftChars="0" w:hanging="567" w:firstLineChars="0"/>
        <w:outlineLvl w:val="9"/>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2" w:name="_Toc11091"/>
      <w:r>
        <w:rPr>
          <w:rFonts w:hint="eastAsia" w:ascii="宋体" w:hAnsi="宋体"/>
          <w:b/>
          <w:bCs/>
          <w:szCs w:val="21"/>
        </w:rPr>
        <w:t>投标文件的编写</w:t>
      </w:r>
      <w:bookmarkEnd w:id="112"/>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3" w:name="_Toc7497"/>
      <w:r>
        <w:rPr>
          <w:rFonts w:hint="eastAsia" w:ascii="宋体" w:hAnsi="宋体"/>
          <w:b/>
          <w:bCs/>
          <w:szCs w:val="21"/>
        </w:rPr>
        <w:t>投标报价</w:t>
      </w:r>
      <w:bookmarkEnd w:id="113"/>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ind w:left="567" w:leftChars="0" w:hanging="567" w:firstLineChars="0"/>
        <w:jc w:val="left"/>
        <w:outlineLvl w:val="9"/>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4" w:name="_Toc2827"/>
      <w:r>
        <w:rPr>
          <w:rFonts w:hint="eastAsia" w:ascii="宋体" w:hAnsi="宋体"/>
          <w:b/>
          <w:bCs/>
          <w:szCs w:val="21"/>
        </w:rPr>
        <w:t>投标货币</w:t>
      </w:r>
      <w:bookmarkEnd w:id="114"/>
    </w:p>
    <w:p w14:paraId="75F25268">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5" w:name="_Toc23174"/>
      <w:r>
        <w:rPr>
          <w:rFonts w:hint="eastAsia" w:ascii="宋体" w:hAnsi="宋体"/>
          <w:b/>
          <w:bCs/>
          <w:szCs w:val="21"/>
        </w:rPr>
        <w:t>联合体投标</w:t>
      </w:r>
      <w:bookmarkEnd w:id="115"/>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6" w:name="_Toc14020"/>
      <w:r>
        <w:rPr>
          <w:rFonts w:hint="eastAsia" w:ascii="宋体" w:hAnsi="宋体"/>
          <w:b/>
          <w:bCs/>
          <w:szCs w:val="21"/>
        </w:rPr>
        <w:t>证明投标人合格和资格的文件</w:t>
      </w:r>
      <w:bookmarkEnd w:id="116"/>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7" w:name="_Toc17198"/>
      <w:r>
        <w:rPr>
          <w:rFonts w:ascii="宋体" w:hAnsi="宋体"/>
          <w:b/>
          <w:bCs/>
          <w:szCs w:val="21"/>
        </w:rPr>
        <w:t>证明投标标的的合格性和符合招标文件规定的文件</w:t>
      </w:r>
      <w:bookmarkEnd w:id="117"/>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8" w:name="_Toc20270"/>
      <w:r>
        <w:rPr>
          <w:rFonts w:hint="eastAsia" w:ascii="宋体" w:hAnsi="宋体"/>
          <w:b/>
          <w:bCs/>
          <w:szCs w:val="21"/>
        </w:rPr>
        <w:t>投标文件的式样和签署、密封</w:t>
      </w:r>
      <w:bookmarkEnd w:id="118"/>
    </w:p>
    <w:p w14:paraId="669ADE1D">
      <w:pPr>
        <w:numPr>
          <w:ilvl w:val="1"/>
          <w:numId w:val="17"/>
        </w:numPr>
        <w:autoSpaceDE w:val="0"/>
        <w:autoSpaceDN w:val="0"/>
        <w:adjustRightInd w:val="0"/>
        <w:snapToGrid w:val="0"/>
        <w:spacing w:line="360" w:lineRule="auto"/>
        <w:rPr>
          <w:rFonts w:ascii="宋体" w:hAnsi="宋体" w:cs="黑体"/>
          <w:b/>
          <w:bCs/>
          <w:szCs w:val="21"/>
        </w:rPr>
      </w:pPr>
      <w:bookmarkStart w:id="119" w:name="_Toc438223139"/>
      <w:bookmarkStart w:id="120" w:name="_Toc435174936"/>
      <w:bookmarkStart w:id="121" w:name="_Toc435516653"/>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outlineLvl w:val="9"/>
        <w:rPr>
          <w:rFonts w:asciiTheme="majorEastAsia" w:hAnsiTheme="majorEastAsia" w:eastAsiaTheme="majorEastAsia"/>
          <w:sz w:val="30"/>
          <w:szCs w:val="30"/>
          <w:lang w:eastAsia="zh-TW"/>
        </w:rPr>
      </w:pPr>
      <w:bookmarkStart w:id="122" w:name="_Toc5252"/>
      <w:bookmarkStart w:id="123" w:name="_Toc28883"/>
      <w:r>
        <w:rPr>
          <w:rFonts w:hint="eastAsia" w:asciiTheme="majorEastAsia" w:hAnsiTheme="majorEastAsia" w:eastAsiaTheme="majorEastAsia"/>
          <w:sz w:val="30"/>
          <w:szCs w:val="30"/>
          <w:lang w:eastAsia="zh-TW"/>
        </w:rPr>
        <w:t>投标文件的递交</w:t>
      </w:r>
      <w:bookmarkEnd w:id="119"/>
      <w:bookmarkEnd w:id="120"/>
      <w:bookmarkEnd w:id="121"/>
      <w:bookmarkEnd w:id="122"/>
      <w:bookmarkEnd w:id="123"/>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4" w:name="_Toc13202"/>
      <w:r>
        <w:rPr>
          <w:rFonts w:hint="eastAsia" w:ascii="宋体" w:hAnsi="宋体"/>
          <w:b/>
          <w:bCs/>
          <w:szCs w:val="21"/>
        </w:rPr>
        <w:t>投标文件递交</w:t>
      </w:r>
      <w:bookmarkEnd w:id="124"/>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5" w:name="_Toc22017"/>
      <w:r>
        <w:rPr>
          <w:rFonts w:hint="eastAsia" w:ascii="宋体" w:hAnsi="宋体"/>
          <w:b/>
          <w:bCs/>
          <w:szCs w:val="21"/>
        </w:rPr>
        <w:t>投标文件的修改和撤回、撤销</w:t>
      </w:r>
      <w:bookmarkEnd w:id="125"/>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6" w:name="_Toc18853"/>
      <w:r>
        <w:rPr>
          <w:rFonts w:hint="eastAsia" w:ascii="宋体" w:hAnsi="宋体"/>
          <w:b/>
          <w:bCs/>
          <w:szCs w:val="21"/>
        </w:rPr>
        <w:t>质疑</w:t>
      </w:r>
      <w:bookmarkEnd w:id="126"/>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7" w:name="_Toc19729"/>
      <w:r>
        <w:rPr>
          <w:rFonts w:hint="eastAsia" w:ascii="宋体" w:hAnsi="宋体"/>
          <w:b/>
          <w:bCs/>
          <w:szCs w:val="21"/>
        </w:rPr>
        <w:t>中标通知书</w:t>
      </w:r>
      <w:bookmarkEnd w:id="127"/>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28" w:name="_Toc20050"/>
      <w:bookmarkStart w:id="129" w:name="_Toc435174938"/>
      <w:bookmarkStart w:id="130" w:name="_Toc6704"/>
      <w:bookmarkStart w:id="131" w:name="_Toc435516655"/>
      <w:bookmarkStart w:id="132" w:name="_Toc438223141"/>
      <w:r>
        <w:rPr>
          <w:rFonts w:hint="eastAsia" w:asciiTheme="majorEastAsia" w:hAnsiTheme="majorEastAsia" w:eastAsiaTheme="majorEastAsia"/>
          <w:sz w:val="30"/>
          <w:szCs w:val="30"/>
          <w:lang w:eastAsia="zh-TW"/>
        </w:rPr>
        <w:t>授予合同</w:t>
      </w:r>
      <w:bookmarkEnd w:id="128"/>
      <w:bookmarkEnd w:id="129"/>
      <w:bookmarkEnd w:id="130"/>
      <w:bookmarkEnd w:id="131"/>
      <w:bookmarkEnd w:id="132"/>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3" w:name="_Toc5467"/>
      <w:bookmarkStart w:id="134" w:name="_Toc23713"/>
      <w:r>
        <w:rPr>
          <w:rFonts w:hint="eastAsia" w:ascii="宋体" w:hAnsi="宋体"/>
          <w:b/>
          <w:bCs/>
          <w:szCs w:val="21"/>
        </w:rPr>
        <w:t>合同的订立</w:t>
      </w:r>
      <w:bookmarkEnd w:id="133"/>
      <w:bookmarkEnd w:id="134"/>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5" w:name="_Toc5053"/>
      <w:bookmarkStart w:id="136" w:name="_Toc560"/>
      <w:r>
        <w:rPr>
          <w:rFonts w:hint="eastAsia" w:ascii="宋体" w:hAnsi="宋体"/>
          <w:b/>
          <w:bCs/>
          <w:szCs w:val="21"/>
        </w:rPr>
        <w:t>合同的履行</w:t>
      </w:r>
      <w:bookmarkEnd w:id="135"/>
      <w:bookmarkEnd w:id="136"/>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69486AA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5BEFF04B">
      <w:pPr>
        <w:pStyle w:val="2"/>
        <w:widowControl/>
        <w:numPr>
          <w:ilvl w:val="0"/>
          <w:numId w:val="0"/>
        </w:numPr>
        <w:spacing w:before="0" w:beforeAutospacing="0" w:after="0" w:afterAutospacing="0"/>
        <w:ind w:left="0" w:leftChars="0" w:firstLine="0" w:firstLineChars="0"/>
        <w:jc w:val="both"/>
        <w:outlineLvl w:val="9"/>
        <w:rPr>
          <w:rFonts w:hint="eastAsia" w:ascii="黑体" w:hAnsi="宋体" w:eastAsia="黑体" w:cs="黑体"/>
          <w:b/>
          <w:bCs/>
          <w:kern w:val="44"/>
          <w:sz w:val="44"/>
          <w:szCs w:val="44"/>
        </w:rPr>
      </w:pPr>
    </w:p>
    <w:p w14:paraId="7C824B0E">
      <w:pPr>
        <w:rPr>
          <w:rFonts w:hint="eastAsia" w:ascii="黑体" w:hAnsi="宋体" w:eastAsia="黑体" w:cs="黑体"/>
          <w:b/>
          <w:bCs/>
          <w:kern w:val="44"/>
          <w:sz w:val="44"/>
          <w:szCs w:val="44"/>
        </w:rPr>
      </w:pPr>
    </w:p>
    <w:p w14:paraId="147A696C">
      <w:pPr>
        <w:rPr>
          <w:rFonts w:hint="eastAsia" w:ascii="黑体" w:hAnsi="宋体" w:eastAsia="黑体" w:cs="黑体"/>
          <w:b/>
          <w:bCs/>
          <w:kern w:val="44"/>
          <w:sz w:val="44"/>
          <w:szCs w:val="44"/>
        </w:rPr>
      </w:pPr>
    </w:p>
    <w:p w14:paraId="52E2D744">
      <w:pPr>
        <w:rPr>
          <w:rFonts w:hint="eastAsia" w:ascii="黑体" w:hAnsi="宋体" w:eastAsia="黑体" w:cs="黑体"/>
          <w:b/>
          <w:bCs/>
          <w:kern w:val="44"/>
          <w:sz w:val="44"/>
          <w:szCs w:val="44"/>
        </w:rPr>
      </w:pPr>
    </w:p>
    <w:p w14:paraId="7E978A4C">
      <w:pPr>
        <w:rPr>
          <w:rFonts w:hint="eastAsia" w:ascii="黑体" w:hAnsi="宋体" w:eastAsia="黑体" w:cs="黑体"/>
          <w:b/>
          <w:bCs/>
          <w:kern w:val="44"/>
          <w:sz w:val="44"/>
          <w:szCs w:val="44"/>
        </w:rPr>
      </w:pPr>
    </w:p>
    <w:p w14:paraId="5BF0ADAF">
      <w:pPr>
        <w:pStyle w:val="2"/>
        <w:widowControl/>
        <w:numPr>
          <w:ilvl w:val="0"/>
          <w:numId w:val="0"/>
        </w:numPr>
        <w:spacing w:before="0" w:beforeAutospacing="0" w:after="0" w:afterAutospacing="0"/>
        <w:ind w:left="0" w:leftChars="0" w:firstLine="0" w:firstLineChars="0"/>
        <w:jc w:val="center"/>
        <w:outlineLvl w:val="9"/>
        <w:rPr>
          <w:rFonts w:hint="eastAsia" w:ascii="黑体" w:hAnsi="宋体" w:eastAsia="黑体" w:cs="Times New Roman"/>
          <w:kern w:val="2"/>
          <w:sz w:val="21"/>
          <w:szCs w:val="21"/>
        </w:rPr>
      </w:pPr>
      <w:bookmarkStart w:id="137" w:name="_Toc6953"/>
      <w:r>
        <w:rPr>
          <w:rFonts w:hint="eastAsia" w:ascii="黑体" w:hAnsi="宋体" w:eastAsia="黑体" w:cs="黑体"/>
          <w:b/>
          <w:bCs/>
          <w:kern w:val="44"/>
          <w:sz w:val="44"/>
          <w:szCs w:val="44"/>
        </w:rPr>
        <w:t>合同格式</w:t>
      </w:r>
      <w:bookmarkEnd w:id="137"/>
    </w:p>
    <w:p w14:paraId="162244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b/>
          <w:bCs/>
          <w:color w:val="FF0000"/>
          <w:kern w:val="2"/>
          <w:sz w:val="21"/>
          <w:szCs w:val="21"/>
          <w:highlight w:val="none"/>
          <w:lang w:val="en-US" w:eastAsia="zh-CN" w:bidi="ar"/>
        </w:rPr>
        <w:t>（此部分仅供参考，具体以实际签订为准）</w:t>
      </w:r>
    </w:p>
    <w:p w14:paraId="32C6D4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44919E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9180E1A">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BC13EC6">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仿宋"/>
          <w:b/>
          <w:bCs w:val="0"/>
          <w:kern w:val="2"/>
          <w:sz w:val="32"/>
          <w:szCs w:val="32"/>
          <w:lang w:val="en-US" w:eastAsia="zh-CN" w:bidi="ar"/>
        </w:rPr>
        <w:t>合同编号：Ftey-sb-202408-0XX</w:t>
      </w:r>
    </w:p>
    <w:p w14:paraId="7BDB2344">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7B5A5D2C">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1954386D">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6023CF0F">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Times New Roman"/>
          <w:b/>
          <w:bCs w:val="0"/>
          <w:kern w:val="2"/>
          <w:sz w:val="21"/>
          <w:szCs w:val="21"/>
          <w:lang w:val="en-US" w:eastAsia="zh-CN" w:bidi="ar"/>
        </w:rPr>
        <w:t xml:space="preserve"> </w:t>
      </w:r>
    </w:p>
    <w:p w14:paraId="02EDA3B9">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福田区卫生系统医用设备采购合同</w:t>
      </w:r>
    </w:p>
    <w:p w14:paraId="511DCED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814D1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FCEDB1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A9CD24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E3DE5F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042832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FDD66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379846F8">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rPr>
      </w:pPr>
      <w:r>
        <w:rPr>
          <w:rFonts w:hint="eastAsia" w:ascii="仿宋_GB2312" w:hAnsi="Times New Roman" w:eastAsia="仿宋_GB2312" w:cs="仿宋_GB2312"/>
          <w:bCs/>
          <w:kern w:val="2"/>
          <w:sz w:val="32"/>
          <w:szCs w:val="32"/>
          <w:lang w:val="en-US" w:eastAsia="zh-CN" w:bidi="ar"/>
        </w:rPr>
        <w:t>项目名称：</w:t>
      </w:r>
      <w:r>
        <w:rPr>
          <w:rFonts w:hint="eastAsia" w:ascii="仿宋_GB2312" w:hAnsi="Times New Roman" w:eastAsia="仿宋_GB2312" w:cs="仿宋_GB2312"/>
          <w:bCs/>
          <w:kern w:val="2"/>
          <w:sz w:val="32"/>
          <w:szCs w:val="32"/>
          <w:u w:val="single"/>
          <w:lang w:val="en-US" w:eastAsia="zh-CN" w:bidi="ar"/>
        </w:rPr>
        <w:t xml:space="preserve">                               </w:t>
      </w:r>
    </w:p>
    <w:p w14:paraId="5FE8EE7C">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甲    方：</w:t>
      </w:r>
      <w:r>
        <w:rPr>
          <w:rFonts w:hint="eastAsia" w:ascii="仿宋_GB2312" w:hAnsi="Times New Roman" w:eastAsia="仿宋_GB2312" w:cs="仿宋_GB2312"/>
          <w:kern w:val="2"/>
          <w:sz w:val="32"/>
          <w:szCs w:val="32"/>
          <w:u w:val="single"/>
          <w:lang w:val="en-US" w:eastAsia="zh-CN" w:bidi="ar"/>
        </w:rPr>
        <w:t xml:space="preserve">    深圳市福田区第二人民医院   </w:t>
      </w:r>
    </w:p>
    <w:p w14:paraId="391FCCB2">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乙    方：</w:t>
      </w:r>
      <w:r>
        <w:rPr>
          <w:rFonts w:hint="eastAsia" w:ascii="仿宋_GB2312" w:hAnsi="Times New Roman" w:eastAsia="仿宋_GB2312" w:cs="仿宋_GB2312"/>
          <w:bCs/>
          <w:kern w:val="2"/>
          <w:sz w:val="32"/>
          <w:szCs w:val="32"/>
          <w:u w:val="single"/>
          <w:lang w:val="en-US" w:eastAsia="zh-CN" w:bidi="ar"/>
        </w:rPr>
        <w:t xml:space="preserve">                           </w:t>
      </w:r>
      <w:r>
        <w:rPr>
          <w:rFonts w:hint="eastAsia" w:ascii="仿宋_GB2312" w:hAnsi="Times New Roman" w:eastAsia="仿宋_GB2312" w:cs="仿宋_GB2312"/>
          <w:bCs/>
          <w:color w:val="FF0000"/>
          <w:kern w:val="2"/>
          <w:sz w:val="32"/>
          <w:szCs w:val="32"/>
          <w:u w:val="single"/>
          <w:lang w:val="en-US" w:eastAsia="zh-CN" w:bidi="ar"/>
        </w:rPr>
        <w:t xml:space="preserve"> </w:t>
      </w:r>
      <w:r>
        <w:rPr>
          <w:rFonts w:hint="eastAsia" w:ascii="仿宋_GB2312" w:hAnsi="Times New Roman" w:eastAsia="仿宋_GB2312" w:cs="仿宋_GB2312"/>
          <w:bCs/>
          <w:kern w:val="2"/>
          <w:sz w:val="32"/>
          <w:szCs w:val="32"/>
          <w:u w:val="single"/>
          <w:lang w:val="en-US" w:eastAsia="zh-CN" w:bidi="ar"/>
        </w:rPr>
        <w:t xml:space="preserve">   </w:t>
      </w:r>
    </w:p>
    <w:p w14:paraId="4F59B20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07517EA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68A6130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1C86A09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7D7A78B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3A196AB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br w:type="page"/>
      </w:r>
    </w:p>
    <w:p w14:paraId="5DDCA062">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方正小标宋简体" w:hAnsi="方正小标宋简体" w:eastAsia="方正小标宋简体" w:cs="方正小标宋简体"/>
          <w:kern w:val="2"/>
          <w:sz w:val="44"/>
          <w:szCs w:val="44"/>
          <w:lang w:val="en-US" w:eastAsia="zh-CN" w:bidi="ar"/>
        </w:rPr>
        <w:t>福田区卫生系统医用设备采购合同</w:t>
      </w:r>
      <w:r>
        <w:rPr>
          <w:rFonts w:hint="eastAsia" w:ascii="宋体" w:hAnsi="宋体" w:eastAsia="宋体" w:cs="Times New Roman"/>
          <w:b/>
          <w:bCs w:val="0"/>
          <w:kern w:val="2"/>
          <w:sz w:val="24"/>
          <w:szCs w:val="24"/>
          <w:lang w:val="en-US" w:eastAsia="zh-CN" w:bidi="ar"/>
        </w:rPr>
        <w:t xml:space="preserve"> </w:t>
      </w:r>
    </w:p>
    <w:p w14:paraId="79729736">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甲方（采购人）：深圳市福田区第二人民医院</w:t>
      </w:r>
    </w:p>
    <w:p w14:paraId="3C39095F">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法定代表人/负责人或授权代表：赵蓉</w:t>
      </w:r>
    </w:p>
    <w:p w14:paraId="02A429C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地址：深圳市福田区梅林街道中康路27号</w:t>
      </w:r>
    </w:p>
    <w:p w14:paraId="314251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联系电话：0755-83279817</w:t>
      </w:r>
    </w:p>
    <w:p w14:paraId="305A9A1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E127DC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color w:val="000000" w:themeColor="text1"/>
          <w:kern w:val="2"/>
          <w:sz w:val="28"/>
          <w:szCs w:val="28"/>
          <w:u w:val="single"/>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乙方（供应商）：</w:t>
      </w:r>
    </w:p>
    <w:p w14:paraId="52868DAA">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法定代表人或授权代表：</w:t>
      </w:r>
    </w:p>
    <w:p w14:paraId="697044E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地址：</w:t>
      </w:r>
    </w:p>
    <w:p w14:paraId="76DC256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w:t>
      </w:r>
    </w:p>
    <w:p w14:paraId="5D062FA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default" w:ascii="Times New Roman" w:hAnsi="Times New Roman" w:eastAsia="宋体" w:cs="Times New Roman"/>
          <w:kern w:val="2"/>
          <w:sz w:val="21"/>
          <w:szCs w:val="21"/>
        </w:rPr>
      </w:pPr>
      <w:r>
        <w:rPr>
          <w:rFonts w:hint="eastAsia" w:ascii="仿宋_GB2312" w:hAnsi="Times New Roman" w:eastAsia="仿宋_GB2312" w:cs="仿宋_GB2312"/>
          <w:color w:val="000000"/>
          <w:kern w:val="2"/>
          <w:sz w:val="28"/>
          <w:szCs w:val="28"/>
          <w:lang w:val="en-US" w:eastAsia="zh-CN" w:bidi="ar"/>
        </w:rPr>
        <w:t>甲、乙双方</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根据 2024年XX月XX日“XXXX”（招标编号：XXXX）采购项目的结果，按照《中华人民共和国民法典》《中华人民共和国</w:t>
      </w:r>
      <w:r>
        <w:rPr>
          <w:rFonts w:hint="eastAsia" w:ascii="仿宋_GB2312" w:hAnsi="Times New Roman" w:eastAsia="仿宋_GB2312" w:cs="仿宋_GB2312"/>
          <w:kern w:val="2"/>
          <w:sz w:val="28"/>
          <w:szCs w:val="28"/>
          <w:lang w:val="en-US" w:eastAsia="zh-CN" w:bidi="ar"/>
        </w:rPr>
        <w:t>政府采购法》《深圳经济特区政府采购条例》《深圳经济特区政府采购条例实施细则》等相关法律法规的规定，经双方协商一致，达成以下合同条款：</w:t>
      </w:r>
    </w:p>
    <w:p w14:paraId="5E99CF32">
      <w:pPr>
        <w:keepNext w:val="0"/>
        <w:keepLines w:val="0"/>
        <w:widowControl w:val="0"/>
        <w:suppressLineNumbers w:val="0"/>
        <w:adjustRightInd w:val="0"/>
        <w:snapToGrid w:val="0"/>
        <w:spacing w:before="0" w:beforeAutospacing="0" w:after="0" w:afterAutospacing="0" w:line="560" w:lineRule="exact"/>
        <w:ind w:left="0" w:leftChars="0" w:right="0" w:right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第一条  合同标的</w:t>
      </w:r>
    </w:p>
    <w:tbl>
      <w:tblPr>
        <w:tblStyle w:val="16"/>
        <w:tblW w:w="6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1001"/>
        <w:gridCol w:w="870"/>
        <w:gridCol w:w="1083"/>
        <w:gridCol w:w="1116"/>
        <w:gridCol w:w="658"/>
        <w:gridCol w:w="794"/>
        <w:gridCol w:w="554"/>
        <w:gridCol w:w="1275"/>
        <w:gridCol w:w="1162"/>
        <w:gridCol w:w="465"/>
        <w:gridCol w:w="474"/>
        <w:gridCol w:w="801"/>
      </w:tblGrid>
      <w:tr w14:paraId="3FD0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1F0EB10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1058" w:type="dxa"/>
            <w:tcBorders>
              <w:top w:val="single" w:color="auto" w:sz="4" w:space="0"/>
              <w:left w:val="nil"/>
              <w:bottom w:val="single" w:color="auto" w:sz="4" w:space="0"/>
              <w:right w:val="single" w:color="auto" w:sz="4" w:space="0"/>
            </w:tcBorders>
            <w:shd w:val="clear" w:color="auto" w:fill="auto"/>
            <w:vAlign w:val="center"/>
          </w:tcPr>
          <w:p w14:paraId="78A0430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w:t>
            </w:r>
          </w:p>
          <w:p w14:paraId="50AC90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名称</w:t>
            </w:r>
          </w:p>
        </w:tc>
        <w:tc>
          <w:tcPr>
            <w:tcW w:w="919" w:type="dxa"/>
            <w:tcBorders>
              <w:top w:val="single" w:color="auto" w:sz="4" w:space="0"/>
              <w:left w:val="nil"/>
              <w:bottom w:val="single" w:color="auto" w:sz="4" w:space="0"/>
              <w:right w:val="single" w:color="auto" w:sz="4" w:space="0"/>
            </w:tcBorders>
            <w:shd w:val="clear" w:color="auto" w:fill="auto"/>
            <w:vAlign w:val="center"/>
          </w:tcPr>
          <w:p w14:paraId="07CCF9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产地</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品牌</w:t>
            </w:r>
          </w:p>
        </w:tc>
        <w:tc>
          <w:tcPr>
            <w:tcW w:w="1144" w:type="dxa"/>
            <w:tcBorders>
              <w:top w:val="single" w:color="auto" w:sz="4" w:space="0"/>
              <w:left w:val="nil"/>
              <w:bottom w:val="single" w:color="auto" w:sz="4" w:space="0"/>
              <w:right w:val="single" w:color="auto" w:sz="4" w:space="0"/>
            </w:tcBorders>
            <w:shd w:val="clear" w:color="auto" w:fill="auto"/>
            <w:vAlign w:val="center"/>
          </w:tcPr>
          <w:p w14:paraId="36E022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1179" w:type="dxa"/>
            <w:tcBorders>
              <w:top w:val="single" w:color="auto" w:sz="4" w:space="0"/>
              <w:left w:val="nil"/>
              <w:bottom w:val="single" w:color="auto" w:sz="4" w:space="0"/>
              <w:right w:val="single" w:color="auto" w:sz="4" w:space="0"/>
            </w:tcBorders>
            <w:shd w:val="clear" w:color="auto" w:fill="auto"/>
            <w:vAlign w:val="center"/>
          </w:tcPr>
          <w:p w14:paraId="06BCE06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注册证名</w:t>
            </w:r>
          </w:p>
        </w:tc>
        <w:tc>
          <w:tcPr>
            <w:tcW w:w="695" w:type="dxa"/>
            <w:tcBorders>
              <w:top w:val="single" w:color="auto" w:sz="4" w:space="0"/>
              <w:left w:val="nil"/>
              <w:bottom w:val="single" w:color="auto" w:sz="4" w:space="0"/>
              <w:right w:val="single" w:color="auto" w:sz="4" w:space="0"/>
            </w:tcBorders>
            <w:shd w:val="clear" w:color="auto" w:fill="auto"/>
            <w:vAlign w:val="center"/>
          </w:tcPr>
          <w:p w14:paraId="48A7958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注册证号</w:t>
            </w:r>
          </w:p>
        </w:tc>
        <w:tc>
          <w:tcPr>
            <w:tcW w:w="839" w:type="dxa"/>
            <w:tcBorders>
              <w:top w:val="single" w:color="auto" w:sz="4" w:space="0"/>
              <w:left w:val="nil"/>
              <w:bottom w:val="single" w:color="auto" w:sz="4" w:space="0"/>
              <w:right w:val="single" w:color="auto" w:sz="4" w:space="0"/>
            </w:tcBorders>
            <w:shd w:val="clear" w:color="auto" w:fill="auto"/>
            <w:vAlign w:val="center"/>
          </w:tcPr>
          <w:p w14:paraId="3193F87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585" w:type="dxa"/>
            <w:tcBorders>
              <w:top w:val="single" w:color="auto" w:sz="4" w:space="0"/>
              <w:left w:val="nil"/>
              <w:bottom w:val="single" w:color="auto" w:sz="4" w:space="0"/>
              <w:right w:val="single" w:color="auto" w:sz="4" w:space="0"/>
            </w:tcBorders>
            <w:shd w:val="clear" w:color="auto" w:fill="auto"/>
            <w:vAlign w:val="center"/>
          </w:tcPr>
          <w:p w14:paraId="2F52B8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1347" w:type="dxa"/>
            <w:tcBorders>
              <w:top w:val="single" w:color="auto" w:sz="4" w:space="0"/>
              <w:left w:val="nil"/>
              <w:bottom w:val="single" w:color="auto" w:sz="4" w:space="0"/>
              <w:right w:val="single" w:color="auto" w:sz="4" w:space="0"/>
            </w:tcBorders>
            <w:shd w:val="clear" w:color="auto" w:fill="auto"/>
            <w:vAlign w:val="center"/>
          </w:tcPr>
          <w:p w14:paraId="6DB72FA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单价（元）</w:t>
            </w:r>
          </w:p>
        </w:tc>
        <w:tc>
          <w:tcPr>
            <w:tcW w:w="1228" w:type="dxa"/>
            <w:tcBorders>
              <w:top w:val="single" w:color="auto" w:sz="4" w:space="0"/>
              <w:left w:val="nil"/>
              <w:bottom w:val="single" w:color="auto" w:sz="4" w:space="0"/>
              <w:right w:val="single" w:color="auto" w:sz="4" w:space="0"/>
            </w:tcBorders>
            <w:shd w:val="clear" w:color="auto" w:fill="auto"/>
            <w:vAlign w:val="center"/>
          </w:tcPr>
          <w:p w14:paraId="5793F15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总价（元）</w:t>
            </w:r>
          </w:p>
        </w:tc>
        <w:tc>
          <w:tcPr>
            <w:tcW w:w="491" w:type="dxa"/>
            <w:tcBorders>
              <w:top w:val="single" w:color="auto" w:sz="4" w:space="0"/>
              <w:left w:val="nil"/>
              <w:bottom w:val="single" w:color="auto" w:sz="4" w:space="0"/>
              <w:right w:val="single" w:color="auto" w:sz="4" w:space="0"/>
            </w:tcBorders>
            <w:shd w:val="clear" w:color="auto" w:fill="auto"/>
            <w:vAlign w:val="center"/>
          </w:tcPr>
          <w:p w14:paraId="54EF476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随机配件</w:t>
            </w:r>
          </w:p>
        </w:tc>
        <w:tc>
          <w:tcPr>
            <w:tcW w:w="501" w:type="dxa"/>
            <w:tcBorders>
              <w:top w:val="single" w:color="auto" w:sz="4" w:space="0"/>
              <w:left w:val="nil"/>
              <w:bottom w:val="single" w:color="auto" w:sz="4" w:space="0"/>
              <w:right w:val="single" w:color="auto" w:sz="4" w:space="0"/>
            </w:tcBorders>
            <w:shd w:val="clear" w:color="auto" w:fill="auto"/>
            <w:vAlign w:val="center"/>
          </w:tcPr>
          <w:p w14:paraId="3AF54D1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使用科室</w:t>
            </w:r>
          </w:p>
        </w:tc>
        <w:tc>
          <w:tcPr>
            <w:tcW w:w="846" w:type="dxa"/>
            <w:tcBorders>
              <w:top w:val="single" w:color="auto" w:sz="4" w:space="0"/>
              <w:left w:val="nil"/>
              <w:bottom w:val="single" w:color="auto" w:sz="4" w:space="0"/>
              <w:right w:val="single" w:color="auto" w:sz="4" w:space="0"/>
            </w:tcBorders>
            <w:shd w:val="clear" w:color="auto" w:fill="auto"/>
            <w:vAlign w:val="center"/>
          </w:tcPr>
          <w:p w14:paraId="058F80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设备用途</w:t>
            </w:r>
          </w:p>
        </w:tc>
      </w:tr>
      <w:tr w14:paraId="6BFB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2D8498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058" w:type="dxa"/>
            <w:tcBorders>
              <w:top w:val="single" w:color="auto" w:sz="4" w:space="0"/>
              <w:left w:val="nil"/>
              <w:bottom w:val="single" w:color="auto" w:sz="4" w:space="0"/>
              <w:right w:val="single" w:color="auto" w:sz="4" w:space="0"/>
            </w:tcBorders>
            <w:shd w:val="clear" w:color="auto" w:fill="auto"/>
            <w:vAlign w:val="center"/>
          </w:tcPr>
          <w:p w14:paraId="2DC1999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28E6FA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44" w:type="dxa"/>
            <w:tcBorders>
              <w:top w:val="single" w:color="auto" w:sz="4" w:space="0"/>
              <w:left w:val="nil"/>
              <w:bottom w:val="single" w:color="auto" w:sz="4" w:space="0"/>
              <w:right w:val="single" w:color="auto" w:sz="4" w:space="0"/>
            </w:tcBorders>
            <w:shd w:val="clear" w:color="auto" w:fill="auto"/>
            <w:vAlign w:val="center"/>
          </w:tcPr>
          <w:p w14:paraId="10DCF5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79" w:type="dxa"/>
            <w:tcBorders>
              <w:top w:val="single" w:color="auto" w:sz="4" w:space="0"/>
              <w:left w:val="nil"/>
              <w:bottom w:val="single" w:color="auto" w:sz="4" w:space="0"/>
              <w:right w:val="single" w:color="auto" w:sz="4" w:space="0"/>
            </w:tcBorders>
            <w:shd w:val="clear" w:color="auto" w:fill="auto"/>
            <w:vAlign w:val="center"/>
          </w:tcPr>
          <w:p w14:paraId="02ACD99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695" w:type="dxa"/>
            <w:tcBorders>
              <w:top w:val="single" w:color="auto" w:sz="4" w:space="0"/>
              <w:left w:val="nil"/>
              <w:bottom w:val="single" w:color="auto" w:sz="4" w:space="0"/>
              <w:right w:val="single" w:color="auto" w:sz="4" w:space="0"/>
            </w:tcBorders>
            <w:shd w:val="clear" w:color="auto" w:fill="auto"/>
            <w:vAlign w:val="center"/>
          </w:tcPr>
          <w:p w14:paraId="5C20AFF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839" w:type="dxa"/>
            <w:tcBorders>
              <w:top w:val="single" w:color="auto" w:sz="4" w:space="0"/>
              <w:left w:val="nil"/>
              <w:bottom w:val="single" w:color="auto" w:sz="4" w:space="0"/>
              <w:right w:val="single" w:color="auto" w:sz="4" w:space="0"/>
            </w:tcBorders>
            <w:shd w:val="clear" w:color="auto" w:fill="auto"/>
            <w:vAlign w:val="center"/>
          </w:tcPr>
          <w:p w14:paraId="3776F7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6A1BBB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B32764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14:paraId="644A5CF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491" w:type="dxa"/>
            <w:tcBorders>
              <w:top w:val="single" w:color="auto" w:sz="4" w:space="0"/>
              <w:left w:val="nil"/>
              <w:bottom w:val="single" w:color="auto" w:sz="4" w:space="0"/>
              <w:right w:val="single" w:color="auto" w:sz="4" w:space="0"/>
            </w:tcBorders>
            <w:shd w:val="clear" w:color="auto" w:fill="auto"/>
            <w:vAlign w:val="center"/>
          </w:tcPr>
          <w:p w14:paraId="5CBC59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r>
              <w:rPr>
                <w:rFonts w:hint="eastAsia" w:ascii="宋体" w:hAnsi="宋体" w:eastAsia="宋体" w:cs="宋体"/>
                <w:kern w:val="2"/>
                <w:sz w:val="21"/>
                <w:szCs w:val="21"/>
                <w:lang w:val="en-US" w:eastAsia="zh-CN" w:bidi="ar"/>
              </w:rPr>
              <w:t>详见配置清单</w:t>
            </w:r>
          </w:p>
        </w:tc>
        <w:tc>
          <w:tcPr>
            <w:tcW w:w="501" w:type="dxa"/>
            <w:tcBorders>
              <w:top w:val="single" w:color="auto" w:sz="4" w:space="0"/>
              <w:left w:val="nil"/>
              <w:bottom w:val="single" w:color="auto" w:sz="4" w:space="0"/>
              <w:right w:val="single" w:color="auto" w:sz="4" w:space="0"/>
            </w:tcBorders>
            <w:shd w:val="clear" w:color="auto" w:fill="auto"/>
            <w:vAlign w:val="top"/>
          </w:tcPr>
          <w:p w14:paraId="69888EB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p>
        </w:tc>
        <w:tc>
          <w:tcPr>
            <w:tcW w:w="846" w:type="dxa"/>
            <w:tcBorders>
              <w:top w:val="single" w:color="auto" w:sz="4" w:space="0"/>
              <w:left w:val="nil"/>
              <w:bottom w:val="single" w:color="auto" w:sz="4" w:space="0"/>
              <w:right w:val="single" w:color="auto" w:sz="4" w:space="0"/>
            </w:tcBorders>
            <w:shd w:val="clear" w:color="auto" w:fill="auto"/>
            <w:vAlign w:val="top"/>
          </w:tcPr>
          <w:p w14:paraId="7AACBBB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2F048FA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55CF71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r>
      <w:tr w14:paraId="337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37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46583CD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合计人民币：</w:t>
            </w:r>
            <w:r>
              <w:rPr>
                <w:rFonts w:hint="default" w:ascii="Times New Roman" w:hAnsi="Times New Roman" w:eastAsia="宋体" w:cs="Times New Roman"/>
                <w:kern w:val="2"/>
                <w:sz w:val="21"/>
                <w:szCs w:val="21"/>
                <w:lang w:val="en-US" w:eastAsia="zh-CN" w:bidi="ar"/>
              </w:rPr>
              <w:t>XXXX</w:t>
            </w:r>
            <w:r>
              <w:rPr>
                <w:rFonts w:hint="eastAsia" w:ascii="宋体" w:hAnsi="宋体" w:eastAsia="宋体" w:cs="宋体"/>
                <w:kern w:val="2"/>
                <w:sz w:val="21"/>
                <w:szCs w:val="21"/>
                <w:lang w:val="en-US" w:eastAsia="zh-CN" w:bidi="ar"/>
              </w:rPr>
              <w:t xml:space="preserve">元整（￥ </w:t>
            </w:r>
            <w:r>
              <w:rPr>
                <w:rFonts w:hint="default" w:ascii="Times New Roman" w:hAnsi="Times New Roman" w:eastAsia="宋体" w:cs="Times New Roman"/>
                <w:kern w:val="2"/>
                <w:sz w:val="21"/>
                <w:szCs w:val="21"/>
                <w:lang w:val="en-US" w:eastAsia="zh-CN" w:bidi="ar"/>
              </w:rPr>
              <w:t>XXXX.00</w:t>
            </w:r>
            <w:r>
              <w:rPr>
                <w:rFonts w:hint="eastAsia" w:ascii="宋体" w:hAnsi="宋体" w:eastAsia="宋体" w:cs="宋体"/>
                <w:kern w:val="2"/>
                <w:sz w:val="21"/>
                <w:szCs w:val="21"/>
                <w:lang w:val="en-US" w:eastAsia="zh-CN" w:bidi="ar"/>
              </w:rPr>
              <w:t>元）</w:t>
            </w:r>
          </w:p>
        </w:tc>
      </w:tr>
    </w:tbl>
    <w:p w14:paraId="34CBD8B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 xml:space="preserve"> </w:t>
      </w:r>
    </w:p>
    <w:p w14:paraId="55128311">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第二条 合同价款</w:t>
      </w:r>
    </w:p>
    <w:p w14:paraId="2C6C2F13">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1.本合同项下甲乙双方买卖</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设备含税总价款为：大写人民币</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XXXX</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元整（￥</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 xml:space="preserve"> XXXX.00元</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）。此价款为甲方履行本合同义务而产生的一切费用，除此以外甲方不再对乙方承担任何支付价款或以外费用的责任。此价款包括但不限于报装费、设计费、设备</w:t>
      </w:r>
      <w:r>
        <w:rPr>
          <w:rFonts w:hint="eastAsia" w:ascii="仿宋_GB2312" w:hAnsi="Times New Roman" w:eastAsia="仿宋_GB2312" w:cs="仿宋_GB2312"/>
          <w:kern w:val="2"/>
          <w:sz w:val="28"/>
          <w:szCs w:val="28"/>
          <w:lang w:val="en-US" w:eastAsia="zh-CN" w:bidi="ar"/>
        </w:rPr>
        <w:t>制造费、包装费、仓储费、运输费、安装调试费、验收和保修期届满前备品备件费用以及与本合同设备及服务相关的税和费。合同总价款不因通货膨胀、市场行情等市场价格的变动而变动，但本合同另有约定的除外。</w:t>
      </w:r>
    </w:p>
    <w:p w14:paraId="00F9F27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
          <w:bCs w:val="0"/>
          <w:kern w:val="2"/>
          <w:sz w:val="28"/>
          <w:szCs w:val="28"/>
        </w:rPr>
      </w:pPr>
      <w:r>
        <w:rPr>
          <w:rFonts w:hint="eastAsia" w:ascii="仿宋_GB2312" w:hAnsi="Times New Roman" w:eastAsia="仿宋_GB2312" w:cs="仿宋_GB2312"/>
          <w:kern w:val="2"/>
          <w:sz w:val="28"/>
          <w:szCs w:val="28"/>
          <w:lang w:val="en-US" w:eastAsia="zh-CN" w:bidi="ar"/>
        </w:rPr>
        <w:t>2.合同价款的支付方式（双方应共同选择一项，并在所选项□内打“√”）：</w:t>
      </w:r>
    </w:p>
    <w:p w14:paraId="64AF812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一次性支付</w:t>
      </w:r>
    </w:p>
    <w:p w14:paraId="249405F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货到安装、调试验收合格后，乙方应按本合同全额价款出具正规税务发票，甲方财务科收到乙方发票等相关资料后</w:t>
      </w:r>
      <w:r>
        <w:rPr>
          <w:rFonts w:hint="eastAsia" w:ascii="仿宋_GB2312" w:hAnsi="Times New Roman" w:eastAsia="仿宋_GB2312" w:cs="仿宋_GB2312"/>
          <w:color w:val="000000"/>
          <w:kern w:val="2"/>
          <w:sz w:val="28"/>
          <w:szCs w:val="28"/>
          <w:u w:val="single"/>
          <w:lang w:val="en-US" w:eastAsia="zh-CN" w:bidi="ar"/>
        </w:rPr>
        <w:t>10</w:t>
      </w:r>
      <w:r>
        <w:rPr>
          <w:rFonts w:hint="eastAsia" w:ascii="仿宋_GB2312" w:hAnsi="Times New Roman" w:eastAsia="仿宋_GB2312" w:cs="仿宋_GB2312"/>
          <w:color w:val="000000"/>
          <w:kern w:val="2"/>
          <w:sz w:val="28"/>
          <w:szCs w:val="28"/>
          <w:lang w:val="en-US" w:eastAsia="zh-CN" w:bidi="ar"/>
        </w:rPr>
        <w:t>个工作日内向乙方支付合同全款。</w:t>
      </w:r>
    </w:p>
    <w:p w14:paraId="66857BA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分笔支付</w:t>
      </w:r>
    </w:p>
    <w:p w14:paraId="65E4F97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且财政资金下达后，乙方应按本合同全额价款出具正规税务发票，甲方财务科收到乙方发票等相关资料后15日内向乙方支付合同价款的90%；若财政当次下达资金未达合同价款的90%，则以当次实际下达资金为准，直至付款至合同价款的90%。货款余额（合同价款的10%）在项目结算并下达尾款资金后支付。</w:t>
      </w:r>
    </w:p>
    <w:p w14:paraId="7F6EF68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3.乙方指定的收款账户：</w:t>
      </w:r>
    </w:p>
    <w:p w14:paraId="1EA9958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户名：</w:t>
      </w:r>
    </w:p>
    <w:p w14:paraId="0832B23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银行账号</w:t>
      </w:r>
      <w:r>
        <w:rPr>
          <w:rFonts w:hint="eastAsia" w:ascii="仿宋_GB2312" w:hAnsi="Times New Roman" w:eastAsia="仿宋_GB2312" w:cs="仿宋_GB2312"/>
          <w:kern w:val="2"/>
          <w:sz w:val="28"/>
          <w:szCs w:val="28"/>
          <w:lang w:val="en-US" w:eastAsia="zh-CN" w:bidi="ar"/>
        </w:rPr>
        <w:t>：</w:t>
      </w:r>
    </w:p>
    <w:p w14:paraId="4660AF9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开户行：</w:t>
      </w:r>
    </w:p>
    <w:p w14:paraId="1AAFC1EE">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第三条  质量标准</w:t>
      </w:r>
    </w:p>
    <w:p w14:paraId="50F884C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1.乙方在本合同项下向甲方提供的</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质量和技术规格应符合以下标准：</w:t>
      </w:r>
    </w:p>
    <w:p w14:paraId="527B30E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（1）项目的中标通知书、招标文件、答疑及补充通知；</w:t>
      </w:r>
    </w:p>
    <w:p w14:paraId="0F52D3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（2）乙方的投标文件；</w:t>
      </w:r>
    </w:p>
    <w:p w14:paraId="32546F1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kern w:val="2"/>
          <w:sz w:val="28"/>
          <w:szCs w:val="28"/>
          <w:lang w:val="en-US" w:eastAsia="zh-CN" w:bidi="ar"/>
        </w:rPr>
        <w:t>（3）本合同附件</w:t>
      </w:r>
      <w:r>
        <w:rPr>
          <w:rFonts w:hint="eastAsia" w:ascii="仿宋_GB2312" w:hAnsi="Times New Roman" w:eastAsia="仿宋_GB2312" w:cs="仿宋_GB2312"/>
          <w:bCs/>
          <w:kern w:val="2"/>
          <w:sz w:val="28"/>
          <w:szCs w:val="28"/>
          <w:lang w:val="en-US" w:eastAsia="zh-CN" w:bidi="ar"/>
        </w:rPr>
        <w:t>的约定；</w:t>
      </w:r>
    </w:p>
    <w:p w14:paraId="3011BCE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（4）国家关于该类设备的设计和制造生产标准；</w:t>
      </w:r>
    </w:p>
    <w:p w14:paraId="59F70D4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（5）国家关于该类设备质量的行业标准；</w:t>
      </w:r>
    </w:p>
    <w:p w14:paraId="6855ACB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（6）符合国家有关安全、环保等规范和要求（乙方须提供设备测验报告）；</w:t>
      </w:r>
    </w:p>
    <w:p w14:paraId="76C7E72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（7）进口设备具有进口注册证书、《入境设备检验检疫证明》等中国海关商检合格证明</w:t>
      </w:r>
    </w:p>
    <w:p w14:paraId="475DF8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设备注册证名、产地品牌、规格型号应与在行政部门登记的注册证描述一致并在有效期内。消毒设备在注册证号栏中分别填入注册证号、卫生许可证号、卫生许可证批号。合同设备如属《中华人民共和国进口计量器具型式审查目录》或《中华人民共和国强制检定的工作计量器具目录》内的，乙方需提供计量合格证，所有上述证照办理的费用均包含在合同总价内。</w:t>
      </w:r>
    </w:p>
    <w:p w14:paraId="127CB9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3.如合同设备属于国家规定的强检设备，由乙方负责完成首次计量强制检定，验收前乙方必须附上计量检定合格报告。</w:t>
      </w:r>
    </w:p>
    <w:p w14:paraId="632E43A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w:t>
      </w:r>
      <w:r>
        <w:rPr>
          <w:rFonts w:hint="eastAsia" w:ascii="仿宋_GB2312" w:hAnsi="Times New Roman" w:eastAsia="仿宋_GB2312" w:cs="仿宋_GB2312"/>
          <w:bCs/>
          <w:color w:val="000000"/>
          <w:kern w:val="2"/>
          <w:sz w:val="28"/>
          <w:szCs w:val="28"/>
          <w:lang w:val="en-US" w:eastAsia="zh-CN" w:bidi="ar"/>
        </w:rPr>
        <w:t>如合同设备需要甲方信息端口，则由乙方负责甲方信息系统端口连接的安装工作及费用（包含信息系统方的接口开发费）。甲方协助乙方完成信息系统安装，确保设备稳定运行。</w:t>
      </w:r>
    </w:p>
    <w:p w14:paraId="2E910D0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 </w:t>
      </w:r>
    </w:p>
    <w:p w14:paraId="28EAC693">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第四条  质量保证及售后服务</w:t>
      </w:r>
    </w:p>
    <w:p w14:paraId="4A74E58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FF0000"/>
          <w:kern w:val="2"/>
          <w:sz w:val="28"/>
          <w:szCs w:val="28"/>
        </w:rPr>
      </w:pPr>
      <w:r>
        <w:rPr>
          <w:rFonts w:hint="eastAsia" w:ascii="仿宋_GB2312" w:hAnsi="Times New Roman" w:eastAsia="仿宋_GB2312" w:cs="仿宋_GB2312"/>
          <w:bCs/>
          <w:kern w:val="2"/>
          <w:sz w:val="28"/>
          <w:szCs w:val="28"/>
          <w:lang w:val="en-US" w:eastAsia="zh-CN" w:bidi="ar"/>
        </w:rPr>
        <w:t>1.乙方应保证设备是全新、未使用过的原装合格正品（包括零部件），设备到达甲方安装现场时外包装应完好无损，最新生产批次且经检验合格的产品。</w:t>
      </w:r>
    </w:p>
    <w:p w14:paraId="48CE813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2.乙方对本合同设备提供质</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保期</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3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年（</w:t>
      </w:r>
      <w:r>
        <w:rPr>
          <w:rFonts w:hint="eastAsia" w:ascii="仿宋_GB2312" w:hAnsi="Times New Roman" w:eastAsia="仿宋_GB2312" w:cs="仿宋_GB2312"/>
          <w:bCs/>
          <w:kern w:val="2"/>
          <w:sz w:val="28"/>
          <w:szCs w:val="28"/>
          <w:lang w:val="en-US" w:eastAsia="zh-CN" w:bidi="ar"/>
        </w:rPr>
        <w:t>自验收合格之日起算），终身维护。质保期内免费提供每年2次定期保养。设备出现故障时乙方应在接到甲方通知时4小时响应，24小时内到位，若乙方未能在24小时内消除障碍，甲方有权聘请第三方消除障碍，</w:t>
      </w:r>
      <w:r>
        <w:rPr>
          <w:rFonts w:hint="eastAsia" w:ascii="仿宋_GB2312" w:hAnsi="Times New Roman" w:eastAsia="仿宋_GB2312" w:cs="仿宋_GB2312"/>
          <w:kern w:val="2"/>
          <w:sz w:val="28"/>
          <w:szCs w:val="28"/>
          <w:lang w:val="en-US" w:eastAsia="zh-CN" w:bidi="ar"/>
        </w:rPr>
        <w:t>所发生的费用由乙方全部承担，乙方应于故障发生后</w:t>
      </w:r>
      <w:r>
        <w:rPr>
          <w:rFonts w:hint="eastAsia" w:ascii="仿宋_GB2312" w:hAnsi="Times New Roman" w:eastAsia="仿宋_GB2312" w:cs="仿宋_GB2312"/>
          <w:bCs/>
          <w:kern w:val="2"/>
          <w:sz w:val="28"/>
          <w:szCs w:val="28"/>
          <w:u w:val="single"/>
          <w:lang w:val="en-US" w:eastAsia="zh-CN" w:bidi="ar"/>
        </w:rPr>
        <w:t xml:space="preserve"> 15 </w:t>
      </w:r>
      <w:r>
        <w:rPr>
          <w:rFonts w:hint="eastAsia" w:ascii="仿宋_GB2312" w:hAnsi="Times New Roman" w:eastAsia="仿宋_GB2312" w:cs="仿宋_GB2312"/>
          <w:kern w:val="2"/>
          <w:sz w:val="28"/>
          <w:szCs w:val="28"/>
          <w:lang w:val="en-US" w:eastAsia="zh-CN" w:bidi="ar"/>
        </w:rPr>
        <w:t>日内支付。</w:t>
      </w:r>
    </w:p>
    <w:p w14:paraId="3867D0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3.质保期内非因甲方人为原因而出现的质量问题，由乙方负责包修、包换或者包退，并承担修理、调换或退货的实际费用。乙方不能修理或不能调换，按不能交货处理。</w:t>
      </w:r>
    </w:p>
    <w:p w14:paraId="2CF296AD">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必须提供由设备生产原厂签署承诺的合法有效的保修、维修证明（售后服务承诺函，盖厂家公章），厂家签署承诺的保修期应与投标供应商承诺的保修期一致；必须由原厂工程师及技术人员直接提供保修、维修、免费技术培训服务。</w:t>
      </w:r>
    </w:p>
    <w:p w14:paraId="00ADCC3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5.保修期届满后，乙方应按其在深圳地区同类产品的优惠价格提供维保服务，具体设备维护事宜由双方另行协商。</w:t>
      </w:r>
    </w:p>
    <w:p w14:paraId="41941F25">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第五条  进口设备手续（进口设备方使用该条款）</w:t>
      </w:r>
    </w:p>
    <w:p w14:paraId="214316D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乙方提供的进口设备必须具有合法的进口手续，并负责办理设备进口报关等手续。</w:t>
      </w:r>
    </w:p>
    <w:p w14:paraId="23575CE2">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第六条  包装</w:t>
      </w:r>
    </w:p>
    <w:p w14:paraId="3598D3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设备运输至本合同指定的交货地点所需要的包装，包装费用由乙方承担，包装物不返还，归甲方所有。设备的包装均应有良好的防湿、防锈、防潮、防雨、防腐及防碰撞的措施，符合产品标准关于包装的要求。凡由于包装问题造成的损失和由此产生的费用均由乙方承担。</w:t>
      </w:r>
    </w:p>
    <w:p w14:paraId="02E7C3D4">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第七条  交付</w:t>
      </w:r>
    </w:p>
    <w:p w14:paraId="24E4037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1.交货时间：合同签订并接甲方</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通知后</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w:t>
      </w:r>
    </w:p>
    <w:p w14:paraId="503DD4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2.交货地点：运输及卸车搬至甲方指定地点。运输费用及风险由乙方承担。在乙方将设备送至该交货地点前，甲方有权单方变更该交货地点，但应提前</w:t>
      </w:r>
      <w:r>
        <w:rPr>
          <w:rFonts w:hint="eastAsia" w:ascii="仿宋_GB2312" w:hAnsi="Times New Roman" w:eastAsia="仿宋_GB2312" w:cs="仿宋_GB2312"/>
          <w:bCs/>
          <w:kern w:val="2"/>
          <w:sz w:val="28"/>
          <w:szCs w:val="28"/>
          <w:u w:val="single"/>
          <w:lang w:val="en-US" w:eastAsia="zh-CN" w:bidi="ar"/>
        </w:rPr>
        <w:t xml:space="preserve"> 1 </w:t>
      </w:r>
      <w:r>
        <w:rPr>
          <w:rFonts w:hint="eastAsia" w:ascii="仿宋_GB2312" w:hAnsi="Times New Roman" w:eastAsia="仿宋_GB2312" w:cs="仿宋_GB2312"/>
          <w:bCs/>
          <w:kern w:val="2"/>
          <w:sz w:val="28"/>
          <w:szCs w:val="28"/>
          <w:lang w:val="en-US" w:eastAsia="zh-CN" w:bidi="ar"/>
        </w:rPr>
        <w:t>日通知乙方，乙方应无条件服从，因此产生的费用由乙方承担。</w:t>
      </w:r>
    </w:p>
    <w:p w14:paraId="1D62D960">
      <w:pPr>
        <w:pStyle w:val="14"/>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Calibri" w:eastAsia="仿宋_GB2312" w:cs="仿宋_GB2312"/>
          <w:bCs/>
          <w:kern w:val="2"/>
          <w:sz w:val="28"/>
          <w:szCs w:val="28"/>
          <w:lang w:val="en-US" w:eastAsia="zh-CN" w:bidi="ar"/>
        </w:rPr>
        <w:t>3.乙方应随设备向甲方交付设备中文版《使用说明书》等与本合同设备使用有关的所有资料。如为进口设备，乙方还应提供进口设备原产地证、检测报告、检验检疫证明、进口报关手续等资料。</w:t>
      </w:r>
    </w:p>
    <w:p w14:paraId="2780DE8F">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第八条  安装调试</w:t>
      </w:r>
    </w:p>
    <w:p w14:paraId="341EA76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000000" w:themeColor="text1"/>
          <w:kern w:val="2"/>
          <w:sz w:val="28"/>
          <w:szCs w:val="28"/>
          <w14:textFill>
            <w14:solidFill>
              <w14:schemeClr w14:val="tx1"/>
            </w14:solidFill>
          </w14:textFill>
        </w:rPr>
      </w:pPr>
      <w:r>
        <w:rPr>
          <w:rFonts w:hint="eastAsia" w:ascii="仿宋_GB2312" w:hAnsi="Times New Roman" w:eastAsia="仿宋_GB2312" w:cs="仿宋_GB2312"/>
          <w:bCs/>
          <w:kern w:val="2"/>
          <w:sz w:val="28"/>
          <w:szCs w:val="28"/>
          <w:lang w:val="en-US" w:eastAsia="zh-CN" w:bidi="ar"/>
        </w:rPr>
        <w:t>1.安装调试时间</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：自交货</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日内完成。</w:t>
      </w:r>
    </w:p>
    <w:p w14:paraId="5F47CA3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2.乙方负责合同项下设备的安装、调</w:t>
      </w:r>
      <w:r>
        <w:rPr>
          <w:rFonts w:hint="eastAsia" w:ascii="仿宋_GB2312" w:hAnsi="Times New Roman" w:eastAsia="仿宋_GB2312" w:cs="仿宋_GB2312"/>
          <w:bCs/>
          <w:kern w:val="2"/>
          <w:sz w:val="28"/>
          <w:szCs w:val="28"/>
          <w:lang w:val="en-US" w:eastAsia="zh-CN" w:bidi="ar"/>
        </w:rPr>
        <w:t>试，一切费用及责任由乙方承担。</w:t>
      </w:r>
    </w:p>
    <w:p w14:paraId="0950F28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设备安装需施工的，乙方应在合同签订前提供设备安装施工图纸，甲方与乙方共同签字确定安装场地施工方案，确保安装场地（包括消防、环保等）适合设备安装，如因乙方延迟提供材料或未及时签字确认方案等致设备无法如期安装所造成的损失由乙方承担。安装前乙方通知甲方使用科室、设备科三方共同到场开箱，并填写开箱记录。乙方应提供与设备相符且完整的资料，提供包括但不限于如下资料：①产品安装、操作和维修手册②中文版使用说明书③出厂合格证（进口产品提供进口报关单及检疫证明）④到货清单。</w:t>
      </w:r>
    </w:p>
    <w:p w14:paraId="4A93200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14:paraId="21A3797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Cs/>
          <w:kern w:val="2"/>
          <w:sz w:val="28"/>
          <w:szCs w:val="28"/>
          <w:lang w:val="en-US" w:eastAsia="zh-CN" w:bidi="ar"/>
        </w:rPr>
        <w:t>5.如乙方人员（包括受乙方委托提供送货、安装、调试等服务的人员）应提供安全、专业的服务，如在送货、安装、调试过程中造成乙方及乙方服务人员自身、甲方及甲方人员或者任何第三方的人身或财产损害，应由乙方自行承担责任；</w:t>
      </w:r>
    </w:p>
    <w:p w14:paraId="66E68496">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第九条  验收</w:t>
      </w:r>
    </w:p>
    <w:p w14:paraId="5A4AD28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1.验收时间：设备安装调试完毕，并正常运行后</w:t>
      </w:r>
      <w:r>
        <w:rPr>
          <w:rFonts w:hint="eastAsia" w:ascii="仿宋_GB2312" w:hAnsi="Times New Roman" w:eastAsia="仿宋_GB2312" w:cs="仿宋_GB2312"/>
          <w:bCs/>
          <w:color w:val="FF0000"/>
          <w:kern w:val="2"/>
          <w:sz w:val="28"/>
          <w:szCs w:val="28"/>
          <w:u w:val="single"/>
          <w:lang w:val="en-US" w:eastAsia="zh-CN" w:bidi="ar"/>
        </w:rPr>
        <w:t xml:space="preserve">  </w:t>
      </w:r>
      <w:r>
        <w:rPr>
          <w:rFonts w:hint="eastAsia" w:ascii="仿宋_GB2312" w:hAnsi="Times New Roman" w:eastAsia="仿宋_GB2312" w:cs="仿宋_GB2312"/>
          <w:bCs/>
          <w:kern w:val="2"/>
          <w:sz w:val="28"/>
          <w:szCs w:val="28"/>
          <w:lang w:val="en-US" w:eastAsia="zh-CN" w:bidi="ar"/>
        </w:rPr>
        <w:t>日内。</w:t>
      </w:r>
    </w:p>
    <w:p w14:paraId="666954D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验收日期前乙方必须完成合同约定的各项培训，包括对甲方相关人员进行设备使用培训及日常保养培训并提供培训记录。现场验收时乙方提供必要的技术支持并协助甲方完成各项指标和功能的测试，否则因验收延误产生的后果由乙方负责。</w:t>
      </w:r>
    </w:p>
    <w:p w14:paraId="5628763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3.合同设备安装调试完毕后，乙方应及时书面提请验收。甲乙双方共同对</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的包装、外观、数量、商标、型号、规格、质量以及设备随附单证、资料等进行验收。经双方验收后，由双方共同签署验收报告。乙方提供的设备及其随附物件的风险在经验收合格后转移至甲方。因乙方未及时书面提请验收造成付款延误的，由乙方自行承担责任。</w:t>
      </w:r>
    </w:p>
    <w:p w14:paraId="6085CCA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乙方提供的各种文件载明的内容必须真实，甲方对产品的技术数据置疑时，有权要求乙方按照双方认可的第三方检测机构出具的检验方法进行检测（检测费用由乙方承担），检测结果必须证明乙方提供的技术数据是真实的，否则视为不合格。</w:t>
      </w:r>
    </w:p>
    <w:p w14:paraId="738C1179">
      <w:pPr>
        <w:keepNext w:val="0"/>
        <w:keepLines w:val="0"/>
        <w:widowControl w:val="0"/>
        <w:suppressLineNumbers w:val="0"/>
        <w:tabs>
          <w:tab w:val="left" w:pos="780"/>
        </w:tabs>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验收发现设备短装、损坏或质量不符合本合同之规定，不论何种原因导致，在甲方提出换货要求的情况下，乙方应及时安排换货，以保证合同设备如期安装、通过验收。换货的相关费用和相应后果由乙方承担，验收时间不予顺延。</w:t>
      </w:r>
    </w:p>
    <w:p w14:paraId="581AEB88">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第十条 权利保证</w:t>
      </w:r>
    </w:p>
    <w:p w14:paraId="6DEBE08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乙方保证所提供的设备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设备造成的全部损失、律师费、诉讼费、取证费、差旅费、保全费、担保费、鉴证费、公证费、执行费以及间接损失等。</w:t>
      </w:r>
    </w:p>
    <w:p w14:paraId="0E5F35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2.乙方保证所提供的设备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设备的损失及因纠纷造成的其他损失（如被保全等）、甲方为解决纠纷支出的律师费、诉讼费、保全费、担保费、差旅费、鉴证费、公证费、执行费等全部费用以及全部间接损失。</w:t>
      </w:r>
    </w:p>
    <w:p w14:paraId="74A5506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3.如有关法院、仲裁机构或行政机关禁止甲方继续使用本合同项目下设备的部分或全部，乙方应酌情采取以下措施之一：</w:t>
      </w:r>
    </w:p>
    <w:p w14:paraId="68CEDF5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（1）使甲方重新免费获得使用上述设备的权利； </w:t>
      </w:r>
    </w:p>
    <w:p w14:paraId="1CBDBA2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（2）免费更换或改造上述设备，使甲方不受上述禁令限制继续使用该设备。</w:t>
      </w:r>
    </w:p>
    <w:p w14:paraId="748CF3D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乙方采取上述措施不能免除乙方就甲方因此遭受的损失进行赔偿的义务。</w:t>
      </w:r>
    </w:p>
    <w:p w14:paraId="034A79A9">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第十一条  违约责任</w:t>
      </w:r>
    </w:p>
    <w:p w14:paraId="2DAF2192">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1.甲方无正当理由拒收设备、拒付设备款的，甲方向乙方偿付其所拒收设备总值的</w:t>
      </w:r>
      <w:r>
        <w:rPr>
          <w:rFonts w:hint="eastAsia" w:ascii="仿宋_GB2312" w:hAnsi="Times New Roman" w:eastAsia="仿宋_GB2312" w:cs="仿宋_GB2312"/>
          <w:kern w:val="2"/>
          <w:sz w:val="28"/>
          <w:szCs w:val="28"/>
          <w:u w:val="single"/>
          <w:lang w:val="en-US" w:eastAsia="zh-CN" w:bidi="ar"/>
        </w:rPr>
        <w:t xml:space="preserve"> 10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73CAB818">
      <w:pPr>
        <w:pStyle w:val="43"/>
        <w:widowControl/>
        <w:adjustRightInd w:val="0"/>
        <w:snapToGrid w:val="0"/>
        <w:spacing w:line="560" w:lineRule="exact"/>
        <w:ind w:left="0" w:firstLine="602"/>
        <w:jc w:val="left"/>
        <w:rPr>
          <w:rFonts w:hint="default" w:ascii="Calibri" w:hAnsi="Calibri" w:eastAsia="宋体" w:cs="Times New Roman"/>
          <w:kern w:val="2"/>
          <w:sz w:val="24"/>
          <w:szCs w:val="24"/>
        </w:rPr>
      </w:pPr>
      <w:r>
        <w:rPr>
          <w:rFonts w:hint="eastAsia" w:ascii="仿宋_GB2312" w:eastAsia="仿宋_GB2312" w:cs="仿宋_GB2312"/>
          <w:bCs/>
          <w:kern w:val="2"/>
          <w:sz w:val="28"/>
          <w:szCs w:val="28"/>
        </w:rPr>
        <w:t>2.甲方逾期付设备款的，甲方向乙方每日偿付欠款总额</w:t>
      </w:r>
      <w:r>
        <w:rPr>
          <w:rFonts w:hint="eastAsia" w:ascii="仿宋_GB2312" w:eastAsia="仿宋_GB2312" w:cs="仿宋_GB2312"/>
          <w:kern w:val="2"/>
          <w:sz w:val="28"/>
          <w:szCs w:val="28"/>
          <w:u w:val="single"/>
        </w:rPr>
        <w:t xml:space="preserve">  1  </w:t>
      </w:r>
      <w:r>
        <w:rPr>
          <w:rFonts w:hint="eastAsia" w:ascii="仿宋_GB2312" w:eastAsia="仿宋_GB2312" w:cs="仿宋_GB2312"/>
          <w:kern w:val="2"/>
          <w:sz w:val="28"/>
          <w:szCs w:val="28"/>
        </w:rPr>
        <w:t>‰</w:t>
      </w:r>
      <w:r>
        <w:rPr>
          <w:rFonts w:hint="eastAsia" w:ascii="仿宋_GB2312" w:eastAsia="仿宋_GB2312" w:cs="仿宋_GB2312"/>
          <w:bCs/>
          <w:kern w:val="2"/>
          <w:sz w:val="28"/>
          <w:szCs w:val="28"/>
        </w:rPr>
        <w:t>的违约金，违约金总额最高不超过逾期支付设备款项的5%。但因甲方使用的是财政资金，甲方应在约定期限内办理财政支付申请手续（不含政府财政支付部门审核的时间）。因财政支付流程造成的延误，应视为甲方依约履行，甲方不承担任何逾期付款的违约责任。</w:t>
      </w:r>
    </w:p>
    <w:p w14:paraId="443668E0">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3.乙方逾期交付设备的，每逾期1日，乙方向甲方偿付</w:t>
      </w:r>
      <w:r>
        <w:rPr>
          <w:rFonts w:hint="eastAsia" w:ascii="仿宋_GB2312" w:hAnsi="Times New Roman" w:eastAsia="仿宋_GB2312" w:cs="仿宋_GB2312"/>
          <w:bCs/>
          <w:kern w:val="2"/>
          <w:sz w:val="28"/>
          <w:szCs w:val="28"/>
          <w:lang w:val="en-US" w:eastAsia="zh-CN" w:bidi="ar"/>
        </w:rPr>
        <w:t>本合同总价款</w:t>
      </w:r>
      <w:r>
        <w:rPr>
          <w:rFonts w:hint="eastAsia" w:ascii="仿宋_GB2312" w:hAnsi="Times New Roman" w:eastAsia="仿宋_GB2312" w:cs="仿宋_GB2312"/>
          <w:kern w:val="2"/>
          <w:sz w:val="28"/>
          <w:szCs w:val="28"/>
          <w:u w:val="single"/>
          <w:lang w:val="en-US" w:eastAsia="zh-CN" w:bidi="ar"/>
        </w:rPr>
        <w:t xml:space="preserve">  5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r>
        <w:rPr>
          <w:rFonts w:hint="eastAsia" w:ascii="仿宋_GB2312" w:hAnsi="Times New Roman" w:eastAsia="仿宋_GB2312" w:cs="仿宋_GB2312"/>
          <w:kern w:val="2"/>
          <w:sz w:val="28"/>
          <w:szCs w:val="28"/>
          <w:lang w:val="en-US" w:eastAsia="zh-CN" w:bidi="ar"/>
        </w:rPr>
        <w:t>。如乙方逾期交货达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日，甲方有权单方解除合同，同时乙方应向甲方</w:t>
      </w:r>
      <w:r>
        <w:rPr>
          <w:rFonts w:hint="eastAsia" w:ascii="仿宋_GB2312" w:hAnsi="Times New Roman" w:eastAsia="仿宋_GB2312" w:cs="仿宋_GB2312"/>
          <w:bCs/>
          <w:kern w:val="2"/>
          <w:sz w:val="28"/>
          <w:szCs w:val="28"/>
          <w:lang w:val="en-US" w:eastAsia="zh-CN" w:bidi="ar"/>
        </w:rPr>
        <w:t>支付合同总价款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25819B11">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4.乙方所交付的设备品种、型号、规格、质量标准等不符合合同约定的，甲方有权要求乙方进行退换货处理;设备已安装的，乙方须按照甲方要求的时间、方式拆除处置乙方设备，由此产生一切费用（含恢复原状费用）由乙方承担。乙方在甲方要求时间内不予处置的，甲方有权自行处置，乙方应向甲方支付货款总额</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％的违约金。乙方因退换货造成逾期交货的，按本条第3点的约定执行。</w:t>
      </w:r>
    </w:p>
    <w:p w14:paraId="6F6DC6D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5.在乙方承诺的或国家规定的质量保证期内（取两者中最长的期限），如经乙方两次维修或更换，设备仍不能达到合同约定的质量标准，甲方有权单方解除合同，乙方应退回全部货款并赔偿甲方因此遭受的损失，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46B6D9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6.乙方未履行本合同项下的其他义务或违反招标文件的要求或其在投标文件中的相关承诺的，乙方须在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内改正，未能在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内改正且无正当理由的，甲方有权单方解除合同，乙方应退回全部货款，同时乙方应向甲方支付合同总价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B50EAB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7.乙方在承担上述一项或多项违约责任后，仍应继续履行合同规定的义务（甲方解除合同的除外）。甲方未能及时追究乙方的任何一项违约责任并不表明甲方放弃追究乙方该项或其他违约责任。</w:t>
      </w:r>
    </w:p>
    <w:p w14:paraId="7DCC9C7C">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8.合同双方认为应补充的内容（不违反招投标文件及相关法律法规）：</w:t>
      </w:r>
      <w:r>
        <w:rPr>
          <w:rFonts w:hint="eastAsia" w:ascii="仿宋_GB2312" w:hAnsi="Times New Roman" w:eastAsia="仿宋_GB2312" w:cs="仿宋_GB2312"/>
          <w:kern w:val="2"/>
          <w:sz w:val="28"/>
          <w:szCs w:val="28"/>
          <w:u w:val="single"/>
          <w:lang w:val="en-US" w:eastAsia="zh-CN" w:bidi="ar"/>
        </w:rPr>
        <w:t xml:space="preserve">   无   </w:t>
      </w:r>
    </w:p>
    <w:p w14:paraId="6FF5175D">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第十二条  不可抗力</w:t>
      </w:r>
    </w:p>
    <w:p w14:paraId="4E4FA3D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4）</w:t>
      </w:r>
      <w:r>
        <w:rPr>
          <w:rFonts w:hint="eastAsia" w:ascii="仿宋_GB2312" w:hAnsi="Times New Roman" w:eastAsia="仿宋_GB2312" w:cs="仿宋_GB2312"/>
          <w:kern w:val="2"/>
          <w:sz w:val="28"/>
          <w:szCs w:val="28"/>
          <w:lang w:val="en-US" w:eastAsia="zh-CN" w:bidi="ar"/>
        </w:rPr>
        <w:t>突发公共卫生事件</w:t>
      </w:r>
      <w:r>
        <w:rPr>
          <w:rFonts w:hint="eastAsia" w:ascii="仿宋_GB2312" w:hAnsi="Times New Roman" w:eastAsia="仿宋_GB2312" w:cs="仿宋_GB2312"/>
          <w:bCs/>
          <w:kern w:val="2"/>
          <w:sz w:val="28"/>
          <w:szCs w:val="28"/>
          <w:lang w:val="en-US" w:eastAsia="zh-CN" w:bidi="ar"/>
        </w:rPr>
        <w:t>等。</w:t>
      </w:r>
    </w:p>
    <w:p w14:paraId="033C406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4278B0B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3170BE3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6116D662">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u w:val="single"/>
        </w:rPr>
      </w:pPr>
      <w:r>
        <w:rPr>
          <w:rFonts w:hint="eastAsia" w:ascii="仿宋_GB2312" w:hAnsi="Times New Roman" w:eastAsia="仿宋_GB2312" w:cs="仿宋_GB2312"/>
          <w:b/>
          <w:bCs w:val="0"/>
          <w:kern w:val="2"/>
          <w:sz w:val="28"/>
          <w:szCs w:val="28"/>
          <w:lang w:val="en-US" w:eastAsia="zh-CN" w:bidi="ar"/>
        </w:rPr>
        <w:t>第十三条 变更、终止条款</w:t>
      </w:r>
    </w:p>
    <w:p w14:paraId="7473535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1.除继续履行将损害国家利益和社会公共利益的外，双方不得擅自变更或者终止合同，确有需要的，甲乙双方应根据相关规定完成合同变更程序。</w:t>
      </w:r>
    </w:p>
    <w:p w14:paraId="7A67EE9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2.如继续履行将损害国家利益和社会公共利益的，主张变更或终止权利一方应在终止事件或情形发生时通知另一方。双方另行签订变更或终止协议。</w:t>
      </w:r>
    </w:p>
    <w:p w14:paraId="6227716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kern w:val="2"/>
          <w:sz w:val="28"/>
          <w:szCs w:val="28"/>
          <w:lang w:val="en-US" w:eastAsia="zh-CN" w:bidi="ar"/>
        </w:rPr>
        <w:t>3.合同履行期间，相关法律、法规、规章、规范性文件和政策发生变化或者颁布新的规定，导致本合同的履行依据发生变化的，双方可以按照修改后或者新的规定执行，并另行签订变更协议。</w:t>
      </w:r>
    </w:p>
    <w:p w14:paraId="694F3FFF">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第十四条  争议解决</w:t>
      </w:r>
    </w:p>
    <w:p w14:paraId="54A4032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1.因设备的质量问题发生争议，由国家和市政府指定的技术单位进行质量鉴定，该鉴定结论是终局的，甲乙双方应当接受。</w:t>
      </w:r>
    </w:p>
    <w:p w14:paraId="4488280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2.因履行本合同引起的或与本合同有关的争议，甲、乙双方应首先通过友好协商解决，如果协商不能解决争议，则向甲方所在地有管辖权的人民法院提起诉讼。</w:t>
      </w:r>
    </w:p>
    <w:p w14:paraId="4DE7BD5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3.有关本协议的效力、解释及可执行性的所有问题均应当受中华人民共和国法律管辖并按照其法律进行解释。</w:t>
      </w:r>
    </w:p>
    <w:p w14:paraId="1308FC55">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第十五条  保密责任</w:t>
      </w:r>
    </w:p>
    <w:p w14:paraId="0122AC3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7847E6C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bCs/>
          <w:kern w:val="2"/>
          <w:sz w:val="28"/>
          <w:szCs w:val="28"/>
          <w:lang w:val="en-US" w:eastAsia="zh-CN" w:bidi="ar"/>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255E804D">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第十六条  通信送达</w:t>
      </w:r>
    </w:p>
    <w:p w14:paraId="624E538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1.乙方履行本合同的指定联系人及授</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权代表为</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；职务</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销售经理</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；联系电话</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；电子邮箱</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。在履行合同过程中，该指定联系人及授权代表的行为、意思表示及对甲方所作的任何</w:t>
      </w:r>
      <w:r>
        <w:rPr>
          <w:rFonts w:hint="eastAsia" w:ascii="仿宋_GB2312" w:hAnsi="Times New Roman" w:eastAsia="仿宋_GB2312" w:cs="仿宋_GB2312"/>
          <w:bCs/>
          <w:kern w:val="2"/>
          <w:sz w:val="28"/>
          <w:szCs w:val="28"/>
          <w:lang w:val="en-US" w:eastAsia="zh-CN" w:bidi="ar"/>
        </w:rPr>
        <w:t>承诺、通知等，都对乙方直接具有约束力；甲方通知送达该联系人及授权代表时，即视为通知送达乙方。</w:t>
      </w:r>
    </w:p>
    <w:p w14:paraId="339E78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2.乙方的指定联系人、授权代表的信息发生变化的，或乙方联系地址、电话等发生变化的，应提前5个工作日书面通知到甲方。否则相关送达的不利后果及责任，由乙方自行承担。</w:t>
      </w:r>
    </w:p>
    <w:p w14:paraId="5543FC9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3.如上述地址无法送达的，以双方当事人的注册地址作为送达地址。</w:t>
      </w:r>
    </w:p>
    <w:p w14:paraId="1C321F4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第十七条  廉洁合作</w:t>
      </w:r>
    </w:p>
    <w:p w14:paraId="4300A40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14E0434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8E4A2A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第十八条  附则</w:t>
      </w:r>
    </w:p>
    <w:p w14:paraId="21CD95D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1.本合同一式</w:t>
      </w:r>
      <w:r>
        <w:rPr>
          <w:rFonts w:hint="eastAsia" w:ascii="仿宋_GB2312" w:hAnsi="Times New Roman" w:eastAsia="仿宋_GB2312" w:cs="仿宋_GB2312"/>
          <w:kern w:val="2"/>
          <w:sz w:val="28"/>
          <w:szCs w:val="28"/>
          <w:u w:val="single"/>
          <w:lang w:val="en-US" w:eastAsia="zh-CN" w:bidi="ar"/>
        </w:rPr>
        <w:t xml:space="preserve"> 陆 </w:t>
      </w:r>
      <w:r>
        <w:rPr>
          <w:rFonts w:hint="eastAsia" w:ascii="仿宋_GB2312" w:hAnsi="Times New Roman" w:eastAsia="仿宋_GB2312" w:cs="仿宋_GB2312"/>
          <w:bCs/>
          <w:kern w:val="2"/>
          <w:sz w:val="28"/>
          <w:szCs w:val="28"/>
          <w:lang w:val="en-US" w:eastAsia="zh-CN" w:bidi="ar"/>
        </w:rPr>
        <w:t>份，甲方执</w:t>
      </w:r>
      <w:r>
        <w:rPr>
          <w:rFonts w:hint="eastAsia" w:ascii="仿宋_GB2312" w:hAnsi="Times New Roman" w:eastAsia="仿宋_GB2312" w:cs="仿宋_GB2312"/>
          <w:kern w:val="2"/>
          <w:sz w:val="28"/>
          <w:szCs w:val="28"/>
          <w:u w:val="single"/>
          <w:lang w:val="en-US" w:eastAsia="zh-CN" w:bidi="ar"/>
        </w:rPr>
        <w:t xml:space="preserve"> 伍 </w:t>
      </w:r>
      <w:r>
        <w:rPr>
          <w:rFonts w:hint="eastAsia" w:ascii="仿宋_GB2312" w:hAnsi="Times New Roman" w:eastAsia="仿宋_GB2312" w:cs="仿宋_GB2312"/>
          <w:bCs/>
          <w:kern w:val="2"/>
          <w:sz w:val="28"/>
          <w:szCs w:val="28"/>
          <w:lang w:val="en-US" w:eastAsia="zh-CN" w:bidi="ar"/>
        </w:rPr>
        <w:t>份、乙方执</w:t>
      </w:r>
      <w:r>
        <w:rPr>
          <w:rFonts w:hint="eastAsia" w:ascii="仿宋_GB2312" w:hAnsi="Times New Roman" w:eastAsia="仿宋_GB2312" w:cs="仿宋_GB2312"/>
          <w:kern w:val="2"/>
          <w:sz w:val="28"/>
          <w:szCs w:val="28"/>
          <w:u w:val="single"/>
          <w:lang w:val="en-US" w:eastAsia="zh-CN" w:bidi="ar"/>
        </w:rPr>
        <w:t xml:space="preserve"> 壹 </w:t>
      </w:r>
      <w:r>
        <w:rPr>
          <w:rFonts w:hint="eastAsia" w:ascii="仿宋_GB2312" w:hAnsi="Times New Roman" w:eastAsia="仿宋_GB2312" w:cs="仿宋_GB2312"/>
          <w:bCs/>
          <w:kern w:val="2"/>
          <w:sz w:val="28"/>
          <w:szCs w:val="28"/>
          <w:lang w:val="en-US" w:eastAsia="zh-CN" w:bidi="ar"/>
        </w:rPr>
        <w:t>份，具有同等法律效力。本合同自双方法定代表人或有权代理人签字并加盖双方公章或合同专用章之日起生效。</w:t>
      </w:r>
    </w:p>
    <w:p w14:paraId="30BA3AC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2.本合同未尽事宜，由双方协商处理，经协商一致可签订补充协议。</w:t>
      </w:r>
    </w:p>
    <w:p w14:paraId="30A3ABE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3.如有设备相关耗材、试剂或易损器械，设备及主要维修配件，乙方应提供并分别列出它们的优惠价格。</w:t>
      </w:r>
    </w:p>
    <w:p w14:paraId="7F4E540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第十九条  合同组成文件</w:t>
      </w:r>
    </w:p>
    <w:p w14:paraId="7EADE49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66D58A3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1.本合同及其附件、补充合同、变更协议；</w:t>
      </w:r>
    </w:p>
    <w:p w14:paraId="28FF17B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2.中标通知书；</w:t>
      </w:r>
    </w:p>
    <w:p w14:paraId="566848FE">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3.投标文件（含澄清或者说明文件）；</w:t>
      </w:r>
    </w:p>
    <w:p w14:paraId="5702877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4.招标文件（含澄清或者修改文件）；</w:t>
      </w:r>
    </w:p>
    <w:p w14:paraId="7FBE8B5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5.其他相关采购文件。</w:t>
      </w:r>
    </w:p>
    <w:p w14:paraId="1DBDB0B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附件一：中标通知书</w:t>
      </w:r>
    </w:p>
    <w:p w14:paraId="1CDC973A">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附件二：廉洁合作承诺书（企业承诺）</w:t>
      </w:r>
    </w:p>
    <w:p w14:paraId="79CA7C50">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附件三：廉洁从业承诺书（员工承诺）</w:t>
      </w:r>
    </w:p>
    <w:p w14:paraId="1EFC61B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附件四：配置清单</w:t>
      </w:r>
    </w:p>
    <w:p w14:paraId="138DABC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附件五：技术偏离表</w:t>
      </w:r>
    </w:p>
    <w:p w14:paraId="00F6C0A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附件六：售后服务承诺（含厂家）</w:t>
      </w:r>
    </w:p>
    <w:p w14:paraId="501FDF1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附件七：每年二次的维护计划</w:t>
      </w:r>
    </w:p>
    <w:p w14:paraId="61B1BB1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6F7AE8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7BF623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283FF78">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br w:type="page"/>
      </w:r>
    </w:p>
    <w:p w14:paraId="7094F3A3">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（本页无正文</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，为《XXXX》签署页</w:t>
      </w:r>
      <w:r>
        <w:rPr>
          <w:rFonts w:hint="eastAsia" w:ascii="仿宋_GB2312" w:hAnsi="Times New Roman" w:eastAsia="仿宋_GB2312" w:cs="仿宋_GB2312"/>
          <w:kern w:val="2"/>
          <w:sz w:val="28"/>
          <w:szCs w:val="28"/>
          <w:lang w:val="en-US" w:eastAsia="zh-CN" w:bidi="ar"/>
        </w:rPr>
        <w:t>）</w:t>
      </w:r>
    </w:p>
    <w:p w14:paraId="4F8276B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2EEB678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5D9DE3D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bl>
      <w:tblPr>
        <w:tblStyle w:val="17"/>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62"/>
        <w:gridCol w:w="4160"/>
      </w:tblGrid>
      <w:tr w14:paraId="13BE99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14D854B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甲方：深圳市福田区第二人民医院</w:t>
            </w:r>
          </w:p>
        </w:tc>
        <w:tc>
          <w:tcPr>
            <w:tcW w:w="2441" w:type="pct"/>
            <w:tcBorders>
              <w:top w:val="nil"/>
              <w:left w:val="nil"/>
              <w:bottom w:val="nil"/>
              <w:right w:val="nil"/>
            </w:tcBorders>
            <w:shd w:val="clear" w:color="auto" w:fill="auto"/>
            <w:vAlign w:val="top"/>
          </w:tcPr>
          <w:p w14:paraId="3C71B5C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乙方：</w:t>
            </w:r>
          </w:p>
        </w:tc>
      </w:tr>
      <w:tr w14:paraId="223952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73E393E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地址：深圳市福田区梅林街道</w:t>
            </w:r>
          </w:p>
          <w:p w14:paraId="01358CA2">
            <w:pPr>
              <w:keepNext w:val="0"/>
              <w:keepLines w:val="0"/>
              <w:widowControl w:val="0"/>
              <w:suppressLineNumbers w:val="0"/>
              <w:spacing w:before="0" w:beforeAutospacing="0" w:after="0" w:afterAutospacing="0" w:line="360" w:lineRule="auto"/>
              <w:ind w:left="0" w:right="0" w:firstLine="840" w:firstLineChars="3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中康路27号</w:t>
            </w:r>
          </w:p>
        </w:tc>
        <w:tc>
          <w:tcPr>
            <w:tcW w:w="2441" w:type="pct"/>
            <w:tcBorders>
              <w:top w:val="nil"/>
              <w:left w:val="nil"/>
              <w:bottom w:val="nil"/>
              <w:right w:val="nil"/>
            </w:tcBorders>
            <w:shd w:val="clear" w:color="auto" w:fill="auto"/>
            <w:vAlign w:val="top"/>
          </w:tcPr>
          <w:p w14:paraId="344D2F8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址：</w:t>
            </w:r>
          </w:p>
        </w:tc>
      </w:tr>
      <w:tr w14:paraId="1DC6AC5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4BC953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p w14:paraId="2A2D2CB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4DAE673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tc>
      </w:tr>
      <w:tr w14:paraId="338836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F1B7B5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p w14:paraId="2B13E92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69E7D06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tc>
      </w:tr>
      <w:tr w14:paraId="066AEE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9AF21A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话：0755-83279817</w:t>
            </w:r>
          </w:p>
        </w:tc>
        <w:tc>
          <w:tcPr>
            <w:tcW w:w="2441" w:type="pct"/>
            <w:tcBorders>
              <w:top w:val="nil"/>
              <w:left w:val="nil"/>
              <w:bottom w:val="nil"/>
              <w:right w:val="nil"/>
            </w:tcBorders>
            <w:shd w:val="clear" w:color="auto" w:fill="auto"/>
            <w:vAlign w:val="top"/>
          </w:tcPr>
          <w:p w14:paraId="245F03F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w:t>
            </w:r>
          </w:p>
        </w:tc>
      </w:tr>
      <w:tr w14:paraId="1B1150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CD57FB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开户银行：建行深圳梅林支行</w:t>
            </w:r>
          </w:p>
        </w:tc>
        <w:tc>
          <w:tcPr>
            <w:tcW w:w="2441" w:type="pct"/>
            <w:tcBorders>
              <w:top w:val="nil"/>
              <w:left w:val="nil"/>
              <w:bottom w:val="nil"/>
              <w:right w:val="nil"/>
            </w:tcBorders>
            <w:shd w:val="clear" w:color="auto" w:fill="auto"/>
            <w:vAlign w:val="top"/>
          </w:tcPr>
          <w:p w14:paraId="0C5397A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w:t>
            </w:r>
          </w:p>
        </w:tc>
      </w:tr>
      <w:tr w14:paraId="3641142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EA15F9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号：44201550900051002164</w:t>
            </w:r>
          </w:p>
        </w:tc>
        <w:tc>
          <w:tcPr>
            <w:tcW w:w="2441" w:type="pct"/>
            <w:tcBorders>
              <w:top w:val="nil"/>
              <w:left w:val="nil"/>
              <w:bottom w:val="nil"/>
              <w:right w:val="nil"/>
            </w:tcBorders>
            <w:shd w:val="clear" w:color="auto" w:fill="auto"/>
            <w:vAlign w:val="top"/>
          </w:tcPr>
          <w:p w14:paraId="05A37C2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w:t>
            </w:r>
          </w:p>
        </w:tc>
      </w:tr>
      <w:tr w14:paraId="546728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4C27A9F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c>
          <w:tcPr>
            <w:tcW w:w="2441" w:type="pct"/>
            <w:tcBorders>
              <w:top w:val="nil"/>
              <w:left w:val="nil"/>
              <w:bottom w:val="nil"/>
              <w:right w:val="nil"/>
            </w:tcBorders>
            <w:shd w:val="clear" w:color="auto" w:fill="auto"/>
            <w:vAlign w:val="top"/>
          </w:tcPr>
          <w:p w14:paraId="73E6F5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r>
    </w:tbl>
    <w:p w14:paraId="48D2DAA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FDF13A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6B3E0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F751C3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3BA9FD39">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仿宋_GB2312" w:eastAsia="仿宋_GB2312" w:cs="仿宋_GB2312"/>
          <w:b/>
          <w:bCs/>
          <w:kern w:val="0"/>
          <w:sz w:val="28"/>
          <w:szCs w:val="28"/>
        </w:rPr>
      </w:pPr>
      <w:r>
        <w:rPr>
          <w:rFonts w:hint="eastAsia" w:ascii="仿宋_GB2312" w:hAnsi="Times New Roman" w:eastAsia="仿宋_GB2312" w:cs="仿宋_GB2312"/>
          <w:b/>
          <w:bCs/>
          <w:kern w:val="0"/>
          <w:sz w:val="28"/>
          <w:szCs w:val="28"/>
          <w:lang w:val="en-US" w:eastAsia="zh-CN" w:bidi="ar"/>
        </w:rPr>
        <w:t>附件一：中标通知书</w:t>
      </w:r>
    </w:p>
    <w:p w14:paraId="3C84B435">
      <w:pPr>
        <w:keepNext w:val="0"/>
        <w:keepLines w:val="0"/>
        <w:widowControl/>
        <w:suppressLineNumbers w:val="0"/>
        <w:spacing w:before="0" w:beforeAutospacing="0" w:after="0" w:afterAutospacing="0"/>
        <w:ind w:left="0" w:right="0"/>
        <w:jc w:val="left"/>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 xml:space="preserve"> </w:t>
      </w:r>
    </w:p>
    <w:p w14:paraId="37E6A5D3">
      <w:pPr>
        <w:keepNext w:val="0"/>
        <w:keepLines w:val="0"/>
        <w:widowControl/>
        <w:suppressLineNumbers w:val="0"/>
        <w:spacing w:before="0" w:beforeAutospacing="0" w:after="0" w:afterAutospacing="0"/>
        <w:ind w:left="0" w:right="0"/>
        <w:jc w:val="left"/>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2"/>
          <w:sz w:val="28"/>
          <w:szCs w:val="28"/>
          <w:lang w:val="en-US" w:eastAsia="zh-CN" w:bidi="ar"/>
        </w:rPr>
        <w:br w:type="page"/>
      </w:r>
    </w:p>
    <w:p w14:paraId="362DF27A">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方正小标宋_GBK" w:hAnsi="方正小标宋_GBK" w:eastAsia="方正小标宋_GBK" w:cs="方正小标宋_GBK"/>
          <w:b/>
          <w:bCs/>
          <w:kern w:val="0"/>
          <w:sz w:val="44"/>
          <w:szCs w:val="44"/>
        </w:rPr>
      </w:pPr>
      <w:r>
        <w:rPr>
          <w:rFonts w:hint="eastAsia" w:ascii="仿宋_GB2312" w:hAnsi="Times New Roman" w:eastAsia="仿宋_GB2312" w:cs="仿宋_GB2312"/>
          <w:b/>
          <w:bCs w:val="0"/>
          <w:kern w:val="0"/>
          <w:sz w:val="28"/>
          <w:szCs w:val="28"/>
          <w:lang w:val="en-US" w:eastAsia="zh-CN" w:bidi="ar"/>
        </w:rPr>
        <w:t>附件二：廉洁合作承诺书（企业承诺）</w:t>
      </w:r>
    </w:p>
    <w:p w14:paraId="3F649317">
      <w:pPr>
        <w:pStyle w:val="14"/>
        <w:keepNext w:val="0"/>
        <w:keepLines w:val="0"/>
        <w:widowControl/>
        <w:suppressLineNumbers w:val="0"/>
        <w:tabs>
          <w:tab w:val="left" w:pos="7497"/>
        </w:tabs>
        <w:spacing w:before="0" w:beforeAutospacing="1" w:after="120" w:afterLines="50" w:afterAutospacing="0" w:line="600" w:lineRule="exact"/>
        <w:ind w:left="0" w:right="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廉洁合作承诺书</w:t>
      </w:r>
    </w:p>
    <w:p w14:paraId="70CCDE80">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（企业承诺）</w:t>
      </w:r>
    </w:p>
    <w:p w14:paraId="0C7FE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本公司决定参加项目投标。为维护公平竞争的市场秩序，促进企业廉洁从业、诚实守信，特承诺如下：</w:t>
      </w:r>
    </w:p>
    <w:p w14:paraId="5498C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一、严格遵守《中华人民共和国招标投标法》、《中华人民共和国政府采购法》等法律法规，决不发生以下行为：</w:t>
      </w:r>
    </w:p>
    <w:p w14:paraId="05B6A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1.以他人名义投标，允许其他单位或个人使用本单位资质投标；</w:t>
      </w:r>
    </w:p>
    <w:p w14:paraId="30DBB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2.提供虚假材料，或以其他方式弄虚作假骗取中标；</w:t>
      </w:r>
    </w:p>
    <w:p w14:paraId="6CDDC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3.与招标人或者其他投标人相互串通投标；</w:t>
      </w:r>
    </w:p>
    <w:p w14:paraId="56CFF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4.中标后将项目转包，或违法分包；</w:t>
      </w:r>
    </w:p>
    <w:p w14:paraId="27320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5.中标后与招标人签订背离投标文件及合同实质性内容的私下协议；</w:t>
      </w:r>
    </w:p>
    <w:p w14:paraId="19B58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6.其他违反招标投标、政府采购等法律法规的行为。</w:t>
      </w:r>
    </w:p>
    <w:p w14:paraId="680C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二、不以任何理由给予采购单位、主管部门、相关单位及其工作人员以下好处：</w:t>
      </w:r>
    </w:p>
    <w:p w14:paraId="6BCA9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0F4FE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3776D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7BD19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4.提供宴请、健身、旅游、娱乐等高消费活动； </w:t>
      </w:r>
    </w:p>
    <w:p w14:paraId="6CB9B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73BFB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三、不以任何理由为采购单位、主管部门、相关单位的工作人员及其配偶、子女等亲属的工作安排以及出国（境）等提供方便。</w:t>
      </w:r>
    </w:p>
    <w:p w14:paraId="68BC2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四、自觉接受有关部门和派驻廉政监察组等机构的监督，积极配合采购单位开展廉政文化进工程工作，加强廉洁从业环境宣传、项目管理制度建设，多种形式开展廉洁教育。</w:t>
      </w:r>
    </w:p>
    <w:p w14:paraId="19F8A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上述承诺如有违反，愿接受录入诚信档案的处理，构成违纪违法的，由相关部门依纪依法作出处理。</w:t>
      </w:r>
    </w:p>
    <w:p w14:paraId="4877F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（本承诺书由投标人法定代表人签名，并加盖公章；一式贰份，采购单位与履约供应商各持壹份。）</w:t>
      </w:r>
    </w:p>
    <w:p w14:paraId="150BE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 xml:space="preserve"> </w:t>
      </w:r>
    </w:p>
    <w:p w14:paraId="76269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  </w:t>
      </w:r>
    </w:p>
    <w:p w14:paraId="17047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法定代表人签名：</w:t>
      </w:r>
    </w:p>
    <w:p w14:paraId="67FFC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承诺单位（公章）：</w:t>
      </w:r>
    </w:p>
    <w:p w14:paraId="70C02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0"/>
          <w:sz w:val="28"/>
          <w:szCs w:val="28"/>
          <w:lang w:val="en-US" w:eastAsia="zh-CN" w:bidi="ar"/>
        </w:rPr>
        <w:t>承诺日期：</w:t>
      </w:r>
      <w:r>
        <w:rPr>
          <w:rFonts w:hint="eastAsia" w:ascii="仿宋_GB2312" w:hAnsi="Times New Roman" w:eastAsia="仿宋_GB2312" w:cs="仿宋_GB2312"/>
          <w:kern w:val="2"/>
          <w:sz w:val="28"/>
          <w:szCs w:val="28"/>
          <w:lang w:val="en-US" w:eastAsia="zh-CN" w:bidi="ar"/>
        </w:rPr>
        <w:br w:type="page"/>
      </w:r>
    </w:p>
    <w:p w14:paraId="26DE5847">
      <w:pPr>
        <w:keepNext w:val="0"/>
        <w:keepLines w:val="0"/>
        <w:widowControl/>
        <w:suppressLineNumbers w:val="0"/>
        <w:spacing w:before="0" w:beforeAutospacing="0" w:after="0" w:afterAutospacing="0"/>
        <w:ind w:left="0" w:leftChars="0" w:right="0" w:rightChars="0"/>
        <w:jc w:val="left"/>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附件三：廉洁从业承诺书（员工承诺）</w:t>
      </w:r>
    </w:p>
    <w:p w14:paraId="15EB66DC">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廉洁从业承诺书</w:t>
      </w:r>
    </w:p>
    <w:p w14:paraId="36F8610E">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（员工承诺）</w:t>
      </w:r>
    </w:p>
    <w:p w14:paraId="160FF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本人决定自愿参加本项目。为了更好的树立公司对外形象，更好地打造公司的品牌，促进个人廉洁从业、诚实守信，特承诺如下：</w:t>
      </w:r>
    </w:p>
    <w:p w14:paraId="14C70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一、不以任何理由给予采购单位、主管部门、相关单位及其工作人员以下好处：</w:t>
      </w:r>
    </w:p>
    <w:p w14:paraId="37FDC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73AF2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409FE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6CE6F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4.提供宴请、健身、旅游、娱乐等高消费活动；</w:t>
      </w:r>
    </w:p>
    <w:p w14:paraId="49386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291ED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二、不以任何理由为采购单位、主管部门、相关单位的工作人员及其配偶、子女等亲属的工作安排以及出国（境）等提供方便。</w:t>
      </w:r>
    </w:p>
    <w:p w14:paraId="164A1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三、自觉接受有关部门和派驻廉政监察组等机构的监督。</w:t>
      </w:r>
    </w:p>
    <w:p w14:paraId="419BE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以上承诺接受公司和广大员工的监督。本人如有违反承诺，自愿承担违诺责任和法律后果。</w:t>
      </w:r>
    </w:p>
    <w:p w14:paraId="1B3B6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（本承诺书由项目人员签名，一式贰份。公司与项目人员各持壹份。）</w:t>
      </w:r>
    </w:p>
    <w:p w14:paraId="0CBF6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承诺人：</w:t>
      </w:r>
    </w:p>
    <w:p w14:paraId="797BA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承诺日期：</w:t>
      </w:r>
    </w:p>
    <w:p w14:paraId="328685BE">
      <w:pPr>
        <w:pStyle w:val="14"/>
        <w:keepNext w:val="0"/>
        <w:keepLines w:val="0"/>
        <w:widowControl/>
        <w:suppressLineNumbers w:val="0"/>
        <w:adjustRightInd w:val="0"/>
        <w:snapToGrid w:val="0"/>
        <w:spacing w:before="0" w:beforeAutospacing="1" w:after="0" w:afterAutospacing="1" w:line="579" w:lineRule="exact"/>
        <w:ind w:left="0" w:right="0"/>
        <w:jc w:val="left"/>
        <w:rPr>
          <w:rFonts w:hint="default" w:ascii="Times New Roman" w:hAnsi="Times New Roman" w:cs="Times New Roman"/>
          <w:color w:val="FFFFFF"/>
          <w:kern w:val="2"/>
          <w:sz w:val="16"/>
          <w:szCs w:val="16"/>
          <w:shd w:val="clear" w:fill="000000"/>
        </w:rPr>
      </w:pPr>
      <w:r>
        <w:rPr>
          <w:rFonts w:hint="eastAsia" w:ascii="仿宋_GB2312" w:hAnsi="Times New Roman" w:eastAsia="仿宋_GB2312" w:cs="仿宋_GB2312"/>
          <w:b/>
          <w:bCs/>
          <w:kern w:val="0"/>
          <w:sz w:val="28"/>
          <w:szCs w:val="28"/>
          <w:lang w:val="en-US" w:eastAsia="zh-CN" w:bidi="ar"/>
        </w:rPr>
        <w:t>附件四：配置清单</w:t>
      </w:r>
    </w:p>
    <w:p w14:paraId="042C0A6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0F829A2F">
      <w:pPr>
        <w:keepNext w:val="0"/>
        <w:keepLines w:val="0"/>
        <w:widowControl w:val="0"/>
        <w:suppressLineNumbers w:val="0"/>
        <w:spacing w:before="0" w:beforeAutospacing="0" w:after="0" w:afterAutospacing="0"/>
        <w:ind w:left="0" w:right="0"/>
        <w:jc w:val="left"/>
        <w:rPr>
          <w:rFonts w:hint="eastAsia" w:ascii="仿宋" w:hAnsi="仿宋" w:eastAsia="仿宋" w:cs="Times New Roman"/>
          <w:b/>
          <w:bCs w:val="0"/>
          <w:color w:val="FF0000"/>
          <w:kern w:val="2"/>
          <w:sz w:val="28"/>
          <w:szCs w:val="28"/>
        </w:rPr>
      </w:pPr>
      <w:r>
        <w:rPr>
          <w:rFonts w:hint="eastAsia" w:ascii="仿宋" w:hAnsi="仿宋" w:eastAsia="仿宋" w:cs="仿宋"/>
          <w:b/>
          <w:bCs w:val="0"/>
          <w:kern w:val="2"/>
          <w:sz w:val="28"/>
          <w:szCs w:val="28"/>
          <w:lang w:val="en-US" w:eastAsia="zh-CN" w:bidi="ar"/>
        </w:rPr>
        <w:t>附件五：技术参数偏离表</w:t>
      </w:r>
    </w:p>
    <w:p w14:paraId="4881B7C8">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74263C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24BB280">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122DB13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
          <w:bCs/>
          <w:kern w:val="2"/>
          <w:sz w:val="28"/>
          <w:szCs w:val="28"/>
          <w:lang w:val="en-US" w:eastAsia="zh-CN" w:bidi="ar"/>
        </w:rPr>
        <w:t>附件六：售后服务承诺（含厂家）</w:t>
      </w:r>
    </w:p>
    <w:p w14:paraId="6EDEECB2">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43C1B1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32"/>
          <w:szCs w:val="32"/>
        </w:rPr>
      </w:pPr>
      <w:r>
        <w:rPr>
          <w:rFonts w:hint="eastAsia" w:ascii="仿宋_GB2312" w:hAnsi="Times New Roman" w:eastAsia="仿宋_GB2312" w:cs="仿宋_GB2312"/>
          <w:b/>
          <w:bCs/>
          <w:kern w:val="2"/>
          <w:sz w:val="28"/>
          <w:szCs w:val="28"/>
          <w:lang w:val="en-US" w:eastAsia="zh-CN" w:bidi="ar"/>
        </w:rPr>
        <w:t>附件七：每年二次的维护计划</w:t>
      </w:r>
    </w:p>
    <w:p w14:paraId="6D05C46A">
      <w:pPr>
        <w:pStyle w:val="21"/>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1316030-2445-4113-A38E-C610C9D0681E}"/>
  </w:font>
  <w:font w:name="黑体">
    <w:panose1 w:val="02010609060101010101"/>
    <w:charset w:val="86"/>
    <w:family w:val="auto"/>
    <w:pitch w:val="default"/>
    <w:sig w:usb0="800002BF" w:usb1="38CF7CFA" w:usb2="00000016" w:usb3="00000000" w:csb0="00040001" w:csb1="00000000"/>
    <w:embedRegular r:id="rId2" w:fontKey="{1134A1F6-24F5-424E-9880-EE2CCA7A559F}"/>
  </w:font>
  <w:font w:name="Courier New">
    <w:panose1 w:val="02070309020205020404"/>
    <w:charset w:val="01"/>
    <w:family w:val="modern"/>
    <w:pitch w:val="default"/>
    <w:sig w:usb0="E0002EFF" w:usb1="C0007843" w:usb2="00000009" w:usb3="00000000" w:csb0="400001FF" w:csb1="FFFF0000"/>
    <w:embedRegular r:id="rId3" w:fontKey="{09ED2896-A29E-4843-8F88-39D5CAE5884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7963D72F-06F2-42AE-A262-D9E5F2B9EA45}"/>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5" w:fontKey="{96ABD35E-B939-4579-A460-BF0ED78D5896}"/>
  </w:font>
  <w:font w:name="微软雅黑">
    <w:panose1 w:val="020B0503020204020204"/>
    <w:charset w:val="86"/>
    <w:family w:val="swiss"/>
    <w:pitch w:val="default"/>
    <w:sig w:usb0="80000287" w:usb1="2ACF3C50"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6" w:fontKey="{6D4C7197-7004-49EA-95CA-ECE0F720AE43}"/>
  </w:font>
  <w:font w:name="Wingdings 2">
    <w:panose1 w:val="05020102010507070707"/>
    <w:charset w:val="00"/>
    <w:family w:val="auto"/>
    <w:pitch w:val="default"/>
    <w:sig w:usb0="00000000" w:usb1="00000000" w:usb2="00000000" w:usb3="00000000" w:csb0="80000000" w:csb1="00000000"/>
    <w:embedRegular r:id="rId7" w:fontKey="{49BC7BFF-049F-4455-B8EE-2DE4F86F57B1}"/>
  </w:font>
  <w:font w:name="方正仿宋_GBK">
    <w:altName w:val="微软雅黑"/>
    <w:panose1 w:val="00000000000000000000"/>
    <w:charset w:val="86"/>
    <w:family w:val="auto"/>
    <w:pitch w:val="default"/>
    <w:sig w:usb0="00000000" w:usb1="00000000" w:usb2="00000000" w:usb3="00000000" w:csb0="00040000" w:csb1="00000000"/>
    <w:embedRegular r:id="rId8" w:fontKey="{34552A41-BF3D-4DF2-ABE3-3F009DB7504D}"/>
  </w:font>
  <w:font w:name="ˎ̥">
    <w:altName w:val="Times New Roman"/>
    <w:panose1 w:val="00000000000000000000"/>
    <w:charset w:val="00"/>
    <w:family w:val="roman"/>
    <w:pitch w:val="default"/>
    <w:sig w:usb0="00000000" w:usb1="00000000" w:usb2="00000000" w:usb3="00000000" w:csb0="00040001" w:csb1="00000000"/>
    <w:embedRegular r:id="rId9" w:fontKey="{50DF1F7C-9BFA-471D-8A52-55796F086925}"/>
  </w:font>
  <w:font w:name="方正小标宋简体">
    <w:panose1 w:val="02010600010101010101"/>
    <w:charset w:val="86"/>
    <w:family w:val="auto"/>
    <w:pitch w:val="default"/>
    <w:sig w:usb0="00000001" w:usb1="080E0000" w:usb2="00000000" w:usb3="00000000" w:csb0="00040000" w:csb1="00000000"/>
    <w:embedRegular r:id="rId10" w:fontKey="{0AB221C2-84A4-4A00-AC02-2EAE82E119D0}"/>
  </w:font>
  <w:font w:name="方正小标宋_GBK">
    <w:panose1 w:val="02000000000000000000"/>
    <w:charset w:val="86"/>
    <w:family w:val="auto"/>
    <w:pitch w:val="default"/>
    <w:sig w:usb0="A00002BF" w:usb1="38CF7CFA" w:usb2="00082016" w:usb3="00000000" w:csb0="00040001" w:csb1="00000000"/>
    <w:embedRegular r:id="rId11" w:fontKey="{E243E1DD-7984-4CFE-90E8-90679ED1ECB1}"/>
  </w:font>
  <w:font w:name="WPSEMBED1">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0"/>
      <w:jc w:val="center"/>
      <w:rPr>
        <w:rStyle w:val="19"/>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14:paraId="5AE7A0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1"/>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313"/>
    <w:multiLevelType w:val="singleLevel"/>
    <w:tmpl w:val="C2FF3313"/>
    <w:lvl w:ilvl="0" w:tentative="0">
      <w:start w:val="3"/>
      <w:numFmt w:val="chineseCounting"/>
      <w:suff w:val="space"/>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9602B2F"/>
    <w:multiLevelType w:val="singleLevel"/>
    <w:tmpl w:val="D9602B2F"/>
    <w:lvl w:ilvl="0" w:tentative="0">
      <w:start w:val="1"/>
      <w:numFmt w:val="chineseCounting"/>
      <w:suff w:val="space"/>
      <w:lvlText w:val="%1、"/>
      <w:lvlJc w:val="left"/>
      <w:rPr>
        <w:rFonts w:hint="eastAsia"/>
      </w:rPr>
    </w:lvl>
  </w:abstractNum>
  <w:abstractNum w:abstractNumId="3">
    <w:nsid w:val="F4421C38"/>
    <w:multiLevelType w:val="singleLevel"/>
    <w:tmpl w:val="F4421C38"/>
    <w:lvl w:ilvl="0" w:tentative="0">
      <w:start w:val="1"/>
      <w:numFmt w:val="chineseCounting"/>
      <w:suff w:val="space"/>
      <w:lvlText w:val="第%1章"/>
      <w:lvlJc w:val="left"/>
      <w:rPr>
        <w:rFonts w:hint="eastAsia"/>
      </w:rPr>
    </w:lvl>
  </w:abstractNum>
  <w:abstractNum w:abstractNumId="4">
    <w:nsid w:val="07486699"/>
    <w:multiLevelType w:val="singleLevel"/>
    <w:tmpl w:val="07486699"/>
    <w:lvl w:ilvl="0" w:tentative="0">
      <w:start w:val="1"/>
      <w:numFmt w:val="decimal"/>
      <w:lvlText w:val="%1."/>
      <w:lvlJc w:val="left"/>
      <w:pPr>
        <w:tabs>
          <w:tab w:val="left" w:pos="312"/>
        </w:tabs>
      </w:p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507A66DD"/>
    <w:multiLevelType w:val="singleLevel"/>
    <w:tmpl w:val="507A66DD"/>
    <w:lvl w:ilvl="0" w:tentative="0">
      <w:start w:val="5"/>
      <w:numFmt w:val="chineseCounting"/>
      <w:suff w:val="nothing"/>
      <w:lvlText w:val="%1、"/>
      <w:lvlJc w:val="left"/>
      <w:rPr>
        <w:rFonts w:hint="eastAsia"/>
      </w:rPr>
    </w:lvl>
  </w:abstractNum>
  <w:abstractNum w:abstractNumId="10">
    <w:nsid w:val="59215DE2"/>
    <w:multiLevelType w:val="singleLevel"/>
    <w:tmpl w:val="59215DE2"/>
    <w:lvl w:ilvl="0" w:tentative="0">
      <w:start w:val="2"/>
      <w:numFmt w:val="decimal"/>
      <w:suff w:val="nothing"/>
      <w:lvlText w:val="（%1）"/>
      <w:lvlJc w:val="left"/>
    </w:lvl>
  </w:abstractNum>
  <w:abstractNum w:abstractNumId="1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2">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0"/>
  </w:num>
  <w:num w:numId="5">
    <w:abstractNumId w:val="9"/>
  </w:num>
  <w:num w:numId="6">
    <w:abstractNumId w:val="7"/>
  </w:num>
  <w:num w:numId="7">
    <w:abstractNumId w:val="5"/>
  </w:num>
  <w:num w:numId="8">
    <w:abstractNumId w:val="14"/>
  </w:num>
  <w:num w:numId="9">
    <w:abstractNumId w:val="0"/>
  </w:num>
  <w:num w:numId="10">
    <w:abstractNumId w:val="13"/>
  </w:num>
  <w:num w:numId="11">
    <w:abstractNumId w:val="8"/>
  </w:num>
  <w:num w:numId="12">
    <w:abstractNumId w:val="6"/>
  </w:num>
  <w:num w:numId="13">
    <w:abstractNumId w:val="4"/>
  </w:num>
  <w:num w:numId="14">
    <w:abstractNumId w:val="16"/>
  </w:num>
  <w:num w:numId="15">
    <w:abstractNumId w:val="1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46F3F65"/>
    <w:rsid w:val="047E7636"/>
    <w:rsid w:val="05830AC6"/>
    <w:rsid w:val="05E163D0"/>
    <w:rsid w:val="06A974F2"/>
    <w:rsid w:val="0744295F"/>
    <w:rsid w:val="075E2523"/>
    <w:rsid w:val="080655EC"/>
    <w:rsid w:val="09A06388"/>
    <w:rsid w:val="0F2B57C3"/>
    <w:rsid w:val="0F3833E7"/>
    <w:rsid w:val="0FEF647A"/>
    <w:rsid w:val="113F716A"/>
    <w:rsid w:val="11A46535"/>
    <w:rsid w:val="12DD6F01"/>
    <w:rsid w:val="13251FF4"/>
    <w:rsid w:val="133438E9"/>
    <w:rsid w:val="15E056F0"/>
    <w:rsid w:val="16FD7F75"/>
    <w:rsid w:val="182D25C2"/>
    <w:rsid w:val="19C34D79"/>
    <w:rsid w:val="1D0B2FB0"/>
    <w:rsid w:val="1E1B7543"/>
    <w:rsid w:val="205729C5"/>
    <w:rsid w:val="20B61DE1"/>
    <w:rsid w:val="230949B3"/>
    <w:rsid w:val="24106E72"/>
    <w:rsid w:val="26A900A8"/>
    <w:rsid w:val="275859A0"/>
    <w:rsid w:val="29833AC2"/>
    <w:rsid w:val="2B4C1378"/>
    <w:rsid w:val="2C3E49FC"/>
    <w:rsid w:val="2D18339C"/>
    <w:rsid w:val="2D8D5C78"/>
    <w:rsid w:val="2EE67D35"/>
    <w:rsid w:val="2F623005"/>
    <w:rsid w:val="32BB4225"/>
    <w:rsid w:val="348651FA"/>
    <w:rsid w:val="35294DAE"/>
    <w:rsid w:val="35F76384"/>
    <w:rsid w:val="36865435"/>
    <w:rsid w:val="37753A04"/>
    <w:rsid w:val="38AA1DD4"/>
    <w:rsid w:val="38E30E42"/>
    <w:rsid w:val="3B273268"/>
    <w:rsid w:val="3C844841"/>
    <w:rsid w:val="3D626DA6"/>
    <w:rsid w:val="3ED82EA8"/>
    <w:rsid w:val="3FB3156E"/>
    <w:rsid w:val="3FF9372A"/>
    <w:rsid w:val="4000052B"/>
    <w:rsid w:val="40624EF6"/>
    <w:rsid w:val="41B77024"/>
    <w:rsid w:val="437A1489"/>
    <w:rsid w:val="480F755D"/>
    <w:rsid w:val="486B29D8"/>
    <w:rsid w:val="48C4659A"/>
    <w:rsid w:val="494A4D03"/>
    <w:rsid w:val="4A4B30A6"/>
    <w:rsid w:val="4BB057D6"/>
    <w:rsid w:val="4D4B557E"/>
    <w:rsid w:val="4E287B8F"/>
    <w:rsid w:val="4E2B2C17"/>
    <w:rsid w:val="4F7227C9"/>
    <w:rsid w:val="51CA5707"/>
    <w:rsid w:val="52662470"/>
    <w:rsid w:val="52796647"/>
    <w:rsid w:val="52835739"/>
    <w:rsid w:val="528965FF"/>
    <w:rsid w:val="54034D64"/>
    <w:rsid w:val="55223429"/>
    <w:rsid w:val="58EB2CD9"/>
    <w:rsid w:val="592204BC"/>
    <w:rsid w:val="5D045FFD"/>
    <w:rsid w:val="5DED21E0"/>
    <w:rsid w:val="5E533026"/>
    <w:rsid w:val="603040BD"/>
    <w:rsid w:val="63DA5557"/>
    <w:rsid w:val="66FB3482"/>
    <w:rsid w:val="68921DB9"/>
    <w:rsid w:val="69D81A4D"/>
    <w:rsid w:val="69EE0DB5"/>
    <w:rsid w:val="6A507835"/>
    <w:rsid w:val="6B1E5ABE"/>
    <w:rsid w:val="6B7258C3"/>
    <w:rsid w:val="6CA908B2"/>
    <w:rsid w:val="6FA3559F"/>
    <w:rsid w:val="70497201"/>
    <w:rsid w:val="7083201C"/>
    <w:rsid w:val="708A7E9A"/>
    <w:rsid w:val="70A95EF1"/>
    <w:rsid w:val="70C67989"/>
    <w:rsid w:val="73C80160"/>
    <w:rsid w:val="73F85F77"/>
    <w:rsid w:val="755469EE"/>
    <w:rsid w:val="76764645"/>
    <w:rsid w:val="77187ACC"/>
    <w:rsid w:val="77813724"/>
    <w:rsid w:val="780A23D9"/>
    <w:rsid w:val="786D4A31"/>
    <w:rsid w:val="78FA0D3D"/>
    <w:rsid w:val="7A2747BD"/>
    <w:rsid w:val="7A7430CC"/>
    <w:rsid w:val="7B2C15E1"/>
    <w:rsid w:val="7BC4348B"/>
    <w:rsid w:val="7CA61410"/>
    <w:rsid w:val="7D0D1FD1"/>
    <w:rsid w:val="7D806106"/>
    <w:rsid w:val="7E060C3F"/>
    <w:rsid w:val="7E370052"/>
    <w:rsid w:val="7ED1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outlineLvl w:val="1"/>
    </w:pPr>
    <w:rPr>
      <w:rFonts w:ascii="Cambria" w:hAnsi="Cambria"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Body Text Indent"/>
    <w:basedOn w:val="1"/>
    <w:qFormat/>
    <w:uiPriority w:val="0"/>
    <w:pPr>
      <w:spacing w:line="560" w:lineRule="exact"/>
      <w:ind w:left="300"/>
    </w:pPr>
    <w:rPr>
      <w:sz w:val="24"/>
    </w:rPr>
  </w:style>
  <w:style w:type="paragraph" w:styleId="8">
    <w:name w:val="toc 3"/>
    <w:basedOn w:val="1"/>
    <w:next w:val="1"/>
    <w:semiHidden/>
    <w:unhideWhenUsed/>
    <w:qFormat/>
    <w:uiPriority w:val="39"/>
    <w:pPr>
      <w:ind w:left="840" w:leftChars="400"/>
    </w:pPr>
  </w:style>
  <w:style w:type="paragraph" w:styleId="9">
    <w:name w:val="Plain Text"/>
    <w:basedOn w:val="1"/>
    <w:link w:val="24"/>
    <w:semiHidden/>
    <w:unhideWhenUsed/>
    <w:qFormat/>
    <w:uiPriority w:val="99"/>
    <w:rPr>
      <w:rFonts w:ascii="宋体" w:hAnsi="Courier New" w:eastAsia="宋体" w:cs="Times New Roman"/>
      <w:szCs w:val="20"/>
    </w:rPr>
  </w:style>
  <w:style w:type="paragraph" w:styleId="10">
    <w:name w:val="footer"/>
    <w:basedOn w:val="1"/>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5">
    <w:name w:val="Body Text First Indent 2"/>
    <w:basedOn w:val="7"/>
    <w:qFormat/>
    <w:uiPriority w:val="0"/>
    <w:pPr>
      <w:ind w:firstLine="420" w:firstLineChars="200"/>
    </w:pPr>
    <w:rPr>
      <w:sz w:val="21"/>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2">
    <w:name w:val="页眉 Char"/>
    <w:basedOn w:val="18"/>
    <w:link w:val="11"/>
    <w:semiHidden/>
    <w:qFormat/>
    <w:uiPriority w:val="99"/>
    <w:rPr>
      <w:sz w:val="18"/>
      <w:szCs w:val="18"/>
    </w:rPr>
  </w:style>
  <w:style w:type="character" w:customStyle="1" w:styleId="23">
    <w:name w:val="页脚 Char"/>
    <w:basedOn w:val="18"/>
    <w:link w:val="10"/>
    <w:semiHidden/>
    <w:qFormat/>
    <w:uiPriority w:val="99"/>
    <w:rPr>
      <w:sz w:val="18"/>
      <w:szCs w:val="18"/>
    </w:rPr>
  </w:style>
  <w:style w:type="character" w:customStyle="1" w:styleId="24">
    <w:name w:val="纯文本 Char"/>
    <w:basedOn w:val="18"/>
    <w:link w:val="9"/>
    <w:semiHidden/>
    <w:qFormat/>
    <w:uiPriority w:val="99"/>
    <w:rPr>
      <w:rFonts w:ascii="宋体" w:hAnsi="Courier New" w:eastAsia="宋体" w:cs="Times New Roman"/>
      <w:szCs w:val="20"/>
    </w:rPr>
  </w:style>
  <w:style w:type="paragraph" w:customStyle="1" w:styleId="25">
    <w:name w:val="列出段落11"/>
    <w:basedOn w:val="1"/>
    <w:qFormat/>
    <w:uiPriority w:val="0"/>
    <w:pPr>
      <w:ind w:firstLine="420" w:firstLineChars="200"/>
    </w:pPr>
  </w:style>
  <w:style w:type="paragraph" w:styleId="26">
    <w:name w:val="List Paragraph"/>
    <w:basedOn w:val="1"/>
    <w:autoRedefine/>
    <w:qFormat/>
    <w:uiPriority w:val="34"/>
    <w:pPr>
      <w:ind w:firstLine="420" w:firstLineChars="200"/>
    </w:pPr>
    <w:rPr>
      <w:rFonts w:ascii="Calibri" w:hAnsi="Calibri"/>
      <w:szCs w:val="22"/>
    </w:rPr>
  </w:style>
  <w:style w:type="character" w:customStyle="1" w:styleId="27">
    <w:name w:val="font1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hint="default" w:ascii="Times New Roman" w:hAnsi="Times New Roman" w:cs="Times New Roman"/>
      <w:color w:val="000000"/>
      <w:sz w:val="24"/>
      <w:szCs w:val="24"/>
      <w:u w:val="none"/>
    </w:rPr>
  </w:style>
  <w:style w:type="paragraph" w:customStyle="1" w:styleId="29">
    <w:name w:val="*正文"/>
    <w:basedOn w:val="1"/>
    <w:qFormat/>
    <w:uiPriority w:val="0"/>
    <w:pPr>
      <w:spacing w:line="360" w:lineRule="auto"/>
      <w:ind w:firstLine="200" w:firstLineChars="200"/>
    </w:pPr>
    <w:rPr>
      <w:rFonts w:ascii="宋体" w:hAnsi="宋体"/>
      <w:kern w:val="0"/>
      <w:sz w:val="22"/>
      <w:szCs w:val="24"/>
    </w:rPr>
  </w:style>
  <w:style w:type="paragraph" w:customStyle="1" w:styleId="3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列出段落1"/>
    <w:basedOn w:val="1"/>
    <w:autoRedefine/>
    <w:qFormat/>
    <w:uiPriority w:val="34"/>
    <w:pPr>
      <w:ind w:firstLine="420" w:firstLineChars="200"/>
    </w:pPr>
  </w:style>
  <w:style w:type="table" w:customStyle="1" w:styleId="33">
    <w:name w:val="网格型1"/>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font21"/>
    <w:basedOn w:val="18"/>
    <w:qFormat/>
    <w:uiPriority w:val="0"/>
    <w:rPr>
      <w:rFonts w:hint="eastAsia" w:ascii="宋体" w:hAnsi="宋体" w:eastAsia="宋体" w:cs="宋体"/>
      <w:color w:val="000000"/>
      <w:sz w:val="22"/>
      <w:szCs w:val="22"/>
      <w:u w:val="none"/>
    </w:rPr>
  </w:style>
  <w:style w:type="character" w:customStyle="1" w:styleId="35">
    <w:name w:val="font71"/>
    <w:basedOn w:val="18"/>
    <w:qFormat/>
    <w:uiPriority w:val="0"/>
    <w:rPr>
      <w:rFonts w:hint="eastAsia" w:ascii="微软雅黑" w:hAnsi="微软雅黑" w:eastAsia="微软雅黑" w:cs="微软雅黑"/>
      <w:color w:val="FF0000"/>
      <w:sz w:val="22"/>
      <w:szCs w:val="22"/>
      <w:u w:val="none"/>
    </w:rPr>
  </w:style>
  <w:style w:type="character" w:customStyle="1" w:styleId="36">
    <w:name w:val="font81"/>
    <w:basedOn w:val="18"/>
    <w:qFormat/>
    <w:uiPriority w:val="0"/>
    <w:rPr>
      <w:rFonts w:hint="eastAsia" w:ascii="宋体" w:hAnsi="宋体" w:eastAsia="宋体" w:cs="宋体"/>
      <w:color w:val="000000"/>
      <w:sz w:val="22"/>
      <w:szCs w:val="22"/>
      <w:u w:val="none"/>
    </w:rPr>
  </w:style>
  <w:style w:type="character" w:customStyle="1" w:styleId="37">
    <w:name w:val="font91"/>
    <w:basedOn w:val="18"/>
    <w:qFormat/>
    <w:uiPriority w:val="0"/>
    <w:rPr>
      <w:rFonts w:hint="default" w:ascii="Times New Roman" w:hAnsi="Times New Roman" w:cs="Times New Roman"/>
      <w:color w:val="FF0000"/>
      <w:sz w:val="22"/>
      <w:szCs w:val="22"/>
      <w:u w:val="none"/>
    </w:rPr>
  </w:style>
  <w:style w:type="character" w:customStyle="1" w:styleId="38">
    <w:name w:val="font101"/>
    <w:basedOn w:val="18"/>
    <w:qFormat/>
    <w:uiPriority w:val="0"/>
    <w:rPr>
      <w:rFonts w:hint="eastAsia" w:ascii="宋体" w:hAnsi="宋体" w:eastAsia="宋体" w:cs="宋体"/>
      <w:color w:val="FF0000"/>
      <w:sz w:val="22"/>
      <w:szCs w:val="22"/>
      <w:u w:val="none"/>
    </w:rPr>
  </w:style>
  <w:style w:type="character" w:customStyle="1" w:styleId="39">
    <w:name w:val="font51"/>
    <w:basedOn w:val="18"/>
    <w:qFormat/>
    <w:uiPriority w:val="0"/>
    <w:rPr>
      <w:rFonts w:hint="default" w:ascii="华文宋体" w:hAnsi="华文宋体" w:eastAsia="华文宋体" w:cs="华文宋体"/>
      <w:color w:val="000000"/>
      <w:sz w:val="22"/>
      <w:szCs w:val="22"/>
      <w:u w:val="none"/>
    </w:rPr>
  </w:style>
  <w:style w:type="character" w:customStyle="1" w:styleId="40">
    <w:name w:val="font121"/>
    <w:basedOn w:val="18"/>
    <w:qFormat/>
    <w:uiPriority w:val="0"/>
    <w:rPr>
      <w:rFonts w:hint="default" w:ascii="华文宋体" w:hAnsi="华文宋体" w:eastAsia="华文宋体" w:cs="华文宋体"/>
      <w:color w:val="FF0000"/>
      <w:sz w:val="22"/>
      <w:szCs w:val="22"/>
      <w:u w:val="none"/>
    </w:rPr>
  </w:style>
  <w:style w:type="character" w:customStyle="1" w:styleId="41">
    <w:name w:val="font111"/>
    <w:basedOn w:val="18"/>
    <w:qFormat/>
    <w:uiPriority w:val="0"/>
    <w:rPr>
      <w:rFonts w:ascii="Arial" w:hAnsi="Arial" w:cs="Arial"/>
      <w:color w:val="000000"/>
      <w:sz w:val="22"/>
      <w:szCs w:val="22"/>
      <w:u w:val="none"/>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样式1 Char Char"/>
    <w:basedOn w:val="1"/>
    <w:qFormat/>
    <w:uiPriority w:val="0"/>
    <w:pPr>
      <w:keepNext w:val="0"/>
      <w:keepLines w:val="0"/>
      <w:widowControl w:val="0"/>
      <w:suppressLineNumbers w:val="0"/>
      <w:spacing w:before="0" w:beforeAutospacing="0" w:after="0" w:afterAutospacing="0" w:line="360" w:lineRule="auto"/>
      <w:ind w:left="0" w:right="0" w:firstLine="516" w:firstLineChars="215"/>
      <w:jc w:val="both"/>
    </w:pPr>
    <w:rPr>
      <w:rFonts w:hint="default" w:ascii="Calibri" w:hAnsi="Calibri" w:eastAsia="宋体" w:cs="Times New Roman"/>
      <w:kern w:val="2"/>
      <w:sz w:val="24"/>
      <w:szCs w:val="24"/>
      <w:lang w:val="en-US" w:eastAsia="zh-CN" w:bidi="ar"/>
    </w:rPr>
  </w:style>
  <w:style w:type="character" w:customStyle="1" w:styleId="44">
    <w:name w:val="font31"/>
    <w:basedOn w:val="18"/>
    <w:qFormat/>
    <w:uiPriority w:val="0"/>
    <w:rPr>
      <w:rFonts w:hint="eastAsia" w:ascii="宋体" w:hAnsi="宋体" w:eastAsia="宋体" w:cs="宋体"/>
      <w:color w:val="FF0000"/>
      <w:sz w:val="22"/>
      <w:szCs w:val="22"/>
      <w:u w:val="none"/>
    </w:rPr>
  </w:style>
  <w:style w:type="character" w:customStyle="1" w:styleId="45">
    <w:name w:val="font61"/>
    <w:basedOn w:val="18"/>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3750</Words>
  <Characters>3804</Characters>
  <Lines>1</Lines>
  <Paragraphs>1</Paragraphs>
  <TotalTime>7</TotalTime>
  <ScaleCrop>false</ScaleCrop>
  <LinksUpToDate>false</LinksUpToDate>
  <CharactersWithSpaces>4171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2025-09-11T01:00:09Z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8873DE32D84C44E09F08BDA70958542E_13</vt:lpwstr>
  </property>
  <property fmtid="{D5CDD505-2E9C-101B-9397-08002B2CF9AE}" pid="4" name="KSOTemplateDocerSaveRecord">
    <vt:lpwstr>eyJoZGlkIjoiM2EyNDYyYmQ1ZDA0NDE2ZWMxMTVjMTBjNjZlNGMxZWMiLCJ1c2VySWQiOiIxOTQ5NzkyNTQifQ==</vt:lpwstr>
  </property>
</Properties>
</file>