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56A7B">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7BD398E4">
      <w:pPr>
        <w:jc w:val="center"/>
        <w:rPr>
          <w:rFonts w:asciiTheme="minorEastAsia" w:hAnsiTheme="minorEastAsia" w:cstheme="minorEastAsia"/>
          <w:b/>
          <w:bCs/>
          <w:sz w:val="24"/>
          <w:szCs w:val="24"/>
        </w:rPr>
      </w:pPr>
    </w:p>
    <w:p w14:paraId="6C55775F">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asciiTheme="minorEastAsia" w:hAnsiTheme="minorEastAsia" w:cstheme="minorEastAsia"/>
          <w:sz w:val="28"/>
          <w:szCs w:val="28"/>
        </w:rPr>
      </w:pPr>
      <w:r>
        <w:rPr>
          <w:rFonts w:hint="eastAsia" w:asciiTheme="minorEastAsia" w:hAnsiTheme="minorEastAsia" w:cstheme="minorEastAsia"/>
          <w:sz w:val="28"/>
          <w:szCs w:val="28"/>
        </w:rPr>
        <w:t xml:space="preserve">1、深圳市福田区第二人民医院对本单位部分耗材进行公开招标。欢迎各有医疗器械经营许可权或医疗设备生产许可权的经营企业或生产企业参加投标。 </w:t>
      </w:r>
    </w:p>
    <w:p w14:paraId="04A80053">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2、供应商可根据自身的经营情况，选择投一个或多个采购条目，但不允许将一个采购条目流水</w:t>
      </w:r>
      <w:r>
        <w:rPr>
          <w:rFonts w:hint="eastAsia" w:asciiTheme="minorEastAsia" w:hAnsiTheme="minorEastAsia" w:cstheme="minorEastAsia"/>
          <w:color w:val="000000" w:themeColor="text1"/>
          <w:sz w:val="28"/>
          <w:szCs w:val="28"/>
          <w14:textFill>
            <w14:solidFill>
              <w14:schemeClr w14:val="tx1"/>
            </w14:solidFill>
          </w14:textFill>
        </w:rPr>
        <w:t>号的内容拆散</w:t>
      </w:r>
      <w:r>
        <w:rPr>
          <w:rFonts w:hint="eastAsia" w:asciiTheme="minorEastAsia" w:hAnsiTheme="minorEastAsia" w:cstheme="minorEastAsia"/>
          <w:color w:val="000000" w:themeColor="text1"/>
          <w:sz w:val="28"/>
          <w:szCs w:val="28"/>
          <w:lang w:eastAsia="zh-CN"/>
          <w14:textFill>
            <w14:solidFill>
              <w14:schemeClr w14:val="tx1"/>
            </w14:solidFill>
          </w14:textFill>
        </w:rPr>
        <w:t>投标</w:t>
      </w:r>
      <w:r>
        <w:rPr>
          <w:rFonts w:hint="eastAsia" w:asciiTheme="minorEastAsia" w:hAnsiTheme="minorEastAsia" w:cstheme="minorEastAsia"/>
          <w:sz w:val="28"/>
          <w:szCs w:val="28"/>
        </w:rPr>
        <w:t>。</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六</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开标一览表需单独密封，电子文件拷贝到U盘存放于开标一览表密封袋内。</w:t>
      </w:r>
      <w:r>
        <w:rPr>
          <w:rFonts w:hint="eastAsia" w:asciiTheme="minorEastAsia" w:hAnsiTheme="minorEastAsia" w:cstheme="minorEastAsia"/>
          <w:sz w:val="28"/>
          <w:szCs w:val="28"/>
        </w:rPr>
        <w:t>电子文件内容应与纸质投标文件正本内容一致，如有差异以纸质投标文件正本为准，正副本如有差异以正本为准；开标时唱标用的开标一览表内容应与投标文件中的开标一览表内容一致，如有差异以唱标用的开标一览表内容为准。表格应按招标文件要求签署并加盖公章</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w:t>
      </w:r>
    </w:p>
    <w:p w14:paraId="74291227">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 xml:space="preserve">招标单位不向落标方解释原因，不退还投标文件。 </w:t>
      </w:r>
    </w:p>
    <w:p w14:paraId="1739C331">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医用材料招标项目合同的执行期为</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个月</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 xml:space="preserve"> </w:t>
      </w:r>
    </w:p>
    <w:p w14:paraId="56CF8D96">
      <w:pPr>
        <w:keepNext w:val="0"/>
        <w:keepLines w:val="0"/>
        <w:pageBreakBefore w:val="0"/>
        <w:widowControl w:val="0"/>
        <w:kinsoku/>
        <w:wordWrap/>
        <w:overflowPunct/>
        <w:topLinePunct w:val="0"/>
        <w:autoSpaceDE/>
        <w:autoSpaceDN/>
        <w:bidi w:val="0"/>
        <w:adjustRightInd/>
        <w:snapToGrid/>
        <w:ind w:firstLine="280" w:firstLineChars="100"/>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 xml:space="preserve">合同有效期内，如政府调价或市政府统一招标，双方应无条件按上级文件执行，并相应修改合同的有关条款，招标方不向投标方作任何补偿与解释。否则，招标方有权终止合同。 </w:t>
      </w:r>
    </w:p>
    <w:p w14:paraId="302747D9">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 xml:space="preserve">企业参加投标，即表示接受本次招标的各项要求。 </w:t>
      </w:r>
    </w:p>
    <w:p w14:paraId="5D68254F">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 xml:space="preserve">招标活动的最终解释权属于深圳市福田区第二人民医院。 </w:t>
      </w:r>
    </w:p>
    <w:p w14:paraId="25B187ED">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8、评标委员会</w:t>
      </w:r>
      <w:r>
        <w:rPr>
          <w:rFonts w:hint="eastAsia" w:asciiTheme="minorEastAsia" w:hAnsiTheme="minorEastAsia" w:cstheme="minorEastAsia"/>
          <w:sz w:val="28"/>
          <w:szCs w:val="28"/>
        </w:rPr>
        <w:t>由相关科室专家、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 xml:space="preserve">、医院纪检部门等组成。 </w:t>
      </w:r>
    </w:p>
    <w:p w14:paraId="2F8C89A2">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4A92FBAC">
      <w:pPr>
        <w:rPr>
          <w:rFonts w:hint="eastAsia" w:asciiTheme="minorEastAsia" w:hAnsiTheme="minorEastAsia" w:cstheme="minorEastAsia"/>
          <w:sz w:val="24"/>
          <w:szCs w:val="24"/>
          <w:lang w:eastAsia="zh-CN"/>
        </w:rPr>
      </w:pPr>
    </w:p>
    <w:p w14:paraId="727F6233">
      <w:pPr>
        <w:keepNext/>
        <w:keepLines/>
        <w:widowControl w:val="0"/>
        <w:spacing w:line="576" w:lineRule="auto"/>
        <w:jc w:val="both"/>
        <w:outlineLvl w:val="9"/>
        <w:rPr>
          <w:rFonts w:hint="eastAsia" w:asciiTheme="minorEastAsia" w:hAnsiTheme="minorEastAsia" w:eastAsiaTheme="minorEastAsia" w:cstheme="minorEastAsia"/>
          <w:b/>
          <w:kern w:val="44"/>
          <w:sz w:val="24"/>
          <w:szCs w:val="24"/>
          <w:lang w:val="en-US" w:eastAsia="zh-CN" w:bidi="ar-SA"/>
        </w:rPr>
      </w:pPr>
    </w:p>
    <w:p w14:paraId="01B1F165">
      <w:pPr>
        <w:rPr>
          <w:rFonts w:hint="eastAsia"/>
          <w:lang w:eastAsia="zh-CN"/>
        </w:rPr>
      </w:pPr>
    </w:p>
    <w:p w14:paraId="708A9130">
      <w:pPr>
        <w:rPr>
          <w:rFonts w:hint="eastAsia" w:asciiTheme="minorEastAsia" w:hAnsiTheme="minorEastAsia" w:cstheme="minorEastAsia"/>
          <w:sz w:val="24"/>
          <w:szCs w:val="24"/>
          <w:lang w:eastAsia="zh-CN"/>
        </w:rPr>
      </w:pPr>
    </w:p>
    <w:p w14:paraId="4FB5BD99">
      <w:pPr>
        <w:jc w:val="both"/>
        <w:outlineLvl w:val="9"/>
        <w:rPr>
          <w:rFonts w:hint="eastAsia" w:ascii="宋体" w:hAnsi="宋体" w:eastAsia="宋体" w:cs="宋体"/>
          <w:b/>
          <w:bCs/>
          <w:color w:val="FF0000"/>
          <w:kern w:val="44"/>
          <w:sz w:val="44"/>
          <w:szCs w:val="44"/>
          <w:highlight w:val="none"/>
          <w:lang w:eastAsia="zh-CN"/>
        </w:rPr>
      </w:pPr>
      <w:bookmarkStart w:id="0" w:name="_Toc3689"/>
      <w:bookmarkStart w:id="1" w:name="_Toc29098"/>
    </w:p>
    <w:p w14:paraId="4E47FF13">
      <w:pPr>
        <w:jc w:val="center"/>
        <w:outlineLvl w:val="9"/>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7FD0EBF2">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10CE5CE2">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52033465">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68E9C33">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6326C15B">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6BB03164">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75752CCB">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BF359A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0E97F3C4">
      <w:pPr>
        <w:jc w:val="both"/>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5DBC7F84">
      <w:pPr>
        <w:rPr>
          <w:rFonts w:hint="eastAsia" w:asciiTheme="minorEastAsia" w:hAnsiTheme="minorEastAsia" w:cstheme="minorEastAsia"/>
          <w:b/>
          <w:bCs/>
          <w:sz w:val="28"/>
          <w:szCs w:val="28"/>
          <w:lang w:eastAsia="zh-CN"/>
        </w:rPr>
      </w:pPr>
    </w:p>
    <w:p w14:paraId="01EB65D9">
      <w:pPr>
        <w:rPr>
          <w:rFonts w:hint="eastAsia" w:asciiTheme="minorEastAsia" w:hAnsiTheme="minorEastAsia" w:cstheme="minorEastAsia"/>
          <w:b/>
          <w:bCs/>
          <w:sz w:val="28"/>
          <w:szCs w:val="28"/>
          <w:lang w:eastAsia="zh-CN"/>
        </w:rPr>
      </w:pPr>
    </w:p>
    <w:p w14:paraId="77F281EC">
      <w:pPr>
        <w:rPr>
          <w:rFonts w:hint="eastAsia" w:asciiTheme="minorEastAsia" w:hAnsiTheme="minorEastAsia" w:cstheme="minorEastAsia"/>
          <w:b/>
          <w:bCs/>
          <w:sz w:val="28"/>
          <w:szCs w:val="28"/>
          <w:lang w:eastAsia="zh-CN"/>
        </w:rPr>
      </w:pPr>
    </w:p>
    <w:p w14:paraId="3A3BFB18">
      <w:pPr>
        <w:rPr>
          <w:rFonts w:hint="eastAsia" w:asciiTheme="minorEastAsia" w:hAnsiTheme="minorEastAsia" w:cstheme="minorEastAsia"/>
          <w:b/>
          <w:bCs/>
          <w:sz w:val="28"/>
          <w:szCs w:val="28"/>
          <w:lang w:eastAsia="zh-CN"/>
        </w:rPr>
      </w:pPr>
    </w:p>
    <w:p w14:paraId="2D2B848F">
      <w:pPr>
        <w:rPr>
          <w:rFonts w:hint="eastAsia" w:asciiTheme="minorEastAsia" w:hAnsiTheme="minorEastAsia" w:cstheme="minorEastAsia"/>
          <w:b/>
          <w:bCs/>
          <w:sz w:val="28"/>
          <w:szCs w:val="28"/>
          <w:lang w:eastAsia="zh-CN"/>
        </w:rPr>
      </w:pPr>
    </w:p>
    <w:p w14:paraId="1D345081">
      <w:pPr>
        <w:rPr>
          <w:rFonts w:hint="eastAsia" w:asciiTheme="minorEastAsia" w:hAnsiTheme="minorEastAsia" w:cstheme="minorEastAsia"/>
          <w:b/>
          <w:bCs/>
          <w:sz w:val="28"/>
          <w:szCs w:val="28"/>
          <w:lang w:eastAsia="zh-CN"/>
        </w:rPr>
      </w:pPr>
    </w:p>
    <w:p w14:paraId="23064BB5">
      <w:pPr>
        <w:rPr>
          <w:rFonts w:hint="eastAsia" w:asciiTheme="minorEastAsia" w:hAnsiTheme="minorEastAsia" w:cstheme="minorEastAsia"/>
          <w:b/>
          <w:bCs/>
          <w:sz w:val="28"/>
          <w:szCs w:val="28"/>
          <w:lang w:eastAsia="zh-CN"/>
        </w:rPr>
      </w:pPr>
    </w:p>
    <w:p w14:paraId="06C79F49">
      <w:pPr>
        <w:rPr>
          <w:rFonts w:hint="eastAsia" w:asciiTheme="minorEastAsia" w:hAnsiTheme="minorEastAsia" w:cstheme="minorEastAsia"/>
          <w:b/>
          <w:bCs/>
          <w:sz w:val="28"/>
          <w:szCs w:val="28"/>
          <w:lang w:eastAsia="zh-CN"/>
        </w:rPr>
      </w:pPr>
    </w:p>
    <w:p w14:paraId="4634AAD6">
      <w:pPr>
        <w:rPr>
          <w:rFonts w:hint="eastAsia" w:asciiTheme="minorEastAsia" w:hAnsiTheme="minorEastAsia" w:cstheme="minorEastAsia"/>
          <w:b/>
          <w:bCs/>
          <w:sz w:val="28"/>
          <w:szCs w:val="28"/>
          <w:lang w:eastAsia="zh-CN"/>
        </w:rPr>
      </w:pPr>
    </w:p>
    <w:p w14:paraId="031E49A4">
      <w:pPr>
        <w:rPr>
          <w:rFonts w:hint="eastAsia" w:asciiTheme="minorEastAsia" w:hAnsiTheme="minorEastAsia" w:cstheme="minorEastAsia"/>
          <w:b/>
          <w:bCs/>
          <w:sz w:val="28"/>
          <w:szCs w:val="28"/>
          <w:lang w:eastAsia="zh-CN"/>
        </w:rPr>
      </w:pPr>
    </w:p>
    <w:p w14:paraId="31AED3E0">
      <w:pPr>
        <w:rPr>
          <w:rFonts w:hint="eastAsia" w:asciiTheme="minorEastAsia" w:hAnsiTheme="minorEastAsia" w:cstheme="minorEastAsia"/>
          <w:b/>
          <w:bCs/>
          <w:sz w:val="28"/>
          <w:szCs w:val="28"/>
          <w:lang w:eastAsia="zh-CN"/>
        </w:rPr>
      </w:pPr>
    </w:p>
    <w:p w14:paraId="5651AF19">
      <w:pPr>
        <w:rPr>
          <w:rFonts w:hint="eastAsia" w:asciiTheme="minorEastAsia" w:hAnsiTheme="minorEastAsia" w:cstheme="minorEastAsia"/>
          <w:b/>
          <w:bCs/>
          <w:sz w:val="28"/>
          <w:szCs w:val="28"/>
          <w:lang w:eastAsia="zh-CN"/>
        </w:rPr>
      </w:pPr>
    </w:p>
    <w:p w14:paraId="49152C6C">
      <w:pPr>
        <w:rPr>
          <w:rFonts w:hint="eastAsia" w:asciiTheme="minorEastAsia" w:hAnsiTheme="minorEastAsia" w:eastAsiaTheme="minorEastAsia" w:cstheme="minorEastAsia"/>
          <w:bCs/>
          <w:kern w:val="2"/>
          <w:sz w:val="21"/>
          <w:szCs w:val="28"/>
          <w:lang w:val="en-US" w:eastAsia="zh-CN" w:bidi="ar-SA"/>
        </w:rPr>
      </w:pPr>
    </w:p>
    <w:sdt>
      <w:sdtPr>
        <w:rPr>
          <w:rFonts w:ascii="宋体" w:hAnsi="宋体" w:eastAsia="宋体" w:cstheme="minorBidi"/>
          <w:kern w:val="2"/>
          <w:sz w:val="21"/>
          <w:szCs w:val="24"/>
          <w:lang w:val="en-US" w:eastAsia="zh-CN" w:bidi="ar-SA"/>
        </w:rPr>
        <w:id w:val="147453461"/>
        <w15:color w:val="DBDBDB"/>
        <w:docPartObj>
          <w:docPartGallery w:val="Table of Contents"/>
          <w:docPartUnique/>
        </w:docPartObj>
      </w:sdtPr>
      <w:sdtEndPr>
        <w:rPr>
          <w:rFonts w:hint="eastAsia" w:asciiTheme="minorEastAsia" w:hAnsiTheme="minorEastAsia" w:eastAsiaTheme="minorEastAsia" w:cstheme="minorEastAsia"/>
          <w:bCs/>
          <w:kern w:val="2"/>
          <w:sz w:val="21"/>
          <w:szCs w:val="28"/>
          <w:lang w:val="en-US" w:eastAsia="zh-CN" w:bidi="ar-SA"/>
        </w:rPr>
      </w:sdtEndPr>
      <w:sdtContent>
        <w:p w14:paraId="0A9FF65E">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37CCAAA0">
          <w:pPr>
            <w:spacing w:before="0" w:beforeLines="0" w:after="0" w:afterLines="0" w:line="240" w:lineRule="auto"/>
            <w:ind w:left="0" w:leftChars="0" w:right="0" w:rightChars="0" w:firstLine="0" w:firstLineChars="0"/>
            <w:jc w:val="center"/>
            <w:rPr>
              <w:sz w:val="48"/>
              <w:szCs w:val="56"/>
            </w:rPr>
          </w:pPr>
          <w:r>
            <w:rPr>
              <w:rFonts w:ascii="宋体" w:hAnsi="宋体" w:eastAsia="宋体"/>
              <w:sz w:val="48"/>
              <w:szCs w:val="56"/>
            </w:rPr>
            <w:t>目</w:t>
          </w:r>
          <w:r>
            <w:rPr>
              <w:rFonts w:hint="eastAsia" w:ascii="宋体" w:hAnsi="宋体" w:eastAsia="宋体"/>
              <w:sz w:val="48"/>
              <w:szCs w:val="56"/>
              <w:lang w:val="en-US" w:eastAsia="zh-CN"/>
            </w:rPr>
            <w:t xml:space="preserve"> </w:t>
          </w:r>
          <w:r>
            <w:rPr>
              <w:rFonts w:ascii="宋体" w:hAnsi="宋体" w:eastAsia="宋体"/>
              <w:sz w:val="48"/>
              <w:szCs w:val="56"/>
            </w:rPr>
            <w:t>录</w:t>
          </w:r>
        </w:p>
        <w:p w14:paraId="4646880C">
          <w:pPr>
            <w:pStyle w:val="13"/>
            <w:tabs>
              <w:tab w:val="right" w:leader="dot" w:pos="9180"/>
            </w:tabs>
            <w:rPr>
              <w:sz w:val="36"/>
              <w:szCs w:val="44"/>
            </w:rPr>
          </w:pPr>
          <w:r>
            <w:rPr>
              <w:rFonts w:hint="eastAsia" w:asciiTheme="minorEastAsia" w:hAnsiTheme="minorEastAsia" w:eastAsiaTheme="minorEastAsia" w:cstheme="minorEastAsia"/>
              <w:bCs/>
              <w:kern w:val="2"/>
              <w:sz w:val="21"/>
              <w:szCs w:val="28"/>
              <w:lang w:val="en-US" w:eastAsia="zh-CN" w:bidi="ar-SA"/>
            </w:rPr>
            <w:fldChar w:fldCharType="begin"/>
          </w:r>
          <w:r>
            <w:rPr>
              <w:rFonts w:hint="eastAsia" w:asciiTheme="minorEastAsia" w:hAnsiTheme="minorEastAsia" w:eastAsiaTheme="minorEastAsia" w:cstheme="minorEastAsia"/>
              <w:bCs/>
              <w:kern w:val="2"/>
              <w:sz w:val="21"/>
              <w:szCs w:val="28"/>
              <w:lang w:val="en-US" w:eastAsia="zh-CN" w:bidi="ar-SA"/>
            </w:rPr>
            <w:instrText xml:space="preserve">TOC \o "1-3" \h \u </w:instrText>
          </w:r>
          <w:r>
            <w:rPr>
              <w:rFonts w:hint="eastAsia" w:asciiTheme="minorEastAsia" w:hAnsiTheme="minorEastAsia" w:eastAsiaTheme="minorEastAsia" w:cstheme="minorEastAsia"/>
              <w:bCs/>
              <w:kern w:val="2"/>
              <w:sz w:val="21"/>
              <w:szCs w:val="28"/>
              <w:lang w:val="en-US" w:eastAsia="zh-CN" w:bidi="ar-SA"/>
            </w:rPr>
            <w:fldChar w:fldCharType="separate"/>
          </w: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_Toc11375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第一章 招标公告</w:t>
          </w:r>
          <w:r>
            <w:rPr>
              <w:sz w:val="36"/>
              <w:szCs w:val="44"/>
            </w:rPr>
            <w:tab/>
          </w:r>
          <w:r>
            <w:rPr>
              <w:sz w:val="36"/>
              <w:szCs w:val="44"/>
            </w:rPr>
            <w:fldChar w:fldCharType="begin"/>
          </w:r>
          <w:r>
            <w:rPr>
              <w:sz w:val="36"/>
              <w:szCs w:val="44"/>
            </w:rPr>
            <w:instrText xml:space="preserve"> PAGEREF _Toc11375 \h </w:instrText>
          </w:r>
          <w:r>
            <w:rPr>
              <w:sz w:val="36"/>
              <w:szCs w:val="44"/>
            </w:rPr>
            <w:fldChar w:fldCharType="separate"/>
          </w:r>
          <w:r>
            <w:rPr>
              <w:sz w:val="36"/>
              <w:szCs w:val="44"/>
            </w:rPr>
            <w:t>8</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7D1AC779">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_Toc24468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第二章 用户需求书</w:t>
          </w:r>
          <w:r>
            <w:rPr>
              <w:sz w:val="36"/>
              <w:szCs w:val="44"/>
            </w:rPr>
            <w:tab/>
          </w:r>
          <w:r>
            <w:rPr>
              <w:sz w:val="36"/>
              <w:szCs w:val="44"/>
            </w:rPr>
            <w:fldChar w:fldCharType="begin"/>
          </w:r>
          <w:r>
            <w:rPr>
              <w:sz w:val="36"/>
              <w:szCs w:val="44"/>
            </w:rPr>
            <w:instrText xml:space="preserve"> PAGEREF _Toc24468 \h </w:instrText>
          </w:r>
          <w:r>
            <w:rPr>
              <w:sz w:val="36"/>
              <w:szCs w:val="44"/>
            </w:rPr>
            <w:fldChar w:fldCharType="separate"/>
          </w:r>
          <w:r>
            <w:rPr>
              <w:sz w:val="36"/>
              <w:szCs w:val="44"/>
            </w:rPr>
            <w:t>11</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6A6F29F6">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_Toc16150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第三章 </w:t>
          </w:r>
          <w:r>
            <w:rPr>
              <w:rFonts w:hint="eastAsia" w:asciiTheme="majorEastAsia" w:hAnsiTheme="majorEastAsia" w:eastAsiaTheme="majorEastAsia" w:cstheme="majorEastAsia"/>
              <w:sz w:val="36"/>
              <w:szCs w:val="52"/>
            </w:rPr>
            <w:t>开标、评标、定标</w:t>
          </w:r>
          <w:r>
            <w:rPr>
              <w:sz w:val="36"/>
              <w:szCs w:val="44"/>
            </w:rPr>
            <w:tab/>
          </w:r>
          <w:r>
            <w:rPr>
              <w:sz w:val="36"/>
              <w:szCs w:val="44"/>
            </w:rPr>
            <w:fldChar w:fldCharType="begin"/>
          </w:r>
          <w:r>
            <w:rPr>
              <w:sz w:val="36"/>
              <w:szCs w:val="44"/>
            </w:rPr>
            <w:instrText xml:space="preserve"> PAGEREF _Toc16150 \h </w:instrText>
          </w:r>
          <w:r>
            <w:rPr>
              <w:sz w:val="36"/>
              <w:szCs w:val="44"/>
            </w:rPr>
            <w:fldChar w:fldCharType="separate"/>
          </w:r>
          <w:r>
            <w:rPr>
              <w:sz w:val="36"/>
              <w:szCs w:val="44"/>
            </w:rPr>
            <w:t>14</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476DE052">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_Toc26388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 xml:space="preserve">第四章 </w:t>
          </w:r>
          <w:r>
            <w:rPr>
              <w:rFonts w:hint="eastAsia" w:asciiTheme="majorEastAsia" w:hAnsiTheme="majorEastAsia" w:eastAsiaTheme="majorEastAsia"/>
              <w:sz w:val="36"/>
              <w:szCs w:val="52"/>
            </w:rPr>
            <w:t>投标文件</w:t>
          </w:r>
          <w:r>
            <w:rPr>
              <w:rFonts w:hint="eastAsia" w:asciiTheme="majorEastAsia" w:hAnsiTheme="majorEastAsia" w:eastAsiaTheme="majorEastAsia"/>
              <w:sz w:val="36"/>
              <w:szCs w:val="52"/>
              <w:lang w:eastAsia="zh-CN"/>
            </w:rPr>
            <w:t>（</w:t>
          </w:r>
          <w:r>
            <w:rPr>
              <w:rFonts w:hint="eastAsia" w:asciiTheme="majorEastAsia" w:hAnsiTheme="majorEastAsia" w:eastAsiaTheme="majorEastAsia"/>
              <w:sz w:val="36"/>
              <w:szCs w:val="52"/>
              <w:lang w:val="en-US" w:eastAsia="zh-CN"/>
            </w:rPr>
            <w:t>编制</w:t>
          </w:r>
          <w:r>
            <w:rPr>
              <w:rFonts w:hint="eastAsia" w:asciiTheme="majorEastAsia" w:hAnsiTheme="majorEastAsia" w:eastAsiaTheme="majorEastAsia"/>
              <w:sz w:val="36"/>
              <w:szCs w:val="52"/>
            </w:rPr>
            <w:t>参考</w:t>
          </w:r>
          <w:r>
            <w:rPr>
              <w:rFonts w:hint="eastAsia" w:asciiTheme="majorEastAsia" w:hAnsiTheme="majorEastAsia" w:eastAsiaTheme="majorEastAsia"/>
              <w:sz w:val="36"/>
              <w:szCs w:val="52"/>
              <w:lang w:val="en-US" w:eastAsia="zh-CN"/>
            </w:rPr>
            <w:t>模板</w:t>
          </w:r>
          <w:r>
            <w:rPr>
              <w:rFonts w:hint="eastAsia" w:asciiTheme="majorEastAsia" w:hAnsiTheme="majorEastAsia" w:eastAsiaTheme="majorEastAsia"/>
              <w:sz w:val="36"/>
              <w:szCs w:val="52"/>
              <w:lang w:eastAsia="zh-CN"/>
            </w:rPr>
            <w:t>）</w:t>
          </w:r>
          <w:r>
            <w:rPr>
              <w:sz w:val="36"/>
              <w:szCs w:val="44"/>
            </w:rPr>
            <w:tab/>
          </w:r>
          <w:r>
            <w:rPr>
              <w:sz w:val="36"/>
              <w:szCs w:val="44"/>
            </w:rPr>
            <w:fldChar w:fldCharType="begin"/>
          </w:r>
          <w:r>
            <w:rPr>
              <w:sz w:val="36"/>
              <w:szCs w:val="44"/>
            </w:rPr>
            <w:instrText xml:space="preserve"> PAGEREF _Toc26388 \h </w:instrText>
          </w:r>
          <w:r>
            <w:rPr>
              <w:sz w:val="36"/>
              <w:szCs w:val="44"/>
            </w:rPr>
            <w:fldChar w:fldCharType="separate"/>
          </w:r>
          <w:r>
            <w:rPr>
              <w:sz w:val="36"/>
              <w:szCs w:val="44"/>
            </w:rPr>
            <w:t>22</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233514D0">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_Toc30434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 xml:space="preserve">第五章 </w:t>
          </w:r>
          <w:r>
            <w:rPr>
              <w:rFonts w:asciiTheme="majorEastAsia" w:hAnsiTheme="majorEastAsia" w:eastAsiaTheme="majorEastAsia"/>
              <w:sz w:val="36"/>
              <w:szCs w:val="52"/>
              <w:lang w:eastAsia="zh-TW"/>
            </w:rPr>
            <w:t>说 明</w:t>
          </w:r>
          <w:r>
            <w:rPr>
              <w:sz w:val="36"/>
              <w:szCs w:val="44"/>
            </w:rPr>
            <w:tab/>
          </w:r>
          <w:r>
            <w:rPr>
              <w:sz w:val="36"/>
              <w:szCs w:val="44"/>
            </w:rPr>
            <w:fldChar w:fldCharType="begin"/>
          </w:r>
          <w:r>
            <w:rPr>
              <w:sz w:val="36"/>
              <w:szCs w:val="44"/>
            </w:rPr>
            <w:instrText xml:space="preserve"> PAGEREF _Toc30434 \h </w:instrText>
          </w:r>
          <w:r>
            <w:rPr>
              <w:sz w:val="36"/>
              <w:szCs w:val="44"/>
            </w:rPr>
            <w:fldChar w:fldCharType="separate"/>
          </w:r>
          <w:r>
            <w:rPr>
              <w:sz w:val="36"/>
              <w:szCs w:val="44"/>
            </w:rPr>
            <w:t>56</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312037C6">
          <w:pPr>
            <w:pStyle w:val="13"/>
            <w:tabs>
              <w:tab w:val="right" w:leader="dot" w:pos="9180"/>
            </w:tabs>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_Toc7020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宋体" w:hAnsi="宋体" w:cs="宋体"/>
              <w:bCs w:val="0"/>
              <w:sz w:val="36"/>
              <w:szCs w:val="52"/>
              <w:lang w:val="en-US" w:eastAsia="zh-CN"/>
            </w:rPr>
            <w:t xml:space="preserve">第六章 </w:t>
          </w:r>
          <w:r>
            <w:rPr>
              <w:rFonts w:hint="eastAsia" w:cstheme="minorBidi"/>
              <w:bCs w:val="0"/>
              <w:kern w:val="2"/>
              <w:sz w:val="36"/>
              <w:szCs w:val="52"/>
              <w:lang w:val="en-US" w:eastAsia="zh-CN" w:bidi="ar-SA"/>
            </w:rPr>
            <w:t>综合评分表</w:t>
          </w:r>
          <w:r>
            <w:rPr>
              <w:sz w:val="36"/>
              <w:szCs w:val="44"/>
            </w:rPr>
            <w:tab/>
          </w:r>
          <w:r>
            <w:rPr>
              <w:sz w:val="36"/>
              <w:szCs w:val="44"/>
            </w:rPr>
            <w:fldChar w:fldCharType="begin"/>
          </w:r>
          <w:r>
            <w:rPr>
              <w:sz w:val="36"/>
              <w:szCs w:val="44"/>
            </w:rPr>
            <w:instrText xml:space="preserve"> PAGEREF _Toc7020 \h </w:instrText>
          </w:r>
          <w:r>
            <w:rPr>
              <w:sz w:val="36"/>
              <w:szCs w:val="44"/>
            </w:rPr>
            <w:fldChar w:fldCharType="separate"/>
          </w:r>
          <w:r>
            <w:rPr>
              <w:sz w:val="36"/>
              <w:szCs w:val="44"/>
            </w:rPr>
            <w:t>85</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39B5DC3E">
          <w:pPr>
            <w:rPr>
              <w:rFonts w:hint="eastAsia" w:asciiTheme="minorEastAsia" w:hAnsiTheme="minorEastAsia" w:eastAsiaTheme="minorEastAsia" w:cstheme="minorEastAsia"/>
              <w:bCs/>
              <w:kern w:val="2"/>
              <w:sz w:val="21"/>
              <w:szCs w:val="28"/>
              <w:lang w:val="en-US" w:eastAsia="zh-CN" w:bidi="ar-SA"/>
            </w:rPr>
          </w:pPr>
          <w:r>
            <w:rPr>
              <w:rFonts w:hint="eastAsia" w:asciiTheme="minorEastAsia" w:hAnsiTheme="minorEastAsia" w:eastAsiaTheme="minorEastAsia" w:cstheme="minorEastAsia"/>
              <w:bCs/>
              <w:kern w:val="2"/>
              <w:szCs w:val="28"/>
              <w:lang w:val="en-US" w:eastAsia="zh-CN" w:bidi="ar-SA"/>
            </w:rPr>
            <w:fldChar w:fldCharType="end"/>
          </w:r>
        </w:p>
      </w:sdtContent>
    </w:sdt>
    <w:p w14:paraId="21CE26D5">
      <w:pPr>
        <w:rPr>
          <w:rFonts w:hint="eastAsia" w:asciiTheme="minorEastAsia" w:hAnsiTheme="minorEastAsia" w:eastAsiaTheme="minorEastAsia" w:cstheme="minorEastAsia"/>
          <w:bCs/>
          <w:kern w:val="2"/>
          <w:sz w:val="21"/>
          <w:szCs w:val="28"/>
          <w:lang w:val="en-US" w:eastAsia="zh-CN" w:bidi="ar-SA"/>
        </w:rPr>
      </w:pPr>
    </w:p>
    <w:p w14:paraId="6DB285D6">
      <w:pPr>
        <w:rPr>
          <w:rFonts w:hint="eastAsia" w:asciiTheme="minorEastAsia" w:hAnsiTheme="minorEastAsia" w:cstheme="minorEastAsia"/>
          <w:b/>
          <w:bCs/>
          <w:sz w:val="28"/>
          <w:szCs w:val="28"/>
          <w:lang w:eastAsia="zh-CN"/>
        </w:rPr>
      </w:pPr>
    </w:p>
    <w:p w14:paraId="09E4A1F6">
      <w:pPr>
        <w:rPr>
          <w:rFonts w:hint="eastAsia" w:asciiTheme="minorEastAsia" w:hAnsiTheme="minorEastAsia" w:cstheme="minorEastAsia"/>
          <w:b/>
          <w:bCs/>
          <w:sz w:val="28"/>
          <w:szCs w:val="28"/>
          <w:lang w:eastAsia="zh-CN"/>
        </w:rPr>
      </w:pPr>
    </w:p>
    <w:p w14:paraId="0D53B954">
      <w:pPr>
        <w:rPr>
          <w:rFonts w:hint="eastAsia" w:asciiTheme="minorEastAsia" w:hAnsiTheme="minorEastAsia" w:cstheme="minorEastAsia"/>
          <w:b/>
          <w:bCs/>
          <w:sz w:val="28"/>
          <w:szCs w:val="28"/>
          <w:lang w:eastAsia="zh-CN"/>
        </w:rPr>
      </w:pPr>
    </w:p>
    <w:p w14:paraId="430D7F23">
      <w:pPr>
        <w:rPr>
          <w:rFonts w:hint="eastAsia" w:asciiTheme="minorEastAsia" w:hAnsiTheme="minorEastAsia" w:cstheme="minorEastAsia"/>
          <w:b/>
          <w:bCs/>
          <w:sz w:val="28"/>
          <w:szCs w:val="28"/>
          <w:lang w:eastAsia="zh-CN"/>
        </w:rPr>
      </w:pPr>
    </w:p>
    <w:p w14:paraId="39FDD5C8">
      <w:pPr>
        <w:rPr>
          <w:rFonts w:hint="eastAsia" w:asciiTheme="minorEastAsia" w:hAnsiTheme="minorEastAsia" w:cstheme="minorEastAsia"/>
          <w:b/>
          <w:bCs/>
          <w:sz w:val="28"/>
          <w:szCs w:val="28"/>
          <w:lang w:eastAsia="zh-CN"/>
        </w:rPr>
      </w:pPr>
    </w:p>
    <w:p w14:paraId="4AB34194">
      <w:pPr>
        <w:rPr>
          <w:rFonts w:hint="eastAsia" w:asciiTheme="minorEastAsia" w:hAnsiTheme="minorEastAsia" w:cstheme="minorEastAsia"/>
          <w:b/>
          <w:bCs/>
          <w:sz w:val="28"/>
          <w:szCs w:val="28"/>
          <w:lang w:eastAsia="zh-CN"/>
        </w:rPr>
      </w:pPr>
    </w:p>
    <w:p w14:paraId="0B1A1DA1">
      <w:pPr>
        <w:rPr>
          <w:rFonts w:hint="eastAsia" w:asciiTheme="minorEastAsia" w:hAnsiTheme="minorEastAsia" w:cstheme="minorEastAsia"/>
          <w:b/>
          <w:bCs/>
          <w:sz w:val="28"/>
          <w:szCs w:val="28"/>
          <w:lang w:eastAsia="zh-CN"/>
        </w:rPr>
      </w:pPr>
    </w:p>
    <w:p w14:paraId="4A0796DC">
      <w:pPr>
        <w:rPr>
          <w:rFonts w:hint="eastAsia" w:asciiTheme="minorEastAsia" w:hAnsiTheme="minorEastAsia" w:cstheme="minorEastAsia"/>
          <w:b/>
          <w:bCs/>
          <w:sz w:val="28"/>
          <w:szCs w:val="28"/>
          <w:lang w:eastAsia="zh-CN"/>
        </w:rPr>
      </w:pPr>
    </w:p>
    <w:p w14:paraId="2B27EE69">
      <w:pPr>
        <w:rPr>
          <w:rFonts w:hint="eastAsia" w:asciiTheme="minorEastAsia" w:hAnsiTheme="minorEastAsia" w:cstheme="minorEastAsia"/>
          <w:b/>
          <w:bCs/>
          <w:sz w:val="28"/>
          <w:szCs w:val="28"/>
          <w:lang w:eastAsia="zh-CN"/>
        </w:rPr>
      </w:pPr>
    </w:p>
    <w:p w14:paraId="745A185F">
      <w:pPr>
        <w:rPr>
          <w:rFonts w:hint="eastAsia" w:asciiTheme="minorEastAsia" w:hAnsiTheme="minorEastAsia" w:cstheme="minorEastAsia"/>
          <w:b/>
          <w:bCs/>
          <w:sz w:val="28"/>
          <w:szCs w:val="28"/>
          <w:lang w:eastAsia="zh-CN"/>
        </w:rPr>
      </w:pPr>
    </w:p>
    <w:p w14:paraId="5A416AF2">
      <w:pPr>
        <w:rPr>
          <w:rFonts w:hint="eastAsia" w:asciiTheme="minorEastAsia" w:hAnsiTheme="minorEastAsia" w:cstheme="minorEastAsia"/>
          <w:b/>
          <w:bCs/>
          <w:sz w:val="28"/>
          <w:szCs w:val="28"/>
          <w:lang w:eastAsia="zh-CN"/>
        </w:rPr>
      </w:pPr>
    </w:p>
    <w:p w14:paraId="07027D59">
      <w:pPr>
        <w:rPr>
          <w:rFonts w:hint="eastAsia" w:asciiTheme="minorEastAsia" w:hAnsiTheme="minorEastAsia" w:cstheme="minorEastAsia"/>
          <w:b/>
          <w:bCs/>
          <w:sz w:val="28"/>
          <w:szCs w:val="28"/>
          <w:lang w:eastAsia="zh-CN"/>
        </w:rPr>
      </w:pPr>
    </w:p>
    <w:p w14:paraId="211426B1">
      <w:pPr>
        <w:rPr>
          <w:rFonts w:hint="eastAsia" w:asciiTheme="minorEastAsia" w:hAnsiTheme="minorEastAsia" w:cstheme="minorEastAsia"/>
          <w:b/>
          <w:bCs/>
          <w:sz w:val="28"/>
          <w:szCs w:val="28"/>
          <w:lang w:eastAsia="zh-CN"/>
        </w:rPr>
      </w:pPr>
    </w:p>
    <w:p w14:paraId="00815F36">
      <w:pPr>
        <w:widowControl/>
        <w:jc w:val="both"/>
        <w:outlineLvl w:val="9"/>
        <w:rPr>
          <w:rFonts w:hint="eastAsia" w:ascii="黑体" w:hAnsi="宋体" w:eastAsia="黑体" w:cs="宋体"/>
          <w:sz w:val="28"/>
          <w:szCs w:val="28"/>
          <w:lang w:bidi="ar"/>
        </w:rPr>
      </w:pPr>
    </w:p>
    <w:p w14:paraId="5B6B71F7">
      <w:pPr>
        <w:widowControl/>
        <w:jc w:val="center"/>
        <w:outlineLvl w:val="9"/>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6"/>
        <w:widowControl/>
        <w:ind w:left="-2" w:leftChars="-7" w:hanging="13" w:hangingChars="6"/>
        <w:jc w:val="center"/>
        <w:outlineLvl w:val="9"/>
        <w:rPr>
          <w:b/>
          <w:bCs/>
        </w:rPr>
      </w:pPr>
      <w:r>
        <w:rPr>
          <w:rFonts w:hint="eastAsia" w:cs="宋体"/>
          <w:b/>
          <w:bCs/>
        </w:rPr>
        <w:t>价格扣除</w:t>
      </w:r>
    </w:p>
    <w:p w14:paraId="600B1499">
      <w:pPr>
        <w:numPr>
          <w:ilvl w:val="0"/>
          <w:numId w:val="2"/>
        </w:numPr>
        <w:tabs>
          <w:tab w:val="left" w:pos="567"/>
        </w:tabs>
        <w:spacing w:line="360" w:lineRule="auto"/>
        <w:ind w:left="425" w:leftChars="0" w:hanging="425" w:firstLineChars="0"/>
        <w:outlineLvl w:val="0"/>
        <w:rPr>
          <w:rFonts w:ascii="宋体" w:hAnsi="宋体" w:cs="宋体"/>
          <w:szCs w:val="21"/>
        </w:rPr>
      </w:pPr>
      <w:bookmarkStart w:id="2" w:name="_Toc29386"/>
      <w:r>
        <w:rPr>
          <w:rFonts w:hint="eastAsia" w:ascii="宋体" w:hAnsi="宋体" w:cs="宋体"/>
          <w:szCs w:val="21"/>
          <w:lang w:bidi="ar"/>
        </w:rPr>
        <w:t>小型和微型企业产品价格扣除</w:t>
      </w:r>
      <w:bookmarkEnd w:id="2"/>
    </w:p>
    <w:p w14:paraId="6EB15D5D">
      <w:pPr>
        <w:numPr>
          <w:ilvl w:val="1"/>
          <w:numId w:val="2"/>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2"/>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2"/>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2"/>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2"/>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2"/>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2"/>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2"/>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2"/>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2"/>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410D19D5">
      <w:pPr>
        <w:widowControl w:val="0"/>
        <w:numPr>
          <w:ilvl w:val="0"/>
          <w:numId w:val="0"/>
        </w:numPr>
        <w:tabs>
          <w:tab w:val="left" w:pos="567"/>
        </w:tabs>
        <w:spacing w:line="360" w:lineRule="auto"/>
        <w:jc w:val="both"/>
        <w:rPr>
          <w:rFonts w:hint="eastAsia" w:ascii="宋体" w:hAnsi="宋体" w:cs="宋体"/>
          <w:szCs w:val="21"/>
          <w:lang w:bidi="ar"/>
        </w:rPr>
      </w:pPr>
    </w:p>
    <w:p w14:paraId="017912EA">
      <w:pPr>
        <w:widowControl w:val="0"/>
        <w:numPr>
          <w:ilvl w:val="0"/>
          <w:numId w:val="0"/>
        </w:numPr>
        <w:tabs>
          <w:tab w:val="left" w:pos="567"/>
        </w:tabs>
        <w:spacing w:line="360" w:lineRule="auto"/>
        <w:jc w:val="both"/>
        <w:rPr>
          <w:rFonts w:hint="eastAsia" w:ascii="宋体" w:hAnsi="宋体" w:cs="宋体"/>
          <w:szCs w:val="21"/>
          <w:lang w:bidi="ar"/>
        </w:rPr>
      </w:pPr>
    </w:p>
    <w:p w14:paraId="7E21F0F4">
      <w:pPr>
        <w:widowControl w:val="0"/>
        <w:numPr>
          <w:ilvl w:val="0"/>
          <w:numId w:val="0"/>
        </w:numPr>
        <w:tabs>
          <w:tab w:val="left" w:pos="567"/>
        </w:tabs>
        <w:spacing w:line="360" w:lineRule="auto"/>
        <w:jc w:val="both"/>
        <w:rPr>
          <w:rFonts w:hint="eastAsia" w:ascii="宋体" w:hAnsi="宋体" w:cs="宋体"/>
          <w:szCs w:val="21"/>
          <w:lang w:bidi="ar"/>
        </w:rPr>
      </w:pPr>
    </w:p>
    <w:p w14:paraId="278A28D2">
      <w:pPr>
        <w:widowControl w:val="0"/>
        <w:numPr>
          <w:ilvl w:val="0"/>
          <w:numId w:val="0"/>
        </w:numPr>
        <w:tabs>
          <w:tab w:val="left" w:pos="567"/>
        </w:tabs>
        <w:spacing w:line="360" w:lineRule="auto"/>
        <w:jc w:val="both"/>
        <w:rPr>
          <w:rFonts w:hint="eastAsia" w:ascii="宋体" w:hAnsi="宋体" w:cs="宋体"/>
          <w:szCs w:val="21"/>
          <w:lang w:bidi="ar"/>
        </w:rPr>
      </w:pPr>
    </w:p>
    <w:p w14:paraId="51B5C5C8">
      <w:pPr>
        <w:widowControl w:val="0"/>
        <w:numPr>
          <w:ilvl w:val="0"/>
          <w:numId w:val="0"/>
        </w:numPr>
        <w:tabs>
          <w:tab w:val="left" w:pos="567"/>
        </w:tabs>
        <w:spacing w:line="360" w:lineRule="auto"/>
        <w:jc w:val="both"/>
        <w:rPr>
          <w:rFonts w:hint="eastAsia" w:ascii="宋体" w:hAnsi="宋体" w:cs="宋体"/>
          <w:szCs w:val="21"/>
          <w:lang w:bidi="ar"/>
        </w:rPr>
      </w:pPr>
    </w:p>
    <w:p w14:paraId="02203786">
      <w:pPr>
        <w:widowControl w:val="0"/>
        <w:numPr>
          <w:ilvl w:val="0"/>
          <w:numId w:val="0"/>
        </w:numPr>
        <w:tabs>
          <w:tab w:val="left" w:pos="567"/>
        </w:tabs>
        <w:spacing w:line="360" w:lineRule="auto"/>
        <w:jc w:val="both"/>
        <w:rPr>
          <w:rFonts w:hint="eastAsia" w:ascii="宋体" w:hAnsi="宋体" w:cs="宋体"/>
          <w:szCs w:val="21"/>
          <w:lang w:bidi="ar"/>
        </w:rPr>
      </w:pPr>
    </w:p>
    <w:p w14:paraId="4AD4D8CF">
      <w:pPr>
        <w:widowControl w:val="0"/>
        <w:numPr>
          <w:ilvl w:val="0"/>
          <w:numId w:val="0"/>
        </w:numPr>
        <w:tabs>
          <w:tab w:val="left" w:pos="567"/>
        </w:tabs>
        <w:spacing w:line="360" w:lineRule="auto"/>
        <w:jc w:val="both"/>
        <w:rPr>
          <w:rFonts w:hint="eastAsia" w:ascii="宋体" w:hAnsi="宋体" w:cs="宋体"/>
          <w:szCs w:val="21"/>
          <w:lang w:bidi="ar"/>
        </w:rPr>
      </w:pPr>
    </w:p>
    <w:p w14:paraId="7D3AF6E1">
      <w:pPr>
        <w:widowControl w:val="0"/>
        <w:numPr>
          <w:ilvl w:val="0"/>
          <w:numId w:val="0"/>
        </w:numPr>
        <w:tabs>
          <w:tab w:val="left" w:pos="567"/>
        </w:tabs>
        <w:spacing w:line="360" w:lineRule="auto"/>
        <w:jc w:val="both"/>
        <w:rPr>
          <w:rFonts w:hint="eastAsia" w:ascii="宋体" w:hAnsi="宋体" w:cs="宋体"/>
          <w:szCs w:val="21"/>
          <w:lang w:bidi="ar"/>
        </w:rPr>
      </w:pPr>
    </w:p>
    <w:p w14:paraId="26B6CF80">
      <w:pPr>
        <w:widowControl w:val="0"/>
        <w:numPr>
          <w:ilvl w:val="0"/>
          <w:numId w:val="0"/>
        </w:numPr>
        <w:tabs>
          <w:tab w:val="left" w:pos="567"/>
        </w:tabs>
        <w:spacing w:line="360" w:lineRule="auto"/>
        <w:jc w:val="both"/>
        <w:rPr>
          <w:rFonts w:hint="eastAsia" w:ascii="宋体" w:hAnsi="宋体" w:cs="宋体"/>
          <w:szCs w:val="21"/>
          <w:lang w:bidi="ar"/>
        </w:rPr>
      </w:pPr>
    </w:p>
    <w:p w14:paraId="4F9FC11B">
      <w:pPr>
        <w:widowControl w:val="0"/>
        <w:numPr>
          <w:ilvl w:val="0"/>
          <w:numId w:val="0"/>
        </w:numPr>
        <w:tabs>
          <w:tab w:val="left" w:pos="567"/>
        </w:tabs>
        <w:spacing w:line="360" w:lineRule="auto"/>
        <w:jc w:val="both"/>
        <w:rPr>
          <w:rFonts w:hint="eastAsia" w:ascii="宋体" w:hAnsi="宋体" w:cs="宋体"/>
          <w:szCs w:val="21"/>
          <w:lang w:bidi="ar"/>
        </w:rPr>
      </w:pPr>
    </w:p>
    <w:p w14:paraId="1ED2C2B7">
      <w:pPr>
        <w:widowControl w:val="0"/>
        <w:numPr>
          <w:ilvl w:val="0"/>
          <w:numId w:val="0"/>
        </w:numPr>
        <w:tabs>
          <w:tab w:val="left" w:pos="567"/>
        </w:tabs>
        <w:spacing w:line="360" w:lineRule="auto"/>
        <w:jc w:val="both"/>
        <w:rPr>
          <w:rFonts w:hint="eastAsia" w:ascii="宋体" w:hAnsi="宋体" w:cs="宋体"/>
          <w:szCs w:val="21"/>
          <w:lang w:bidi="ar"/>
        </w:rPr>
      </w:pPr>
    </w:p>
    <w:p w14:paraId="2CE07816">
      <w:pPr>
        <w:widowControl w:val="0"/>
        <w:numPr>
          <w:ilvl w:val="0"/>
          <w:numId w:val="0"/>
        </w:numPr>
        <w:tabs>
          <w:tab w:val="left" w:pos="567"/>
        </w:tabs>
        <w:spacing w:line="360" w:lineRule="auto"/>
        <w:jc w:val="both"/>
        <w:rPr>
          <w:rFonts w:hint="eastAsia" w:ascii="宋体" w:hAnsi="宋体" w:cs="宋体"/>
          <w:szCs w:val="21"/>
          <w:lang w:bidi="ar"/>
        </w:rPr>
      </w:pPr>
    </w:p>
    <w:p w14:paraId="5C054A8D">
      <w:pPr>
        <w:widowControl w:val="0"/>
        <w:numPr>
          <w:ilvl w:val="0"/>
          <w:numId w:val="0"/>
        </w:numPr>
        <w:tabs>
          <w:tab w:val="left" w:pos="567"/>
        </w:tabs>
        <w:spacing w:line="360" w:lineRule="auto"/>
        <w:jc w:val="both"/>
        <w:rPr>
          <w:rFonts w:hint="eastAsia" w:ascii="宋体" w:hAnsi="宋体" w:cs="宋体"/>
          <w:szCs w:val="21"/>
          <w:lang w:bidi="ar"/>
        </w:rPr>
      </w:pPr>
    </w:p>
    <w:p w14:paraId="7D7822F5">
      <w:pPr>
        <w:widowControl w:val="0"/>
        <w:numPr>
          <w:ilvl w:val="0"/>
          <w:numId w:val="0"/>
        </w:numPr>
        <w:tabs>
          <w:tab w:val="left" w:pos="567"/>
        </w:tabs>
        <w:spacing w:line="360" w:lineRule="auto"/>
        <w:jc w:val="both"/>
        <w:rPr>
          <w:rFonts w:hint="eastAsia" w:ascii="宋体" w:hAnsi="宋体" w:cs="宋体"/>
          <w:szCs w:val="21"/>
          <w:lang w:bidi="ar"/>
        </w:rPr>
      </w:pPr>
    </w:p>
    <w:p w14:paraId="4B743458">
      <w:pPr>
        <w:widowControl w:val="0"/>
        <w:numPr>
          <w:ilvl w:val="0"/>
          <w:numId w:val="0"/>
        </w:numPr>
        <w:tabs>
          <w:tab w:val="left" w:pos="567"/>
        </w:tabs>
        <w:spacing w:line="360" w:lineRule="auto"/>
        <w:jc w:val="both"/>
        <w:rPr>
          <w:rFonts w:hint="eastAsia" w:ascii="宋体" w:hAnsi="宋体" w:cs="宋体"/>
          <w:szCs w:val="21"/>
          <w:lang w:bidi="ar"/>
        </w:rPr>
      </w:pPr>
    </w:p>
    <w:p w14:paraId="2C2480CA">
      <w:pPr>
        <w:widowControl w:val="0"/>
        <w:numPr>
          <w:ilvl w:val="0"/>
          <w:numId w:val="0"/>
        </w:numPr>
        <w:tabs>
          <w:tab w:val="left" w:pos="567"/>
        </w:tabs>
        <w:spacing w:line="360" w:lineRule="auto"/>
        <w:jc w:val="both"/>
        <w:rPr>
          <w:rFonts w:hint="eastAsia" w:ascii="宋体" w:hAnsi="宋体" w:cs="宋体"/>
          <w:szCs w:val="21"/>
          <w:lang w:bidi="ar"/>
        </w:rPr>
      </w:pPr>
    </w:p>
    <w:p w14:paraId="2633BB7B">
      <w:pPr>
        <w:widowControl w:val="0"/>
        <w:numPr>
          <w:ilvl w:val="0"/>
          <w:numId w:val="0"/>
        </w:numPr>
        <w:tabs>
          <w:tab w:val="left" w:pos="567"/>
        </w:tabs>
        <w:spacing w:line="360" w:lineRule="auto"/>
        <w:jc w:val="both"/>
        <w:rPr>
          <w:rFonts w:hint="eastAsia" w:ascii="宋体" w:hAnsi="宋体" w:cs="宋体"/>
          <w:szCs w:val="21"/>
          <w:lang w:bidi="ar"/>
        </w:rPr>
      </w:pPr>
    </w:p>
    <w:p w14:paraId="2B7539EB">
      <w:pPr>
        <w:widowControl w:val="0"/>
        <w:numPr>
          <w:ilvl w:val="0"/>
          <w:numId w:val="0"/>
        </w:numPr>
        <w:tabs>
          <w:tab w:val="left" w:pos="567"/>
        </w:tabs>
        <w:spacing w:line="360" w:lineRule="auto"/>
        <w:jc w:val="both"/>
        <w:rPr>
          <w:rFonts w:hint="eastAsia" w:ascii="宋体" w:hAnsi="宋体" w:cs="宋体"/>
          <w:szCs w:val="21"/>
          <w:lang w:bidi="ar"/>
        </w:rPr>
      </w:pPr>
    </w:p>
    <w:p w14:paraId="217EECD4">
      <w:pPr>
        <w:widowControl w:val="0"/>
        <w:numPr>
          <w:ilvl w:val="0"/>
          <w:numId w:val="0"/>
        </w:numPr>
        <w:tabs>
          <w:tab w:val="left" w:pos="567"/>
        </w:tabs>
        <w:spacing w:line="360" w:lineRule="auto"/>
        <w:jc w:val="both"/>
        <w:rPr>
          <w:rFonts w:hint="eastAsia" w:ascii="宋体" w:hAnsi="宋体" w:cs="宋体"/>
          <w:szCs w:val="21"/>
          <w:lang w:bidi="ar"/>
        </w:rPr>
      </w:pPr>
    </w:p>
    <w:p w14:paraId="6446377F">
      <w:pPr>
        <w:widowControl w:val="0"/>
        <w:numPr>
          <w:ilvl w:val="0"/>
          <w:numId w:val="0"/>
        </w:numPr>
        <w:tabs>
          <w:tab w:val="left" w:pos="567"/>
        </w:tabs>
        <w:spacing w:line="360" w:lineRule="auto"/>
        <w:jc w:val="both"/>
        <w:rPr>
          <w:rFonts w:hint="eastAsia" w:ascii="宋体" w:hAnsi="宋体" w:cs="宋体"/>
          <w:szCs w:val="21"/>
          <w:lang w:bidi="ar"/>
        </w:rPr>
      </w:pPr>
    </w:p>
    <w:p w14:paraId="4C0FFA16">
      <w:pPr>
        <w:widowControl w:val="0"/>
        <w:numPr>
          <w:ilvl w:val="0"/>
          <w:numId w:val="0"/>
        </w:numPr>
        <w:tabs>
          <w:tab w:val="left" w:pos="567"/>
        </w:tabs>
        <w:spacing w:line="360" w:lineRule="auto"/>
        <w:jc w:val="both"/>
        <w:rPr>
          <w:rFonts w:hint="eastAsia" w:ascii="宋体" w:hAnsi="宋体" w:cs="宋体"/>
          <w:szCs w:val="21"/>
          <w:lang w:bidi="ar"/>
        </w:rPr>
      </w:pPr>
    </w:p>
    <w:p w14:paraId="05B40DEC">
      <w:pPr>
        <w:widowControl w:val="0"/>
        <w:numPr>
          <w:ilvl w:val="0"/>
          <w:numId w:val="0"/>
        </w:numPr>
        <w:tabs>
          <w:tab w:val="left" w:pos="567"/>
        </w:tabs>
        <w:spacing w:line="360" w:lineRule="auto"/>
        <w:jc w:val="both"/>
        <w:rPr>
          <w:rFonts w:hint="eastAsia" w:ascii="宋体" w:hAnsi="宋体" w:cs="宋体"/>
          <w:szCs w:val="21"/>
          <w:lang w:bidi="ar"/>
        </w:rPr>
      </w:pPr>
    </w:p>
    <w:p w14:paraId="692C3E51">
      <w:pPr>
        <w:numPr>
          <w:ilvl w:val="0"/>
          <w:numId w:val="3"/>
        </w:numPr>
        <w:jc w:val="center"/>
        <w:outlineLvl w:val="0"/>
        <w:rPr>
          <w:rFonts w:hint="eastAsia" w:asciiTheme="majorEastAsia" w:hAnsiTheme="majorEastAsia" w:eastAsiaTheme="majorEastAsia"/>
          <w:sz w:val="32"/>
          <w:szCs w:val="32"/>
          <w:lang w:val="en-US" w:eastAsia="zh-CN"/>
        </w:rPr>
      </w:pPr>
      <w:bookmarkStart w:id="3" w:name="_Toc11375"/>
      <w:r>
        <w:rPr>
          <w:rFonts w:hint="eastAsia" w:asciiTheme="majorEastAsia" w:hAnsiTheme="majorEastAsia" w:eastAsiaTheme="majorEastAsia"/>
          <w:sz w:val="32"/>
          <w:szCs w:val="32"/>
          <w:lang w:val="en-US" w:eastAsia="zh-CN"/>
        </w:rPr>
        <w:t>招标公告</w:t>
      </w:r>
      <w:bookmarkEnd w:id="3"/>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4" w:name="OLE_LINK3"/>
      <w:bookmarkStart w:id="5" w:name="OLE_LINK1"/>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lang w:val="en-US" w:eastAsia="zh-CN"/>
        </w:rPr>
        <w:t>复合酸抑菌凝胶（二次招标）</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10</w:t>
      </w:r>
      <w:r>
        <w:rPr>
          <w:rFonts w:hint="eastAsia" w:ascii="宋体" w:hAnsi="宋体"/>
          <w:bCs/>
          <w:szCs w:val="28"/>
          <w:u w:val="single"/>
        </w:rPr>
        <w:t>月</w:t>
      </w:r>
      <w:r>
        <w:rPr>
          <w:rFonts w:hint="eastAsia" w:ascii="宋体" w:hAnsi="宋体"/>
          <w:bCs/>
          <w:szCs w:val="28"/>
          <w:u w:val="single"/>
          <w:lang w:val="en-US" w:eastAsia="zh-CN"/>
        </w:rPr>
        <w:t>10</w:t>
      </w:r>
      <w:r>
        <w:rPr>
          <w:rFonts w:hint="eastAsia" w:ascii="宋体" w:hAnsi="宋体"/>
          <w:bCs/>
          <w:szCs w:val="28"/>
          <w:u w:val="single"/>
        </w:rPr>
        <w:t>日14点30分（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6" w:name="OLE_LINK2"/>
    </w:p>
    <w:p w14:paraId="445E017D">
      <w:pPr>
        <w:spacing w:line="360" w:lineRule="auto"/>
        <w:ind w:firstLine="420" w:firstLineChars="200"/>
        <w:outlineLvl w:val="9"/>
        <w:rPr>
          <w:rFonts w:ascii="宋体" w:hAnsi="宋体"/>
          <w:b/>
        </w:rPr>
      </w:pPr>
      <w:r>
        <w:rPr>
          <w:rFonts w:hint="eastAsia" w:ascii="宋体" w:hAnsi="宋体"/>
        </w:rPr>
        <w:t>一、项目基本情况</w:t>
      </w:r>
    </w:p>
    <w:p w14:paraId="2C46AC76">
      <w:pPr>
        <w:spacing w:line="360" w:lineRule="auto"/>
        <w:ind w:firstLine="420" w:firstLineChars="200"/>
        <w:rPr>
          <w:rFonts w:hint="default" w:ascii="宋体" w:hAnsi="宋体"/>
          <w:lang w:val="en-US"/>
        </w:rPr>
      </w:pPr>
      <w:r>
        <w:rPr>
          <w:rFonts w:hint="eastAsia" w:ascii="宋体" w:hAnsi="宋体"/>
        </w:rPr>
        <w:t>项目编号：</w:t>
      </w:r>
      <w:r>
        <w:rPr>
          <w:rFonts w:hint="eastAsia" w:ascii="宋体" w:hAnsi="宋体"/>
          <w:szCs w:val="28"/>
          <w:u w:val="none"/>
          <w:lang w:val="en-US" w:eastAsia="zh-CN"/>
        </w:rPr>
        <w:t>FTEY-FYC-002A</w:t>
      </w:r>
    </w:p>
    <w:p w14:paraId="4C536290">
      <w:pPr>
        <w:spacing w:line="360" w:lineRule="auto"/>
        <w:ind w:firstLine="420" w:firstLineChars="200"/>
        <w:rPr>
          <w:rFonts w:ascii="宋体" w:hAnsi="宋体"/>
        </w:rPr>
      </w:pPr>
      <w:r>
        <w:rPr>
          <w:rFonts w:hint="eastAsia" w:ascii="宋体" w:hAnsi="宋体"/>
        </w:rPr>
        <w:t>项目名称：</w:t>
      </w:r>
      <w:r>
        <w:rPr>
          <w:rFonts w:hint="eastAsia" w:ascii="宋体" w:hAnsi="宋体"/>
          <w:szCs w:val="28"/>
          <w:u w:val="none"/>
          <w:lang w:val="en-US" w:eastAsia="zh-CN"/>
        </w:rPr>
        <w:t>复合酸抑菌凝胶（二次招标）</w:t>
      </w:r>
    </w:p>
    <w:p w14:paraId="6B8796DB">
      <w:pPr>
        <w:spacing w:line="360" w:lineRule="auto"/>
        <w:ind w:firstLine="420" w:firstLineChars="200"/>
        <w:rPr>
          <w:rFonts w:hint="eastAsia" w:ascii="宋体" w:hAnsi="宋体"/>
          <w:szCs w:val="21"/>
        </w:rPr>
      </w:pPr>
      <w:r>
        <w:rPr>
          <w:rFonts w:hint="eastAsia" w:ascii="宋体" w:hAnsi="宋体"/>
        </w:rPr>
        <w:t>预算金额（支付上限）：人民币肆万零伍拾元整（¥</w:t>
      </w:r>
      <w:r>
        <w:rPr>
          <w:rFonts w:hint="eastAsia" w:ascii="宋体" w:hAnsi="宋体"/>
          <w:lang w:val="en-US" w:eastAsia="zh-CN"/>
        </w:rPr>
        <w:t>40050.00</w:t>
      </w:r>
      <w:r>
        <w:rPr>
          <w:rFonts w:hint="eastAsia" w:ascii="宋体" w:hAnsi="宋体"/>
          <w:szCs w:val="21"/>
        </w:rPr>
        <w:t>元）</w:t>
      </w:r>
    </w:p>
    <w:p w14:paraId="24B35A0B">
      <w:pPr>
        <w:spacing w:line="360" w:lineRule="auto"/>
        <w:ind w:firstLine="420" w:firstLineChars="200"/>
        <w:rPr>
          <w:rFonts w:hint="eastAsia" w:ascii="宋体" w:hAnsi="宋体"/>
          <w:szCs w:val="21"/>
        </w:rPr>
      </w:pPr>
      <w:r>
        <w:rPr>
          <w:rFonts w:hint="eastAsia" w:ascii="宋体" w:hAnsi="宋体"/>
          <w:szCs w:val="21"/>
          <w:lang w:val="en-US" w:eastAsia="zh-CN"/>
        </w:rPr>
        <w:t>采购方式：公开招标</w:t>
      </w:r>
    </w:p>
    <w:p w14:paraId="53438E1E">
      <w:pPr>
        <w:spacing w:line="360" w:lineRule="auto"/>
        <w:ind w:firstLine="420" w:firstLineChars="200"/>
        <w:rPr>
          <w:rFonts w:ascii="宋体" w:hAnsi="宋体"/>
          <w:u w:val="single"/>
        </w:rPr>
      </w:pPr>
      <w:r>
        <w:rPr>
          <w:rFonts w:hint="eastAsia" w:ascii="宋体" w:hAnsi="宋体"/>
        </w:rPr>
        <w:t>采购需求：详见招标文件</w:t>
      </w:r>
    </w:p>
    <w:p w14:paraId="7CF96533">
      <w:pPr>
        <w:spacing w:line="360" w:lineRule="auto"/>
        <w:ind w:firstLine="420" w:firstLineChars="200"/>
        <w:rPr>
          <w:rFonts w:ascii="宋体" w:hAnsi="宋体"/>
          <w:u w:val="single"/>
        </w:rPr>
      </w:pPr>
      <w:r>
        <w:rPr>
          <w:rFonts w:hint="eastAsia" w:ascii="宋体" w:hAnsi="宋体"/>
        </w:rPr>
        <w:t>合同履行期限：详见招标文件</w:t>
      </w:r>
    </w:p>
    <w:p w14:paraId="37C81C40">
      <w:pPr>
        <w:spacing w:line="360" w:lineRule="auto"/>
        <w:ind w:firstLine="420" w:firstLineChars="200"/>
        <w:rPr>
          <w:rFonts w:hint="eastAsia" w:ascii="宋体" w:hAnsi="宋体"/>
        </w:rPr>
      </w:pPr>
      <w:r>
        <w:rPr>
          <w:rFonts w:hint="eastAsia" w:ascii="宋体" w:hAnsi="宋体"/>
        </w:rPr>
        <w:t>本项目不接受联合体投标。</w:t>
      </w:r>
    </w:p>
    <w:p w14:paraId="16B89916">
      <w:pPr>
        <w:spacing w:line="360" w:lineRule="auto"/>
        <w:ind w:firstLine="420" w:firstLineChars="200"/>
        <w:rPr>
          <w:rFonts w:hint="eastAsia" w:ascii="宋体" w:hAnsi="宋体"/>
        </w:rPr>
      </w:pPr>
    </w:p>
    <w:p w14:paraId="1FCF967D">
      <w:pPr>
        <w:spacing w:line="360" w:lineRule="auto"/>
        <w:ind w:firstLine="420" w:firstLineChars="200"/>
        <w:outlineLvl w:val="9"/>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7"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bookmarkEnd w:id="7"/>
    </w:p>
    <w:p w14:paraId="4857933A">
      <w:pPr>
        <w:spacing w:line="360" w:lineRule="auto"/>
        <w:ind w:firstLine="420" w:firstLineChars="200"/>
        <w:rPr>
          <w:rFonts w:hint="eastAsia" w:ascii="宋体" w:hAnsi="宋体"/>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4D702BE4">
      <w:pPr>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投标人的医疗器械生产/经营资格：</w:t>
      </w:r>
    </w:p>
    <w:p w14:paraId="63509820">
      <w:pPr>
        <w:spacing w:line="360" w:lineRule="auto"/>
        <w:ind w:firstLine="420" w:firstLineChars="200"/>
        <w:rPr>
          <w:rFonts w:hint="eastAsia" w:ascii="宋体" w:hAnsi="宋体"/>
        </w:rPr>
      </w:pPr>
      <w:r>
        <w:rPr>
          <w:rFonts w:hint="eastAsia" w:ascii="宋体" w:hAnsi="宋体"/>
        </w:rPr>
        <w:t>①如投标人为所投产品的生产企业且所投产品为第一类医疗器械的，投标人须提供监督管理部门签发的涵盖所投医疗器械的有效《医疗器械生产备案凭证》（提供复印件加盖公章，原件备查）；</w:t>
      </w:r>
    </w:p>
    <w:p w14:paraId="25E8FCB6">
      <w:pPr>
        <w:spacing w:line="360" w:lineRule="auto"/>
        <w:ind w:firstLine="420" w:firstLineChars="200"/>
        <w:rPr>
          <w:rFonts w:hint="eastAsia" w:ascii="宋体" w:hAnsi="宋体"/>
        </w:rPr>
      </w:pPr>
      <w:r>
        <w:rPr>
          <w:rFonts w:hint="eastAsia" w:ascii="宋体" w:hAnsi="宋体"/>
        </w:rPr>
        <w:t>②如投标人为所投产品的生产企业且所投产品为第二、三类医疗器械的，投标人须提供监督管理部门签发的涵盖所投医疗器械的有效《医疗器械生产许可证》（提供复印件加盖公章，原件备查）；</w:t>
      </w:r>
    </w:p>
    <w:p w14:paraId="763399F8">
      <w:pPr>
        <w:spacing w:line="360" w:lineRule="auto"/>
        <w:ind w:firstLine="420" w:firstLineChars="200"/>
        <w:rPr>
          <w:rFonts w:hint="eastAsia" w:ascii="宋体" w:hAnsi="宋体"/>
        </w:rPr>
      </w:pPr>
      <w:r>
        <w:rPr>
          <w:rFonts w:hint="eastAsia" w:ascii="宋体" w:hAnsi="宋体"/>
        </w:rPr>
        <w:t>③如投标人为所投产品的经营企业且所投产品为第二类医疗器械的，投标人须提供监督管理部门签发的涵盖所投医疗器械的有效《医疗器械经营备案凭证》（提供复印件加盖公章，原件备查）；</w:t>
      </w:r>
    </w:p>
    <w:p w14:paraId="34A6C6B7">
      <w:pPr>
        <w:spacing w:line="360" w:lineRule="auto"/>
        <w:ind w:firstLine="420" w:firstLineChars="200"/>
        <w:rPr>
          <w:rFonts w:hint="eastAsia" w:ascii="宋体" w:hAnsi="宋体"/>
        </w:rPr>
      </w:pPr>
      <w:r>
        <w:rPr>
          <w:rFonts w:hint="eastAsia" w:ascii="宋体" w:hAnsi="宋体"/>
        </w:rPr>
        <w:t>④如投标人为所投产品的经营企业且所投产品为第三类医疗器械的，投标人须提供监督管理部门签发的涵盖所投医疗器械的有效《医疗器械经营许可证》（提供复印件加盖公章，原件备查）；</w:t>
      </w:r>
    </w:p>
    <w:p w14:paraId="227C4585">
      <w:pPr>
        <w:spacing w:line="360" w:lineRule="auto"/>
        <w:ind w:firstLine="420" w:firstLineChars="200"/>
        <w:rPr>
          <w:rFonts w:hint="eastAsia" w:ascii="宋体" w:hAnsi="宋体"/>
          <w:lang w:eastAsia="zh-CN"/>
        </w:rPr>
      </w:pPr>
      <w:r>
        <w:rPr>
          <w:rFonts w:hint="eastAsia" w:ascii="宋体" w:hAnsi="宋体"/>
        </w:rPr>
        <w:t>⑤如投标人所投产品不</w:t>
      </w:r>
      <w:r>
        <w:rPr>
          <w:rFonts w:hint="eastAsia" w:ascii="宋体" w:hAnsi="宋体"/>
          <w:lang w:val="en-US" w:eastAsia="zh-CN"/>
        </w:rPr>
        <w:t>属</w:t>
      </w:r>
      <w:r>
        <w:rPr>
          <w:rFonts w:hint="eastAsia" w:ascii="宋体" w:hAnsi="宋体"/>
        </w:rPr>
        <w:t>于第一、二、三类医疗器械的，投标人无需提供医疗器械生产/经营资格相关证明材料，但需提供投标人关于所投产品不属于医疗器械的相关说明（加盖投标人公章）。</w:t>
      </w:r>
    </w:p>
    <w:p w14:paraId="62B7FE0C">
      <w:pPr>
        <w:spacing w:line="360" w:lineRule="auto"/>
        <w:ind w:firstLine="420" w:firstLineChars="200"/>
        <w:rPr>
          <w:rFonts w:ascii="宋体" w:hAnsi="宋体"/>
        </w:rPr>
      </w:pPr>
      <w:r>
        <w:rPr>
          <w:rFonts w:hint="eastAsia" w:ascii="宋体" w:hAnsi="宋体"/>
          <w:lang w:val="en-US" w:eastAsia="zh-CN"/>
        </w:rPr>
        <w:t>4</w:t>
      </w:r>
      <w:r>
        <w:rPr>
          <w:rFonts w:hint="eastAsia" w:ascii="宋体" w:hAnsi="宋体"/>
        </w:rPr>
        <w:t>、本项目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8" w:name="_Toc27695"/>
      <w:r>
        <w:rPr>
          <w:rFonts w:hint="eastAsia" w:ascii="宋体" w:hAnsi="宋体"/>
          <w:lang w:val="en-US" w:eastAsia="zh-CN"/>
        </w:rPr>
        <w:t>5</w:t>
      </w:r>
      <w:r>
        <w:rPr>
          <w:rFonts w:hint="eastAsia" w:ascii="宋体" w:hAnsi="宋体"/>
        </w:rPr>
        <w:t>、参与本项目投标前三年内，在经营活动中没有重大违法记录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bookmarkEnd w:id="8"/>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6</w:t>
      </w:r>
      <w:r>
        <w:rPr>
          <w:rFonts w:hint="eastAsia" w:ascii="宋体" w:hAnsi="宋体"/>
        </w:rPr>
        <w:t>、参与本项目政府采购活动时不存在被有关部门禁止参与政府采购活动且在有效期内的情况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7</w:t>
      </w:r>
      <w:r>
        <w:rPr>
          <w:rFonts w:hint="eastAsia" w:ascii="宋体" w:hAnsi="宋体"/>
        </w:rPr>
        <w:t>、供应商未被列入失信被执行人、重大税收违法案件当事人名单、政府采购严重违法失信行为记录名单，不存在《深圳市财政局政府采购供应商信用信息管理办法》（深财规〔2023〕3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763DD6D8">
      <w:pPr>
        <w:spacing w:line="360" w:lineRule="auto"/>
        <w:ind w:firstLine="420" w:firstLineChars="200"/>
        <w:rPr>
          <w:rFonts w:ascii="宋体" w:hAnsi="宋体"/>
        </w:rPr>
      </w:pPr>
      <w:r>
        <w:rPr>
          <w:rFonts w:hint="eastAsia" w:ascii="宋体" w:hAnsi="宋体"/>
          <w:lang w:val="en-US" w:eastAsia="zh-CN"/>
        </w:rPr>
        <w:t>8</w:t>
      </w:r>
      <w:r>
        <w:rPr>
          <w:rFonts w:hint="eastAsia" w:ascii="宋体" w:hAnsi="宋体"/>
        </w:rPr>
        <w:t>、本项目不接受联合体投标，不允许分包、转包。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9</w:t>
      </w:r>
      <w:r>
        <w:rPr>
          <w:rFonts w:hint="eastAsia" w:ascii="宋体" w:hAnsi="宋体"/>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5E1264F4">
      <w:pPr>
        <w:spacing w:line="360" w:lineRule="auto"/>
        <w:ind w:firstLine="420" w:firstLineChars="200"/>
        <w:rPr>
          <w:rFonts w:ascii="宋体" w:hAnsi="宋体"/>
        </w:rPr>
      </w:pPr>
      <w:r>
        <w:rPr>
          <w:rFonts w:hint="eastAsia" w:ascii="宋体" w:hAnsi="宋体"/>
          <w:lang w:val="en-US" w:eastAsia="zh-CN"/>
        </w:rPr>
        <w:t>10</w:t>
      </w:r>
      <w:r>
        <w:rPr>
          <w:rFonts w:hint="eastAsia" w:ascii="宋体" w:hAnsi="宋体"/>
        </w:rPr>
        <w:t>、本项目是（否）专门面向中小企业采购：否。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w:t>
      </w:r>
      <w:r>
        <w:rPr>
          <w:rFonts w:hint="eastAsia" w:ascii="宋体" w:hAnsi="宋体"/>
          <w:lang w:val="en-US" w:eastAsia="zh-CN"/>
        </w:rPr>
        <w:t>1</w:t>
      </w:r>
      <w:r>
        <w:rPr>
          <w:rFonts w:hint="eastAsia" w:ascii="宋体" w:hAnsi="宋体"/>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77EE1078">
      <w:pPr>
        <w:numPr>
          <w:ilvl w:val="0"/>
          <w:numId w:val="5"/>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lang w:val="en-US" w:eastAsia="zh-CN"/>
        </w:rPr>
        <w:t>相关招投标时间及地点信息</w:t>
      </w:r>
    </w:p>
    <w:p w14:paraId="71B33D27">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报名时间：2025年9月19日8时00分至2025年9月25日17时00分止。</w:t>
      </w:r>
    </w:p>
    <w:p w14:paraId="17D4E8FF">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10</w:t>
      </w:r>
      <w:r>
        <w:rPr>
          <w:rFonts w:hint="eastAsia" w:ascii="宋体" w:hAnsi="宋体"/>
        </w:rPr>
        <w:t>日</w:t>
      </w:r>
      <w:r>
        <w:rPr>
          <w:rFonts w:hint="eastAsia" w:ascii="宋体" w:hAnsi="宋体"/>
          <w:bCs/>
        </w:rPr>
        <w:t>14:00至14:30（北京时间）；</w:t>
      </w:r>
    </w:p>
    <w:p w14:paraId="78BAA079">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482C806E">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10</w:t>
      </w:r>
      <w:r>
        <w:rPr>
          <w:rFonts w:hint="eastAsia" w:ascii="宋体" w:hAnsi="宋体"/>
        </w:rPr>
        <w:t>日</w:t>
      </w:r>
      <w:r>
        <w:rPr>
          <w:rFonts w:hint="eastAsia" w:ascii="宋体" w:hAnsi="宋体"/>
          <w:bCs/>
        </w:rPr>
        <w:t>14:30（北京时间）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6367366C">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10</w:t>
      </w:r>
      <w:r>
        <w:rPr>
          <w:rFonts w:hint="eastAsia" w:ascii="宋体" w:hAnsi="宋体"/>
        </w:rPr>
        <w:t>日</w:t>
      </w:r>
      <w:r>
        <w:rPr>
          <w:rFonts w:hint="eastAsia" w:ascii="宋体" w:hAnsi="宋体"/>
          <w:bCs/>
        </w:rPr>
        <w:t>14:30（北京时间）</w:t>
      </w:r>
    </w:p>
    <w:p w14:paraId="5F335419">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0FBAB5B0">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9"/>
        <w:rPr>
          <w:rFonts w:ascii="宋体" w:hAnsi="宋体"/>
          <w:b/>
        </w:rPr>
      </w:pPr>
      <w:r>
        <w:rPr>
          <w:rFonts w:hint="eastAsia" w:ascii="宋体" w:hAnsi="宋体"/>
          <w:lang w:val="en-US" w:eastAsia="zh-CN"/>
        </w:rPr>
        <w:t>四</w:t>
      </w:r>
      <w:r>
        <w:rPr>
          <w:rFonts w:hint="eastAsia" w:ascii="宋体" w:hAnsi="宋体"/>
        </w:rPr>
        <w:t>、公告期限</w:t>
      </w:r>
    </w:p>
    <w:p w14:paraId="790F53A0">
      <w:pPr>
        <w:spacing w:line="360" w:lineRule="auto"/>
        <w:ind w:firstLine="420" w:firstLineChars="200"/>
        <w:rPr>
          <w:rFonts w:hint="eastAsia" w:ascii="宋体" w:hAnsi="宋体"/>
          <w:kern w:val="0"/>
        </w:rPr>
      </w:pPr>
      <w:r>
        <w:rPr>
          <w:rFonts w:hint="eastAsia" w:ascii="宋体" w:hAnsi="宋体"/>
          <w:kern w:val="0"/>
        </w:rPr>
        <w:t>自本公告发布之日起5个工作日。</w:t>
      </w:r>
    </w:p>
    <w:p w14:paraId="783EA265">
      <w:pPr>
        <w:pStyle w:val="30"/>
        <w:rPr>
          <w:rFonts w:hint="eastAsia"/>
          <w:lang w:val="en-US" w:eastAsia="zh-CN"/>
        </w:rPr>
      </w:pPr>
    </w:p>
    <w:p w14:paraId="0972B18F">
      <w:pPr>
        <w:numPr>
          <w:ilvl w:val="0"/>
          <w:numId w:val="6"/>
        </w:numPr>
        <w:spacing w:line="360" w:lineRule="auto"/>
        <w:ind w:firstLine="420" w:firstLineChars="200"/>
        <w:outlineLvl w:val="9"/>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6212F695">
      <w:pPr>
        <w:pStyle w:val="30"/>
        <w:rPr>
          <w:rFonts w:hint="default"/>
          <w:lang w:val="en-US" w:eastAsia="zh-CN"/>
        </w:rPr>
      </w:pPr>
    </w:p>
    <w:p w14:paraId="4F2DF4E0">
      <w:pPr>
        <w:numPr>
          <w:ilvl w:val="0"/>
          <w:numId w:val="6"/>
        </w:numPr>
        <w:spacing w:line="360" w:lineRule="auto"/>
        <w:ind w:firstLine="420" w:firstLineChars="200"/>
        <w:outlineLvl w:val="9"/>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6A64976">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2、投标人有义务在招标活动期间浏览深圳市福田区第二人民医院网站（https://www.ft2yy.cn/）。相关公告在上述媒体上公布之日即视为有效送达，不再另行通知。</w:t>
      </w:r>
    </w:p>
    <w:p w14:paraId="14DB6B97">
      <w:pPr>
        <w:pStyle w:val="30"/>
        <w:rPr>
          <w:rFonts w:hint="eastAsia"/>
          <w:lang w:val="en-US" w:eastAsia="zh-CN"/>
        </w:rPr>
      </w:pPr>
    </w:p>
    <w:p w14:paraId="3019BE1D">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七、对本次招标提出询问，请按以下方式联系。</w:t>
      </w:r>
    </w:p>
    <w:p w14:paraId="4F679AC3">
      <w:pPr>
        <w:numPr>
          <w:ilvl w:val="0"/>
          <w:numId w:val="0"/>
        </w:numPr>
        <w:spacing w:line="360" w:lineRule="auto"/>
        <w:ind w:firstLine="420" w:firstLineChars="200"/>
        <w:rPr>
          <w:rFonts w:hint="default" w:ascii="宋体" w:hAnsi="宋体"/>
          <w:lang w:val="en-US" w:eastAsia="zh-CN"/>
        </w:rPr>
      </w:pPr>
      <w:r>
        <w:rPr>
          <w:rFonts w:hint="eastAsia" w:ascii="宋体" w:hAnsi="宋体"/>
          <w:lang w:val="en-US" w:eastAsia="zh-CN"/>
        </w:rPr>
        <w:t>医学装备部联系人：曾老师 0755-83116181</w:t>
      </w:r>
    </w:p>
    <w:p w14:paraId="4B886C7A">
      <w:pPr>
        <w:numPr>
          <w:ilvl w:val="0"/>
          <w:numId w:val="0"/>
        </w:numPr>
        <w:spacing w:line="360" w:lineRule="auto"/>
        <w:ind w:firstLine="420" w:firstLineChars="200"/>
        <w:rPr>
          <w:rFonts w:ascii="宋体" w:hAnsi="宋体"/>
          <w:szCs w:val="21"/>
          <w:u w:val="single"/>
        </w:rPr>
      </w:pPr>
      <w:r>
        <w:rPr>
          <w:rFonts w:hint="eastAsia" w:ascii="宋体" w:hAnsi="宋体"/>
          <w:lang w:val="en-US" w:eastAsia="zh-CN"/>
        </w:rPr>
        <w:t>招标采购办联系人：吴老师 0755-83279817</w:t>
      </w: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1B01E0D4">
      <w:pPr>
        <w:spacing w:line="400" w:lineRule="exact"/>
        <w:ind w:firstLine="420" w:firstLineChars="200"/>
        <w:jc w:val="right"/>
        <w:rPr>
          <w:rFonts w:hint="eastAsia" w:ascii="宋体" w:hAnsi="宋体"/>
        </w:rPr>
      </w:pP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18</w:t>
      </w:r>
      <w:r>
        <w:rPr>
          <w:rFonts w:hint="eastAsia" w:ascii="宋体" w:hAnsi="宋体"/>
        </w:rPr>
        <w:t>日</w:t>
      </w:r>
      <w:bookmarkEnd w:id="4"/>
      <w:bookmarkEnd w:id="5"/>
      <w:bookmarkEnd w:id="6"/>
    </w:p>
    <w:p w14:paraId="1BE84547">
      <w:pPr>
        <w:widowControl/>
        <w:numPr>
          <w:ilvl w:val="0"/>
          <w:numId w:val="3"/>
        </w:numPr>
        <w:ind w:left="0" w:leftChars="0" w:firstLine="0" w:firstLineChars="0"/>
        <w:jc w:val="center"/>
        <w:outlineLvl w:val="0"/>
        <w:rPr>
          <w:rFonts w:hint="eastAsia" w:asciiTheme="majorEastAsia" w:hAnsiTheme="majorEastAsia" w:eastAsiaTheme="majorEastAsia"/>
          <w:sz w:val="32"/>
          <w:szCs w:val="32"/>
          <w:lang w:val="en-US" w:eastAsia="zh-CN"/>
        </w:rPr>
      </w:pPr>
      <w:bookmarkStart w:id="9" w:name="_Toc24468"/>
      <w:r>
        <w:rPr>
          <w:rFonts w:hint="eastAsia" w:asciiTheme="majorEastAsia" w:hAnsiTheme="majorEastAsia" w:eastAsiaTheme="majorEastAsia"/>
          <w:sz w:val="32"/>
          <w:szCs w:val="32"/>
          <w:lang w:val="en-US" w:eastAsia="zh-CN"/>
        </w:rPr>
        <w:t>用户需求书</w:t>
      </w:r>
      <w:bookmarkEnd w:id="9"/>
    </w:p>
    <w:p w14:paraId="1A0964E7">
      <w:pPr>
        <w:snapToGrid w:val="0"/>
        <w:spacing w:line="360" w:lineRule="auto"/>
        <w:rPr>
          <w:rFonts w:ascii="宋体"/>
          <w:b/>
          <w:bCs/>
          <w:szCs w:val="20"/>
        </w:rPr>
      </w:pPr>
      <w:r>
        <w:rPr>
          <w:rFonts w:hint="eastAsia" w:ascii="宋体"/>
          <w:b/>
          <w:bCs/>
          <w:szCs w:val="20"/>
        </w:rPr>
        <w:t>说明：</w:t>
      </w:r>
    </w:p>
    <w:p w14:paraId="41B0864D">
      <w:pPr>
        <w:numPr>
          <w:ilvl w:val="0"/>
          <w:numId w:val="7"/>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7"/>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7"/>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10"/>
        <w:numPr>
          <w:ilvl w:val="0"/>
          <w:numId w:val="8"/>
        </w:numPr>
        <w:tabs>
          <w:tab w:val="left" w:pos="540"/>
        </w:tabs>
        <w:adjustRightInd w:val="0"/>
        <w:snapToGrid w:val="0"/>
        <w:spacing w:line="360" w:lineRule="auto"/>
        <w:ind w:left="420" w:leftChars="0" w:hanging="420" w:firstLineChars="0"/>
        <w:outlineLvl w:val="9"/>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7"/>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right="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复合酸抑菌凝胶    （二次招标）</w:t>
            </w:r>
          </w:p>
        </w:tc>
        <w:tc>
          <w:tcPr>
            <w:tcW w:w="693" w:type="dxa"/>
            <w:vAlign w:val="center"/>
          </w:tcPr>
          <w:p w14:paraId="390AF9D4">
            <w:pPr>
              <w:keepNext w:val="0"/>
              <w:keepLines w:val="0"/>
              <w:suppressLineNumbers w:val="0"/>
              <w:spacing w:before="0" w:beforeAutospacing="0" w:after="0" w:afterAutospacing="0"/>
              <w:ind w:left="0" w:right="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1批</w:t>
            </w:r>
          </w:p>
        </w:tc>
        <w:tc>
          <w:tcPr>
            <w:tcW w:w="2859" w:type="dxa"/>
            <w:vAlign w:val="center"/>
          </w:tcPr>
          <w:p w14:paraId="36A3EC96">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合同签订并接院方通知后2日内交货</w:t>
            </w:r>
          </w:p>
        </w:tc>
        <w:tc>
          <w:tcPr>
            <w:tcW w:w="1937" w:type="dxa"/>
            <w:vAlign w:val="center"/>
          </w:tcPr>
          <w:p w14:paraId="113A87B9">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人民币40050.00元</w:t>
            </w:r>
          </w:p>
        </w:tc>
        <w:tc>
          <w:tcPr>
            <w:tcW w:w="1937" w:type="dxa"/>
            <w:vAlign w:val="center"/>
          </w:tcPr>
          <w:p w14:paraId="6694BA19">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2E6EEF9F">
      <w:pPr>
        <w:pStyle w:val="10"/>
        <w:tabs>
          <w:tab w:val="left" w:pos="540"/>
        </w:tabs>
        <w:adjustRightInd w:val="0"/>
        <w:snapToGrid w:val="0"/>
        <w:spacing w:line="360" w:lineRule="auto"/>
        <w:rPr>
          <w:rFonts w:hAnsi="宋体"/>
          <w:b/>
          <w:color w:val="auto"/>
        </w:rPr>
      </w:pPr>
    </w:p>
    <w:p w14:paraId="705CA8FA">
      <w:pPr>
        <w:pStyle w:val="10"/>
        <w:numPr>
          <w:ilvl w:val="0"/>
          <w:numId w:val="8"/>
        </w:numPr>
        <w:tabs>
          <w:tab w:val="left" w:pos="540"/>
        </w:tabs>
        <w:adjustRightInd w:val="0"/>
        <w:snapToGrid w:val="0"/>
        <w:spacing w:line="360" w:lineRule="auto"/>
        <w:ind w:left="420" w:leftChars="0" w:hanging="420" w:firstLineChars="0"/>
        <w:outlineLvl w:val="9"/>
        <w:rPr>
          <w:rFonts w:hAnsi="宋体"/>
          <w:b/>
          <w:color w:val="auto"/>
        </w:rPr>
      </w:pPr>
      <w:r>
        <w:rPr>
          <w:rFonts w:hint="eastAsia" w:hAnsi="宋体"/>
          <w:b/>
          <w:color w:val="auto"/>
          <w:lang w:val="en-US" w:eastAsia="zh-CN"/>
        </w:rPr>
        <w:t>货品清单及</w:t>
      </w:r>
      <w:r>
        <w:rPr>
          <w:rFonts w:hint="eastAsia" w:hAnsi="宋体"/>
          <w:b/>
          <w:color w:val="auto"/>
        </w:rPr>
        <w:t>技术要求：</w:t>
      </w:r>
    </w:p>
    <w:tbl>
      <w:tblPr>
        <w:tblStyle w:val="17"/>
        <w:tblW w:w="1130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996"/>
        <w:gridCol w:w="3786"/>
        <w:gridCol w:w="953"/>
        <w:gridCol w:w="969"/>
        <w:gridCol w:w="1361"/>
        <w:gridCol w:w="804"/>
        <w:gridCol w:w="1435"/>
      </w:tblGrid>
      <w:tr w14:paraId="41E73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EEECE1" w:themeFill="background2"/>
            <w:vAlign w:val="center"/>
          </w:tcPr>
          <w:p w14:paraId="640AE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3786" w:type="dxa"/>
            <w:tcBorders>
              <w:tl2br w:val="nil"/>
              <w:tr2bl w:val="nil"/>
            </w:tcBorders>
            <w:shd w:val="clear" w:color="auto" w:fill="EEECE1" w:themeFill="background2"/>
            <w:vAlign w:val="center"/>
          </w:tcPr>
          <w:p w14:paraId="4D1458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技术要求/主要需求</w:t>
            </w:r>
          </w:p>
        </w:tc>
        <w:tc>
          <w:tcPr>
            <w:tcW w:w="953" w:type="dxa"/>
            <w:tcBorders>
              <w:tl2br w:val="nil"/>
              <w:tr2bl w:val="nil"/>
            </w:tcBorders>
            <w:shd w:val="clear" w:color="auto" w:fill="EEECE1" w:themeFill="background2"/>
            <w:vAlign w:val="center"/>
          </w:tcPr>
          <w:p w14:paraId="0E3D47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规格</w:t>
            </w:r>
          </w:p>
        </w:tc>
        <w:tc>
          <w:tcPr>
            <w:tcW w:w="969" w:type="dxa"/>
            <w:tcBorders>
              <w:tl2br w:val="nil"/>
              <w:tr2bl w:val="nil"/>
            </w:tcBorders>
            <w:shd w:val="clear" w:color="auto" w:fill="EEECE1" w:themeFill="background2"/>
            <w:vAlign w:val="center"/>
          </w:tcPr>
          <w:p w14:paraId="7B6DD7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最小计量单位</w:t>
            </w:r>
          </w:p>
        </w:tc>
        <w:tc>
          <w:tcPr>
            <w:tcW w:w="1361" w:type="dxa"/>
            <w:tcBorders>
              <w:tl2br w:val="nil"/>
              <w:tr2bl w:val="nil"/>
            </w:tcBorders>
            <w:shd w:val="clear" w:color="auto" w:fill="EEECE1" w:themeFill="background2"/>
            <w:vAlign w:val="center"/>
          </w:tcPr>
          <w:p w14:paraId="7A555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最小单位预算价格（元）</w:t>
            </w:r>
          </w:p>
        </w:tc>
        <w:tc>
          <w:tcPr>
            <w:tcW w:w="804" w:type="dxa"/>
            <w:tcBorders>
              <w:tl2br w:val="nil"/>
              <w:tr2bl w:val="nil"/>
            </w:tcBorders>
            <w:shd w:val="clear" w:color="auto" w:fill="EEECE1" w:themeFill="background2"/>
            <w:vAlign w:val="center"/>
          </w:tcPr>
          <w:p w14:paraId="1A69BE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参考数量</w:t>
            </w:r>
          </w:p>
        </w:tc>
        <w:tc>
          <w:tcPr>
            <w:tcW w:w="1435" w:type="dxa"/>
            <w:tcBorders>
              <w:tl2br w:val="nil"/>
              <w:tr2bl w:val="nil"/>
            </w:tcBorders>
            <w:shd w:val="clear" w:color="auto" w:fill="EEECE1" w:themeFill="background2"/>
            <w:vAlign w:val="center"/>
          </w:tcPr>
          <w:p w14:paraId="73CFF5ED">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Cs w:val="21"/>
              </w:rPr>
            </w:pPr>
            <w:r>
              <w:rPr>
                <w:rFonts w:hint="eastAsia" w:ascii="宋体" w:hAnsi="宋体" w:cs="宋体"/>
                <w:b/>
                <w:bCs/>
                <w:kern w:val="0"/>
                <w:szCs w:val="21"/>
              </w:rPr>
              <w:t>总预计年使用金额（元）</w:t>
            </w:r>
          </w:p>
        </w:tc>
      </w:tr>
      <w:tr w14:paraId="485243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288A3A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rFonts w:hint="eastAsia"/>
                <w:lang w:val="en-US" w:eastAsia="zh-CN" w:bidi="ar"/>
              </w:rPr>
              <w:t>复合酸抑菌凝胶</w:t>
            </w:r>
            <w:r>
              <w:rPr>
                <w:rStyle w:val="32"/>
                <w:lang w:val="en-US" w:eastAsia="zh-CN" w:bidi="ar"/>
              </w:rPr>
              <w:t xml:space="preserve"> </w:t>
            </w:r>
          </w:p>
        </w:tc>
        <w:tc>
          <w:tcPr>
            <w:tcW w:w="3786" w:type="dxa"/>
            <w:tcBorders>
              <w:tl2br w:val="nil"/>
              <w:tr2bl w:val="nil"/>
            </w:tcBorders>
            <w:shd w:val="clear" w:color="auto" w:fill="auto"/>
            <w:vAlign w:val="center"/>
          </w:tcPr>
          <w:p w14:paraId="13F1937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化学焕肤术功能作用：痤疮、玫瑰痤疮，痤疮后色素沉着；表皮色素增加性皮肤病：如黄褐斑、炎症后色素沉着；瘢痕；皮肤光老化；光电治疗前的预处理；其他：毛周角化病、鱼鳞病、皮肤淀粉样变病等皮肤疾病，起到了有效的临床治疗手段，在皮肤科和美容科得到了广泛的应用。</w:t>
            </w:r>
          </w:p>
          <w:p w14:paraId="58E57E5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复合酸抑菌凝胶组成，含水杨酸浓度24%±2%,扁桃酸浓度6%±2%，有较强的抑菌功效及用途，水杨酸及扁桃酸的协同作用，降低角质形成细胞的黏着性，加速表皮细胞的新陈代谢率，启动皮肤损伤修复的重建机制，激活真皮胶原合成的组织修复，减轻皮肤炎症反应，减少痤疮皮损的同时使皮肤坚实有弹性。</w:t>
            </w:r>
          </w:p>
        </w:tc>
        <w:tc>
          <w:tcPr>
            <w:tcW w:w="953" w:type="dxa"/>
            <w:tcBorders>
              <w:tl2br w:val="nil"/>
              <w:tr2bl w:val="nil"/>
            </w:tcBorders>
            <w:shd w:val="clear" w:color="auto" w:fill="auto"/>
            <w:vAlign w:val="center"/>
          </w:tcPr>
          <w:p w14:paraId="663045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rFonts w:hint="eastAsia"/>
                <w:lang w:val="en-US" w:eastAsia="zh-CN" w:bidi="ar"/>
              </w:rPr>
              <w:t>10g</w:t>
            </w:r>
          </w:p>
        </w:tc>
        <w:tc>
          <w:tcPr>
            <w:tcW w:w="969" w:type="dxa"/>
            <w:tcBorders>
              <w:tl2br w:val="nil"/>
              <w:tr2bl w:val="nil"/>
            </w:tcBorders>
            <w:shd w:val="clear" w:color="auto" w:fill="auto"/>
            <w:vAlign w:val="center"/>
          </w:tcPr>
          <w:p w14:paraId="2A61A83B">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支</w:t>
            </w:r>
          </w:p>
        </w:tc>
        <w:tc>
          <w:tcPr>
            <w:tcW w:w="1361" w:type="dxa"/>
            <w:tcBorders>
              <w:tl2br w:val="nil"/>
              <w:tr2bl w:val="nil"/>
            </w:tcBorders>
            <w:shd w:val="clear" w:color="auto" w:fill="auto"/>
            <w:vAlign w:val="center"/>
          </w:tcPr>
          <w:p w14:paraId="6DE5C442">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445</w:t>
            </w:r>
          </w:p>
        </w:tc>
        <w:tc>
          <w:tcPr>
            <w:tcW w:w="804" w:type="dxa"/>
            <w:tcBorders>
              <w:tl2br w:val="nil"/>
              <w:tr2bl w:val="nil"/>
            </w:tcBorders>
            <w:shd w:val="clear" w:color="auto" w:fill="auto"/>
            <w:vAlign w:val="center"/>
          </w:tcPr>
          <w:p w14:paraId="70F9B9B5">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90</w:t>
            </w:r>
          </w:p>
        </w:tc>
        <w:tc>
          <w:tcPr>
            <w:tcW w:w="1435" w:type="dxa"/>
            <w:tcBorders>
              <w:tl2br w:val="nil"/>
              <w:tr2bl w:val="nil"/>
            </w:tcBorders>
            <w:shd w:val="clear" w:color="auto" w:fill="auto"/>
            <w:vAlign w:val="center"/>
          </w:tcPr>
          <w:p w14:paraId="4FCBA078">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r>
              <w:rPr>
                <w:rStyle w:val="31"/>
                <w:rFonts w:hint="eastAsia"/>
                <w:lang w:val="en-US" w:eastAsia="zh-CN" w:bidi="ar"/>
              </w:rPr>
              <w:t>40050</w:t>
            </w:r>
          </w:p>
        </w:tc>
      </w:tr>
    </w:tbl>
    <w:p w14:paraId="1FFD18C6">
      <w:pPr>
        <w:pStyle w:val="10"/>
        <w:tabs>
          <w:tab w:val="left" w:pos="420"/>
          <w:tab w:val="left" w:pos="540"/>
        </w:tabs>
        <w:adjustRightInd w:val="0"/>
        <w:snapToGrid w:val="0"/>
        <w:spacing w:line="360" w:lineRule="auto"/>
        <w:rPr>
          <w:rFonts w:hAnsi="宋体"/>
          <w:b/>
          <w:color w:val="auto"/>
        </w:rPr>
      </w:pPr>
    </w:p>
    <w:p w14:paraId="7C2FC4C4">
      <w:pPr>
        <w:pStyle w:val="10"/>
        <w:numPr>
          <w:ilvl w:val="0"/>
          <w:numId w:val="8"/>
        </w:numPr>
        <w:tabs>
          <w:tab w:val="left" w:pos="540"/>
        </w:tabs>
        <w:adjustRightInd w:val="0"/>
        <w:snapToGrid w:val="0"/>
        <w:spacing w:line="360" w:lineRule="auto"/>
        <w:ind w:left="420" w:leftChars="0" w:hanging="420" w:firstLineChars="0"/>
        <w:outlineLvl w:val="9"/>
        <w:rPr>
          <w:rFonts w:hAnsi="宋体"/>
          <w:b/>
          <w:color w:val="auto"/>
        </w:rPr>
      </w:pPr>
      <w:r>
        <w:rPr>
          <w:rFonts w:hint="eastAsia" w:hAnsi="宋体"/>
          <w:b/>
          <w:color w:val="auto"/>
        </w:rPr>
        <w:t>商务要求：</w:t>
      </w:r>
    </w:p>
    <w:p w14:paraId="6E48CCF4">
      <w:pPr>
        <w:keepNext w:val="0"/>
        <w:keepLines w:val="0"/>
        <w:pageBreakBefore w:val="0"/>
        <w:widowControl w:val="0"/>
        <w:numPr>
          <w:ilvl w:val="0"/>
          <w:numId w:val="9"/>
        </w:numPr>
        <w:tabs>
          <w:tab w:val="left" w:pos="0"/>
          <w:tab w:val="left" w:pos="220"/>
          <w:tab w:val="clear" w:pos="312"/>
        </w:tabs>
        <w:kinsoku/>
        <w:wordWrap w:val="0"/>
        <w:overflowPunct/>
        <w:topLinePunct w:val="0"/>
        <w:autoSpaceDE/>
        <w:autoSpaceDN/>
        <w:bidi w:val="0"/>
        <w:adjustRightInd w:val="0"/>
        <w:snapToGrid w:val="0"/>
        <w:spacing w:line="240" w:lineRule="auto"/>
        <w:jc w:val="left"/>
        <w:textAlignment w:val="auto"/>
        <w:rPr>
          <w:rFonts w:hint="eastAsia"/>
          <w:highlight w:val="none"/>
          <w:lang w:val="en-US" w:eastAsia="zh-CN"/>
        </w:rPr>
      </w:pPr>
      <w:r>
        <w:rPr>
          <w:rFonts w:hint="eastAsia" w:ascii="宋体" w:hAnsi="宋体" w:eastAsia="宋体" w:cs="宋体"/>
          <w:b/>
          <w:bCs/>
          <w:color w:val="auto"/>
          <w:sz w:val="21"/>
          <w:szCs w:val="21"/>
          <w:highlight w:val="none"/>
          <w:lang w:val="en-US" w:eastAsia="zh-CN"/>
        </w:rPr>
        <w:t>合同履行</w:t>
      </w:r>
      <w:r>
        <w:rPr>
          <w:rFonts w:hint="eastAsia" w:ascii="宋体" w:hAnsi="宋体" w:eastAsia="宋体" w:cs="宋体"/>
          <w:b/>
          <w:bCs/>
          <w:color w:val="auto"/>
          <w:sz w:val="21"/>
          <w:szCs w:val="21"/>
          <w:highlight w:val="none"/>
          <w:lang w:val="zh-CN"/>
        </w:rPr>
        <w:t>期限：</w:t>
      </w:r>
      <w:r>
        <w:rPr>
          <w:rFonts w:hint="eastAsia"/>
          <w:highlight w:val="none"/>
          <w:lang w:val="en-US" w:eastAsia="zh-CN"/>
        </w:rPr>
        <w:t>24个月。</w:t>
      </w:r>
    </w:p>
    <w:p w14:paraId="4E72E39F">
      <w:pPr>
        <w:keepNext w:val="0"/>
        <w:keepLines w:val="0"/>
        <w:pageBreakBefore w:val="0"/>
        <w:widowControl w:val="0"/>
        <w:numPr>
          <w:ilvl w:val="0"/>
          <w:numId w:val="9"/>
        </w:numPr>
        <w:tabs>
          <w:tab w:val="left" w:pos="0"/>
          <w:tab w:val="left" w:pos="220"/>
          <w:tab w:val="clear" w:pos="312"/>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bCs/>
          <w:color w:val="auto"/>
          <w:sz w:val="21"/>
          <w:szCs w:val="21"/>
          <w:highlight w:val="none"/>
          <w:lang w:val="en-US" w:eastAsia="zh-CN"/>
        </w:rPr>
        <w:t>交</w:t>
      </w:r>
      <w:bookmarkStart w:id="128" w:name="_GoBack"/>
      <w:bookmarkEnd w:id="128"/>
      <w:r>
        <w:rPr>
          <w:rFonts w:hint="eastAsia" w:ascii="宋体" w:hAnsi="宋体" w:eastAsia="宋体" w:cs="宋体"/>
          <w:b/>
          <w:bCs/>
          <w:color w:val="auto"/>
          <w:sz w:val="21"/>
          <w:szCs w:val="21"/>
          <w:highlight w:val="none"/>
          <w:lang w:val="en-US" w:eastAsia="zh-CN"/>
        </w:rPr>
        <w:t>货时间</w:t>
      </w:r>
      <w:r>
        <w:rPr>
          <w:rFonts w:hint="eastAsia" w:ascii="宋体" w:hAnsi="宋体" w:eastAsia="宋体" w:cs="宋体"/>
          <w:b/>
          <w:bCs/>
          <w:color w:val="auto"/>
          <w:sz w:val="21"/>
          <w:szCs w:val="21"/>
          <w:highlight w:val="none"/>
          <w:lang w:val="zh-CN"/>
        </w:rPr>
        <w:t>：</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收到采购人的需求清单后</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lang w:val="zh-CN"/>
        </w:rPr>
        <w:t>天内交货。</w:t>
      </w:r>
    </w:p>
    <w:p w14:paraId="34696E9B">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报价方式：</w:t>
      </w:r>
    </w:p>
    <w:p w14:paraId="1AE3C9D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报价使用货币及单位：人民币（元），报价精确到元。</w:t>
      </w:r>
    </w:p>
    <w:p w14:paraId="7FFFEC8A">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投标人所报价格为含税、配送商费用等的全包价。</w:t>
      </w:r>
    </w:p>
    <w:p w14:paraId="12EF6ECE">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投标人的投标报价不得高于深圳市最低成交价。</w:t>
      </w:r>
    </w:p>
    <w:p w14:paraId="69A9D4AE">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4投标人</w:t>
      </w:r>
      <w:r>
        <w:rPr>
          <w:rFonts w:hint="eastAsia" w:ascii="宋体" w:hAnsi="宋体" w:eastAsia="宋体" w:cs="宋体"/>
          <w:color w:val="auto"/>
          <w:sz w:val="21"/>
          <w:szCs w:val="21"/>
          <w:highlight w:val="none"/>
          <w:lang w:val="zh-CN"/>
        </w:rPr>
        <w:t>不得以低于自身成本的报价投标：当评标委员会认为其报价低于成本价时，评标委员会有权要求其对成本构成进行介绍，并要求投标方用书面的形式进行低价说明（在保证质量的前提下，能够大副节省经费的手段或原因）；如投标人没有合理的理由或不按要求提供低价说明，可视为不被接受的有风险的报价。</w:t>
      </w:r>
    </w:p>
    <w:p w14:paraId="0239CD57">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rPr>
        <w:t>付款方式：</w:t>
      </w:r>
    </w:p>
    <w:p w14:paraId="7B3BE365">
      <w:pPr>
        <w:keepNext w:val="0"/>
        <w:keepLines w:val="0"/>
        <w:pageBreakBefore w:val="0"/>
        <w:widowControl w:val="0"/>
        <w:tabs>
          <w:tab w:val="left" w:pos="0"/>
          <w:tab w:val="left" w:pos="420"/>
        </w:tabs>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是</w:t>
      </w:r>
      <w:r>
        <w:rPr>
          <w:rFonts w:hint="eastAsia" w:ascii="宋体" w:hAnsi="宋体" w:eastAsia="宋体" w:cs="宋体"/>
          <w:color w:val="auto"/>
          <w:sz w:val="21"/>
          <w:szCs w:val="21"/>
          <w:highlight w:val="none"/>
          <w:lang w:val="zh-CN"/>
        </w:rPr>
        <w:t>按月</w:t>
      </w:r>
      <w:r>
        <w:rPr>
          <w:rFonts w:hint="eastAsia" w:ascii="宋体" w:hAnsi="宋体" w:eastAsia="宋体" w:cs="宋体"/>
          <w:color w:val="auto"/>
          <w:sz w:val="21"/>
          <w:szCs w:val="21"/>
          <w:highlight w:val="none"/>
          <w:lang w:val="en-US" w:eastAsia="zh-CN"/>
        </w:rPr>
        <w:t>据实</w:t>
      </w:r>
      <w:r>
        <w:rPr>
          <w:rFonts w:hint="eastAsia" w:ascii="宋体" w:hAnsi="宋体" w:eastAsia="宋体" w:cs="宋体"/>
          <w:color w:val="auto"/>
          <w:sz w:val="21"/>
          <w:szCs w:val="21"/>
          <w:highlight w:val="none"/>
          <w:lang w:val="zh-CN"/>
        </w:rPr>
        <w:t>结算，</w:t>
      </w:r>
      <w:r>
        <w:rPr>
          <w:rFonts w:hint="eastAsia" w:ascii="宋体" w:hAnsi="宋体" w:eastAsia="宋体" w:cs="宋体"/>
          <w:color w:val="auto"/>
          <w:sz w:val="21"/>
          <w:szCs w:val="21"/>
          <w:highlight w:val="none"/>
          <w:lang w:val="en-US" w:eastAsia="zh-CN"/>
        </w:rPr>
        <w:t>投标人在中标后，每月根据采购人</w:t>
      </w:r>
      <w:r>
        <w:rPr>
          <w:rFonts w:hint="eastAsia" w:ascii="宋体" w:hAnsi="宋体" w:cs="宋体"/>
          <w:color w:val="auto"/>
          <w:sz w:val="21"/>
          <w:szCs w:val="21"/>
          <w:highlight w:val="none"/>
          <w:lang w:val="en-US" w:eastAsia="zh-CN"/>
        </w:rPr>
        <w:t>的采购</w:t>
      </w:r>
      <w:r>
        <w:rPr>
          <w:rFonts w:hint="eastAsia" w:ascii="宋体" w:hAnsi="宋体" w:eastAsia="宋体" w:cs="宋体"/>
          <w:color w:val="auto"/>
          <w:sz w:val="21"/>
          <w:szCs w:val="21"/>
          <w:highlight w:val="none"/>
          <w:lang w:val="en-US" w:eastAsia="zh-CN"/>
        </w:rPr>
        <w:t>订货单、货物验收签到表以及开具购买</w:t>
      </w:r>
      <w:r>
        <w:rPr>
          <w:rFonts w:hint="eastAsia" w:ascii="宋体" w:hAnsi="宋体" w:cs="宋体"/>
          <w:color w:val="auto"/>
          <w:sz w:val="21"/>
          <w:szCs w:val="21"/>
          <w:highlight w:val="none"/>
          <w:lang w:val="en-US" w:eastAsia="zh-CN"/>
        </w:rPr>
        <w:t>对应</w:t>
      </w:r>
      <w:r>
        <w:rPr>
          <w:rFonts w:hint="eastAsia" w:ascii="宋体" w:hAnsi="宋体" w:eastAsia="宋体" w:cs="宋体"/>
          <w:color w:val="auto"/>
          <w:sz w:val="21"/>
          <w:szCs w:val="21"/>
          <w:highlight w:val="none"/>
          <w:lang w:val="en-US" w:eastAsia="zh-CN"/>
        </w:rPr>
        <w:t>耗材的发票金额</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向采购人申请支付费用</w:t>
      </w:r>
      <w:r>
        <w:rPr>
          <w:rFonts w:hint="eastAsia" w:ascii="宋体" w:hAnsi="宋体" w:cs="宋体"/>
          <w:color w:val="auto"/>
          <w:sz w:val="21"/>
          <w:szCs w:val="21"/>
          <w:highlight w:val="none"/>
          <w:lang w:val="en-US" w:eastAsia="zh-CN"/>
        </w:rPr>
        <w:t>结算</w:t>
      </w:r>
      <w:r>
        <w:rPr>
          <w:rFonts w:hint="eastAsia" w:ascii="宋体" w:hAnsi="宋体" w:eastAsia="宋体" w:cs="宋体"/>
          <w:color w:val="auto"/>
          <w:sz w:val="21"/>
          <w:szCs w:val="21"/>
          <w:highlight w:val="none"/>
          <w:lang w:val="en-US" w:eastAsia="zh-CN"/>
        </w:rPr>
        <w:t>。全年总支付金额不超过</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预算金额</w:t>
      </w:r>
      <w:r>
        <w:rPr>
          <w:rFonts w:hint="eastAsia" w:ascii="宋体" w:hAnsi="宋体" w:cs="宋体"/>
          <w:b/>
          <w:bCs/>
          <w:color w:val="auto"/>
          <w:sz w:val="21"/>
          <w:szCs w:val="21"/>
          <w:highlight w:val="none"/>
          <w:u w:val="single"/>
          <w:lang w:val="en-US" w:eastAsia="zh-CN"/>
        </w:rPr>
        <w:t>40050.00</w:t>
      </w:r>
      <w:r>
        <w:rPr>
          <w:rFonts w:hint="eastAsia" w:ascii="宋体" w:hAnsi="宋体" w:eastAsia="宋体" w:cs="宋体"/>
          <w:b/>
          <w:bCs/>
          <w:i w:val="0"/>
          <w:iCs w:val="0"/>
          <w:color w:val="000000"/>
          <w:kern w:val="0"/>
          <w:sz w:val="21"/>
          <w:szCs w:val="21"/>
          <w:highlight w:val="none"/>
          <w:u w:val="single"/>
          <w:lang w:val="en-US" w:eastAsia="zh-CN" w:bidi="ar"/>
        </w:rPr>
        <w:t>元</w:t>
      </w:r>
      <w:r>
        <w:rPr>
          <w:rFonts w:hint="eastAsia" w:ascii="宋体" w:hAnsi="宋体" w:eastAsia="宋体" w:cs="宋体"/>
          <w:b/>
          <w:bCs/>
          <w:i w:val="0"/>
          <w:iCs w:val="0"/>
          <w:color w:val="000000"/>
          <w:kern w:val="0"/>
          <w:sz w:val="20"/>
          <w:szCs w:val="20"/>
          <w:highlight w:val="none"/>
          <w:u w:val="none"/>
          <w:lang w:val="en-US" w:eastAsia="zh-CN" w:bidi="ar"/>
        </w:rPr>
        <w:t>，</w:t>
      </w:r>
      <w:r>
        <w:rPr>
          <w:rFonts w:hint="eastAsia" w:ascii="宋体" w:hAnsi="宋体" w:eastAsia="宋体" w:cs="宋体"/>
          <w:color w:val="auto"/>
          <w:sz w:val="21"/>
          <w:szCs w:val="21"/>
          <w:highlight w:val="none"/>
          <w:lang w:val="zh-CN"/>
        </w:rPr>
        <w:t>具体方式由供需双方在合同中约定。</w:t>
      </w:r>
    </w:p>
    <w:p w14:paraId="1D12A3D2">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rPr>
        <w:t>质量保证</w:t>
      </w:r>
      <w:r>
        <w:rPr>
          <w:rFonts w:hint="eastAsia" w:ascii="宋体" w:hAnsi="宋体" w:eastAsia="宋体" w:cs="宋体"/>
          <w:b/>
          <w:bCs/>
          <w:color w:val="auto"/>
          <w:sz w:val="21"/>
          <w:szCs w:val="21"/>
          <w:highlight w:val="none"/>
          <w:lang w:val="en-US" w:eastAsia="zh-CN"/>
        </w:rPr>
        <w:t>：</w:t>
      </w:r>
    </w:p>
    <w:p w14:paraId="079899C3">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中标人需按国家相关标准进行耗材包装，耗材的包装均</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有良好的防湿、防锈、防潮、防雨、防腐及防碰撞的措施，并适宜深圳的气候条件。凡由于包装不良造成的损失和由此产生的费用均由</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rPr>
        <w:t>标人承担。</w:t>
      </w:r>
    </w:p>
    <w:p w14:paraId="663681FE">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5.2</w:t>
      </w:r>
      <w:r>
        <w:rPr>
          <w:rFonts w:hint="eastAsia" w:ascii="宋体" w:hAnsi="宋体" w:eastAsia="宋体" w:cs="宋体"/>
          <w:color w:val="auto"/>
          <w:sz w:val="21"/>
          <w:szCs w:val="21"/>
          <w:highlight w:val="none"/>
          <w:lang w:val="zh-CN"/>
        </w:rPr>
        <w:t>中标人应提供完整的技术资料，包括但不限于产品说明书、质量保证文件、服务指南等，所有外文资料</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提供中文译本。文件应随货物一并交付至采购人指定地点。</w:t>
      </w:r>
    </w:p>
    <w:p w14:paraId="7625E7FE">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bidi="ar-SA"/>
        </w:rPr>
        <w:t>5.3</w:t>
      </w:r>
      <w:r>
        <w:rPr>
          <w:rFonts w:hint="eastAsia" w:ascii="宋体" w:hAnsi="宋体" w:eastAsia="宋体" w:cs="宋体"/>
          <w:color w:val="auto"/>
          <w:szCs w:val="21"/>
          <w:highlight w:val="none"/>
          <w:lang w:val="en-US" w:eastAsia="zh-CN"/>
        </w:rPr>
        <w:t>在临床使用中出现不良事件，</w:t>
      </w:r>
      <w:r>
        <w:rPr>
          <w:rFonts w:hint="eastAsia" w:ascii="宋体" w:hAnsi="宋体" w:eastAsia="宋体" w:cs="宋体"/>
          <w:color w:val="auto"/>
          <w:sz w:val="21"/>
          <w:szCs w:val="21"/>
          <w:highlight w:val="none"/>
          <w:lang w:val="zh-CN"/>
        </w:rPr>
        <w:t>中标人</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lang w:val="en-US" w:eastAsia="zh-CN"/>
        </w:rPr>
        <w:t>接到通知后半小时内响应，两小时内赶到现场。经国家相关质量监察部门鉴定后，确实属于产品质量问题的，</w:t>
      </w:r>
      <w:r>
        <w:rPr>
          <w:rFonts w:hint="eastAsia" w:ascii="宋体" w:hAnsi="宋体" w:cs="宋体"/>
          <w:color w:val="auto"/>
          <w:szCs w:val="21"/>
          <w:highlight w:val="none"/>
          <w:lang w:val="en-US" w:eastAsia="zh-CN"/>
        </w:rPr>
        <w:t>由</w:t>
      </w:r>
      <w:r>
        <w:rPr>
          <w:rFonts w:hint="eastAsia" w:ascii="宋体" w:hAnsi="宋体" w:eastAsia="宋体" w:cs="宋体"/>
          <w:color w:val="auto"/>
          <w:sz w:val="21"/>
          <w:szCs w:val="21"/>
          <w:highlight w:val="none"/>
          <w:lang w:val="zh-CN"/>
        </w:rPr>
        <w:t>中标人</w:t>
      </w:r>
      <w:r>
        <w:rPr>
          <w:rFonts w:hint="eastAsia" w:ascii="宋体" w:hAnsi="宋体" w:eastAsia="宋体" w:cs="宋体"/>
          <w:color w:val="auto"/>
          <w:szCs w:val="21"/>
          <w:highlight w:val="none"/>
          <w:lang w:val="en-US" w:eastAsia="zh-CN"/>
        </w:rPr>
        <w:t>承担全部责任。</w:t>
      </w:r>
    </w:p>
    <w:p w14:paraId="0EFCD6D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20" w:firstLineChars="200"/>
        <w:textAlignment w:val="auto"/>
        <w:rPr>
          <w:rFonts w:hint="eastAsia" w:cs="宋体" w:asciiTheme="minorEastAsia" w:hAnsiTheme="minorEastAsia"/>
          <w:color w:val="auto"/>
          <w:kern w:val="0"/>
          <w:highlight w:val="none"/>
          <w:lang w:val="en-US" w:eastAsia="zh-CN"/>
        </w:rPr>
      </w:pPr>
      <w:r>
        <w:rPr>
          <w:rFonts w:hint="eastAsia" w:hAnsi="宋体" w:cs="宋体"/>
          <w:color w:val="auto"/>
          <w:szCs w:val="21"/>
          <w:highlight w:val="none"/>
          <w:lang w:val="en-US" w:eastAsia="zh-CN"/>
        </w:rPr>
        <w:t>5.</w:t>
      </w:r>
      <w:r>
        <w:rPr>
          <w:rFonts w:hint="eastAsia" w:ascii="宋体" w:hAnsi="宋体" w:cs="宋体"/>
          <w:color w:val="auto"/>
          <w:szCs w:val="21"/>
          <w:highlight w:val="none"/>
          <w:lang w:val="en-US" w:eastAsia="zh-CN"/>
        </w:rPr>
        <w:t>4</w:t>
      </w:r>
      <w:r>
        <w:rPr>
          <w:rFonts w:hint="eastAsia" w:cs="宋体" w:asciiTheme="minorEastAsia" w:hAnsiTheme="minorEastAsia"/>
          <w:color w:val="auto"/>
          <w:kern w:val="0"/>
          <w:highlight w:val="none"/>
          <w:lang w:val="en-US" w:eastAsia="zh-CN"/>
        </w:rPr>
        <w:t>货物有效期不低于</w:t>
      </w:r>
      <w:r>
        <w:rPr>
          <w:rFonts w:hint="eastAsia" w:cs="宋体" w:asciiTheme="minorEastAsia" w:hAnsiTheme="minorEastAsia"/>
          <w:b/>
          <w:bCs/>
          <w:color w:val="auto"/>
          <w:kern w:val="0"/>
          <w:highlight w:val="none"/>
          <w:u w:val="single"/>
          <w:lang w:val="en-US" w:eastAsia="zh-CN"/>
        </w:rPr>
        <w:t>产品有效期的三分之二</w:t>
      </w:r>
      <w:r>
        <w:rPr>
          <w:rFonts w:hint="eastAsia" w:cs="宋体" w:asciiTheme="minorEastAsia" w:hAnsiTheme="minorEastAsia"/>
          <w:color w:val="auto"/>
          <w:kern w:val="0"/>
          <w:highlight w:val="none"/>
          <w:lang w:val="en-US" w:eastAsia="zh-CN"/>
        </w:rPr>
        <w:t>，有效期内有任何产品质量问题，中标人需免费进行更换。</w:t>
      </w:r>
    </w:p>
    <w:p w14:paraId="66DC0D09">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售后服务要求</w:t>
      </w:r>
      <w:r>
        <w:rPr>
          <w:rFonts w:hint="eastAsia" w:ascii="宋体" w:hAnsi="宋体" w:cs="宋体"/>
          <w:b/>
          <w:bCs/>
          <w:color w:val="auto"/>
          <w:sz w:val="21"/>
          <w:szCs w:val="21"/>
          <w:highlight w:val="none"/>
          <w:lang w:val="zh-CN"/>
        </w:rPr>
        <w:t>：</w:t>
      </w:r>
    </w:p>
    <w:p w14:paraId="5F3755D0">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6.1</w:t>
      </w:r>
      <w:r>
        <w:rPr>
          <w:rFonts w:hint="eastAsia" w:ascii="宋体" w:hAnsi="宋体" w:eastAsia="宋体" w:cs="宋体"/>
          <w:color w:val="auto"/>
          <w:sz w:val="21"/>
          <w:szCs w:val="21"/>
          <w:highlight w:val="none"/>
          <w:lang w:val="zh-CN"/>
        </w:rPr>
        <w:t>耗材出现问题时，中标人</w:t>
      </w:r>
      <w:r>
        <w:rPr>
          <w:rFonts w:hint="eastAsia" w:ascii="宋体" w:hAnsi="宋体" w:cs="宋体"/>
          <w:color w:val="auto"/>
          <w:szCs w:val="21"/>
          <w:highlight w:val="none"/>
          <w:lang w:val="en-US" w:eastAsia="zh-CN"/>
        </w:rPr>
        <w:t>要求中标人能在2</w:t>
      </w:r>
      <w:r>
        <w:rPr>
          <w:rFonts w:hint="eastAsia" w:ascii="宋体" w:hAnsi="宋体" w:eastAsia="宋体" w:cs="宋体"/>
          <w:color w:val="auto"/>
          <w:szCs w:val="21"/>
          <w:highlight w:val="none"/>
          <w:lang w:val="en-US" w:eastAsia="zh-CN"/>
        </w:rPr>
        <w:t>小时内响应，</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zh-CN"/>
        </w:rPr>
        <w:t>小时内到达现场。</w:t>
      </w:r>
    </w:p>
    <w:p w14:paraId="06C9F3BA">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lang w:val="zh-CN" w:eastAsia="zh-CN" w:bidi="ar-SA"/>
        </w:rPr>
        <w:t>2</w:t>
      </w:r>
      <w:r>
        <w:rPr>
          <w:rFonts w:hint="eastAsia" w:ascii="宋体" w:hAnsi="宋体" w:eastAsia="宋体" w:cs="宋体"/>
          <w:color w:val="auto"/>
          <w:sz w:val="21"/>
          <w:szCs w:val="21"/>
          <w:highlight w:val="none"/>
          <w:lang w:val="zh-CN"/>
        </w:rPr>
        <w:t>中标人投标时所提供的耗材如在实际供货时已经停产，</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按原价提供</w:t>
      </w:r>
      <w:r>
        <w:rPr>
          <w:rFonts w:hint="eastAsia" w:ascii="宋体" w:hAnsi="宋体" w:cs="宋体"/>
          <w:color w:val="auto"/>
          <w:sz w:val="21"/>
          <w:szCs w:val="21"/>
          <w:highlight w:val="none"/>
          <w:lang w:val="en-US" w:eastAsia="zh-CN"/>
        </w:rPr>
        <w:t>用途相同的</w:t>
      </w:r>
      <w:r>
        <w:rPr>
          <w:rFonts w:hint="eastAsia" w:ascii="宋体" w:hAnsi="宋体" w:eastAsia="宋体" w:cs="宋体"/>
          <w:color w:val="auto"/>
          <w:sz w:val="21"/>
          <w:szCs w:val="21"/>
          <w:highlight w:val="none"/>
          <w:lang w:val="zh-CN"/>
        </w:rPr>
        <w:t>更优质的耗材。</w:t>
      </w:r>
    </w:p>
    <w:p w14:paraId="4EE5287A">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6.3</w:t>
      </w:r>
      <w:r>
        <w:rPr>
          <w:rFonts w:hint="eastAsia" w:ascii="宋体" w:hAnsi="宋体" w:eastAsia="宋体" w:cs="宋体"/>
          <w:color w:val="auto"/>
          <w:szCs w:val="21"/>
          <w:highlight w:val="none"/>
          <w:lang w:val="en-US" w:eastAsia="zh-CN"/>
        </w:rPr>
        <w:t>自</w:t>
      </w:r>
      <w:r>
        <w:rPr>
          <w:rFonts w:hint="eastAsia" w:ascii="宋体" w:hAnsi="宋体" w:cs="宋体"/>
          <w:color w:val="auto"/>
          <w:szCs w:val="21"/>
          <w:highlight w:val="none"/>
          <w:lang w:val="en-US" w:eastAsia="zh-CN"/>
        </w:rPr>
        <w:t>采购人订单发出</w:t>
      </w:r>
      <w:r>
        <w:rPr>
          <w:rFonts w:hint="eastAsia" w:ascii="宋体" w:hAnsi="宋体" w:eastAsia="宋体" w:cs="宋体"/>
          <w:color w:val="auto"/>
          <w:szCs w:val="21"/>
          <w:highlight w:val="none"/>
          <w:lang w:val="en-US" w:eastAsia="zh-CN"/>
        </w:rPr>
        <w:t>之</w:t>
      </w:r>
      <w:r>
        <w:rPr>
          <w:rFonts w:hint="eastAsia" w:ascii="宋体" w:hAnsi="宋体" w:cs="宋体"/>
          <w:color w:val="auto"/>
          <w:szCs w:val="21"/>
          <w:highlight w:val="none"/>
          <w:lang w:val="en-US" w:eastAsia="zh-CN"/>
        </w:rPr>
        <w:t>时</w:t>
      </w:r>
      <w:r>
        <w:rPr>
          <w:rFonts w:hint="eastAsia" w:ascii="宋体" w:hAnsi="宋体" w:eastAsia="宋体" w:cs="宋体"/>
          <w:color w:val="auto"/>
          <w:szCs w:val="21"/>
          <w:highlight w:val="none"/>
          <w:lang w:val="en-US" w:eastAsia="zh-CN"/>
        </w:rPr>
        <w:t>起</w:t>
      </w:r>
      <w:r>
        <w:rPr>
          <w:rFonts w:hint="eastAsia" w:ascii="宋体" w:hAnsi="宋体" w:cs="宋体"/>
          <w:color w:val="auto"/>
          <w:szCs w:val="21"/>
          <w:highlight w:val="none"/>
          <w:lang w:val="en-US" w:eastAsia="zh-CN"/>
        </w:rPr>
        <w:t>要求</w:t>
      </w:r>
      <w:r>
        <w:rPr>
          <w:rFonts w:hint="eastAsia" w:ascii="宋体" w:hAnsi="宋体" w:eastAsia="宋体" w:cs="宋体"/>
          <w:color w:val="auto"/>
          <w:sz w:val="21"/>
          <w:szCs w:val="21"/>
          <w:highlight w:val="none"/>
          <w:lang w:val="zh-CN"/>
        </w:rPr>
        <w:t>中标人</w:t>
      </w:r>
      <w:r>
        <w:rPr>
          <w:rFonts w:hint="eastAsia" w:ascii="宋体" w:hAnsi="宋体" w:cs="宋体"/>
          <w:color w:val="auto"/>
          <w:sz w:val="21"/>
          <w:szCs w:val="21"/>
          <w:highlight w:val="none"/>
          <w:lang w:val="en-US" w:eastAsia="zh-CN"/>
        </w:rPr>
        <w:t>耗材</w:t>
      </w:r>
      <w:r>
        <w:rPr>
          <w:rFonts w:hint="eastAsia" w:ascii="宋体" w:hAnsi="宋体" w:eastAsia="宋体" w:cs="宋体"/>
          <w:color w:val="auto"/>
          <w:szCs w:val="21"/>
          <w:highlight w:val="none"/>
          <w:lang w:val="en-US" w:eastAsia="zh-CN"/>
        </w:rPr>
        <w:t>配送</w:t>
      </w:r>
      <w:r>
        <w:rPr>
          <w:rFonts w:hint="eastAsia" w:ascii="宋体" w:hAnsi="宋体" w:cs="宋体"/>
          <w:color w:val="auto"/>
          <w:szCs w:val="21"/>
          <w:highlight w:val="none"/>
          <w:lang w:val="en-US" w:eastAsia="zh-CN"/>
        </w:rPr>
        <w:t>时限一般</w:t>
      </w:r>
      <w:r>
        <w:rPr>
          <w:rFonts w:hint="eastAsia" w:ascii="宋体" w:hAnsi="宋体" w:eastAsia="宋体" w:cs="宋体"/>
          <w:color w:val="auto"/>
          <w:szCs w:val="21"/>
          <w:highlight w:val="none"/>
          <w:lang w:val="en-US" w:eastAsia="zh-CN"/>
        </w:rPr>
        <w:t>不超过</w:t>
      </w:r>
      <w:r>
        <w:rPr>
          <w:rFonts w:hint="eastAsia" w:ascii="宋体" w:hAnsi="宋体" w:cs="宋体"/>
          <w:color w:val="auto"/>
          <w:szCs w:val="21"/>
          <w:highlight w:val="none"/>
          <w:lang w:val="en-US" w:eastAsia="zh-CN"/>
        </w:rPr>
        <w:t>48</w:t>
      </w:r>
      <w:r>
        <w:rPr>
          <w:rFonts w:hint="eastAsia" w:ascii="宋体" w:hAnsi="宋体" w:eastAsia="宋体" w:cs="宋体"/>
          <w:color w:val="auto"/>
          <w:szCs w:val="21"/>
          <w:highlight w:val="none"/>
          <w:lang w:val="en-US" w:eastAsia="zh-CN"/>
        </w:rPr>
        <w:t>小时。</w:t>
      </w:r>
      <w:r>
        <w:rPr>
          <w:rFonts w:hint="eastAsia" w:ascii="宋体" w:hAnsi="宋体" w:cs="宋体"/>
          <w:color w:val="auto"/>
          <w:szCs w:val="21"/>
          <w:highlight w:val="none"/>
          <w:lang w:val="en-US" w:eastAsia="zh-CN"/>
        </w:rPr>
        <w:t>若采购人要求</w:t>
      </w:r>
      <w:r>
        <w:rPr>
          <w:rFonts w:hint="eastAsia" w:ascii="宋体" w:hAnsi="宋体" w:eastAsia="宋体" w:cs="宋体"/>
          <w:color w:val="auto"/>
          <w:szCs w:val="21"/>
          <w:highlight w:val="none"/>
          <w:lang w:val="en-US" w:eastAsia="zh-CN"/>
        </w:rPr>
        <w:t>紧急配送，</w:t>
      </w:r>
      <w:r>
        <w:rPr>
          <w:rFonts w:hint="eastAsia" w:ascii="宋体" w:hAnsi="宋体" w:eastAsia="宋体" w:cs="宋体"/>
          <w:color w:val="auto"/>
          <w:sz w:val="21"/>
          <w:szCs w:val="21"/>
          <w:highlight w:val="none"/>
          <w:lang w:val="zh-CN"/>
        </w:rPr>
        <w:t>中标人</w:t>
      </w:r>
      <w:r>
        <w:rPr>
          <w:rFonts w:hint="eastAsia" w:ascii="宋体" w:hAnsi="宋体" w:cs="宋体"/>
          <w:color w:val="auto"/>
          <w:sz w:val="21"/>
          <w:szCs w:val="21"/>
          <w:highlight w:val="none"/>
          <w:lang w:val="en-US" w:eastAsia="zh-CN"/>
        </w:rPr>
        <w:t>需</w:t>
      </w:r>
      <w:r>
        <w:rPr>
          <w:rFonts w:hint="eastAsia" w:ascii="宋体" w:hAnsi="宋体" w:eastAsia="宋体" w:cs="宋体"/>
          <w:color w:val="auto"/>
          <w:szCs w:val="21"/>
          <w:highlight w:val="none"/>
          <w:lang w:val="en-US" w:eastAsia="zh-CN"/>
        </w:rPr>
        <w:t>保证所有</w:t>
      </w:r>
      <w:r>
        <w:rPr>
          <w:rFonts w:hint="eastAsia" w:ascii="宋体" w:hAnsi="宋体" w:cs="宋体"/>
          <w:color w:val="auto"/>
          <w:szCs w:val="21"/>
          <w:highlight w:val="none"/>
          <w:lang w:val="en-US" w:eastAsia="zh-CN"/>
        </w:rPr>
        <w:t>耗材</w:t>
      </w:r>
      <w:r>
        <w:rPr>
          <w:rFonts w:hint="eastAsia" w:ascii="宋体" w:hAnsi="宋体" w:eastAsia="宋体" w:cs="宋体"/>
          <w:color w:val="auto"/>
          <w:szCs w:val="21"/>
          <w:highlight w:val="none"/>
          <w:lang w:val="en-US" w:eastAsia="zh-CN"/>
        </w:rPr>
        <w:t>在</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小时内送达。</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订单发出</w:t>
      </w:r>
      <w:r>
        <w:rPr>
          <w:rFonts w:hint="eastAsia" w:ascii="宋体" w:hAnsi="宋体" w:cs="宋体"/>
          <w:color w:val="auto"/>
          <w:szCs w:val="21"/>
          <w:highlight w:val="none"/>
          <w:lang w:val="en-US" w:eastAsia="zh-CN"/>
        </w:rPr>
        <w:t>时间包含</w:t>
      </w:r>
      <w:r>
        <w:rPr>
          <w:rFonts w:hint="eastAsia" w:ascii="宋体" w:hAnsi="宋体" w:eastAsia="宋体" w:cs="宋体"/>
          <w:color w:val="auto"/>
          <w:szCs w:val="21"/>
          <w:highlight w:val="none"/>
          <w:lang w:val="en-US" w:eastAsia="zh-CN"/>
        </w:rPr>
        <w:t>节假日</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lang w:val="zh-CN"/>
        </w:rPr>
        <w:t>中标人</w:t>
      </w:r>
      <w:r>
        <w:rPr>
          <w:rFonts w:hint="eastAsia" w:ascii="宋体" w:hAnsi="宋体" w:eastAsia="宋体" w:cs="宋体"/>
          <w:color w:val="auto"/>
          <w:szCs w:val="21"/>
          <w:highlight w:val="none"/>
          <w:lang w:val="en-US" w:eastAsia="zh-CN"/>
        </w:rPr>
        <w:t>应留置值班人员以满足</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订货需求。</w:t>
      </w:r>
    </w:p>
    <w:p w14:paraId="08076FB4">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6.4</w:t>
      </w:r>
      <w:r>
        <w:rPr>
          <w:rFonts w:hint="eastAsia" w:ascii="宋体" w:hAnsi="宋体" w:eastAsia="宋体" w:cs="宋体"/>
          <w:color w:val="auto"/>
          <w:sz w:val="21"/>
          <w:szCs w:val="21"/>
          <w:highlight w:val="none"/>
          <w:lang w:val="zh-CN"/>
        </w:rPr>
        <w:t>中标人应派专业技术人员对采购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zh-CN"/>
        </w:rPr>
        <w:t>指定人员进行定期培训及指导</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且不额外收费</w:t>
      </w:r>
      <w:r>
        <w:rPr>
          <w:rFonts w:hint="eastAsia" w:ascii="宋体" w:hAnsi="宋体" w:eastAsia="宋体" w:cs="宋体"/>
          <w:color w:val="auto"/>
          <w:sz w:val="21"/>
          <w:szCs w:val="21"/>
          <w:highlight w:val="none"/>
          <w:lang w:val="zh-CN"/>
        </w:rPr>
        <w:t>。</w:t>
      </w:r>
    </w:p>
    <w:p w14:paraId="6FAB44AB">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rPr>
        <w:t>应按其投标文件中的承诺，进行其他售后服务工作。</w:t>
      </w:r>
    </w:p>
    <w:p w14:paraId="641A96C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zh-CN"/>
        </w:rPr>
        <w:t>验收及相关技术文件、资料</w:t>
      </w:r>
      <w:r>
        <w:rPr>
          <w:rFonts w:hint="eastAsia" w:ascii="宋体" w:hAnsi="宋体" w:cs="宋体"/>
          <w:b/>
          <w:bCs/>
          <w:color w:val="auto"/>
          <w:sz w:val="21"/>
          <w:szCs w:val="21"/>
          <w:highlight w:val="none"/>
          <w:lang w:val="zh-CN"/>
        </w:rPr>
        <w:t>：</w:t>
      </w:r>
    </w:p>
    <w:p w14:paraId="771A21C5">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7.1</w:t>
      </w:r>
      <w:r>
        <w:rPr>
          <w:rFonts w:hint="eastAsia" w:ascii="宋体" w:hAnsi="宋体" w:cs="宋体"/>
          <w:color w:val="auto"/>
          <w:szCs w:val="21"/>
          <w:highlight w:val="none"/>
          <w:lang w:val="zh-CN" w:eastAsia="zh-CN"/>
        </w:rPr>
        <w:t>投标人提供的耗材</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lang w:val="zh-CN" w:eastAsia="zh-CN"/>
        </w:rPr>
        <w:t>符合国家承认的相应标准。</w:t>
      </w:r>
      <w:r>
        <w:rPr>
          <w:rFonts w:hint="eastAsia" w:ascii="宋体" w:hAnsi="宋体" w:cs="宋体"/>
          <w:color w:val="auto"/>
          <w:szCs w:val="21"/>
          <w:highlight w:val="none"/>
          <w:lang w:val="en-US" w:eastAsia="zh-CN"/>
        </w:rPr>
        <w:t>满足采购要求。</w:t>
      </w:r>
    </w:p>
    <w:p w14:paraId="43D72BC5">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7.2</w:t>
      </w:r>
      <w:r>
        <w:rPr>
          <w:rFonts w:hint="eastAsia" w:ascii="宋体" w:hAnsi="宋体" w:cs="宋体"/>
          <w:color w:val="auto"/>
          <w:szCs w:val="21"/>
          <w:highlight w:val="none"/>
          <w:lang w:val="zh-CN" w:eastAsia="zh-CN"/>
        </w:rPr>
        <w:t>投标人所提供的</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lang w:val="zh-CN" w:eastAsia="zh-CN"/>
        </w:rPr>
        <w:t>是其合法生产或代理的合格耗材，并能够按照耗材成交确认合同规定的商标、产地、质量、价格、</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lang w:val="zh-CN" w:eastAsia="zh-CN"/>
        </w:rPr>
        <w:t>效期及时供货。</w:t>
      </w:r>
    </w:p>
    <w:p w14:paraId="78D5FDEC">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7.3</w:t>
      </w:r>
      <w:r>
        <w:rPr>
          <w:rFonts w:hint="eastAsia" w:ascii="宋体" w:hAnsi="宋体" w:eastAsia="宋体" w:cs="宋体"/>
          <w:color w:val="auto"/>
          <w:sz w:val="21"/>
          <w:szCs w:val="21"/>
          <w:highlight w:val="none"/>
          <w:lang w:val="zh-CN"/>
        </w:rPr>
        <w:t>耗材外观清洁，产品包装上（包括大包装、小包装等）需附有以下所列各项国家规定的中文标识：</w:t>
      </w:r>
    </w:p>
    <w:p w14:paraId="12AA719E">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（1）耗材名称、型号、规格；</w:t>
      </w:r>
    </w:p>
    <w:p w14:paraId="7970AA57">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（2）生产企业名称、注册地址、生产地址、联系方式；</w:t>
      </w:r>
    </w:p>
    <w:p w14:paraId="7BD933FF">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）耗材生产日期或批（编）号、有效期限。</w:t>
      </w:r>
    </w:p>
    <w:p w14:paraId="15B48AC0">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7.4</w:t>
      </w:r>
      <w:r>
        <w:rPr>
          <w:rFonts w:hint="eastAsia" w:ascii="宋体" w:hAnsi="宋体" w:eastAsia="宋体" w:cs="宋体"/>
          <w:color w:val="auto"/>
          <w:sz w:val="21"/>
          <w:szCs w:val="21"/>
          <w:highlight w:val="none"/>
          <w:lang w:val="zh-CN"/>
        </w:rPr>
        <w:t>所有耗材在开封检验时</w:t>
      </w:r>
      <w:r>
        <w:rPr>
          <w:rFonts w:hint="eastAsia" w:ascii="宋体" w:hAnsi="宋体" w:cs="宋体"/>
          <w:color w:val="auto"/>
          <w:szCs w:val="21"/>
          <w:highlight w:val="none"/>
          <w:lang w:val="en-US" w:eastAsia="zh-CN"/>
        </w:rPr>
        <w:t>应</w:t>
      </w:r>
      <w:r>
        <w:rPr>
          <w:rFonts w:hint="eastAsia" w:ascii="宋体" w:hAnsi="宋体" w:eastAsia="宋体" w:cs="宋体"/>
          <w:color w:val="auto"/>
          <w:sz w:val="21"/>
          <w:szCs w:val="21"/>
          <w:highlight w:val="none"/>
          <w:lang w:val="zh-CN"/>
        </w:rPr>
        <w:t>完好，无破损，配置与说明书相符。如有破损，应无条件退换。</w:t>
      </w:r>
    </w:p>
    <w:p w14:paraId="03E23A03">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7.5</w:t>
      </w:r>
      <w:r>
        <w:rPr>
          <w:rFonts w:hint="eastAsia" w:ascii="宋体" w:hAnsi="宋体" w:eastAsia="宋体" w:cs="宋体"/>
          <w:color w:val="auto"/>
          <w:sz w:val="21"/>
          <w:szCs w:val="21"/>
          <w:highlight w:val="none"/>
          <w:lang w:val="zh-CN"/>
        </w:rPr>
        <w:t>耗材符合</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文件技术要求，具备产品合格证，性能满足要求。</w:t>
      </w:r>
    </w:p>
    <w:p w14:paraId="13A7BD2A">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7.6采购人</w:t>
      </w:r>
      <w:r>
        <w:rPr>
          <w:rFonts w:hint="eastAsia" w:ascii="宋体" w:hAnsi="宋体" w:eastAsia="宋体" w:cs="宋体"/>
          <w:color w:val="auto"/>
          <w:szCs w:val="21"/>
          <w:highlight w:val="none"/>
          <w:lang w:val="en-US" w:eastAsia="zh-CN"/>
        </w:rPr>
        <w:t>接受货物后若有疑义或使用前发现不宜使用的现象，</w:t>
      </w:r>
      <w:r>
        <w:rPr>
          <w:rFonts w:hint="eastAsia" w:ascii="宋体" w:hAnsi="宋体" w:cs="宋体"/>
          <w:color w:val="auto"/>
          <w:szCs w:val="21"/>
          <w:highlight w:val="none"/>
          <w:lang w:val="en-US" w:eastAsia="zh-CN"/>
        </w:rPr>
        <w:t>中标人需</w:t>
      </w:r>
      <w:r>
        <w:rPr>
          <w:rFonts w:hint="eastAsia" w:ascii="宋体" w:hAnsi="宋体" w:eastAsia="宋体" w:cs="宋体"/>
          <w:color w:val="auto"/>
          <w:szCs w:val="21"/>
          <w:highlight w:val="none"/>
          <w:lang w:val="en-US" w:eastAsia="zh-CN"/>
        </w:rPr>
        <w:t>提供退换货服务</w:t>
      </w:r>
      <w:r>
        <w:rPr>
          <w:rFonts w:hint="eastAsia" w:ascii="宋体" w:hAnsi="宋体" w:cs="宋体"/>
          <w:color w:val="auto"/>
          <w:szCs w:val="21"/>
          <w:highlight w:val="none"/>
          <w:lang w:val="en-US" w:eastAsia="zh-CN"/>
        </w:rPr>
        <w:t>，不额外收费</w:t>
      </w:r>
      <w:r>
        <w:rPr>
          <w:rFonts w:hint="eastAsia" w:ascii="宋体" w:hAnsi="宋体" w:eastAsia="宋体" w:cs="宋体"/>
          <w:color w:val="auto"/>
          <w:szCs w:val="21"/>
          <w:highlight w:val="none"/>
          <w:lang w:val="en-US" w:eastAsia="zh-CN"/>
        </w:rPr>
        <w:t>。</w:t>
      </w:r>
    </w:p>
    <w:p w14:paraId="2467B0F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CN"/>
        </w:rPr>
        <w:t>运输要求</w:t>
      </w:r>
      <w:r>
        <w:rPr>
          <w:rFonts w:hint="eastAsia" w:ascii="宋体" w:hAnsi="宋体" w:cs="宋体"/>
          <w:b/>
          <w:bCs/>
          <w:color w:val="auto"/>
          <w:sz w:val="21"/>
          <w:szCs w:val="21"/>
          <w:highlight w:val="none"/>
          <w:lang w:val="zh-CN"/>
        </w:rPr>
        <w:t>：</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rPr>
        <w:t>标人负责将耗材安全无损运抵采购人指定地点，并承担包装、运输、保险、装卸、关税、增值税等费用。</w:t>
      </w:r>
    </w:p>
    <w:p w14:paraId="7722D280">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zh-CN"/>
        </w:rPr>
        <w:t>质量及知识产权要求</w:t>
      </w:r>
      <w:r>
        <w:rPr>
          <w:rFonts w:hint="eastAsia" w:ascii="宋体" w:hAnsi="宋体" w:cs="宋体"/>
          <w:b/>
          <w:bCs/>
          <w:color w:val="auto"/>
          <w:sz w:val="21"/>
          <w:szCs w:val="21"/>
          <w:highlight w:val="none"/>
          <w:lang w:val="zh-CN"/>
        </w:rPr>
        <w:t>：</w:t>
      </w:r>
    </w:p>
    <w:p w14:paraId="249F376F">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投标人应保证采购人在使用该货物或其任何一部分时，免受第三方提出的侵犯其专利权、商标权、著作权或其它知识产权的起诉。投标人保证所提供软件的合法性，所发生的任何知识产权纠纷与采购人无关。</w:t>
      </w:r>
    </w:p>
    <w:p w14:paraId="33D00D2A">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采购人购买产品后，有权对该产品与其他设备进行配套、整合或适当改进，而免受侵犯专利权的起诉。</w:t>
      </w:r>
    </w:p>
    <w:p w14:paraId="0FD884CC">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zh-CN"/>
        </w:rPr>
        <w:t>违约责任</w:t>
      </w:r>
      <w:r>
        <w:rPr>
          <w:rFonts w:hint="eastAsia" w:ascii="宋体" w:hAnsi="宋体" w:cs="宋体"/>
          <w:b/>
          <w:bCs/>
          <w:color w:val="auto"/>
          <w:sz w:val="21"/>
          <w:szCs w:val="21"/>
          <w:highlight w:val="none"/>
          <w:lang w:val="zh-CN"/>
        </w:rPr>
        <w:t>：</w:t>
      </w:r>
    </w:p>
    <w:p w14:paraId="2E2E01DD">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10.1</w:t>
      </w:r>
      <w:r>
        <w:rPr>
          <w:rFonts w:hint="eastAsia" w:ascii="宋体" w:hAnsi="宋体" w:eastAsia="宋体" w:cs="宋体"/>
          <w:color w:val="auto"/>
          <w:sz w:val="21"/>
          <w:szCs w:val="21"/>
          <w:highlight w:val="none"/>
          <w:lang w:val="zh-CN"/>
        </w:rPr>
        <w:t>如投标人未按照投标文件中承诺的时间交货或提供服务，投标人应承担延期交货和延期服务的违约责任，并赔偿采购人因此造成的实际经济损失。</w:t>
      </w:r>
    </w:p>
    <w:p w14:paraId="118206F7">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10.2</w:t>
      </w:r>
      <w:r>
        <w:rPr>
          <w:rFonts w:hint="eastAsia" w:ascii="宋体" w:hAnsi="宋体" w:eastAsia="宋体" w:cs="宋体"/>
          <w:color w:val="auto"/>
          <w:sz w:val="21"/>
          <w:szCs w:val="21"/>
          <w:highlight w:val="none"/>
          <w:lang w:val="zh-CN"/>
        </w:rPr>
        <w:t>投标人所提供检测试剂的品种、型号、规格、质量、技术参数等方面不能实质性满足遴选文件要约的，采购人有权拒绝收货，投标人向采购人偿付项目采购金额千分之十（千分之十以上千分之二十以下）的违约金；造成严重后果的，根据《深圳经济特区政府采购条例》第五十七条第（二）款规定，由主管部门对中标人进行处罚。</w:t>
      </w:r>
    </w:p>
    <w:p w14:paraId="60FDCCE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10.3</w:t>
      </w:r>
      <w:r>
        <w:rPr>
          <w:rFonts w:hint="eastAsia" w:ascii="宋体" w:hAnsi="宋体" w:eastAsia="宋体" w:cs="宋体"/>
          <w:color w:val="auto"/>
          <w:sz w:val="21"/>
          <w:szCs w:val="21"/>
          <w:highlight w:val="none"/>
          <w:lang w:val="zh-CN"/>
        </w:rPr>
        <w:t>投标人不能交付</w:t>
      </w:r>
      <w:r>
        <w:rPr>
          <w:rFonts w:hint="eastAsia" w:ascii="宋体" w:hAnsi="宋体" w:cs="宋体"/>
          <w:color w:val="auto"/>
          <w:sz w:val="21"/>
          <w:szCs w:val="21"/>
          <w:highlight w:val="none"/>
          <w:lang w:val="en-US" w:eastAsia="zh-CN"/>
        </w:rPr>
        <w:t>产品时</w:t>
      </w:r>
      <w:r>
        <w:rPr>
          <w:rFonts w:hint="eastAsia" w:ascii="宋体" w:hAnsi="宋体" w:eastAsia="宋体" w:cs="宋体"/>
          <w:color w:val="auto"/>
          <w:sz w:val="21"/>
          <w:szCs w:val="21"/>
          <w:highlight w:val="none"/>
          <w:lang w:val="zh-CN"/>
        </w:rPr>
        <w:t>，投标人向采购人偿付项目采购金额千分之二十（千分之十以上千分之二十以下）的违约金；造成严重后果的，根据《深圳经济特区政府采购条例》第五十七条第（二）款规定，由主管部门对中标人进行处罚。</w:t>
      </w:r>
    </w:p>
    <w:p w14:paraId="5097FA0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11.其他商务要求：</w:t>
      </w:r>
    </w:p>
    <w:p w14:paraId="38B25A18">
      <w:pPr>
        <w:keepNext w:val="0"/>
        <w:keepLines w:val="0"/>
        <w:suppressLineNumbers w:val="0"/>
        <w:spacing w:before="0" w:beforeAutospacing="0" w:after="0" w:afterAutospacing="0"/>
        <w:ind w:left="0" w:right="0"/>
        <w:jc w:val="left"/>
        <w:rPr>
          <w:rFonts w:hint="eastAsia" w:ascii="宋体" w:hAnsi="宋体" w:eastAsia="宋体" w:cs="宋体"/>
          <w:snapToGrid/>
          <w:color w:val="auto"/>
          <w:spacing w:val="0"/>
          <w:kern w:val="2"/>
          <w:sz w:val="21"/>
          <w:szCs w:val="24"/>
          <w:highlight w:val="none"/>
          <w:lang w:val="en-US" w:eastAsia="zh-CN" w:bidi="ar-SA"/>
        </w:rPr>
      </w:pPr>
      <w:r>
        <w:rPr>
          <w:rFonts w:hint="eastAsia" w:asciiTheme="minorEastAsia" w:hAnsiTheme="minorEastAsia" w:eastAsiaTheme="minorEastAsia"/>
          <w:b/>
          <w:bCs/>
          <w:color w:val="auto"/>
          <w:szCs w:val="21"/>
        </w:rPr>
        <w:t>★</w:t>
      </w:r>
      <w:r>
        <w:rPr>
          <w:rFonts w:hint="eastAsia" w:ascii="宋体" w:hAnsi="宋体" w:eastAsia="宋体" w:cs="宋体"/>
          <w:snapToGrid/>
          <w:color w:val="auto"/>
          <w:spacing w:val="0"/>
          <w:kern w:val="2"/>
          <w:sz w:val="21"/>
          <w:szCs w:val="24"/>
          <w:highlight w:val="none"/>
          <w:lang w:val="en-US" w:eastAsia="zh-CN" w:bidi="ar-SA"/>
        </w:rPr>
        <w:t>1、中标公司无条件配合医院SPD物流精细化管理服务，同时承诺支付每月管理服务费(不超当月供货总额的3%)，具体与医院签合同时按合同条款执行。</w:t>
      </w:r>
    </w:p>
    <w:p w14:paraId="438C1245">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6271AE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6F7597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200CBE54">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C9F282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0" w:name="_Toc16150"/>
    </w:p>
    <w:p w14:paraId="39635CD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6FD5AC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FBA496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C32CB1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0DD1D0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CA1FFA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73B822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AE125F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93365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3818F0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FAB7815">
      <w:pPr>
        <w:pStyle w:val="3"/>
        <w:numPr>
          <w:ilvl w:val="0"/>
          <w:numId w:val="0"/>
        </w:numPr>
        <w:spacing w:line="240" w:lineRule="auto"/>
        <w:ind w:left="0" w:leftChars="0" w:firstLine="0" w:firstLineChars="0"/>
        <w:jc w:val="both"/>
        <w:outlineLvl w:val="0"/>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第三章 </w:t>
      </w:r>
      <w:r>
        <w:rPr>
          <w:rFonts w:hint="eastAsia" w:asciiTheme="majorEastAsia" w:hAnsiTheme="majorEastAsia" w:eastAsiaTheme="majorEastAsia" w:cstheme="majorEastAsia"/>
          <w:sz w:val="32"/>
          <w:szCs w:val="32"/>
        </w:rPr>
        <w:t>开标、评标、定标</w:t>
      </w:r>
      <w:bookmarkEnd w:id="10"/>
    </w:p>
    <w:p w14:paraId="3B4C8BEE">
      <w:pPr>
        <w:pStyle w:val="3"/>
        <w:numPr>
          <w:ilvl w:val="0"/>
          <w:numId w:val="10"/>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1" w:name="_Toc24015563"/>
      <w:bookmarkStart w:id="12" w:name="_Toc15209"/>
      <w:bookmarkStart w:id="13" w:name="_Toc1988"/>
      <w:bookmarkStart w:id="14" w:name="_Toc10794"/>
      <w:r>
        <w:rPr>
          <w:rFonts w:hint="eastAsia" w:ascii="宋体" w:hAnsi="宋体" w:cs="宋体" w:eastAsiaTheme="minorEastAsia"/>
          <w:kern w:val="2"/>
          <w:sz w:val="21"/>
          <w:szCs w:val="21"/>
          <w:lang w:val="en-US" w:eastAsia="zh-CN" w:bidi="ar-SA"/>
        </w:rPr>
        <w:t>资格性审查表</w:t>
      </w:r>
      <w:bookmarkEnd w:id="11"/>
      <w:bookmarkEnd w:id="12"/>
      <w:bookmarkEnd w:id="13"/>
      <w:bookmarkEnd w:id="14"/>
    </w:p>
    <w:tbl>
      <w:tblPr>
        <w:tblStyle w:val="17"/>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5"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5"/>
    </w:p>
    <w:p w14:paraId="41BA4C69">
      <w:pPr>
        <w:pStyle w:val="3"/>
        <w:numPr>
          <w:ilvl w:val="0"/>
          <w:numId w:val="10"/>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6" w:name="_Toc11989"/>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bookmarkEnd w:id="16"/>
    </w:p>
    <w:tbl>
      <w:tblPr>
        <w:tblStyle w:val="17"/>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0A4E0289">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619B9638">
      <w:pPr>
        <w:tabs>
          <w:tab w:val="left" w:pos="420"/>
          <w:tab w:val="left" w:pos="630"/>
        </w:tabs>
        <w:autoSpaceDE w:val="0"/>
        <w:autoSpaceDN w:val="0"/>
        <w:adjustRightInd w:val="0"/>
        <w:spacing w:line="360" w:lineRule="auto"/>
        <w:rPr>
          <w:rFonts w:hint="eastAsia" w:ascii="宋体" w:cs="宋体"/>
          <w:szCs w:val="21"/>
        </w:rPr>
      </w:pPr>
    </w:p>
    <w:p w14:paraId="58D1A2AD">
      <w:pPr>
        <w:pStyle w:val="5"/>
        <w:numPr>
          <w:ilvl w:val="0"/>
          <w:numId w:val="11"/>
        </w:numPr>
        <w:ind w:left="0" w:leftChars="0" w:firstLine="0" w:firstLineChars="0"/>
        <w:jc w:val="left"/>
        <w:outlineLvl w:val="0"/>
        <w:rPr>
          <w:color w:val="auto"/>
        </w:rPr>
      </w:pPr>
      <w:r>
        <w:rPr>
          <w:rFonts w:hint="eastAsia" w:ascii="宋体" w:hAnsi="宋体" w:cs="宋体" w:eastAsiaTheme="minorEastAsia"/>
          <w:kern w:val="2"/>
          <w:sz w:val="21"/>
          <w:szCs w:val="21"/>
          <w:lang w:val="en-US" w:eastAsia="zh-CN" w:bidi="ar-SA"/>
        </w:rPr>
        <w:t>福田区自行采购供应商资格审查表</w:t>
      </w:r>
    </w:p>
    <w:tbl>
      <w:tblPr>
        <w:tblStyle w:val="18"/>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8" w:type="dxa"/>
            <w:noWrap w:val="0"/>
            <w:vAlign w:val="center"/>
          </w:tcPr>
          <w:p w14:paraId="32D01AB9">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keepNext w:val="0"/>
              <w:keepLines w:val="0"/>
              <w:widowControl/>
              <w:suppressLineNumbers w:val="0"/>
              <w:spacing w:before="0" w:beforeLines="0" w:beforeAutospacing="0" w:after="0" w:afterLines="0" w:afterAutospacing="0" w:line="380" w:lineRule="exact"/>
              <w:ind w:left="0" w:right="0"/>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2834" w:right="0"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1C6C0329">
      <w:pPr>
        <w:tabs>
          <w:tab w:val="left" w:pos="420"/>
          <w:tab w:val="left" w:pos="630"/>
        </w:tabs>
        <w:autoSpaceDE w:val="0"/>
        <w:autoSpaceDN w:val="0"/>
        <w:adjustRightInd w:val="0"/>
        <w:spacing w:line="360" w:lineRule="auto"/>
        <w:rPr>
          <w:rFonts w:hint="eastAsia" w:ascii="宋体" w:cs="宋体"/>
          <w:szCs w:val="21"/>
          <w:lang w:val="en-US" w:eastAsia="zh-CN"/>
        </w:rPr>
      </w:pPr>
    </w:p>
    <w:p w14:paraId="46EE8D27">
      <w:pPr>
        <w:pStyle w:val="28"/>
        <w:widowControl/>
        <w:numPr>
          <w:ilvl w:val="0"/>
          <w:numId w:val="12"/>
        </w:numPr>
        <w:spacing w:line="360" w:lineRule="auto"/>
        <w:ind w:left="0" w:leftChars="0" w:firstLine="0" w:firstLineChars="0"/>
        <w:jc w:val="left"/>
        <w:outlineLvl w:val="1"/>
        <w:rPr>
          <w:rFonts w:hAnsi="宋体"/>
          <w:b/>
          <w:bCs/>
        </w:rPr>
      </w:pPr>
      <w:r>
        <w:rPr>
          <w:rFonts w:hint="eastAsia" w:hAnsi="宋体"/>
          <w:b/>
          <w:bCs/>
          <w:lang w:val="en-US" w:eastAsia="zh-CN"/>
        </w:rPr>
        <w:t xml:space="preserve"> </w:t>
      </w:r>
      <w:r>
        <w:rPr>
          <w:rFonts w:hint="eastAsia" w:hAnsi="宋体"/>
          <w:b/>
          <w:bCs/>
        </w:rPr>
        <w:t>开标</w:t>
      </w:r>
    </w:p>
    <w:p w14:paraId="5A295094">
      <w:pPr>
        <w:pStyle w:val="28"/>
        <w:widowControl/>
        <w:numPr>
          <w:ilvl w:val="0"/>
          <w:numId w:val="0"/>
        </w:numPr>
        <w:spacing w:line="360" w:lineRule="auto"/>
        <w:ind w:leftChars="0"/>
        <w:jc w:val="left"/>
        <w:rPr>
          <w:rFonts w:hAnsi="宋体"/>
          <w:color w:val="auto"/>
        </w:rPr>
      </w:pPr>
      <w:r>
        <w:rPr>
          <w:rFonts w:hint="eastAsia" w:ascii="宋体" w:hAnsi="宋体" w:cs="宋体"/>
          <w:szCs w:val="21"/>
          <w:lang w:val="en-US" w:eastAsia="zh-CN"/>
        </w:rPr>
        <w:t>1.1. 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21A559D8">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1.2. </w:t>
      </w: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269632FF">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1.3. </w:t>
      </w:r>
      <w:r>
        <w:rPr>
          <w:rFonts w:hint="eastAsia" w:ascii="宋体" w:hAnsi="宋体" w:cs="宋体"/>
          <w:szCs w:val="21"/>
        </w:rPr>
        <w:t>开标过程应当由采购人相关工作人员负责记录，由参加开标的各投标人代表和相关工作人员签字确认。</w:t>
      </w:r>
    </w:p>
    <w:p w14:paraId="133E712D">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1.4. </w:t>
      </w: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7BB623E9">
      <w:pPr>
        <w:pStyle w:val="28"/>
        <w:widowControl/>
        <w:numPr>
          <w:ilvl w:val="0"/>
          <w:numId w:val="0"/>
        </w:numPr>
        <w:spacing w:line="360" w:lineRule="auto"/>
        <w:ind w:leftChars="0"/>
        <w:jc w:val="left"/>
        <w:outlineLvl w:val="9"/>
        <w:rPr>
          <w:rFonts w:hint="eastAsia" w:ascii="宋体" w:hAnsi="宋体" w:cs="宋体"/>
          <w:szCs w:val="21"/>
        </w:rPr>
      </w:pPr>
      <w:r>
        <w:rPr>
          <w:rFonts w:hint="eastAsia" w:ascii="宋体" w:hAnsi="宋体" w:cs="宋体"/>
          <w:szCs w:val="21"/>
          <w:lang w:val="en-US" w:eastAsia="zh-CN"/>
        </w:rPr>
        <w:t xml:space="preserve">1.5. </w:t>
      </w:r>
      <w:r>
        <w:rPr>
          <w:rFonts w:hint="eastAsia" w:ascii="宋体" w:hAnsi="宋体" w:cs="宋体"/>
          <w:szCs w:val="21"/>
        </w:rPr>
        <w:t>投标人未参加开标的，视同认可开标结果。</w:t>
      </w:r>
    </w:p>
    <w:p w14:paraId="15660E1E">
      <w:pPr>
        <w:pStyle w:val="28"/>
        <w:widowControl/>
        <w:numPr>
          <w:ilvl w:val="0"/>
          <w:numId w:val="0"/>
        </w:numPr>
        <w:spacing w:line="360" w:lineRule="auto"/>
        <w:ind w:leftChars="0"/>
        <w:jc w:val="left"/>
        <w:outlineLvl w:val="1"/>
        <w:rPr>
          <w:rFonts w:hint="eastAsia" w:ascii="宋体" w:hAnsi="宋体" w:cs="宋体"/>
          <w:szCs w:val="21"/>
        </w:rPr>
      </w:pPr>
      <w:r>
        <w:rPr>
          <w:rFonts w:hint="eastAsia" w:hAnsi="宋体"/>
          <w:b/>
          <w:lang w:val="en-US" w:eastAsia="zh-CN"/>
        </w:rPr>
        <w:t>2.  评标委员会的组成</w:t>
      </w:r>
    </w:p>
    <w:p w14:paraId="2E6567D7">
      <w:pPr>
        <w:pStyle w:val="28"/>
        <w:widowControl/>
        <w:numPr>
          <w:ilvl w:val="0"/>
          <w:numId w:val="0"/>
        </w:numPr>
        <w:spacing w:line="360" w:lineRule="auto"/>
        <w:ind w:leftChars="0"/>
        <w:jc w:val="left"/>
        <w:outlineLvl w:val="9"/>
        <w:rPr>
          <w:rFonts w:ascii="宋体" w:hAnsi="宋体" w:cs="宋体"/>
          <w:szCs w:val="21"/>
        </w:rPr>
      </w:pPr>
      <w:r>
        <w:rPr>
          <w:rFonts w:hint="eastAsia" w:ascii="宋体" w:hAnsi="宋体" w:cs="宋体"/>
          <w:szCs w:val="21"/>
          <w:lang w:val="en-US" w:eastAsia="zh-CN"/>
        </w:rPr>
        <w:t xml:space="preserve">2.1. </w:t>
      </w:r>
      <w:r>
        <w:rPr>
          <w:rFonts w:hint="eastAsia" w:ascii="宋体" w:hAnsi="宋体" w:cs="宋体"/>
          <w:szCs w:val="21"/>
        </w:rPr>
        <w:t>评标委员会依法组建，由5人单数组成。</w:t>
      </w:r>
    </w:p>
    <w:p w14:paraId="0B02EDB8">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2.2. </w:t>
      </w: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BCE9C5D">
      <w:pPr>
        <w:pStyle w:val="25"/>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参加采购活动前3年内与供应商存在劳动关系；</w:t>
      </w:r>
    </w:p>
    <w:p w14:paraId="43CE5719">
      <w:pPr>
        <w:pStyle w:val="25"/>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 </w:t>
      </w:r>
      <w:r>
        <w:rPr>
          <w:rFonts w:hint="eastAsia" w:ascii="宋体" w:hAnsi="宋体" w:cs="宋体"/>
          <w:szCs w:val="21"/>
        </w:rPr>
        <w:t>参加采购活动前3年内担任供应商的董事、监事；</w:t>
      </w:r>
    </w:p>
    <w:p w14:paraId="7F277739">
      <w:pPr>
        <w:pStyle w:val="25"/>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（3） </w:t>
      </w:r>
      <w:r>
        <w:rPr>
          <w:rFonts w:hint="eastAsia" w:ascii="宋体" w:hAnsi="宋体" w:cs="宋体"/>
          <w:szCs w:val="21"/>
        </w:rPr>
        <w:t>参加采购活动前3年内是供应商的控股股东或者实际控制人；</w:t>
      </w:r>
    </w:p>
    <w:p w14:paraId="694E0B11">
      <w:pPr>
        <w:pStyle w:val="25"/>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（4） </w:t>
      </w:r>
      <w:r>
        <w:rPr>
          <w:rFonts w:hint="eastAsia" w:ascii="宋体" w:hAnsi="宋体" w:cs="宋体"/>
          <w:szCs w:val="21"/>
        </w:rPr>
        <w:t>与供应商的法定代表人或者负责人有夫妻、直系血亲、三代以内旁系血亲或者近姻亲关系；</w:t>
      </w:r>
    </w:p>
    <w:p w14:paraId="195BD121">
      <w:pPr>
        <w:pStyle w:val="25"/>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（5） </w:t>
      </w:r>
      <w:r>
        <w:rPr>
          <w:rFonts w:hint="eastAsia" w:ascii="宋体" w:hAnsi="宋体" w:cs="宋体"/>
          <w:szCs w:val="21"/>
        </w:rPr>
        <w:t>与供应商有其他可能影响采购活动公平、公正进行的关系。</w:t>
      </w:r>
    </w:p>
    <w:p w14:paraId="104D8C17">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2.3. </w:t>
      </w:r>
      <w:r>
        <w:rPr>
          <w:rFonts w:hint="eastAsia" w:ascii="宋体" w:hAnsi="宋体" w:cs="宋体"/>
          <w:szCs w:val="21"/>
        </w:rPr>
        <w:t>评标委员会和有关工作人员不得透露对投标文件的评审和比较以及与评标有关的其他情况。</w:t>
      </w:r>
    </w:p>
    <w:p w14:paraId="2AD29599">
      <w:pPr>
        <w:pStyle w:val="28"/>
        <w:widowControl/>
        <w:numPr>
          <w:ilvl w:val="0"/>
          <w:numId w:val="0"/>
        </w:numPr>
        <w:spacing w:line="360" w:lineRule="auto"/>
        <w:ind w:leftChars="0"/>
        <w:jc w:val="left"/>
        <w:outlineLvl w:val="9"/>
        <w:rPr>
          <w:rFonts w:ascii="宋体" w:hAnsi="宋体" w:cs="宋体"/>
          <w:szCs w:val="21"/>
        </w:rPr>
      </w:pPr>
      <w:r>
        <w:rPr>
          <w:rFonts w:hint="eastAsia" w:ascii="宋体" w:hAnsi="宋体" w:cs="宋体"/>
          <w:szCs w:val="21"/>
          <w:lang w:val="en-US" w:eastAsia="zh-CN"/>
        </w:rPr>
        <w:t xml:space="preserve">2.4. </w:t>
      </w:r>
      <w:r>
        <w:rPr>
          <w:rFonts w:hint="eastAsia" w:ascii="宋体" w:hAnsi="宋体" w:cs="宋体"/>
          <w:szCs w:val="21"/>
        </w:rPr>
        <w:t>评标委员会负责具体评标事务，并独立履行下列职责：</w:t>
      </w:r>
    </w:p>
    <w:p w14:paraId="58C7F7CE">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审查、评价投标文件是否符合招标文件的商务、技术等实质性要求；</w:t>
      </w:r>
    </w:p>
    <w:p w14:paraId="6AE4880F">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 </w:t>
      </w:r>
      <w:r>
        <w:rPr>
          <w:rFonts w:hint="eastAsia" w:ascii="宋体" w:hAnsi="宋体" w:cs="宋体"/>
          <w:szCs w:val="21"/>
        </w:rPr>
        <w:t>要求投标人对投标文件有关事项作出澄清或者说明；</w:t>
      </w:r>
    </w:p>
    <w:p w14:paraId="5E0BEDBE">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（3） </w:t>
      </w:r>
      <w:r>
        <w:rPr>
          <w:rFonts w:hint="eastAsia" w:ascii="宋体" w:hAnsi="宋体" w:cs="宋体"/>
          <w:szCs w:val="21"/>
        </w:rPr>
        <w:t>对投标文件进行比较和评价；</w:t>
      </w:r>
    </w:p>
    <w:p w14:paraId="7FFDA05D">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（4） </w:t>
      </w:r>
      <w:r>
        <w:rPr>
          <w:rFonts w:hint="eastAsia" w:ascii="宋体" w:hAnsi="宋体" w:cs="宋体"/>
          <w:szCs w:val="21"/>
        </w:rPr>
        <w:t>确定中标候选人名单；</w:t>
      </w:r>
    </w:p>
    <w:p w14:paraId="21A64378">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2.5. </w:t>
      </w: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136A814D">
      <w:pPr>
        <w:pStyle w:val="28"/>
        <w:widowControl/>
        <w:numPr>
          <w:ilvl w:val="0"/>
          <w:numId w:val="0"/>
        </w:numPr>
        <w:spacing w:line="360" w:lineRule="auto"/>
        <w:ind w:leftChars="0"/>
        <w:jc w:val="left"/>
        <w:rPr>
          <w:rFonts w:ascii="宋体" w:hAnsi="宋体" w:cs="宋体"/>
          <w:szCs w:val="21"/>
          <w:lang w:eastAsia="zh-TW"/>
        </w:rPr>
      </w:pPr>
      <w:r>
        <w:rPr>
          <w:rFonts w:hint="eastAsia" w:ascii="宋体" w:hAnsi="宋体" w:cs="宋体"/>
          <w:szCs w:val="21"/>
          <w:lang w:val="en-US" w:eastAsia="zh-CN"/>
        </w:rPr>
        <w:t xml:space="preserve">2.6. </w:t>
      </w: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0B149526">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2.7. </w:t>
      </w:r>
      <w:r>
        <w:rPr>
          <w:rFonts w:hint="eastAsia" w:ascii="宋体" w:hAnsi="宋体" w:cs="宋体"/>
          <w:szCs w:val="21"/>
          <w:lang w:eastAsia="zh-TW"/>
        </w:rPr>
        <w:t>评标</w:t>
      </w:r>
      <w:r>
        <w:t>委员会决定投标的响应性只根据投标文件中提供的材料内容，而不依据外部的材料证据</w:t>
      </w:r>
      <w:r>
        <w:rPr>
          <w:rFonts w:hint="eastAsia" w:ascii="宋体" w:hAnsi="宋体" w:cs="宋体"/>
          <w:szCs w:val="21"/>
        </w:rPr>
        <w:t>。</w:t>
      </w:r>
    </w:p>
    <w:p w14:paraId="7466D833">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2.8. </w:t>
      </w: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354F3237">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2.9. </w:t>
      </w: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2D7705E9">
      <w:pPr>
        <w:pStyle w:val="28"/>
        <w:widowControl/>
        <w:numPr>
          <w:ilvl w:val="0"/>
          <w:numId w:val="0"/>
        </w:numPr>
        <w:spacing w:line="360" w:lineRule="auto"/>
        <w:ind w:leftChars="0"/>
        <w:jc w:val="left"/>
        <w:outlineLvl w:val="1"/>
        <w:rPr>
          <w:rFonts w:hAnsi="宋体"/>
          <w:b/>
        </w:rPr>
      </w:pPr>
      <w:r>
        <w:rPr>
          <w:rFonts w:hint="eastAsia" w:hAnsi="宋体"/>
          <w:b/>
          <w:lang w:val="en-US" w:eastAsia="zh-CN"/>
        </w:rPr>
        <w:t>3.  投标文件初审</w:t>
      </w:r>
    </w:p>
    <w:p w14:paraId="4FF5934B">
      <w:pPr>
        <w:pStyle w:val="28"/>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3.1. </w:t>
      </w:r>
      <w:r>
        <w:rPr>
          <w:rFonts w:hint="eastAsia" w:ascii="宋体" w:hAnsi="宋体" w:cs="宋体"/>
          <w:szCs w:val="21"/>
        </w:rPr>
        <w:t>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14:paraId="5F6A3FC9">
      <w:pPr>
        <w:pStyle w:val="28"/>
        <w:widowControl/>
        <w:numPr>
          <w:ilvl w:val="0"/>
          <w:numId w:val="0"/>
        </w:numPr>
        <w:spacing w:line="360" w:lineRule="auto"/>
        <w:ind w:leftChars="0"/>
        <w:jc w:val="left"/>
        <w:rPr>
          <w:rFonts w:hint="eastAsia" w:ascii="宋体" w:hAnsi="宋体" w:cs="宋体"/>
          <w:szCs w:val="21"/>
        </w:rPr>
      </w:pPr>
      <w:r>
        <w:rPr>
          <w:rFonts w:hint="eastAsia" w:ascii="宋体" w:hAnsi="宋体" w:cs="宋体"/>
          <w:szCs w:val="21"/>
          <w:lang w:val="en-US" w:eastAsia="zh-CN"/>
        </w:rPr>
        <w:t xml:space="preserve">3.2. </w:t>
      </w:r>
      <w:r>
        <w:rPr>
          <w:rFonts w:hint="eastAsia" w:ascii="宋体" w:hAnsi="宋体" w:cs="宋体"/>
          <w:szCs w:val="21"/>
        </w:rPr>
        <w:t>投标文件初审中关于供应商家数的计算:</w:t>
      </w:r>
    </w:p>
    <w:p w14:paraId="1A11FC07">
      <w:pPr>
        <w:pStyle w:val="28"/>
        <w:widowControl/>
        <w:numPr>
          <w:ilvl w:val="0"/>
          <w:numId w:val="0"/>
        </w:numPr>
        <w:spacing w:line="360" w:lineRule="auto"/>
        <w:ind w:leftChars="0"/>
        <w:jc w:val="left"/>
        <w:rPr>
          <w:rFonts w:hint="eastAsia"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采用最低价法的采购项目，提供相同品牌产品的不同投标人参加同一合同项下投标的，以其中通过资格审查、符合性审查且报价最低的参加评标；报价相同的，由采购人或者采购人委托</w:t>
      </w:r>
      <w:r>
        <w:rPr>
          <w:rFonts w:hint="eastAsia" w:ascii="宋体" w:hAnsi="宋体" w:cs="宋体"/>
          <w:szCs w:val="21"/>
          <w:lang w:eastAsia="zh-CN"/>
        </w:rPr>
        <w:t>评标委员会</w:t>
      </w:r>
      <w:r>
        <w:rPr>
          <w:rFonts w:hint="eastAsia" w:ascii="宋体" w:hAnsi="宋体" w:cs="宋体"/>
          <w:szCs w:val="21"/>
        </w:rPr>
        <w:t>按照招标文件规定的方式确定一个参加评审的投标人，招标文件未规定的采取随机抽取方式确定，其他投标无效。</w:t>
      </w:r>
    </w:p>
    <w:p w14:paraId="1A11F764">
      <w:pPr>
        <w:pStyle w:val="28"/>
        <w:widowControl/>
        <w:numPr>
          <w:ilvl w:val="0"/>
          <w:numId w:val="0"/>
        </w:numPr>
        <w:spacing w:line="360" w:lineRule="auto"/>
        <w:ind w:leftChars="0"/>
        <w:jc w:val="left"/>
        <w:rPr>
          <w:rFonts w:hint="eastAsia" w:ascii="宋体" w:hAnsi="宋体" w:cs="宋体"/>
          <w:szCs w:val="21"/>
        </w:rPr>
      </w:pPr>
      <w:r>
        <w:rPr>
          <w:rFonts w:hint="eastAsia" w:ascii="宋体" w:hAnsi="宋体" w:cs="宋体"/>
          <w:szCs w:val="21"/>
          <w:lang w:val="en-US" w:eastAsia="zh-CN"/>
        </w:rPr>
        <w:t xml:space="preserve">（2） </w:t>
      </w:r>
      <w:r>
        <w:rPr>
          <w:rFonts w:hint="eastAsia" w:ascii="宋体" w:hAnsi="宋体" w:cs="宋体"/>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cs="宋体"/>
          <w:szCs w:val="21"/>
          <w:lang w:eastAsia="zh-CN"/>
        </w:rPr>
        <w:t>评标委员会</w:t>
      </w:r>
      <w:r>
        <w:rPr>
          <w:rFonts w:hint="eastAsia" w:ascii="宋体" w:hAnsi="宋体" w:cs="宋体"/>
          <w:szCs w:val="21"/>
        </w:rPr>
        <w:t>按照招标文件规定的方式确定一个投标人获得中标人推荐资格，招标文件未规定的采取随机抽取方式确定，其他同品牌投标人不作为中标候选人。</w:t>
      </w:r>
    </w:p>
    <w:p w14:paraId="67110D92">
      <w:pPr>
        <w:snapToGrid w:val="0"/>
        <w:spacing w:line="360" w:lineRule="auto"/>
        <w:rPr>
          <w:rFonts w:ascii="宋体" w:hAnsi="宋体" w:cs="宋体"/>
          <w:szCs w:val="21"/>
        </w:rPr>
      </w:pPr>
      <w:r>
        <w:rPr>
          <w:rFonts w:hint="eastAsia" w:ascii="宋体" w:hAnsi="宋体" w:cs="宋体"/>
          <w:szCs w:val="21"/>
          <w:lang w:val="en-US" w:eastAsia="zh-CN"/>
        </w:rPr>
        <w:t xml:space="preserve">（3） </w:t>
      </w:r>
      <w:r>
        <w:rPr>
          <w:rFonts w:hint="eastAsia" w:ascii="宋体" w:hAnsi="宋体" w:cs="宋体" w:eastAsiaTheme="minorEastAsia"/>
          <w:kern w:val="2"/>
          <w:sz w:val="21"/>
          <w:szCs w:val="21"/>
          <w:lang w:val="en-US" w:eastAsia="zh-CN" w:bidi="ar-SA"/>
        </w:rPr>
        <w:t>非单一产品采购项目，采购人应当根据采购项目技术构成、产品价格比重等合理确定核心产品，并在招标文件中载明。多家投标人提供的核心产品品牌相同的，按前两款规定处理。</w:t>
      </w:r>
    </w:p>
    <w:p w14:paraId="43B1EC83">
      <w:pPr>
        <w:pStyle w:val="28"/>
        <w:widowControl/>
        <w:numPr>
          <w:ilvl w:val="0"/>
          <w:numId w:val="0"/>
        </w:numPr>
        <w:spacing w:line="360" w:lineRule="auto"/>
        <w:ind w:leftChars="0"/>
        <w:jc w:val="left"/>
        <w:outlineLvl w:val="1"/>
        <w:rPr>
          <w:rFonts w:hint="eastAsia" w:hAnsi="宋体"/>
          <w:b/>
          <w:lang w:val="en-US" w:eastAsia="zh-CN"/>
        </w:rPr>
      </w:pPr>
      <w:r>
        <w:rPr>
          <w:rFonts w:hint="eastAsia" w:hAnsi="宋体"/>
          <w:b/>
          <w:lang w:val="en-US" w:eastAsia="zh-CN"/>
        </w:rPr>
        <w:t xml:space="preserve">4.  </w:t>
      </w:r>
      <w:r>
        <w:rPr>
          <w:rFonts w:hint="eastAsia" w:hAnsi="宋体"/>
          <w:b/>
        </w:rPr>
        <w:t>评标</w:t>
      </w:r>
      <w:r>
        <w:rPr>
          <w:rFonts w:hint="eastAsia" w:hAnsi="宋体"/>
          <w:b/>
          <w:lang w:val="en-US" w:eastAsia="zh-CN"/>
        </w:rPr>
        <w:t>方法</w:t>
      </w:r>
    </w:p>
    <w:p w14:paraId="4EFCC9BF">
      <w:pPr>
        <w:pStyle w:val="28"/>
        <w:widowControl/>
        <w:numPr>
          <w:ilvl w:val="0"/>
          <w:numId w:val="0"/>
        </w:numPr>
        <w:spacing w:line="360" w:lineRule="auto"/>
        <w:ind w:leftChars="0"/>
        <w:jc w:val="left"/>
        <w:outlineLvl w:val="1"/>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4.1. 评标方法分为最低价法、综合评分法及法律、法规允许的其它评标办法。</w:t>
      </w:r>
    </w:p>
    <w:p w14:paraId="41233814">
      <w:pPr>
        <w:pStyle w:val="25"/>
        <w:widowControl/>
        <w:numPr>
          <w:ilvl w:val="0"/>
          <w:numId w:val="0"/>
        </w:numPr>
        <w:spacing w:line="360" w:lineRule="auto"/>
        <w:ind w:leftChars="0"/>
        <w:jc w:val="left"/>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4.1.1 </w:t>
      </w:r>
      <w:r>
        <w:rPr>
          <w:rFonts w:hint="eastAsia" w:ascii="宋体" w:hAnsi="宋体" w:cs="宋体" w:eastAsiaTheme="minorEastAsia"/>
          <w:kern w:val="2"/>
          <w:sz w:val="21"/>
          <w:szCs w:val="21"/>
          <w:lang w:val="en-US" w:eastAsia="zh-CN" w:bidi="ar-SA"/>
        </w:rPr>
        <w:t>最低价法，是指完全满足招标文件实质性要求，按照报价由低到高的顺序，依据招标文件中规定的数量或者比例推荐候选中标供应商。</w:t>
      </w:r>
    </w:p>
    <w:p w14:paraId="5D19274F">
      <w:pPr>
        <w:pStyle w:val="25"/>
        <w:widowControl/>
        <w:numPr>
          <w:ilvl w:val="0"/>
          <w:numId w:val="0"/>
        </w:numPr>
        <w:spacing w:line="360" w:lineRule="auto"/>
        <w:ind w:leftChars="0"/>
        <w:jc w:val="left"/>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4.1.2. </w:t>
      </w:r>
      <w:r>
        <w:rPr>
          <w:rFonts w:hint="eastAsia" w:ascii="宋体" w:hAnsi="宋体" w:cs="宋体" w:eastAsiaTheme="minorEastAsia"/>
          <w:kern w:val="2"/>
          <w:sz w:val="21"/>
          <w:szCs w:val="21"/>
          <w:lang w:val="en-US" w:eastAsia="zh-CN" w:bidi="ar-SA"/>
        </w:rPr>
        <w:t>综合评分法，是指在满足招标文件全部实质性要求的前提下，按照招标文件中规定的各项因素进行综合评审，评审总得分排名前列的投标人，作为推荐的候选中标供应商。</w:t>
      </w:r>
    </w:p>
    <w:p w14:paraId="582C407C">
      <w:pPr>
        <w:numPr>
          <w:ilvl w:val="0"/>
          <w:numId w:val="0"/>
        </w:numPr>
        <w:snapToGrid w:val="0"/>
        <w:spacing w:line="360" w:lineRule="auto"/>
        <w:ind w:leftChars="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4.2. </w:t>
      </w:r>
      <w:r>
        <w:rPr>
          <w:rFonts w:hint="eastAsia" w:ascii="宋体" w:hAnsi="宋体" w:cs="宋体" w:eastAsiaTheme="minorEastAsia"/>
          <w:kern w:val="2"/>
          <w:sz w:val="21"/>
          <w:szCs w:val="21"/>
          <w:lang w:val="en-US" w:eastAsia="zh-CN" w:bidi="ar-SA"/>
        </w:rPr>
        <w:t>重新评审的情形</w:t>
      </w:r>
      <w:r>
        <w:rPr>
          <w:rFonts w:hint="eastAsia" w:ascii="宋体" w:hAnsi="宋体" w:cs="宋体"/>
          <w:kern w:val="2"/>
          <w:sz w:val="21"/>
          <w:szCs w:val="21"/>
          <w:lang w:val="en-US" w:eastAsia="zh-CN" w:bidi="ar-SA"/>
        </w:rPr>
        <w:t>：</w:t>
      </w:r>
    </w:p>
    <w:p w14:paraId="4C8518AD">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（1） </w:t>
      </w:r>
      <w:r>
        <w:rPr>
          <w:rFonts w:hint="eastAsia" w:ascii="宋体" w:hAnsi="宋体" w:cs="宋体" w:eastAsiaTheme="minorEastAsia"/>
          <w:kern w:val="2"/>
          <w:sz w:val="21"/>
          <w:szCs w:val="21"/>
          <w:lang w:val="en-US" w:eastAsia="zh-CN" w:bidi="ar-SA"/>
        </w:rPr>
        <w:t>分值汇总计算错误的；</w:t>
      </w:r>
    </w:p>
    <w:p w14:paraId="29107180">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（2） </w:t>
      </w:r>
      <w:r>
        <w:rPr>
          <w:rFonts w:hint="eastAsia" w:ascii="宋体" w:hAnsi="宋体" w:cs="宋体" w:eastAsiaTheme="minorEastAsia"/>
          <w:kern w:val="2"/>
          <w:sz w:val="21"/>
          <w:szCs w:val="21"/>
          <w:lang w:val="en-US" w:eastAsia="zh-CN" w:bidi="ar-SA"/>
        </w:rPr>
        <w:t>分项评分超出评分标准范围的；</w:t>
      </w:r>
    </w:p>
    <w:p w14:paraId="76DF0E5E">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（3） 评标委员会</w:t>
      </w:r>
      <w:r>
        <w:rPr>
          <w:rFonts w:hint="eastAsia" w:ascii="宋体" w:hAnsi="宋体" w:cs="宋体" w:eastAsiaTheme="minorEastAsia"/>
          <w:kern w:val="2"/>
          <w:sz w:val="21"/>
          <w:szCs w:val="21"/>
          <w:lang w:val="en-US" w:eastAsia="zh-CN" w:bidi="ar-SA"/>
        </w:rPr>
        <w:t>成员对客观评审因素评分不一致的；</w:t>
      </w:r>
    </w:p>
    <w:p w14:paraId="6637284D">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 </w:t>
      </w:r>
      <w:r>
        <w:rPr>
          <w:rFonts w:hint="eastAsia" w:ascii="宋体" w:hAnsi="宋体" w:cs="宋体" w:eastAsiaTheme="minorEastAsia"/>
          <w:kern w:val="2"/>
          <w:sz w:val="21"/>
          <w:szCs w:val="21"/>
          <w:lang w:val="en-US" w:eastAsia="zh-CN" w:bidi="ar-SA"/>
        </w:rPr>
        <w:t>经</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认定评分畸高、畸低的。</w:t>
      </w:r>
    </w:p>
    <w:p w14:paraId="6D12116C">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4.3. 评标报告</w:t>
      </w:r>
      <w:r>
        <w:rPr>
          <w:rFonts w:hint="eastAsia" w:ascii="宋体" w:hAnsi="宋体" w:cs="宋体" w:eastAsiaTheme="minorEastAsia"/>
          <w:kern w:val="2"/>
          <w:sz w:val="21"/>
          <w:szCs w:val="21"/>
          <w:lang w:val="en-US" w:eastAsia="zh-CN" w:bidi="ar-SA"/>
        </w:rPr>
        <w:t>签署前，经复核发现存在以上情形之一的，</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应当当场修改评审结果，并进行书面记载；</w:t>
      </w:r>
      <w:r>
        <w:rPr>
          <w:rFonts w:hint="eastAsia" w:ascii="宋体" w:hAnsi="宋体" w:cs="宋体"/>
          <w:kern w:val="2"/>
          <w:sz w:val="21"/>
          <w:szCs w:val="21"/>
          <w:lang w:val="en-US" w:eastAsia="zh-CN" w:bidi="ar-SA"/>
        </w:rPr>
        <w:t>评标报告</w:t>
      </w:r>
      <w:r>
        <w:rPr>
          <w:rFonts w:hint="eastAsia" w:ascii="宋体" w:hAnsi="宋体" w:cs="宋体" w:eastAsiaTheme="minorEastAsia"/>
          <w:kern w:val="2"/>
          <w:sz w:val="21"/>
          <w:szCs w:val="21"/>
          <w:lang w:val="en-US" w:eastAsia="zh-CN" w:bidi="ar-SA"/>
        </w:rPr>
        <w:t>签署后，采购人发现存在以上情形之一的，应当组织原</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进行重新评审，重新评审改变评审结果的，书面报告采购人的采购主管部门。</w:t>
      </w:r>
    </w:p>
    <w:p w14:paraId="0A27FC8C">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4.4. </w:t>
      </w:r>
      <w:r>
        <w:rPr>
          <w:rFonts w:hint="eastAsia" w:ascii="宋体" w:hAnsi="宋体" w:cs="宋体" w:eastAsiaTheme="minorEastAsia"/>
          <w:kern w:val="2"/>
          <w:sz w:val="21"/>
          <w:szCs w:val="21"/>
          <w:lang w:val="en-US" w:eastAsia="zh-CN" w:bidi="ar-SA"/>
        </w:rPr>
        <w:t>投标人对本条第一款情形提出质疑的，采购人可以组织原</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进行重新评审，重新评审改变评审结果的，应当书面报告采购人的采购主管部门。</w:t>
      </w:r>
    </w:p>
    <w:p w14:paraId="70185EF8">
      <w:pPr>
        <w:pStyle w:val="25"/>
        <w:widowControl/>
        <w:numPr>
          <w:ilvl w:val="0"/>
          <w:numId w:val="0"/>
        </w:numPr>
        <w:spacing w:line="360" w:lineRule="auto"/>
        <w:ind w:leftChars="0"/>
        <w:jc w:val="left"/>
        <w:outlineLvl w:val="1"/>
        <w:rPr>
          <w:rFonts w:ascii="宋体" w:hAnsi="宋体"/>
          <w:b/>
          <w:szCs w:val="21"/>
        </w:rPr>
      </w:pPr>
      <w:r>
        <w:rPr>
          <w:rFonts w:hint="eastAsia" w:ascii="宋体" w:hAnsi="宋体"/>
          <w:b/>
          <w:szCs w:val="21"/>
          <w:lang w:val="en-US" w:eastAsia="zh-CN"/>
        </w:rPr>
        <w:t xml:space="preserve">5.  </w:t>
      </w:r>
      <w:r>
        <w:rPr>
          <w:rFonts w:hint="eastAsia" w:ascii="宋体" w:hAnsi="宋体"/>
          <w:b/>
          <w:szCs w:val="21"/>
        </w:rPr>
        <w:t>定标</w:t>
      </w:r>
    </w:p>
    <w:p w14:paraId="6BD4B064">
      <w:pPr>
        <w:pStyle w:val="25"/>
        <w:widowControl/>
        <w:numPr>
          <w:ilvl w:val="0"/>
          <w:numId w:val="0"/>
        </w:numPr>
        <w:spacing w:line="360" w:lineRule="auto"/>
        <w:ind w:leftChars="0"/>
        <w:jc w:val="left"/>
        <w:rPr>
          <w:rFonts w:hint="eastAsia" w:ascii="宋体" w:hAnsi="宋体" w:eastAsiaTheme="minorEastAsia"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5.1. 评标</w:t>
      </w:r>
      <w:r>
        <w:rPr>
          <w:rFonts w:hint="eastAsia" w:ascii="宋体" w:hAnsi="宋体" w:eastAsiaTheme="minorEastAsia" w:cstheme="minorBidi"/>
          <w:color w:val="auto"/>
          <w:kern w:val="2"/>
          <w:sz w:val="21"/>
          <w:szCs w:val="21"/>
          <w:lang w:val="en-US" w:eastAsia="zh-CN" w:bidi="ar-SA"/>
        </w:rPr>
        <w:t>委员会按招标文件中规定的评标方法和标准，对资格性检查和符合性检查合格且报价不超过预算控制金额的投标文件进行商务和技术评审，综合比较与评价。</w:t>
      </w:r>
    </w:p>
    <w:p w14:paraId="52D57BCD">
      <w:pPr>
        <w:pStyle w:val="25"/>
        <w:widowControl/>
        <w:numPr>
          <w:ilvl w:val="0"/>
          <w:numId w:val="0"/>
        </w:numPr>
        <w:spacing w:line="360" w:lineRule="auto"/>
        <w:ind w:leftChars="0"/>
        <w:jc w:val="left"/>
        <w:rPr>
          <w:rFonts w:hint="eastAsia" w:ascii="宋体" w:hAnsi="宋体" w:eastAsiaTheme="minorEastAsia"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 xml:space="preserve">5.2. </w:t>
      </w:r>
      <w:r>
        <w:rPr>
          <w:rFonts w:hint="eastAsia" w:ascii="宋体" w:hAnsi="宋体" w:eastAsiaTheme="minorEastAsia" w:cstheme="minorBidi"/>
          <w:color w:val="auto"/>
          <w:kern w:val="2"/>
          <w:sz w:val="21"/>
          <w:szCs w:val="21"/>
          <w:lang w:val="en-US" w:eastAsia="zh-CN" w:bidi="ar-SA"/>
        </w:rPr>
        <w:t>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委员会成员对需要共同认定的事项存在争议的，应当按照少数服从多数的原则作出结论。持不同意见的评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委员会成员应当书面作出说明，否则视为无异议。</w:t>
      </w:r>
    </w:p>
    <w:p w14:paraId="699B21F8">
      <w:pPr>
        <w:pStyle w:val="25"/>
        <w:widowControl/>
        <w:numPr>
          <w:ilvl w:val="0"/>
          <w:numId w:val="0"/>
        </w:numPr>
        <w:spacing w:line="360" w:lineRule="auto"/>
        <w:ind w:leftChars="0"/>
        <w:jc w:val="left"/>
        <w:rPr>
          <w:rFonts w:hint="eastAsia" w:ascii="宋体" w:hAnsi="宋体" w:eastAsiaTheme="minorEastAsia"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 xml:space="preserve">5.3. </w:t>
      </w:r>
      <w:r>
        <w:rPr>
          <w:rFonts w:hint="eastAsia" w:ascii="宋体" w:hAnsi="宋体" w:eastAsiaTheme="minorEastAsia" w:cstheme="minorBidi"/>
          <w:color w:val="auto"/>
          <w:kern w:val="2"/>
          <w:sz w:val="21"/>
          <w:szCs w:val="21"/>
          <w:lang w:val="en-US" w:eastAsia="zh-CN" w:bidi="ar-SA"/>
        </w:rPr>
        <w:t>在评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过程中，评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委员会有权决定是否对本项目投标人进行实地考察或资料查验（原件）。投标人应随时做好接受实地考察或资料查验的准备。</w:t>
      </w:r>
    </w:p>
    <w:p w14:paraId="792D8501">
      <w:pPr>
        <w:pStyle w:val="25"/>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5.4. </w:t>
      </w: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5056C576">
      <w:pPr>
        <w:pStyle w:val="25"/>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5.5. </w:t>
      </w:r>
      <w:r>
        <w:rPr>
          <w:rFonts w:hint="eastAsia" w:ascii="宋体" w:hAnsi="宋体"/>
          <w:szCs w:val="21"/>
        </w:rPr>
        <w:t>中标人拒绝与采购人签订合同的，可以重新开展政府采购活动。</w:t>
      </w:r>
    </w:p>
    <w:p w14:paraId="09C6C2D6">
      <w:pPr>
        <w:pStyle w:val="28"/>
        <w:widowControl/>
        <w:numPr>
          <w:ilvl w:val="0"/>
          <w:numId w:val="0"/>
        </w:numPr>
        <w:spacing w:line="360" w:lineRule="auto"/>
        <w:ind w:leftChars="0"/>
        <w:jc w:val="left"/>
        <w:outlineLvl w:val="1"/>
        <w:rPr>
          <w:rFonts w:ascii="宋体" w:hAnsi="宋体"/>
          <w:b/>
          <w:szCs w:val="21"/>
        </w:rPr>
      </w:pPr>
      <w:r>
        <w:rPr>
          <w:rFonts w:hint="eastAsia" w:ascii="宋体" w:hAnsi="宋体"/>
          <w:b/>
          <w:szCs w:val="21"/>
          <w:lang w:val="en-US" w:eastAsia="zh-CN"/>
        </w:rPr>
        <w:t xml:space="preserve">6.  </w:t>
      </w:r>
      <w:r>
        <w:rPr>
          <w:rFonts w:ascii="宋体" w:hAnsi="宋体"/>
          <w:b/>
          <w:szCs w:val="21"/>
        </w:rPr>
        <w:t>特别说明</w:t>
      </w:r>
    </w:p>
    <w:p w14:paraId="74D21273">
      <w:pPr>
        <w:pStyle w:val="28"/>
        <w:widowControl/>
        <w:numPr>
          <w:ilvl w:val="0"/>
          <w:numId w:val="0"/>
        </w:numPr>
        <w:spacing w:line="360" w:lineRule="auto"/>
        <w:ind w:leftChars="0"/>
        <w:jc w:val="left"/>
        <w:outlineLvl w:val="2"/>
        <w:rPr>
          <w:rFonts w:ascii="宋体" w:hAnsi="宋体"/>
          <w:szCs w:val="21"/>
        </w:rPr>
      </w:pPr>
      <w:r>
        <w:rPr>
          <w:rFonts w:hint="eastAsia" w:ascii="宋体" w:hAnsi="宋体"/>
          <w:szCs w:val="21"/>
          <w:lang w:val="en-US" w:eastAsia="zh-CN"/>
        </w:rPr>
        <w:t xml:space="preserve">6.1. </w:t>
      </w:r>
      <w:r>
        <w:rPr>
          <w:rFonts w:hint="eastAsia" w:ascii="宋体" w:hAnsi="宋体"/>
          <w:szCs w:val="21"/>
        </w:rPr>
        <w:t>有下列情形之一的，视为投标人串通投标，其投标无效：</w:t>
      </w:r>
    </w:p>
    <w:p w14:paraId="7E462EC4">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不同投标人的投标文件由同一单位或者个人编制；</w:t>
      </w:r>
    </w:p>
    <w:p w14:paraId="78BE7952">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不同投标人委托同一单位或者个人办理投标事宜；</w:t>
      </w:r>
    </w:p>
    <w:p w14:paraId="541EA1E8">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不同投标人的投标文件载明的项目管理成员或者联系人员为同一人；</w:t>
      </w:r>
    </w:p>
    <w:p w14:paraId="231FD2F3">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不同投标人的投标文件异常一致或者投标报价呈规律性差异；</w:t>
      </w:r>
    </w:p>
    <w:p w14:paraId="51A024FF">
      <w:pPr>
        <w:pStyle w:val="28"/>
        <w:widowControl/>
        <w:numPr>
          <w:ilvl w:val="0"/>
          <w:numId w:val="0"/>
        </w:numPr>
        <w:spacing w:line="360" w:lineRule="auto"/>
        <w:ind w:leftChars="0"/>
        <w:jc w:val="left"/>
        <w:outlineLvl w:val="9"/>
        <w:rPr>
          <w:rFonts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不同投标人的投标文件相互混装；</w:t>
      </w:r>
    </w:p>
    <w:p w14:paraId="5823CF4D">
      <w:pPr>
        <w:pStyle w:val="28"/>
        <w:widowControl/>
        <w:numPr>
          <w:ilvl w:val="0"/>
          <w:numId w:val="0"/>
        </w:numPr>
        <w:spacing w:line="360" w:lineRule="auto"/>
        <w:ind w:leftChars="0"/>
        <w:jc w:val="left"/>
        <w:outlineLvl w:val="2"/>
        <w:rPr>
          <w:rFonts w:ascii="宋体" w:hAnsi="宋体"/>
          <w:szCs w:val="21"/>
        </w:rPr>
      </w:pPr>
      <w:r>
        <w:rPr>
          <w:rFonts w:hint="eastAsia" w:ascii="宋体" w:hAnsi="宋体"/>
          <w:szCs w:val="21"/>
          <w:lang w:val="en-US" w:eastAsia="zh-CN"/>
        </w:rPr>
        <w:t xml:space="preserve">6.2. </w:t>
      </w:r>
      <w:r>
        <w:rPr>
          <w:rFonts w:hint="eastAsia" w:ascii="宋体" w:hAnsi="宋体"/>
          <w:szCs w:val="21"/>
        </w:rPr>
        <w:t>投标人存在下列情况之一的，投标无效：</w:t>
      </w:r>
    </w:p>
    <w:p w14:paraId="23B61DA4">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投标文件未按招标文件要求签署、盖章的；</w:t>
      </w:r>
    </w:p>
    <w:p w14:paraId="6450B8AF">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不具备招标文件中规定的资格要求的；</w:t>
      </w:r>
    </w:p>
    <w:p w14:paraId="597D92E1">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报价超过招标文件中规定的预算金额或者最高限价的；</w:t>
      </w:r>
    </w:p>
    <w:p w14:paraId="02B07588">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投标文件含有采购人不能接受的附加条件的;</w:t>
      </w:r>
    </w:p>
    <w:p w14:paraId="55F4A46C">
      <w:pPr>
        <w:pStyle w:val="28"/>
        <w:widowControl/>
        <w:numPr>
          <w:ilvl w:val="0"/>
          <w:numId w:val="0"/>
        </w:numPr>
        <w:spacing w:line="360" w:lineRule="auto"/>
        <w:ind w:leftChars="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法律、法规和招标文件规定的其他无效情形。</w:t>
      </w:r>
    </w:p>
    <w:p w14:paraId="12DCD88F">
      <w:pPr>
        <w:pStyle w:val="28"/>
        <w:widowControl/>
        <w:numPr>
          <w:ilvl w:val="0"/>
          <w:numId w:val="0"/>
        </w:numPr>
        <w:spacing w:line="360" w:lineRule="auto"/>
        <w:ind w:leftChars="0"/>
        <w:jc w:val="left"/>
        <w:rPr>
          <w:rFonts w:hint="eastAsia" w:ascii="宋体" w:hAnsi="宋体" w:eastAsiaTheme="minorEastAsia"/>
          <w:szCs w:val="21"/>
          <w:lang w:eastAsia="zh-CN"/>
        </w:rPr>
      </w:pPr>
      <w:r>
        <w:rPr>
          <w:rFonts w:hint="eastAsia" w:ascii="宋体" w:hAnsi="宋体"/>
          <w:szCs w:val="21"/>
          <w:lang w:val="en-US" w:eastAsia="zh-CN"/>
        </w:rPr>
        <w:t xml:space="preserve">6.3. </w:t>
      </w:r>
      <w:r>
        <w:rPr>
          <w:rFonts w:ascii="宋体" w:hAnsi="宋体"/>
          <w:szCs w:val="21"/>
        </w:rPr>
        <w:t>在招标采购中，出现下列情形之一的，应予废标</w:t>
      </w:r>
      <w:r>
        <w:rPr>
          <w:rFonts w:hint="eastAsia" w:ascii="宋体" w:hAnsi="宋体"/>
          <w:szCs w:val="21"/>
          <w:lang w:eastAsia="zh-CN"/>
        </w:rPr>
        <w:t>：</w:t>
      </w:r>
    </w:p>
    <w:p w14:paraId="3AFC5530">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495F6BE3">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出现影响采购公正的违法、违规行为的；</w:t>
      </w:r>
    </w:p>
    <w:p w14:paraId="667992D1">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投标人的报价均超过了采购预算，采购人不能支付的；</w:t>
      </w:r>
    </w:p>
    <w:p w14:paraId="6CE66FC1">
      <w:pPr>
        <w:pStyle w:val="28"/>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因重大变故，采购任务取消的</w:t>
      </w:r>
      <w:r>
        <w:rPr>
          <w:rFonts w:hint="eastAsia" w:ascii="宋体" w:hAnsi="宋体"/>
          <w:szCs w:val="21"/>
        </w:rPr>
        <w:t>。</w:t>
      </w:r>
    </w:p>
    <w:p w14:paraId="18F78CE6">
      <w:pPr>
        <w:pStyle w:val="28"/>
        <w:widowControl/>
        <w:numPr>
          <w:ilvl w:val="0"/>
          <w:numId w:val="0"/>
        </w:numPr>
        <w:spacing w:line="360" w:lineRule="auto"/>
        <w:ind w:leftChars="0"/>
        <w:jc w:val="left"/>
        <w:outlineLvl w:val="1"/>
        <w:rPr>
          <w:rFonts w:hint="default" w:ascii="宋体" w:hAnsi="宋体" w:eastAsiaTheme="minorEastAsia"/>
          <w:b/>
          <w:bCs/>
          <w:szCs w:val="21"/>
          <w:lang w:val="en-US" w:eastAsia="zh-CN"/>
        </w:rPr>
      </w:pPr>
      <w:r>
        <w:rPr>
          <w:rFonts w:hint="eastAsia" w:ascii="宋体" w:hAnsi="宋体"/>
          <w:b/>
          <w:bCs/>
          <w:szCs w:val="21"/>
          <w:lang w:val="en-US" w:eastAsia="zh-CN"/>
        </w:rPr>
        <w:t>7.  其他事宜说明</w:t>
      </w:r>
    </w:p>
    <w:p w14:paraId="63775993">
      <w:pPr>
        <w:pStyle w:val="28"/>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7.1.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881453D">
      <w:pPr>
        <w:pStyle w:val="28"/>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7.1.1. 公开招标失败的处理：</w:t>
      </w:r>
    </w:p>
    <w:p w14:paraId="0941C780">
      <w:pPr>
        <w:pStyle w:val="28"/>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7.1.1.1. 本项目公开招标过程中若由于投标截止后实际递交投标文件的供应商数量不足、经评标委员会评审对招标文件作实质响应的供应商不足等原因造成公开招标失败，可重新组织采购。</w:t>
      </w:r>
    </w:p>
    <w:p w14:paraId="3B8F20F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w:t>
      </w:r>
      <w:r>
        <w:rPr>
          <w:rFonts w:hint="eastAsia" w:ascii="宋体" w:hAnsi="宋体" w:eastAsiaTheme="minorEastAsia" w:cstheme="minorBidi"/>
          <w:kern w:val="2"/>
          <w:sz w:val="21"/>
          <w:szCs w:val="21"/>
          <w:lang w:val="en-US" w:eastAsia="zh-CN" w:bidi="ar-SA"/>
        </w:rPr>
        <w:t>.1.1.2</w:t>
      </w:r>
      <w:r>
        <w:rPr>
          <w:rFonts w:hint="eastAsia" w:ascii="宋体" w:hAnsi="宋体" w:cstheme="minorBidi"/>
          <w:kern w:val="2"/>
          <w:sz w:val="21"/>
          <w:szCs w:val="21"/>
          <w:lang w:val="en-US" w:eastAsia="zh-CN" w:bidi="ar-SA"/>
        </w:rPr>
        <w:t xml:space="preserve">. </w:t>
      </w:r>
      <w:r>
        <w:rPr>
          <w:rFonts w:hint="eastAsia" w:ascii="宋体" w:hAnsi="宋体" w:eastAsiaTheme="minorEastAsia" w:cstheme="minorBidi"/>
          <w:kern w:val="2"/>
          <w:sz w:val="21"/>
          <w:szCs w:val="21"/>
          <w:lang w:val="en-US" w:eastAsia="zh-CN" w:bidi="ar-SA"/>
        </w:rPr>
        <w:t>对公开招标失败的项目，</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在出具该项目招标失败结论的同时，可以提出重新采购组织形式的建议，以及进一步完善招标文件的资格、技术、商务要求的修改建议。</w:t>
      </w:r>
    </w:p>
    <w:p w14:paraId="72B715A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7.1.</w:t>
      </w:r>
      <w:r>
        <w:rPr>
          <w:rFonts w:hint="eastAsia" w:ascii="宋体" w:hAnsi="宋体" w:eastAsiaTheme="minorEastAsia" w:cstheme="minorBidi"/>
          <w:kern w:val="2"/>
          <w:sz w:val="21"/>
          <w:szCs w:val="21"/>
          <w:lang w:val="en-US" w:eastAsia="zh-CN" w:bidi="ar-SA"/>
        </w:rPr>
        <w:t>2</w:t>
      </w:r>
      <w:r>
        <w:rPr>
          <w:rFonts w:hint="eastAsia" w:ascii="宋体" w:hAnsi="宋体" w:cstheme="minorBidi"/>
          <w:kern w:val="2"/>
          <w:sz w:val="21"/>
          <w:szCs w:val="21"/>
          <w:lang w:val="en-US" w:eastAsia="zh-CN" w:bidi="ar-SA"/>
        </w:rPr>
        <w:t xml:space="preserve"> </w:t>
      </w:r>
      <w:r>
        <w:rPr>
          <w:rFonts w:hint="eastAsia" w:ascii="宋体" w:hAnsi="宋体" w:eastAsiaTheme="minorEastAsia" w:cstheme="minorBidi"/>
          <w:kern w:val="2"/>
          <w:sz w:val="21"/>
          <w:szCs w:val="21"/>
          <w:lang w:val="en-US" w:eastAsia="zh-CN" w:bidi="ar-SA"/>
        </w:rPr>
        <w:t>公开招标失败的采购项目重新组织公开招标</w:t>
      </w:r>
      <w:r>
        <w:rPr>
          <w:rFonts w:hint="eastAsia" w:ascii="宋体" w:hAnsi="宋体" w:cstheme="minorBidi"/>
          <w:kern w:val="2"/>
          <w:sz w:val="21"/>
          <w:szCs w:val="21"/>
          <w:lang w:val="en-US" w:eastAsia="zh-CN" w:bidi="ar-SA"/>
        </w:rPr>
        <w:t>的</w:t>
      </w:r>
      <w:r>
        <w:rPr>
          <w:rFonts w:hint="eastAsia" w:ascii="宋体" w:hAnsi="宋体" w:eastAsiaTheme="minorEastAsia" w:cstheme="minorBidi"/>
          <w:kern w:val="2"/>
          <w:sz w:val="21"/>
          <w:szCs w:val="21"/>
          <w:lang w:val="en-US" w:eastAsia="zh-CN" w:bidi="ar-SA"/>
        </w:rPr>
        <w:t>，</w:t>
      </w:r>
      <w:r>
        <w:rPr>
          <w:rFonts w:hint="eastAsia" w:ascii="宋体" w:hAnsi="宋体" w:cstheme="minorBidi"/>
          <w:kern w:val="2"/>
          <w:sz w:val="21"/>
          <w:szCs w:val="21"/>
          <w:lang w:val="en-US" w:eastAsia="zh-CN" w:bidi="ar-SA"/>
        </w:rPr>
        <w:t>需</w:t>
      </w:r>
      <w:r>
        <w:rPr>
          <w:rFonts w:hint="eastAsia" w:ascii="宋体" w:hAnsi="宋体" w:eastAsiaTheme="minorEastAsia" w:cstheme="minorBidi"/>
          <w:kern w:val="2"/>
          <w:sz w:val="21"/>
          <w:szCs w:val="21"/>
          <w:lang w:val="en-US" w:eastAsia="zh-CN" w:bidi="ar-SA"/>
        </w:rPr>
        <w:t>要重新按公开招标流程发布招标公告和招标文件、组成</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等组织采购活动。</w:t>
      </w:r>
    </w:p>
    <w:p w14:paraId="514102F3">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w:t>
      </w:r>
      <w:r>
        <w:rPr>
          <w:rFonts w:hint="eastAsia" w:ascii="宋体" w:hAnsi="宋体" w:eastAsiaTheme="minorEastAsia" w:cstheme="minorBidi"/>
          <w:kern w:val="2"/>
          <w:sz w:val="21"/>
          <w:szCs w:val="21"/>
          <w:lang w:val="en-US" w:eastAsia="zh-CN" w:bidi="ar-SA"/>
        </w:rPr>
        <w:t>.2. 公开招标失败项目转为竞争性谈判方式采购</w:t>
      </w:r>
    </w:p>
    <w:p w14:paraId="643F2D9E">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7.2.1</w:t>
      </w:r>
      <w:r>
        <w:rPr>
          <w:rFonts w:hint="eastAsia" w:ascii="宋体" w:hAnsi="宋体" w:eastAsiaTheme="minorEastAsia" w:cstheme="minorBidi"/>
          <w:kern w:val="2"/>
          <w:sz w:val="21"/>
          <w:szCs w:val="21"/>
          <w:lang w:val="en-US" w:eastAsia="zh-CN" w:bidi="ar-SA"/>
        </w:rPr>
        <w:t>. 公开招标失败项目转为竞争性谈判方式采购后，</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转为谈判小组，谈判小组成员由采购单位代表和有关专家共3人以上（含3人）的单数组成；专家可重新抽取也可继续采用</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内专家。</w:t>
      </w:r>
    </w:p>
    <w:p w14:paraId="331E2EF0">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7.2.2. 谈判前，谈判小组将对各供应商的谈判应答文件进行审查，当谈判应答文件出现下列情况之一的将视为无效，按废标处理，不得进入谈判，具体内容见原招标文件中投标文件初审表的《资格性检查表》部分以及谈判邀请中相应的变动部分。</w:t>
      </w:r>
    </w:p>
    <w:p w14:paraId="6BEF680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7.2.</w:t>
      </w:r>
      <w:r>
        <w:rPr>
          <w:rFonts w:hint="eastAsia" w:ascii="宋体" w:hAnsi="宋体" w:eastAsiaTheme="minorEastAsia" w:cstheme="minorBidi"/>
          <w:kern w:val="2"/>
          <w:sz w:val="21"/>
          <w:szCs w:val="21"/>
          <w:lang w:val="en-US" w:eastAsia="zh-CN" w:bidi="ar-SA"/>
        </w:rPr>
        <w:t>3. 参加谈判的供应商和谈判小组成员填写谈判登记表，并交验证明文件（法定代表人证明书、法人授权委托书、被授权的谈判代表身份证原件）。</w:t>
      </w:r>
    </w:p>
    <w:p w14:paraId="02D5CA3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7.2.4. 在谈判中，谈判小组将就以下谈判内容跟供应商进行谈判：</w:t>
      </w:r>
    </w:p>
    <w:p w14:paraId="1412251F">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（1）项目方案；</w:t>
      </w:r>
    </w:p>
    <w:p w14:paraId="1726E218">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（2）报价；</w:t>
      </w:r>
    </w:p>
    <w:p w14:paraId="49BC5F4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（3）其它相关事项。</w:t>
      </w:r>
    </w:p>
    <w:p w14:paraId="5AA0E9B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原招标文件或谈判邀请文件有实质性变动的，谈判小组应当通知所有参加谈判的供应商。</w:t>
      </w:r>
    </w:p>
    <w:p w14:paraId="003AC95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7.2.5. 谈判小组可以用书面形式要求各供应商对其谈判应答文件含义不明确的内容作必要的澄清或者说明，重要问题供应商应以书面形式进行澄清、说明。</w:t>
      </w:r>
    </w:p>
    <w:p w14:paraId="42079DC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7.2.</w:t>
      </w:r>
      <w:r>
        <w:rPr>
          <w:rFonts w:hint="eastAsia" w:ascii="宋体" w:hAnsi="宋体" w:eastAsiaTheme="minorEastAsia" w:cstheme="minorBidi"/>
          <w:kern w:val="2"/>
          <w:sz w:val="21"/>
          <w:szCs w:val="21"/>
          <w:lang w:val="en-US" w:eastAsia="zh-CN" w:bidi="ar-SA"/>
        </w:rPr>
        <w:t>6. 允许供应商在谈判结束之前根据谈判小组提出的内容进行澄清、修改或完善，或对项目方案进行相应的调整。</w:t>
      </w:r>
    </w:p>
    <w:p w14:paraId="45F7B668">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7.2.7. 供应商对谈判应答文件进行修改，都应形成文字材料，并经供应商谈判授权人签字认可。</w:t>
      </w:r>
    </w:p>
    <w:p w14:paraId="1F0F3DE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7.2.8. 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C694E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7.2.9. 有下列情形之一的，该供应商的谈判结果作废标处理，具体内容见原招标文件中投标文件初审表的《符合性检查表》部分以及谈判邀请中相应的变动部分。</w:t>
      </w:r>
    </w:p>
    <w:p w14:paraId="4E76A7AF">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7.2.10. 谈判结束后，谈判小组根据供应商提供的谈判应答文件、谈判过程中产生的相关资料，对供应商谈判应答文件进行评估与比较，提出书面评审意见。</w:t>
      </w:r>
    </w:p>
    <w:p w14:paraId="5BB0857F">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7.2.11. 谈判小组将对谈判过程进行记录，以存档备查。</w:t>
      </w:r>
    </w:p>
    <w:p w14:paraId="4526AEC8">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7.2.12. 竞争性谈判采购项目的评标方法要比照最低价法规定执行。如确因实际情况需要采用其他评标方法的，应报经采购人的采购主管部门批准。</w:t>
      </w:r>
    </w:p>
    <w:p w14:paraId="5698CCEC">
      <w:pPr>
        <w:snapToGrid w:val="0"/>
        <w:spacing w:line="360" w:lineRule="auto"/>
        <w:rPr>
          <w:rFonts w:hint="default"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 公开招标失败项目转为单一来源谈判方式采购</w:t>
      </w:r>
    </w:p>
    <w:p w14:paraId="05051A21">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7.3.1. 公开招标失败项目转为单一来源谈判方式采购后，</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转为谈判小组，谈判小组成员由采购单位代表和有关专家共3人以上（含3人）的单数组成；其中专家的人数不得少于成员总数的三分之二；专家可重新抽取也可继续采用</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内专家。</w:t>
      </w:r>
    </w:p>
    <w:p w14:paraId="5558F869">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7.3.2. 谈判前，谈判小组将对单一来源供应商的谈判应答文件进行审查，当谈判应答文件出现下列情况之一的将视为无效，按废标处理，不得进入谈判，具体内容见原招标文件中投标文件初审表的《资格性检查表》部分以及谈判邀请中相应的变动部分。</w:t>
      </w:r>
    </w:p>
    <w:p w14:paraId="4312D3DB">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7.3.3. 参加谈判的供应商和谈判小组成员填写谈判登记表，并交验证明文件（法定代表人证明书、法人授权委托书、被授权的谈判代表身份证原件）。</w:t>
      </w:r>
    </w:p>
    <w:p w14:paraId="22E1B5AE">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7.3.4. 在谈判中，谈判小组将就以下谈判内容跟供应商进行谈判：</w:t>
      </w:r>
    </w:p>
    <w:p w14:paraId="506C238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（1）项目方案；</w:t>
      </w:r>
    </w:p>
    <w:p w14:paraId="5FAF3EE9">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（2）报价；</w:t>
      </w:r>
    </w:p>
    <w:p w14:paraId="16DCA70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（3）其它相关事项。</w:t>
      </w:r>
    </w:p>
    <w:p w14:paraId="0C57E8B1">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原招标文件或谈判邀请文件有实质性变动的，谈判小组应当通知供应商。</w:t>
      </w:r>
    </w:p>
    <w:p w14:paraId="6B2387FA">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7.3.5. 谈判小组可以用书面形式要求供应商对其谈判应答文件含义不明确的内容作必要的澄清或者说明，重要问题供应商应以书面形式进行澄清、说明。</w:t>
      </w:r>
    </w:p>
    <w:p w14:paraId="0009A3A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7.3.6. 允许供应商在谈判结束之前根据谈判小组提出的内容进行澄清、修改或完善，或对项目方案进行相应的调整。</w:t>
      </w:r>
    </w:p>
    <w:p w14:paraId="44FAC3A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w:t>
      </w:r>
      <w:r>
        <w:rPr>
          <w:rFonts w:hint="eastAsia" w:ascii="宋体" w:hAnsi="宋体" w:eastAsiaTheme="minorEastAsia" w:cstheme="minorBidi"/>
          <w:kern w:val="2"/>
          <w:sz w:val="21"/>
          <w:szCs w:val="21"/>
          <w:lang w:val="en-US" w:eastAsia="zh-CN" w:bidi="ar-SA"/>
        </w:rPr>
        <w:t>3.7. 供应商对谈判应答文件进行修改，都应形成文字材料，并经供应商谈判授权人签字认可。</w:t>
      </w:r>
    </w:p>
    <w:p w14:paraId="79BAFCF4">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7.3.8. 谈判小组与单一来源供应商进行谈判。供应商有两次更改机会；供应商应在规定的时间内提出最后更改及书面承诺。</w:t>
      </w:r>
    </w:p>
    <w:p w14:paraId="4C3CFC7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7.3.9. 有下列情形之一的，供应商的谈判结果作废标处理，具体内容见原招标文件中投标文件初审表的《符合性检查表》部分以及谈判邀请中相应的变动部分。</w:t>
      </w:r>
    </w:p>
    <w:p w14:paraId="30D31921">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7.3.10. 谈判结束后，谈判小组根据供应商提供的谈判应答文件、谈判过程中产生的相关资料，对供应商谈判应答文件进行评估与比较，提出书面评审意见。</w:t>
      </w:r>
    </w:p>
    <w:p w14:paraId="4E726B6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7.3.11. 谈判小组将对谈判过程进行记录，以存档备查。</w:t>
      </w:r>
    </w:p>
    <w:p w14:paraId="7B74605B">
      <w:pPr>
        <w:snapToGrid w:val="0"/>
        <w:spacing w:line="360" w:lineRule="auto"/>
        <w:rPr>
          <w:rFonts w:hint="default" w:ascii="宋体" w:hAnsi="宋体"/>
          <w:szCs w:val="21"/>
          <w:lang w:val="en-US" w:eastAsia="zh-CN"/>
        </w:rPr>
      </w:pPr>
      <w:r>
        <w:rPr>
          <w:rFonts w:hint="eastAsia" w:ascii="宋体" w:hAnsi="宋体" w:eastAsiaTheme="minorEastAsia" w:cstheme="minorBidi"/>
          <w:kern w:val="2"/>
          <w:sz w:val="21"/>
          <w:szCs w:val="21"/>
          <w:lang w:val="en-US" w:eastAsia="zh-CN" w:bidi="ar-SA"/>
        </w:rPr>
        <w:t>7.3.12. 单一来源谈判采用最低价法。原招标文件若采用最低价法以外的评标方法，转为单一来源后，评标方法改为最低价法。谈判小组对谈判应答文件进行评审和比较，对供应商最终的方案、服务和投资等谈判结果按最低价法进行评审。</w:t>
      </w:r>
    </w:p>
    <w:p w14:paraId="1B2136BB">
      <w:pPr>
        <w:pStyle w:val="28"/>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7.4. 该项目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454212DB">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7.5. </w:t>
      </w:r>
      <w:r>
        <w:rPr>
          <w:rFonts w:hint="eastAsia" w:cs="Arial" w:asciiTheme="minorEastAsia" w:hAnsiTheme="minorEastAsia" w:eastAsiaTheme="minorEastAsia"/>
          <w:bCs/>
          <w:kern w:val="0"/>
          <w:szCs w:val="21"/>
        </w:rPr>
        <w:t>本项目不安排现场踏勘。</w:t>
      </w:r>
    </w:p>
    <w:p w14:paraId="5AF6AD6F">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7.6. </w:t>
      </w:r>
      <w:r>
        <w:rPr>
          <w:rFonts w:hint="eastAsia" w:cs="Arial" w:asciiTheme="minorEastAsia" w:hAnsiTheme="minorEastAsia" w:eastAsiaTheme="minorEastAsia"/>
          <w:bCs/>
          <w:kern w:val="0"/>
          <w:szCs w:val="21"/>
        </w:rPr>
        <w:t>本项目不安排现场演示。</w:t>
      </w:r>
    </w:p>
    <w:p w14:paraId="17190212">
      <w:pPr>
        <w:pStyle w:val="28"/>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7.7.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101893FB">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7.8.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1801B765">
      <w:pPr>
        <w:pStyle w:val="28"/>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7.9.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3CAB0B6D">
      <w:pPr>
        <w:pStyle w:val="28"/>
        <w:widowControl/>
        <w:numPr>
          <w:ilvl w:val="0"/>
          <w:numId w:val="0"/>
        </w:numPr>
        <w:spacing w:line="360" w:lineRule="auto"/>
        <w:ind w:leftChars="0"/>
        <w:jc w:val="left"/>
        <w:rPr>
          <w:rFonts w:hint="default" w:asciiTheme="minorEastAsia" w:hAnsiTheme="minorEastAsia"/>
          <w:szCs w:val="21"/>
          <w:lang w:val="en-US" w:eastAsia="zh-CN"/>
        </w:rPr>
      </w:pPr>
    </w:p>
    <w:p w14:paraId="1729781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21C614C">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215AE82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E77A0B3">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3C89600C">
      <w:pPr>
        <w:widowControl/>
        <w:numPr>
          <w:ilvl w:val="0"/>
          <w:numId w:val="0"/>
        </w:numPr>
        <w:ind w:leftChars="0"/>
        <w:jc w:val="center"/>
        <w:outlineLvl w:val="0"/>
        <w:rPr>
          <w:rFonts w:hint="eastAsia" w:asciiTheme="minorEastAsia" w:hAnsiTheme="minorEastAsia" w:cstheme="minorEastAsia"/>
          <w:b/>
          <w:bCs/>
          <w:sz w:val="28"/>
          <w:szCs w:val="28"/>
          <w:lang w:eastAsia="zh-CN"/>
        </w:rPr>
      </w:pPr>
      <w:bookmarkStart w:id="17" w:name="_Toc26388"/>
      <w:r>
        <w:rPr>
          <w:rFonts w:hint="eastAsia" w:asciiTheme="majorEastAsia" w:hAnsiTheme="majorEastAsia" w:eastAsiaTheme="majorEastAsia"/>
          <w:sz w:val="32"/>
          <w:szCs w:val="32"/>
          <w:lang w:val="en-US" w:eastAsia="zh-CN"/>
        </w:rPr>
        <w:t xml:space="preserve">第四章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7"/>
    </w:p>
    <w:tbl>
      <w:tblPr>
        <w:tblStyle w:val="1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7" w:hRule="atLeast"/>
          <w:jc w:val="center"/>
        </w:trPr>
        <w:tc>
          <w:tcPr>
            <w:tcW w:w="9018" w:type="dxa"/>
            <w:vAlign w:val="center"/>
          </w:tcPr>
          <w:p w14:paraId="0168BCD2">
            <w:pPr>
              <w:pStyle w:val="6"/>
              <w:spacing w:line="360" w:lineRule="auto"/>
              <w:ind w:firstLine="482" w:firstLineChars="150"/>
              <w:rPr>
                <w:rFonts w:ascii="仿宋_GB2312" w:eastAsia="仿宋_GB2312"/>
                <w:b/>
                <w:sz w:val="32"/>
              </w:rPr>
            </w:pPr>
          </w:p>
          <w:p w14:paraId="5DD66652">
            <w:pPr>
              <w:pStyle w:val="6"/>
              <w:spacing w:line="360" w:lineRule="auto"/>
              <w:ind w:firstLine="482" w:firstLineChars="150"/>
              <w:rPr>
                <w:rFonts w:ascii="仿宋_GB2312" w:eastAsia="仿宋_GB2312"/>
                <w:b/>
                <w:sz w:val="32"/>
              </w:rPr>
            </w:pPr>
          </w:p>
          <w:p w14:paraId="4F96A7D5">
            <w:pPr>
              <w:pStyle w:val="6"/>
              <w:spacing w:line="360" w:lineRule="auto"/>
              <w:ind w:firstLine="482" w:firstLineChars="150"/>
              <w:rPr>
                <w:rFonts w:ascii="仿宋_GB2312" w:eastAsia="仿宋_GB2312"/>
                <w:b/>
                <w:sz w:val="32"/>
              </w:rPr>
            </w:pPr>
          </w:p>
          <w:p w14:paraId="24E0C28B">
            <w:pPr>
              <w:pStyle w:val="6"/>
              <w:spacing w:line="360" w:lineRule="auto"/>
              <w:jc w:val="center"/>
              <w:rPr>
                <w:rFonts w:ascii="黑体" w:eastAsia="黑体"/>
                <w:b/>
                <w:sz w:val="72"/>
                <w:szCs w:val="72"/>
              </w:rPr>
            </w:pPr>
            <w:r>
              <w:rPr>
                <w:rFonts w:hint="eastAsia" w:ascii="黑体" w:eastAsia="黑体"/>
                <w:b/>
                <w:sz w:val="72"/>
                <w:szCs w:val="72"/>
              </w:rPr>
              <w:t>投 标 文 件</w:t>
            </w:r>
          </w:p>
          <w:p w14:paraId="056E2451">
            <w:pPr>
              <w:pStyle w:val="6"/>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6"/>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6"/>
              <w:spacing w:line="360" w:lineRule="auto"/>
              <w:rPr>
                <w:rFonts w:ascii="仿宋_GB2312" w:eastAsia="仿宋_GB2312"/>
                <w:b/>
                <w:sz w:val="32"/>
              </w:rPr>
            </w:pPr>
          </w:p>
          <w:p w14:paraId="408DEE70">
            <w:pPr>
              <w:pStyle w:val="6"/>
              <w:spacing w:line="360" w:lineRule="auto"/>
              <w:rPr>
                <w:rFonts w:ascii="仿宋_GB2312" w:eastAsia="仿宋_GB2312"/>
                <w:b/>
                <w:sz w:val="32"/>
              </w:rPr>
            </w:pPr>
          </w:p>
          <w:p w14:paraId="1F535991">
            <w:pPr>
              <w:pStyle w:val="6"/>
              <w:spacing w:line="360" w:lineRule="auto"/>
              <w:rPr>
                <w:rFonts w:ascii="仿宋_GB2312" w:eastAsia="仿宋_GB2312"/>
                <w:b/>
                <w:sz w:val="32"/>
              </w:rPr>
            </w:pPr>
          </w:p>
          <w:p w14:paraId="18F76FDC">
            <w:pPr>
              <w:pStyle w:val="6"/>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6"/>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6"/>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投标人名称：</w:t>
            </w:r>
          </w:p>
          <w:p w14:paraId="3E773E6D">
            <w:pPr>
              <w:pStyle w:val="6"/>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投标人地址：</w:t>
            </w:r>
          </w:p>
          <w:p w14:paraId="578B5057">
            <w:pPr>
              <w:tabs>
                <w:tab w:val="left" w:pos="851"/>
              </w:tabs>
              <w:autoSpaceDE w:val="0"/>
              <w:autoSpaceDN w:val="0"/>
              <w:adjustRightInd w:val="0"/>
              <w:snapToGrid w:val="0"/>
              <w:spacing w:line="420" w:lineRule="auto"/>
              <w:ind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tabs>
                <w:tab w:val="left" w:pos="851"/>
              </w:tabs>
              <w:autoSpaceDE w:val="0"/>
              <w:autoSpaceDN w:val="0"/>
              <w:adjustRightInd w:val="0"/>
              <w:snapToGrid w:val="0"/>
              <w:spacing w:line="420" w:lineRule="auto"/>
              <w:ind w:firstLine="829" w:firstLineChars="295"/>
              <w:rPr>
                <w:rFonts w:hint="eastAsia" w:ascii="仿宋_GB2312" w:eastAsia="仿宋_GB2312"/>
                <w:b/>
                <w:sz w:val="28"/>
                <w:szCs w:val="28"/>
              </w:rPr>
            </w:pPr>
          </w:p>
          <w:p w14:paraId="29748A16">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hint="eastAsia" w:ascii="仿宋_GB2312" w:eastAsia="仿宋_GB2312"/>
                <w:b/>
                <w:sz w:val="28"/>
                <w:szCs w:val="28"/>
              </w:rPr>
              <w:t>开标之前不得启封</w:t>
            </w:r>
          </w:p>
        </w:tc>
      </w:tr>
    </w:tbl>
    <w:p w14:paraId="60FA2FDE">
      <w:pPr>
        <w:jc w:val="both"/>
        <w:rPr>
          <w:rFonts w:hint="eastAsia" w:asciiTheme="minorEastAsia" w:hAnsiTheme="minorEastAsia" w:cstheme="minorEastAsia"/>
          <w:b/>
          <w:bCs/>
          <w:sz w:val="28"/>
          <w:szCs w:val="28"/>
          <w:lang w:eastAsia="zh-CN"/>
        </w:rPr>
      </w:pPr>
    </w:p>
    <w:p w14:paraId="5B3C692F">
      <w:pPr>
        <w:pStyle w:val="3"/>
        <w:numPr>
          <w:ilvl w:val="0"/>
          <w:numId w:val="13"/>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18" w:name="_Toc25542"/>
      <w:bookmarkStart w:id="19" w:name="_Toc6779"/>
      <w:r>
        <w:rPr>
          <w:rFonts w:hint="eastAsia" w:cs="宋体" w:asciiTheme="majorEastAsia" w:hAnsiTheme="majorEastAsia" w:eastAsiaTheme="majorEastAsia"/>
          <w:kern w:val="2"/>
          <w:sz w:val="30"/>
          <w:szCs w:val="30"/>
          <w:lang w:val="en-US" w:eastAsia="zh-CN" w:bidi="ar-SA"/>
        </w:rPr>
        <w:t>资格性自查表</w:t>
      </w:r>
      <w:bookmarkEnd w:id="18"/>
      <w:bookmarkEnd w:id="19"/>
    </w:p>
    <w:tbl>
      <w:tblPr>
        <w:tblStyle w:val="17"/>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ind w:left="36" w:leftChars="17"/>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ind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13"/>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0" w:name="_Toc29213"/>
      <w:bookmarkStart w:id="21" w:name="_Toc21714"/>
      <w:r>
        <w:rPr>
          <w:rFonts w:hint="eastAsia" w:cs="宋体" w:asciiTheme="majorEastAsia" w:hAnsiTheme="majorEastAsia" w:eastAsiaTheme="majorEastAsia"/>
          <w:kern w:val="2"/>
          <w:sz w:val="30"/>
          <w:szCs w:val="30"/>
          <w:lang w:val="en-US" w:eastAsia="zh-CN" w:bidi="ar-SA"/>
        </w:rPr>
        <w:t>符合性自查表</w:t>
      </w:r>
      <w:bookmarkEnd w:id="20"/>
      <w:bookmarkEnd w:id="21"/>
    </w:p>
    <w:tbl>
      <w:tblPr>
        <w:tblStyle w:val="17"/>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bookmarkStart w:id="22" w:name="_Toc1526"/>
      <w:bookmarkStart w:id="23" w:name="_Toc20641"/>
      <w:r>
        <w:rPr>
          <w:rFonts w:hint="eastAsia" w:cs="宋体" w:asciiTheme="majorEastAsia" w:hAnsiTheme="majorEastAsia" w:eastAsiaTheme="majorEastAsia"/>
          <w:kern w:val="2"/>
          <w:sz w:val="30"/>
          <w:szCs w:val="30"/>
          <w:lang w:val="en-US" w:eastAsia="zh-CN" w:bidi="ar-SA"/>
        </w:rPr>
        <w:t>（三）警示情形自查确认表</w:t>
      </w:r>
      <w:bookmarkEnd w:id="22"/>
      <w:bookmarkEnd w:id="23"/>
    </w:p>
    <w:tbl>
      <w:tblPr>
        <w:tblStyle w:val="17"/>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spacing w:line="240" w:lineRule="auto"/>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spacing w:line="24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spacing w:line="240" w:lineRule="auto"/>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spacing w:line="240" w:lineRule="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7"/>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spacing w:line="240" w:lineRule="auto"/>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spacing w:line="240" w:lineRule="auto"/>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spacing w:line="240" w:lineRule="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611745D">
      <w:pPr>
        <w:pStyle w:val="3"/>
        <w:numPr>
          <w:ilvl w:val="0"/>
          <w:numId w:val="11"/>
        </w:numPr>
        <w:spacing w:line="240" w:lineRule="auto"/>
        <w:ind w:left="0" w:leftChars="0" w:firstLine="0" w:firstLineChars="0"/>
        <w:jc w:val="center"/>
        <w:outlineLvl w:val="0"/>
        <w:rPr>
          <w:rFonts w:hint="eastAsia" w:asciiTheme="majorEastAsia" w:hAnsiTheme="majorEastAsia" w:eastAsiaTheme="majorEastAsia"/>
          <w:sz w:val="30"/>
          <w:szCs w:val="30"/>
          <w:lang w:val="en-US" w:eastAsia="zh-CN"/>
        </w:rPr>
      </w:pPr>
      <w:bookmarkStart w:id="24" w:name="_Toc15495"/>
      <w:bookmarkStart w:id="25" w:name="_Toc30883"/>
      <w:r>
        <w:rPr>
          <w:rFonts w:hint="eastAsia" w:asciiTheme="majorEastAsia" w:hAnsiTheme="majorEastAsia" w:eastAsiaTheme="majorEastAsia"/>
          <w:sz w:val="30"/>
          <w:szCs w:val="30"/>
          <w:lang w:val="en-US" w:eastAsia="zh-CN"/>
        </w:rPr>
        <w:t>综合评分指引</w:t>
      </w:r>
    </w:p>
    <w:p w14:paraId="168FCB66">
      <w:pPr>
        <w:adjustRightInd w:val="0"/>
        <w:snapToGrid w:val="0"/>
        <w:spacing w:line="30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请投标人按照招标文件</w:t>
      </w:r>
      <w:r>
        <w:rPr>
          <w:rFonts w:hint="eastAsia" w:ascii="宋体" w:hAnsi="宋体"/>
          <w:b/>
          <w:szCs w:val="21"/>
        </w:rPr>
        <w:t>评标信息评分细则表</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14:paraId="257ABC5B">
      <w:pPr>
        <w:adjustRightInd w:val="0"/>
        <w:snapToGrid w:val="0"/>
        <w:spacing w:line="300" w:lineRule="auto"/>
        <w:rPr>
          <w:rFonts w:ascii="宋体" w:hAnsi="宋体"/>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2636"/>
        <w:gridCol w:w="3367"/>
      </w:tblGrid>
      <w:tr w14:paraId="58E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01" w:type="dxa"/>
            <w:vAlign w:val="center"/>
          </w:tcPr>
          <w:p w14:paraId="7098C0A7">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评分因素</w:t>
            </w:r>
          </w:p>
        </w:tc>
        <w:tc>
          <w:tcPr>
            <w:tcW w:w="2636" w:type="dxa"/>
            <w:vAlign w:val="center"/>
          </w:tcPr>
          <w:p w14:paraId="2F23BF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评分准则</w:t>
            </w:r>
          </w:p>
        </w:tc>
        <w:tc>
          <w:tcPr>
            <w:tcW w:w="3367" w:type="dxa"/>
            <w:vAlign w:val="center"/>
          </w:tcPr>
          <w:p w14:paraId="097497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证明文件</w:t>
            </w:r>
          </w:p>
        </w:tc>
      </w:tr>
      <w:tr w14:paraId="44BB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01" w:type="dxa"/>
            <w:vAlign w:val="center"/>
          </w:tcPr>
          <w:p w14:paraId="4C8851E2">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24BA1A3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28CF5B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7C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001" w:type="dxa"/>
            <w:vAlign w:val="center"/>
          </w:tcPr>
          <w:p w14:paraId="61AE6F4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7BF120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7FC4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6A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01" w:type="dxa"/>
            <w:vAlign w:val="center"/>
          </w:tcPr>
          <w:p w14:paraId="725CDC1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F7544B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00DAD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5F6D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01" w:type="dxa"/>
            <w:vAlign w:val="center"/>
          </w:tcPr>
          <w:p w14:paraId="133B850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D6C3D8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8257C3">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24C0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0E5EF5F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C0DE59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2D667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D7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6E5F3AE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18F6629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5A69511D">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r w14:paraId="09B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7360DA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0D1FA4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7C5C56C">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bl>
    <w:p w14:paraId="3CDB141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lang w:eastAsia="zh-CN"/>
        </w:rPr>
      </w:pPr>
    </w:p>
    <w:p w14:paraId="2D702FE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6143A60E">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093A022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54FB10D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68D6FDB3">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0CA0789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7EC515C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5D67AAB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093EF1F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3E8195FC">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07D4383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6F05B66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7F5347D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p>
    <w:p w14:paraId="44C12BA8">
      <w:pPr>
        <w:pStyle w:val="3"/>
        <w:numPr>
          <w:ilvl w:val="0"/>
          <w:numId w:val="11"/>
        </w:numPr>
        <w:spacing w:line="240" w:lineRule="auto"/>
        <w:ind w:left="0" w:leftChars="0" w:firstLine="0" w:firstLineChars="0"/>
        <w:jc w:val="center"/>
        <w:outlineLvl w:val="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4"/>
      <w:bookmarkEnd w:id="25"/>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bookmarkStart w:id="26" w:name="_Toc5508"/>
      <w:bookmarkStart w:id="27" w:name="_Toc31601"/>
      <w:r>
        <w:rPr>
          <w:rFonts w:hint="eastAsia" w:cs="宋体" w:asciiTheme="majorEastAsia" w:hAnsiTheme="majorEastAsia" w:eastAsiaTheme="majorEastAsia"/>
          <w:kern w:val="2"/>
          <w:sz w:val="30"/>
          <w:szCs w:val="30"/>
          <w:lang w:val="en-US" w:eastAsia="zh-CN" w:bidi="ar-SA"/>
        </w:rPr>
        <w:t>（六）诚信及信用信息证明</w:t>
      </w:r>
      <w:bookmarkEnd w:id="26"/>
      <w:bookmarkEnd w:id="27"/>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如有）（http://www.gjsy.gov.cn/sydwfrxxcx/）、全国社会组织信用信息公示平台（如有）（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8" w:name="_Toc11281"/>
      <w:bookmarkStart w:id="29" w:name="_Toc2713"/>
      <w:bookmarkStart w:id="30" w:name="_Toc12322"/>
      <w:r>
        <w:rPr>
          <w:rFonts w:hint="eastAsia" w:cs="宋体" w:asciiTheme="majorEastAsia" w:hAnsiTheme="majorEastAsia" w:eastAsiaTheme="majorEastAsia"/>
          <w:kern w:val="2"/>
          <w:sz w:val="30"/>
          <w:szCs w:val="30"/>
          <w:lang w:val="en-US" w:eastAsia="zh-CN" w:bidi="ar-SA"/>
        </w:rPr>
        <w:t>（七）</w:t>
      </w:r>
      <w:r>
        <w:rPr>
          <w:rFonts w:hint="eastAsia" w:asciiTheme="majorEastAsia" w:hAnsiTheme="majorEastAsia" w:eastAsiaTheme="majorEastAsia"/>
          <w:sz w:val="30"/>
          <w:szCs w:val="30"/>
        </w:rPr>
        <w:t>供应商基本情况表</w:t>
      </w:r>
      <w:bookmarkEnd w:id="28"/>
      <w:bookmarkEnd w:id="29"/>
      <w:bookmarkEnd w:id="30"/>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583"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583"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583"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583"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1BEFE362">
      <w:pPr>
        <w:jc w:val="center"/>
        <w:rPr>
          <w:rFonts w:hint="eastAsia" w:asciiTheme="minorEastAsia" w:hAnsiTheme="minorEastAsia" w:cstheme="minorEastAsia"/>
          <w:b/>
          <w:bCs/>
          <w:sz w:val="28"/>
          <w:szCs w:val="28"/>
          <w:lang w:eastAsia="zh-CN"/>
        </w:rPr>
      </w:pPr>
    </w:p>
    <w:p w14:paraId="743CBD1F">
      <w:pPr>
        <w:jc w:val="center"/>
        <w:rPr>
          <w:rFonts w:hint="eastAsia" w:asciiTheme="minorEastAsia" w:hAnsiTheme="minorEastAsia" w:cstheme="minorEastAsia"/>
          <w:b/>
          <w:bCs/>
          <w:sz w:val="28"/>
          <w:szCs w:val="28"/>
          <w:lang w:eastAsia="zh-CN"/>
        </w:rPr>
      </w:pPr>
    </w:p>
    <w:p w14:paraId="447DED23">
      <w:pPr>
        <w:jc w:val="center"/>
        <w:rPr>
          <w:rFonts w:hint="eastAsia" w:asciiTheme="minorEastAsia" w:hAnsiTheme="minorEastAsia" w:cstheme="minorEastAsia"/>
          <w:b/>
          <w:bCs/>
          <w:sz w:val="28"/>
          <w:szCs w:val="28"/>
          <w:lang w:eastAsia="zh-CN"/>
        </w:rPr>
      </w:pPr>
    </w:p>
    <w:p w14:paraId="720840E8">
      <w:pPr>
        <w:jc w:val="center"/>
        <w:rPr>
          <w:rFonts w:hint="eastAsia" w:asciiTheme="minorEastAsia" w:hAnsiTheme="minorEastAsia" w:cstheme="minorEastAsia"/>
          <w:b/>
          <w:bCs/>
          <w:sz w:val="28"/>
          <w:szCs w:val="28"/>
          <w:lang w:eastAsia="zh-CN"/>
        </w:rPr>
      </w:pPr>
    </w:p>
    <w:p w14:paraId="00E2FEFB">
      <w:pPr>
        <w:jc w:val="center"/>
        <w:rPr>
          <w:rFonts w:hint="eastAsia" w:asciiTheme="minorEastAsia" w:hAnsiTheme="minorEastAsia" w:cstheme="minorEastAsia"/>
          <w:b/>
          <w:bCs/>
          <w:sz w:val="28"/>
          <w:szCs w:val="28"/>
          <w:lang w:eastAsia="zh-CN"/>
        </w:rPr>
      </w:pPr>
    </w:p>
    <w:p w14:paraId="010C2661">
      <w:pPr>
        <w:jc w:val="center"/>
        <w:rPr>
          <w:rFonts w:hint="eastAsia" w:asciiTheme="minorEastAsia" w:hAnsiTheme="minorEastAsia" w:cstheme="minorEastAsia"/>
          <w:b/>
          <w:bCs/>
          <w:sz w:val="28"/>
          <w:szCs w:val="28"/>
          <w:lang w:eastAsia="zh-CN"/>
        </w:rPr>
      </w:pPr>
    </w:p>
    <w:p w14:paraId="2E9B4DEC">
      <w:pPr>
        <w:jc w:val="center"/>
        <w:rPr>
          <w:rFonts w:hint="eastAsia" w:asciiTheme="minorEastAsia" w:hAnsiTheme="minorEastAsia" w:cstheme="minorEastAsia"/>
          <w:b/>
          <w:bCs/>
          <w:sz w:val="28"/>
          <w:szCs w:val="28"/>
          <w:lang w:eastAsia="zh-CN"/>
        </w:rPr>
      </w:pPr>
    </w:p>
    <w:p w14:paraId="3680AF06">
      <w:pPr>
        <w:jc w:val="center"/>
        <w:rPr>
          <w:rFonts w:hint="eastAsia" w:asciiTheme="minorEastAsia" w:hAnsiTheme="minorEastAsia" w:cstheme="minorEastAsia"/>
          <w:b/>
          <w:bCs/>
          <w:sz w:val="28"/>
          <w:szCs w:val="28"/>
          <w:lang w:eastAsia="zh-CN"/>
        </w:rPr>
      </w:pPr>
    </w:p>
    <w:p w14:paraId="21FE1135">
      <w:pPr>
        <w:jc w:val="center"/>
        <w:rPr>
          <w:rFonts w:hint="eastAsia" w:asciiTheme="minorEastAsia" w:hAnsiTheme="minorEastAsia" w:cstheme="minorEastAsia"/>
          <w:b/>
          <w:bCs/>
          <w:sz w:val="28"/>
          <w:szCs w:val="28"/>
          <w:lang w:eastAsia="zh-CN"/>
        </w:rPr>
      </w:pPr>
    </w:p>
    <w:p w14:paraId="090A3839">
      <w:pPr>
        <w:jc w:val="center"/>
        <w:rPr>
          <w:rFonts w:hint="eastAsia" w:asciiTheme="minorEastAsia" w:hAnsiTheme="minorEastAsia" w:cstheme="minorEastAsia"/>
          <w:b/>
          <w:bCs/>
          <w:sz w:val="28"/>
          <w:szCs w:val="28"/>
          <w:lang w:eastAsia="zh-CN"/>
        </w:rPr>
      </w:pPr>
    </w:p>
    <w:p w14:paraId="0981D0C8">
      <w:pPr>
        <w:jc w:val="center"/>
        <w:rPr>
          <w:rFonts w:hint="eastAsia" w:asciiTheme="minorEastAsia" w:hAnsiTheme="minorEastAsia" w:cstheme="minorEastAsia"/>
          <w:b/>
          <w:bCs/>
          <w:sz w:val="28"/>
          <w:szCs w:val="28"/>
          <w:lang w:eastAsia="zh-CN"/>
        </w:rPr>
      </w:pPr>
    </w:p>
    <w:p w14:paraId="23ED3C9B">
      <w:pPr>
        <w:jc w:val="center"/>
        <w:rPr>
          <w:rFonts w:hint="eastAsia" w:asciiTheme="minorEastAsia" w:hAnsiTheme="minorEastAsia" w:cstheme="minorEastAsia"/>
          <w:b/>
          <w:bCs/>
          <w:sz w:val="28"/>
          <w:szCs w:val="28"/>
          <w:lang w:eastAsia="zh-CN"/>
        </w:rPr>
      </w:pPr>
    </w:p>
    <w:p w14:paraId="21EDC35B">
      <w:pPr>
        <w:jc w:val="center"/>
        <w:rPr>
          <w:rFonts w:hint="eastAsia" w:asciiTheme="minorEastAsia" w:hAnsiTheme="minorEastAsia" w:cstheme="minorEastAsia"/>
          <w:b/>
          <w:bCs/>
          <w:sz w:val="28"/>
          <w:szCs w:val="28"/>
          <w:lang w:eastAsia="zh-CN"/>
        </w:rPr>
      </w:pPr>
    </w:p>
    <w:p w14:paraId="6D95A4B1">
      <w:pPr>
        <w:jc w:val="center"/>
        <w:rPr>
          <w:rFonts w:hint="eastAsia" w:asciiTheme="minorEastAsia" w:hAnsiTheme="minorEastAsia" w:cstheme="minorEastAsia"/>
          <w:b/>
          <w:bCs/>
          <w:sz w:val="28"/>
          <w:szCs w:val="28"/>
          <w:lang w:eastAsia="zh-CN"/>
        </w:rPr>
      </w:pPr>
    </w:p>
    <w:p w14:paraId="133C1CB5">
      <w:pPr>
        <w:jc w:val="center"/>
        <w:rPr>
          <w:rFonts w:hint="eastAsia" w:asciiTheme="minorEastAsia" w:hAnsiTheme="minorEastAsia" w:cstheme="minorEastAsia"/>
          <w:b/>
          <w:bCs/>
          <w:sz w:val="28"/>
          <w:szCs w:val="28"/>
          <w:lang w:eastAsia="zh-CN"/>
        </w:rPr>
      </w:pPr>
    </w:p>
    <w:p w14:paraId="6B35AE39">
      <w:pPr>
        <w:jc w:val="center"/>
        <w:rPr>
          <w:rFonts w:hint="eastAsia" w:asciiTheme="minorEastAsia" w:hAnsiTheme="minorEastAsia" w:cstheme="minorEastAsia"/>
          <w:b/>
          <w:bCs/>
          <w:sz w:val="28"/>
          <w:szCs w:val="28"/>
          <w:lang w:eastAsia="zh-CN"/>
        </w:rPr>
      </w:pPr>
    </w:p>
    <w:p w14:paraId="183A7A36">
      <w:pPr>
        <w:jc w:val="center"/>
        <w:rPr>
          <w:rFonts w:hint="eastAsia" w:asciiTheme="minorEastAsia" w:hAnsiTheme="minorEastAsia" w:cstheme="minorEastAsia"/>
          <w:b/>
          <w:bCs/>
          <w:sz w:val="28"/>
          <w:szCs w:val="28"/>
          <w:lang w:eastAsia="zh-CN"/>
        </w:rPr>
      </w:pP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31" w:name="_Toc2271"/>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八</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31"/>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33"/>
        <w:spacing w:before="120" w:after="120" w:line="276" w:lineRule="auto"/>
        <w:ind w:left="0" w:leftChars="0" w:firstLine="0" w:firstLineChars="0"/>
        <w:rPr>
          <w:rFonts w:hint="eastAsia"/>
          <w:b/>
          <w:color w:val="auto"/>
          <w:sz w:val="24"/>
        </w:rPr>
      </w:pPr>
    </w:p>
    <w:p w14:paraId="4B1D9CBC">
      <w:pPr>
        <w:pStyle w:val="33"/>
        <w:spacing w:before="120" w:after="120" w:line="276" w:lineRule="auto"/>
        <w:ind w:firstLine="482" w:firstLineChars="200"/>
        <w:outlineLvl w:val="9"/>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2" w:name="_Hlk72259001"/>
      <w:r>
        <w:rPr>
          <w:rFonts w:hint="eastAsia"/>
          <w:b/>
          <w:bCs/>
          <w:color w:val="auto"/>
        </w:rPr>
        <w:t>招标文件</w:t>
      </w:r>
      <w:bookmarkEnd w:id="32"/>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6"/>
        <w:rPr>
          <w:color w:val="auto"/>
        </w:rPr>
      </w:pPr>
    </w:p>
    <w:p w14:paraId="04F8DE87">
      <w:pPr>
        <w:spacing w:after="60"/>
        <w:jc w:val="center"/>
        <w:outlineLvl w:val="9"/>
        <w:rPr>
          <w:b/>
          <w:color w:val="auto"/>
        </w:rPr>
      </w:pPr>
      <w:r>
        <w:rPr>
          <w:rFonts w:hint="eastAsia"/>
          <w:b/>
          <w:color w:val="auto"/>
        </w:rPr>
        <w:t>1、中小企业声明函</w:t>
      </w:r>
    </w:p>
    <w:p w14:paraId="260C3881">
      <w:pPr>
        <w:pStyle w:val="6"/>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6"/>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6"/>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6"/>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6"/>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9"/>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9"/>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6"/>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038CC619">
      <w:pPr>
        <w:jc w:val="center"/>
        <w:rPr>
          <w:rFonts w:hint="eastAsia" w:asciiTheme="minorEastAsia" w:hAnsiTheme="minorEastAsia" w:cstheme="minorEastAsia"/>
          <w:b/>
          <w:bCs/>
          <w:sz w:val="28"/>
          <w:szCs w:val="28"/>
          <w:lang w:eastAsia="zh-CN"/>
        </w:rPr>
      </w:pPr>
    </w:p>
    <w:p w14:paraId="1D29C215">
      <w:pPr>
        <w:jc w:val="center"/>
        <w:rPr>
          <w:rFonts w:hint="eastAsia" w:asciiTheme="minorEastAsia" w:hAnsiTheme="minorEastAsia" w:cstheme="minorEastAsia"/>
          <w:b/>
          <w:bCs/>
          <w:sz w:val="28"/>
          <w:szCs w:val="28"/>
          <w:lang w:eastAsia="zh-CN"/>
        </w:rPr>
      </w:pPr>
    </w:p>
    <w:p w14:paraId="5BE22A57">
      <w:pPr>
        <w:jc w:val="center"/>
        <w:rPr>
          <w:rFonts w:hint="eastAsia" w:asciiTheme="minorEastAsia" w:hAnsiTheme="minorEastAsia" w:cstheme="minorEastAsia"/>
          <w:b/>
          <w:bCs/>
          <w:sz w:val="28"/>
          <w:szCs w:val="28"/>
          <w:lang w:eastAsia="zh-CN"/>
        </w:rPr>
      </w:pPr>
    </w:p>
    <w:p w14:paraId="6E6FCFC3">
      <w:pPr>
        <w:jc w:val="center"/>
        <w:rPr>
          <w:rFonts w:hint="eastAsia" w:cs="宋体" w:asciiTheme="majorEastAsia" w:hAnsiTheme="majorEastAsia" w:eastAsiaTheme="majorEastAsia"/>
          <w:kern w:val="2"/>
          <w:sz w:val="30"/>
          <w:szCs w:val="30"/>
          <w:lang w:val="en-US" w:eastAsia="zh-CN" w:bidi="ar-SA"/>
        </w:rPr>
      </w:pPr>
    </w:p>
    <w:p w14:paraId="5FF718F7">
      <w:pPr>
        <w:jc w:val="center"/>
        <w:outlineLvl w:val="0"/>
        <w:rPr>
          <w:rFonts w:hint="eastAsia" w:cs="宋体" w:asciiTheme="majorEastAsia" w:hAnsiTheme="majorEastAsia" w:eastAsiaTheme="majorEastAsia"/>
          <w:kern w:val="2"/>
          <w:sz w:val="30"/>
          <w:szCs w:val="30"/>
          <w:lang w:val="en-US" w:eastAsia="zh-CN" w:bidi="ar-SA"/>
        </w:rPr>
      </w:pPr>
      <w:bookmarkStart w:id="33" w:name="_Toc29547"/>
      <w:r>
        <w:rPr>
          <w:rFonts w:hint="eastAsia" w:cs="宋体" w:asciiTheme="majorEastAsia" w:hAnsiTheme="majorEastAsia" w:eastAsiaTheme="majorEastAsia"/>
          <w:kern w:val="2"/>
          <w:sz w:val="30"/>
          <w:szCs w:val="30"/>
          <w:lang w:val="en-US" w:eastAsia="zh-CN" w:bidi="ar-SA"/>
        </w:rPr>
        <w:t>（九）福田区第二人民医院报价表</w:t>
      </w:r>
      <w:bookmarkEnd w:id="33"/>
    </w:p>
    <w:p w14:paraId="0F8F2EE2">
      <w:pPr>
        <w:rPr>
          <w:rFonts w:hint="eastAsia" w:ascii="宋体" w:hAnsi="宋体"/>
          <w:szCs w:val="21"/>
        </w:rPr>
      </w:pPr>
    </w:p>
    <w:p w14:paraId="453E124E">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17"/>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85"/>
        <w:gridCol w:w="1080"/>
        <w:gridCol w:w="675"/>
        <w:gridCol w:w="660"/>
        <w:gridCol w:w="645"/>
        <w:gridCol w:w="915"/>
        <w:gridCol w:w="1320"/>
        <w:gridCol w:w="1185"/>
        <w:gridCol w:w="570"/>
      </w:tblGrid>
      <w:tr w14:paraId="7C5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B2C8F68">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A315424">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51757965">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85" w:type="dxa"/>
            <w:tcBorders>
              <w:top w:val="single" w:color="auto" w:sz="4" w:space="0"/>
              <w:left w:val="single" w:color="auto" w:sz="4" w:space="0"/>
              <w:bottom w:val="single" w:color="auto" w:sz="4" w:space="0"/>
              <w:right w:val="single" w:color="auto" w:sz="4" w:space="0"/>
            </w:tcBorders>
            <w:vAlign w:val="center"/>
          </w:tcPr>
          <w:p w14:paraId="05B1350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3826FE3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07105EE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103027C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78333A58">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480FBE9D">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7CBF9A1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3262CC5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49454E65">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416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57709F06">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2BBAD9A9">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578D0D0B">
            <w:pPr>
              <w:spacing w:line="400" w:lineRule="exact"/>
              <w:jc w:val="center"/>
              <w:rPr>
                <w:rFonts w:ascii="宋体" w:hAnsi="宋体"/>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14:paraId="57ECADB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C7424D">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B958EE8">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3C70B8F">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A1A1375">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D8D739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7C29BA6E">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2CF7E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B1D4F6">
            <w:pPr>
              <w:widowControl/>
              <w:jc w:val="center"/>
              <w:rPr>
                <w:rFonts w:ascii="宋体" w:hAnsi="宋体"/>
                <w:sz w:val="18"/>
                <w:szCs w:val="18"/>
              </w:rPr>
            </w:pPr>
          </w:p>
        </w:tc>
      </w:tr>
      <w:tr w14:paraId="61EE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58B82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14851A80">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0F70BF10">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58FB75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060AEC">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0651428A">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5BEE9F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2B09A68">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A08E9E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B90957A">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D252DA2">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53CA792">
            <w:pPr>
              <w:widowControl/>
              <w:jc w:val="center"/>
              <w:rPr>
                <w:rFonts w:ascii="宋体" w:hAnsi="宋体"/>
                <w:sz w:val="18"/>
                <w:szCs w:val="18"/>
              </w:rPr>
            </w:pPr>
          </w:p>
        </w:tc>
      </w:tr>
      <w:tr w14:paraId="1C5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37F6462D">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54199F7B">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7F61DA20">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11598448">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92CC26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3C175DD">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C620B9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9292FD1">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B0D1ECA">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C551E3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2219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FB5C668">
            <w:pPr>
              <w:jc w:val="center"/>
            </w:pPr>
          </w:p>
        </w:tc>
      </w:tr>
      <w:tr w14:paraId="6C1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C5CC02">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52B73993">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E2C5948">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38342B62">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34E39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2C4CEEE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C8A196A">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C7A4D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48F97A5">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03A688E0">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18AD4E">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9045130">
            <w:pPr>
              <w:jc w:val="center"/>
            </w:pPr>
          </w:p>
        </w:tc>
      </w:tr>
    </w:tbl>
    <w:p w14:paraId="50FE53AD">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B267BE8">
      <w:pPr>
        <w:spacing w:afterLines="25" w:line="300" w:lineRule="auto"/>
        <w:ind w:left="420"/>
        <w:jc w:val="center"/>
        <w:rPr>
          <w:rFonts w:ascii="宋体" w:hAnsi="宋体" w:cs="宋体"/>
          <w:color w:val="000000" w:themeColor="text1"/>
          <w:szCs w:val="21"/>
          <w14:textFill>
            <w14:solidFill>
              <w14:schemeClr w14:val="tx1"/>
            </w14:solidFill>
          </w14:textFill>
        </w:rPr>
      </w:pPr>
    </w:p>
    <w:p w14:paraId="1F762CCB">
      <w:pPr>
        <w:spacing w:afterLines="25" w:line="300" w:lineRule="auto"/>
        <w:ind w:left="420"/>
        <w:jc w:val="center"/>
        <w:rPr>
          <w:rFonts w:ascii="宋体" w:hAnsi="宋体" w:cs="宋体"/>
          <w:color w:val="000000" w:themeColor="text1"/>
          <w:szCs w:val="21"/>
          <w14:textFill>
            <w14:solidFill>
              <w14:schemeClr w14:val="tx1"/>
            </w14:solidFill>
          </w14:textFill>
        </w:rPr>
      </w:pPr>
    </w:p>
    <w:p w14:paraId="5D7E3D54">
      <w:pPr>
        <w:spacing w:afterLines="25" w:line="300" w:lineRule="auto"/>
        <w:ind w:left="420"/>
        <w:jc w:val="center"/>
        <w:rPr>
          <w:rFonts w:hint="eastAsia" w:ascii="宋体" w:hAnsi="宋体" w:cs="Arial"/>
          <w:b/>
          <w:color w:val="000000"/>
          <w:sz w:val="28"/>
          <w:szCs w:val="28"/>
          <w:lang w:eastAsia="zh-CN"/>
        </w:rPr>
      </w:pPr>
    </w:p>
    <w:p w14:paraId="1C62EA82">
      <w:pPr>
        <w:spacing w:afterLines="25" w:line="300" w:lineRule="auto"/>
        <w:ind w:left="420"/>
        <w:jc w:val="center"/>
        <w:rPr>
          <w:rFonts w:hint="eastAsia" w:ascii="宋体" w:hAnsi="宋体" w:cs="Arial"/>
          <w:b/>
          <w:color w:val="000000"/>
          <w:sz w:val="28"/>
          <w:szCs w:val="28"/>
          <w:lang w:eastAsia="zh-CN"/>
        </w:rPr>
      </w:pPr>
    </w:p>
    <w:p w14:paraId="29CD3865">
      <w:pPr>
        <w:spacing w:afterLines="25" w:line="300" w:lineRule="auto"/>
        <w:ind w:left="420"/>
        <w:jc w:val="center"/>
        <w:rPr>
          <w:rFonts w:hint="eastAsia" w:ascii="宋体" w:hAnsi="宋体" w:cs="Arial"/>
          <w:b/>
          <w:color w:val="000000"/>
          <w:sz w:val="28"/>
          <w:szCs w:val="28"/>
          <w:lang w:eastAsia="zh-CN"/>
        </w:rPr>
      </w:pPr>
    </w:p>
    <w:p w14:paraId="5283C44A">
      <w:pPr>
        <w:spacing w:afterLines="25" w:line="300" w:lineRule="auto"/>
        <w:ind w:left="420"/>
        <w:jc w:val="center"/>
        <w:rPr>
          <w:rFonts w:hint="eastAsia" w:ascii="宋体" w:hAnsi="宋体" w:cs="Arial"/>
          <w:b/>
          <w:color w:val="000000"/>
          <w:sz w:val="28"/>
          <w:szCs w:val="28"/>
          <w:lang w:eastAsia="zh-CN"/>
        </w:rPr>
      </w:pPr>
    </w:p>
    <w:p w14:paraId="601A3C7B">
      <w:pPr>
        <w:spacing w:afterLines="25" w:line="300" w:lineRule="auto"/>
        <w:ind w:left="420"/>
        <w:jc w:val="center"/>
        <w:rPr>
          <w:rFonts w:hint="eastAsia" w:ascii="宋体" w:hAnsi="宋体" w:cs="Arial"/>
          <w:b/>
          <w:color w:val="000000"/>
          <w:sz w:val="28"/>
          <w:szCs w:val="28"/>
          <w:lang w:eastAsia="zh-CN"/>
        </w:rPr>
      </w:pPr>
    </w:p>
    <w:p w14:paraId="117253B7">
      <w:pPr>
        <w:spacing w:afterLines="25" w:line="300" w:lineRule="auto"/>
        <w:ind w:left="420"/>
        <w:jc w:val="center"/>
        <w:rPr>
          <w:rFonts w:hint="eastAsia" w:ascii="宋体" w:hAnsi="宋体" w:cs="Arial"/>
          <w:b/>
          <w:color w:val="000000"/>
          <w:sz w:val="28"/>
          <w:szCs w:val="28"/>
          <w:lang w:eastAsia="zh-CN"/>
        </w:rPr>
      </w:pPr>
    </w:p>
    <w:p w14:paraId="1B417FD0">
      <w:pPr>
        <w:spacing w:afterLines="25" w:line="300" w:lineRule="auto"/>
        <w:ind w:left="420"/>
        <w:jc w:val="center"/>
        <w:rPr>
          <w:rFonts w:hint="eastAsia" w:ascii="宋体" w:hAnsi="宋体" w:cs="Arial"/>
          <w:b/>
          <w:color w:val="000000"/>
          <w:sz w:val="28"/>
          <w:szCs w:val="28"/>
          <w:lang w:eastAsia="zh-CN"/>
        </w:rPr>
      </w:pPr>
    </w:p>
    <w:p w14:paraId="4B66E1CD">
      <w:pPr>
        <w:spacing w:afterLines="25" w:line="300" w:lineRule="auto"/>
        <w:ind w:left="420"/>
        <w:jc w:val="center"/>
        <w:rPr>
          <w:rFonts w:hint="eastAsia" w:ascii="宋体" w:hAnsi="宋体" w:cs="Arial"/>
          <w:b/>
          <w:color w:val="000000"/>
          <w:sz w:val="28"/>
          <w:szCs w:val="28"/>
          <w:lang w:eastAsia="zh-CN"/>
        </w:rPr>
      </w:pPr>
    </w:p>
    <w:p w14:paraId="1D6121C0">
      <w:pPr>
        <w:spacing w:afterLines="25" w:line="300" w:lineRule="auto"/>
        <w:ind w:left="420"/>
        <w:jc w:val="center"/>
        <w:rPr>
          <w:rFonts w:hint="eastAsia" w:ascii="宋体" w:hAnsi="宋体" w:cs="Arial"/>
          <w:b/>
          <w:color w:val="000000"/>
          <w:sz w:val="28"/>
          <w:szCs w:val="28"/>
          <w:lang w:eastAsia="zh-CN"/>
        </w:rPr>
      </w:pPr>
    </w:p>
    <w:p w14:paraId="41199043">
      <w:pPr>
        <w:spacing w:afterLines="25" w:line="300" w:lineRule="auto"/>
        <w:ind w:left="420"/>
        <w:jc w:val="center"/>
        <w:rPr>
          <w:rFonts w:hint="eastAsia" w:ascii="宋体" w:hAnsi="宋体" w:cs="Arial"/>
          <w:b/>
          <w:color w:val="000000"/>
          <w:sz w:val="28"/>
          <w:szCs w:val="28"/>
          <w:lang w:eastAsia="zh-CN"/>
        </w:rPr>
      </w:pPr>
    </w:p>
    <w:p w14:paraId="370BA50D">
      <w:pPr>
        <w:spacing w:afterLines="25" w:line="300" w:lineRule="auto"/>
        <w:jc w:val="both"/>
        <w:rPr>
          <w:rFonts w:hint="eastAsia" w:ascii="宋体" w:hAnsi="宋体" w:cs="Arial"/>
          <w:b/>
          <w:color w:val="000000"/>
          <w:sz w:val="28"/>
          <w:szCs w:val="28"/>
          <w:lang w:eastAsia="zh-CN"/>
        </w:rPr>
      </w:pPr>
    </w:p>
    <w:p w14:paraId="15F15449">
      <w:pPr>
        <w:spacing w:afterLines="25" w:line="300" w:lineRule="auto"/>
        <w:ind w:left="420"/>
        <w:jc w:val="center"/>
        <w:rPr>
          <w:rFonts w:hint="eastAsia" w:ascii="宋体" w:hAnsi="宋体" w:cs="Arial"/>
          <w:b/>
          <w:color w:val="000000"/>
          <w:sz w:val="28"/>
          <w:szCs w:val="28"/>
          <w:lang w:eastAsia="zh-CN"/>
        </w:rPr>
      </w:pP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34" w:name="_Toc18915"/>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rPr>
        <w:t>技术规格</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主要需求</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偏离表</w:t>
      </w:r>
      <w:bookmarkEnd w:id="34"/>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7"/>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30" w:type="dxa"/>
            <w:shd w:val="clear" w:color="auto" w:fill="EAF1DD" w:themeFill="accent3" w:themeFillTint="33"/>
            <w:vAlign w:val="center"/>
          </w:tcPr>
          <w:p w14:paraId="481DAB5C">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olor w:val="auto"/>
                <w:szCs w:val="21"/>
              </w:rPr>
              <w:t>序号</w:t>
            </w:r>
          </w:p>
        </w:tc>
        <w:tc>
          <w:tcPr>
            <w:tcW w:w="830" w:type="dxa"/>
            <w:shd w:val="clear" w:color="auto" w:fill="EAF1DD" w:themeFill="accent3" w:themeFillTint="33"/>
            <w:vAlign w:val="center"/>
          </w:tcPr>
          <w:p w14:paraId="5FB9D4F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货品名称</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证明文件</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44414953">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1</w:t>
            </w:r>
          </w:p>
        </w:tc>
        <w:tc>
          <w:tcPr>
            <w:tcW w:w="830" w:type="dxa"/>
            <w:vAlign w:val="center"/>
          </w:tcPr>
          <w:p w14:paraId="51285671">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11D6455C">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7CDBD0AC">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2</w:t>
            </w:r>
          </w:p>
        </w:tc>
        <w:tc>
          <w:tcPr>
            <w:tcW w:w="830" w:type="dxa"/>
            <w:vAlign w:val="center"/>
          </w:tcPr>
          <w:p w14:paraId="16343483">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1DF9696A">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559E886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3</w:t>
            </w:r>
          </w:p>
        </w:tc>
        <w:tc>
          <w:tcPr>
            <w:tcW w:w="830" w:type="dxa"/>
            <w:vAlign w:val="center"/>
          </w:tcPr>
          <w:p w14:paraId="778A6E0A">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2EFB38CE">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488C66C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4</w:t>
            </w:r>
          </w:p>
        </w:tc>
        <w:tc>
          <w:tcPr>
            <w:tcW w:w="830" w:type="dxa"/>
            <w:vAlign w:val="center"/>
          </w:tcPr>
          <w:p w14:paraId="212791FA">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3D4E48A8">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009DD5D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5</w:t>
            </w:r>
          </w:p>
        </w:tc>
        <w:tc>
          <w:tcPr>
            <w:tcW w:w="830" w:type="dxa"/>
            <w:vAlign w:val="center"/>
          </w:tcPr>
          <w:p w14:paraId="77CEAF63">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015303AC">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63127AB0">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6</w:t>
            </w:r>
          </w:p>
        </w:tc>
        <w:tc>
          <w:tcPr>
            <w:tcW w:w="830" w:type="dxa"/>
            <w:vAlign w:val="center"/>
          </w:tcPr>
          <w:p w14:paraId="73B101DF">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67486C06">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shd w:val="clear" w:color="auto" w:fill="auto"/>
            <w:vAlign w:val="center"/>
          </w:tcPr>
          <w:p w14:paraId="3136F83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w:t>
            </w:r>
          </w:p>
        </w:tc>
        <w:tc>
          <w:tcPr>
            <w:tcW w:w="830" w:type="dxa"/>
            <w:vAlign w:val="center"/>
          </w:tcPr>
          <w:p w14:paraId="44DBDA39">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247EF327">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5A12BB44">
      <w:pPr>
        <w:rPr>
          <w:color w:val="000000"/>
        </w:rPr>
      </w:pPr>
    </w:p>
    <w:p w14:paraId="0871B20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970BA39">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51E94B8">
      <w:pPr>
        <w:spacing w:after="60"/>
        <w:ind w:firstLine="2100" w:firstLineChars="1000"/>
        <w:jc w:val="both"/>
        <w:rPr>
          <w:rFonts w:hint="eastAsia" w:cs="Arial"/>
          <w:b/>
          <w:color w:val="000000"/>
          <w:sz w:val="28"/>
          <w:szCs w:val="28"/>
        </w:rPr>
      </w:pPr>
      <w:r>
        <w:rPr>
          <w:rFonts w:hint="eastAsia" w:ascii="宋体" w:hAnsi="宋体" w:cs="宋体"/>
          <w:color w:val="000000" w:themeColor="text1"/>
          <w:szCs w:val="21"/>
          <w14:textFill>
            <w14:solidFill>
              <w14:schemeClr w14:val="tx1"/>
            </w14:solidFill>
          </w14:textFill>
        </w:rPr>
        <w:t xml:space="preserve">  </w:t>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5" w:name="_Toc29077"/>
      <w:bookmarkStart w:id="36" w:name="_Toc20322_WPSOffice_Level1"/>
      <w:bookmarkStart w:id="37" w:name="_Toc1762"/>
      <w:bookmarkStart w:id="38" w:name="_Toc24434"/>
      <w:bookmarkStart w:id="39" w:name="_Toc9447"/>
      <w:bookmarkStart w:id="40" w:name="_Toc275865605"/>
      <w:bookmarkStart w:id="41" w:name="_Toc435514854"/>
      <w:bookmarkStart w:id="42" w:name="_Toc435515294"/>
      <w:r>
        <w:rPr>
          <w:rFonts w:hint="eastAsia" w:cs="宋体" w:asciiTheme="majorEastAsia" w:hAnsiTheme="majorEastAsia" w:eastAsiaTheme="majorEastAsia"/>
          <w:kern w:val="2"/>
          <w:sz w:val="30"/>
          <w:szCs w:val="30"/>
          <w:lang w:val="en-US" w:eastAsia="zh-CN" w:bidi="ar-SA"/>
        </w:rPr>
        <w:t>（十一）</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35"/>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7"/>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21E48A7">
      <w:pPr>
        <w:keepNext/>
        <w:keepLines/>
        <w:widowControl w:val="0"/>
        <w:numPr>
          <w:ilvl w:val="0"/>
          <w:numId w:val="0"/>
        </w:numPr>
        <w:spacing w:line="240" w:lineRule="auto"/>
        <w:jc w:val="center"/>
        <w:outlineLvl w:val="9"/>
        <w:rPr>
          <w:rFonts w:hint="eastAsia" w:asciiTheme="majorEastAsia" w:hAnsiTheme="majorEastAsia" w:eastAsiaTheme="majorEastAsia" w:cstheme="minorBidi"/>
          <w:b/>
          <w:kern w:val="44"/>
          <w:sz w:val="30"/>
          <w:szCs w:val="30"/>
          <w:lang w:val="en-US" w:eastAsia="zh-CN" w:bidi="ar-SA"/>
        </w:rPr>
      </w:pPr>
    </w:p>
    <w:p w14:paraId="14CAA0C3">
      <w:pPr>
        <w:rPr>
          <w:rFonts w:hint="eastAsia" w:asciiTheme="majorEastAsia" w:hAnsiTheme="majorEastAsia" w:eastAsiaTheme="majorEastAsia"/>
          <w:sz w:val="30"/>
          <w:szCs w:val="30"/>
          <w:lang w:eastAsia="zh-CN"/>
        </w:rPr>
      </w:pPr>
    </w:p>
    <w:p w14:paraId="27022725">
      <w:pPr>
        <w:rPr>
          <w:rFonts w:hint="eastAsia" w:asciiTheme="majorEastAsia" w:hAnsiTheme="majorEastAsia" w:eastAsiaTheme="majorEastAsia"/>
          <w:sz w:val="30"/>
          <w:szCs w:val="30"/>
          <w:lang w:eastAsia="zh-CN"/>
        </w:rPr>
      </w:pPr>
    </w:p>
    <w:p w14:paraId="6118258B">
      <w:pPr>
        <w:rPr>
          <w:rFonts w:hint="eastAsia"/>
          <w:lang w:eastAsia="zh-CN"/>
        </w:rPr>
      </w:pPr>
    </w:p>
    <w:p w14:paraId="51884ACB">
      <w:pPr>
        <w:pStyle w:val="2"/>
        <w:numPr>
          <w:ilvl w:val="0"/>
          <w:numId w:val="0"/>
        </w:numPr>
        <w:spacing w:line="240" w:lineRule="auto"/>
        <w:jc w:val="center"/>
        <w:rPr>
          <w:rFonts w:hint="eastAsia" w:cs="宋体" w:asciiTheme="majorEastAsia" w:hAnsiTheme="majorEastAsia" w:eastAsiaTheme="majorEastAsia"/>
          <w:b w:val="0"/>
          <w:kern w:val="2"/>
          <w:sz w:val="30"/>
          <w:szCs w:val="30"/>
          <w:lang w:val="en-US" w:eastAsia="zh-CN" w:bidi="ar-SA"/>
        </w:rPr>
      </w:pPr>
      <w:bookmarkStart w:id="43" w:name="_Toc28894"/>
      <w:r>
        <w:rPr>
          <w:rFonts w:hint="eastAsia" w:cs="宋体" w:asciiTheme="majorEastAsia" w:hAnsiTheme="majorEastAsia" w:eastAsiaTheme="majorEastAsia"/>
          <w:b w:val="0"/>
          <w:kern w:val="2"/>
          <w:sz w:val="30"/>
          <w:szCs w:val="30"/>
          <w:lang w:val="en-US" w:eastAsia="zh-CN" w:bidi="ar-SA"/>
        </w:rPr>
        <w:t>（十二）投标函</w:t>
      </w:r>
      <w:bookmarkEnd w:id="36"/>
      <w:bookmarkEnd w:id="37"/>
      <w:bookmarkEnd w:id="38"/>
      <w:bookmarkEnd w:id="39"/>
      <w:bookmarkEnd w:id="40"/>
      <w:bookmarkEnd w:id="41"/>
      <w:bookmarkEnd w:id="42"/>
      <w:bookmarkEnd w:id="4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14"/>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4"/>
        </w:numPr>
        <w:tabs>
          <w:tab w:val="clear" w:pos="780"/>
        </w:tabs>
        <w:snapToGrid w:val="0"/>
        <w:spacing w:line="360" w:lineRule="auto"/>
        <w:ind w:left="426"/>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4" w:name="_Toc24650"/>
      <w:bookmarkStart w:id="45" w:name="_Toc7805"/>
      <w:bookmarkStart w:id="46" w:name="_Toc435514855"/>
      <w:bookmarkStart w:id="47" w:name="_Toc435515295"/>
      <w:bookmarkStart w:id="48" w:name="_Toc275865606"/>
      <w:bookmarkStart w:id="49" w:name="_Toc26831"/>
      <w:bookmarkStart w:id="50" w:name="_Toc4649"/>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投标人资格声明函</w:t>
      </w:r>
      <w:bookmarkEnd w:id="44"/>
      <w:bookmarkEnd w:id="45"/>
      <w:bookmarkEnd w:id="46"/>
      <w:bookmarkEnd w:id="47"/>
      <w:bookmarkEnd w:id="48"/>
      <w:bookmarkEnd w:id="49"/>
      <w:bookmarkEnd w:id="50"/>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5"/>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5"/>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5"/>
        </w:numPr>
        <w:spacing w:line="360" w:lineRule="auto"/>
        <w:ind w:right="-815"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5"/>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5"/>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5"/>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5"/>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5"/>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5"/>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5"/>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5"/>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51" w:name="_承诺函"/>
      <w:bookmarkEnd w:id="51"/>
      <w:bookmarkStart w:id="52" w:name="_Toc32186"/>
      <w:bookmarkStart w:id="53" w:name="_Toc21707"/>
      <w:bookmarkStart w:id="54" w:name="_Toc52165081"/>
      <w:bookmarkStart w:id="55" w:name="_Toc50737329"/>
      <w:bookmarkStart w:id="56" w:name="_Toc27672"/>
      <w:bookmarkStart w:id="57" w:name="_Toc275865607"/>
      <w:bookmarkStart w:id="58" w:name="_Toc435515299"/>
      <w:bookmarkStart w:id="59" w:name="_Toc435514859"/>
      <w:bookmarkStart w:id="60" w:name="_Toc50737297"/>
      <w:bookmarkStart w:id="61" w:name="_Toc24149"/>
      <w:bookmarkStart w:id="62" w:name="_Toc50736477"/>
      <w:bookmarkStart w:id="63" w:name="_Toc50737328"/>
      <w:bookmarkStart w:id="64" w:name="_Toc52165080"/>
      <w:bookmarkStart w:id="65" w:name="_Toc50736476"/>
      <w:bookmarkStart w:id="66" w:name="_Toc50691034"/>
      <w:bookmarkStart w:id="67" w:name="_Toc50737296"/>
      <w:r>
        <w:rPr>
          <w:rFonts w:hint="eastAsia" w:cs="宋体" w:asciiTheme="majorEastAsia" w:hAnsiTheme="majorEastAsia" w:eastAsiaTheme="majorEastAsia"/>
          <w:kern w:val="2"/>
          <w:sz w:val="30"/>
          <w:szCs w:val="30"/>
          <w:lang w:val="en-US" w:eastAsia="zh-CN" w:bidi="ar-SA"/>
        </w:rPr>
        <w:t>（十四）政府采购违法行为风险知悉确认书</w:t>
      </w:r>
      <w:bookmarkEnd w:id="52"/>
      <w:bookmarkEnd w:id="53"/>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26"/>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bookmarkStart w:id="68" w:name="_Toc24374"/>
      <w:bookmarkStart w:id="69" w:name="_Toc13791"/>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法定代表人授权委托书</w:t>
      </w:r>
      <w:bookmarkEnd w:id="54"/>
      <w:bookmarkEnd w:id="55"/>
      <w:bookmarkEnd w:id="56"/>
      <w:bookmarkEnd w:id="57"/>
      <w:bookmarkEnd w:id="58"/>
      <w:bookmarkEnd w:id="59"/>
      <w:bookmarkEnd w:id="60"/>
      <w:bookmarkEnd w:id="61"/>
      <w:bookmarkEnd w:id="62"/>
      <w:bookmarkEnd w:id="68"/>
      <w:bookmarkEnd w:id="69"/>
    </w:p>
    <w:p w14:paraId="232C51C3">
      <w:pPr>
        <w:pStyle w:val="10"/>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10"/>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6"/>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70" w:name="_Toc435514860"/>
      <w:bookmarkStart w:id="71" w:name="_Toc14289"/>
      <w:bookmarkStart w:id="72" w:name="_Toc435515300"/>
      <w:bookmarkStart w:id="73" w:name="_Toc275865608"/>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备注：如参加开标时需另外单独提供法定代表人证明书或者法人代表授权委托书。</w:t>
      </w:r>
      <w:r>
        <w:rPr>
          <w:rFonts w:hint="eastAsia" w:asciiTheme="majorEastAsia" w:hAnsiTheme="majorEastAsia" w:eastAsiaTheme="majorEastAsia"/>
          <w:sz w:val="30"/>
          <w:szCs w:val="30"/>
        </w:rPr>
        <w:br w:type="page"/>
      </w:r>
    </w:p>
    <w:bookmarkEnd w:id="63"/>
    <w:bookmarkEnd w:id="64"/>
    <w:bookmarkEnd w:id="65"/>
    <w:bookmarkEnd w:id="66"/>
    <w:bookmarkEnd w:id="67"/>
    <w:bookmarkEnd w:id="70"/>
    <w:bookmarkEnd w:id="71"/>
    <w:bookmarkEnd w:id="72"/>
    <w:bookmarkEnd w:id="73"/>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4" w:name="_Toc21402"/>
      <w:bookmarkStart w:id="75" w:name="_Toc571"/>
      <w:bookmarkStart w:id="76" w:name="_Toc6666"/>
      <w:bookmarkStart w:id="77" w:name="_Toc7067"/>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74"/>
      <w:bookmarkEnd w:id="75"/>
      <w:bookmarkEnd w:id="76"/>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502F8DD2">
      <w:pPr>
        <w:spacing w:line="360" w:lineRule="auto"/>
        <w:ind w:firstLine="422" w:firstLineChars="200"/>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E63DD1E">
      <w:pPr>
        <w:spacing w:line="360" w:lineRule="auto"/>
        <w:ind w:firstLine="422" w:firstLineChars="200"/>
        <w:rPr>
          <w:rFonts w:hint="eastAsia" w:ascii="宋体" w:hAnsi="宋体" w:eastAsia="宋体" w:cs="宋体"/>
          <w:b/>
          <w:bCs w:val="0"/>
          <w:color w:val="auto"/>
          <w:kern w:val="0"/>
          <w:sz w:val="21"/>
          <w:szCs w:val="21"/>
          <w:highlight w:val="none"/>
          <w:lang w:eastAsia="zh-CN"/>
        </w:rPr>
      </w:pPr>
    </w:p>
    <w:p w14:paraId="08A4F398">
      <w:pPr>
        <w:spacing w:line="360" w:lineRule="auto"/>
        <w:jc w:val="center"/>
        <w:rPr>
          <w:rFonts w:hint="eastAsia" w:ascii="宋体" w:hAnsi="宋体" w:eastAsia="宋体" w:cs="宋体"/>
          <w:bCs/>
          <w:color w:val="auto"/>
          <w:sz w:val="21"/>
          <w:szCs w:val="21"/>
        </w:rPr>
      </w:pPr>
    </w:p>
    <w:p w14:paraId="08E7BD5D">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宋体"/>
          <w:b/>
          <w:bCs w:val="0"/>
          <w:kern w:val="0"/>
          <w:sz w:val="21"/>
          <w:szCs w:val="21"/>
          <w:highlight w:val="none"/>
          <w:lang w:val="en-US" w:eastAsia="zh-CN"/>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8" w:name="_Toc24233"/>
      <w:bookmarkStart w:id="79" w:name="_Toc10390"/>
      <w:bookmarkStart w:id="80" w:name="_Toc29263"/>
      <w:r>
        <w:rPr>
          <w:rFonts w:hint="eastAsia" w:cs="宋体" w:asciiTheme="majorEastAsia" w:hAnsiTheme="majorEastAsia" w:eastAsiaTheme="majorEastAsia"/>
          <w:kern w:val="2"/>
          <w:sz w:val="30"/>
          <w:szCs w:val="30"/>
          <w:lang w:val="en-US" w:eastAsia="zh-CN" w:bidi="ar-SA"/>
        </w:rPr>
        <w:t>（十七）</w:t>
      </w:r>
      <w:r>
        <w:rPr>
          <w:rFonts w:hint="eastAsia" w:asciiTheme="majorEastAsia" w:hAnsiTheme="majorEastAsia" w:eastAsiaTheme="majorEastAsia"/>
          <w:sz w:val="30"/>
          <w:szCs w:val="30"/>
        </w:rPr>
        <w:t>法定代表人证明书</w:t>
      </w:r>
      <w:bookmarkEnd w:id="77"/>
      <w:bookmarkEnd w:id="78"/>
      <w:bookmarkEnd w:id="79"/>
      <w:bookmarkEnd w:id="80"/>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81" w:name="_Toc23830"/>
      <w:bookmarkStart w:id="82" w:name="_Toc30412"/>
      <w:bookmarkStart w:id="83" w:name="_Toc24644"/>
      <w:r>
        <w:rPr>
          <w:rFonts w:hint="eastAsia" w:ascii="宋体" w:hAnsi="宋体" w:eastAsia="宋体" w:cs="宋体"/>
          <w:kern w:val="2"/>
          <w:sz w:val="30"/>
          <w:szCs w:val="30"/>
          <w:lang w:val="en-US" w:eastAsia="zh-CN" w:bidi="ar-SA"/>
        </w:rPr>
        <w:t>（十八）</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81"/>
      <w:bookmarkEnd w:id="82"/>
      <w:bookmarkEnd w:id="83"/>
    </w:p>
    <w:p w14:paraId="16E0E90C">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6CF6A4A8">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84" w:name="_Toc777"/>
      <w:bookmarkStart w:id="85" w:name="_Toc2305"/>
      <w:bookmarkStart w:id="86" w:name="_Toc1903"/>
      <w:bookmarkStart w:id="87" w:name="_Toc15871"/>
      <w:bookmarkStart w:id="88" w:name="_Toc11352"/>
      <w:bookmarkStart w:id="89" w:name="_Toc25910"/>
      <w:bookmarkStart w:id="90" w:name="_Toc7126"/>
      <w:bookmarkStart w:id="91" w:name="_Toc11926"/>
      <w:r>
        <w:rPr>
          <w:rFonts w:hint="eastAsia" w:ascii="宋体" w:hAnsi="宋体" w:eastAsia="宋体" w:cs="宋体"/>
          <w:color w:val="auto"/>
          <w:kern w:val="2"/>
          <w:sz w:val="30"/>
          <w:szCs w:val="30"/>
          <w:lang w:val="en-US" w:eastAsia="zh-CN" w:bidi="ar-SA"/>
        </w:rPr>
        <w:t>（十九）</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84"/>
      <w:bookmarkEnd w:id="85"/>
      <w:bookmarkEnd w:id="86"/>
      <w:bookmarkEnd w:id="87"/>
      <w:bookmarkEnd w:id="88"/>
      <w:bookmarkEnd w:id="89"/>
      <w:bookmarkEnd w:id="90"/>
      <w:bookmarkEnd w:id="91"/>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1C60B558">
      <w:pPr>
        <w:pStyle w:val="6"/>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601E95E">
      <w:pPr>
        <w:spacing w:line="500" w:lineRule="exact"/>
        <w:rPr>
          <w:rFonts w:ascii="宋体" w:hAnsi="宋体"/>
        </w:rPr>
      </w:pPr>
    </w:p>
    <w:p w14:paraId="0B1E9164">
      <w:pPr>
        <w:rPr>
          <w:rFonts w:hint="eastAsia"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16B3BBAB">
      <w:pPr>
        <w:pStyle w:val="3"/>
        <w:numPr>
          <w:ilvl w:val="0"/>
          <w:numId w:val="0"/>
        </w:numPr>
        <w:ind w:left="0" w:leftChars="0" w:firstLine="0" w:firstLineChars="0"/>
        <w:jc w:val="center"/>
        <w:outlineLvl w:val="0"/>
        <w:rPr>
          <w:rFonts w:ascii="宋体" w:hAnsi="宋体"/>
          <w:sz w:val="30"/>
          <w:szCs w:val="30"/>
        </w:rPr>
      </w:pPr>
      <w:bookmarkStart w:id="92" w:name="_Toc11555"/>
      <w:bookmarkStart w:id="93" w:name="_Toc23208"/>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bookmarkEnd w:id="92"/>
      <w:bookmarkEnd w:id="93"/>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03C066D2">
      <w:pPr>
        <w:ind w:right="-517" w:rightChars="-246"/>
        <w:jc w:val="center"/>
        <w:outlineLvl w:val="0"/>
        <w:rPr>
          <w:rFonts w:ascii="宋体" w:hAnsi="宋体"/>
          <w:b/>
          <w:bCs/>
          <w:snapToGrid w:val="0"/>
          <w:kern w:val="0"/>
          <w:sz w:val="32"/>
          <w:szCs w:val="32"/>
        </w:rPr>
      </w:pPr>
      <w:bookmarkStart w:id="94" w:name="_Toc7852"/>
      <w:bookmarkStart w:id="95" w:name="_Toc12169"/>
      <w:r>
        <w:rPr>
          <w:rFonts w:hint="eastAsia" w:cs="宋体" w:asciiTheme="majorEastAsia" w:hAnsiTheme="majorEastAsia" w:eastAsiaTheme="majorEastAsia"/>
          <w:kern w:val="2"/>
          <w:sz w:val="30"/>
          <w:szCs w:val="30"/>
          <w:lang w:val="en-US" w:eastAsia="zh-CN" w:bidi="ar-SA"/>
        </w:rPr>
        <w:t>（二十一）福田区第二人民医院医用耗材产品质量及货源保证书</w:t>
      </w:r>
      <w:bookmarkEnd w:id="94"/>
    </w:p>
    <w:p w14:paraId="24F2A31D">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488CF78A">
      <w:pPr>
        <w:adjustRightInd w:val="0"/>
        <w:snapToGrid w:val="0"/>
        <w:spacing w:line="360" w:lineRule="auto"/>
        <w:ind w:right="-61" w:rightChars="-29"/>
        <w:rPr>
          <w:rFonts w:hint="eastAsia" w:ascii="宋体" w:hAnsi="宋体"/>
          <w:bCs/>
          <w:sz w:val="24"/>
        </w:rPr>
      </w:pPr>
    </w:p>
    <w:p w14:paraId="0DCC0D28">
      <w:pPr>
        <w:adjustRightInd w:val="0"/>
        <w:snapToGrid w:val="0"/>
        <w:spacing w:line="360" w:lineRule="auto"/>
        <w:ind w:right="-61" w:rightChars="-29"/>
        <w:rPr>
          <w:rFonts w:ascii="宋体" w:hAnsi="宋体"/>
          <w:bCs/>
          <w:sz w:val="24"/>
        </w:rPr>
      </w:pPr>
      <w:r>
        <w:rPr>
          <w:rFonts w:hint="eastAsia" w:ascii="宋体" w:hAnsi="宋体"/>
          <w:bCs/>
          <w:sz w:val="24"/>
        </w:rPr>
        <w:t>致：深圳市福田</w:t>
      </w:r>
      <w:r>
        <w:rPr>
          <w:rFonts w:hint="eastAsia" w:ascii="宋体" w:hAnsi="宋体"/>
          <w:bCs/>
          <w:sz w:val="24"/>
          <w:lang w:val="en-US" w:eastAsia="zh-CN"/>
        </w:rPr>
        <w:t>区</w:t>
      </w:r>
      <w:r>
        <w:rPr>
          <w:rFonts w:hint="eastAsia" w:ascii="宋体" w:hAnsi="宋体"/>
          <w:bCs/>
          <w:sz w:val="24"/>
        </w:rPr>
        <w:t>第二人民医院</w:t>
      </w:r>
    </w:p>
    <w:p w14:paraId="6A363436">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14:paraId="093F31CE">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5D79EBCB">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0E7BCC23">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0AA110C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09F07223">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1ECD042D">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1383A58E">
      <w:pPr>
        <w:adjustRightInd w:val="0"/>
        <w:snapToGrid w:val="0"/>
        <w:spacing w:line="360" w:lineRule="auto"/>
        <w:ind w:firstLine="420" w:firstLineChars="200"/>
        <w:rPr>
          <w:rFonts w:ascii="宋体" w:hAnsi="宋体" w:cs="宋体"/>
          <w:snapToGrid w:val="0"/>
          <w:kern w:val="0"/>
          <w:szCs w:val="21"/>
          <w:u w:val="single"/>
        </w:rPr>
      </w:pPr>
    </w:p>
    <w:p w14:paraId="2C803421">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2DCFF11E">
      <w:pPr>
        <w:adjustRightInd w:val="0"/>
        <w:snapToGrid w:val="0"/>
        <w:spacing w:line="360" w:lineRule="auto"/>
        <w:ind w:firstLine="420" w:firstLineChars="200"/>
        <w:rPr>
          <w:rFonts w:ascii="宋体" w:hAnsi="宋体" w:cs="宋体"/>
          <w:snapToGrid w:val="0"/>
          <w:kern w:val="0"/>
          <w:szCs w:val="21"/>
          <w:u w:val="single"/>
        </w:rPr>
      </w:pPr>
    </w:p>
    <w:p w14:paraId="7EC93113">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1B673300">
      <w:pPr>
        <w:adjustRightInd w:val="0"/>
        <w:snapToGrid w:val="0"/>
        <w:spacing w:line="360" w:lineRule="auto"/>
        <w:ind w:firstLine="420" w:firstLineChars="200"/>
        <w:rPr>
          <w:rFonts w:ascii="宋体" w:hAnsi="宋体" w:cs="宋体"/>
          <w:snapToGrid w:val="0"/>
          <w:kern w:val="0"/>
          <w:szCs w:val="21"/>
          <w:u w:val="single"/>
        </w:rPr>
      </w:pPr>
    </w:p>
    <w:p w14:paraId="0ED56A2E">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1E79EE04">
      <w:pPr>
        <w:adjustRightInd w:val="0"/>
        <w:snapToGrid w:val="0"/>
        <w:spacing w:line="360" w:lineRule="auto"/>
        <w:ind w:firstLine="420" w:firstLineChars="200"/>
        <w:rPr>
          <w:rFonts w:ascii="宋体" w:hAnsi="宋体" w:cs="宋体"/>
          <w:snapToGrid w:val="0"/>
          <w:kern w:val="0"/>
          <w:szCs w:val="21"/>
          <w:u w:val="single"/>
        </w:rPr>
      </w:pPr>
    </w:p>
    <w:p w14:paraId="21A6E655">
      <w:pPr>
        <w:keepNext w:val="0"/>
        <w:keepLines w:val="0"/>
        <w:widowControl/>
        <w:suppressLineNumbers w:val="0"/>
        <w:jc w:val="center"/>
        <w:textAlignment w:val="center"/>
        <w:outlineLvl w:val="9"/>
        <w:rPr>
          <w:rFonts w:hint="eastAsia" w:ascii="宋体" w:hAnsi="宋体"/>
          <w:bCs/>
          <w:sz w:val="24"/>
        </w:rPr>
      </w:pPr>
      <w:r>
        <w:rPr>
          <w:rFonts w:hint="eastAsia" w:ascii="宋体" w:hAnsi="宋体"/>
          <w:bCs/>
          <w:sz w:val="24"/>
          <w:lang w:val="en-US" w:eastAsia="zh-CN"/>
        </w:rPr>
        <w:t xml:space="preserve">                 </w:t>
      </w: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400080CB">
      <w:pPr>
        <w:keepNext w:val="0"/>
        <w:keepLines w:val="0"/>
        <w:widowControl/>
        <w:suppressLineNumbers w:val="0"/>
        <w:jc w:val="center"/>
        <w:textAlignment w:val="center"/>
        <w:outlineLvl w:val="9"/>
        <w:rPr>
          <w:rFonts w:hint="eastAsia" w:ascii="宋体" w:hAnsi="宋体"/>
          <w:bCs/>
          <w:sz w:val="24"/>
        </w:rPr>
      </w:pPr>
    </w:p>
    <w:p w14:paraId="285F90F4">
      <w:pPr>
        <w:keepNext w:val="0"/>
        <w:keepLines w:val="0"/>
        <w:widowControl/>
        <w:suppressLineNumbers w:val="0"/>
        <w:jc w:val="center"/>
        <w:textAlignment w:val="center"/>
        <w:outlineLvl w:val="9"/>
        <w:rPr>
          <w:rFonts w:hint="eastAsia" w:ascii="宋体" w:hAnsi="宋体"/>
          <w:bCs/>
          <w:sz w:val="24"/>
        </w:rPr>
      </w:pPr>
    </w:p>
    <w:p w14:paraId="2177BF2F">
      <w:pPr>
        <w:keepNext w:val="0"/>
        <w:keepLines w:val="0"/>
        <w:widowControl/>
        <w:suppressLineNumbers w:val="0"/>
        <w:jc w:val="center"/>
        <w:textAlignment w:val="center"/>
        <w:outlineLvl w:val="9"/>
        <w:rPr>
          <w:rFonts w:hint="eastAsia" w:ascii="宋体" w:hAnsi="宋体"/>
          <w:bCs/>
          <w:sz w:val="24"/>
        </w:rPr>
      </w:pPr>
    </w:p>
    <w:p w14:paraId="63BC347D">
      <w:pPr>
        <w:keepNext w:val="0"/>
        <w:keepLines w:val="0"/>
        <w:widowControl/>
        <w:suppressLineNumbers w:val="0"/>
        <w:jc w:val="center"/>
        <w:textAlignment w:val="center"/>
        <w:outlineLvl w:val="9"/>
        <w:rPr>
          <w:rFonts w:hint="eastAsia" w:ascii="宋体" w:hAnsi="宋体"/>
          <w:bCs/>
          <w:sz w:val="24"/>
        </w:rPr>
      </w:pPr>
    </w:p>
    <w:p w14:paraId="3D60B64A">
      <w:pPr>
        <w:keepNext w:val="0"/>
        <w:keepLines w:val="0"/>
        <w:widowControl/>
        <w:suppressLineNumbers w:val="0"/>
        <w:jc w:val="center"/>
        <w:textAlignment w:val="center"/>
        <w:outlineLvl w:val="9"/>
        <w:rPr>
          <w:rFonts w:hint="eastAsia" w:ascii="宋体" w:hAnsi="宋体"/>
          <w:bCs/>
          <w:sz w:val="24"/>
        </w:rPr>
      </w:pPr>
    </w:p>
    <w:p w14:paraId="13BFBC40">
      <w:pPr>
        <w:keepNext w:val="0"/>
        <w:keepLines w:val="0"/>
        <w:widowControl/>
        <w:suppressLineNumbers w:val="0"/>
        <w:jc w:val="center"/>
        <w:textAlignment w:val="center"/>
        <w:outlineLvl w:val="9"/>
        <w:rPr>
          <w:rFonts w:hint="eastAsia" w:ascii="宋体" w:hAnsi="宋体"/>
          <w:bCs/>
          <w:sz w:val="24"/>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bookmarkStart w:id="96" w:name="_Toc9651"/>
      <w:r>
        <w:rPr>
          <w:rFonts w:hint="eastAsia" w:cs="宋体" w:asciiTheme="majorEastAsia" w:hAnsiTheme="majorEastAsia" w:eastAsiaTheme="majorEastAsia"/>
          <w:kern w:val="2"/>
          <w:sz w:val="30"/>
          <w:szCs w:val="30"/>
          <w:lang w:val="en-US" w:eastAsia="zh-CN" w:bidi="ar-SA"/>
        </w:rPr>
        <w:t>（二十二）</w:t>
      </w:r>
      <w:bookmarkEnd w:id="95"/>
      <w:r>
        <w:rPr>
          <w:rFonts w:hint="eastAsia" w:cs="宋体" w:asciiTheme="majorEastAsia" w:hAnsiTheme="majorEastAsia" w:eastAsiaTheme="majorEastAsia"/>
          <w:kern w:val="2"/>
          <w:sz w:val="30"/>
          <w:szCs w:val="30"/>
          <w:lang w:val="en-US" w:eastAsia="zh-CN" w:bidi="ar-SA"/>
        </w:rPr>
        <w:t>配送方案</w:t>
      </w:r>
      <w:bookmarkEnd w:id="96"/>
    </w:p>
    <w:p w14:paraId="25CC3BF9">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79A7817D">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配送时效保障方案</w:t>
      </w:r>
      <w:r>
        <w:rPr>
          <w:rFonts w:hint="eastAsia" w:asciiTheme="minorEastAsia" w:hAnsiTheme="minorEastAsia" w:eastAsiaTheme="minorEastAsia" w:cstheme="minorEastAsia"/>
          <w:color w:val="auto"/>
          <w:kern w:val="0"/>
          <w:szCs w:val="21"/>
          <w:highlight w:val="none"/>
          <w:lang w:eastAsia="zh-CN"/>
        </w:rPr>
        <w:t>；</w:t>
      </w:r>
    </w:p>
    <w:p w14:paraId="39805EE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eastAsia="zh-CN"/>
        </w:rPr>
        <w:t>；</w:t>
      </w:r>
    </w:p>
    <w:p w14:paraId="315E2D95">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配送</w:t>
      </w:r>
      <w:r>
        <w:rPr>
          <w:rFonts w:hint="eastAsia" w:asciiTheme="minorEastAsia" w:hAnsiTheme="minorEastAsia" w:eastAsiaTheme="minorEastAsia" w:cstheme="minorEastAsia"/>
          <w:color w:val="auto"/>
          <w:kern w:val="0"/>
          <w:szCs w:val="21"/>
          <w:highlight w:val="none"/>
        </w:rPr>
        <w:t>人员</w:t>
      </w:r>
      <w:r>
        <w:rPr>
          <w:rFonts w:hint="eastAsia" w:asciiTheme="minorEastAsia" w:hAnsiTheme="minorEastAsia" w:eastAsiaTheme="minorEastAsia" w:cstheme="minorEastAsia"/>
          <w:color w:val="auto"/>
          <w:kern w:val="0"/>
          <w:szCs w:val="21"/>
          <w:highlight w:val="none"/>
          <w:lang w:val="en-US" w:eastAsia="zh-CN"/>
        </w:rPr>
        <w:t>管理制度</w:t>
      </w:r>
      <w:r>
        <w:rPr>
          <w:rFonts w:hint="eastAsia" w:asciiTheme="minorEastAsia" w:hAnsiTheme="minorEastAsia" w:eastAsiaTheme="minorEastAsia" w:cstheme="minorEastAsia"/>
          <w:color w:val="auto"/>
          <w:kern w:val="0"/>
          <w:szCs w:val="21"/>
          <w:highlight w:val="none"/>
          <w:lang w:eastAsia="zh-CN"/>
        </w:rPr>
        <w:t>。</w:t>
      </w:r>
    </w:p>
    <w:p w14:paraId="4EE0BC0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64F853FC">
      <w:pPr>
        <w:widowControl w:val="0"/>
        <w:numPr>
          <w:ilvl w:val="0"/>
          <w:numId w:val="0"/>
        </w:numPr>
        <w:spacing w:after="60"/>
        <w:jc w:val="both"/>
        <w:rPr>
          <w:rFonts w:hint="eastAsia" w:cs="Arial"/>
          <w:color w:val="000000"/>
        </w:rPr>
      </w:pPr>
    </w:p>
    <w:p w14:paraId="1EE3FF98">
      <w:pPr>
        <w:widowControl w:val="0"/>
        <w:numPr>
          <w:ilvl w:val="0"/>
          <w:numId w:val="0"/>
        </w:numPr>
        <w:spacing w:after="60"/>
        <w:jc w:val="both"/>
        <w:rPr>
          <w:rFonts w:hint="eastAsia" w:cs="Arial"/>
          <w:color w:val="000000"/>
        </w:rPr>
      </w:pPr>
    </w:p>
    <w:p w14:paraId="3E0D9342">
      <w:pPr>
        <w:widowControl w:val="0"/>
        <w:numPr>
          <w:ilvl w:val="0"/>
          <w:numId w:val="0"/>
        </w:numPr>
        <w:spacing w:after="60"/>
        <w:jc w:val="both"/>
        <w:rPr>
          <w:rFonts w:hint="eastAsia" w:cs="Arial"/>
          <w:color w:val="000000"/>
        </w:rPr>
      </w:pPr>
    </w:p>
    <w:p w14:paraId="00047196">
      <w:pPr>
        <w:widowControl w:val="0"/>
        <w:numPr>
          <w:ilvl w:val="0"/>
          <w:numId w:val="0"/>
        </w:numPr>
        <w:spacing w:after="60"/>
        <w:jc w:val="both"/>
        <w:rPr>
          <w:rFonts w:hint="eastAsia" w:cs="Arial"/>
          <w:color w:val="000000"/>
        </w:rPr>
      </w:pPr>
    </w:p>
    <w:p w14:paraId="37883878">
      <w:pPr>
        <w:snapToGrid w:val="0"/>
        <w:ind w:left="0" w:leftChars="0" w:firstLine="0" w:firstLineChars="0"/>
        <w:jc w:val="center"/>
        <w:outlineLvl w:val="0"/>
        <w:rPr>
          <w:rFonts w:hint="eastAsia"/>
          <w:lang w:eastAsia="zh-CN"/>
        </w:rPr>
      </w:pPr>
      <w:bookmarkStart w:id="97" w:name="_Toc15077"/>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二十三</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售后服务方案</w:t>
      </w:r>
      <w:bookmarkEnd w:id="97"/>
    </w:p>
    <w:p w14:paraId="0210C3E9">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556F466D">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eastAsia="zh-CN"/>
        </w:rPr>
        <w:t>；</w:t>
      </w:r>
    </w:p>
    <w:p w14:paraId="575A6469">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应急供货和</w:t>
      </w:r>
      <w:r>
        <w:rPr>
          <w:rFonts w:hint="eastAsia" w:asciiTheme="minorEastAsia" w:hAnsiTheme="minorEastAsia" w:eastAsiaTheme="minorEastAsia" w:cstheme="minorEastAsia"/>
          <w:color w:val="auto"/>
          <w:kern w:val="0"/>
          <w:szCs w:val="21"/>
          <w:highlight w:val="none"/>
          <w:lang w:val="en-US" w:eastAsia="zh-CN"/>
        </w:rPr>
        <w:t>产品</w:t>
      </w:r>
      <w:r>
        <w:rPr>
          <w:rFonts w:hint="eastAsia" w:asciiTheme="minorEastAsia" w:hAnsiTheme="minorEastAsia" w:eastAsiaTheme="minorEastAsia" w:cstheme="minorEastAsia"/>
          <w:color w:val="auto"/>
          <w:kern w:val="0"/>
          <w:szCs w:val="21"/>
          <w:highlight w:val="none"/>
        </w:rPr>
        <w:t>退货方案</w:t>
      </w:r>
      <w:r>
        <w:rPr>
          <w:rFonts w:hint="eastAsia" w:asciiTheme="minorEastAsia" w:hAnsiTheme="minorEastAsia" w:eastAsiaTheme="minorEastAsia" w:cstheme="minorEastAsia"/>
          <w:color w:val="auto"/>
          <w:kern w:val="0"/>
          <w:szCs w:val="21"/>
          <w:highlight w:val="none"/>
          <w:lang w:eastAsia="zh-CN"/>
        </w:rPr>
        <w:t>；</w:t>
      </w:r>
    </w:p>
    <w:p w14:paraId="6D37CFEA">
      <w:pPr>
        <w:rPr>
          <w:rFonts w:hint="eastAsia"/>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基于招标文件中的售后服务要求进行合理预判，并承诺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cstheme="minorEastAsia"/>
          <w:color w:val="auto"/>
          <w:kern w:val="0"/>
          <w:szCs w:val="21"/>
          <w:highlight w:val="none"/>
          <w:lang w:eastAsia="zh-CN"/>
        </w:rPr>
        <w:t>。</w:t>
      </w: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08AF08E9">
      <w:pPr>
        <w:rPr>
          <w:rFonts w:hint="eastAsia"/>
          <w:lang w:eastAsia="zh-CN"/>
        </w:rPr>
      </w:pPr>
    </w:p>
    <w:p w14:paraId="60D15B59">
      <w:pPr>
        <w:rPr>
          <w:rFonts w:hint="eastAsia"/>
          <w:lang w:eastAsia="zh-CN"/>
        </w:rPr>
      </w:pPr>
    </w:p>
    <w:p w14:paraId="7557EF01">
      <w:pPr>
        <w:rPr>
          <w:rFonts w:hint="eastAsia"/>
          <w:lang w:eastAsia="zh-CN"/>
        </w:rPr>
      </w:pPr>
    </w:p>
    <w:p w14:paraId="6C3EEC4E">
      <w:pPr>
        <w:rPr>
          <w:rFonts w:hint="eastAsia"/>
          <w:lang w:eastAsia="zh-CN"/>
        </w:rPr>
      </w:pPr>
    </w:p>
    <w:p w14:paraId="62C1FB22">
      <w:pPr>
        <w:rPr>
          <w:rFonts w:hint="eastAsia"/>
          <w:lang w:eastAsia="zh-CN"/>
        </w:rPr>
      </w:pPr>
    </w:p>
    <w:p w14:paraId="22737CFA">
      <w:pPr>
        <w:rPr>
          <w:rFonts w:hint="eastAsia"/>
          <w:lang w:eastAsia="zh-CN"/>
        </w:rPr>
      </w:pPr>
    </w:p>
    <w:p w14:paraId="579A01D7">
      <w:pPr>
        <w:rPr>
          <w:rFonts w:hint="eastAsia"/>
          <w:lang w:eastAsia="zh-CN"/>
        </w:rPr>
      </w:pPr>
    </w:p>
    <w:p w14:paraId="448C72C7">
      <w:pPr>
        <w:rPr>
          <w:rFonts w:hint="eastAsia"/>
          <w:lang w:eastAsia="zh-CN"/>
        </w:rPr>
      </w:pPr>
    </w:p>
    <w:p w14:paraId="63D33E67">
      <w:pPr>
        <w:rPr>
          <w:rFonts w:hint="eastAsia"/>
          <w:lang w:eastAsia="zh-CN"/>
        </w:rPr>
      </w:pPr>
    </w:p>
    <w:p w14:paraId="6D94ED00">
      <w:pPr>
        <w:rPr>
          <w:rFonts w:hint="eastAsia"/>
          <w:lang w:eastAsia="zh-CN"/>
        </w:rPr>
      </w:pPr>
    </w:p>
    <w:p w14:paraId="77388CD7">
      <w:pPr>
        <w:rPr>
          <w:rFonts w:hint="eastAsia"/>
          <w:lang w:eastAsia="zh-CN"/>
        </w:rPr>
      </w:pPr>
    </w:p>
    <w:p w14:paraId="17DF79A4">
      <w:pPr>
        <w:rPr>
          <w:rFonts w:hint="eastAsia"/>
          <w:lang w:eastAsia="zh-CN"/>
        </w:rPr>
      </w:pPr>
    </w:p>
    <w:p w14:paraId="2E220D93">
      <w:pPr>
        <w:rPr>
          <w:rFonts w:hint="eastAsia"/>
          <w:lang w:eastAsia="zh-CN"/>
        </w:rPr>
      </w:pPr>
    </w:p>
    <w:p w14:paraId="70AD84C5">
      <w:pPr>
        <w:rPr>
          <w:rFonts w:hint="eastAsia"/>
          <w:lang w:eastAsia="zh-CN"/>
        </w:rPr>
      </w:pPr>
    </w:p>
    <w:p w14:paraId="4F68ED25">
      <w:pPr>
        <w:rPr>
          <w:rFonts w:hint="eastAsia"/>
          <w:lang w:eastAsia="zh-CN"/>
        </w:rPr>
      </w:pPr>
    </w:p>
    <w:p w14:paraId="06500827">
      <w:pPr>
        <w:rPr>
          <w:rFonts w:hint="eastAsia"/>
          <w:lang w:eastAsia="zh-CN"/>
        </w:rPr>
      </w:pPr>
    </w:p>
    <w:p w14:paraId="0B56BB10">
      <w:pPr>
        <w:rPr>
          <w:rFonts w:hint="eastAsia"/>
          <w:lang w:eastAsia="zh-CN"/>
        </w:rPr>
      </w:pPr>
    </w:p>
    <w:p w14:paraId="46A58252">
      <w:pPr>
        <w:rPr>
          <w:rFonts w:hint="eastAsia"/>
          <w:lang w:eastAsia="zh-CN"/>
        </w:rPr>
      </w:pPr>
    </w:p>
    <w:p w14:paraId="1BF22283">
      <w:pPr>
        <w:rPr>
          <w:rFonts w:hint="eastAsia"/>
          <w:lang w:eastAsia="zh-CN"/>
        </w:rPr>
      </w:pPr>
    </w:p>
    <w:p w14:paraId="01710207">
      <w:pPr>
        <w:rPr>
          <w:rFonts w:hint="eastAsia"/>
          <w:lang w:eastAsia="zh-CN"/>
        </w:rPr>
      </w:pPr>
    </w:p>
    <w:p w14:paraId="21D24E4F">
      <w:pPr>
        <w:rPr>
          <w:rFonts w:hint="eastAsia"/>
          <w:lang w:eastAsia="zh-CN"/>
        </w:rPr>
      </w:pPr>
    </w:p>
    <w:p w14:paraId="1D318D32">
      <w:pPr>
        <w:rPr>
          <w:rFonts w:hint="eastAsia"/>
          <w:lang w:eastAsia="zh-CN"/>
        </w:rPr>
      </w:pPr>
    </w:p>
    <w:p w14:paraId="395A22B5">
      <w:pPr>
        <w:rPr>
          <w:rFonts w:hint="eastAsia"/>
          <w:lang w:eastAsia="zh-CN"/>
        </w:rPr>
      </w:pPr>
    </w:p>
    <w:p w14:paraId="77A0A7D9">
      <w:pPr>
        <w:rPr>
          <w:rFonts w:hint="eastAsia"/>
          <w:lang w:eastAsia="zh-CN"/>
        </w:rPr>
      </w:pPr>
    </w:p>
    <w:p w14:paraId="6CCCB4D6">
      <w:pPr>
        <w:rPr>
          <w:rFonts w:hint="eastAsia"/>
          <w:lang w:eastAsia="zh-CN"/>
        </w:rPr>
      </w:pPr>
    </w:p>
    <w:p w14:paraId="50F6190D">
      <w:pPr>
        <w:rPr>
          <w:rFonts w:hint="eastAsia"/>
          <w:lang w:eastAsia="zh-CN"/>
        </w:rPr>
      </w:pPr>
    </w:p>
    <w:p w14:paraId="3CB0C099">
      <w:pPr>
        <w:rPr>
          <w:rFonts w:hint="eastAsia"/>
          <w:lang w:eastAsia="zh-CN"/>
        </w:rPr>
      </w:pPr>
    </w:p>
    <w:p w14:paraId="20D6CEFC">
      <w:pPr>
        <w:rPr>
          <w:rFonts w:hint="eastAsia"/>
          <w:lang w:eastAsia="zh-CN"/>
        </w:rPr>
      </w:pPr>
    </w:p>
    <w:p w14:paraId="085AE093">
      <w:pPr>
        <w:rPr>
          <w:rFonts w:hint="eastAsia"/>
          <w:lang w:eastAsia="zh-CN"/>
        </w:rPr>
      </w:pPr>
    </w:p>
    <w:p w14:paraId="7DD82DA0">
      <w:pPr>
        <w:rPr>
          <w:rFonts w:hint="eastAsia"/>
          <w:lang w:eastAsia="zh-CN"/>
        </w:rPr>
      </w:pPr>
    </w:p>
    <w:p w14:paraId="14CCD38F">
      <w:pPr>
        <w:rPr>
          <w:rFonts w:hint="eastAsia"/>
          <w:lang w:eastAsia="zh-CN"/>
        </w:rPr>
      </w:pPr>
    </w:p>
    <w:p w14:paraId="295F38B1">
      <w:pPr>
        <w:rPr>
          <w:rFonts w:hint="eastAsia"/>
          <w:lang w:eastAsia="zh-CN"/>
        </w:rPr>
      </w:pPr>
    </w:p>
    <w:p w14:paraId="5F19ED12">
      <w:pPr>
        <w:rPr>
          <w:rFonts w:hint="eastAsia"/>
          <w:lang w:eastAsia="zh-CN"/>
        </w:rPr>
      </w:pPr>
    </w:p>
    <w:p w14:paraId="5218CF74">
      <w:pPr>
        <w:snapToGrid w:val="0"/>
        <w:ind w:left="0" w:leftChars="0" w:firstLine="0" w:firstLineChars="0"/>
        <w:jc w:val="center"/>
        <w:outlineLvl w:val="0"/>
        <w:rPr>
          <w:rFonts w:hint="eastAsia" w:hAnsi="宋体" w:cs="Times New Roman" w:eastAsiaTheme="majorEastAsia"/>
          <w:sz w:val="30"/>
          <w:szCs w:val="30"/>
          <w:lang w:val="en-US" w:eastAsia="zh-CN"/>
        </w:rPr>
      </w:pPr>
      <w:bookmarkStart w:id="98" w:name="_Toc1492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二十四</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有效业绩</w:t>
      </w:r>
      <w:bookmarkEnd w:id="98"/>
      <w:r>
        <w:rPr>
          <w:rFonts w:hint="eastAsia" w:cs="宋体" w:asciiTheme="majorEastAsia" w:hAnsiTheme="majorEastAsia" w:eastAsiaTheme="majorEastAsia"/>
          <w:kern w:val="2"/>
          <w:sz w:val="30"/>
          <w:szCs w:val="30"/>
          <w:lang w:val="en-US" w:eastAsia="zh-CN" w:bidi="ar-SA"/>
        </w:rPr>
        <w:t xml:space="preserve"> </w:t>
      </w:r>
    </w:p>
    <w:p w14:paraId="2F919FE3">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4E4E21E2">
      <w:pPr>
        <w:keepNext w:val="0"/>
        <w:keepLines w:val="0"/>
        <w:pageBreakBefore w:val="0"/>
        <w:widowControl w:val="0"/>
        <w:kinsoku/>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cs="宋体"/>
          <w:kern w:val="0"/>
          <w:szCs w:val="21"/>
          <w:lang w:val="en-US" w:eastAsia="zh-CN"/>
        </w:rPr>
        <w:t>1、</w:t>
      </w:r>
      <w:r>
        <w:rPr>
          <w:rFonts w:hint="eastAsia" w:ascii="宋体" w:hAnsi="宋体" w:eastAsia="宋体" w:cs="宋体"/>
          <w:sz w:val="21"/>
          <w:szCs w:val="21"/>
          <w:highlight w:val="none"/>
          <w:lang w:val="en-US" w:eastAsia="zh-CN"/>
        </w:rPr>
        <w:t>需本投标单位出具的有效发票或合同，若非本投标单位出具的发票或合同，将做无效处理，不得分。</w:t>
      </w:r>
    </w:p>
    <w:p w14:paraId="68DA1438">
      <w:pPr>
        <w:numPr>
          <w:ilvl w:val="0"/>
          <w:numId w:val="0"/>
        </w:numPr>
        <w:spacing w:after="60"/>
        <w:rPr>
          <w:rFonts w:hint="eastAsia" w:ascii="宋体" w:hAnsi="宋体" w:cs="宋体"/>
          <w:kern w:val="0"/>
          <w:szCs w:val="21"/>
        </w:rPr>
      </w:pPr>
    </w:p>
    <w:p w14:paraId="0BB1432B">
      <w:pPr>
        <w:snapToGrid w:val="0"/>
        <w:ind w:left="0" w:leftChars="0" w:firstLine="0" w:firstLineChars="0"/>
        <w:jc w:val="left"/>
        <w:outlineLvl w:val="9"/>
        <w:rPr>
          <w:rFonts w:hint="eastAsia" w:asciiTheme="majorEastAsia" w:hAnsiTheme="majorEastAsia" w:eastAsiaTheme="majorEastAsia"/>
          <w:sz w:val="30"/>
          <w:szCs w:val="30"/>
          <w:lang w:val="en-US" w:eastAsia="zh-CN"/>
        </w:rPr>
      </w:pPr>
    </w:p>
    <w:p w14:paraId="4C5C68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0E4EAF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7EFEA72">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464AD7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CF9D94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3F242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985CE7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4F0036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1D92DD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FD79D6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F83C09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937BBE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2FA4B3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852629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98D907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43461D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742E5A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CB168E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5A41D1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837A58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ABB4E7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EF590C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8F3F26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44D4C7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00AC4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914539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F27F4B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AC66CF1">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0A6EE38">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B5DE535">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884C510">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99" w:name="_Toc17243"/>
      <w:r>
        <w:rPr>
          <w:rFonts w:hint="eastAsia" w:asciiTheme="majorEastAsia" w:hAnsiTheme="majorEastAsia" w:eastAsiaTheme="majorEastAsia"/>
          <w:sz w:val="30"/>
          <w:szCs w:val="30"/>
          <w:lang w:val="en-US" w:eastAsia="zh-CN"/>
        </w:rPr>
        <w:t>（二十五）履约评价</w:t>
      </w:r>
      <w:bookmarkEnd w:id="99"/>
    </w:p>
    <w:p w14:paraId="0FDF2BBA">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185B487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3E9C4E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984304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449141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B3E271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8C4AEA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3B550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048597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6785B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AD7F6C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8617E3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2737DF6">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E42D0B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6474E12">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E93B08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74EE8F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065097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3AF5FA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CCB9BF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F7948F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A27C7C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F73428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7797AD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F2A20A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6E6298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287AE31">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3FF304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DFA959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9FA855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A29C41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C04C87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6EF203F">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D31A44">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678DEE95">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0" w:name="_Toc27595"/>
      <w:r>
        <w:rPr>
          <w:rFonts w:hint="eastAsia" w:asciiTheme="majorEastAsia" w:hAnsiTheme="majorEastAsia" w:eastAsiaTheme="majorEastAsia"/>
          <w:sz w:val="30"/>
          <w:szCs w:val="30"/>
          <w:lang w:val="en-US" w:eastAsia="zh-CN"/>
        </w:rPr>
        <w:t>（二十六）仓储、运输能力</w:t>
      </w:r>
      <w:bookmarkEnd w:id="100"/>
    </w:p>
    <w:p w14:paraId="2E335241">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26C6E0D6">
      <w:pPr>
        <w:rPr>
          <w:rFonts w:hint="eastAsia"/>
          <w:lang w:eastAsia="zh-CN"/>
        </w:rPr>
      </w:pPr>
    </w:p>
    <w:p w14:paraId="76EC335F">
      <w:pPr>
        <w:rPr>
          <w:rFonts w:hint="eastAsia"/>
          <w:lang w:eastAsia="zh-CN"/>
        </w:rPr>
      </w:pPr>
    </w:p>
    <w:p w14:paraId="2E2DF0E5">
      <w:pPr>
        <w:rPr>
          <w:rFonts w:hint="eastAsia"/>
          <w:lang w:eastAsia="zh-CN"/>
        </w:rPr>
      </w:pPr>
    </w:p>
    <w:p w14:paraId="4183BCCE">
      <w:pPr>
        <w:rPr>
          <w:rFonts w:hint="eastAsia"/>
          <w:lang w:eastAsia="zh-CN"/>
        </w:rPr>
      </w:pPr>
    </w:p>
    <w:p w14:paraId="2B29BD12">
      <w:pPr>
        <w:rPr>
          <w:rFonts w:hint="eastAsia"/>
          <w:lang w:eastAsia="zh-CN"/>
        </w:rPr>
      </w:pPr>
    </w:p>
    <w:p w14:paraId="54F01619">
      <w:pPr>
        <w:rPr>
          <w:rFonts w:hint="eastAsia"/>
          <w:lang w:eastAsia="zh-CN"/>
        </w:rPr>
      </w:pPr>
    </w:p>
    <w:p w14:paraId="466D7132">
      <w:pPr>
        <w:rPr>
          <w:rFonts w:hint="eastAsia"/>
          <w:lang w:eastAsia="zh-CN"/>
        </w:rPr>
      </w:pPr>
    </w:p>
    <w:p w14:paraId="2B286014">
      <w:pPr>
        <w:rPr>
          <w:rFonts w:hint="eastAsia"/>
          <w:lang w:eastAsia="zh-CN"/>
        </w:rPr>
      </w:pPr>
    </w:p>
    <w:p w14:paraId="542B8F31">
      <w:pPr>
        <w:rPr>
          <w:rFonts w:hint="eastAsia"/>
          <w:lang w:eastAsia="zh-CN"/>
        </w:rPr>
      </w:pPr>
    </w:p>
    <w:p w14:paraId="07060269">
      <w:pPr>
        <w:rPr>
          <w:rFonts w:hint="eastAsia"/>
          <w:lang w:eastAsia="zh-CN"/>
        </w:rPr>
      </w:pPr>
    </w:p>
    <w:p w14:paraId="50B76194">
      <w:pPr>
        <w:rPr>
          <w:rFonts w:hint="eastAsia"/>
          <w:lang w:eastAsia="zh-CN"/>
        </w:rPr>
      </w:pPr>
    </w:p>
    <w:p w14:paraId="12E474A3">
      <w:pPr>
        <w:rPr>
          <w:rFonts w:hint="eastAsia"/>
          <w:lang w:eastAsia="zh-CN"/>
        </w:rPr>
      </w:pPr>
    </w:p>
    <w:p w14:paraId="367F0BDB">
      <w:pPr>
        <w:rPr>
          <w:rFonts w:hint="eastAsia"/>
          <w:lang w:eastAsia="zh-CN"/>
        </w:rPr>
      </w:pPr>
    </w:p>
    <w:p w14:paraId="40BFFDF4">
      <w:pPr>
        <w:rPr>
          <w:rFonts w:hint="eastAsia"/>
          <w:lang w:eastAsia="zh-CN"/>
        </w:rPr>
      </w:pPr>
    </w:p>
    <w:p w14:paraId="1A0E51E5">
      <w:pPr>
        <w:rPr>
          <w:rFonts w:hint="eastAsia"/>
          <w:lang w:eastAsia="zh-CN"/>
        </w:rPr>
      </w:pPr>
    </w:p>
    <w:p w14:paraId="1EDA50BC">
      <w:pPr>
        <w:rPr>
          <w:rFonts w:hint="eastAsia"/>
          <w:lang w:eastAsia="zh-CN"/>
        </w:rPr>
      </w:pPr>
    </w:p>
    <w:p w14:paraId="0EC2C6ED">
      <w:pPr>
        <w:rPr>
          <w:rFonts w:hint="eastAsia"/>
          <w:lang w:eastAsia="zh-CN"/>
        </w:rPr>
      </w:pPr>
    </w:p>
    <w:p w14:paraId="73C55927">
      <w:pPr>
        <w:rPr>
          <w:rFonts w:hint="eastAsia"/>
          <w:lang w:eastAsia="zh-CN"/>
        </w:rPr>
      </w:pPr>
    </w:p>
    <w:p w14:paraId="5E406433">
      <w:pPr>
        <w:rPr>
          <w:rFonts w:hint="eastAsia"/>
          <w:lang w:eastAsia="zh-CN"/>
        </w:rPr>
      </w:pPr>
    </w:p>
    <w:p w14:paraId="419BF86E">
      <w:pPr>
        <w:rPr>
          <w:rFonts w:hint="eastAsia"/>
          <w:lang w:eastAsia="zh-CN"/>
        </w:rPr>
      </w:pPr>
    </w:p>
    <w:p w14:paraId="5FB0FD63">
      <w:pPr>
        <w:rPr>
          <w:rFonts w:hint="eastAsia"/>
          <w:lang w:eastAsia="zh-CN"/>
        </w:rPr>
      </w:pPr>
    </w:p>
    <w:p w14:paraId="72743474">
      <w:pPr>
        <w:rPr>
          <w:rFonts w:hint="eastAsia"/>
          <w:lang w:eastAsia="zh-CN"/>
        </w:rPr>
      </w:pPr>
    </w:p>
    <w:p w14:paraId="645275F9">
      <w:pPr>
        <w:rPr>
          <w:rFonts w:hint="eastAsia"/>
          <w:lang w:eastAsia="zh-CN"/>
        </w:rPr>
      </w:pPr>
    </w:p>
    <w:p w14:paraId="60E1EB92">
      <w:pPr>
        <w:rPr>
          <w:rFonts w:hint="eastAsia"/>
          <w:lang w:eastAsia="zh-CN"/>
        </w:rPr>
      </w:pPr>
    </w:p>
    <w:p w14:paraId="4306A3B2">
      <w:pPr>
        <w:rPr>
          <w:rFonts w:hint="eastAsia"/>
          <w:lang w:eastAsia="zh-CN"/>
        </w:rPr>
      </w:pPr>
    </w:p>
    <w:p w14:paraId="33972586">
      <w:pPr>
        <w:rPr>
          <w:rFonts w:hint="eastAsia"/>
          <w:lang w:eastAsia="zh-CN"/>
        </w:rPr>
      </w:pPr>
    </w:p>
    <w:p w14:paraId="42428447">
      <w:pPr>
        <w:rPr>
          <w:rFonts w:hint="eastAsia"/>
          <w:lang w:eastAsia="zh-CN"/>
        </w:rPr>
      </w:pPr>
    </w:p>
    <w:p w14:paraId="268C1902">
      <w:pPr>
        <w:rPr>
          <w:rFonts w:hint="eastAsia"/>
          <w:lang w:eastAsia="zh-CN"/>
        </w:rPr>
      </w:pPr>
    </w:p>
    <w:p w14:paraId="0ADFCDD6">
      <w:pPr>
        <w:rPr>
          <w:rFonts w:hint="eastAsia"/>
          <w:lang w:eastAsia="zh-CN"/>
        </w:rPr>
      </w:pPr>
    </w:p>
    <w:p w14:paraId="2FDA49B1">
      <w:pPr>
        <w:rPr>
          <w:rFonts w:hint="eastAsia"/>
          <w:lang w:eastAsia="zh-CN"/>
        </w:rPr>
      </w:pPr>
    </w:p>
    <w:p w14:paraId="4D933435">
      <w:pPr>
        <w:rPr>
          <w:rFonts w:hint="eastAsia"/>
          <w:lang w:eastAsia="zh-CN"/>
        </w:rPr>
      </w:pPr>
    </w:p>
    <w:p w14:paraId="6CA39B18">
      <w:pPr>
        <w:rPr>
          <w:rFonts w:hint="eastAsia"/>
          <w:lang w:eastAsia="zh-CN"/>
        </w:rPr>
      </w:pPr>
    </w:p>
    <w:p w14:paraId="59B455D2">
      <w:pPr>
        <w:rPr>
          <w:rFonts w:hint="eastAsia"/>
          <w:lang w:eastAsia="zh-CN"/>
        </w:rPr>
      </w:pPr>
    </w:p>
    <w:p w14:paraId="29A3B3CA">
      <w:pPr>
        <w:rPr>
          <w:rFonts w:hint="eastAsia"/>
          <w:lang w:eastAsia="zh-CN"/>
        </w:rPr>
      </w:pPr>
    </w:p>
    <w:p w14:paraId="45419784">
      <w:pPr>
        <w:rPr>
          <w:rFonts w:hint="eastAsia"/>
          <w:lang w:eastAsia="zh-CN"/>
        </w:rPr>
      </w:pPr>
    </w:p>
    <w:p w14:paraId="4F277E24">
      <w:pPr>
        <w:rPr>
          <w:rFonts w:hint="eastAsia"/>
          <w:lang w:eastAsia="zh-CN"/>
        </w:rPr>
      </w:pPr>
    </w:p>
    <w:p w14:paraId="3F34FB71">
      <w:pPr>
        <w:rPr>
          <w:rFonts w:hint="eastAsia"/>
          <w:lang w:eastAsia="zh-CN"/>
        </w:rPr>
      </w:pPr>
    </w:p>
    <w:p w14:paraId="375B4959">
      <w:pPr>
        <w:rPr>
          <w:rFonts w:hint="eastAsia"/>
          <w:lang w:eastAsia="zh-CN"/>
        </w:rPr>
      </w:pPr>
    </w:p>
    <w:p w14:paraId="654A794D">
      <w:pPr>
        <w:rPr>
          <w:rFonts w:hint="eastAsia"/>
          <w:lang w:eastAsia="zh-CN"/>
        </w:rPr>
      </w:pPr>
    </w:p>
    <w:p w14:paraId="655F4A10">
      <w:pPr>
        <w:rPr>
          <w:rFonts w:hint="eastAsia"/>
          <w:lang w:eastAsia="zh-CN"/>
        </w:rPr>
      </w:pPr>
    </w:p>
    <w:p w14:paraId="4BF2B290">
      <w:pPr>
        <w:rPr>
          <w:rFonts w:hint="eastAsia"/>
          <w:lang w:eastAsia="zh-CN"/>
        </w:rPr>
      </w:pPr>
    </w:p>
    <w:p w14:paraId="2833A2D6">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1" w:name="_Toc23393"/>
      <w:r>
        <w:rPr>
          <w:rFonts w:hint="eastAsia" w:asciiTheme="majorEastAsia" w:hAnsiTheme="majorEastAsia" w:eastAsiaTheme="majorEastAsia"/>
          <w:sz w:val="30"/>
          <w:szCs w:val="30"/>
          <w:lang w:val="en-US" w:eastAsia="zh-CN"/>
        </w:rPr>
        <w:t>（二十七）</w:t>
      </w:r>
      <w:r>
        <w:rPr>
          <w:rFonts w:hint="eastAsia" w:hAnsi="宋体" w:cs="Times New Roman" w:eastAsiaTheme="majorEastAsia"/>
          <w:sz w:val="30"/>
          <w:szCs w:val="30"/>
          <w:lang w:val="en-US" w:eastAsia="zh-CN"/>
        </w:rPr>
        <w:t>招标文件要求的其他内容及投标人认为需要加以说明其他内容</w:t>
      </w:r>
      <w:bookmarkEnd w:id="101"/>
    </w:p>
    <w:p w14:paraId="7DC97AFA">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31DCB9E7">
      <w:pPr>
        <w:rPr>
          <w:rFonts w:hint="eastAsia"/>
          <w:lang w:eastAsia="zh-CN"/>
        </w:rPr>
      </w:pPr>
    </w:p>
    <w:p w14:paraId="7A2686DA">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1123D5C2">
      <w:pPr>
        <w:keepNext w:val="0"/>
        <w:keepLines w:val="0"/>
        <w:widowControl/>
        <w:numPr>
          <w:ilvl w:val="0"/>
          <w:numId w:val="0"/>
        </w:numPr>
        <w:suppressLineNumbers w:val="0"/>
        <w:jc w:val="both"/>
        <w:textAlignment w:val="center"/>
        <w:rPr>
          <w:rFonts w:hint="eastAsia" w:ascii="宋体" w:hAnsi="宋体" w:eastAsia="宋体" w:cs="宋体"/>
          <w:color w:val="000000"/>
          <w:kern w:val="2"/>
          <w:sz w:val="30"/>
          <w:szCs w:val="30"/>
          <w:lang w:val="en-US" w:eastAsia="zh-CN" w:bidi="ar"/>
        </w:rPr>
      </w:pPr>
      <w:bookmarkStart w:id="102" w:name="_Toc438223136"/>
      <w:bookmarkStart w:id="103" w:name="_Toc11652"/>
      <w:bookmarkStart w:id="104" w:name="_Toc14580"/>
      <w:bookmarkStart w:id="105" w:name="_Toc435174933"/>
      <w:bookmarkStart w:id="106" w:name="_Toc1658"/>
      <w:bookmarkStart w:id="107" w:name="_Toc435516650"/>
    </w:p>
    <w:p w14:paraId="12AF93DD">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9411F40">
      <w:pPr>
        <w:widowControl w:val="0"/>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389BA55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A60B93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6556F5">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06F2EE0">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081E53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138DCA">
      <w:pPr>
        <w:widowControl w:val="0"/>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10E9FFD5">
      <w:pPr>
        <w:pStyle w:val="3"/>
        <w:numPr>
          <w:ilvl w:val="0"/>
          <w:numId w:val="16"/>
        </w:numPr>
        <w:spacing w:line="240" w:lineRule="auto"/>
        <w:jc w:val="center"/>
        <w:outlineLvl w:val="0"/>
        <w:rPr>
          <w:rFonts w:asciiTheme="majorEastAsia" w:hAnsiTheme="majorEastAsia" w:eastAsiaTheme="majorEastAsia"/>
          <w:sz w:val="32"/>
          <w:szCs w:val="32"/>
          <w:lang w:eastAsia="zh-TW"/>
        </w:rPr>
      </w:pPr>
      <w:bookmarkStart w:id="108" w:name="_Toc30434"/>
      <w:r>
        <w:rPr>
          <w:rFonts w:asciiTheme="majorEastAsia" w:hAnsiTheme="majorEastAsia" w:eastAsiaTheme="majorEastAsia"/>
          <w:sz w:val="32"/>
          <w:szCs w:val="32"/>
          <w:lang w:eastAsia="zh-TW"/>
        </w:rPr>
        <w:t>说 明</w:t>
      </w:r>
      <w:bookmarkEnd w:id="102"/>
      <w:bookmarkEnd w:id="103"/>
      <w:bookmarkEnd w:id="104"/>
      <w:bookmarkEnd w:id="105"/>
      <w:bookmarkEnd w:id="106"/>
      <w:bookmarkEnd w:id="107"/>
      <w:bookmarkEnd w:id="108"/>
      <w:bookmarkStart w:id="109" w:name="_Toc292267791"/>
    </w:p>
    <w:p w14:paraId="7D46DAAC">
      <w:pPr>
        <w:numPr>
          <w:ilvl w:val="0"/>
          <w:numId w:val="0"/>
        </w:numPr>
        <w:jc w:val="center"/>
        <w:rPr>
          <w:rFonts w:hint="default" w:eastAsiaTheme="minorEastAsia"/>
          <w:sz w:val="30"/>
          <w:szCs w:val="30"/>
          <w:lang w:val="en-US" w:eastAsia="zh-CN"/>
        </w:rPr>
      </w:pPr>
      <w:r>
        <w:rPr>
          <w:rFonts w:hint="eastAsia"/>
          <w:sz w:val="30"/>
          <w:szCs w:val="30"/>
          <w:lang w:val="en-US" w:eastAsia="zh-CN"/>
        </w:rPr>
        <w:t>总则</w:t>
      </w:r>
    </w:p>
    <w:p w14:paraId="2E0060AA">
      <w:pPr>
        <w:numPr>
          <w:ilvl w:val="0"/>
          <w:numId w:val="17"/>
        </w:numPr>
        <w:autoSpaceDE w:val="0"/>
        <w:autoSpaceDN w:val="0"/>
        <w:adjustRightInd w:val="0"/>
        <w:snapToGrid w:val="0"/>
        <w:spacing w:line="360" w:lineRule="auto"/>
        <w:outlineLvl w:val="1"/>
        <w:rPr>
          <w:rFonts w:ascii="宋体" w:hAnsi="宋体"/>
          <w:b/>
          <w:bCs/>
          <w:szCs w:val="21"/>
        </w:rPr>
      </w:pPr>
      <w:r>
        <w:rPr>
          <w:rFonts w:hint="eastAsia" w:ascii="宋体" w:hAnsi="宋体"/>
          <w:b/>
          <w:bCs/>
          <w:szCs w:val="21"/>
        </w:rPr>
        <w:t>适用范围</w:t>
      </w:r>
    </w:p>
    <w:p w14:paraId="1F1A13F4">
      <w:pPr>
        <w:numPr>
          <w:ilvl w:val="0"/>
          <w:numId w:val="0"/>
        </w:numPr>
        <w:autoSpaceDE w:val="0"/>
        <w:autoSpaceDN w:val="0"/>
        <w:adjustRightInd w:val="0"/>
        <w:snapToGrid w:val="0"/>
        <w:spacing w:line="360" w:lineRule="auto"/>
        <w:ind w:leftChars="0"/>
        <w:jc w:val="left"/>
        <w:outlineLvl w:val="9"/>
        <w:rPr>
          <w:rFonts w:ascii="宋体" w:hAnsi="宋体"/>
          <w:b/>
          <w:bCs/>
          <w:szCs w:val="21"/>
        </w:rPr>
      </w:pPr>
      <w:r>
        <w:rPr>
          <w:rFonts w:hint="eastAsia" w:ascii="宋体" w:hAnsi="宋体"/>
          <w:szCs w:val="21"/>
          <w:lang w:val="en-US" w:eastAsia="zh-CN"/>
        </w:rPr>
        <w:t>1.1.</w:t>
      </w:r>
      <w:r>
        <w:rPr>
          <w:rFonts w:hint="eastAsia" w:ascii="宋体" w:hAnsi="宋体"/>
          <w:szCs w:val="21"/>
        </w:rPr>
        <w:t>本招标文件适用于本投标邀请中所述采购项目。</w:t>
      </w:r>
    </w:p>
    <w:p w14:paraId="39FB9C80">
      <w:pPr>
        <w:numPr>
          <w:ilvl w:val="0"/>
          <w:numId w:val="0"/>
        </w:numPr>
        <w:autoSpaceDE w:val="0"/>
        <w:autoSpaceDN w:val="0"/>
        <w:adjustRightInd w:val="0"/>
        <w:snapToGrid w:val="0"/>
        <w:spacing w:line="360" w:lineRule="auto"/>
        <w:ind w:leftChars="0"/>
        <w:jc w:val="left"/>
        <w:outlineLvl w:val="9"/>
        <w:rPr>
          <w:rFonts w:hint="eastAsia" w:ascii="宋体" w:hAnsi="宋体"/>
          <w:szCs w:val="21"/>
        </w:rPr>
      </w:pPr>
      <w:r>
        <w:rPr>
          <w:rFonts w:hint="eastAsia" w:ascii="宋体" w:hAnsi="宋体"/>
          <w:szCs w:val="21"/>
          <w:lang w:val="en-US" w:eastAsia="zh-CN"/>
        </w:rPr>
        <w:t>1.2.</w:t>
      </w:r>
      <w:r>
        <w:rPr>
          <w:rFonts w:hint="eastAsia" w:ascii="宋体" w:hAnsi="宋体"/>
          <w:szCs w:val="21"/>
        </w:rPr>
        <w:t>本项目参照《深圳经济特区政府采购条例》《深圳经济特区政府采购条例实施细则》的规定，并参考有关法规、政策、规章、规定，通过公开招标择优选定供应商。</w:t>
      </w:r>
    </w:p>
    <w:p w14:paraId="0810A1EC">
      <w:pPr>
        <w:numPr>
          <w:ilvl w:val="0"/>
          <w:numId w:val="0"/>
        </w:numPr>
        <w:autoSpaceDE w:val="0"/>
        <w:autoSpaceDN w:val="0"/>
        <w:adjustRightInd w:val="0"/>
        <w:snapToGrid w:val="0"/>
        <w:spacing w:line="360" w:lineRule="auto"/>
        <w:ind w:leftChars="0"/>
        <w:jc w:val="left"/>
        <w:outlineLvl w:val="9"/>
        <w:rPr>
          <w:rFonts w:ascii="宋体" w:hAnsi="宋体"/>
          <w:b/>
          <w:bCs/>
          <w:szCs w:val="21"/>
        </w:rPr>
      </w:pPr>
      <w:r>
        <w:rPr>
          <w:rFonts w:hint="eastAsia" w:ascii="宋体" w:hAnsi="宋体"/>
          <w:szCs w:val="21"/>
          <w:lang w:val="en-US" w:eastAsia="zh-CN"/>
        </w:rPr>
        <w:t>1.3.</w:t>
      </w:r>
      <w:r>
        <w:rPr>
          <w:rFonts w:hint="eastAsia" w:ascii="宋体" w:hAnsi="宋体"/>
          <w:szCs w:val="21"/>
        </w:rPr>
        <w:t>本招标文件适用于货物采购项目。</w:t>
      </w:r>
    </w:p>
    <w:p w14:paraId="568103BF">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r>
        <w:rPr>
          <w:rFonts w:hint="eastAsia" w:ascii="宋体" w:hAnsi="宋体"/>
          <w:b/>
          <w:szCs w:val="21"/>
        </w:rPr>
        <w:t>定义</w:t>
      </w:r>
    </w:p>
    <w:p w14:paraId="56CC9383">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2.1.</w:t>
      </w:r>
      <w:r>
        <w:rPr>
          <w:rFonts w:hint="eastAsia" w:ascii="宋体" w:hAnsi="宋体"/>
          <w:szCs w:val="21"/>
        </w:rPr>
        <w:t>采购人</w:t>
      </w:r>
      <w:r>
        <w:rPr>
          <w:rFonts w:hint="eastAsia" w:ascii="宋体" w:hAnsi="宋体"/>
          <w:szCs w:val="21"/>
          <w:lang w:val="en-US" w:eastAsia="zh-CN"/>
        </w:rPr>
        <w:t>是</w:t>
      </w:r>
      <w:r>
        <w:rPr>
          <w:rFonts w:hint="eastAsia" w:ascii="宋体" w:hAnsi="宋体"/>
          <w:szCs w:val="21"/>
        </w:rPr>
        <w:t>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4ED61172">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2.2.</w:t>
      </w:r>
      <w:r>
        <w:rPr>
          <w:rFonts w:hint="eastAsia" w:ascii="宋体" w:hAnsi="宋体"/>
          <w:szCs w:val="21"/>
        </w:rPr>
        <w:t>供应商是指向采购人提供货物、工程或者服务的法人、其他组织或者自然人。</w:t>
      </w:r>
    </w:p>
    <w:p w14:paraId="65BBC7FD">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2.3.评标</w:t>
      </w:r>
      <w:r>
        <w:rPr>
          <w:rFonts w:hint="eastAsia" w:ascii="宋体" w:hAnsi="宋体"/>
          <w:szCs w:val="21"/>
        </w:rPr>
        <w:t>委员会是</w:t>
      </w:r>
      <w:r>
        <w:rPr>
          <w:rFonts w:hint="eastAsia" w:ascii="宋体" w:hAnsi="宋体"/>
          <w:szCs w:val="21"/>
          <w:lang w:val="en-US" w:eastAsia="zh-CN"/>
        </w:rPr>
        <w:t>指</w:t>
      </w:r>
      <w:r>
        <w:rPr>
          <w:rFonts w:hint="eastAsia" w:ascii="宋体" w:hAnsi="宋体"/>
          <w:szCs w:val="21"/>
        </w:rPr>
        <w:t>专门负责本项目评标工作的临时性机构。</w:t>
      </w:r>
    </w:p>
    <w:p w14:paraId="4C4B9415">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2.4.</w:t>
      </w:r>
      <w:r>
        <w:rPr>
          <w:rFonts w:hint="eastAsia" w:ascii="宋体" w:hAnsi="宋体"/>
          <w:szCs w:val="21"/>
        </w:rPr>
        <w:t>投标人是指响应招标、参加投标竞争的法人、其他组织或者自然人。</w:t>
      </w:r>
    </w:p>
    <w:p w14:paraId="394F0171">
      <w:pPr>
        <w:numPr>
          <w:ilvl w:val="0"/>
          <w:numId w:val="0"/>
        </w:numPr>
        <w:autoSpaceDE w:val="0"/>
        <w:autoSpaceDN w:val="0"/>
        <w:adjustRightInd w:val="0"/>
        <w:snapToGrid w:val="0"/>
        <w:spacing w:line="360" w:lineRule="auto"/>
        <w:ind w:leftChars="0"/>
        <w:outlineLvl w:val="9"/>
        <w:rPr>
          <w:rFonts w:ascii="宋体" w:hAnsi="宋体"/>
          <w:szCs w:val="21"/>
        </w:rPr>
      </w:pPr>
      <w:r>
        <w:rPr>
          <w:rFonts w:hint="eastAsia" w:ascii="宋体" w:hAnsi="宋体"/>
          <w:szCs w:val="21"/>
          <w:lang w:val="en-US" w:eastAsia="zh-CN"/>
        </w:rPr>
        <w:t>2.5.</w:t>
      </w:r>
      <w:r>
        <w:rPr>
          <w:rFonts w:hint="eastAsia" w:ascii="宋体" w:hAnsi="宋体"/>
          <w:szCs w:val="21"/>
        </w:rPr>
        <w:t>中标人是指经法定程序确定并授予合同的投标人。</w:t>
      </w:r>
    </w:p>
    <w:p w14:paraId="176C9523">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2.6.</w:t>
      </w:r>
      <w:r>
        <w:rPr>
          <w:rFonts w:hint="eastAsia" w:ascii="宋体" w:hAnsi="宋体"/>
          <w:szCs w:val="21"/>
        </w:rPr>
        <w:t>合同</w:t>
      </w:r>
      <w:r>
        <w:rPr>
          <w:rFonts w:hint="eastAsia" w:ascii="宋体" w:hAnsi="宋体"/>
          <w:szCs w:val="21"/>
          <w:lang w:val="en-US" w:eastAsia="zh-CN"/>
        </w:rPr>
        <w:t>是是</w:t>
      </w:r>
      <w:r>
        <w:rPr>
          <w:rFonts w:hint="eastAsia" w:ascii="宋体" w:hAnsi="宋体"/>
          <w:szCs w:val="21"/>
        </w:rPr>
        <w:t>指由本次招标所产生的合同或合约文件。</w:t>
      </w:r>
    </w:p>
    <w:p w14:paraId="0EE11412">
      <w:pPr>
        <w:numPr>
          <w:ilvl w:val="0"/>
          <w:numId w:val="0"/>
        </w:numPr>
        <w:autoSpaceDE w:val="0"/>
        <w:autoSpaceDN w:val="0"/>
        <w:adjustRightInd w:val="0"/>
        <w:snapToGrid w:val="0"/>
        <w:spacing w:line="360" w:lineRule="auto"/>
        <w:ind w:leftChars="0"/>
        <w:outlineLvl w:val="9"/>
        <w:rPr>
          <w:rFonts w:hint="eastAsia" w:ascii="宋体" w:hAnsi="宋体"/>
          <w:szCs w:val="21"/>
        </w:rPr>
      </w:pPr>
      <w:r>
        <w:rPr>
          <w:rFonts w:hint="eastAsia" w:ascii="宋体" w:hAnsi="宋体"/>
          <w:szCs w:val="21"/>
          <w:lang w:val="en-US" w:eastAsia="zh-CN"/>
        </w:rPr>
        <w:t>2.7.</w:t>
      </w:r>
      <w:r>
        <w:rPr>
          <w:rFonts w:hint="eastAsia" w:ascii="宋体" w:hAnsi="宋体"/>
          <w:szCs w:val="21"/>
        </w:rPr>
        <w:t>纸质投标文件</w:t>
      </w:r>
      <w:r>
        <w:rPr>
          <w:rFonts w:hint="eastAsia" w:ascii="宋体" w:hAnsi="宋体"/>
          <w:szCs w:val="21"/>
          <w:lang w:val="en-US" w:eastAsia="zh-CN"/>
        </w:rPr>
        <w:t>是</w:t>
      </w:r>
      <w:r>
        <w:rPr>
          <w:rFonts w:hint="eastAsia" w:ascii="宋体" w:hAnsi="宋体"/>
          <w:szCs w:val="21"/>
        </w:rPr>
        <w:t>指根据本招标文件模板的要求规范填写，打印输出并盖有单位公章的投标文件原件。</w:t>
      </w:r>
    </w:p>
    <w:p w14:paraId="0DADBB14">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2.8.</w:t>
      </w:r>
      <w:r>
        <w:rPr>
          <w:rFonts w:hint="eastAsia" w:ascii="宋体" w:hAnsi="宋体"/>
          <w:szCs w:val="21"/>
        </w:rPr>
        <w:t>现场投标</w:t>
      </w:r>
      <w:r>
        <w:rPr>
          <w:rFonts w:hint="eastAsia" w:ascii="宋体" w:hAnsi="宋体"/>
          <w:szCs w:val="21"/>
          <w:lang w:val="en-US" w:eastAsia="zh-CN"/>
        </w:rPr>
        <w:t>是</w:t>
      </w:r>
      <w:r>
        <w:rPr>
          <w:rFonts w:hint="eastAsia" w:ascii="宋体" w:hAnsi="宋体"/>
          <w:szCs w:val="21"/>
        </w:rPr>
        <w:t>指在规定时间内直接向</w:t>
      </w:r>
      <w:r>
        <w:rPr>
          <w:rFonts w:hint="eastAsia" w:ascii="宋体" w:hAnsi="宋体"/>
          <w:szCs w:val="21"/>
          <w:lang w:val="en-US" w:eastAsia="zh-CN"/>
        </w:rPr>
        <w:t>我院</w:t>
      </w:r>
      <w:r>
        <w:rPr>
          <w:rFonts w:hint="eastAsia" w:ascii="宋体" w:hAnsi="宋体"/>
          <w:szCs w:val="21"/>
        </w:rPr>
        <w:t>提交纸质投标文件。</w:t>
      </w:r>
    </w:p>
    <w:p w14:paraId="4EC4B668">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2.9.</w:t>
      </w:r>
      <w:r>
        <w:rPr>
          <w:rFonts w:hint="eastAsia" w:ascii="宋体" w:hAnsi="宋体"/>
          <w:szCs w:val="21"/>
        </w:rPr>
        <w:t>招标文件中的标题或题名仅起引导作用，而不应视为对招标文件内容的理解和解释。</w:t>
      </w:r>
    </w:p>
    <w:p w14:paraId="2FEA0304">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2.10.</w:t>
      </w:r>
      <w:r>
        <w:rPr>
          <w:rFonts w:hint="eastAsia" w:ascii="宋体" w:hAnsi="宋体"/>
          <w:szCs w:val="21"/>
        </w:rPr>
        <w:t>日期</w:t>
      </w:r>
      <w:r>
        <w:rPr>
          <w:rFonts w:hint="eastAsia" w:ascii="宋体" w:hAnsi="宋体"/>
          <w:szCs w:val="21"/>
          <w:lang w:val="en-US" w:eastAsia="zh-CN"/>
        </w:rPr>
        <w:t>是</w:t>
      </w:r>
      <w:r>
        <w:rPr>
          <w:rFonts w:hint="eastAsia" w:ascii="宋体" w:hAnsi="宋体"/>
          <w:szCs w:val="21"/>
        </w:rPr>
        <w:t>指公历日。</w:t>
      </w:r>
    </w:p>
    <w:p w14:paraId="43B4B94A">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合格的货物和服务</w:t>
      </w:r>
    </w:p>
    <w:p w14:paraId="55A015B2">
      <w:pPr>
        <w:numPr>
          <w:ilvl w:val="0"/>
          <w:numId w:val="0"/>
        </w:numPr>
        <w:autoSpaceDE w:val="0"/>
        <w:autoSpaceDN w:val="0"/>
        <w:adjustRightInd w:val="0"/>
        <w:snapToGrid w:val="0"/>
        <w:spacing w:line="360" w:lineRule="auto"/>
        <w:ind w:leftChars="0"/>
        <w:rPr>
          <w:rFonts w:ascii="宋体" w:hAnsi="宋体" w:cs="黑体"/>
          <w:b/>
          <w:bCs/>
          <w:szCs w:val="21"/>
        </w:rPr>
      </w:pPr>
      <w:r>
        <w:rPr>
          <w:rFonts w:hint="eastAsia" w:ascii="宋体" w:hAnsi="宋体"/>
          <w:szCs w:val="21"/>
          <w:lang w:val="en-US" w:eastAsia="zh-CN"/>
        </w:rPr>
        <w:t>3.1.</w:t>
      </w: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55B54F1E">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3.2.</w:t>
      </w:r>
      <w:r>
        <w:rPr>
          <w:rFonts w:hint="eastAsia" w:ascii="宋体" w:hAnsi="宋体"/>
          <w:szCs w:val="21"/>
        </w:rPr>
        <w:t>服务是指除货物和工程以外的其他政府采购对象，其中包括：投标人须承担的运输、安装、技术支持、培训以及招标文件规定的其它服务。</w:t>
      </w:r>
    </w:p>
    <w:p w14:paraId="1B2DAB83">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3.3.</w:t>
      </w:r>
      <w:r>
        <w:rPr>
          <w:rFonts w:hint="eastAsia" w:ascii="宋体" w:hAnsi="宋体"/>
          <w:szCs w:val="21"/>
        </w:rPr>
        <w:t>国产的货物及其有关服务必须符合中华人民共和国的设计、制造生产标准及行业标准。招标公告有其他要求的，亦应符合其要求。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D2B5984">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3.4.</w:t>
      </w: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6AF5FA38">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3.5.</w:t>
      </w: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D908F58">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3.6.</w:t>
      </w:r>
      <w:r>
        <w:rPr>
          <w:rFonts w:hint="eastAsia" w:ascii="宋体" w:hAnsi="宋体"/>
          <w:szCs w:val="21"/>
        </w:rPr>
        <w:t>投标人</w:t>
      </w:r>
      <w:bookmarkStart w:id="110"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10"/>
    </w:p>
    <w:p w14:paraId="7436C279">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3.7.</w:t>
      </w:r>
      <w:r>
        <w:rPr>
          <w:rFonts w:hint="eastAsia" w:ascii="宋体" w:hAnsi="宋体"/>
          <w:szCs w:val="21"/>
        </w:rPr>
        <w:t>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3CF8BAC">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3.8.</w:t>
      </w:r>
      <w:r>
        <w:rPr>
          <w:rFonts w:hint="eastAsia" w:ascii="宋体" w:hAnsi="宋体"/>
          <w:szCs w:val="21"/>
        </w:rPr>
        <w:t>工期要求：投标人在投标时对其所投项目应提交交货进度、交货计划等，在合同规定的时间内完成项目实施工作。</w:t>
      </w:r>
    </w:p>
    <w:p w14:paraId="5D1ABA44">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3.9.</w:t>
      </w:r>
      <w:r>
        <w:rPr>
          <w:rFonts w:hint="eastAsia" w:ascii="宋体" w:hAnsi="宋体"/>
          <w:szCs w:val="21"/>
        </w:rPr>
        <w:t>投标人必须承担的设备运输、安装调试、验收检测和提供设备操作说明书、图纸等其他相关及类似的义务。</w:t>
      </w:r>
    </w:p>
    <w:p w14:paraId="2F0FD98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其他</w:t>
      </w:r>
    </w:p>
    <w:p w14:paraId="0443654D">
      <w:pPr>
        <w:numPr>
          <w:ilvl w:val="0"/>
          <w:numId w:val="0"/>
        </w:numPr>
        <w:autoSpaceDE w:val="0"/>
        <w:autoSpaceDN w:val="0"/>
        <w:adjustRightInd w:val="0"/>
        <w:snapToGrid w:val="0"/>
        <w:spacing w:line="360" w:lineRule="auto"/>
        <w:ind w:leftChars="0"/>
        <w:rPr>
          <w:rFonts w:ascii="宋体" w:hAnsi="宋体" w:cs="宋体"/>
          <w:color w:val="auto"/>
          <w:szCs w:val="21"/>
          <w:highlight w:val="none"/>
        </w:rPr>
      </w:pPr>
      <w:r>
        <w:rPr>
          <w:rFonts w:hint="eastAsia" w:ascii="宋体" w:hAnsi="宋体" w:cs="宋体"/>
          <w:szCs w:val="21"/>
          <w:lang w:val="en-US" w:eastAsia="zh-CN"/>
        </w:rPr>
        <w:t>4.1.</w:t>
      </w: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5395CA3D">
      <w:pPr>
        <w:numPr>
          <w:ilvl w:val="0"/>
          <w:numId w:val="0"/>
        </w:numPr>
        <w:autoSpaceDE w:val="0"/>
        <w:autoSpaceDN w:val="0"/>
        <w:adjustRightInd w:val="0"/>
        <w:snapToGrid w:val="0"/>
        <w:spacing w:line="360" w:lineRule="auto"/>
        <w:ind w:leftChars="0"/>
        <w:rPr>
          <w:rFonts w:ascii="宋体" w:hAnsi="宋体" w:cs="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供应商（投标人）向我</w:t>
      </w:r>
      <w:r>
        <w:rPr>
          <w:rFonts w:hint="eastAsia" w:ascii="宋体" w:hAnsi="宋体" w:cs="宋体"/>
          <w:color w:val="auto"/>
          <w:szCs w:val="21"/>
          <w:highlight w:val="none"/>
          <w:lang w:val="en-US" w:eastAsia="zh-CN"/>
        </w:rPr>
        <w:t>院</w:t>
      </w:r>
      <w:r>
        <w:rPr>
          <w:rFonts w:hint="eastAsia" w:ascii="宋体" w:hAnsi="宋体" w:cs="宋体"/>
          <w:color w:val="auto"/>
          <w:szCs w:val="21"/>
          <w:highlight w:val="none"/>
        </w:rPr>
        <w:t>咨询的有关项目事项，一切以法律法规的规定和本</w:t>
      </w:r>
      <w:r>
        <w:rPr>
          <w:rFonts w:hint="eastAsia" w:ascii="宋体" w:hAnsi="宋体" w:cs="宋体"/>
          <w:color w:val="auto"/>
          <w:szCs w:val="21"/>
          <w:highlight w:val="none"/>
          <w:lang w:val="en-US" w:eastAsia="zh-CN"/>
        </w:rPr>
        <w:t>院</w:t>
      </w:r>
      <w:r>
        <w:rPr>
          <w:rFonts w:hint="eastAsia" w:ascii="宋体" w:hAnsi="宋体" w:cs="宋体"/>
          <w:color w:val="auto"/>
          <w:szCs w:val="21"/>
          <w:highlight w:val="none"/>
        </w:rPr>
        <w:t>书面答复为准，其他一切形式均为个人意见，不代表本</w:t>
      </w:r>
      <w:r>
        <w:rPr>
          <w:rFonts w:hint="eastAsia" w:ascii="宋体" w:hAnsi="宋体" w:cs="宋体"/>
          <w:color w:val="auto"/>
          <w:szCs w:val="21"/>
          <w:highlight w:val="none"/>
          <w:lang w:val="en-US" w:eastAsia="zh-CN"/>
        </w:rPr>
        <w:t>院</w:t>
      </w:r>
      <w:r>
        <w:rPr>
          <w:rFonts w:hint="eastAsia" w:ascii="宋体" w:hAnsi="宋体" w:cs="宋体"/>
          <w:color w:val="auto"/>
          <w:szCs w:val="21"/>
          <w:highlight w:val="none"/>
        </w:rPr>
        <w:t>的意见。</w:t>
      </w:r>
    </w:p>
    <w:p w14:paraId="542DF89C">
      <w:pPr>
        <w:numPr>
          <w:ilvl w:val="0"/>
          <w:numId w:val="0"/>
        </w:numPr>
        <w:adjustRightInd w:val="0"/>
        <w:snapToGrid w:val="0"/>
        <w:spacing w:line="360" w:lineRule="auto"/>
        <w:ind w:leftChars="0"/>
        <w:rPr>
          <w:rFonts w:cs="宋体" w:asciiTheme="minorEastAsia" w:hAnsiTheme="minorEastAsia" w:eastAsiaTheme="minorEastAsia"/>
          <w:bCs/>
          <w:color w:val="auto"/>
          <w:szCs w:val="21"/>
          <w:highlight w:val="none"/>
        </w:rPr>
      </w:pPr>
      <w:r>
        <w:rPr>
          <w:rFonts w:hint="eastAsia" w:asciiTheme="minorEastAsia" w:hAnsiTheme="minorEastAsia"/>
          <w:color w:val="auto"/>
          <w:szCs w:val="21"/>
          <w:highlight w:val="none"/>
          <w:lang w:val="en-US" w:eastAsia="zh-CN"/>
        </w:rPr>
        <w:t>4.3.</w:t>
      </w:r>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的供应商限制参与政府采购。</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33445C9F">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p>
    <w:p w14:paraId="5CDF3448">
      <w:pPr>
        <w:numPr>
          <w:ilvl w:val="0"/>
          <w:numId w:val="0"/>
        </w:numPr>
        <w:adjustRightInd w:val="0"/>
        <w:snapToGrid w:val="0"/>
        <w:spacing w:line="360" w:lineRule="auto"/>
        <w:ind w:leftChars="0"/>
        <w:jc w:val="center"/>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招标文件</w:t>
      </w:r>
    </w:p>
    <w:p w14:paraId="1C971EE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lang w:val="en-US" w:eastAsia="zh-CN"/>
        </w:rPr>
        <w:t>招标文件注意事项</w:t>
      </w:r>
    </w:p>
    <w:p w14:paraId="38D39AA9">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5.1.</w:t>
      </w:r>
      <w:r>
        <w:rPr>
          <w:rFonts w:hint="eastAsia" w:cs="宋体" w:asciiTheme="minorEastAsia" w:hAnsiTheme="minorEastAsia" w:eastAsiaTheme="minorEastAsia"/>
          <w:bCs/>
          <w:color w:val="auto"/>
          <w:szCs w:val="21"/>
          <w:highlight w:val="none"/>
        </w:rPr>
        <w:t>投标人获得招标文件后，应仔细检查招标文件的所有内容，如有残缺应在投标截止时间</w:t>
      </w:r>
      <w:r>
        <w:rPr>
          <w:rFonts w:hint="eastAsia" w:cs="宋体" w:asciiTheme="minorEastAsia" w:hAnsiTheme="minorEastAsia"/>
          <w:bCs/>
          <w:color w:val="auto"/>
          <w:szCs w:val="21"/>
          <w:highlight w:val="none"/>
          <w:lang w:val="en-US" w:eastAsia="zh-CN"/>
        </w:rPr>
        <w:t>1个工作日</w:t>
      </w:r>
      <w:r>
        <w:rPr>
          <w:rFonts w:hint="eastAsia" w:cs="宋体" w:asciiTheme="minorEastAsia" w:hAnsiTheme="minorEastAsia" w:eastAsiaTheme="minorEastAsia"/>
          <w:bCs/>
          <w:color w:val="auto"/>
          <w:szCs w:val="21"/>
          <w:highlight w:val="none"/>
        </w:rPr>
        <w:t>前向</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B9F136D">
      <w:pPr>
        <w:numPr>
          <w:ilvl w:val="0"/>
          <w:numId w:val="0"/>
        </w:numPr>
        <w:adjustRightInd w:val="0"/>
        <w:snapToGrid w:val="0"/>
        <w:spacing w:line="360" w:lineRule="auto"/>
        <w:ind w:leftChars="0"/>
        <w:rPr>
          <w:rFonts w:ascii="宋体" w:hAnsi="宋体" w:cs="黑体"/>
          <w:b/>
          <w:bCs/>
          <w:szCs w:val="21"/>
        </w:rPr>
      </w:pPr>
      <w:r>
        <w:rPr>
          <w:rFonts w:hint="eastAsia" w:cs="宋体" w:asciiTheme="minorEastAsia" w:hAnsiTheme="minorEastAsia"/>
          <w:bCs/>
          <w:color w:val="auto"/>
          <w:szCs w:val="21"/>
          <w:highlight w:val="none"/>
          <w:lang w:val="en-US" w:eastAsia="zh-CN"/>
        </w:rPr>
        <w:t>5.2.</w:t>
      </w:r>
      <w:r>
        <w:rPr>
          <w:rFonts w:hint="eastAsia" w:cs="宋体" w:asciiTheme="minorEastAsia" w:hAnsiTheme="minorEastAsia" w:eastAsiaTheme="minorEastAsia"/>
          <w:bCs/>
          <w:color w:val="auto"/>
          <w:szCs w:val="21"/>
          <w:highlight w:val="none"/>
        </w:rPr>
        <w:t>任何人或任何组织向投标人提交的任何书面或口头资料，未经</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在网上发布或书面通知，均作无效处理，不得作为招标文件的组成部分。</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对投标人由此而做出的推论、理解和结论概不负责。</w:t>
      </w:r>
    </w:p>
    <w:p w14:paraId="11AE4433">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5.3.</w:t>
      </w:r>
      <w:r>
        <w:rPr>
          <w:rFonts w:hint="eastAsia" w:cs="宋体" w:asciiTheme="minorEastAsia" w:hAnsiTheme="minorEastAsia" w:eastAsiaTheme="minorEastAsia"/>
          <w:bCs/>
          <w:color w:val="auto"/>
          <w:szCs w:val="21"/>
          <w:highlight w:val="none"/>
        </w:rPr>
        <w:t>招标文件澄清的目的是澄清、解答投标人在查阅招标文件后或现场踏勘中可能提出的与投标有关的疑问或询问。</w:t>
      </w:r>
    </w:p>
    <w:p w14:paraId="769203AE">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5.4.</w:t>
      </w:r>
      <w:r>
        <w:rPr>
          <w:rFonts w:hint="eastAsia" w:cs="宋体" w:asciiTheme="minorEastAsia" w:hAnsiTheme="minorEastAsia" w:eastAsiaTheme="minorEastAsia"/>
          <w:bCs/>
          <w:color w:val="auto"/>
          <w:szCs w:val="21"/>
          <w:highlight w:val="none"/>
        </w:rPr>
        <w:t>对招标文件进行澄清或者对招标文件有限制性、倾向性条款提出</w:t>
      </w:r>
      <w:r>
        <w:rPr>
          <w:rFonts w:hint="eastAsia" w:cs="宋体" w:asciiTheme="minorEastAsia" w:hAnsiTheme="minorEastAsia"/>
          <w:bCs/>
          <w:color w:val="auto"/>
          <w:szCs w:val="21"/>
          <w:highlight w:val="none"/>
          <w:lang w:val="en-US" w:eastAsia="zh-CN"/>
        </w:rPr>
        <w:t>招标答疑</w:t>
      </w:r>
      <w:r>
        <w:rPr>
          <w:rFonts w:hint="eastAsia" w:cs="宋体" w:asciiTheme="minorEastAsia" w:hAnsiTheme="minorEastAsia" w:eastAsiaTheme="minorEastAsia"/>
          <w:bCs/>
          <w:color w:val="auto"/>
          <w:szCs w:val="21"/>
          <w:highlight w:val="none"/>
        </w:rPr>
        <w:t>的投标人，均应于“招标公告”中所述</w:t>
      </w:r>
      <w:r>
        <w:rPr>
          <w:rFonts w:hint="eastAsia" w:cs="宋体" w:asciiTheme="minorEastAsia" w:hAnsiTheme="minorEastAsia"/>
          <w:bCs/>
          <w:color w:val="auto"/>
          <w:szCs w:val="21"/>
          <w:highlight w:val="none"/>
          <w:lang w:val="en-US" w:eastAsia="zh-CN"/>
        </w:rPr>
        <w:t>投标</w:t>
      </w:r>
      <w:r>
        <w:rPr>
          <w:rFonts w:hint="eastAsia" w:cs="宋体" w:asciiTheme="minorEastAsia" w:hAnsiTheme="minorEastAsia" w:eastAsiaTheme="minorEastAsia"/>
          <w:bCs/>
          <w:color w:val="auto"/>
          <w:szCs w:val="21"/>
          <w:highlight w:val="none"/>
        </w:rPr>
        <w:t>截止时间</w:t>
      </w:r>
      <w:r>
        <w:rPr>
          <w:rFonts w:hint="eastAsia" w:cs="宋体" w:asciiTheme="minorEastAsia" w:hAnsiTheme="minorEastAsia"/>
          <w:bCs/>
          <w:color w:val="auto"/>
          <w:szCs w:val="21"/>
          <w:highlight w:val="none"/>
          <w:lang w:val="en-US" w:eastAsia="zh-CN"/>
        </w:rPr>
        <w:t>1个工作日</w:t>
      </w:r>
      <w:r>
        <w:rPr>
          <w:rFonts w:hint="eastAsia" w:cs="宋体" w:asciiTheme="minorEastAsia" w:hAnsiTheme="minorEastAsia" w:eastAsiaTheme="minorEastAsia"/>
          <w:bCs/>
          <w:color w:val="auto"/>
          <w:szCs w:val="21"/>
          <w:highlight w:val="none"/>
        </w:rPr>
        <w:t>前书面通知</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对规定时间内收到的对招标文件的澄清或者</w:t>
      </w:r>
      <w:r>
        <w:rPr>
          <w:rFonts w:hint="eastAsia" w:cs="宋体" w:asciiTheme="minorEastAsia" w:hAnsiTheme="minorEastAsia"/>
          <w:bCs/>
          <w:color w:val="auto"/>
          <w:szCs w:val="21"/>
          <w:highlight w:val="none"/>
          <w:lang w:val="en-US" w:eastAsia="zh-CN"/>
        </w:rPr>
        <w:t>质疑</w:t>
      </w:r>
      <w:r>
        <w:rPr>
          <w:rFonts w:hint="eastAsia" w:cs="宋体" w:asciiTheme="minorEastAsia" w:hAnsiTheme="minorEastAsia" w:eastAsiaTheme="minorEastAsia"/>
          <w:bCs/>
          <w:color w:val="auto"/>
          <w:szCs w:val="21"/>
          <w:highlight w:val="none"/>
        </w:rPr>
        <w:t>，视情况予以答复。</w:t>
      </w:r>
    </w:p>
    <w:p w14:paraId="212D6499">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5.5.</w:t>
      </w:r>
      <w:r>
        <w:rPr>
          <w:rFonts w:hint="eastAsia" w:cs="宋体" w:asciiTheme="minorEastAsia" w:hAnsiTheme="minorEastAsia" w:eastAsiaTheme="minorEastAsia"/>
          <w:bCs/>
          <w:color w:val="auto"/>
          <w:szCs w:val="21"/>
          <w:highlight w:val="none"/>
        </w:rPr>
        <w:t>不论是</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根据需要主动对招标文件进行必要的澄清或是根据投标人的要求对招标文件做出澄清，</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都将在投标截止日期前以书面形式（包括网站发布方式）答复或发送给所有投标人。答复内容是招标文件的组成部分，对投标人起约束作用。</w:t>
      </w:r>
    </w:p>
    <w:p w14:paraId="71321A82">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5.6.</w:t>
      </w:r>
      <w:r>
        <w:rPr>
          <w:rFonts w:hint="eastAsia" w:cs="宋体" w:asciiTheme="minorEastAsia" w:hAnsiTheme="minorEastAsia" w:eastAsiaTheme="minorEastAsia"/>
          <w:bCs/>
          <w:color w:val="auto"/>
          <w:szCs w:val="21"/>
          <w:highlight w:val="none"/>
        </w:rPr>
        <w:t>招标文件发出后，在投标截止日期前任何时候，确需要变更招标内容的，</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可主动地或在解答投标人提出的澄清问题时对招标文件进行修改</w:t>
      </w:r>
      <w:r>
        <w:rPr>
          <w:rFonts w:hint="eastAsia" w:cs="宋体" w:asciiTheme="minorEastAsia" w:hAnsiTheme="minorEastAsia"/>
          <w:bCs/>
          <w:color w:val="auto"/>
          <w:szCs w:val="21"/>
          <w:highlight w:val="none"/>
          <w:lang w:eastAsia="zh-CN"/>
        </w:rPr>
        <w:t>。</w:t>
      </w:r>
    </w:p>
    <w:p w14:paraId="0B39DAF2">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5.7.</w:t>
      </w:r>
      <w:r>
        <w:rPr>
          <w:rFonts w:hint="eastAsia" w:cs="宋体" w:asciiTheme="minorEastAsia" w:hAnsiTheme="minorEastAsia" w:eastAsiaTheme="minorEastAsia"/>
          <w:bCs/>
          <w:color w:val="auto"/>
          <w:szCs w:val="21"/>
          <w:highlight w:val="none"/>
        </w:rPr>
        <w:t>招标文件的修改均在指定网站</w:t>
      </w:r>
      <w:r>
        <w:rPr>
          <w:rFonts w:hint="eastAsia" w:cs="宋体" w:asciiTheme="minorEastAsia" w:hAnsiTheme="minorEastAsia"/>
          <w:bCs/>
          <w:color w:val="auto"/>
          <w:szCs w:val="21"/>
          <w:highlight w:val="none"/>
          <w:lang w:eastAsia="zh-CN"/>
        </w:rPr>
        <w:t>（</w:t>
      </w:r>
      <w:r>
        <w:rPr>
          <w:rFonts w:hint="eastAsia" w:cs="宋体" w:asciiTheme="minorEastAsia" w:hAnsiTheme="minorEastAsia"/>
          <w:bCs/>
          <w:color w:val="auto"/>
          <w:szCs w:val="21"/>
          <w:highlight w:val="none"/>
          <w:lang w:val="en-US" w:eastAsia="zh-CN"/>
        </w:rPr>
        <w:t>医院官网</w:t>
      </w:r>
      <w:r>
        <w:rPr>
          <w:rFonts w:hint="eastAsia" w:cs="宋体" w:asciiTheme="minorEastAsia" w:hAnsiTheme="minorEastAsia"/>
          <w:bCs/>
          <w:color w:val="auto"/>
          <w:szCs w:val="21"/>
          <w:highlight w:val="none"/>
          <w:lang w:eastAsia="zh-CN"/>
        </w:rPr>
        <w:t>）</w:t>
      </w:r>
      <w:r>
        <w:rPr>
          <w:rFonts w:hint="eastAsia" w:cs="宋体" w:asciiTheme="minorEastAsia" w:hAnsiTheme="minorEastAsia" w:eastAsiaTheme="minorEastAsia"/>
          <w:bCs/>
          <w:color w:val="auto"/>
          <w:szCs w:val="21"/>
          <w:highlight w:val="none"/>
        </w:rPr>
        <w:t>以网上公告形式发布，并对投标人具有约束力，在项目开标前，投标人有义务上网查看，公告一经上网发布，即视为送达。</w:t>
      </w:r>
    </w:p>
    <w:p w14:paraId="03A88549">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5.8.</w:t>
      </w:r>
      <w:r>
        <w:rPr>
          <w:rFonts w:hint="eastAsia" w:cs="宋体" w:asciiTheme="minorEastAsia" w:hAnsiTheme="minorEastAsia" w:eastAsiaTheme="minorEastAsia"/>
          <w:bCs/>
          <w:color w:val="auto"/>
          <w:szCs w:val="21"/>
          <w:highlight w:val="none"/>
        </w:rPr>
        <w:t>招标文件、招标文件澄清（答疑）纪要、招标文件修改补充通知内容均以书面明确的内容为准。当招标文件、修改补充通知、澄清（答疑）纪要内容相互矛盾时，以最后发出的通知（或纪要）或修改文件为准</w:t>
      </w:r>
      <w:r>
        <w:rPr>
          <w:rFonts w:hint="eastAsia" w:cs="宋体" w:asciiTheme="minorEastAsia" w:hAnsiTheme="minorEastAsia"/>
          <w:bCs/>
          <w:color w:val="auto"/>
          <w:szCs w:val="21"/>
          <w:highlight w:val="none"/>
          <w:lang w:eastAsia="zh-CN"/>
        </w:rPr>
        <w:t>。</w:t>
      </w:r>
    </w:p>
    <w:p w14:paraId="01BD5C1A">
      <w:pPr>
        <w:numPr>
          <w:ilvl w:val="0"/>
          <w:numId w:val="0"/>
        </w:numPr>
        <w:adjustRightInd w:val="0"/>
        <w:snapToGrid w:val="0"/>
        <w:spacing w:line="360" w:lineRule="auto"/>
        <w:ind w:leftChars="0"/>
        <w:rPr>
          <w:rFonts w:hint="default" w:cs="宋体" w:asciiTheme="majorEastAsia" w:hAnsiTheme="majorEastAsia" w:eastAsiaTheme="majorEastAsia"/>
          <w:kern w:val="2"/>
          <w:sz w:val="30"/>
          <w:szCs w:val="30"/>
          <w:lang w:val="en-US" w:eastAsia="zh-CN" w:bidi="ar-SA"/>
        </w:rPr>
      </w:pPr>
      <w:r>
        <w:rPr>
          <w:rFonts w:hint="eastAsia" w:cs="宋体" w:asciiTheme="minorEastAsia" w:hAnsiTheme="minorEastAsia"/>
          <w:bCs/>
          <w:color w:val="auto"/>
          <w:szCs w:val="21"/>
          <w:highlight w:val="none"/>
          <w:lang w:val="en-US" w:eastAsia="zh-CN"/>
        </w:rPr>
        <w:t>5.9.我院</w:t>
      </w:r>
      <w:r>
        <w:rPr>
          <w:rFonts w:hint="eastAsia" w:cs="宋体" w:asciiTheme="minorEastAsia" w:hAnsiTheme="minorEastAsia" w:eastAsiaTheme="minorEastAsia"/>
          <w:bCs/>
          <w:color w:val="auto"/>
          <w:szCs w:val="21"/>
          <w:highlight w:val="none"/>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可以酌情延长递交投标文件的截止日期，具体时间将在修改补充通知中明确。</w:t>
      </w:r>
    </w:p>
    <w:p w14:paraId="0580318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r>
        <w:rPr>
          <w:rFonts w:hint="eastAsia" w:asciiTheme="majorEastAsia" w:hAnsiTheme="majorEastAsia" w:eastAsiaTheme="majorEastAsia"/>
          <w:sz w:val="30"/>
          <w:szCs w:val="30"/>
          <w:lang w:eastAsia="zh-TW"/>
        </w:rPr>
        <w:t>投标文件的编制</w:t>
      </w:r>
    </w:p>
    <w:p w14:paraId="55F387D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投标的语言</w:t>
      </w:r>
      <w:r>
        <w:rPr>
          <w:rFonts w:hint="eastAsia" w:ascii="宋体" w:hAnsi="宋体"/>
          <w:b/>
          <w:bCs/>
          <w:szCs w:val="21"/>
          <w:lang w:val="en-US" w:eastAsia="zh-CN"/>
        </w:rPr>
        <w:t>及度量单位</w:t>
      </w:r>
    </w:p>
    <w:p w14:paraId="66357834">
      <w:pPr>
        <w:numPr>
          <w:ilvl w:val="0"/>
          <w:numId w:val="0"/>
        </w:numPr>
        <w:autoSpaceDE w:val="0"/>
        <w:autoSpaceDN w:val="0"/>
        <w:adjustRightInd w:val="0"/>
        <w:snapToGrid w:val="0"/>
        <w:spacing w:line="360" w:lineRule="auto"/>
        <w:ind w:leftChars="0"/>
        <w:rPr>
          <w:rFonts w:ascii="宋体" w:hAnsi="宋体" w:cs="黑体"/>
          <w:b/>
          <w:bCs/>
          <w:szCs w:val="21"/>
        </w:rPr>
      </w:pPr>
      <w:r>
        <w:rPr>
          <w:rFonts w:hint="eastAsia" w:ascii="宋体" w:hAnsi="宋体" w:cs="宋体"/>
          <w:szCs w:val="21"/>
          <w:lang w:val="en-US" w:eastAsia="zh-CN"/>
        </w:rPr>
        <w:t>6.1.</w:t>
      </w: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2EC9C25D">
      <w:pPr>
        <w:numPr>
          <w:ilvl w:val="0"/>
          <w:numId w:val="0"/>
        </w:numPr>
        <w:autoSpaceDE w:val="0"/>
        <w:autoSpaceDN w:val="0"/>
        <w:adjustRightInd w:val="0"/>
        <w:snapToGrid w:val="0"/>
        <w:spacing w:line="360" w:lineRule="auto"/>
        <w:ind w:leftChars="0"/>
        <w:rPr>
          <w:rFonts w:hint="eastAsia" w:ascii="宋体" w:hAnsi="宋体" w:cs="宋体"/>
          <w:szCs w:val="21"/>
        </w:rPr>
      </w:pPr>
      <w:r>
        <w:rPr>
          <w:rFonts w:hint="eastAsia" w:ascii="宋体" w:hAnsi="宋体" w:cs="宋体"/>
          <w:szCs w:val="21"/>
          <w:lang w:val="en-US" w:eastAsia="zh-CN"/>
        </w:rPr>
        <w:t>6.2.</w:t>
      </w:r>
      <w:r>
        <w:rPr>
          <w:rFonts w:hint="eastAsia" w:ascii="宋体" w:hAnsi="宋体" w:cs="宋体"/>
          <w:szCs w:val="21"/>
        </w:rPr>
        <w:t>除技术规范另有规定外，投标文件使用的度量单位，均采用中华人民共和国法定计量单位。</w:t>
      </w:r>
    </w:p>
    <w:p w14:paraId="5DC662A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投标文件的构成</w:t>
      </w:r>
    </w:p>
    <w:p w14:paraId="24A4618B">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7.1.</w:t>
      </w:r>
      <w:r>
        <w:rPr>
          <w:rFonts w:hint="eastAsia" w:ascii="宋体" w:hAnsi="宋体" w:cs="宋体"/>
          <w:szCs w:val="21"/>
        </w:rPr>
        <w:t>投标人编写的投标文件应包括资格性文件、符合性文件、技术文件、商务文件等，编排顺序参见投标文件格式。</w:t>
      </w:r>
    </w:p>
    <w:p w14:paraId="2E16C161">
      <w:pPr>
        <w:numPr>
          <w:ilvl w:val="0"/>
          <w:numId w:val="0"/>
        </w:numPr>
        <w:autoSpaceDE w:val="0"/>
        <w:autoSpaceDN w:val="0"/>
        <w:adjustRightInd w:val="0"/>
        <w:snapToGrid w:val="0"/>
        <w:spacing w:line="360" w:lineRule="auto"/>
        <w:ind w:leftChars="0"/>
        <w:outlineLvl w:val="9"/>
        <w:rPr>
          <w:rFonts w:ascii="宋体" w:hAnsi="宋体" w:cs="宋体"/>
          <w:szCs w:val="21"/>
        </w:rPr>
      </w:pPr>
      <w:r>
        <w:rPr>
          <w:rFonts w:hint="eastAsia" w:ascii="宋体" w:hAnsi="宋体" w:cs="宋体"/>
          <w:szCs w:val="21"/>
          <w:lang w:val="en-US" w:eastAsia="zh-CN"/>
        </w:rPr>
        <w:t>7.2.</w:t>
      </w:r>
      <w:r>
        <w:rPr>
          <w:rFonts w:hint="eastAsia" w:ascii="宋体" w:hAnsi="宋体" w:cs="宋体"/>
          <w:szCs w:val="21"/>
        </w:rPr>
        <w:t>投标文件的构成应符合法律法规及招标文件的要求。</w:t>
      </w:r>
    </w:p>
    <w:p w14:paraId="1919BC9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投标文件的编写</w:t>
      </w:r>
    </w:p>
    <w:p w14:paraId="04144B34">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8.1.</w:t>
      </w: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0FBA6FBE">
      <w:pPr>
        <w:numPr>
          <w:ilvl w:val="0"/>
          <w:numId w:val="0"/>
        </w:numPr>
        <w:tabs>
          <w:tab w:val="left" w:pos="709"/>
        </w:tabs>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8.2.</w:t>
      </w: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7083145">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8.3.</w:t>
      </w: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8A4F1D1">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8.4.</w:t>
      </w: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20EF46CE">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8.5.</w:t>
      </w:r>
      <w:r>
        <w:rPr>
          <w:rFonts w:hint="eastAsia" w:ascii="宋体" w:hAnsi="宋体" w:cs="宋体"/>
          <w:szCs w:val="21"/>
        </w:rPr>
        <w:t>如招标文件提供了投标文件格式，则投标人提交的投标文件必须毫无例外地使用招标文件所提供的相应格式（表格可以按同样格式扩展）。</w:t>
      </w:r>
    </w:p>
    <w:p w14:paraId="190852A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投标报价</w:t>
      </w:r>
    </w:p>
    <w:p w14:paraId="733C0A94">
      <w:pPr>
        <w:numPr>
          <w:ilvl w:val="0"/>
          <w:numId w:val="0"/>
        </w:numPr>
        <w:autoSpaceDE w:val="0"/>
        <w:autoSpaceDN w:val="0"/>
        <w:adjustRightInd w:val="0"/>
        <w:snapToGrid w:val="0"/>
        <w:spacing w:line="360" w:lineRule="auto"/>
        <w:ind w:leftChars="0"/>
        <w:rPr>
          <w:rFonts w:ascii="宋体" w:hAnsi="宋体" w:cs="黑体"/>
          <w:b/>
          <w:bCs/>
          <w:szCs w:val="21"/>
        </w:rPr>
      </w:pPr>
      <w:r>
        <w:rPr>
          <w:rFonts w:hint="eastAsia" w:ascii="宋体" w:hAnsi="宋体" w:cs="宋体"/>
          <w:szCs w:val="21"/>
          <w:lang w:val="en-US" w:eastAsia="zh-CN"/>
        </w:rPr>
        <w:t>9.1.</w:t>
      </w: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5DF300D4">
      <w:pPr>
        <w:numPr>
          <w:ilvl w:val="0"/>
          <w:numId w:val="0"/>
        </w:numPr>
        <w:autoSpaceDE w:val="0"/>
        <w:autoSpaceDN w:val="0"/>
        <w:adjustRightInd w:val="0"/>
        <w:snapToGrid w:val="0"/>
        <w:spacing w:line="360" w:lineRule="auto"/>
        <w:ind w:leftChars="0"/>
        <w:outlineLvl w:val="9"/>
        <w:rPr>
          <w:rFonts w:ascii="宋体" w:hAnsi="宋体"/>
          <w:szCs w:val="21"/>
        </w:rPr>
      </w:pPr>
      <w:r>
        <w:rPr>
          <w:rFonts w:hint="eastAsia" w:ascii="宋体" w:hAnsi="宋体" w:cs="宋体"/>
          <w:szCs w:val="21"/>
          <w:lang w:val="en-US" w:eastAsia="zh-CN"/>
        </w:rPr>
        <w:t>9.2.</w:t>
      </w:r>
      <w:r>
        <w:rPr>
          <w:rFonts w:hint="eastAsia" w:ascii="宋体" w:hAnsi="宋体" w:cs="宋体"/>
          <w:szCs w:val="21"/>
          <w:lang w:eastAsia="zh-TW"/>
        </w:rPr>
        <w:t>投标分项报价</w:t>
      </w:r>
      <w:r>
        <w:rPr>
          <w:rFonts w:hint="eastAsia" w:ascii="宋体" w:hAnsi="宋体" w:cs="宋体"/>
          <w:szCs w:val="21"/>
        </w:rPr>
        <w:t>应包含：</w:t>
      </w:r>
    </w:p>
    <w:p w14:paraId="6DB19D55">
      <w:pPr>
        <w:numPr>
          <w:ilvl w:val="0"/>
          <w:numId w:val="0"/>
        </w:numPr>
        <w:tabs>
          <w:tab w:val="left" w:pos="851"/>
        </w:tabs>
        <w:autoSpaceDE w:val="0"/>
        <w:autoSpaceDN w:val="0"/>
        <w:adjustRightInd w:val="0"/>
        <w:snapToGrid w:val="0"/>
        <w:spacing w:line="360" w:lineRule="auto"/>
        <w:ind w:leftChars="0"/>
        <w:jc w:val="left"/>
        <w:rPr>
          <w:rFonts w:ascii="宋体" w:hAnsi="宋体" w:cs="宋体"/>
          <w:szCs w:val="21"/>
        </w:rPr>
      </w:pPr>
      <w:r>
        <w:rPr>
          <w:rFonts w:hint="eastAsia" w:ascii="宋体" w:hAnsi="宋体" w:cs="宋体"/>
          <w:szCs w:val="21"/>
          <w:lang w:val="en-US" w:eastAsia="zh-CN"/>
        </w:rPr>
        <w:t>9.2.1.</w:t>
      </w: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投标资料表中对进口环节关税和增值税另有规定的，从其规定。</w:t>
      </w:r>
    </w:p>
    <w:p w14:paraId="7E263CCB">
      <w:pPr>
        <w:numPr>
          <w:ilvl w:val="0"/>
          <w:numId w:val="0"/>
        </w:numPr>
        <w:tabs>
          <w:tab w:val="left" w:pos="851"/>
        </w:tabs>
        <w:autoSpaceDE w:val="0"/>
        <w:autoSpaceDN w:val="0"/>
        <w:adjustRightInd w:val="0"/>
        <w:snapToGrid w:val="0"/>
        <w:spacing w:line="360" w:lineRule="auto"/>
        <w:ind w:leftChars="0"/>
        <w:jc w:val="left"/>
        <w:outlineLvl w:val="9"/>
        <w:rPr>
          <w:rFonts w:ascii="宋体" w:hAnsi="宋体" w:cs="宋体"/>
          <w:szCs w:val="21"/>
        </w:rPr>
      </w:pPr>
      <w:r>
        <w:rPr>
          <w:rFonts w:hint="eastAsia" w:ascii="宋体" w:hAnsi="宋体" w:cs="宋体"/>
          <w:szCs w:val="21"/>
          <w:lang w:val="en-US" w:eastAsia="zh-CN"/>
        </w:rPr>
        <w:t>9.2.2.</w:t>
      </w:r>
      <w:r>
        <w:rPr>
          <w:rFonts w:hint="eastAsia" w:ascii="宋体" w:hAnsi="宋体" w:cs="宋体"/>
          <w:szCs w:val="21"/>
        </w:rPr>
        <w:t>对于报价免费的内容须标明“免费”。</w:t>
      </w:r>
    </w:p>
    <w:p w14:paraId="6ED41D78">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szCs w:val="21"/>
          <w:lang w:val="en-US" w:eastAsia="zh-CN"/>
        </w:rPr>
        <w:t>9.3.</w:t>
      </w:r>
      <w:r>
        <w:rPr>
          <w:rFonts w:hint="eastAsia" w:ascii="宋体" w:hAnsi="宋体"/>
          <w:szCs w:val="21"/>
        </w:rPr>
        <w:t>除</w:t>
      </w:r>
      <w:r>
        <w:rPr>
          <w:rFonts w:hint="eastAsia" w:ascii="宋体" w:hAnsi="宋体" w:cs="宋体"/>
          <w:szCs w:val="21"/>
        </w:rPr>
        <w:t>投标资料表中另有</w:t>
      </w:r>
      <w:r>
        <w:rPr>
          <w:rFonts w:hint="eastAsia" w:ascii="宋体" w:hAnsi="宋体"/>
          <w:szCs w:val="21"/>
        </w:rPr>
        <w:t>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0E9C73E4">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cs="宋体"/>
          <w:szCs w:val="21"/>
          <w:lang w:val="en-US" w:eastAsia="zh-CN"/>
        </w:rPr>
        <w:t>9.4.</w:t>
      </w:r>
      <w:r>
        <w:rPr>
          <w:rFonts w:hint="eastAsia" w:ascii="宋体" w:hAnsi="宋体" w:cs="宋体"/>
          <w:szCs w:val="21"/>
        </w:rPr>
        <w:t>除投标资料表中允许有</w:t>
      </w:r>
      <w:r>
        <w:rPr>
          <w:rFonts w:hint="eastAsia" w:ascii="宋体" w:hAnsi="宋体"/>
          <w:szCs w:val="21"/>
        </w:rPr>
        <w:t>备选方案外，本次招标不接受选择性报价，</w:t>
      </w:r>
      <w:r>
        <w:rPr>
          <w:rFonts w:hint="eastAsia" w:ascii="宋体" w:hAnsi="宋体" w:cs="宋体"/>
          <w:szCs w:val="21"/>
        </w:rPr>
        <w:t>否则将被视为无效投标。</w:t>
      </w:r>
    </w:p>
    <w:p w14:paraId="5AC09862">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szCs w:val="21"/>
          <w:lang w:val="en-US" w:eastAsia="zh-CN"/>
        </w:rPr>
        <w:t>9.5.</w:t>
      </w:r>
      <w:r>
        <w:rPr>
          <w:rFonts w:hint="eastAsia" w:ascii="宋体" w:hAnsi="宋体"/>
          <w:szCs w:val="21"/>
        </w:rPr>
        <w:t>除投标资料表另有规定外，本次招标不接受具有附加条件的报价，</w:t>
      </w:r>
      <w:r>
        <w:rPr>
          <w:rFonts w:hint="eastAsia" w:ascii="宋体" w:hAnsi="宋体" w:cs="宋体"/>
          <w:szCs w:val="21"/>
        </w:rPr>
        <w:t>否则将被视为无效投标。</w:t>
      </w:r>
    </w:p>
    <w:p w14:paraId="40454908">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投标货币</w:t>
      </w:r>
    </w:p>
    <w:p w14:paraId="107E9840">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529D9EB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联合体投标</w:t>
      </w:r>
    </w:p>
    <w:p w14:paraId="13263501">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w:t>
      </w:r>
      <w:r>
        <w:rPr>
          <w:rFonts w:hint="eastAsia" w:ascii="宋体" w:hAnsi="宋体"/>
          <w:bCs/>
          <w:szCs w:val="20"/>
        </w:rPr>
        <w:t>非投标邀请中另有规定</w:t>
      </w:r>
      <w:r>
        <w:rPr>
          <w:rFonts w:hint="eastAsia" w:ascii="宋体" w:hAnsi="宋体"/>
          <w:szCs w:val="21"/>
        </w:rPr>
        <w:t>，不接受联合体投标。如果投标邀请中规定允许联合体投标的，则必须满足：</w:t>
      </w:r>
    </w:p>
    <w:p w14:paraId="22D02507">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11.1.1.</w:t>
      </w: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2E2B9CE4">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11.1.2.</w:t>
      </w: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0A51A904">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11.1.3.</w:t>
      </w:r>
      <w:r>
        <w:rPr>
          <w:rFonts w:hint="eastAsia" w:ascii="宋体" w:hAnsi="宋体"/>
          <w:szCs w:val="21"/>
        </w:rPr>
        <w:t>联合体中有同类资质的供应商按照联合体分工承担相同工作的，应当按照资质等级较低的供应商确定资质等级。</w:t>
      </w:r>
    </w:p>
    <w:p w14:paraId="635F76F8">
      <w:pPr>
        <w:numPr>
          <w:ilvl w:val="0"/>
          <w:numId w:val="0"/>
        </w:numPr>
        <w:tabs>
          <w:tab w:val="left" w:pos="851"/>
        </w:tabs>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11.1.4.</w:t>
      </w: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02DA745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证明投标人合格和资格的文件</w:t>
      </w:r>
    </w:p>
    <w:p w14:paraId="0423D23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19AD10F9">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27EA412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ascii="宋体" w:hAnsi="宋体"/>
          <w:b/>
          <w:bCs/>
          <w:szCs w:val="21"/>
        </w:rPr>
        <w:t>证明投标标的的合格性和符合招标文件规定的文件</w:t>
      </w:r>
    </w:p>
    <w:p w14:paraId="21DCD9E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6147E61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C2B53B0">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CF63A70">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投标文件的式样和签署、密封</w:t>
      </w:r>
    </w:p>
    <w:p w14:paraId="5606D12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1A358079">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5A13C7B4">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69661B2B">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cs="宋体"/>
          <w:szCs w:val="21"/>
          <w:lang w:val="en-US" w:eastAsia="zh-CN"/>
        </w:rPr>
        <w:t>14.3.1.</w:t>
      </w: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23F0BAF0">
      <w:pPr>
        <w:numPr>
          <w:ilvl w:val="2"/>
          <w:numId w:val="17"/>
        </w:numPr>
        <w:tabs>
          <w:tab w:val="left" w:pos="851"/>
        </w:tabs>
        <w:autoSpaceDE w:val="0"/>
        <w:autoSpaceDN w:val="0"/>
        <w:adjustRightInd w:val="0"/>
        <w:snapToGrid w:val="0"/>
        <w:spacing w:line="360" w:lineRule="auto"/>
        <w:ind w:left="851" w:hanging="851"/>
        <w:rPr>
          <w:rFonts w:ascii="宋体" w:hAnsi="宋体" w:cs="宋体"/>
          <w:b w:val="0"/>
          <w:bCs w:val="0"/>
          <w:szCs w:val="21"/>
        </w:rPr>
      </w:pPr>
      <w:r>
        <w:rPr>
          <w:rFonts w:hint="eastAsia" w:ascii="宋体" w:hAnsi="宋体" w:cs="宋体"/>
          <w:szCs w:val="21"/>
        </w:rPr>
        <w:t>投标文件中的任何重要的插字、涂改和增删，必须由法定代表人或经其正式授权的</w:t>
      </w:r>
      <w:r>
        <w:rPr>
          <w:rFonts w:hint="eastAsia" w:ascii="宋体" w:hAnsi="宋体" w:cs="宋体"/>
          <w:b w:val="0"/>
          <w:bCs w:val="0"/>
          <w:szCs w:val="21"/>
        </w:rPr>
        <w:t>代表在旁边签章或签字</w:t>
      </w:r>
      <w:r>
        <w:rPr>
          <w:rFonts w:hint="eastAsia" w:ascii="宋体" w:hAnsi="宋体"/>
          <w:b w:val="0"/>
          <w:bCs w:val="0"/>
        </w:rPr>
        <w:t>或盖投标人公章</w:t>
      </w:r>
      <w:r>
        <w:rPr>
          <w:rFonts w:hint="eastAsia" w:ascii="宋体" w:hAnsi="宋体" w:cs="宋体"/>
          <w:b w:val="0"/>
          <w:bCs w:val="0"/>
          <w:szCs w:val="21"/>
        </w:rPr>
        <w:t>才有效。</w:t>
      </w:r>
    </w:p>
    <w:p w14:paraId="28DFAD45">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val="0"/>
          <w:bCs w:val="0"/>
          <w:szCs w:val="21"/>
        </w:rPr>
      </w:pPr>
      <w:r>
        <w:rPr>
          <w:rFonts w:hint="eastAsia" w:ascii="宋体" w:hAnsi="宋体" w:cs="宋体"/>
          <w:b w:val="0"/>
          <w:bCs w:val="0"/>
          <w:szCs w:val="21"/>
          <w:lang w:eastAsia="zh-TW"/>
        </w:rPr>
        <w:t>投标文件</w:t>
      </w:r>
      <w:r>
        <w:rPr>
          <w:rFonts w:hint="eastAsia" w:ascii="宋体" w:hAnsi="宋体" w:cs="宋体"/>
          <w:b w:val="0"/>
          <w:bCs w:val="0"/>
          <w:szCs w:val="21"/>
          <w:lang w:val="en-US" w:eastAsia="zh-CN"/>
        </w:rPr>
        <w:t>必须</w:t>
      </w:r>
      <w:r>
        <w:rPr>
          <w:rFonts w:hint="eastAsia" w:ascii="宋体" w:hAnsi="宋体"/>
          <w:b w:val="0"/>
          <w:bCs w:val="0"/>
          <w:szCs w:val="21"/>
        </w:rPr>
        <w:t>密封</w:t>
      </w:r>
      <w:r>
        <w:rPr>
          <w:rFonts w:hint="eastAsia" w:ascii="宋体" w:hAnsi="宋体" w:cs="宋体"/>
          <w:b w:val="0"/>
          <w:bCs w:val="0"/>
          <w:szCs w:val="21"/>
          <w:lang w:eastAsia="zh-TW"/>
        </w:rPr>
        <w:t>：</w:t>
      </w:r>
    </w:p>
    <w:p w14:paraId="6DD1CE88">
      <w:pPr>
        <w:numPr>
          <w:ilvl w:val="2"/>
          <w:numId w:val="17"/>
        </w:numPr>
        <w:tabs>
          <w:tab w:val="left" w:pos="851"/>
          <w:tab w:val="clear" w:pos="567"/>
        </w:tabs>
        <w:autoSpaceDE w:val="0"/>
        <w:autoSpaceDN w:val="0"/>
        <w:adjustRightInd w:val="0"/>
        <w:snapToGrid w:val="0"/>
        <w:spacing w:line="360" w:lineRule="auto"/>
        <w:ind w:left="567" w:leftChars="0" w:hanging="567" w:firstLineChars="0"/>
        <w:rPr>
          <w:rFonts w:hint="eastAsia"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74C79580">
      <w:pPr>
        <w:numPr>
          <w:ilvl w:val="0"/>
          <w:numId w:val="0"/>
        </w:numPr>
        <w:tabs>
          <w:tab w:val="left" w:pos="851"/>
        </w:tabs>
        <w:autoSpaceDE w:val="0"/>
        <w:autoSpaceDN w:val="0"/>
        <w:adjustRightInd w:val="0"/>
        <w:snapToGrid w:val="0"/>
        <w:spacing w:line="360" w:lineRule="auto"/>
        <w:ind w:leftChars="0"/>
        <w:rPr>
          <w:rFonts w:hint="eastAsia" w:ascii="宋体" w:hAnsi="宋体" w:cs="宋体"/>
          <w:szCs w:val="21"/>
        </w:rPr>
      </w:pPr>
    </w:p>
    <w:p w14:paraId="7DBFE547">
      <w:pPr>
        <w:pStyle w:val="3"/>
        <w:numPr>
          <w:ilvl w:val="0"/>
          <w:numId w:val="0"/>
        </w:numPr>
        <w:spacing w:line="240" w:lineRule="auto"/>
        <w:ind w:left="420" w:leftChars="0" w:hanging="420" w:firstLineChars="0"/>
        <w:jc w:val="center"/>
        <w:outlineLvl w:val="9"/>
        <w:rPr>
          <w:rFonts w:asciiTheme="majorEastAsia" w:hAnsiTheme="majorEastAsia" w:eastAsiaTheme="majorEastAsia"/>
          <w:sz w:val="30"/>
          <w:szCs w:val="30"/>
          <w:lang w:eastAsia="zh-TW"/>
        </w:rPr>
      </w:pPr>
      <w:r>
        <w:rPr>
          <w:rFonts w:hint="eastAsia" w:asciiTheme="majorEastAsia" w:hAnsiTheme="majorEastAsia" w:eastAsiaTheme="majorEastAsia"/>
          <w:sz w:val="30"/>
          <w:szCs w:val="30"/>
          <w:lang w:eastAsia="zh-TW"/>
        </w:rPr>
        <w:t>投标文件的递交</w:t>
      </w:r>
    </w:p>
    <w:p w14:paraId="5468F94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投标文件递交</w:t>
      </w:r>
    </w:p>
    <w:p w14:paraId="62E7BD0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BF5B7EE">
      <w:pPr>
        <w:numPr>
          <w:ilvl w:val="1"/>
          <w:numId w:val="17"/>
        </w:numPr>
        <w:autoSpaceDE w:val="0"/>
        <w:autoSpaceDN w:val="0"/>
        <w:adjustRightInd w:val="0"/>
        <w:snapToGrid w:val="0"/>
        <w:spacing w:line="360" w:lineRule="auto"/>
        <w:rPr>
          <w:rFonts w:hint="eastAsia" w:ascii="宋体" w:hAnsi="宋体"/>
        </w:rPr>
      </w:pPr>
      <w:r>
        <w:rPr>
          <w:rFonts w:hint="eastAsia" w:ascii="宋体" w:hAnsi="宋体"/>
        </w:rPr>
        <w:t>逾期送达或者未按照招标文件要求密封的投标文件，采购人应当拒收。</w:t>
      </w:r>
    </w:p>
    <w:p w14:paraId="4E5AD5BF">
      <w:pPr>
        <w:numPr>
          <w:ilvl w:val="1"/>
          <w:numId w:val="17"/>
        </w:numPr>
        <w:autoSpaceDE w:val="0"/>
        <w:autoSpaceDN w:val="0"/>
        <w:adjustRightInd w:val="0"/>
        <w:snapToGrid w:val="0"/>
        <w:spacing w:line="360" w:lineRule="auto"/>
        <w:rPr>
          <w:rFonts w:hint="eastAsia" w:ascii="宋体" w:hAnsi="宋体"/>
        </w:rPr>
      </w:pPr>
      <w:r>
        <w:rPr>
          <w:rFonts w:hint="eastAsia" w:ascii="宋体" w:hAnsi="宋体"/>
        </w:rPr>
        <w:t>《开标一览表》作为开标时唱标的依据，除按格式要求放入投标文件中外，还应另行单独密封提交一份，在封口密封处加盖公章（或密封封口处粘贴封条并加盖投标单位公章），并在信封上标明“开标一览表”字样。</w:t>
      </w:r>
    </w:p>
    <w:p w14:paraId="29C8BEAC">
      <w:pPr>
        <w:numPr>
          <w:ilvl w:val="1"/>
          <w:numId w:val="17"/>
        </w:numPr>
        <w:autoSpaceDE w:val="0"/>
        <w:autoSpaceDN w:val="0"/>
        <w:adjustRightInd w:val="0"/>
        <w:snapToGrid w:val="0"/>
        <w:spacing w:line="360" w:lineRule="auto"/>
        <w:rPr>
          <w:rFonts w:hint="eastAsia" w:ascii="宋体" w:hAnsi="宋体"/>
        </w:rPr>
      </w:pPr>
      <w:r>
        <w:rPr>
          <w:rFonts w:hint="eastAsia" w:ascii="宋体" w:hAnsi="宋体"/>
        </w:rPr>
        <w:t>投标文件正本、所有的副本应统一封装在一个信封中，信封密封封口处须加盖投标单位公章（或信封密封封口处粘贴封条并加盖投标单位公章）。</w:t>
      </w:r>
    </w:p>
    <w:p w14:paraId="5D6ABDE0">
      <w:pPr>
        <w:numPr>
          <w:ilvl w:val="1"/>
          <w:numId w:val="17"/>
        </w:numPr>
        <w:autoSpaceDE w:val="0"/>
        <w:autoSpaceDN w:val="0"/>
        <w:adjustRightInd w:val="0"/>
        <w:snapToGrid w:val="0"/>
        <w:spacing w:line="360" w:lineRule="auto"/>
        <w:rPr>
          <w:rFonts w:hint="eastAsia" w:ascii="宋体" w:hAnsi="宋体"/>
        </w:rPr>
      </w:pPr>
      <w:r>
        <w:rPr>
          <w:rFonts w:hint="eastAsia" w:ascii="宋体" w:hAnsi="宋体"/>
        </w:rPr>
        <w:t>密封包上</w:t>
      </w:r>
      <w:r>
        <w:rPr>
          <w:rFonts w:hint="eastAsia" w:ascii="宋体" w:hAnsi="宋体"/>
          <w:lang w:val="en-US" w:eastAsia="zh-CN"/>
        </w:rPr>
        <w:t>应</w:t>
      </w:r>
      <w:r>
        <w:rPr>
          <w:rFonts w:hint="eastAsia" w:ascii="宋体" w:hAnsi="宋体"/>
        </w:rPr>
        <w:t>注明所规定的开标时间（指招标公告中规定的开标时间）前不准启封的字样。</w:t>
      </w:r>
    </w:p>
    <w:p w14:paraId="5C42D29C">
      <w:pPr>
        <w:numPr>
          <w:ilvl w:val="1"/>
          <w:numId w:val="17"/>
        </w:numPr>
        <w:autoSpaceDE w:val="0"/>
        <w:autoSpaceDN w:val="0"/>
        <w:adjustRightInd w:val="0"/>
        <w:snapToGrid w:val="0"/>
        <w:spacing w:line="360" w:lineRule="auto"/>
        <w:rPr>
          <w:rFonts w:hint="eastAsia" w:ascii="宋体" w:hAnsi="宋体"/>
        </w:rPr>
      </w:pPr>
      <w:r>
        <w:rPr>
          <w:rFonts w:hint="eastAsia" w:ascii="宋体" w:hAnsi="宋体"/>
          <w:lang w:val="en-US" w:eastAsia="zh-CN"/>
        </w:rPr>
        <w:t>我院将拒绝并原封退回在其规定的投标截止期后收到的任何投标文件。</w:t>
      </w:r>
    </w:p>
    <w:p w14:paraId="08214C5C">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投标文件的修改和撤回、撤销</w:t>
      </w:r>
    </w:p>
    <w:p w14:paraId="76103B6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7EDEA7B7">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EF462A0">
      <w:pPr>
        <w:numPr>
          <w:ilvl w:val="0"/>
          <w:numId w:val="17"/>
        </w:numPr>
        <w:autoSpaceDE w:val="0"/>
        <w:autoSpaceDN w:val="0"/>
        <w:adjustRightInd w:val="0"/>
        <w:snapToGrid w:val="0"/>
        <w:spacing w:line="360" w:lineRule="auto"/>
        <w:ind w:left="449" w:hanging="449" w:hangingChars="213"/>
        <w:outlineLvl w:val="1"/>
        <w:rPr>
          <w:rFonts w:ascii="宋体" w:hAnsi="宋体" w:cs="黑体"/>
          <w:bCs/>
          <w:szCs w:val="21"/>
        </w:rPr>
      </w:pPr>
      <w:r>
        <w:rPr>
          <w:rFonts w:hint="eastAsia" w:ascii="宋体" w:hAnsi="宋体"/>
          <w:b/>
          <w:bCs/>
          <w:szCs w:val="21"/>
        </w:rPr>
        <w:t>质疑</w:t>
      </w:r>
    </w:p>
    <w:p w14:paraId="18EEFB3E">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Cs/>
          <w:szCs w:val="21"/>
        </w:rPr>
      </w:pPr>
      <w:r>
        <w:rPr>
          <w:rFonts w:hint="eastAsia" w:ascii="宋体" w:hAnsi="宋体" w:cs="黑体"/>
          <w:bCs/>
          <w:szCs w:val="21"/>
        </w:rPr>
        <w:t>质疑期限：</w:t>
      </w:r>
    </w:p>
    <w:p w14:paraId="407BB046">
      <w:pPr>
        <w:numPr>
          <w:ilvl w:val="0"/>
          <w:numId w:val="0"/>
        </w:numPr>
        <w:tabs>
          <w:tab w:val="left" w:pos="1078"/>
        </w:tabs>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17.1.1.</w:t>
      </w:r>
      <w:r>
        <w:rPr>
          <w:rFonts w:hint="eastAsia" w:ascii="宋体" w:hAnsi="宋体" w:cs="黑体"/>
          <w:bCs/>
          <w:szCs w:val="21"/>
        </w:rPr>
        <w:t>供应商认为采购文件的内容损害其权益的，应在采购文件公布之日起七个工作日内。</w:t>
      </w:r>
    </w:p>
    <w:p w14:paraId="1C648291">
      <w:pPr>
        <w:numPr>
          <w:ilvl w:val="0"/>
          <w:numId w:val="0"/>
        </w:numPr>
        <w:tabs>
          <w:tab w:val="left" w:pos="1078"/>
        </w:tabs>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17.1.2.</w:t>
      </w:r>
      <w:r>
        <w:rPr>
          <w:rFonts w:hint="eastAsia" w:ascii="宋体" w:hAnsi="宋体" w:cs="黑体"/>
          <w:bCs/>
          <w:szCs w:val="21"/>
        </w:rPr>
        <w:t>供应商认为采购过程损害其权益的，应在各采购程序环节结束之日起七个工作日内。</w:t>
      </w:r>
    </w:p>
    <w:p w14:paraId="67D4514A">
      <w:pPr>
        <w:numPr>
          <w:ilvl w:val="0"/>
          <w:numId w:val="0"/>
        </w:numPr>
        <w:tabs>
          <w:tab w:val="left" w:pos="1078"/>
        </w:tabs>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17.1.3.</w:t>
      </w:r>
      <w:r>
        <w:rPr>
          <w:rFonts w:hint="eastAsia" w:ascii="宋体" w:hAnsi="宋体" w:cs="黑体"/>
          <w:bCs/>
          <w:szCs w:val="21"/>
        </w:rPr>
        <w:t>供应商认为中标或者成交结果以及</w:t>
      </w:r>
      <w:r>
        <w:rPr>
          <w:rFonts w:hint="eastAsia" w:ascii="宋体" w:hAnsi="宋体" w:cs="黑体"/>
          <w:bCs/>
          <w:szCs w:val="21"/>
          <w:lang w:eastAsia="zh-CN"/>
        </w:rPr>
        <w:t>评标委员会</w:t>
      </w:r>
      <w:r>
        <w:rPr>
          <w:rFonts w:hint="eastAsia" w:ascii="宋体" w:hAnsi="宋体" w:cs="黑体"/>
          <w:bCs/>
          <w:szCs w:val="21"/>
        </w:rPr>
        <w:t>、谈判小组、竞价小组组成人员损害其权益的，应在中标或者成交结果公示之日起七个工作日内。</w:t>
      </w:r>
    </w:p>
    <w:p w14:paraId="06640A3B">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Cs/>
          <w:szCs w:val="21"/>
        </w:rPr>
      </w:pPr>
      <w:r>
        <w:rPr>
          <w:rFonts w:hint="eastAsia" w:ascii="宋体" w:hAnsi="宋体" w:cs="黑体"/>
          <w:bCs/>
          <w:szCs w:val="21"/>
        </w:rPr>
        <w:t>提交要求：</w:t>
      </w:r>
    </w:p>
    <w:p w14:paraId="24C27A2E">
      <w:pPr>
        <w:numPr>
          <w:ilvl w:val="0"/>
          <w:numId w:val="0"/>
        </w:numPr>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17.2.1.</w:t>
      </w: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16F50CEB">
      <w:pPr>
        <w:numPr>
          <w:ilvl w:val="0"/>
          <w:numId w:val="0"/>
        </w:numPr>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17.2.2.</w:t>
      </w:r>
      <w:r>
        <w:rPr>
          <w:rFonts w:hint="eastAsia" w:ascii="宋体" w:hAnsi="宋体" w:cs="黑体"/>
          <w:bCs/>
          <w:szCs w:val="21"/>
        </w:rPr>
        <w:t>以联合体形式参加政府采购活动的，其质疑应当由组成联合体的所有供应商共同提出。</w:t>
      </w:r>
    </w:p>
    <w:p w14:paraId="43C5C01F">
      <w:pPr>
        <w:numPr>
          <w:ilvl w:val="0"/>
          <w:numId w:val="0"/>
        </w:numPr>
        <w:autoSpaceDE w:val="0"/>
        <w:autoSpaceDN w:val="0"/>
        <w:adjustRightInd w:val="0"/>
        <w:snapToGrid w:val="0"/>
        <w:spacing w:line="360" w:lineRule="auto"/>
        <w:ind w:leftChars="0"/>
        <w:rPr>
          <w:rFonts w:hint="eastAsia" w:ascii="宋体" w:hAnsi="宋体" w:eastAsia="宋体" w:cs="宋体"/>
          <w:bCs/>
          <w:szCs w:val="21"/>
        </w:rPr>
      </w:pPr>
      <w:r>
        <w:rPr>
          <w:rFonts w:hint="eastAsia" w:ascii="宋体" w:hAnsi="宋体" w:cs="黑体"/>
          <w:bCs/>
          <w:szCs w:val="21"/>
          <w:lang w:val="en-US" w:eastAsia="zh-CN"/>
        </w:rPr>
        <w:t>17.2.3.</w:t>
      </w: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w:t>
      </w:r>
      <w:r>
        <w:rPr>
          <w:rFonts w:hint="eastAsia" w:ascii="宋体" w:hAnsi="宋体" w:eastAsia="宋体" w:cs="宋体"/>
          <w:bCs/>
          <w:szCs w:val="21"/>
        </w:rPr>
        <w:t>代表的姓名或者名称、代理事项、具体权限、期限和相关事项）及授权代表身份证复印件。</w:t>
      </w:r>
    </w:p>
    <w:p w14:paraId="2A7EC70B">
      <w:pPr>
        <w:numPr>
          <w:ilvl w:val="0"/>
          <w:numId w:val="0"/>
        </w:numPr>
        <w:autoSpaceDE w:val="0"/>
        <w:autoSpaceDN w:val="0"/>
        <w:adjustRightInd w:val="0"/>
        <w:snapToGrid w:val="0"/>
        <w:spacing w:line="360" w:lineRule="auto"/>
        <w:ind w:leftChars="0"/>
        <w:rPr>
          <w:rFonts w:hAnsi="宋体"/>
          <w:snapToGrid w:val="0"/>
          <w:szCs w:val="21"/>
        </w:rPr>
      </w:pPr>
      <w:r>
        <w:rPr>
          <w:rFonts w:hint="eastAsia" w:ascii="宋体" w:hAnsi="宋体" w:eastAsia="宋体" w:cs="宋体"/>
          <w:szCs w:val="21"/>
          <w:lang w:val="en-US" w:eastAsia="zh-CN"/>
        </w:rPr>
        <w:t>17.2.4.</w:t>
      </w:r>
      <w:r>
        <w:rPr>
          <w:rFonts w:hint="eastAsia" w:ascii="宋体" w:hAnsi="宋体" w:eastAsia="宋体" w:cs="宋体"/>
          <w:szCs w:val="21"/>
        </w:rPr>
        <w:t>供应商捏造</w:t>
      </w:r>
      <w:r>
        <w:rPr>
          <w:rFonts w:hint="eastAsia" w:hAnsi="宋体"/>
          <w:szCs w:val="21"/>
        </w:rPr>
        <w:t>事实、提供虚假材料或者以非法手段取得证明材料不能作为质疑的证明材料</w:t>
      </w:r>
      <w:r>
        <w:rPr>
          <w:rFonts w:hint="eastAsia" w:hAnsi="宋体"/>
          <w:snapToGrid w:val="0"/>
          <w:szCs w:val="21"/>
        </w:rPr>
        <w:t>。</w:t>
      </w:r>
    </w:p>
    <w:p w14:paraId="1DC08CDC">
      <w:pPr>
        <w:numPr>
          <w:ilvl w:val="0"/>
          <w:numId w:val="0"/>
        </w:numPr>
        <w:tabs>
          <w:tab w:val="left" w:pos="1134"/>
        </w:tabs>
        <w:autoSpaceDE w:val="0"/>
        <w:autoSpaceDN w:val="0"/>
        <w:adjustRightInd w:val="0"/>
        <w:snapToGrid w:val="0"/>
        <w:spacing w:line="360" w:lineRule="auto"/>
        <w:ind w:leftChars="0"/>
        <w:rPr>
          <w:rFonts w:ascii="宋体" w:hAnsi="宋体" w:cs="黑体"/>
          <w:bCs/>
          <w:szCs w:val="21"/>
        </w:rPr>
      </w:pPr>
      <w:r>
        <w:rPr>
          <w:rFonts w:hint="eastAsia" w:ascii="宋体" w:hAnsi="宋体" w:cs="宋体"/>
          <w:szCs w:val="21"/>
          <w:lang w:val="en-US" w:eastAsia="zh-CN"/>
        </w:rPr>
        <w:t>17.2.5.</w:t>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4B818455">
      <w:pPr>
        <w:numPr>
          <w:ilvl w:val="0"/>
          <w:numId w:val="0"/>
        </w:numPr>
        <w:autoSpaceDE w:val="0"/>
        <w:autoSpaceDN w:val="0"/>
        <w:adjustRightInd w:val="0"/>
        <w:snapToGrid w:val="0"/>
        <w:spacing w:line="360" w:lineRule="auto"/>
        <w:ind w:leftChars="0"/>
        <w:rPr>
          <w:rFonts w:hint="eastAsia" w:ascii="宋体" w:hAnsi="宋体" w:eastAsia="宋体" w:cs="宋体"/>
          <w:b/>
          <w:bCs/>
          <w:szCs w:val="21"/>
        </w:rPr>
      </w:pPr>
      <w:r>
        <w:rPr>
          <w:rFonts w:hint="eastAsia" w:ascii="宋体" w:hAnsi="宋体" w:eastAsia="宋体" w:cs="宋体"/>
          <w:snapToGrid w:val="0"/>
          <w:szCs w:val="21"/>
          <w:lang w:val="en-US" w:eastAsia="zh-CN"/>
        </w:rPr>
        <w:t>17.2.6.</w:t>
      </w:r>
      <w:r>
        <w:rPr>
          <w:rFonts w:hint="eastAsia" w:ascii="宋体" w:hAnsi="宋体" w:eastAsia="宋体" w:cs="宋体"/>
          <w:snapToGrid w:val="0"/>
          <w:szCs w:val="21"/>
        </w:rPr>
        <w:t>采购</w:t>
      </w:r>
      <w:r>
        <w:rPr>
          <w:rFonts w:hint="eastAsia" w:hAnsi="宋体"/>
          <w:snapToGrid w:val="0"/>
          <w:szCs w:val="21"/>
        </w:rPr>
        <w:t>人接收以书面形式递交的质疑函，接收质疑函的联系人、联系方式和通讯地址</w:t>
      </w:r>
      <w:r>
        <w:rPr>
          <w:rFonts w:hint="eastAsia" w:ascii="宋体" w:hAnsi="宋体" w:eastAsia="宋体" w:cs="宋体"/>
          <w:snapToGrid w:val="0"/>
          <w:szCs w:val="21"/>
          <w:lang w:val="en-US" w:eastAsia="zh-CN"/>
        </w:rPr>
        <w:t>见招标公告</w:t>
      </w:r>
      <w:r>
        <w:rPr>
          <w:rFonts w:hint="eastAsia" w:ascii="宋体" w:hAnsi="宋体" w:eastAsia="宋体" w:cs="宋体"/>
          <w:szCs w:val="21"/>
        </w:rPr>
        <w:t>。</w:t>
      </w:r>
    </w:p>
    <w:p w14:paraId="13661455">
      <w:pPr>
        <w:numPr>
          <w:ilvl w:val="0"/>
          <w:numId w:val="0"/>
        </w:numPr>
        <w:autoSpaceDE w:val="0"/>
        <w:autoSpaceDN w:val="0"/>
        <w:adjustRightInd w:val="0"/>
        <w:snapToGrid w:val="0"/>
        <w:spacing w:line="360" w:lineRule="auto"/>
        <w:ind w:leftChars="0"/>
        <w:rPr>
          <w:rFonts w:hint="eastAsia" w:ascii="宋体" w:hAnsi="宋体" w:eastAsia="宋体" w:cs="宋体"/>
          <w:snapToGrid w:val="0"/>
          <w:szCs w:val="21"/>
        </w:rPr>
      </w:pPr>
      <w:r>
        <w:rPr>
          <w:rFonts w:hint="eastAsia" w:ascii="宋体" w:hAnsi="宋体" w:eastAsia="宋体" w:cs="宋体"/>
          <w:snapToGrid w:val="0"/>
          <w:szCs w:val="21"/>
          <w:lang w:val="en-US" w:eastAsia="zh-CN"/>
        </w:rPr>
        <w:t>17.2.7.</w:t>
      </w:r>
      <w:r>
        <w:rPr>
          <w:rFonts w:hint="eastAsia" w:ascii="宋体" w:hAnsi="宋体" w:eastAsia="宋体" w:cs="宋体"/>
          <w:snapToGrid w:val="0"/>
          <w:szCs w:val="21"/>
        </w:rPr>
        <w:t>提出质疑的供应商应当是参与所质疑项目采购活动的供应商。</w:t>
      </w:r>
    </w:p>
    <w:p w14:paraId="099241AB">
      <w:pPr>
        <w:numPr>
          <w:ilvl w:val="0"/>
          <w:numId w:val="0"/>
        </w:numPr>
        <w:autoSpaceDE w:val="0"/>
        <w:autoSpaceDN w:val="0"/>
        <w:adjustRightInd w:val="0"/>
        <w:snapToGrid w:val="0"/>
        <w:spacing w:line="360" w:lineRule="auto"/>
        <w:ind w:leftChars="0"/>
        <w:rPr>
          <w:rFonts w:hint="eastAsia" w:ascii="宋体" w:hAnsi="宋体" w:eastAsia="宋体" w:cs="宋体"/>
          <w:snapToGrid w:val="0"/>
          <w:szCs w:val="21"/>
        </w:rPr>
      </w:pPr>
      <w:r>
        <w:rPr>
          <w:rFonts w:hint="eastAsia" w:ascii="宋体" w:hAnsi="宋体" w:eastAsia="宋体" w:cs="宋体"/>
          <w:snapToGrid w:val="0"/>
          <w:szCs w:val="21"/>
          <w:lang w:val="en-US" w:eastAsia="zh-CN"/>
        </w:rPr>
        <w:t>17.2.8.</w:t>
      </w:r>
      <w:r>
        <w:rPr>
          <w:rFonts w:hint="eastAsia" w:ascii="宋体" w:hAnsi="宋体" w:eastAsia="宋体" w:cs="宋体"/>
          <w:snapToGrid w:val="0"/>
          <w:szCs w:val="21"/>
        </w:rPr>
        <w:t>供应商质疑不成立，或者成立但未对中标、成交结果构成影响的，继续开展采购活动。</w:t>
      </w:r>
    </w:p>
    <w:p w14:paraId="26A23E6B">
      <w:pPr>
        <w:numPr>
          <w:ilvl w:val="0"/>
          <w:numId w:val="0"/>
        </w:numPr>
        <w:autoSpaceDE w:val="0"/>
        <w:autoSpaceDN w:val="0"/>
        <w:adjustRightInd w:val="0"/>
        <w:snapToGrid w:val="0"/>
        <w:spacing w:line="360" w:lineRule="auto"/>
        <w:ind w:leftChars="0"/>
        <w:rPr>
          <w:rFonts w:hint="eastAsia" w:ascii="宋体" w:hAnsi="宋体" w:eastAsia="宋体" w:cs="宋体"/>
          <w:snapToGrid w:val="0"/>
          <w:szCs w:val="21"/>
        </w:rPr>
      </w:pPr>
      <w:r>
        <w:rPr>
          <w:rFonts w:hint="eastAsia" w:ascii="宋体" w:hAnsi="宋体" w:eastAsia="宋体" w:cs="宋体"/>
          <w:snapToGrid w:val="0"/>
          <w:szCs w:val="21"/>
          <w:lang w:val="en-US" w:eastAsia="zh-CN"/>
        </w:rPr>
        <w:t>17.2.9.</w:t>
      </w:r>
      <w:r>
        <w:rPr>
          <w:rFonts w:hint="eastAsia" w:ascii="宋体" w:hAnsi="宋体" w:eastAsia="宋体" w:cs="宋体"/>
          <w:snapToGrid w:val="0"/>
          <w:szCs w:val="21"/>
        </w:rPr>
        <w:t>供应商质疑成立且影响或者可能影响中标、成交结果的，按照下列情况处理：</w:t>
      </w:r>
    </w:p>
    <w:p w14:paraId="3C314CF7">
      <w:pPr>
        <w:snapToGrid w:val="0"/>
        <w:spacing w:line="360" w:lineRule="auto"/>
        <w:rPr>
          <w:rFonts w:hint="eastAsia" w:hAnsi="宋体"/>
          <w:snapToGrid w:val="0"/>
          <w:szCs w:val="21"/>
        </w:rPr>
      </w:pPr>
      <w:r>
        <w:rPr>
          <w:rFonts w:hint="eastAsia" w:ascii="宋体" w:hAnsi="宋体" w:eastAsia="宋体" w:cs="宋体"/>
          <w:snapToGrid w:val="0"/>
          <w:szCs w:val="21"/>
          <w:lang w:val="en-US" w:eastAsia="zh-CN"/>
        </w:rPr>
        <w:t>17.2.10.</w:t>
      </w:r>
      <w:r>
        <w:rPr>
          <w:rFonts w:hint="eastAsia" w:ascii="宋体" w:hAnsi="宋体" w:eastAsia="宋体" w:cs="宋体"/>
          <w:snapToGrid w:val="0"/>
          <w:szCs w:val="21"/>
        </w:rPr>
        <w:t>对采购文件提</w:t>
      </w:r>
      <w:r>
        <w:rPr>
          <w:rFonts w:hint="eastAsia" w:hAnsi="宋体"/>
          <w:snapToGrid w:val="0"/>
          <w:szCs w:val="21"/>
        </w:rPr>
        <w:t>出的质疑，依法通过澄清或者修改可以继续开展采购活动的，澄清或者修改采购文件后继续开展采购活动；否则应当修改采购文件后重新开展采购活动。</w:t>
      </w:r>
    </w:p>
    <w:p w14:paraId="7E90B108">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lang w:val="en-US" w:eastAsia="zh-CN"/>
        </w:rPr>
        <w:t>违约责任</w:t>
      </w:r>
    </w:p>
    <w:p w14:paraId="37F2FCB9">
      <w:pPr>
        <w:numPr>
          <w:ilvl w:val="1"/>
          <w:numId w:val="17"/>
        </w:numPr>
        <w:snapToGrid w:val="0"/>
        <w:spacing w:line="360" w:lineRule="auto"/>
        <w:ind w:left="567" w:leftChars="0" w:hanging="567" w:firstLineChars="0"/>
        <w:rPr>
          <w:rFonts w:hint="eastAsia" w:hAnsi="宋体"/>
          <w:snapToGrid w:val="0"/>
          <w:szCs w:val="21"/>
          <w:lang w:val="en-US" w:eastAsia="zh-CN"/>
        </w:rPr>
      </w:pPr>
      <w:r>
        <w:rPr>
          <w:rFonts w:hint="eastAsia" w:hAnsi="宋体"/>
          <w:snapToGrid w:val="0"/>
          <w:szCs w:val="21"/>
          <w:lang w:val="en-US" w:eastAsia="zh-CN"/>
        </w:rPr>
        <w:t>供应商若在政府采购活动存在下列违法行为，给采购人造成损失的，应当承担赔偿责任。</w:t>
      </w:r>
    </w:p>
    <w:p w14:paraId="47E13451">
      <w:pPr>
        <w:snapToGrid w:val="0"/>
        <w:spacing w:line="360" w:lineRule="auto"/>
        <w:rPr>
          <w:rFonts w:hint="eastAsia" w:hAnsi="宋体"/>
          <w:snapToGrid w:val="0"/>
          <w:szCs w:val="21"/>
        </w:rPr>
      </w:pPr>
      <w:r>
        <w:rPr>
          <w:rFonts w:hint="eastAsia" w:hAnsi="宋体"/>
          <w:snapToGrid w:val="0"/>
          <w:szCs w:val="21"/>
        </w:rPr>
        <w:t>（1）未按照规定签订、履行采购合同；</w:t>
      </w:r>
    </w:p>
    <w:p w14:paraId="25A0EEAE">
      <w:pPr>
        <w:snapToGrid w:val="0"/>
        <w:spacing w:line="360" w:lineRule="auto"/>
        <w:rPr>
          <w:rFonts w:hint="eastAsia" w:hAnsi="宋体"/>
          <w:snapToGrid w:val="0"/>
          <w:szCs w:val="21"/>
        </w:rPr>
      </w:pPr>
      <w:r>
        <w:rPr>
          <w:rFonts w:hint="eastAsia" w:hAnsi="宋体"/>
          <w:snapToGrid w:val="0"/>
          <w:szCs w:val="21"/>
        </w:rPr>
        <w:t>（2）提供虚假材料谋取中标、成交的；</w:t>
      </w:r>
    </w:p>
    <w:p w14:paraId="29F1483A">
      <w:pPr>
        <w:snapToGrid w:val="0"/>
        <w:spacing w:line="360" w:lineRule="auto"/>
        <w:rPr>
          <w:rFonts w:hint="eastAsia" w:hAnsi="宋体"/>
          <w:snapToGrid w:val="0"/>
          <w:szCs w:val="21"/>
        </w:rPr>
      </w:pPr>
      <w:r>
        <w:rPr>
          <w:rFonts w:hint="eastAsia" w:hAnsi="宋体"/>
          <w:snapToGrid w:val="0"/>
          <w:szCs w:val="21"/>
        </w:rPr>
        <w:t>（3）采取不正当手段诋毁、排挤其他供应商的；</w:t>
      </w:r>
    </w:p>
    <w:p w14:paraId="286CA9B2">
      <w:pPr>
        <w:snapToGrid w:val="0"/>
        <w:spacing w:line="360" w:lineRule="auto"/>
        <w:rPr>
          <w:rFonts w:hint="eastAsia" w:hAnsi="宋体"/>
          <w:snapToGrid w:val="0"/>
          <w:szCs w:val="21"/>
        </w:rPr>
      </w:pPr>
      <w:r>
        <w:rPr>
          <w:rFonts w:hint="eastAsia" w:hAnsi="宋体"/>
          <w:snapToGrid w:val="0"/>
          <w:szCs w:val="21"/>
        </w:rPr>
        <w:t>（4）与其他供应商恶意串通的；</w:t>
      </w:r>
    </w:p>
    <w:p w14:paraId="6BB6D639">
      <w:pPr>
        <w:snapToGrid w:val="0"/>
        <w:spacing w:line="360" w:lineRule="auto"/>
        <w:rPr>
          <w:rFonts w:hint="eastAsia" w:hAnsi="宋体"/>
          <w:snapToGrid w:val="0"/>
          <w:szCs w:val="21"/>
        </w:rPr>
      </w:pPr>
      <w:r>
        <w:rPr>
          <w:rFonts w:hint="eastAsia" w:hAnsi="宋体"/>
          <w:snapToGrid w:val="0"/>
          <w:szCs w:val="21"/>
        </w:rPr>
        <w:t>（5）拒绝有关部门监督检查或者提供虚假情况的；</w:t>
      </w:r>
    </w:p>
    <w:p w14:paraId="60452A43">
      <w:pPr>
        <w:snapToGrid w:val="0"/>
        <w:spacing w:line="360" w:lineRule="auto"/>
        <w:rPr>
          <w:rFonts w:hint="eastAsia" w:hAnsi="宋体"/>
          <w:snapToGrid w:val="0"/>
          <w:szCs w:val="21"/>
        </w:rPr>
      </w:pPr>
      <w:r>
        <w:rPr>
          <w:rFonts w:hint="eastAsia" w:hAnsi="宋体"/>
          <w:snapToGrid w:val="0"/>
          <w:szCs w:val="21"/>
        </w:rPr>
        <w:t>（6）经主管部门认定的其他违法采购相关法律法规的行为。</w:t>
      </w:r>
    </w:p>
    <w:p w14:paraId="2C883908">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中标通知书</w:t>
      </w:r>
    </w:p>
    <w:p w14:paraId="29FDC44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43D75B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49145DAD">
      <w:pPr>
        <w:numPr>
          <w:ilvl w:val="0"/>
          <w:numId w:val="0"/>
        </w:numPr>
        <w:autoSpaceDE w:val="0"/>
        <w:autoSpaceDN w:val="0"/>
        <w:adjustRightInd w:val="0"/>
        <w:snapToGrid w:val="0"/>
        <w:spacing w:line="360" w:lineRule="auto"/>
        <w:ind w:leftChars="0"/>
        <w:rPr>
          <w:rFonts w:ascii="宋体" w:hAnsi="宋体" w:cs="黑体"/>
          <w:b/>
          <w:bCs/>
          <w:szCs w:val="21"/>
        </w:rPr>
      </w:pPr>
    </w:p>
    <w:p w14:paraId="35CDC22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r>
        <w:rPr>
          <w:rFonts w:hint="eastAsia" w:asciiTheme="majorEastAsia" w:hAnsiTheme="majorEastAsia" w:eastAsiaTheme="majorEastAsia"/>
          <w:sz w:val="30"/>
          <w:szCs w:val="30"/>
          <w:lang w:eastAsia="zh-TW"/>
        </w:rPr>
        <w:t>授予合同</w:t>
      </w:r>
    </w:p>
    <w:p w14:paraId="3B3556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合同的订立</w:t>
      </w:r>
    </w:p>
    <w:p w14:paraId="0B51708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08E32BA9">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73A742E0">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7F3555E2">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7CF87EA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rPr>
        <w:t>合同的履行</w:t>
      </w:r>
    </w:p>
    <w:p w14:paraId="1A067EE9">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4F888CFD">
      <w:pPr>
        <w:numPr>
          <w:ilvl w:val="1"/>
          <w:numId w:val="17"/>
        </w:numPr>
        <w:autoSpaceDE w:val="0"/>
        <w:autoSpaceDN w:val="0"/>
        <w:adjustRightInd w:val="0"/>
        <w:snapToGrid w:val="0"/>
        <w:spacing w:line="360" w:lineRule="auto"/>
        <w:rPr>
          <w:b/>
          <w:sz w:val="52"/>
          <w:szCs w:val="52"/>
          <w:highlight w:val="none"/>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bookmarkEnd w:id="109"/>
      <w:r>
        <w:rPr>
          <w:rFonts w:hint="eastAsia" w:ascii="宋体" w:hAnsi="宋体" w:eastAsia="黑体" w:cs="宋体"/>
          <w:b/>
          <w:bCs/>
          <w:color w:val="000000" w:themeColor="text1"/>
          <w:kern w:val="2"/>
          <w:sz w:val="28"/>
          <w:szCs w:val="21"/>
          <w:lang w:val="en-US" w:eastAsia="zh-CN" w:bidi="ar-SA"/>
          <w14:textFill>
            <w14:solidFill>
              <w14:schemeClr w14:val="tx1"/>
            </w14:solidFill>
          </w14:textFill>
        </w:rPr>
        <w:t xml:space="preserve">     </w:t>
      </w:r>
      <w:bookmarkStart w:id="111" w:name="_Toc109889663"/>
      <w:bookmarkStart w:id="112" w:name="_Toc532"/>
      <w:bookmarkStart w:id="113" w:name="_Toc374439153"/>
      <w:bookmarkStart w:id="114" w:name="_Toc128037689"/>
      <w:bookmarkStart w:id="115" w:name="_Toc318878971"/>
    </w:p>
    <w:p w14:paraId="671D711A">
      <w:pPr>
        <w:pageBreakBefore w:val="0"/>
        <w:kinsoku/>
        <w:overflowPunct/>
        <w:topLinePunct w:val="0"/>
        <w:autoSpaceDE/>
        <w:autoSpaceDN/>
        <w:bidi w:val="0"/>
        <w:adjustRightInd w:val="0"/>
        <w:snapToGrid w:val="0"/>
        <w:spacing w:beforeAutospacing="0" w:afterAutospacing="0" w:line="560" w:lineRule="exact"/>
        <w:ind w:left="0" w:leftChars="0"/>
        <w:jc w:val="right"/>
        <w:textAlignment w:val="auto"/>
        <w:outlineLvl w:val="9"/>
        <w:rPr>
          <w:rFonts w:hint="eastAsia" w:ascii="仿宋_GB2312" w:hAnsi="仿宋_GB2312" w:eastAsia="仿宋_GB2312" w:cs="仿宋_GB2312"/>
          <w:b w:val="0"/>
          <w:bCs w:val="0"/>
          <w:sz w:val="32"/>
          <w:szCs w:val="32"/>
          <w:highlight w:val="none"/>
        </w:rPr>
      </w:pPr>
    </w:p>
    <w:p w14:paraId="61C26E21">
      <w:pPr>
        <w:pageBreakBefore w:val="0"/>
        <w:kinsoku/>
        <w:overflowPunct/>
        <w:topLinePunct w:val="0"/>
        <w:autoSpaceDE/>
        <w:autoSpaceDN/>
        <w:bidi w:val="0"/>
        <w:adjustRightInd w:val="0"/>
        <w:snapToGrid w:val="0"/>
        <w:spacing w:beforeAutospacing="0" w:afterAutospacing="0" w:line="560" w:lineRule="exact"/>
        <w:ind w:left="0" w:leftChars="0"/>
        <w:jc w:val="right"/>
        <w:textAlignment w:val="auto"/>
        <w:outlineLvl w:val="9"/>
        <w:rPr>
          <w:b/>
          <w:sz w:val="52"/>
          <w:szCs w:val="52"/>
          <w:highlight w:val="none"/>
          <w:u w:val="single"/>
        </w:rPr>
      </w:pPr>
      <w:r>
        <w:rPr>
          <w:rFonts w:hint="eastAsia" w:ascii="仿宋_GB2312" w:hAnsi="仿宋_GB2312" w:eastAsia="仿宋_GB2312" w:cs="仿宋_GB2312"/>
          <w:b w:val="0"/>
          <w:bCs w:val="0"/>
          <w:sz w:val="32"/>
          <w:szCs w:val="32"/>
          <w:highlight w:val="none"/>
        </w:rPr>
        <w:t>合同编号：</w:t>
      </w:r>
      <w:r>
        <w:rPr>
          <w:rFonts w:hint="eastAsia" w:ascii="仿宋_GB2312" w:hAnsi="仿宋_GB2312" w:eastAsia="仿宋_GB2312" w:cs="仿宋_GB2312"/>
          <w:b w:val="0"/>
          <w:bCs w:val="0"/>
          <w:sz w:val="32"/>
          <w:szCs w:val="32"/>
          <w:highlight w:val="none"/>
          <w:lang w:val="en-US" w:eastAsia="zh-CN"/>
        </w:rPr>
        <w:t>FTEY-HC-</w:t>
      </w:r>
    </w:p>
    <w:p w14:paraId="682CB40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6DDB6AF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6080789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both"/>
        <w:textAlignment w:val="auto"/>
        <w:rPr>
          <w:rFonts w:hint="eastAsia" w:ascii="宋体" w:hAnsi="宋体" w:cs="宋体"/>
          <w:b/>
          <w:bCs/>
          <w:sz w:val="72"/>
          <w:szCs w:val="72"/>
          <w:highlight w:val="none"/>
        </w:rPr>
      </w:pPr>
    </w:p>
    <w:p w14:paraId="4CEDE9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5C1F1E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r>
        <w:rPr>
          <w:rFonts w:hint="eastAsia" w:ascii="宋体" w:hAnsi="宋体" w:cs="宋体"/>
          <w:b/>
          <w:bCs/>
          <w:sz w:val="72"/>
          <w:szCs w:val="72"/>
          <w:highlight w:val="none"/>
        </w:rPr>
        <w:t>福田区卫生系统医用器械</w:t>
      </w:r>
    </w:p>
    <w:p w14:paraId="5501E7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highlight w:val="none"/>
        </w:rPr>
      </w:pPr>
      <w:r>
        <w:rPr>
          <w:rFonts w:hint="eastAsia" w:ascii="宋体" w:hAnsi="宋体" w:cs="宋体"/>
          <w:b/>
          <w:bCs/>
          <w:sz w:val="72"/>
          <w:szCs w:val="72"/>
          <w:highlight w:val="none"/>
        </w:rPr>
        <w:t>耗材采购合同</w:t>
      </w:r>
    </w:p>
    <w:p w14:paraId="4F1576F3">
      <w:pPr>
        <w:bidi w:val="0"/>
        <w:jc w:val="center"/>
        <w:rPr>
          <w:sz w:val="44"/>
          <w:szCs w:val="44"/>
          <w:highlight w:val="none"/>
        </w:rPr>
      </w:pPr>
    </w:p>
    <w:p w14:paraId="1E2DF1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9"/>
        <w:rPr>
          <w:rFonts w:ascii="宋体" w:hAnsi="宋体"/>
          <w:b/>
          <w:sz w:val="24"/>
          <w:highlight w:val="none"/>
        </w:rPr>
      </w:pPr>
    </w:p>
    <w:p w14:paraId="35691C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16374CD3">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59361949">
      <w:pPr>
        <w:keepNext/>
        <w:keepLines/>
        <w:widowControl w:val="0"/>
        <w:spacing w:line="576" w:lineRule="auto"/>
        <w:jc w:val="both"/>
        <w:outlineLvl w:val="9"/>
        <w:rPr>
          <w:rFonts w:asciiTheme="minorHAnsi" w:hAnsiTheme="minorHAnsi" w:eastAsiaTheme="minorEastAsia" w:cstheme="minorBidi"/>
          <w:b/>
          <w:kern w:val="44"/>
          <w:sz w:val="44"/>
          <w:szCs w:val="24"/>
          <w:lang w:val="en-US" w:eastAsia="zh-CN" w:bidi="ar-SA"/>
        </w:rPr>
      </w:pPr>
    </w:p>
    <w:p w14:paraId="3003A15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4C9F6F3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1367F6A6">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27EA40D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    方：</w:t>
      </w:r>
      <w:r>
        <w:rPr>
          <w:rFonts w:hint="eastAsia" w:ascii="仿宋_GB2312" w:hAnsi="仿宋_GB2312" w:eastAsia="仿宋_GB2312" w:cs="仿宋_GB2312"/>
          <w:bCs/>
          <w:color w:val="auto"/>
          <w:sz w:val="32"/>
          <w:szCs w:val="32"/>
          <w:highlight w:val="none"/>
          <w:u w:val="single"/>
        </w:rPr>
        <w:t xml:space="preserve">                            </w:t>
      </w:r>
    </w:p>
    <w:p w14:paraId="4EE94D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rPr>
        <w:t>乙    方：</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8CE836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color w:val="auto"/>
          <w:sz w:val="24"/>
          <w:highlight w:val="none"/>
        </w:rPr>
      </w:pPr>
    </w:p>
    <w:p w14:paraId="09F46B38">
      <w:pPr>
        <w:pageBreakBefore w:val="0"/>
        <w:kinsoku/>
        <w:overflowPunct/>
        <w:topLinePunct w:val="0"/>
        <w:autoSpaceDE/>
        <w:autoSpaceDN/>
        <w:bidi w:val="0"/>
        <w:adjustRightInd w:val="0"/>
        <w:snapToGrid w:val="0"/>
        <w:spacing w:beforeAutospacing="0" w:afterAutospacing="0" w:line="560" w:lineRule="exact"/>
        <w:ind w:left="0" w:leftChars="0"/>
        <w:jc w:val="both"/>
        <w:textAlignment w:val="auto"/>
        <w:outlineLvl w:val="9"/>
        <w:rPr>
          <w:rFonts w:hint="eastAsia" w:ascii="方正小标宋简体" w:hAnsi="方正小标宋简体" w:eastAsia="方正小标宋简体" w:cs="方正小标宋简体"/>
          <w:b w:val="0"/>
          <w:bCs/>
          <w:sz w:val="40"/>
          <w:szCs w:val="40"/>
          <w:highlight w:val="none"/>
        </w:rPr>
      </w:pPr>
    </w:p>
    <w:p w14:paraId="68AAC512">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rFonts w:hint="eastAsia" w:ascii="方正小标宋简体" w:hAnsi="方正小标宋简体" w:eastAsia="方正小标宋简体" w:cs="方正小标宋简体"/>
          <w:b w:val="0"/>
          <w:bCs/>
          <w:sz w:val="40"/>
          <w:szCs w:val="40"/>
          <w:highlight w:val="none"/>
        </w:rPr>
      </w:pPr>
    </w:p>
    <w:p w14:paraId="2B9C508F">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rFonts w:hint="eastAsia" w:ascii="方正小标宋简体" w:hAnsi="方正小标宋简体" w:eastAsia="方正小标宋简体" w:cs="方正小标宋简体"/>
          <w:b w:val="0"/>
          <w:bCs/>
          <w:sz w:val="40"/>
          <w:szCs w:val="40"/>
          <w:highlight w:val="none"/>
        </w:rPr>
      </w:pPr>
      <w:r>
        <w:rPr>
          <w:rFonts w:hint="eastAsia" w:ascii="方正小标宋简体" w:hAnsi="方正小标宋简体" w:eastAsia="方正小标宋简体" w:cs="方正小标宋简体"/>
          <w:b w:val="0"/>
          <w:bCs/>
          <w:sz w:val="40"/>
          <w:szCs w:val="40"/>
          <w:highlight w:val="none"/>
        </w:rPr>
        <w:t>福田区</w:t>
      </w:r>
      <w:r>
        <w:rPr>
          <w:rFonts w:hint="eastAsia" w:ascii="方正小标宋简体" w:hAnsi="方正小标宋简体" w:eastAsia="方正小标宋简体" w:cs="方正小标宋简体"/>
          <w:b w:val="0"/>
          <w:bCs/>
          <w:sz w:val="40"/>
          <w:szCs w:val="40"/>
          <w:highlight w:val="none"/>
          <w:lang w:eastAsia="zh-CN"/>
        </w:rPr>
        <w:t>第二人民医院</w:t>
      </w:r>
      <w:r>
        <w:rPr>
          <w:rFonts w:hint="eastAsia" w:ascii="方正小标宋简体" w:hAnsi="方正小标宋简体" w:eastAsia="方正小标宋简体" w:cs="方正小标宋简体"/>
          <w:b w:val="0"/>
          <w:bCs/>
          <w:sz w:val="40"/>
          <w:szCs w:val="40"/>
          <w:highlight w:val="none"/>
        </w:rPr>
        <w:t>医用器械耗材采购合同</w:t>
      </w:r>
    </w:p>
    <w:p w14:paraId="2792CF6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highlight w:val="none"/>
        </w:rPr>
      </w:pPr>
    </w:p>
    <w:p w14:paraId="4AD88F6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en-US" w:eastAsia="zh-CN"/>
        </w:rPr>
        <w:t>深圳市福田区第二人民医院</w:t>
      </w:r>
    </w:p>
    <w:p w14:paraId="5558FB8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赵蓉</w:t>
      </w:r>
    </w:p>
    <w:p w14:paraId="3DDC6E8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注册地址：</w:t>
      </w:r>
      <w:r>
        <w:rPr>
          <w:rFonts w:hint="eastAsia" w:ascii="仿宋_GB2312" w:hAnsi="仿宋_GB2312" w:eastAsia="仿宋_GB2312" w:cs="仿宋_GB2312"/>
          <w:color w:val="auto"/>
          <w:sz w:val="28"/>
          <w:szCs w:val="28"/>
          <w:highlight w:val="none"/>
          <w:lang w:val="en-US" w:eastAsia="zh-CN"/>
        </w:rPr>
        <w:t>广东省深圳市福田区中康路27号</w:t>
      </w:r>
    </w:p>
    <w:p w14:paraId="48541DD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0755-83110237</w:t>
      </w:r>
    </w:p>
    <w:p w14:paraId="7BF6931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统一社会信用代码：</w:t>
      </w:r>
      <w:r>
        <w:rPr>
          <w:rFonts w:hint="eastAsia" w:ascii="仿宋_GB2312" w:hAnsi="仿宋_GB2312" w:eastAsia="仿宋_GB2312" w:cs="仿宋_GB2312"/>
          <w:color w:val="auto"/>
          <w:sz w:val="28"/>
          <w:szCs w:val="28"/>
          <w:highlight w:val="none"/>
          <w:lang w:val="en-US" w:eastAsia="zh-CN"/>
        </w:rPr>
        <w:t>12440304455744313D</w:t>
      </w:r>
    </w:p>
    <w:p w14:paraId="5880D8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p w14:paraId="2809D2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p>
    <w:p w14:paraId="2830EA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0E0D8E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p w14:paraId="3FC8FF0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14:paraId="36A44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统一社会信用代码：</w:t>
      </w:r>
    </w:p>
    <w:p w14:paraId="2017D4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3BA269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甲、乙双方根据</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深圳市福田区第二人民医院</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期</w:t>
      </w:r>
      <w:r>
        <w:rPr>
          <w:rFonts w:hint="eastAsia" w:ascii="仿宋_GB2312" w:hAnsi="仿宋_GB2312" w:eastAsia="仿宋_GB2312" w:cs="仿宋_GB2312"/>
          <w:color w:val="auto"/>
          <w:sz w:val="28"/>
          <w:szCs w:val="28"/>
          <w:highlight w:val="none"/>
          <w:u w:val="none"/>
        </w:rPr>
        <w:t>（试剂/耗材/物资）</w:t>
      </w:r>
      <w:r>
        <w:rPr>
          <w:rFonts w:hint="eastAsia" w:ascii="仿宋_GB2312" w:hAnsi="仿宋_GB2312" w:eastAsia="仿宋_GB2312" w:cs="仿宋_GB2312"/>
          <w:color w:val="auto"/>
          <w:sz w:val="28"/>
          <w:szCs w:val="28"/>
          <w:highlight w:val="none"/>
        </w:rPr>
        <w:t>采购项目”（采购项目名称</w:t>
      </w:r>
      <w:r>
        <w:rPr>
          <w:rFonts w:hint="eastAsia" w:ascii="仿宋_GB2312" w:hAnsi="仿宋_GB2312" w:eastAsia="仿宋_GB2312" w:cs="仿宋_GB2312"/>
          <w:color w:val="auto"/>
          <w:sz w:val="28"/>
          <w:szCs w:val="28"/>
          <w:highlight w:val="none"/>
          <w:u w:val="none"/>
        </w:rPr>
        <w:t>：</w:t>
      </w:r>
    </w:p>
    <w:p w14:paraId="4BE88271">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auto"/>
          <w:highlight w:val="none"/>
        </w:rPr>
      </w:pP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采购编号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4C8B88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16" w:name="_Toc13149_WPSOffice_Level1"/>
      <w:r>
        <w:rPr>
          <w:rFonts w:hint="eastAsia" w:ascii="仿宋_GB2312" w:hAnsi="仿宋_GB2312" w:eastAsia="仿宋_GB2312" w:cs="仿宋_GB2312"/>
          <w:b/>
          <w:color w:val="auto"/>
          <w:sz w:val="28"/>
          <w:szCs w:val="28"/>
          <w:highlight w:val="none"/>
        </w:rPr>
        <w:t>第一条  合同标的</w:t>
      </w:r>
      <w:bookmarkEnd w:id="116"/>
    </w:p>
    <w:p w14:paraId="65C348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1.乙方根据甲方需求提供（货物/设备/器材等）：（标的物名称、规格、型号、生产厂商、产地、数量及分项价款，若标的物较多可以附件形式体现，如见附件一《货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p>
    <w:p w14:paraId="0F311AE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rPr>
      </w:pPr>
    </w:p>
    <w:p w14:paraId="752D94A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附件一：</w:t>
      </w:r>
    </w:p>
    <w:p w14:paraId="0C09B2EF">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货</w:t>
      </w:r>
      <w:r>
        <w:rPr>
          <w:rFonts w:hint="eastAsia" w:ascii="方正小标宋_GBK" w:hAnsi="方正小标宋_GBK" w:eastAsia="方正小标宋_GBK" w:cs="方正小标宋_GBK"/>
          <w:color w:val="auto"/>
          <w:sz w:val="44"/>
          <w:szCs w:val="44"/>
          <w:highlight w:val="none"/>
          <w:lang w:val="en-US" w:eastAsia="zh-CN"/>
        </w:rPr>
        <w:t>品</w:t>
      </w:r>
      <w:r>
        <w:rPr>
          <w:rFonts w:hint="eastAsia" w:ascii="方正小标宋_GBK" w:hAnsi="方正小标宋_GBK" w:eastAsia="方正小标宋_GBK" w:cs="方正小标宋_GBK"/>
          <w:color w:val="auto"/>
          <w:sz w:val="44"/>
          <w:szCs w:val="44"/>
          <w:highlight w:val="none"/>
        </w:rPr>
        <w:t>清单</w:t>
      </w:r>
    </w:p>
    <w:p w14:paraId="6AEAED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tbl>
      <w:tblPr>
        <w:tblStyle w:val="18"/>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227"/>
        <w:gridCol w:w="560"/>
        <w:gridCol w:w="973"/>
        <w:gridCol w:w="974"/>
        <w:gridCol w:w="1240"/>
        <w:gridCol w:w="1742"/>
      </w:tblGrid>
      <w:tr w14:paraId="785D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9" w:type="dxa"/>
            <w:vAlign w:val="center"/>
          </w:tcPr>
          <w:p w14:paraId="2A0E475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名称</w:t>
            </w:r>
          </w:p>
        </w:tc>
        <w:tc>
          <w:tcPr>
            <w:tcW w:w="1227" w:type="dxa"/>
            <w:vAlign w:val="center"/>
          </w:tcPr>
          <w:p w14:paraId="151F59C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560" w:type="dxa"/>
            <w:vAlign w:val="center"/>
          </w:tcPr>
          <w:p w14:paraId="09ACB16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973" w:type="dxa"/>
            <w:vAlign w:val="center"/>
          </w:tcPr>
          <w:p w14:paraId="1BC21A4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单价(元)</w:t>
            </w:r>
          </w:p>
        </w:tc>
        <w:tc>
          <w:tcPr>
            <w:tcW w:w="974" w:type="dxa"/>
            <w:vAlign w:val="center"/>
          </w:tcPr>
          <w:p w14:paraId="67232C5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阳采平台代码</w:t>
            </w:r>
          </w:p>
        </w:tc>
        <w:tc>
          <w:tcPr>
            <w:tcW w:w="1240" w:type="dxa"/>
            <w:vAlign w:val="center"/>
          </w:tcPr>
          <w:p w14:paraId="01471AB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注册证号</w:t>
            </w:r>
          </w:p>
        </w:tc>
        <w:tc>
          <w:tcPr>
            <w:tcW w:w="1742" w:type="dxa"/>
            <w:vAlign w:val="center"/>
          </w:tcPr>
          <w:p w14:paraId="496B2CA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生产厂家</w:t>
            </w:r>
          </w:p>
        </w:tc>
      </w:tr>
      <w:tr w14:paraId="0C1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0236C1D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1F39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color w:val="auto"/>
                <w:highlight w:val="none"/>
              </w:rPr>
            </w:pPr>
          </w:p>
        </w:tc>
        <w:tc>
          <w:tcPr>
            <w:tcW w:w="560" w:type="dxa"/>
            <w:vAlign w:val="center"/>
          </w:tcPr>
          <w:p w14:paraId="6F27A605">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724BB3C8">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60E230EC">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240" w:type="dxa"/>
            <w:vAlign w:val="center"/>
          </w:tcPr>
          <w:p w14:paraId="6537B363">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742" w:type="dxa"/>
            <w:vAlign w:val="center"/>
          </w:tcPr>
          <w:p w14:paraId="14A76CC1">
            <w:pPr>
              <w:keepNext w:val="0"/>
              <w:keepLines w:val="0"/>
              <w:suppressLineNumbers w:val="0"/>
              <w:bidi w:val="0"/>
              <w:spacing w:before="0" w:beforeAutospacing="0" w:after="0" w:afterAutospacing="0"/>
              <w:ind w:right="0"/>
              <w:rPr>
                <w:rFonts w:hint="eastAsia"/>
                <w:color w:val="auto"/>
                <w:highlight w:val="none"/>
              </w:rPr>
            </w:pPr>
          </w:p>
        </w:tc>
      </w:tr>
      <w:tr w14:paraId="34B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A9B57E6">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4DD21E4">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6088DCE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27F0B686">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8F4B5E0">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5DD89A1A">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5B41999A">
            <w:pPr>
              <w:keepNext w:val="0"/>
              <w:keepLines w:val="0"/>
              <w:suppressLineNumbers w:val="0"/>
              <w:bidi w:val="0"/>
              <w:spacing w:before="0" w:beforeAutospacing="0" w:after="0" w:afterAutospacing="0"/>
              <w:ind w:right="0"/>
              <w:rPr>
                <w:rFonts w:hint="eastAsia"/>
                <w:color w:val="auto"/>
                <w:highlight w:val="none"/>
              </w:rPr>
            </w:pPr>
          </w:p>
        </w:tc>
      </w:tr>
      <w:tr w14:paraId="7D5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2A1EB3B">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3646E61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A9E9E1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A15254B">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45655FA">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128910BD">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1C1E7DE4">
            <w:pPr>
              <w:keepNext w:val="0"/>
              <w:keepLines w:val="0"/>
              <w:suppressLineNumbers w:val="0"/>
              <w:bidi w:val="0"/>
              <w:spacing w:before="0" w:beforeAutospacing="0" w:after="0" w:afterAutospacing="0"/>
              <w:ind w:right="0"/>
              <w:rPr>
                <w:rFonts w:hint="eastAsia"/>
                <w:color w:val="auto"/>
                <w:highlight w:val="none"/>
              </w:rPr>
            </w:pPr>
          </w:p>
        </w:tc>
      </w:tr>
      <w:tr w14:paraId="14E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3E4ADDFA">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20089B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4A54983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72CB8AC">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4B6753C6">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2F03C22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4B7AB04">
            <w:pPr>
              <w:keepNext w:val="0"/>
              <w:keepLines w:val="0"/>
              <w:suppressLineNumbers w:val="0"/>
              <w:bidi w:val="0"/>
              <w:spacing w:before="0" w:beforeAutospacing="0" w:after="0" w:afterAutospacing="0"/>
              <w:ind w:right="0"/>
              <w:rPr>
                <w:rFonts w:hint="eastAsia"/>
                <w:color w:val="auto"/>
                <w:highlight w:val="none"/>
              </w:rPr>
            </w:pPr>
          </w:p>
        </w:tc>
      </w:tr>
      <w:tr w14:paraId="5B2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8341EA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A3FB16F">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08CEF0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10C44DF">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B3165A2">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6946835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8EA8459">
            <w:pPr>
              <w:keepNext w:val="0"/>
              <w:keepLines w:val="0"/>
              <w:suppressLineNumbers w:val="0"/>
              <w:bidi w:val="0"/>
              <w:spacing w:before="0" w:beforeAutospacing="0" w:after="0" w:afterAutospacing="0"/>
              <w:ind w:right="0"/>
              <w:rPr>
                <w:rFonts w:hint="eastAsia"/>
                <w:color w:val="auto"/>
                <w:highlight w:val="none"/>
              </w:rPr>
            </w:pPr>
          </w:p>
        </w:tc>
      </w:tr>
    </w:tbl>
    <w:p w14:paraId="0DDDA98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乙方承诺《货品清单》</w:t>
      </w:r>
      <w:r>
        <w:rPr>
          <w:rFonts w:hint="eastAsia" w:ascii="仿宋_GB2312" w:hAnsi="仿宋_GB2312" w:eastAsia="仿宋_GB2312" w:cs="仿宋_GB2312"/>
          <w:color w:val="auto"/>
          <w:sz w:val="28"/>
          <w:szCs w:val="28"/>
          <w:highlight w:val="none"/>
          <w:lang w:val="en-US" w:eastAsia="zh-CN"/>
        </w:rPr>
        <w:t>中在“</w:t>
      </w:r>
      <w:r>
        <w:rPr>
          <w:rFonts w:hint="eastAsia" w:ascii="仿宋_GB2312" w:hAnsi="仿宋_GB2312" w:eastAsia="仿宋_GB2312" w:cs="仿宋_GB2312"/>
          <w:color w:val="auto"/>
          <w:sz w:val="28"/>
          <w:szCs w:val="28"/>
          <w:highlight w:val="none"/>
        </w:rPr>
        <w:t>深圳医用耗材阳光交易和监管平台</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(以下简称平台)</w:t>
      </w:r>
      <w:r>
        <w:rPr>
          <w:rFonts w:hint="eastAsia" w:ascii="仿宋_GB2312" w:hAnsi="仿宋_GB2312" w:eastAsia="仿宋_GB2312" w:cs="仿宋_GB2312"/>
          <w:color w:val="auto"/>
          <w:sz w:val="28"/>
          <w:szCs w:val="28"/>
          <w:highlight w:val="none"/>
          <w:lang w:val="en-US" w:eastAsia="zh-CN"/>
        </w:rPr>
        <w:t>上挂网的货品</w:t>
      </w:r>
      <w:r>
        <w:rPr>
          <w:rFonts w:hint="eastAsia" w:ascii="仿宋_GB2312" w:hAnsi="仿宋_GB2312" w:eastAsia="仿宋_GB2312" w:cs="仿宋_GB2312"/>
          <w:color w:val="auto"/>
          <w:sz w:val="28"/>
          <w:szCs w:val="28"/>
          <w:highlight w:val="none"/>
        </w:rPr>
        <w:t>执行线上</w:t>
      </w:r>
      <w:r>
        <w:rPr>
          <w:rFonts w:hint="eastAsia" w:ascii="仿宋_GB2312" w:hAnsi="仿宋_GB2312" w:eastAsia="仿宋_GB2312" w:cs="仿宋_GB2312"/>
          <w:color w:val="auto"/>
          <w:sz w:val="28"/>
          <w:szCs w:val="28"/>
          <w:highlight w:val="none"/>
          <w:lang w:val="en-US" w:eastAsia="zh-CN"/>
        </w:rPr>
        <w:t>交易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本合同</w:t>
      </w:r>
      <w:r>
        <w:rPr>
          <w:rFonts w:hint="eastAsia" w:ascii="仿宋_GB2312" w:hAnsi="仿宋_GB2312" w:eastAsia="仿宋_GB2312" w:cs="仿宋_GB2312"/>
          <w:color w:val="auto"/>
          <w:sz w:val="28"/>
          <w:szCs w:val="28"/>
          <w:highlight w:val="none"/>
          <w:u w:val="none"/>
        </w:rPr>
        <w:t>有效期内</w:t>
      </w:r>
      <w:r>
        <w:rPr>
          <w:rFonts w:hint="eastAsia" w:ascii="仿宋_GB2312" w:hAnsi="仿宋_GB2312" w:eastAsia="仿宋_GB2312" w:cs="仿宋_GB2312"/>
          <w:color w:val="auto"/>
          <w:sz w:val="28"/>
          <w:szCs w:val="28"/>
          <w:highlight w:val="none"/>
          <w:u w:val="none"/>
          <w:lang w:val="en-US" w:eastAsia="zh-CN"/>
        </w:rPr>
        <w:t>货品</w:t>
      </w:r>
      <w:r>
        <w:rPr>
          <w:rFonts w:hint="eastAsia" w:ascii="仿宋_GB2312" w:hAnsi="仿宋_GB2312" w:eastAsia="仿宋_GB2312" w:cs="仿宋_GB2312"/>
          <w:color w:val="auto"/>
          <w:sz w:val="28"/>
          <w:szCs w:val="28"/>
          <w:highlight w:val="none"/>
          <w:u w:val="none"/>
        </w:rPr>
        <w:t>价格</w:t>
      </w:r>
      <w:r>
        <w:rPr>
          <w:rFonts w:hint="eastAsia" w:ascii="仿宋_GB2312" w:hAnsi="仿宋_GB2312" w:eastAsia="仿宋_GB2312" w:cs="仿宋_GB2312"/>
          <w:color w:val="auto"/>
          <w:sz w:val="28"/>
          <w:szCs w:val="28"/>
          <w:highlight w:val="none"/>
          <w:u w:val="none"/>
          <w:lang w:val="en-US" w:eastAsia="zh-CN"/>
        </w:rPr>
        <w:t>不得高于</w:t>
      </w:r>
      <w:r>
        <w:rPr>
          <w:rFonts w:hint="eastAsia" w:ascii="仿宋_GB2312" w:hAnsi="仿宋_GB2312" w:eastAsia="仿宋_GB2312" w:cs="仿宋_GB2312"/>
          <w:color w:val="auto"/>
          <w:sz w:val="28"/>
          <w:szCs w:val="28"/>
          <w:highlight w:val="none"/>
          <w:u w:val="none"/>
        </w:rPr>
        <w:t>平台三色九段中的</w:t>
      </w:r>
      <w:r>
        <w:rPr>
          <w:rFonts w:hint="eastAsia" w:ascii="仿宋_GB2312" w:hAnsi="仿宋_GB2312" w:eastAsia="仿宋_GB2312" w:cs="仿宋_GB2312"/>
          <w:color w:val="auto"/>
          <w:sz w:val="28"/>
          <w:szCs w:val="28"/>
          <w:highlight w:val="none"/>
          <w:u w:val="none"/>
          <w:lang w:val="en-US" w:eastAsia="zh-CN"/>
        </w:rPr>
        <w:t>绿</w:t>
      </w:r>
      <w:r>
        <w:rPr>
          <w:rFonts w:hint="eastAsia" w:ascii="仿宋_GB2312" w:hAnsi="仿宋_GB2312" w:eastAsia="仿宋_GB2312" w:cs="仿宋_GB2312"/>
          <w:color w:val="auto"/>
          <w:sz w:val="28"/>
          <w:szCs w:val="28"/>
          <w:highlight w:val="none"/>
          <w:u w:val="none"/>
        </w:rPr>
        <w:t>色段价格,</w:t>
      </w:r>
      <w:r>
        <w:rPr>
          <w:rFonts w:hint="eastAsia" w:ascii="仿宋_GB2312" w:hAnsi="仿宋_GB2312" w:eastAsia="仿宋_GB2312" w:cs="仿宋_GB2312"/>
          <w:color w:val="auto"/>
          <w:sz w:val="28"/>
          <w:szCs w:val="28"/>
          <w:highlight w:val="none"/>
          <w:u w:val="none"/>
          <w:lang w:val="en-US" w:eastAsia="zh-CN"/>
        </w:rPr>
        <w:t>如遇平台价格下调，</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eastAsia="zh-CN"/>
        </w:rPr>
        <w:t>应主动调整供货价格。</w:t>
      </w:r>
      <w:r>
        <w:rPr>
          <w:rFonts w:hint="eastAsia" w:ascii="仿宋_GB2312" w:hAnsi="仿宋_GB2312" w:eastAsia="仿宋_GB2312" w:cs="仿宋_GB2312"/>
          <w:color w:val="auto"/>
          <w:sz w:val="28"/>
          <w:szCs w:val="28"/>
          <w:highlight w:val="none"/>
        </w:rPr>
        <w:t>若不执行，甲方有权单方解除本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乙方应承担给甲方造成的全部经济损失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且纳入黑名单管理。</w:t>
      </w:r>
    </w:p>
    <w:p w14:paraId="3BDDEF55">
      <w:pPr>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如遇政策影响等因素需要调整价格，</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eastAsia="仿宋_GB2312" w:cs="仿宋_GB2312"/>
          <w:color w:val="auto"/>
          <w:sz w:val="28"/>
          <w:szCs w:val="28"/>
          <w:highlight w:val="none"/>
        </w:rPr>
        <w:t>政策规定的要求执行。</w:t>
      </w:r>
    </w:p>
    <w:p w14:paraId="022D6F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68A2F84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0" w:firstLineChars="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u w:val="single"/>
          <w:lang w:val="en-US" w:eastAsia="zh-CN"/>
        </w:rPr>
        <w:t>乙方承诺及时在平台填报订单和发票相关信息，不影响甲方平台结算率。</w:t>
      </w:r>
      <w:r>
        <w:rPr>
          <w:rFonts w:hint="eastAsia" w:ascii="仿宋_GB2312" w:hAnsi="仿宋_GB2312" w:eastAsia="仿宋_GB2312" w:cs="仿宋_GB2312"/>
          <w:color w:val="auto"/>
          <w:sz w:val="28"/>
          <w:szCs w:val="28"/>
          <w:highlight w:val="none"/>
          <w:u w:val="single"/>
          <w:lang w:val="en-US" w:eastAsia="zh-CN"/>
        </w:rPr>
        <w:t xml:space="preserve">                                                                                                                  </w:t>
      </w:r>
    </w:p>
    <w:p w14:paraId="5A5D0F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17" w:name="_Toc663_WPSOffice_Level1"/>
      <w:r>
        <w:rPr>
          <w:rFonts w:hint="eastAsia" w:ascii="仿宋_GB2312" w:hAnsi="仿宋_GB2312" w:eastAsia="仿宋_GB2312" w:cs="仿宋_GB2312"/>
          <w:b/>
          <w:color w:val="auto"/>
          <w:sz w:val="28"/>
          <w:szCs w:val="28"/>
          <w:highlight w:val="none"/>
        </w:rPr>
        <w:t>第二条  合同价款</w:t>
      </w:r>
      <w:bookmarkEnd w:id="117"/>
    </w:p>
    <w:p w14:paraId="2AA3628C">
      <w:pPr>
        <w:pStyle w:val="7"/>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2872C5C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（1）（附件一所列货物）的货款；</w:t>
      </w:r>
    </w:p>
    <w:p w14:paraId="674E54C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（2）货物运至合同指定地点的运输费（包括海外运输、内陆运输、工地场地内水平和垂直运输等所有运输费用）；</w:t>
      </w:r>
    </w:p>
    <w:p w14:paraId="000782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（3）货物包装费、采购保管费、安装费（包括损耗、额外材料等）、货物装卸费；</w:t>
      </w:r>
    </w:p>
    <w:p w14:paraId="309A8A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（4）乙方对甲方人员的技术培训费；</w:t>
      </w:r>
    </w:p>
    <w:p w14:paraId="07FE344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（5）（预埋件）的材料、制作、施工、检测等费用；</w:t>
      </w:r>
    </w:p>
    <w:p w14:paraId="1E3C3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（6）施工组织措施费，文明施工费、设备和材料二次搬运费、现场保管费、吊装费、工地环保费、治安费、施工垃圾外运费，与其他相关单位配合管理费等所有在采购单位可以使用货物之前的应尽的费用；</w:t>
      </w:r>
    </w:p>
    <w:p w14:paraId="41ED817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（7）保险费、税金、风险金。</w:t>
      </w:r>
    </w:p>
    <w:p w14:paraId="649B37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合同总价款不因通货膨胀、市场行情等市场价格的变动而变动，但本合同另有约定的除外。</w:t>
      </w:r>
    </w:p>
    <w:p w14:paraId="5AF47A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2.合同价款的支付方式（双方应共同选择一项，并在所选项□内打“√”）：</w:t>
      </w:r>
    </w:p>
    <w:p w14:paraId="7F15EB8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一次性支付</w:t>
      </w:r>
    </w:p>
    <w:p w14:paraId="74706159">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自甲方验收全部货物合格后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60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个工作 </w:t>
      </w:r>
      <w:r>
        <w:rPr>
          <w:rFonts w:hint="eastAsia" w:ascii="仿宋_GB2312" w:hAnsi="仿宋_GB2312" w:eastAsia="仿宋_GB2312" w:cs="仿宋_GB2312"/>
          <w:color w:val="auto"/>
          <w:sz w:val="28"/>
          <w:szCs w:val="28"/>
          <w:highlight w:val="none"/>
        </w:rPr>
        <w:t>日内支付</w:t>
      </w:r>
      <w:r>
        <w:rPr>
          <w:rFonts w:hint="eastAsia" w:ascii="仿宋_GB2312" w:hAnsi="仿宋_GB2312" w:eastAsia="仿宋_GB2312" w:cs="仿宋_GB2312"/>
          <w:color w:val="auto"/>
          <w:sz w:val="28"/>
          <w:szCs w:val="28"/>
          <w:highlight w:val="none"/>
          <w:lang w:eastAsia="zh-CN"/>
        </w:rPr>
        <w:t>随货同行发票</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总价款。</w:t>
      </w:r>
    </w:p>
    <w:p w14:paraId="55EDE355">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2" w:firstLineChars="200"/>
        <w:textAlignment w:val="auto"/>
      </w:pPr>
      <w:r>
        <w:rPr>
          <w:rFonts w:hint="eastAsia" w:ascii="仿宋_GB2312" w:hAnsi="仿宋_GB2312" w:eastAsia="仿宋_GB2312" w:cs="仿宋_GB2312"/>
          <w:b/>
          <w:bCs/>
          <w:color w:val="auto"/>
          <w:sz w:val="28"/>
          <w:szCs w:val="28"/>
          <w:highlight w:val="none"/>
          <w:u w:val="single"/>
          <w:lang w:val="en-US" w:eastAsia="zh-CN"/>
        </w:rPr>
        <w:t>备注：如乙方</w:t>
      </w:r>
      <w:r>
        <w:rPr>
          <w:rFonts w:hint="eastAsia" w:ascii="仿宋_GB2312" w:hAnsi="仿宋_GB2312" w:eastAsia="仿宋_GB2312" w:cs="仿宋_GB2312"/>
          <w:b/>
          <w:bCs/>
          <w:color w:val="auto"/>
          <w:sz w:val="28"/>
          <w:szCs w:val="28"/>
          <w:highlight w:val="none"/>
          <w:u w:val="single"/>
        </w:rPr>
        <w:t>不及时在平台回填</w:t>
      </w:r>
      <w:r>
        <w:rPr>
          <w:rFonts w:hint="eastAsia" w:ascii="仿宋_GB2312" w:hAnsi="仿宋_GB2312" w:eastAsia="仿宋_GB2312" w:cs="仿宋_GB2312"/>
          <w:b/>
          <w:bCs/>
          <w:color w:val="auto"/>
          <w:sz w:val="28"/>
          <w:szCs w:val="28"/>
          <w:highlight w:val="none"/>
          <w:u w:val="single"/>
          <w:lang w:val="en-US" w:eastAsia="zh-CN"/>
        </w:rPr>
        <w:t>订单和发票等相关</w:t>
      </w:r>
      <w:r>
        <w:rPr>
          <w:rFonts w:hint="eastAsia" w:ascii="仿宋_GB2312" w:hAnsi="仿宋_GB2312" w:eastAsia="仿宋_GB2312" w:cs="仿宋_GB2312"/>
          <w:b/>
          <w:bCs/>
          <w:color w:val="auto"/>
          <w:sz w:val="28"/>
          <w:szCs w:val="28"/>
          <w:highlight w:val="none"/>
          <w:u w:val="single"/>
        </w:rPr>
        <w:t>信息或填错后不及时修改</w:t>
      </w:r>
      <w:r>
        <w:rPr>
          <w:rFonts w:hint="eastAsia" w:ascii="仿宋_GB2312" w:hAnsi="仿宋_GB2312" w:eastAsia="仿宋_GB2312" w:cs="仿宋_GB2312"/>
          <w:b/>
          <w:bCs/>
          <w:color w:val="auto"/>
          <w:sz w:val="28"/>
          <w:szCs w:val="28"/>
          <w:highlight w:val="none"/>
          <w:u w:val="single"/>
          <w:lang w:eastAsia="zh-CN"/>
        </w:rPr>
        <w:t>，</w:t>
      </w:r>
      <w:r>
        <w:rPr>
          <w:rFonts w:hint="eastAsia" w:ascii="仿宋_GB2312" w:hAnsi="仿宋_GB2312" w:eastAsia="仿宋_GB2312" w:cs="仿宋_GB2312"/>
          <w:b/>
          <w:bCs/>
          <w:color w:val="auto"/>
          <w:sz w:val="28"/>
          <w:szCs w:val="28"/>
          <w:highlight w:val="none"/>
          <w:u w:val="single"/>
          <w:lang w:val="en-US" w:eastAsia="zh-CN"/>
        </w:rPr>
        <w:t>影响甲方平台结算率</w:t>
      </w:r>
      <w:r>
        <w:rPr>
          <w:rFonts w:hint="eastAsia" w:ascii="仿宋_GB2312" w:hAnsi="仿宋_GB2312" w:eastAsia="仿宋_GB2312" w:cs="仿宋_GB2312"/>
          <w:b/>
          <w:bCs/>
          <w:color w:val="auto"/>
          <w:sz w:val="28"/>
          <w:szCs w:val="28"/>
          <w:highlight w:val="none"/>
          <w:u w:val="single"/>
        </w:rPr>
        <w:t>，逾期1天推后一个月支付货款，逾期2天推后二个月支付货款，以此类推。</w:t>
      </w:r>
      <w:r>
        <w:rPr>
          <w:rFonts w:hint="eastAsia" w:ascii="仿宋_GB2312" w:hAnsi="仿宋_GB2312" w:eastAsia="仿宋_GB2312" w:cs="仿宋_GB2312"/>
          <w:color w:val="auto"/>
          <w:sz w:val="28"/>
          <w:szCs w:val="28"/>
          <w:highlight w:val="none"/>
          <w:u w:val="single"/>
        </w:rPr>
        <w:t xml:space="preserve">                                </w:t>
      </w:r>
    </w:p>
    <w:p w14:paraId="262D4C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□分笔支付</w:t>
      </w:r>
    </w:p>
    <w:p w14:paraId="75B2407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F6716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5064176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60E0EB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5F716A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551CB6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每笔款项乙方应向甲方开具同等金额合法有效的发票，甲方收到乙方开具发票后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个工作日内予以支付。除因不可抗力外，若乙方收到系统的结算通知起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天内未向甲方出具等额的增值税发票的，视作乙方放弃此笔货款的确认并承诺不再就此笔款项向甲方要求支付，由此产生的全部责任由乙方自行承担。</w:t>
      </w:r>
    </w:p>
    <w:p w14:paraId="7DD05A7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3.乙方指定的收款账户：</w:t>
      </w:r>
    </w:p>
    <w:p w14:paraId="1CCD7C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户名：</w:t>
      </w:r>
    </w:p>
    <w:p w14:paraId="287485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银行账号：</w:t>
      </w:r>
    </w:p>
    <w:p w14:paraId="4C8AB53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开户行：</w:t>
      </w:r>
    </w:p>
    <w:p w14:paraId="019DA6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24C282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0" w:firstLineChars="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667F06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5.乙方需</w:t>
      </w:r>
      <w:r>
        <w:rPr>
          <w:rFonts w:hint="eastAsia" w:ascii="仿宋_GB2312" w:hAnsi="仿宋_GB2312" w:eastAsia="仿宋_GB2312" w:cs="仿宋_GB2312"/>
          <w:color w:val="auto"/>
          <w:sz w:val="28"/>
          <w:szCs w:val="28"/>
          <w:highlight w:val="none"/>
        </w:rPr>
        <w:t>无条件配合医院SPD物流精细化管理服务，同时承诺支付</w:t>
      </w:r>
      <w:r>
        <w:rPr>
          <w:rFonts w:hint="eastAsia" w:ascii="仿宋_GB2312" w:hAnsi="仿宋_GB2312" w:eastAsia="仿宋_GB2312" w:cs="仿宋_GB2312"/>
          <w:color w:val="auto"/>
          <w:sz w:val="28"/>
          <w:szCs w:val="28"/>
          <w:highlight w:val="none"/>
          <w:lang w:val="en-US" w:eastAsia="zh-CN"/>
        </w:rPr>
        <w:t>每月</w:t>
      </w:r>
      <w:r>
        <w:rPr>
          <w:rFonts w:hint="eastAsia" w:ascii="仿宋_GB2312" w:hAnsi="仿宋_GB2312" w:eastAsia="仿宋_GB2312" w:cs="仿宋_GB2312"/>
          <w:color w:val="auto"/>
          <w:sz w:val="28"/>
          <w:szCs w:val="28"/>
          <w:highlight w:val="none"/>
        </w:rPr>
        <w:t>管理服务费(不超当月供货总额</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%)，具体与医院签合同时按合同条款执行</w:t>
      </w:r>
      <w:r>
        <w:rPr>
          <w:rFonts w:hint="eastAsia" w:ascii="仿宋_GB2312" w:hAnsi="仿宋_GB2312" w:eastAsia="仿宋_GB2312" w:cs="仿宋_GB2312"/>
          <w:color w:val="auto"/>
          <w:sz w:val="28"/>
          <w:szCs w:val="28"/>
          <w:highlight w:val="none"/>
          <w:lang w:eastAsia="zh-CN"/>
        </w:rPr>
        <w:t>。</w:t>
      </w:r>
    </w:p>
    <w:p w14:paraId="652DF0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第三条 乙方条件</w:t>
      </w:r>
    </w:p>
    <w:p w14:paraId="4D076F0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乙方应是所提供产品的供应商，应是经工商、税务部门</w:t>
      </w:r>
      <w:r>
        <w:rPr>
          <w:rFonts w:hint="eastAsia" w:ascii="仿宋_GB2312" w:hAnsi="仿宋_GB2312" w:eastAsia="仿宋_GB2312" w:cs="仿宋_GB2312"/>
          <w:bCs/>
          <w:color w:val="auto"/>
          <w:sz w:val="28"/>
          <w:szCs w:val="28"/>
          <w:highlight w:val="none"/>
          <w:lang w:eastAsia="zh-CN"/>
        </w:rPr>
        <w:t>、市场监督管理部门等相关行政部门</w:t>
      </w:r>
      <w:r>
        <w:rPr>
          <w:rFonts w:hint="eastAsia" w:ascii="仿宋_GB2312" w:hAnsi="仿宋_GB2312" w:eastAsia="仿宋_GB2312" w:cs="仿宋_GB2312"/>
          <w:bCs/>
          <w:color w:val="auto"/>
          <w:sz w:val="28"/>
          <w:szCs w:val="28"/>
          <w:highlight w:val="none"/>
        </w:rPr>
        <w:t>正式批准，具有医疗经营许可资质（资质包括但不限于医疗器械生产许可证、医疗器械经营许可证、医疗器械注册证）的医疗器械公司。</w:t>
      </w:r>
    </w:p>
    <w:p w14:paraId="670BA46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1"/>
        <w:rPr>
          <w:rFonts w:ascii="仿宋_GB2312" w:hAnsi="仿宋_GB2312" w:eastAsia="仿宋_GB2312" w:cs="仿宋_GB2312"/>
          <w:b/>
          <w:color w:val="auto"/>
          <w:sz w:val="28"/>
          <w:szCs w:val="28"/>
          <w:highlight w:val="none"/>
        </w:rPr>
      </w:pPr>
      <w:bookmarkStart w:id="118" w:name="_Toc13895"/>
      <w:r>
        <w:rPr>
          <w:rFonts w:hint="eastAsia" w:ascii="仿宋_GB2312" w:hAnsi="仿宋_GB2312" w:eastAsia="仿宋_GB2312" w:cs="仿宋_GB2312"/>
          <w:b/>
          <w:color w:val="auto"/>
          <w:sz w:val="28"/>
          <w:szCs w:val="28"/>
          <w:highlight w:val="none"/>
        </w:rPr>
        <w:t xml:space="preserve">第四条 </w:t>
      </w:r>
      <w:r>
        <w:rPr>
          <w:rFonts w:ascii="仿宋_GB2312" w:hAnsi="仿宋_GB2312" w:eastAsia="仿宋_GB2312" w:cs="仿宋_GB2312"/>
          <w:b/>
          <w:color w:val="auto"/>
          <w:sz w:val="28"/>
          <w:szCs w:val="28"/>
          <w:highlight w:val="none"/>
        </w:rPr>
        <w:t>质量标准</w:t>
      </w:r>
      <w:bookmarkEnd w:id="118"/>
    </w:p>
    <w:p w14:paraId="4BA32F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1.乙方在本合同项下向甲方提供的货物质量和技术规格应符合以下标准：</w:t>
      </w:r>
    </w:p>
    <w:p w14:paraId="6637486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（1）项目编号为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的通知书、</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文件、答疑及补充通知；</w:t>
      </w:r>
    </w:p>
    <w:p w14:paraId="1EC5A6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（2）乙方的</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p>
    <w:p w14:paraId="358CA4E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（3）本合同附件</w:t>
      </w:r>
      <w:r>
        <w:rPr>
          <w:rFonts w:hint="eastAsia" w:ascii="仿宋_GB2312" w:hAnsi="仿宋_GB2312" w:eastAsia="仿宋_GB2312" w:cs="仿宋_GB2312"/>
          <w:bCs/>
          <w:color w:val="auto"/>
          <w:sz w:val="28"/>
          <w:szCs w:val="28"/>
          <w:highlight w:val="none"/>
        </w:rPr>
        <w:t>的约定；</w:t>
      </w:r>
    </w:p>
    <w:p w14:paraId="6A7FEFD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（4）国家关于该类货物的设计和制造生产标准；</w:t>
      </w:r>
    </w:p>
    <w:p w14:paraId="5ECFCE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（5）国家关于该类货物质量的行业标准；</w:t>
      </w:r>
    </w:p>
    <w:p w14:paraId="16E0ACE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）所提供的产品经食品药品监督管理局严格审核，并取得医疗器械注册证或备案证，获准进入市场，货质来源符合国家规定，并提供产品相关的资格证明文件。</w:t>
      </w:r>
    </w:p>
    <w:p w14:paraId="3BC17F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）其他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single"/>
          <w:lang w:val="en-US" w:eastAsia="zh-CN"/>
        </w:rPr>
        <w:t xml:space="preserve">                                             </w:t>
      </w:r>
    </w:p>
    <w:p w14:paraId="1649B6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2.乙方提供的产品必须与产品注册证的名称、规格型号一致，否则一切经济损失及其他后果均由乙方承担。</w:t>
      </w:r>
    </w:p>
    <w:p w14:paraId="24B7763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.乙方应保证货物是全新、未使用过的原装合格正品（包括零部件）。</w:t>
      </w:r>
      <w:r>
        <w:rPr>
          <w:rFonts w:hint="eastAsia" w:ascii="仿宋_GB2312" w:hAnsi="仿宋_GB2312" w:eastAsia="仿宋_GB2312" w:cs="仿宋_GB2312"/>
          <w:color w:val="auto"/>
          <w:sz w:val="28"/>
          <w:szCs w:val="28"/>
          <w:highlight w:val="none"/>
        </w:rPr>
        <w:t>如货物安装或配置了软件的，乙方保证相关软件均为正版软件。</w:t>
      </w:r>
      <w:r>
        <w:rPr>
          <w:rFonts w:hint="eastAsia" w:ascii="仿宋_GB2312" w:hAnsi="仿宋_GB2312" w:eastAsia="仿宋_GB2312" w:cs="仿宋_GB2312"/>
          <w:bCs/>
          <w:color w:val="auto"/>
          <w:sz w:val="28"/>
          <w:szCs w:val="28"/>
          <w:highlight w:val="none"/>
        </w:rPr>
        <w:t>乙方对本合同货物提供质量保证期</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2</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年（自验收合格之日起算</w:t>
      </w:r>
      <w:r>
        <w:rPr>
          <w:rFonts w:hint="eastAsia" w:ascii="仿宋_GB2312" w:hAnsi="仿宋_GB2312" w:eastAsia="仿宋_GB2312" w:cs="仿宋_GB2312"/>
          <w:bCs/>
          <w:color w:val="auto"/>
          <w:sz w:val="28"/>
          <w:szCs w:val="28"/>
          <w:highlight w:val="none"/>
          <w:lang w:eastAsia="zh-CN"/>
        </w:rPr>
        <w:t>，乙方按相关文件要求及产品性质性能自行填写</w:t>
      </w:r>
      <w:r>
        <w:rPr>
          <w:rFonts w:hint="eastAsia" w:ascii="仿宋_GB2312" w:hAnsi="仿宋_GB2312" w:eastAsia="仿宋_GB2312" w:cs="仿宋_GB2312"/>
          <w:bCs/>
          <w:color w:val="auto"/>
          <w:sz w:val="28"/>
          <w:szCs w:val="28"/>
          <w:highlight w:val="none"/>
        </w:rPr>
        <w:t>）。</w:t>
      </w:r>
    </w:p>
    <w:p w14:paraId="682948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lang w:val="en-US" w:eastAsia="zh-CN"/>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乙方所交付的货物应具有合法的质量合格凭证和文件，并随货物一同交付。</w:t>
      </w:r>
    </w:p>
    <w:p w14:paraId="6746EA2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除非甲方对有效期另有要求，产品剩余的有效期不得少于该产品整个效期的三分之二，否则视为不合格产品，甲方有权予以拒收。</w:t>
      </w:r>
    </w:p>
    <w:p w14:paraId="7C5EAD5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第五条  包装</w:t>
      </w:r>
    </w:p>
    <w:p w14:paraId="3E3E9A0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1.乙方提供货物运输至本合同指定的交货地点所需要的包装，包装费用由乙方承担，包装物不返还，归甲方所有，包装方式：</w:t>
      </w:r>
    </w:p>
    <w:p w14:paraId="1FBC582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（1）通用方式：（货物/设备/器材等）</w:t>
      </w:r>
      <w:r>
        <w:rPr>
          <w:rFonts w:hint="eastAsia" w:ascii="仿宋_GB2312" w:hAnsi="仿宋_GB2312" w:eastAsia="仿宋_GB2312" w:cs="仿宋_GB2312"/>
          <w:bCs/>
          <w:color w:val="auto"/>
          <w:sz w:val="28"/>
          <w:szCs w:val="28"/>
          <w:highlight w:val="none"/>
        </w:rPr>
        <w:t>应按照同类货物通用的方式装箱或包装，如果没有此种通用方式，则按照足以保全和保护货物的方式装箱或包装（保全和保护具体是指：保护货物</w:t>
      </w:r>
      <w:r>
        <w:rPr>
          <w:rFonts w:hint="eastAsia" w:ascii="仿宋_GB2312" w:hAnsi="仿宋_GB2312" w:eastAsia="仿宋_GB2312" w:cs="仿宋_GB2312"/>
          <w:bCs/>
          <w:color w:val="auto"/>
          <w:sz w:val="28"/>
          <w:szCs w:val="28"/>
          <w:highlight w:val="none"/>
          <w:lang w:eastAsia="zh-CN"/>
        </w:rPr>
        <w:t>冷链物流要求、</w:t>
      </w:r>
      <w:r>
        <w:rPr>
          <w:rFonts w:hint="eastAsia" w:ascii="仿宋_GB2312" w:hAnsi="仿宋_GB2312" w:eastAsia="仿宋_GB2312" w:cs="仿宋_GB2312"/>
          <w:bCs/>
          <w:color w:val="auto"/>
          <w:sz w:val="28"/>
          <w:szCs w:val="28"/>
          <w:highlight w:val="none"/>
        </w:rPr>
        <w:t>防潮、防晒、防锈、防腐蚀、防震动，保护货物能经受多次搬运、装卸、运输及保护货物免受其他损害）；</w:t>
      </w:r>
    </w:p>
    <w:p w14:paraId="200DD9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（2）特别约定：</w:t>
      </w:r>
      <w:r>
        <w:rPr>
          <w:rFonts w:hint="eastAsia" w:ascii="仿宋_GB2312" w:hAnsi="仿宋_GB2312" w:eastAsia="仿宋_GB2312" w:cs="仿宋_GB2312"/>
          <w:bCs/>
          <w:color w:val="auto"/>
          <w:sz w:val="28"/>
          <w:szCs w:val="28"/>
          <w:highlight w:val="none"/>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64EBF06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第六条 交付</w:t>
      </w:r>
    </w:p>
    <w:p w14:paraId="0A4F7DD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1.乙方配送的产品必须是产品，严禁配送目录外规格型号产品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除科室额外申请的规格型号除外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，凡私自配送或配送目录以外的产品，甲方均不予认可，责任由乙方自行承担。</w:t>
      </w:r>
    </w:p>
    <w:p w14:paraId="1C9F9A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2.乙方必须从甲方采购人员处接受采购订单并根据订单定制产品，严禁直接接受甲方使用科室订单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甲方均不予认可，责任由乙方自行承担</w:t>
      </w:r>
      <w:r>
        <w:rPr>
          <w:rFonts w:hint="eastAsia" w:ascii="仿宋_GB2312" w:hAnsi="仿宋_GB2312" w:eastAsia="仿宋_GB2312" w:cs="仿宋_GB2312"/>
          <w:bCs/>
          <w:color w:val="auto"/>
          <w:sz w:val="28"/>
          <w:szCs w:val="28"/>
          <w:highlight w:val="none"/>
          <w:lang w:eastAsia="zh-CN"/>
        </w:rPr>
        <w:t>。</w:t>
      </w:r>
    </w:p>
    <w:p w14:paraId="31B2DF7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.甲方采购人员及联系方式：</w:t>
      </w:r>
    </w:p>
    <w:p w14:paraId="676A4D4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联系人：</w:t>
      </w:r>
      <w:r>
        <w:rPr>
          <w:rFonts w:hint="eastAsia" w:ascii="仿宋_GB2312" w:hAnsi="仿宋_GB2312" w:eastAsia="仿宋_GB2312" w:cs="仿宋_GB2312"/>
          <w:bCs/>
          <w:color w:val="auto"/>
          <w:sz w:val="28"/>
          <w:szCs w:val="28"/>
          <w:highlight w:val="none"/>
          <w:lang w:val="en-US" w:eastAsia="zh-CN"/>
        </w:rPr>
        <w:t>曾老师</w:t>
      </w:r>
    </w:p>
    <w:p w14:paraId="77B7A30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联系电话：</w:t>
      </w:r>
      <w:r>
        <w:rPr>
          <w:rFonts w:hint="eastAsia" w:ascii="仿宋_GB2312" w:hAnsi="仿宋_GB2312" w:eastAsia="仿宋_GB2312" w:cs="仿宋_GB2312"/>
          <w:bCs/>
          <w:color w:val="auto"/>
          <w:sz w:val="28"/>
          <w:szCs w:val="28"/>
          <w:highlight w:val="none"/>
          <w:lang w:val="en-US" w:eastAsia="zh-CN"/>
        </w:rPr>
        <w:t>13688802732</w:t>
      </w:r>
    </w:p>
    <w:p w14:paraId="4E1BA2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乙方配送的产品应提前至少</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24 </w:t>
      </w:r>
      <w:r>
        <w:rPr>
          <w:rFonts w:hint="eastAsia" w:ascii="仿宋_GB2312" w:hAnsi="仿宋_GB2312" w:eastAsia="仿宋_GB2312" w:cs="仿宋_GB2312"/>
          <w:bCs/>
          <w:color w:val="auto"/>
          <w:sz w:val="28"/>
          <w:szCs w:val="28"/>
          <w:highlight w:val="none"/>
          <w:u w:val="none"/>
        </w:rPr>
        <w:t>小时</w:t>
      </w:r>
      <w:r>
        <w:rPr>
          <w:rFonts w:hint="eastAsia" w:ascii="仿宋_GB2312" w:hAnsi="仿宋_GB2312" w:eastAsia="仿宋_GB2312" w:cs="仿宋_GB2312"/>
          <w:bCs/>
          <w:color w:val="auto"/>
          <w:sz w:val="28"/>
          <w:szCs w:val="28"/>
          <w:highlight w:val="none"/>
        </w:rPr>
        <w:t>通知甲方采购人员，按照甲方要求确定配送时间。</w:t>
      </w:r>
    </w:p>
    <w:p w14:paraId="6964A8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交货时间：产品必须于收到甲方采购订单时起48小时内送达；临床急救应急产品按甲方的要求送达（最迟应于4小时内配送完成）。</w:t>
      </w:r>
    </w:p>
    <w:p w14:paraId="412576B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交货地点：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福田区第二人民医院耗材仓库</w:t>
      </w:r>
      <w:r>
        <w:rPr>
          <w:rFonts w:hint="eastAsia" w:ascii="仿宋_GB2312" w:hAnsi="仿宋_GB2312" w:eastAsia="仿宋_GB2312" w:cs="仿宋_GB2312"/>
          <w:color w:val="auto"/>
          <w:sz w:val="28"/>
          <w:szCs w:val="28"/>
          <w:highlight w:val="none"/>
          <w:u w:val="single"/>
        </w:rPr>
        <w:t xml:space="preserve">  </w:t>
      </w:r>
    </w:p>
    <w:p w14:paraId="4D39768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（在乙方将（货物/设备/器材等）送至该交货地点前，甲方有权单方变更该交货地点，但应提前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日通知乙方，乙方应无条件服从，因此产生的费用由乙方承担。）</w:t>
      </w:r>
    </w:p>
    <w:p w14:paraId="5EE373B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.运输方式：□甲乙双方共同选定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64AB74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由乙方自行选择</w:t>
      </w:r>
      <w:r>
        <w:rPr>
          <w:rFonts w:hint="eastAsia" w:ascii="仿宋_GB2312" w:hAnsi="仿宋_GB2312" w:eastAsia="仿宋_GB2312" w:cs="仿宋_GB2312"/>
          <w:color w:val="auto"/>
          <w:sz w:val="28"/>
          <w:szCs w:val="28"/>
          <w:highlight w:val="none"/>
          <w:lang w:eastAsia="zh-CN"/>
        </w:rPr>
        <w:t>，但必须符合产品运输条件</w:t>
      </w:r>
      <w:r>
        <w:rPr>
          <w:rFonts w:hint="eastAsia" w:ascii="仿宋_GB2312" w:hAnsi="仿宋_GB2312" w:eastAsia="仿宋_GB2312" w:cs="仿宋_GB2312"/>
          <w:color w:val="auto"/>
          <w:sz w:val="28"/>
          <w:szCs w:val="28"/>
          <w:highlight w:val="none"/>
        </w:rPr>
        <w:t>。</w:t>
      </w:r>
    </w:p>
    <w:p w14:paraId="0FA9C1F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176B6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8.</w:t>
      </w:r>
      <w:r>
        <w:rPr>
          <w:rFonts w:hint="eastAsia" w:ascii="仿宋_GB2312" w:hAnsi="仿宋_GB2312" w:eastAsia="仿宋_GB2312" w:cs="仿宋_GB2312"/>
          <w:bCs/>
          <w:color w:val="auto"/>
          <w:sz w:val="28"/>
          <w:szCs w:val="28"/>
          <w:highlight w:val="none"/>
        </w:rPr>
        <w:t>急救应急产品经甲方采购部门负责人同意可直接配送至甲方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使用科室，急救应急产品配送至甲方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使用科室之日起的十五个工作日内必须补办相关手续，逾期将视为乙方自行放弃此批产品的确认权，甲方不予认可，由此产生的所有责任由乙方自行承担。</w:t>
      </w:r>
    </w:p>
    <w:p w14:paraId="59FE8C2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t>.甲方受领乙方交付的货物后，货物的所有权转移至甲方；如须办理所有权转移登记才发生所有权转移的，则自所有权转移登记完成之日起转移至甲方。</w:t>
      </w:r>
    </w:p>
    <w:p w14:paraId="303F494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第七条  验收</w:t>
      </w:r>
      <w:r>
        <w:rPr>
          <w:rFonts w:hint="eastAsia" w:ascii="仿宋_GB2312" w:hAnsi="仿宋_GB2312" w:eastAsia="仿宋_GB2312" w:cs="仿宋_GB2312"/>
          <w:b/>
          <w:color w:val="auto"/>
          <w:sz w:val="28"/>
          <w:szCs w:val="28"/>
          <w:highlight w:val="none"/>
          <w:lang w:eastAsia="zh-CN"/>
        </w:rPr>
        <w:t>和退换货</w:t>
      </w:r>
    </w:p>
    <w:p w14:paraId="73BCB36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1.乙方配送的产品必须送至甲方库房验货并办理相关手续后使用。当天，由甲方组织验收，将货物的名称、单位、数量、型号、批次等记载在验收记录</w:t>
      </w:r>
      <w:r>
        <w:rPr>
          <w:rFonts w:hint="eastAsia" w:ascii="仿宋_GB2312" w:hAnsi="仿宋_GB2312" w:eastAsia="仿宋_GB2312" w:cs="仿宋_GB2312"/>
          <w:bCs/>
          <w:color w:val="auto"/>
          <w:sz w:val="28"/>
          <w:szCs w:val="28"/>
          <w:highlight w:val="none"/>
          <w:lang w:eastAsia="zh-CN"/>
        </w:rPr>
        <w:t>单</w:t>
      </w:r>
      <w:r>
        <w:rPr>
          <w:rFonts w:hint="eastAsia" w:ascii="仿宋_GB2312" w:hAnsi="仿宋_GB2312" w:eastAsia="仿宋_GB2312" w:cs="仿宋_GB2312"/>
          <w:bCs/>
          <w:color w:val="auto"/>
          <w:sz w:val="28"/>
          <w:szCs w:val="28"/>
          <w:highlight w:val="none"/>
        </w:rPr>
        <w:t>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日内完成验收工作。</w:t>
      </w:r>
    </w:p>
    <w:p w14:paraId="1C3FD85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除第六条第8点约定情形外，严禁直接送至甲方使用科室，任何个人或科室的验收均不代表甲方已经收到或认可该批产品，由此导致的责任由乙方自行承担。</w:t>
      </w:r>
    </w:p>
    <w:p w14:paraId="3E8336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.如需要乙方对货物或系统进行安装调试的，乙方应该自交货</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none"/>
        </w:rPr>
        <w:t>后</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5</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日内完成安装调试，甲方应在货物安装调试完毕后的</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个工作日内进行质量验收。</w:t>
      </w:r>
    </w:p>
    <w:p w14:paraId="65B7BF30">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0FCA7A0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.若乙方所供货物在日后使用过程中</w:t>
      </w:r>
      <w:r>
        <w:rPr>
          <w:rFonts w:hint="eastAsia" w:ascii="仿宋_GB2312" w:hAnsi="仿宋_GB2312" w:eastAsia="仿宋_GB2312" w:cs="仿宋_GB2312"/>
          <w:bCs/>
          <w:color w:val="auto"/>
          <w:sz w:val="28"/>
          <w:szCs w:val="28"/>
          <w:highlight w:val="none"/>
          <w:lang w:val="en-US" w:eastAsia="zh-CN"/>
        </w:rPr>
        <w:t>(质保期内)</w:t>
      </w:r>
      <w:r>
        <w:rPr>
          <w:rFonts w:hint="eastAsia" w:ascii="仿宋_GB2312" w:hAnsi="仿宋_GB2312" w:eastAsia="仿宋_GB2312" w:cs="仿宋_GB2312"/>
          <w:bCs/>
          <w:color w:val="auto"/>
          <w:sz w:val="28"/>
          <w:szCs w:val="28"/>
          <w:highlight w:val="none"/>
        </w:rPr>
        <w:t>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64722B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.如甲方自乙方交货之日或完成设备安装调试之日起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个工作日内未向乙方提出书面异议，则视为验收合格，双方共同签署验收报告。</w:t>
      </w:r>
    </w:p>
    <w:p w14:paraId="185F98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.货物在甲方检验合格并交付给甲方前，标的物的毁损、灭失等风险由乙方承担。</w:t>
      </w:r>
    </w:p>
    <w:p w14:paraId="5182161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color w:val="auto"/>
          <w:kern w:val="0"/>
          <w:szCs w:val="21"/>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甲方因临床使用需求下降、相关文件要求召回、质量或配件不全等</w:t>
      </w:r>
      <w:r>
        <w:rPr>
          <w:rFonts w:hint="eastAsia" w:ascii="仿宋_GB2312" w:hAnsi="仿宋_GB2312" w:eastAsia="仿宋_GB2312" w:cs="仿宋_GB2312"/>
          <w:color w:val="auto"/>
          <w:sz w:val="28"/>
          <w:szCs w:val="28"/>
          <w:highlight w:val="none"/>
        </w:rPr>
        <w:t>货物</w:t>
      </w:r>
      <w:r>
        <w:rPr>
          <w:rFonts w:hint="eastAsia" w:ascii="仿宋_GB2312" w:hAnsi="仿宋_GB2312" w:eastAsia="仿宋_GB2312" w:cs="仿宋_GB2312"/>
          <w:color w:val="auto"/>
          <w:sz w:val="28"/>
          <w:szCs w:val="28"/>
          <w:highlight w:val="none"/>
          <w:lang w:eastAsia="zh-CN"/>
        </w:rPr>
        <w:t>出现积压及需要退换货的情况时，</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eastAsia="zh-CN"/>
        </w:rPr>
        <w:t>在接到</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需要退换货通知日起</w:t>
      </w:r>
      <w:r>
        <w:rPr>
          <w:rFonts w:hint="eastAsia" w:ascii="仿宋_GB2312" w:hAnsi="仿宋_GB2312" w:eastAsia="仿宋_GB2312" w:cs="仿宋_GB2312"/>
          <w:color w:val="auto"/>
          <w:sz w:val="28"/>
          <w:szCs w:val="28"/>
          <w:highlight w:val="none"/>
          <w:lang w:val="en-US" w:eastAsia="zh-CN"/>
        </w:rPr>
        <w:t>10日内办理</w:t>
      </w:r>
      <w:r>
        <w:rPr>
          <w:rFonts w:hint="eastAsia" w:ascii="仿宋_GB2312" w:hAnsi="仿宋_GB2312" w:eastAsia="仿宋_GB2312" w:cs="仿宋_GB2312"/>
          <w:color w:val="auto"/>
          <w:sz w:val="28"/>
          <w:szCs w:val="28"/>
          <w:highlight w:val="none"/>
          <w:lang w:eastAsia="zh-CN"/>
        </w:rPr>
        <w:t>退换货手续，并尽快取走需退换货</w:t>
      </w:r>
      <w:r>
        <w:rPr>
          <w:rFonts w:hint="eastAsia" w:ascii="仿宋_GB2312" w:hAnsi="仿宋_GB2312" w:eastAsia="仿宋_GB2312" w:cs="仿宋_GB2312"/>
          <w:color w:val="auto"/>
          <w:sz w:val="28"/>
          <w:szCs w:val="28"/>
          <w:highlight w:val="none"/>
        </w:rPr>
        <w:t>物</w:t>
      </w:r>
      <w:r>
        <w:rPr>
          <w:rFonts w:hint="eastAsia" w:ascii="仿宋_GB2312" w:hAnsi="仿宋_GB2312" w:eastAsia="仿宋_GB2312" w:cs="仿宋_GB2312"/>
          <w:color w:val="auto"/>
          <w:sz w:val="28"/>
          <w:szCs w:val="28"/>
          <w:highlight w:val="none"/>
          <w:lang w:eastAsia="zh-CN"/>
        </w:rPr>
        <w:t>；效期短的物品，双方协商解决退换问题。如果不能及时处理退换货导致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货物过期、</w:t>
      </w:r>
      <w:r>
        <w:rPr>
          <w:rFonts w:hint="eastAsia" w:ascii="仿宋_GB2312" w:hAnsi="仿宋_GB2312" w:eastAsia="仿宋_GB2312" w:cs="仿宋_GB2312"/>
          <w:color w:val="auto"/>
          <w:sz w:val="28"/>
          <w:szCs w:val="28"/>
          <w:highlight w:val="none"/>
        </w:rPr>
        <w:t>毁损、</w:t>
      </w:r>
      <w:r>
        <w:rPr>
          <w:rFonts w:hint="eastAsia" w:ascii="仿宋_GB2312" w:hAnsi="仿宋_GB2312" w:eastAsia="仿宋_GB2312" w:cs="仿宋_GB2312"/>
          <w:color w:val="auto"/>
          <w:sz w:val="28"/>
          <w:szCs w:val="28"/>
          <w:highlight w:val="none"/>
          <w:lang w:eastAsia="zh-CN"/>
        </w:rPr>
        <w:t>丢</w:t>
      </w:r>
      <w:r>
        <w:rPr>
          <w:rFonts w:hint="eastAsia" w:ascii="仿宋_GB2312" w:hAnsi="仿宋_GB2312" w:eastAsia="仿宋_GB2312" w:cs="仿宋_GB2312"/>
          <w:color w:val="auto"/>
          <w:sz w:val="28"/>
          <w:szCs w:val="28"/>
          <w:highlight w:val="none"/>
        </w:rPr>
        <w:t>失等风险由乙方承担。</w:t>
      </w:r>
    </w:p>
    <w:p w14:paraId="721E43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第八条 权利保证</w:t>
      </w:r>
    </w:p>
    <w:p w14:paraId="4E801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color w:val="auto"/>
          <w:sz w:val="28"/>
          <w:szCs w:val="28"/>
          <w:highlight w:val="none"/>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7BB62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2.乙方保证所提供的货物符合</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1F8DD3B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color w:val="auto"/>
          <w:sz w:val="28"/>
          <w:szCs w:val="28"/>
          <w:highlight w:val="none"/>
        </w:rPr>
      </w:pPr>
      <w:bookmarkStart w:id="119" w:name="_Toc2412_WPSOffice_Level1"/>
      <w:r>
        <w:rPr>
          <w:rFonts w:hint="eastAsia" w:ascii="仿宋_GB2312" w:hAnsi="仿宋_GB2312" w:eastAsia="仿宋_GB2312" w:cs="仿宋_GB2312"/>
          <w:b/>
          <w:color w:val="auto"/>
          <w:sz w:val="28"/>
          <w:szCs w:val="28"/>
          <w:highlight w:val="none"/>
        </w:rPr>
        <w:t>第九条 质量保证及售后服务</w:t>
      </w:r>
      <w:bookmarkEnd w:id="119"/>
    </w:p>
    <w:p w14:paraId="47716D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1.乙方应按照国家有关法律法规规章和“三包”规定、</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文件的要求、乙方在</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文件的相关承诺提供保修及其他服务。</w:t>
      </w:r>
    </w:p>
    <w:p w14:paraId="506360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2.保修期限：与本合同约定的质量保证期相同，从甲方验收合格之日次日起算。</w:t>
      </w:r>
    </w:p>
    <w:p w14:paraId="758E00C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en-US" w:eastAsia="zh-CN"/>
        </w:rPr>
        <w:t>应于</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七个工作</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日内</w:t>
      </w:r>
      <w:r>
        <w:rPr>
          <w:rFonts w:hint="eastAsia" w:ascii="仿宋_GB2312" w:hAnsi="仿宋_GB2312" w:eastAsia="仿宋_GB2312" w:cs="仿宋_GB2312"/>
          <w:color w:val="auto"/>
          <w:sz w:val="28"/>
          <w:szCs w:val="28"/>
          <w:highlight w:val="none"/>
        </w:rPr>
        <w:t>支付。</w:t>
      </w:r>
    </w:p>
    <w:p w14:paraId="18CB5E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4.保修期届满后，乙方应按其在深圳地区同类产品的优惠价格提供维保服务，具体设备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维护</w:t>
      </w:r>
      <w:r>
        <w:rPr>
          <w:rFonts w:hint="eastAsia" w:ascii="仿宋_GB2312" w:hAnsi="仿宋_GB2312" w:eastAsia="仿宋_GB2312" w:cs="仿宋_GB2312"/>
          <w:color w:val="auto"/>
          <w:sz w:val="28"/>
          <w:szCs w:val="28"/>
          <w:highlight w:val="none"/>
          <w:lang w:eastAsia="zh-Hans"/>
        </w:rPr>
        <w:t>事宜由双方</w:t>
      </w:r>
      <w:r>
        <w:rPr>
          <w:rFonts w:hint="eastAsia" w:ascii="仿宋_GB2312" w:hAnsi="仿宋_GB2312" w:eastAsia="仿宋_GB2312" w:cs="仿宋_GB2312"/>
          <w:color w:val="auto"/>
          <w:sz w:val="28"/>
          <w:szCs w:val="28"/>
          <w:highlight w:val="none"/>
        </w:rPr>
        <w:t>另行协商。</w:t>
      </w:r>
    </w:p>
    <w:p w14:paraId="0EB14C8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5.故障响应时间：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（按</w:t>
      </w:r>
      <w:r>
        <w:rPr>
          <w:rFonts w:hint="eastAsia" w:ascii="仿宋_GB2312" w:hAnsi="仿宋_GB2312" w:eastAsia="仿宋_GB2312" w:cs="仿宋_GB2312"/>
          <w:color w:val="auto"/>
          <w:sz w:val="28"/>
          <w:szCs w:val="28"/>
          <w:highlight w:val="none"/>
          <w:lang w:val="en-US" w:eastAsia="zh-CN"/>
        </w:rPr>
        <w:t>遴选响应</w:t>
      </w:r>
      <w:r>
        <w:rPr>
          <w:rFonts w:hint="eastAsia" w:ascii="仿宋_GB2312" w:hAnsi="仿宋_GB2312" w:eastAsia="仿宋_GB2312" w:cs="仿宋_GB2312"/>
          <w:color w:val="auto"/>
          <w:sz w:val="28"/>
          <w:szCs w:val="28"/>
          <w:highlight w:val="none"/>
        </w:rPr>
        <w:t>文件为准）。</w:t>
      </w:r>
    </w:p>
    <w:p w14:paraId="6B61BE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6.合同双方认为应补充的内容（不违反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文件及相关法律法规）：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297C6130">
      <w:pPr>
        <w:keepNext w:val="0"/>
        <w:keepLines w:val="0"/>
        <w:pageBreakBefore w:val="0"/>
        <w:widowControl w:val="0"/>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第十条 违约责任</w:t>
      </w:r>
    </w:p>
    <w:p w14:paraId="14BC30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Cs/>
          <w:color w:val="auto"/>
          <w:sz w:val="28"/>
          <w:szCs w:val="28"/>
          <w:highlight w:val="none"/>
        </w:rPr>
        <w:t>甲方逾期付设备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Cs/>
          <w:color w:val="auto"/>
          <w:sz w:val="28"/>
          <w:szCs w:val="28"/>
          <w:highlight w:val="none"/>
        </w:rPr>
        <w:t>款的，甲方向乙方每日偿付欠款总额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Cs/>
          <w:color w:val="auto"/>
          <w:sz w:val="28"/>
          <w:szCs w:val="28"/>
          <w:highlight w:val="none"/>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1A34DD4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2.出现以下情况之一的，甲方有权解除协议，由乙方承担违约责任。乙方应向甲方返还甲方已支付的全部款项，按协议合同总价款</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2</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%向甲方支付违约金，并承担因违约给甲方造成的一切经济损失及法律责任；</w:t>
      </w:r>
    </w:p>
    <w:p w14:paraId="3DF46B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rPr>
        <w:t>）乙方提供的产品不符合国家规定或承认的相应标准，或者不符合本协议约定的产品要求及配送要求；</w:t>
      </w:r>
    </w:p>
    <w:p w14:paraId="15F1F87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）甲方发现乙方私自配送目录以外的产品或未经甲方同意向甲方科室配送的；</w:t>
      </w:r>
    </w:p>
    <w:p w14:paraId="6AB145A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）产品注册证名称、规格、型号、价、生产厂商等与通知书不一致；</w:t>
      </w:r>
    </w:p>
    <w:p w14:paraId="6A183F7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）乙方不能按照约定为甲方提供全面的售后服务；</w:t>
      </w:r>
    </w:p>
    <w:p w14:paraId="745255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）乙方所供货存在质量问题或其他影响使用的瑕疵</w:t>
      </w:r>
      <w:r>
        <w:rPr>
          <w:rFonts w:ascii="仿宋_GB2312" w:hAnsi="仿宋_GB2312" w:eastAsia="仿宋_GB2312" w:cs="仿宋_GB2312"/>
          <w:bCs/>
          <w:color w:val="auto"/>
          <w:sz w:val="28"/>
          <w:szCs w:val="28"/>
          <w:highlight w:val="none"/>
        </w:rPr>
        <w:t>;</w:t>
      </w:r>
    </w:p>
    <w:p w14:paraId="314CE72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乙方未能按照协议的要求配送产品；</w:t>
      </w:r>
    </w:p>
    <w:p w14:paraId="1BEEDD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因乙方原因</w:t>
      </w:r>
      <w:r>
        <w:rPr>
          <w:rFonts w:hint="eastAsia" w:ascii="仿宋_GB2312" w:hAnsi="仿宋_GB2312" w:eastAsia="仿宋_GB2312" w:cs="仿宋_GB2312"/>
          <w:bCs/>
          <w:color w:val="auto"/>
          <w:sz w:val="28"/>
          <w:szCs w:val="28"/>
          <w:highlight w:val="none"/>
        </w:rPr>
        <w:t>在供货协议期内中断向甲方供货的。</w:t>
      </w:r>
    </w:p>
    <w:p w14:paraId="49C7263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color w:val="auto"/>
          <w:sz w:val="28"/>
          <w:szCs w:val="28"/>
          <w:highlight w:val="none"/>
        </w:rPr>
        <w:t>3.</w:t>
      </w:r>
      <w:bookmarkStart w:id="120" w:name="_Hlk107507629"/>
      <w:r>
        <w:rPr>
          <w:rFonts w:hint="eastAsia" w:ascii="仿宋_GB2312" w:hAnsi="仿宋_GB2312" w:eastAsia="仿宋_GB2312" w:cs="仿宋_GB2312"/>
          <w:bCs/>
          <w:color w:val="auto"/>
          <w:sz w:val="28"/>
          <w:szCs w:val="28"/>
          <w:highlight w:val="none"/>
        </w:rPr>
        <w:t>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color w:val="auto"/>
          <w:sz w:val="28"/>
          <w:szCs w:val="28"/>
          <w:highlight w:val="none"/>
        </w:rPr>
        <w:t>损失包括但不限于第三方权利人索赔、因与第三方权利人侵权等纠纷导致甲方不能正常使用设备造成的全部损失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w:t>
      </w:r>
      <w:r>
        <w:rPr>
          <w:rFonts w:hint="eastAsia" w:ascii="仿宋_GB2312" w:hAnsi="仿宋_GB2312" w:eastAsia="仿宋_GB2312" w:cs="仿宋_GB2312"/>
          <w:color w:val="auto"/>
          <w:sz w:val="28"/>
          <w:szCs w:val="28"/>
          <w:highlight w:val="none"/>
        </w:rPr>
        <w:t>律师费、诉讼费、取证费、差旅费、保全费、担保费、鉴证费、公证费、执行费以及间接损失等</w:t>
      </w:r>
      <w:r>
        <w:rPr>
          <w:rFonts w:hint="eastAsia" w:ascii="仿宋_GB2312" w:hAnsi="仿宋_GB2312" w:eastAsia="仿宋_GB2312" w:cs="仿宋_GB2312"/>
          <w:bCs/>
          <w:color w:val="auto"/>
          <w:sz w:val="28"/>
          <w:szCs w:val="28"/>
          <w:highlight w:val="none"/>
        </w:rPr>
        <w:t>。</w:t>
      </w:r>
      <w:bookmarkEnd w:id="120"/>
    </w:p>
    <w:p w14:paraId="3E119EC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因涉及患者的生命安全，乙方应严格按照</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文件和本协议的要求进行配送，配送的产品必须是产品，严禁配送目录外规格型号产品，凡私自配送或配送目录以外的产品，甲方均不予认可，责任由乙方自行承担。</w:t>
      </w:r>
    </w:p>
    <w:p w14:paraId="090D376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在配送过程中，乙方若不能按</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活动。</w:t>
      </w:r>
    </w:p>
    <w:p w14:paraId="4A4C453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color w:val="auto"/>
          <w:kern w:val="44"/>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0292F7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第十一条 不可抗力</w:t>
      </w:r>
    </w:p>
    <w:p w14:paraId="0B465AA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突发公共卫生事件</w:t>
      </w:r>
      <w:r>
        <w:rPr>
          <w:rFonts w:hint="eastAsia" w:ascii="仿宋_GB2312" w:hAnsi="仿宋_GB2312" w:eastAsia="仿宋_GB2312" w:cs="仿宋_GB2312"/>
          <w:bCs/>
          <w:color w:val="auto"/>
          <w:sz w:val="28"/>
          <w:szCs w:val="28"/>
          <w:highlight w:val="none"/>
        </w:rPr>
        <w:t>等。</w:t>
      </w:r>
    </w:p>
    <w:p w14:paraId="2F4475C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0BBDD1C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BD181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347396F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第十二条 变更、终止条款</w:t>
      </w:r>
    </w:p>
    <w:p w14:paraId="06DCFE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1.除继续履行将损害国家利益和社会公共利益的外，双方不得擅自变更或者终止合同。</w:t>
      </w:r>
    </w:p>
    <w:p w14:paraId="3AD90E5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2.如继续履行将损害国家利益和社会公共利益的，主张变更或终止权利一方应在变更或终止事件或情形发生时通知另一方。双方另行签订变更或终止协议。</w:t>
      </w:r>
    </w:p>
    <w:p w14:paraId="0D56BF0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.若协议期内产品被纳入政府组织集中采购的，则按政府有关规定执行。甲方与政府集中采购的供应商签订供货协议之日本协议自动终止，甲方无需承担提前解除协议的违约责任。</w:t>
      </w:r>
    </w:p>
    <w:p w14:paraId="2D5306A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4.合同履行期间，相关法律、法规、规章、规范性文件和政策发生变化或者颁布新的规定，导致本合同的履行依据发生变化的，双方可以按照修改后或者新的规定执行，并另行签订变更协议。</w:t>
      </w:r>
    </w:p>
    <w:p w14:paraId="0A82D0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第十三条 争议解决</w:t>
      </w:r>
    </w:p>
    <w:p w14:paraId="2FE15AE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可能</w:t>
      </w:r>
      <w:r>
        <w:rPr>
          <w:rFonts w:hint="eastAsia" w:ascii="仿宋_GB2312" w:hAnsi="仿宋_GB2312" w:eastAsia="仿宋_GB2312" w:cs="仿宋_GB2312"/>
          <w:color w:val="auto"/>
          <w:sz w:val="28"/>
          <w:szCs w:val="28"/>
          <w:highlight w:val="none"/>
        </w:rPr>
        <w:t>因货物的质量问题发生争议的，应当由双方共同邀请国家认可的质量检测机构对货物质量进行鉴定，</w:t>
      </w:r>
      <w:r>
        <w:rPr>
          <w:rFonts w:hint="eastAsia" w:ascii="仿宋_GB2312" w:hAnsi="仿宋_GB2312" w:eastAsia="仿宋_GB2312" w:cs="仿宋_GB2312"/>
          <w:color w:val="auto"/>
          <w:sz w:val="28"/>
          <w:szCs w:val="28"/>
          <w:highlight w:val="none"/>
          <w:lang w:eastAsia="zh-CN"/>
        </w:rPr>
        <w:t>不管最终鉴定结果如何，</w:t>
      </w:r>
      <w:r>
        <w:rPr>
          <w:rFonts w:hint="eastAsia" w:ascii="仿宋_GB2312" w:hAnsi="仿宋_GB2312" w:eastAsia="仿宋_GB2312" w:cs="仿宋_GB2312"/>
          <w:color w:val="auto"/>
          <w:sz w:val="28"/>
          <w:szCs w:val="28"/>
          <w:highlight w:val="none"/>
        </w:rPr>
        <w:t>费用由乙方垫付。</w:t>
      </w:r>
    </w:p>
    <w:p w14:paraId="2F4416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2.因履行本合同引起的或与本合同有关的争议，甲、乙双方应首先通过友好协商解决，如果协商不能解决争议，则向甲方所在地有管辖权的人民法院提起诉讼。</w:t>
      </w:r>
    </w:p>
    <w:p w14:paraId="2E80A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3.有关本协议的效力、解释及可执行性的所有问题均应当受中华人民共和国法律管辖并按照其法律进行解释。</w:t>
      </w:r>
    </w:p>
    <w:p w14:paraId="172A3C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第十四条 保密责任</w:t>
      </w:r>
    </w:p>
    <w:p w14:paraId="49C408B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5CB2A1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6CCD8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21" w:name="_Toc4624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条 通信送达</w:t>
      </w:r>
      <w:bookmarkEnd w:id="121"/>
    </w:p>
    <w:p w14:paraId="632FCE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1.甲、乙双方约定以下通信地址为双方通知或文件的送达地址：</w:t>
      </w:r>
    </w:p>
    <w:p w14:paraId="33551E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甲方收件地址：深圳市福田区上梅林中康路27号</w:t>
      </w:r>
      <w:r>
        <w:rPr>
          <w:rFonts w:hint="eastAsia" w:ascii="仿宋_GB2312" w:hAnsi="仿宋_GB2312" w:eastAsia="仿宋_GB2312" w:cs="仿宋_GB2312"/>
          <w:bCs/>
          <w:color w:val="auto"/>
          <w:sz w:val="28"/>
          <w:szCs w:val="28"/>
          <w:highlight w:val="none"/>
        </w:rPr>
        <w:t>：</w:t>
      </w:r>
    </w:p>
    <w:p w14:paraId="2078AC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甲方联系人：</w:t>
      </w:r>
      <w:r>
        <w:rPr>
          <w:rFonts w:hint="eastAsia" w:ascii="仿宋_GB2312" w:hAnsi="仿宋_GB2312" w:eastAsia="仿宋_GB2312" w:cs="仿宋_GB2312"/>
          <w:bCs/>
          <w:color w:val="auto"/>
          <w:sz w:val="28"/>
          <w:szCs w:val="28"/>
          <w:highlight w:val="none"/>
          <w:lang w:val="en-US" w:eastAsia="zh-CN"/>
        </w:rPr>
        <w:t>曾老师</w:t>
      </w:r>
    </w:p>
    <w:p w14:paraId="1FACA2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乙方收件地址：</w:t>
      </w:r>
    </w:p>
    <w:p w14:paraId="5234D4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乙方联系人：</w:t>
      </w:r>
    </w:p>
    <w:p w14:paraId="0D338D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2.双方确认，与本合同履行有关而发出的所有书面通知或其他通讯，或者因争议解决由司法裁判机关发出的法律文书，均以本合同确定的通讯地址为准。</w:t>
      </w:r>
    </w:p>
    <w:p w14:paraId="4057FB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784FD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color w:val="auto"/>
          <w:sz w:val="28"/>
          <w:szCs w:val="28"/>
          <w:highlight w:val="none"/>
        </w:rPr>
      </w:pPr>
      <w:bookmarkStart w:id="122" w:name="_Hlk107507037"/>
      <w:r>
        <w:rPr>
          <w:rFonts w:hint="eastAsia" w:ascii="仿宋_GB2312" w:hAnsi="仿宋_GB2312" w:eastAsia="仿宋_GB2312" w:cs="仿宋_GB2312"/>
          <w:bCs/>
          <w:color w:val="auto"/>
          <w:sz w:val="28"/>
          <w:szCs w:val="28"/>
          <w:highlight w:val="none"/>
        </w:rPr>
        <w:t>4.如上述地址无法送达的，以双方当事人的注册地址作为送达地址。</w:t>
      </w:r>
      <w:bookmarkEnd w:id="122"/>
    </w:p>
    <w:p w14:paraId="33D88F2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六</w:t>
      </w:r>
      <w:r>
        <w:rPr>
          <w:rFonts w:hint="eastAsia" w:ascii="仿宋_GB2312" w:hAnsi="仿宋_GB2312" w:eastAsia="仿宋_GB2312" w:cs="仿宋_GB2312"/>
          <w:b/>
          <w:color w:val="auto"/>
          <w:sz w:val="28"/>
          <w:szCs w:val="28"/>
          <w:highlight w:val="none"/>
        </w:rPr>
        <w:t>条 廉洁合作</w:t>
      </w:r>
    </w:p>
    <w:p w14:paraId="5D8428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905E7F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eastAsia="zh-CN"/>
        </w:rPr>
        <w:t>如</w:t>
      </w:r>
      <w:r>
        <w:rPr>
          <w:rFonts w:hint="eastAsia" w:ascii="仿宋_GB2312" w:hAnsi="仿宋_GB2312" w:eastAsia="仿宋_GB2312" w:cs="仿宋_GB2312"/>
          <w:bCs/>
          <w:color w:val="auto"/>
          <w:sz w:val="28"/>
          <w:szCs w:val="28"/>
          <w:highlight w:val="none"/>
        </w:rPr>
        <w:t>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C908D0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七</w:t>
      </w:r>
      <w:r>
        <w:rPr>
          <w:rFonts w:hint="eastAsia" w:ascii="仿宋_GB2312" w:hAnsi="仿宋_GB2312" w:eastAsia="仿宋_GB2312" w:cs="仿宋_GB2312"/>
          <w:b/>
          <w:color w:val="auto"/>
          <w:sz w:val="28"/>
          <w:szCs w:val="28"/>
          <w:highlight w:val="none"/>
        </w:rPr>
        <w:t xml:space="preserve">条 </w:t>
      </w:r>
      <w:bookmarkStart w:id="123" w:name="_Toc12695_WPSOffice_Level1"/>
      <w:r>
        <w:rPr>
          <w:rFonts w:hint="eastAsia" w:ascii="仿宋_GB2312" w:hAnsi="仿宋_GB2312" w:eastAsia="仿宋_GB2312" w:cs="仿宋_GB2312"/>
          <w:b/>
          <w:color w:val="auto"/>
          <w:sz w:val="28"/>
          <w:szCs w:val="28"/>
          <w:highlight w:val="none"/>
        </w:rPr>
        <w:t>附则</w:t>
      </w:r>
      <w:bookmarkEnd w:id="123"/>
    </w:p>
    <w:p w14:paraId="49ABBBE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份，具有同等法律效力。本合同自双方法定代表人、负责人（或授权代表）签字并盖章之日起生效，自本合同双方权利义务履行完毕时终止。</w:t>
      </w:r>
    </w:p>
    <w:p w14:paraId="1B684EA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自本协议生效之日起</w:t>
      </w:r>
      <w:r>
        <w:rPr>
          <w:rFonts w:hint="eastAsia" w:ascii="仿宋_GB2312" w:hAnsi="仿宋_GB2312" w:eastAsia="仿宋_GB2312" w:cs="仿宋_GB2312"/>
          <w:color w:val="auto"/>
          <w:sz w:val="28"/>
          <w:szCs w:val="28"/>
          <w:highlight w:val="none"/>
          <w:lang w:eastAsia="zh-CN"/>
        </w:rPr>
        <w:t>按甲方实际发送的需求计划及时配送物资。</w:t>
      </w:r>
    </w:p>
    <w:p w14:paraId="3C00BEA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2.本合同中的任何条款如因任何原因导致无效、被撤销或不可执行，本合同其他条款仍保持原有效力，应当继续予以履行。</w:t>
      </w:r>
    </w:p>
    <w:p w14:paraId="4CFEB90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bookmarkStart w:id="124" w:name="_Toc20575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条 合同组成文件</w:t>
      </w:r>
    </w:p>
    <w:p w14:paraId="03E2FA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4C9B90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1.本合同及其</w:t>
      </w: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rPr>
        <w:t>补充合同、变更协议；</w:t>
      </w:r>
    </w:p>
    <w:p w14:paraId="694589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通知书；</w:t>
      </w:r>
    </w:p>
    <w:p w14:paraId="29B782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文件（含澄清或者说明文件）；</w:t>
      </w:r>
    </w:p>
    <w:p w14:paraId="1BFE050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文件（含澄清或者修改文件）；</w:t>
      </w:r>
    </w:p>
    <w:p w14:paraId="03D3389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其他相关采购文件。</w:t>
      </w:r>
    </w:p>
    <w:p w14:paraId="766D145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九</w:t>
      </w:r>
      <w:r>
        <w:rPr>
          <w:rFonts w:hint="eastAsia" w:ascii="仿宋_GB2312" w:hAnsi="仿宋_GB2312" w:eastAsia="仿宋_GB2312" w:cs="仿宋_GB2312"/>
          <w:b/>
          <w:color w:val="auto"/>
          <w:sz w:val="28"/>
          <w:szCs w:val="28"/>
          <w:highlight w:val="none"/>
        </w:rPr>
        <w:t>条 合同</w:t>
      </w:r>
      <w:r>
        <w:rPr>
          <w:rFonts w:hint="eastAsia" w:ascii="仿宋_GB2312" w:hAnsi="仿宋_GB2312" w:eastAsia="仿宋_GB2312" w:cs="仿宋_GB2312"/>
          <w:b/>
          <w:color w:val="auto"/>
          <w:sz w:val="28"/>
          <w:szCs w:val="28"/>
          <w:highlight w:val="none"/>
          <w:lang w:eastAsia="zh-CN"/>
        </w:rPr>
        <w:t>时限</w:t>
      </w:r>
    </w:p>
    <w:p w14:paraId="60BF4D41">
      <w:pPr>
        <w:keepNext w:val="0"/>
        <w:keepLines w:val="0"/>
        <w:pageBreakBefore w:val="0"/>
        <w:widowControl w:val="0"/>
        <w:kinsoku/>
        <w:overflowPunct/>
        <w:topLinePunct w:val="0"/>
        <w:autoSpaceDE/>
        <w:autoSpaceDN/>
        <w:bidi w:val="0"/>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eastAsia="zh-CN"/>
        </w:rPr>
        <w:t>有效时限</w:t>
      </w:r>
      <w:r>
        <w:rPr>
          <w:rFonts w:hint="eastAsia" w:ascii="仿宋" w:hAnsi="仿宋" w:eastAsia="仿宋" w:cs="仿宋"/>
          <w:color w:val="auto"/>
          <w:sz w:val="28"/>
          <w:szCs w:val="28"/>
          <w:highlight w:val="none"/>
          <w:lang w:val="en-US" w:eastAsia="zh-CN"/>
        </w:rPr>
        <w:t xml:space="preserve">  个月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年   月   日至    年   月   日</w:t>
      </w:r>
      <w:r>
        <w:rPr>
          <w:rFonts w:hint="eastAsia" w:ascii="仿宋" w:hAnsi="仿宋" w:eastAsia="仿宋" w:cs="仿宋"/>
          <w:color w:val="auto"/>
          <w:sz w:val="28"/>
          <w:szCs w:val="28"/>
          <w:highlight w:val="none"/>
          <w:lang w:eastAsia="zh-CN"/>
        </w:rPr>
        <w:t>止。</w:t>
      </w:r>
    </w:p>
    <w:p w14:paraId="229450CA">
      <w:pPr>
        <w:keepNext/>
        <w:keepLines/>
        <w:widowControl w:val="0"/>
        <w:spacing w:line="576" w:lineRule="auto"/>
        <w:jc w:val="both"/>
        <w:outlineLvl w:val="9"/>
        <w:rPr>
          <w:rFonts w:hint="eastAsia" w:ascii="仿宋_GB2312" w:hAnsi="仿宋_GB2312" w:eastAsia="仿宋_GB2312" w:cs="仿宋_GB2312"/>
          <w:b/>
          <w:color w:val="auto"/>
          <w:kern w:val="44"/>
          <w:sz w:val="28"/>
          <w:szCs w:val="28"/>
          <w:highlight w:val="none"/>
          <w:lang w:val="en-US" w:eastAsia="zh-CN" w:bidi="ar-SA"/>
        </w:rPr>
      </w:pPr>
    </w:p>
    <w:p w14:paraId="1CC65C5F">
      <w:pPr>
        <w:rPr>
          <w:rFonts w:hint="eastAsia"/>
          <w:highlight w:val="none"/>
        </w:rPr>
      </w:pPr>
    </w:p>
    <w:p w14:paraId="23505D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bookmarkEnd w:id="124"/>
      <w:bookmarkStart w:id="125" w:name="_Toc26357_WPSOffice_Level1"/>
    </w:p>
    <w:p w14:paraId="262854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附件二：廉洁合作承诺书（企业承诺）</w:t>
      </w:r>
      <w:bookmarkEnd w:id="125"/>
    </w:p>
    <w:p w14:paraId="395234FD">
      <w:pPr>
        <w:keepNext w:val="0"/>
        <w:keepLines w:val="0"/>
        <w:pageBreakBefore w:val="0"/>
        <w:widowControl w:val="0"/>
        <w:kinsoku/>
        <w:overflowPunct/>
        <w:topLinePunct w:val="0"/>
        <w:autoSpaceDE/>
        <w:autoSpaceDN/>
        <w:bidi w:val="0"/>
        <w:ind w:firstLine="280" w:firstLineChars="100"/>
        <w:textAlignment w:val="auto"/>
        <w:rPr>
          <w:rFonts w:hint="eastAsia" w:ascii="仿宋" w:hAnsi="仿宋" w:eastAsia="仿宋" w:cs="仿宋"/>
          <w:color w:val="auto"/>
          <w:sz w:val="28"/>
          <w:szCs w:val="28"/>
          <w:highlight w:val="none"/>
        </w:rPr>
      </w:pPr>
      <w:bookmarkStart w:id="126" w:name="_Toc28445_WPSOffice_Level1"/>
      <w:r>
        <w:rPr>
          <w:rFonts w:hint="eastAsia" w:ascii="仿宋_GB2312" w:hAnsi="仿宋_GB2312" w:eastAsia="仿宋_GB2312" w:cs="仿宋_GB2312"/>
          <w:color w:val="auto"/>
          <w:sz w:val="28"/>
          <w:szCs w:val="28"/>
          <w:highlight w:val="none"/>
        </w:rPr>
        <w:t>附件三：廉洁从业承诺书（员工承诺</w:t>
      </w:r>
      <w:bookmarkEnd w:id="126"/>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br w:type="page"/>
      </w:r>
      <w:r>
        <w:rPr>
          <w:rFonts w:hint="eastAsia" w:ascii="仿宋" w:hAnsi="仿宋" w:eastAsia="仿宋" w:cs="仿宋"/>
          <w:color w:val="auto"/>
          <w:sz w:val="28"/>
          <w:szCs w:val="28"/>
          <w:highlight w:val="none"/>
        </w:rPr>
        <w:t>（本页无正文，为</w:t>
      </w:r>
      <w:r>
        <w:rPr>
          <w:rFonts w:hint="eastAsia" w:ascii="仿宋" w:hAnsi="仿宋" w:eastAsia="仿宋" w:cs="仿宋"/>
          <w:color w:val="auto"/>
          <w:highlight w:val="none"/>
        </w:rPr>
        <w:t>《     》</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签署页）</w:t>
      </w:r>
    </w:p>
    <w:p w14:paraId="674972AE">
      <w:pPr>
        <w:pStyle w:val="29"/>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eastAsia" w:ascii="仿宋" w:hAnsi="仿宋" w:eastAsia="仿宋" w:cs="仿宋"/>
          <w:color w:val="auto"/>
          <w:highlight w:val="none"/>
        </w:rPr>
      </w:pPr>
    </w:p>
    <w:p w14:paraId="057CF1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hint="eastAsia" w:ascii="仿宋" w:hAnsi="仿宋" w:eastAsia="仿宋" w:cs="仿宋"/>
          <w:color w:val="auto"/>
          <w:sz w:val="28"/>
          <w:szCs w:val="28"/>
          <w:highlight w:val="none"/>
        </w:rPr>
      </w:pPr>
    </w:p>
    <w:p w14:paraId="3AC29902">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                              乙方：</w:t>
      </w:r>
    </w:p>
    <w:p w14:paraId="63AB85C4">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p>
    <w:p w14:paraId="34E9B64B">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委托代理人：</w:t>
      </w:r>
    </w:p>
    <w:p w14:paraId="03FC3E6F">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0755-83116181</w:t>
      </w:r>
      <w:r>
        <w:rPr>
          <w:rFonts w:hint="eastAsia" w:ascii="仿宋" w:hAnsi="仿宋" w:eastAsia="仿宋" w:cs="仿宋"/>
          <w:color w:val="auto"/>
          <w:sz w:val="28"/>
          <w:szCs w:val="28"/>
          <w:highlight w:val="none"/>
        </w:rPr>
        <w:t xml:space="preserve">             联系</w:t>
      </w:r>
      <w:r>
        <w:rPr>
          <w:rFonts w:hint="eastAsia" w:ascii="仿宋" w:hAnsi="仿宋" w:eastAsia="仿宋" w:cs="仿宋"/>
          <w:color w:val="auto"/>
          <w:sz w:val="28"/>
          <w:szCs w:val="28"/>
          <w:highlight w:val="none"/>
          <w:lang w:val="en-US" w:eastAsia="zh-CN"/>
        </w:rPr>
        <w:t>电话：</w:t>
      </w:r>
    </w:p>
    <w:p w14:paraId="05EBEAD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i w:val="0"/>
          <w:iCs w:val="0"/>
          <w:caps w:val="0"/>
          <w:color w:val="auto"/>
          <w:spacing w:val="0"/>
          <w:sz w:val="28"/>
          <w:szCs w:val="28"/>
          <w:highlight w:val="none"/>
          <w:shd w:val="clear" w:fill="FFFFFF"/>
        </w:rPr>
        <w:t>建设银行深圳梅林支行</w:t>
      </w:r>
      <w:r>
        <w:rPr>
          <w:rFonts w:hint="eastAsia" w:ascii="仿宋" w:hAnsi="仿宋" w:eastAsia="仿宋" w:cs="仿宋"/>
          <w:color w:val="auto"/>
          <w:sz w:val="28"/>
          <w:szCs w:val="28"/>
          <w:highlight w:val="none"/>
        </w:rPr>
        <w:t xml:space="preserve">      开户银行:</w:t>
      </w:r>
    </w:p>
    <w:p w14:paraId="08C5137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i w:val="0"/>
          <w:iCs w:val="0"/>
          <w:caps w:val="0"/>
          <w:color w:val="auto"/>
          <w:spacing w:val="0"/>
          <w:sz w:val="28"/>
          <w:szCs w:val="28"/>
          <w:highlight w:val="none"/>
          <w:shd w:val="clear" w:fill="FFFFFF"/>
        </w:rPr>
        <w:t>44201550900051002164</w:t>
      </w:r>
      <w:r>
        <w:rPr>
          <w:rFonts w:hint="eastAsia" w:ascii="仿宋" w:hAnsi="仿宋" w:eastAsia="仿宋" w:cs="仿宋"/>
          <w:color w:val="auto"/>
          <w:sz w:val="28"/>
          <w:szCs w:val="28"/>
          <w:highlight w:val="none"/>
        </w:rPr>
        <w:t xml:space="preserve">          帐号：</w:t>
      </w:r>
    </w:p>
    <w:p w14:paraId="7D6D14F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hint="eastAsia" w:ascii="仿宋" w:hAnsi="仿宋" w:eastAsia="仿宋" w:cs="仿宋"/>
          <w:color w:val="auto"/>
          <w:sz w:val="28"/>
          <w:szCs w:val="28"/>
          <w:highlight w:val="none"/>
        </w:rPr>
      </w:pPr>
    </w:p>
    <w:p w14:paraId="2D51ACFE">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签约时间：     年     月     日</w:t>
      </w:r>
    </w:p>
    <w:p w14:paraId="6220232D">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签约地点：</w:t>
      </w:r>
    </w:p>
    <w:p w14:paraId="52289DD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color w:val="auto"/>
          <w:sz w:val="28"/>
          <w:szCs w:val="28"/>
          <w:highlight w:val="none"/>
        </w:rPr>
      </w:pPr>
    </w:p>
    <w:p w14:paraId="0F9C621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0D5D4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8A4237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0093AFA0">
      <w:pPr>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5BF450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0AE6E60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5E05CBE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4A0F695D">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5160E6F8">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1C39E99">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C5FA0E2">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附件二：</w:t>
      </w:r>
    </w:p>
    <w:p w14:paraId="681FCABE">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p>
    <w:p w14:paraId="052D69FB">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廉洁合作承诺书</w:t>
      </w:r>
    </w:p>
    <w:p w14:paraId="06806A2B">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（企业承诺）</w:t>
      </w:r>
    </w:p>
    <w:p w14:paraId="2D7FAEE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本公司决定参加项目</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。为维护公平竞争的市场秩序，促进企业廉洁从业、诚实守信，特承诺如下：</w:t>
      </w:r>
    </w:p>
    <w:p w14:paraId="013EAC6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一、严格遵守《中华人民共和国招标投标法》、《中华人民共和国政府采购法》等法律法规，决不发生以下行为：</w:t>
      </w:r>
    </w:p>
    <w:p w14:paraId="3AE389B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1.以他人名义投标，允许其他单位或个人使用本单位资质投标；</w:t>
      </w:r>
    </w:p>
    <w:p w14:paraId="1FCF3DF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2.提供虚假材料，或以其他方式弄虚作假骗取中标；</w:t>
      </w:r>
    </w:p>
    <w:p w14:paraId="2B87BDE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3.与招标人或者其他投标人相互串通投标；</w:t>
      </w:r>
    </w:p>
    <w:p w14:paraId="13775BC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4.中标后将项目转包，或违法分包；</w:t>
      </w:r>
    </w:p>
    <w:p w14:paraId="2D8C6D9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5.中标后与招标人签订背离投标文件及合同实质性内容的私下协议；</w:t>
      </w:r>
    </w:p>
    <w:p w14:paraId="70D2C4C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6.其他违反招标投标、政府采购等法律法规的行为。</w:t>
      </w:r>
    </w:p>
    <w:p w14:paraId="74B21597">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二、不以任何理由给予采购单位、主管部门、相关单位及其工作人员以下好处：</w:t>
      </w:r>
    </w:p>
    <w:p w14:paraId="5FE55D2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37F7D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5832632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76682E88">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4.提供宴请、健身、旅游、娱乐等高消费活动； </w:t>
      </w:r>
    </w:p>
    <w:p w14:paraId="55152C10">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0A563449">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三、不以任何理由为采购单位、主管部门、相关单位的工作人员及其配偶、子女等亲属的工作安排以及出国（境）等提供方便。</w:t>
      </w:r>
    </w:p>
    <w:p w14:paraId="201C594B">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四、自觉接受有关部门和派驻廉政监察组等机构的监督，积极配合采购单位开展廉政文化进工程工作，加强廉洁从业环境宣传、项目管理制度建设，多种形式开展廉洁教育。</w:t>
      </w:r>
    </w:p>
    <w:p w14:paraId="5516112D">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上述承诺如有违反，愿接受录入诚信档案的处理，构成违纪违法的，由相关部门依纪依法作出处理。</w:t>
      </w:r>
    </w:p>
    <w:p w14:paraId="5D8946A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响应方</w:t>
      </w:r>
      <w:r>
        <w:rPr>
          <w:rFonts w:hint="eastAsia" w:ascii="仿宋_GB2312" w:hAnsi="仿宋_GB2312" w:eastAsia="仿宋_GB2312" w:cs="仿宋_GB2312"/>
          <w:color w:val="auto"/>
          <w:sz w:val="28"/>
          <w:szCs w:val="28"/>
          <w:highlight w:val="none"/>
        </w:rPr>
        <w:t>法定代表人签名，并加盖公章；一式贰份，采购单位与履约供应商各持壹份。）</w:t>
      </w:r>
    </w:p>
    <w:p w14:paraId="2C20EE9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266298F8">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61C4AA6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3472C59F">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法定代表人签名：</w:t>
      </w:r>
    </w:p>
    <w:p w14:paraId="5D3543BB">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承诺单位（公章）：</w:t>
      </w:r>
    </w:p>
    <w:p w14:paraId="02BABC0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承诺日期：</w:t>
      </w:r>
    </w:p>
    <w:p w14:paraId="621E2E23">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color w:val="auto"/>
          <w:sz w:val="28"/>
          <w:szCs w:val="28"/>
          <w:highlight w:val="none"/>
        </w:rPr>
        <w:t>附件三：</w:t>
      </w:r>
    </w:p>
    <w:p w14:paraId="476D0DB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廉洁从业承诺书</w:t>
      </w:r>
    </w:p>
    <w:p w14:paraId="568AAAB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（员工承诺）</w:t>
      </w:r>
    </w:p>
    <w:p w14:paraId="2BD038F9">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本人决定自愿参加本项目。为了更好的树立公司对外形象，更好地打造公司的品牌，促进个人廉洁从业、诚实守信，特承诺如下：</w:t>
      </w:r>
    </w:p>
    <w:p w14:paraId="3A5CA8E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一、不以任何理由给予采购单位、主管部门、相关单位及其工作人员以下好处：</w:t>
      </w:r>
    </w:p>
    <w:p w14:paraId="09710626">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49C437">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6C7D2C4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2504DF3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4.提供宴请、健身、旅游、娱乐等高消费活动；</w:t>
      </w:r>
    </w:p>
    <w:p w14:paraId="763F71A9">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5F9F2D6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二、不以任何理由为采购单位、主管部门、相关单位的工作人员及其配偶、子女等亲属的工作安排以及出国（境）等提供方便。</w:t>
      </w:r>
    </w:p>
    <w:p w14:paraId="3B5B551F">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三、自觉接受有关部门和派驻廉政监察组等机构的监督。</w:t>
      </w:r>
    </w:p>
    <w:p w14:paraId="6027A8E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以上承诺接受公司和广大员工的监督。本人如有违反承诺，自愿承担违诺责任和法律后果。</w:t>
      </w:r>
    </w:p>
    <w:p w14:paraId="62BA99E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（本承诺书由项目人员签名，一式贰份。公司与项目人员各持壹份。）</w:t>
      </w:r>
    </w:p>
    <w:p w14:paraId="1AC3F82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6979E1B2">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3FF79A7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承诺人：</w:t>
      </w:r>
    </w:p>
    <w:p w14:paraId="0DB6C6A0">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highlight w:val="none"/>
        </w:rPr>
      </w:pPr>
      <w:r>
        <w:rPr>
          <w:rFonts w:hint="eastAsia" w:ascii="仿宋_GB2312" w:hAnsi="仿宋_GB2312" w:eastAsia="仿宋_GB2312" w:cs="仿宋_GB2312"/>
          <w:color w:val="auto"/>
          <w:sz w:val="28"/>
          <w:szCs w:val="28"/>
          <w:highlight w:val="none"/>
        </w:rPr>
        <w:t>承诺日期：</w:t>
      </w:r>
      <w:bookmarkEnd w:id="111"/>
      <w:bookmarkEnd w:id="112"/>
      <w:bookmarkEnd w:id="113"/>
      <w:bookmarkEnd w:id="114"/>
      <w:bookmarkEnd w:id="115"/>
    </w:p>
    <w:p w14:paraId="753611B7">
      <w:pPr>
        <w:rPr>
          <w:rFonts w:ascii="宋体" w:hAnsi="宋体" w:cs="宋体"/>
          <w:color w:val="000000" w:themeColor="text1"/>
          <w:szCs w:val="21"/>
          <w14:textFill>
            <w14:solidFill>
              <w14:schemeClr w14:val="tx1"/>
            </w14:solidFill>
          </w14:textFill>
        </w:rPr>
      </w:pPr>
    </w:p>
    <w:p w14:paraId="7ECA77B4">
      <w:pPr>
        <w:spacing w:after="60"/>
        <w:jc w:val="center"/>
        <w:outlineLvl w:val="0"/>
        <w:rPr>
          <w:rFonts w:hint="default" w:asciiTheme="minorHAnsi" w:hAnsiTheme="minorHAnsi" w:eastAsiaTheme="minorEastAsia" w:cstheme="minorBidi"/>
          <w:b w:val="0"/>
          <w:bCs w:val="0"/>
          <w:kern w:val="2"/>
          <w:sz w:val="32"/>
          <w:szCs w:val="32"/>
          <w:lang w:val="en-US" w:eastAsia="zh-CN" w:bidi="ar-SA"/>
        </w:rPr>
      </w:pPr>
      <w:r>
        <w:rPr>
          <w:rFonts w:hint="eastAsia" w:ascii="宋体" w:hAnsi="宋体" w:cs="宋体"/>
          <w:b w:val="0"/>
          <w:bCs w:val="0"/>
          <w:color w:val="000000" w:themeColor="text1"/>
          <w:sz w:val="32"/>
          <w:szCs w:val="32"/>
          <w14:textFill>
            <w14:solidFill>
              <w14:schemeClr w14:val="tx1"/>
            </w14:solidFill>
          </w14:textFill>
        </w:rPr>
        <w:t xml:space="preserve">     </w:t>
      </w:r>
      <w:bookmarkStart w:id="127" w:name="_Toc7020"/>
      <w:r>
        <w:rPr>
          <w:rFonts w:hint="eastAsia" w:ascii="宋体" w:hAnsi="宋体" w:cs="宋体"/>
          <w:b w:val="0"/>
          <w:bCs w:val="0"/>
          <w:color w:val="000000" w:themeColor="text1"/>
          <w:sz w:val="32"/>
          <w:szCs w:val="32"/>
          <w:lang w:val="en-US" w:eastAsia="zh-CN"/>
          <w14:textFill>
            <w14:solidFill>
              <w14:schemeClr w14:val="tx1"/>
            </w14:solidFill>
          </w14:textFill>
        </w:rPr>
        <w:t xml:space="preserve">第六章 </w:t>
      </w:r>
      <w:r>
        <w:rPr>
          <w:rFonts w:hint="eastAsia" w:cstheme="minorBidi"/>
          <w:b w:val="0"/>
          <w:bCs w:val="0"/>
          <w:kern w:val="2"/>
          <w:sz w:val="32"/>
          <w:szCs w:val="32"/>
          <w:lang w:val="en-US" w:eastAsia="zh-CN" w:bidi="ar-SA"/>
        </w:rPr>
        <w:t>综合评分表</w:t>
      </w:r>
      <w:bookmarkEnd w:id="127"/>
    </w:p>
    <w:tbl>
      <w:tblPr>
        <w:tblStyle w:val="17"/>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1511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9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24B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kern w:val="0"/>
                <w:sz w:val="21"/>
                <w:szCs w:val="21"/>
                <w:highlight w:val="none"/>
                <w:lang w:val="en-US" w:eastAsia="zh-CN" w:bidi="ar-SA"/>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29AE">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kern w:val="0"/>
                <w:sz w:val="21"/>
                <w:szCs w:val="21"/>
                <w:highlight w:val="none"/>
                <w:lang w:val="en-US" w:eastAsia="zh-CN" w:bidi="ar-SA"/>
              </w:rPr>
              <w:t xml:space="preserve">技术参数响应情况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5DD96384">
            <w:pPr>
              <w:pStyle w:val="5"/>
              <w:ind w:firstLine="0"/>
              <w:rPr>
                <w:rFonts w:hint="eastAsia" w:ascii="宋体" w:hAnsi="宋体" w:eastAsia="宋体" w:cs="宋体"/>
                <w:kern w:val="0"/>
                <w:szCs w:val="21"/>
                <w:highlight w:val="none"/>
              </w:rPr>
            </w:pPr>
            <w:r>
              <w:rPr>
                <w:rFonts w:hint="eastAsia" w:ascii="宋体" w:hAnsi="宋体" w:eastAsia="宋体" w:cs="宋体"/>
                <w:kern w:val="0"/>
                <w:szCs w:val="21"/>
                <w:highlight w:val="none"/>
              </w:rPr>
              <w:t>投标人应根据</w:t>
            </w:r>
            <w:r>
              <w:rPr>
                <w:rFonts w:hint="eastAsia" w:ascii="宋体" w:hAnsi="宋体" w:cs="宋体"/>
                <w:kern w:val="0"/>
                <w:szCs w:val="21"/>
                <w:highlight w:val="none"/>
                <w:lang w:eastAsia="zh-CN"/>
              </w:rPr>
              <w:t>“采购货物清单和技术要求”的</w:t>
            </w:r>
            <w:r>
              <w:rPr>
                <w:rFonts w:hint="eastAsia" w:ascii="宋体" w:hAnsi="宋体" w:eastAsia="宋体" w:cs="宋体"/>
                <w:kern w:val="0"/>
                <w:szCs w:val="21"/>
                <w:highlight w:val="none"/>
              </w:rPr>
              <w:t>所投产品</w:t>
            </w:r>
            <w:r>
              <w:rPr>
                <w:rFonts w:hint="eastAsia" w:ascii="宋体" w:hAnsi="宋体" w:cs="宋体"/>
                <w:kern w:val="0"/>
                <w:szCs w:val="21"/>
                <w:highlight w:val="none"/>
                <w:lang w:val="en-US" w:eastAsia="zh-CN"/>
              </w:rPr>
              <w:t>情况</w:t>
            </w:r>
            <w:r>
              <w:rPr>
                <w:rFonts w:hint="eastAsia" w:ascii="宋体" w:hAnsi="宋体" w:eastAsia="宋体" w:cs="宋体"/>
                <w:kern w:val="0"/>
                <w:szCs w:val="21"/>
                <w:highlight w:val="none"/>
              </w:rPr>
              <w:t>如实填写《技术规格</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主要需求</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偏离表》，评审委员会根据招标文件技术要求及参数响应情况进行评分。完全响应招标技术要求的</w:t>
            </w:r>
            <w:r>
              <w:rPr>
                <w:rFonts w:hint="eastAsia" w:ascii="宋体" w:hAnsi="宋体" w:eastAsia="宋体" w:cs="宋体"/>
                <w:kern w:val="0"/>
                <w:szCs w:val="21"/>
                <w:highlight w:val="none"/>
                <w:lang w:val="en-US" w:eastAsia="zh-CN"/>
              </w:rPr>
              <w:t>得</w:t>
            </w:r>
            <w:r>
              <w:rPr>
                <w:rFonts w:hint="eastAsia" w:ascii="宋体" w:hAnsi="宋体" w:eastAsia="宋体" w:cs="宋体"/>
                <w:kern w:val="0"/>
                <w:szCs w:val="21"/>
                <w:highlight w:val="none"/>
              </w:rPr>
              <w:t>满分，每负偏离一项扣</w:t>
            </w:r>
            <w:r>
              <w:rPr>
                <w:rFonts w:hint="eastAsia" w:ascii="宋体" w:hAnsi="宋体" w:cs="宋体"/>
                <w:kern w:val="0"/>
                <w:szCs w:val="21"/>
                <w:highlight w:val="none"/>
                <w:lang w:val="en-US" w:eastAsia="zh-CN"/>
              </w:rPr>
              <w:t>7.5</w:t>
            </w:r>
            <w:r>
              <w:rPr>
                <w:rFonts w:hint="eastAsia" w:ascii="宋体" w:hAnsi="宋体" w:eastAsia="宋体" w:cs="宋体"/>
                <w:kern w:val="0"/>
                <w:szCs w:val="21"/>
                <w:highlight w:val="none"/>
              </w:rPr>
              <w:t>分。</w:t>
            </w:r>
          </w:p>
          <w:p w14:paraId="2C32CBD8">
            <w:pPr>
              <w:numPr>
                <w:ilvl w:val="0"/>
                <w:numId w:val="0"/>
              </w:numPr>
              <w:wordWrap w:val="0"/>
              <w:snapToGrid w:val="0"/>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评审标准：</w:t>
            </w:r>
          </w:p>
          <w:p w14:paraId="67EA039F">
            <w:pPr>
              <w:pStyle w:val="5"/>
              <w:ind w:firstLine="0"/>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p w14:paraId="3A1CDD50">
            <w:pPr>
              <w:pStyle w:val="5"/>
              <w:ind w:firstLine="0"/>
              <w:rPr>
                <w:rFonts w:ascii="宋体" w:hAnsi="宋体" w:cs="宋体"/>
                <w:snapToGrid w:val="0"/>
                <w:kern w:val="0"/>
                <w:szCs w:val="21"/>
                <w:highlight w:val="none"/>
              </w:rPr>
            </w:pPr>
            <w:r>
              <w:rPr>
                <w:rFonts w:hint="eastAsia" w:ascii="宋体" w:hAnsi="宋体" w:cs="宋体"/>
                <w:kern w:val="0"/>
                <w:szCs w:val="21"/>
                <w:highlight w:val="none"/>
              </w:rPr>
              <w:t>1、投标人需提供</w:t>
            </w:r>
            <w:r>
              <w:rPr>
                <w:rFonts w:hint="eastAsia" w:ascii="宋体" w:hAnsi="宋体" w:cs="宋体"/>
                <w:kern w:val="0"/>
                <w:szCs w:val="21"/>
                <w:highlight w:val="none"/>
                <w:lang w:val="en-US" w:eastAsia="zh-CN"/>
              </w:rPr>
              <w:t>产品</w:t>
            </w:r>
            <w:r>
              <w:rPr>
                <w:rFonts w:hint="eastAsia" w:ascii="宋体" w:hAnsi="宋体" w:cs="宋体"/>
                <w:snapToGrid w:val="0"/>
                <w:kern w:val="0"/>
                <w:szCs w:val="21"/>
                <w:highlight w:val="none"/>
              </w:rPr>
              <w:t>相关证明材料（技术白皮书或制造商原厂彩页或产品说明书或第三方出具的检测报告等，</w:t>
            </w:r>
            <w:r>
              <w:rPr>
                <w:rFonts w:hint="eastAsia" w:ascii="宋体" w:hAnsi="宋体" w:cs="宋体"/>
                <w:kern w:val="0"/>
                <w:szCs w:val="21"/>
                <w:highlight w:val="none"/>
              </w:rPr>
              <w:t>如厂家的产品使用说明书为英文版，请同时提供中文版</w:t>
            </w:r>
            <w:r>
              <w:rPr>
                <w:rFonts w:hint="eastAsia" w:ascii="宋体" w:hAnsi="宋体" w:cs="宋体"/>
                <w:snapToGrid w:val="0"/>
                <w:kern w:val="0"/>
                <w:szCs w:val="21"/>
                <w:highlight w:val="none"/>
              </w:rPr>
              <w:t>），</w:t>
            </w:r>
            <w:r>
              <w:rPr>
                <w:rFonts w:hint="eastAsia" w:ascii="宋体" w:hAnsi="宋体" w:cs="宋体"/>
                <w:kern w:val="0"/>
                <w:szCs w:val="21"/>
                <w:highlight w:val="none"/>
              </w:rPr>
              <w:t>否则评标委员会有权视相应技术参数响应不符合招标要求</w:t>
            </w:r>
            <w:r>
              <w:rPr>
                <w:rFonts w:hint="eastAsia" w:ascii="宋体" w:hAnsi="宋体" w:cs="宋体"/>
                <w:snapToGrid w:val="0"/>
                <w:kern w:val="0"/>
                <w:szCs w:val="21"/>
                <w:highlight w:val="none"/>
              </w:rPr>
              <w:t>。</w:t>
            </w:r>
          </w:p>
          <w:p w14:paraId="4DCE6FE4">
            <w:pPr>
              <w:pStyle w:val="5"/>
              <w:ind w:firstLine="0"/>
              <w:rPr>
                <w:rFonts w:ascii="宋体" w:hAnsi="宋体" w:cs="宋体"/>
                <w:snapToGrid w:val="0"/>
                <w:kern w:val="0"/>
                <w:szCs w:val="21"/>
                <w:highlight w:val="none"/>
              </w:rPr>
            </w:pPr>
            <w:r>
              <w:rPr>
                <w:rFonts w:hint="eastAsia" w:ascii="宋体" w:hAnsi="宋体" w:cs="宋体"/>
                <w:snapToGrid w:val="0"/>
                <w:kern w:val="0"/>
                <w:szCs w:val="21"/>
                <w:highlight w:val="none"/>
              </w:rPr>
              <w:t>2、注明证明材料在投标文件中的具体位置，如投标人不按照招标文件要求放置证明材料，</w:t>
            </w:r>
            <w:r>
              <w:rPr>
                <w:rFonts w:hint="eastAsia" w:ascii="宋体" w:hAnsi="宋体" w:cs="宋体"/>
                <w:kern w:val="0"/>
                <w:szCs w:val="21"/>
                <w:highlight w:val="none"/>
              </w:rPr>
              <w:t>评标委员会有权视相应技术参数响应不符合招标要求</w:t>
            </w:r>
            <w:r>
              <w:rPr>
                <w:rFonts w:hint="eastAsia" w:ascii="宋体" w:hAnsi="宋体" w:cs="宋体"/>
                <w:snapToGrid w:val="0"/>
                <w:kern w:val="0"/>
                <w:szCs w:val="21"/>
                <w:highlight w:val="none"/>
              </w:rPr>
              <w:t>，按负偏离进行扣分。</w:t>
            </w:r>
          </w:p>
          <w:p w14:paraId="57603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snapToGrid w:val="0"/>
                <w:kern w:val="0"/>
                <w:szCs w:val="21"/>
                <w:highlight w:val="none"/>
              </w:rPr>
              <w:t>3、提供的证明资料显示不符合招标文件要求、模糊不清无法判断或未显示是否满足招标文件参数，且投标人偏离程度响应为“无偏离或正偏离”，</w:t>
            </w:r>
            <w:r>
              <w:rPr>
                <w:rFonts w:hint="eastAsia" w:ascii="宋体" w:hAnsi="宋体" w:cs="宋体"/>
                <w:kern w:val="0"/>
                <w:szCs w:val="21"/>
                <w:highlight w:val="none"/>
              </w:rPr>
              <w:t>评标委员会有权视相应技术参数响应不符合招标要求</w:t>
            </w:r>
            <w:r>
              <w:rPr>
                <w:rFonts w:hint="eastAsia" w:ascii="宋体" w:hAnsi="宋体" w:cs="宋体"/>
                <w:snapToGrid w:val="0"/>
                <w:kern w:val="0"/>
                <w:szCs w:val="21"/>
                <w:highlight w:val="none"/>
              </w:rPr>
              <w:t>，按负偏离进行扣分。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DA2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724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2D66">
            <w:pPr>
              <w:numPr>
                <w:ilvl w:val="0"/>
                <w:numId w:val="0"/>
              </w:numPr>
              <w:wordWrap w:val="0"/>
              <w:snapToGrid w:val="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napToGrid w:val="0"/>
                <w:kern w:val="0"/>
                <w:sz w:val="21"/>
                <w:szCs w:val="21"/>
                <w:highlight w:val="none"/>
                <w:lang w:val="en-US" w:eastAsia="zh-CN" w:bidi="ar-SA"/>
              </w:rPr>
              <w:t>配送方案</w:t>
            </w:r>
            <w:r>
              <w:rPr>
                <w:rFonts w:hint="eastAsia" w:ascii="宋体" w:hAnsi="宋体" w:eastAsia="宋体" w:cs="宋体"/>
                <w:i w:val="0"/>
                <w:iCs w:val="0"/>
                <w:color w:val="000000"/>
                <w:kern w:val="0"/>
                <w:sz w:val="22"/>
                <w:szCs w:val="22"/>
                <w:u w:val="none"/>
                <w:lang w:val="en-US" w:eastAsia="zh-CN" w:bidi="ar"/>
              </w:rPr>
              <w:t xml:space="preserve">                                                  </w:t>
            </w:r>
          </w:p>
          <w:p w14:paraId="5E59CE18">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2F7D26C9">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评审委员会根据投标文件配送方案进行评审：</w:t>
            </w:r>
          </w:p>
          <w:p w14:paraId="045328C6">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配送时效保障方案</w:t>
            </w:r>
            <w:r>
              <w:rPr>
                <w:rFonts w:hint="eastAsia" w:asciiTheme="minorEastAsia" w:hAnsiTheme="minorEastAsia" w:eastAsiaTheme="minorEastAsia" w:cstheme="minorEastAsia"/>
                <w:color w:val="auto"/>
                <w:kern w:val="0"/>
                <w:szCs w:val="21"/>
                <w:highlight w:val="none"/>
                <w:lang w:eastAsia="zh-CN"/>
              </w:rPr>
              <w:t>；</w:t>
            </w:r>
          </w:p>
          <w:p w14:paraId="64F7B93B">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eastAsia="zh-CN"/>
              </w:rPr>
              <w:t>；</w:t>
            </w:r>
          </w:p>
          <w:p w14:paraId="4CEE106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配送</w:t>
            </w:r>
            <w:r>
              <w:rPr>
                <w:rFonts w:hint="eastAsia" w:asciiTheme="minorEastAsia" w:hAnsiTheme="minorEastAsia" w:eastAsiaTheme="minorEastAsia" w:cstheme="minorEastAsia"/>
                <w:color w:val="auto"/>
                <w:kern w:val="0"/>
                <w:szCs w:val="21"/>
                <w:highlight w:val="none"/>
              </w:rPr>
              <w:t>人员</w:t>
            </w:r>
            <w:r>
              <w:rPr>
                <w:rFonts w:hint="eastAsia" w:asciiTheme="minorEastAsia" w:hAnsiTheme="minorEastAsia" w:eastAsiaTheme="minorEastAsia" w:cstheme="minorEastAsia"/>
                <w:color w:val="auto"/>
                <w:kern w:val="0"/>
                <w:szCs w:val="21"/>
                <w:highlight w:val="none"/>
                <w:lang w:val="en-US" w:eastAsia="zh-CN"/>
              </w:rPr>
              <w:t>管理制度</w:t>
            </w:r>
            <w:r>
              <w:rPr>
                <w:rFonts w:hint="eastAsia" w:asciiTheme="minorEastAsia" w:hAnsiTheme="minorEastAsia" w:eastAsiaTheme="minorEastAsia" w:cstheme="minorEastAsia"/>
                <w:color w:val="auto"/>
                <w:kern w:val="0"/>
                <w:szCs w:val="21"/>
                <w:highlight w:val="none"/>
                <w:lang w:eastAsia="zh-CN"/>
              </w:rPr>
              <w:t>。</w:t>
            </w:r>
          </w:p>
          <w:p w14:paraId="34B2ECA1">
            <w:pPr>
              <w:numPr>
                <w:ilvl w:val="0"/>
                <w:numId w:val="0"/>
              </w:numPr>
              <w:wordWrap w:val="0"/>
              <w:snapToGrid w:val="0"/>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评审标准：</w:t>
            </w:r>
          </w:p>
          <w:p w14:paraId="7EE21596">
            <w:pPr>
              <w:pStyle w:val="5"/>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kern w:val="0"/>
                <w:szCs w:val="21"/>
                <w:highlight w:val="none"/>
              </w:rPr>
              <w:t>配送方案</w:t>
            </w:r>
            <w:r>
              <w:rPr>
                <w:rFonts w:hint="eastAsia" w:asciiTheme="minorEastAsia" w:hAnsiTheme="minorEastAsia" w:eastAsiaTheme="minorEastAsia" w:cstheme="minorEastAsia"/>
                <w:color w:val="auto"/>
                <w:highlight w:val="none"/>
                <w:lang w:val="en-US" w:eastAsia="zh-CN"/>
              </w:rPr>
              <w:t>满足</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en-US" w:eastAsia="zh-CN"/>
              </w:rPr>
              <w:t>一点可得2分</w:t>
            </w:r>
            <w:r>
              <w:rPr>
                <w:rFonts w:hint="eastAsia" w:asciiTheme="minorEastAsia" w:hAnsiTheme="minorEastAsia" w:eastAsiaTheme="minorEastAsia" w:cstheme="minorEastAsia"/>
                <w:color w:val="auto"/>
                <w:highlight w:val="none"/>
              </w:rPr>
              <w:t>，全部满足得</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分，其余情况不得分。</w:t>
            </w:r>
          </w:p>
          <w:p w14:paraId="5AB5F045">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在此基础上，评审委员会进行进一步评审：</w:t>
            </w:r>
          </w:p>
          <w:p w14:paraId="58B7E258">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可实施性强，配送人员管理制度全面，</w:t>
            </w:r>
            <w:r>
              <w:rPr>
                <w:rFonts w:hint="eastAsia" w:asciiTheme="minorEastAsia" w:hAnsiTheme="minorEastAsia" w:eastAsiaTheme="minorEastAsia" w:cstheme="minorEastAsia"/>
                <w:color w:val="auto"/>
                <w:kern w:val="0"/>
                <w:szCs w:val="21"/>
                <w:highlight w:val="none"/>
              </w:rPr>
              <w:t>评价为优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加4</w:t>
            </w:r>
            <w:r>
              <w:rPr>
                <w:rFonts w:hint="eastAsia" w:asciiTheme="minorEastAsia" w:hAnsiTheme="minorEastAsia" w:eastAsiaTheme="minorEastAsia" w:cstheme="minorEastAsia"/>
                <w:color w:val="auto"/>
                <w:kern w:val="0"/>
                <w:szCs w:val="21"/>
                <w:highlight w:val="none"/>
              </w:rPr>
              <w:t>分；</w:t>
            </w:r>
          </w:p>
          <w:p w14:paraId="1CC0CCCF">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较合理，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可实施性较强，配送人员管理制度较全面，</w:t>
            </w:r>
            <w:r>
              <w:rPr>
                <w:rFonts w:hint="eastAsia" w:asciiTheme="minorEastAsia" w:hAnsiTheme="minorEastAsia" w:eastAsiaTheme="minorEastAsia" w:cstheme="minorEastAsia"/>
                <w:color w:val="auto"/>
                <w:kern w:val="0"/>
                <w:szCs w:val="21"/>
                <w:highlight w:val="none"/>
              </w:rPr>
              <w:t>评价为良</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加2</w:t>
            </w:r>
            <w:r>
              <w:rPr>
                <w:rFonts w:hint="eastAsia" w:asciiTheme="minorEastAsia" w:hAnsiTheme="minorEastAsia" w:eastAsiaTheme="minorEastAsia" w:cstheme="minorEastAsia"/>
                <w:color w:val="auto"/>
                <w:kern w:val="0"/>
                <w:szCs w:val="21"/>
                <w:highlight w:val="none"/>
              </w:rPr>
              <w:t>分；</w:t>
            </w:r>
          </w:p>
          <w:p w14:paraId="40D3D5D2">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基本合理，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可实施性一般，配送人员管理制度基本全面，</w:t>
            </w:r>
            <w:r>
              <w:rPr>
                <w:rFonts w:hint="eastAsia" w:asciiTheme="minorEastAsia" w:hAnsiTheme="minorEastAsia" w:eastAsiaTheme="minorEastAsia" w:cstheme="minorEastAsia"/>
                <w:color w:val="auto"/>
                <w:kern w:val="0"/>
                <w:szCs w:val="21"/>
                <w:highlight w:val="none"/>
              </w:rPr>
              <w:t>评价为中</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加1</w:t>
            </w:r>
            <w:r>
              <w:rPr>
                <w:rFonts w:hint="eastAsia" w:asciiTheme="minorEastAsia" w:hAnsiTheme="minorEastAsia" w:eastAsiaTheme="minorEastAsia" w:cstheme="minorEastAsia"/>
                <w:color w:val="auto"/>
                <w:kern w:val="0"/>
                <w:szCs w:val="21"/>
                <w:highlight w:val="none"/>
              </w:rPr>
              <w:t>分；</w:t>
            </w:r>
          </w:p>
          <w:p w14:paraId="2E50CDD1">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不合理，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可实施性不强，配送人员管理制度不全面，</w:t>
            </w:r>
            <w:r>
              <w:rPr>
                <w:rFonts w:hint="eastAsia" w:asciiTheme="minorEastAsia" w:hAnsiTheme="minorEastAsia" w:eastAsiaTheme="minorEastAsia" w:cstheme="minorEastAsia"/>
                <w:color w:val="auto"/>
                <w:kern w:val="0"/>
                <w:szCs w:val="21"/>
                <w:highlight w:val="none"/>
              </w:rPr>
              <w:t>评价为差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不得</w:t>
            </w:r>
            <w:r>
              <w:rPr>
                <w:rFonts w:hint="eastAsia" w:asciiTheme="minorEastAsia" w:hAnsiTheme="minorEastAsia" w:eastAsiaTheme="minorEastAsia" w:cstheme="minorEastAsia"/>
                <w:color w:val="auto"/>
                <w:kern w:val="0"/>
                <w:szCs w:val="21"/>
                <w:highlight w:val="none"/>
              </w:rPr>
              <w:t>分；</w:t>
            </w:r>
          </w:p>
          <w:p w14:paraId="76AAB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F6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DBE0">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A301">
            <w:pPr>
              <w:numPr>
                <w:ilvl w:val="0"/>
                <w:numId w:val="0"/>
              </w:numPr>
              <w:wordWrap w:val="0"/>
              <w:snapToGrid w:val="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napToGrid w:val="0"/>
                <w:kern w:val="0"/>
                <w:sz w:val="21"/>
                <w:szCs w:val="21"/>
                <w:highlight w:val="none"/>
                <w:lang w:val="en-US" w:eastAsia="zh-CN" w:bidi="ar-SA"/>
              </w:rPr>
              <w:t>售后服务方案</w:t>
            </w:r>
            <w:r>
              <w:rPr>
                <w:rFonts w:hint="eastAsia" w:ascii="宋体" w:hAnsi="宋体" w:eastAsia="宋体" w:cs="宋体"/>
                <w:i w:val="0"/>
                <w:iCs w:val="0"/>
                <w:color w:val="000000"/>
                <w:kern w:val="0"/>
                <w:sz w:val="22"/>
                <w:szCs w:val="22"/>
                <w:u w:val="none"/>
                <w:lang w:val="en-US" w:eastAsia="zh-CN" w:bidi="ar"/>
              </w:rPr>
              <w:t xml:space="preserve">                                              </w:t>
            </w:r>
          </w:p>
          <w:p w14:paraId="530B1856">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7CEA8024">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评审委员会根据</w:t>
            </w:r>
            <w:r>
              <w:rPr>
                <w:rFonts w:hint="eastAsia" w:asciiTheme="minorEastAsia" w:hAnsiTheme="minorEastAsia" w:eastAsiaTheme="minorEastAsia" w:cstheme="minorEastAsia"/>
                <w:color w:val="auto"/>
                <w:kern w:val="0"/>
                <w:szCs w:val="21"/>
                <w:highlight w:val="none"/>
                <w:lang w:val="en-US" w:eastAsia="zh-CN"/>
              </w:rPr>
              <w:t>投标人递交的</w:t>
            </w:r>
            <w:r>
              <w:rPr>
                <w:rFonts w:hint="eastAsia" w:asciiTheme="minorEastAsia" w:hAnsiTheme="minorEastAsia" w:eastAsiaTheme="minorEastAsia" w:cstheme="minorEastAsia"/>
                <w:color w:val="auto"/>
                <w:kern w:val="0"/>
                <w:szCs w:val="21"/>
                <w:highlight w:val="none"/>
              </w:rPr>
              <w:t>投标文件售后服务方案进行评审</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内容包含但不限于</w:t>
            </w:r>
            <w:r>
              <w:rPr>
                <w:rFonts w:hint="eastAsia" w:asciiTheme="minorEastAsia" w:hAnsiTheme="minorEastAsia" w:eastAsiaTheme="minorEastAsia" w:cstheme="minorEastAsia"/>
                <w:color w:val="auto"/>
                <w:kern w:val="0"/>
                <w:szCs w:val="21"/>
                <w:highlight w:val="none"/>
              </w:rPr>
              <w:t>：</w:t>
            </w:r>
          </w:p>
          <w:p w14:paraId="33DC311C">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eastAsia="zh-CN"/>
              </w:rPr>
              <w:t>；</w:t>
            </w:r>
          </w:p>
          <w:p w14:paraId="761C1F5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应急供货和</w:t>
            </w:r>
            <w:r>
              <w:rPr>
                <w:rFonts w:hint="eastAsia" w:asciiTheme="minorEastAsia" w:hAnsiTheme="minorEastAsia" w:eastAsiaTheme="minorEastAsia" w:cstheme="minorEastAsia"/>
                <w:color w:val="auto"/>
                <w:kern w:val="0"/>
                <w:szCs w:val="21"/>
                <w:highlight w:val="none"/>
                <w:lang w:val="en-US" w:eastAsia="zh-CN"/>
              </w:rPr>
              <w:t>产品</w:t>
            </w:r>
            <w:r>
              <w:rPr>
                <w:rFonts w:hint="eastAsia" w:asciiTheme="minorEastAsia" w:hAnsiTheme="minorEastAsia" w:eastAsiaTheme="minorEastAsia" w:cstheme="minorEastAsia"/>
                <w:color w:val="auto"/>
                <w:kern w:val="0"/>
                <w:szCs w:val="21"/>
                <w:highlight w:val="none"/>
              </w:rPr>
              <w:t>退货方案</w:t>
            </w:r>
            <w:r>
              <w:rPr>
                <w:rFonts w:hint="eastAsia" w:asciiTheme="minorEastAsia" w:hAnsiTheme="minorEastAsia" w:eastAsiaTheme="minorEastAsia" w:cstheme="minorEastAsia"/>
                <w:color w:val="auto"/>
                <w:kern w:val="0"/>
                <w:szCs w:val="21"/>
                <w:highlight w:val="none"/>
                <w:lang w:eastAsia="zh-CN"/>
              </w:rPr>
              <w:t>；</w:t>
            </w:r>
          </w:p>
          <w:p w14:paraId="2D6CFD4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基于招标文件中的售后服务要求进行合理预判，并承诺</w:t>
            </w:r>
            <w:r>
              <w:rPr>
                <w:rFonts w:hint="eastAsia" w:asciiTheme="minorEastAsia" w:hAnsiTheme="minorEastAsia" w:eastAsiaTheme="minorEastAsia" w:cstheme="minorEastAsia"/>
                <w:color w:val="auto"/>
                <w:kern w:val="0"/>
                <w:szCs w:val="21"/>
                <w:highlight w:val="none"/>
                <w:lang w:eastAsia="zh-CN"/>
              </w:rPr>
              <w:t>）。</w:t>
            </w:r>
          </w:p>
          <w:p w14:paraId="4F7C0F29">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评审标准：</w:t>
            </w:r>
          </w:p>
          <w:p w14:paraId="18FF519B">
            <w:pPr>
              <w:pStyle w:val="5"/>
              <w:ind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kern w:val="0"/>
                <w:szCs w:val="21"/>
                <w:highlight w:val="none"/>
              </w:rPr>
              <w:t>售后服务方案</w:t>
            </w:r>
            <w:r>
              <w:rPr>
                <w:rFonts w:hint="eastAsia" w:asciiTheme="minorEastAsia" w:hAnsiTheme="minorEastAsia" w:eastAsiaTheme="minorEastAsia" w:cstheme="minorEastAsia"/>
                <w:color w:val="auto"/>
                <w:highlight w:val="none"/>
                <w:lang w:val="en-US" w:eastAsia="zh-CN"/>
              </w:rPr>
              <w:t>满足</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en-US" w:eastAsia="zh-CN"/>
              </w:rPr>
              <w:t>一点可得2分</w:t>
            </w:r>
            <w:r>
              <w:rPr>
                <w:rFonts w:hint="eastAsia" w:asciiTheme="minorEastAsia" w:hAnsiTheme="minorEastAsia" w:eastAsiaTheme="minorEastAsia" w:cstheme="minorEastAsia"/>
                <w:color w:val="auto"/>
                <w:highlight w:val="none"/>
              </w:rPr>
              <w:t>，全部满足得</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分，其余情况不得分。</w:t>
            </w:r>
          </w:p>
          <w:p w14:paraId="17241857">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在此基础上，评审委员会进行进一步评审：</w:t>
            </w:r>
          </w:p>
          <w:p w14:paraId="6CA0F33D">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全面，充分考虑突发情况的，</w:t>
            </w:r>
            <w:r>
              <w:rPr>
                <w:rFonts w:hint="eastAsia" w:asciiTheme="minorEastAsia" w:hAnsiTheme="minorEastAsia" w:eastAsiaTheme="minorEastAsia" w:cstheme="minorEastAsia"/>
                <w:color w:val="auto"/>
                <w:kern w:val="0"/>
                <w:szCs w:val="21"/>
                <w:highlight w:val="none"/>
              </w:rPr>
              <w:t>评价为优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分；</w:t>
            </w:r>
          </w:p>
          <w:p w14:paraId="64360891">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较合理，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可实施性较强，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较全面，较充分考虑突发情况的，</w:t>
            </w:r>
            <w:r>
              <w:rPr>
                <w:rFonts w:hint="eastAsia" w:asciiTheme="minorEastAsia" w:hAnsiTheme="minorEastAsia" w:eastAsiaTheme="minorEastAsia" w:cstheme="minorEastAsia"/>
                <w:color w:val="auto"/>
                <w:kern w:val="0"/>
                <w:szCs w:val="21"/>
                <w:highlight w:val="none"/>
              </w:rPr>
              <w:t>评价为良</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p w14:paraId="56A629E8">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基本合理，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可实施性一般，</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基本全面，基本考虑突发情况的，</w:t>
            </w:r>
            <w:r>
              <w:rPr>
                <w:rFonts w:hint="eastAsia" w:asciiTheme="minorEastAsia" w:hAnsiTheme="minorEastAsia" w:eastAsiaTheme="minorEastAsia" w:cstheme="minorEastAsia"/>
                <w:color w:val="auto"/>
                <w:kern w:val="0"/>
                <w:szCs w:val="21"/>
                <w:highlight w:val="none"/>
              </w:rPr>
              <w:t>评价为中</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w:t>
            </w:r>
          </w:p>
          <w:p w14:paraId="02EDA099">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（4）售后服务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不合理，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可实施性不强，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不全面，没有考虑突发情况的，</w:t>
            </w:r>
            <w:r>
              <w:rPr>
                <w:rFonts w:hint="eastAsia" w:asciiTheme="minorEastAsia" w:hAnsiTheme="minorEastAsia" w:eastAsiaTheme="minorEastAsia" w:cstheme="minorEastAsia"/>
                <w:color w:val="auto"/>
                <w:kern w:val="0"/>
                <w:szCs w:val="21"/>
                <w:highlight w:val="none"/>
              </w:rPr>
              <w:t>评价为差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不得</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p>
          <w:p w14:paraId="65B07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51A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4FDA">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17E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left"/>
              <w:textAlignment w:val="auto"/>
              <w:rPr>
                <w:rFonts w:hint="eastAsia" w:ascii="宋体" w:hAnsi="宋体" w:eastAsia="宋体" w:cs="宋体"/>
                <w:sz w:val="21"/>
                <w:szCs w:val="21"/>
                <w:highlight w:val="none"/>
              </w:rPr>
            </w:pPr>
            <w:r>
              <w:rPr>
                <w:rFonts w:hint="eastAsia" w:cs="宋体"/>
                <w:color w:val="000000"/>
                <w:sz w:val="21"/>
                <w:szCs w:val="21"/>
                <w:highlight w:val="none"/>
                <w:lang w:val="en-US" w:eastAsia="zh-CN"/>
              </w:rPr>
              <w:t>样品</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color w:val="000000"/>
                <w:sz w:val="21"/>
                <w:szCs w:val="21"/>
                <w:highlight w:val="none"/>
              </w:rPr>
              <w:t>（一）评</w:t>
            </w:r>
            <w:r>
              <w:rPr>
                <w:rFonts w:hint="eastAsia" w:eastAsia="宋体" w:cs="宋体"/>
                <w:b/>
                <w:bCs/>
                <w:color w:val="000000"/>
                <w:sz w:val="21"/>
                <w:szCs w:val="21"/>
                <w:highlight w:val="none"/>
                <w:lang w:val="en-US" w:eastAsia="zh-CN"/>
              </w:rPr>
              <w:t>审要求</w:t>
            </w:r>
            <w:r>
              <w:rPr>
                <w:rFonts w:hint="eastAsia" w:ascii="宋体" w:hAnsi="宋体" w:eastAsia="宋体" w:cs="宋体"/>
                <w:b/>
                <w:bCs/>
                <w:color w:val="000000"/>
                <w:sz w:val="21"/>
                <w:szCs w:val="21"/>
                <w:highlight w:val="none"/>
              </w:rPr>
              <w:t>：</w:t>
            </w:r>
          </w:p>
          <w:p w14:paraId="121782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投标人根据</w:t>
            </w:r>
            <w:r>
              <w:rPr>
                <w:rFonts w:hint="eastAsia" w:eastAsia="宋体" w:cs="宋体"/>
                <w:color w:val="000000"/>
                <w:sz w:val="21"/>
                <w:szCs w:val="21"/>
                <w:highlight w:val="none"/>
                <w:lang w:val="en-US" w:eastAsia="zh-CN"/>
              </w:rPr>
              <w:t>货品清单</w:t>
            </w:r>
            <w:r>
              <w:rPr>
                <w:rFonts w:hint="eastAsia" w:ascii="宋体" w:hAnsi="宋体" w:eastAsia="宋体" w:cs="宋体"/>
                <w:color w:val="000000"/>
                <w:sz w:val="21"/>
                <w:szCs w:val="21"/>
                <w:highlight w:val="none"/>
              </w:rPr>
              <w:t>提供样品</w:t>
            </w:r>
            <w:r>
              <w:rPr>
                <w:rFonts w:hint="eastAsia" w:cs="宋体"/>
                <w:color w:val="000000"/>
                <w:sz w:val="21"/>
                <w:szCs w:val="21"/>
                <w:highlight w:val="none"/>
                <w:lang w:eastAsia="zh-CN"/>
              </w:rPr>
              <w:t>，</w:t>
            </w:r>
            <w:r>
              <w:rPr>
                <w:rFonts w:hint="eastAsia" w:cs="宋体"/>
                <w:color w:val="000000"/>
                <w:sz w:val="21"/>
                <w:szCs w:val="21"/>
                <w:highlight w:val="none"/>
                <w:lang w:val="en-US" w:eastAsia="zh-CN"/>
              </w:rPr>
              <w:t>评审专家根据样品情况进行评审。</w:t>
            </w:r>
          </w:p>
          <w:p w14:paraId="1D61EEAA">
            <w:pPr>
              <w:pStyle w:val="15"/>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w:t>
            </w:r>
            <w:r>
              <w:rPr>
                <w:rFonts w:hint="eastAsia" w:eastAsia="宋体" w:cs="宋体"/>
                <w:b/>
                <w:bCs/>
                <w:color w:val="000000"/>
                <w:sz w:val="21"/>
                <w:szCs w:val="21"/>
                <w:highlight w:val="none"/>
                <w:lang w:val="en-US" w:eastAsia="zh-CN"/>
              </w:rPr>
              <w:t>审</w:t>
            </w:r>
            <w:r>
              <w:rPr>
                <w:rFonts w:hint="eastAsia" w:cs="宋体"/>
                <w:b/>
                <w:bCs/>
                <w:color w:val="000000"/>
                <w:sz w:val="21"/>
                <w:szCs w:val="21"/>
                <w:highlight w:val="none"/>
                <w:lang w:val="en-US" w:eastAsia="zh-CN"/>
              </w:rPr>
              <w:t>标准</w:t>
            </w:r>
            <w:r>
              <w:rPr>
                <w:rFonts w:hint="eastAsia" w:ascii="宋体" w:hAnsi="宋体" w:eastAsia="宋体" w:cs="宋体"/>
                <w:b/>
                <w:bCs/>
                <w:color w:val="000000"/>
                <w:sz w:val="21"/>
                <w:szCs w:val="21"/>
                <w:highlight w:val="none"/>
              </w:rPr>
              <w:t>：</w:t>
            </w:r>
          </w:p>
          <w:p w14:paraId="7074E742">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val="en-US" w:eastAsia="zh-CN"/>
              </w:rPr>
              <w:t>1、投标人提供样品得6分</w:t>
            </w:r>
            <w:r>
              <w:rPr>
                <w:rFonts w:hint="eastAsia" w:ascii="宋体" w:hAnsi="宋体" w:eastAsia="宋体" w:cs="宋体"/>
                <w:color w:val="000000"/>
                <w:sz w:val="21"/>
                <w:szCs w:val="21"/>
                <w:highlight w:val="none"/>
                <w:lang w:val="en-US" w:eastAsia="zh-CN"/>
              </w:rPr>
              <w:t>，</w:t>
            </w:r>
            <w:r>
              <w:rPr>
                <w:rFonts w:hint="eastAsia" w:cs="宋体"/>
                <w:color w:val="000000"/>
                <w:sz w:val="21"/>
                <w:szCs w:val="21"/>
                <w:highlight w:val="none"/>
                <w:lang w:val="en-US" w:eastAsia="zh-CN"/>
              </w:rPr>
              <w:t>未</w:t>
            </w:r>
            <w:r>
              <w:rPr>
                <w:rFonts w:hint="eastAsia" w:ascii="宋体" w:hAnsi="宋体" w:eastAsia="宋体" w:cs="宋体"/>
                <w:color w:val="000000"/>
                <w:sz w:val="21"/>
                <w:szCs w:val="21"/>
                <w:highlight w:val="none"/>
              </w:rPr>
              <w:t>提供</w:t>
            </w:r>
            <w:r>
              <w:rPr>
                <w:rFonts w:hint="eastAsia" w:cs="宋体"/>
                <w:color w:val="000000"/>
                <w:sz w:val="21"/>
                <w:szCs w:val="21"/>
                <w:highlight w:val="none"/>
                <w:lang w:val="en-US" w:eastAsia="zh-CN"/>
              </w:rPr>
              <w:t>样品的本项</w:t>
            </w:r>
            <w:r>
              <w:rPr>
                <w:rFonts w:hint="eastAsia" w:ascii="宋体" w:hAnsi="宋体" w:eastAsia="宋体" w:cs="宋体"/>
                <w:color w:val="000000"/>
                <w:sz w:val="21"/>
                <w:szCs w:val="21"/>
                <w:highlight w:val="none"/>
              </w:rPr>
              <w:t>不得分</w:t>
            </w:r>
            <w:r>
              <w:rPr>
                <w:rFonts w:hint="eastAsia" w:ascii="宋体" w:hAnsi="宋体" w:eastAsia="宋体" w:cs="宋体"/>
                <w:color w:val="000000"/>
                <w:sz w:val="21"/>
                <w:szCs w:val="21"/>
                <w:highlight w:val="none"/>
                <w:lang w:eastAsia="zh-CN"/>
              </w:rPr>
              <w:t>。</w:t>
            </w:r>
          </w:p>
          <w:p w14:paraId="629D20C6">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rPr>
              <w:t>在此基础上，</w:t>
            </w:r>
            <w:r>
              <w:rPr>
                <w:rFonts w:hint="eastAsia" w:cs="宋体"/>
                <w:color w:val="000000"/>
                <w:sz w:val="21"/>
                <w:szCs w:val="21"/>
                <w:highlight w:val="none"/>
                <w:lang w:val="en-US" w:eastAsia="zh-CN"/>
              </w:rPr>
              <w:t>评审专家根据样品质量情况</w:t>
            </w:r>
            <w:r>
              <w:rPr>
                <w:rFonts w:hint="eastAsia" w:ascii="宋体" w:hAnsi="宋体" w:eastAsia="宋体" w:cs="宋体"/>
                <w:color w:val="000000"/>
                <w:sz w:val="21"/>
                <w:szCs w:val="21"/>
                <w:highlight w:val="none"/>
              </w:rPr>
              <w:t>进行评分：</w:t>
            </w:r>
          </w:p>
          <w:p w14:paraId="41B4553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1</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w:t>
            </w:r>
            <w:r>
              <w:rPr>
                <w:rFonts w:hint="eastAsia" w:cs="宋体"/>
                <w:color w:val="auto"/>
                <w:kern w:val="2"/>
                <w:sz w:val="21"/>
                <w:szCs w:val="21"/>
                <w:highlight w:val="none"/>
                <w:lang w:val="en-US" w:eastAsia="zh-CN" w:bidi="ar-SA"/>
              </w:rPr>
              <w:t>与</w:t>
            </w:r>
            <w:r>
              <w:rPr>
                <w:rFonts w:hint="eastAsia" w:ascii="宋体" w:hAnsi="宋体" w:eastAsia="宋体" w:cs="宋体"/>
                <w:color w:val="auto"/>
                <w:kern w:val="2"/>
                <w:sz w:val="21"/>
                <w:szCs w:val="21"/>
                <w:highlight w:val="none"/>
                <w:lang w:val="en-US" w:eastAsia="zh-CN" w:bidi="ar-SA"/>
              </w:rPr>
              <w:t>制作水平先进、实用性强、创新性高，完全满足招标文件要求的，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为优</w:t>
            </w:r>
            <w:r>
              <w:rPr>
                <w:rFonts w:hint="eastAsia" w:ascii="宋体" w:hAnsi="宋体" w:eastAsia="宋体" w:cs="宋体"/>
                <w:color w:val="000000"/>
                <w:sz w:val="21"/>
                <w:szCs w:val="21"/>
                <w:highlight w:val="none"/>
              </w:rPr>
              <w:t>，加</w:t>
            </w:r>
            <w:r>
              <w:rPr>
                <w:rFonts w:hint="eastAsia"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14:paraId="67231A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2</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制作工艺与制作水平比较先进、实用性较强、创新性较高，基本满足招标文件要求的，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为良</w:t>
            </w:r>
            <w:r>
              <w:rPr>
                <w:rFonts w:hint="eastAsia" w:ascii="宋体" w:hAnsi="宋体" w:eastAsia="宋体" w:cs="宋体"/>
                <w:color w:val="000000"/>
                <w:sz w:val="21"/>
                <w:szCs w:val="21"/>
                <w:highlight w:val="none"/>
              </w:rPr>
              <w:t>，加</w:t>
            </w: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14:paraId="412422B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3</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制作工艺与制作水平一般，实用性和创新性一般，基本满足招标文件要求的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为中，</w:t>
            </w:r>
            <w:r>
              <w:rPr>
                <w:rFonts w:hint="eastAsia" w:ascii="宋体" w:hAnsi="宋体" w:eastAsia="宋体" w:cs="宋体"/>
                <w:color w:val="000000"/>
                <w:sz w:val="21"/>
                <w:szCs w:val="21"/>
                <w:highlight w:val="none"/>
              </w:rPr>
              <w:t>加</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726E0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制作工艺与制作水平落后，实用性和创新性较差，不能满足招标需求及招标方样品的</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评审为差，</w:t>
            </w:r>
            <w:r>
              <w:rPr>
                <w:rFonts w:hint="eastAsia" w:ascii="宋体" w:hAnsi="宋体" w:eastAsia="宋体" w:cs="宋体"/>
                <w:color w:val="000000"/>
                <w:sz w:val="21"/>
                <w:szCs w:val="21"/>
                <w:highlight w:val="none"/>
              </w:rPr>
              <w:t>不加分</w:t>
            </w:r>
            <w:r>
              <w:rPr>
                <w:rFonts w:hint="eastAsia" w:ascii="宋体" w:hAnsi="宋体" w:eastAsia="宋体" w:cs="宋体"/>
                <w:color w:val="000000"/>
                <w:sz w:val="21"/>
                <w:szCs w:val="21"/>
                <w:highlight w:val="none"/>
                <w:lang w:eastAsia="zh-CN"/>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B5A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0" w:type="dxa"/>
            <w:vMerge w:val="restart"/>
            <w:tcBorders>
              <w:top w:val="single" w:color="000000" w:sz="4" w:space="0"/>
              <w:left w:val="single" w:color="000000" w:sz="4" w:space="0"/>
              <w:right w:val="single" w:color="000000" w:sz="4" w:space="0"/>
            </w:tcBorders>
            <w:shd w:val="clear" w:color="auto" w:fill="auto"/>
            <w:vAlign w:val="center"/>
          </w:tcPr>
          <w:p w14:paraId="1F146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E479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BCA6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C9F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3BA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013D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90D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7B73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3312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D44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C19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kern w:val="0"/>
                <w:sz w:val="21"/>
                <w:szCs w:val="21"/>
                <w:highlight w:val="none"/>
                <w:lang w:val="en-US" w:eastAsia="zh-CN" w:bidi="ar-SA"/>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19B">
            <w:pPr>
              <w:keepNext w:val="0"/>
              <w:keepLines w:val="0"/>
              <w:widowControl/>
              <w:suppressLineNumbers w:val="0"/>
              <w:jc w:val="left"/>
              <w:textAlignment w:val="center"/>
              <w:rPr>
                <w:rFonts w:hint="default" w:cs="宋体"/>
                <w:color w:val="000000"/>
                <w:sz w:val="21"/>
                <w:szCs w:val="21"/>
                <w:highlight w:val="none"/>
                <w:lang w:val="en-US" w:eastAsia="zh-CN"/>
              </w:rPr>
            </w:pPr>
            <w:r>
              <w:rPr>
                <w:rFonts w:hint="eastAsia" w:cs="宋体"/>
                <w:color w:val="000000"/>
                <w:sz w:val="21"/>
                <w:szCs w:val="21"/>
                <w:highlight w:val="none"/>
                <w:lang w:val="en-US" w:eastAsia="zh-CN"/>
              </w:rPr>
              <w:t>有效业绩</w:t>
            </w:r>
          </w:p>
          <w:p w14:paraId="6B20D19F">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5E851B30">
            <w:pPr>
              <w:keepNext w:val="0"/>
              <w:keepLines w:val="0"/>
              <w:pageBreakBefore w:val="0"/>
              <w:widowControl w:val="0"/>
              <w:kinsoku/>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投标人自</w:t>
            </w:r>
            <w:r>
              <w:rPr>
                <w:rFonts w:ascii="宋体" w:hAnsi="宋体" w:eastAsia="宋体" w:cs="宋体"/>
                <w:kern w:val="2"/>
                <w:sz w:val="21"/>
                <w:szCs w:val="21"/>
                <w:highlight w:val="none"/>
                <w:lang w:val="en-US" w:eastAsia="zh-CN" w:bidi="ar-SA"/>
              </w:rPr>
              <w:t>202</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年1月1日至本项目投标截止之日（以合同签订日期为准）完成的</w:t>
            </w:r>
            <w:r>
              <w:rPr>
                <w:rFonts w:hint="eastAsia" w:ascii="Times New Roman" w:hAnsi="Times New Roman" w:eastAsia="宋体" w:cs="Times New Roman"/>
                <w:kern w:val="2"/>
                <w:sz w:val="21"/>
                <w:szCs w:val="24"/>
                <w:highlight w:val="none"/>
                <w:lang w:val="en-US" w:eastAsia="zh-CN" w:bidi="ar-SA"/>
              </w:rPr>
              <w:t>医院或大学以及其他科研单位的</w:t>
            </w:r>
            <w:r>
              <w:rPr>
                <w:rFonts w:hint="eastAsia" w:ascii="宋体" w:hAnsi="宋体" w:eastAsia="宋体" w:cs="宋体"/>
                <w:sz w:val="21"/>
                <w:szCs w:val="21"/>
                <w:highlight w:val="none"/>
              </w:rPr>
              <w:t>同类产品</w:t>
            </w:r>
            <w:r>
              <w:rPr>
                <w:rFonts w:hint="eastAsia" w:ascii="宋体" w:hAnsi="宋体" w:cs="宋体"/>
                <w:sz w:val="21"/>
                <w:szCs w:val="21"/>
                <w:highlight w:val="none"/>
                <w:lang w:eastAsia="zh-CN"/>
              </w:rPr>
              <w:t>的</w:t>
            </w:r>
            <w:r>
              <w:rPr>
                <w:rFonts w:hint="eastAsia" w:ascii="宋体" w:hAnsi="宋体" w:eastAsia="宋体" w:cs="宋体"/>
                <w:sz w:val="21"/>
                <w:szCs w:val="21"/>
                <w:highlight w:val="none"/>
              </w:rPr>
              <w:t>供货业绩</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每提供一份</w:t>
            </w:r>
            <w:r>
              <w:rPr>
                <w:rFonts w:hint="eastAsia" w:ascii="宋体" w:hAnsi="宋体" w:cs="宋体"/>
                <w:sz w:val="21"/>
                <w:szCs w:val="21"/>
                <w:highlight w:val="none"/>
                <w:lang w:val="en-US" w:eastAsia="zh-CN"/>
              </w:rPr>
              <w:t>有效业绩</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分，最高得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需本投标单位出具的有效发票或合同，若非本投标单位出具的发票或合同，做无效处理，不得分。</w:t>
            </w:r>
          </w:p>
          <w:p w14:paraId="7139DCDC">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1578C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rPr>
              <w:t>提供发票或合同证明复印件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或截图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加盖公章。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F2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200" w:type="dxa"/>
            <w:vMerge w:val="continue"/>
            <w:tcBorders>
              <w:left w:val="single" w:color="000000" w:sz="4" w:space="0"/>
              <w:right w:val="single" w:color="000000" w:sz="4" w:space="0"/>
            </w:tcBorders>
            <w:shd w:val="clear" w:color="auto" w:fill="auto"/>
            <w:vAlign w:val="center"/>
          </w:tcPr>
          <w:p w14:paraId="7EB27A87">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4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A555">
            <w:pPr>
              <w:keepNext w:val="0"/>
              <w:keepLines w:val="0"/>
              <w:pageBreakBefore w:val="0"/>
              <w:kinsoku/>
              <w:overflowPunct/>
              <w:topLinePunct w:val="0"/>
              <w:autoSpaceDE/>
              <w:autoSpaceDN/>
              <w:bidi w:val="0"/>
              <w:adjustRightInd/>
              <w:spacing w:line="240" w:lineRule="auto"/>
              <w:textAlignment w:val="auto"/>
              <w:rPr>
                <w:rFonts w:hint="default" w:ascii="宋体" w:hAnsi="宋体"/>
                <w:szCs w:val="21"/>
                <w:highlight w:val="none"/>
                <w:lang w:val="en-US" w:eastAsia="zh-CN"/>
              </w:rPr>
            </w:pPr>
            <w:r>
              <w:rPr>
                <w:rFonts w:hint="eastAsia" w:ascii="宋体" w:hAnsi="宋体"/>
                <w:szCs w:val="21"/>
                <w:highlight w:val="none"/>
                <w:lang w:val="en-US" w:eastAsia="zh-CN"/>
              </w:rPr>
              <w:t>履约评价</w:t>
            </w:r>
          </w:p>
          <w:p w14:paraId="473070CB">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57CD1357">
            <w:pPr>
              <w:keepNext w:val="0"/>
              <w:keepLines w:val="0"/>
              <w:pageBreakBefore w:val="0"/>
              <w:kinsoku/>
              <w:overflowPunct/>
              <w:topLinePunct w:val="0"/>
              <w:autoSpaceDE/>
              <w:autoSpaceDN/>
              <w:bidi w:val="0"/>
              <w:adjustRightInd/>
              <w:spacing w:line="240" w:lineRule="auto"/>
              <w:textAlignment w:val="auto"/>
              <w:rPr>
                <w:rFonts w:ascii="宋体" w:hAnsi="宋体"/>
                <w:szCs w:val="21"/>
                <w:highlight w:val="none"/>
              </w:rPr>
            </w:pPr>
            <w:r>
              <w:rPr>
                <w:rFonts w:hint="eastAsia" w:ascii="宋体" w:hAnsi="宋体"/>
                <w:szCs w:val="21"/>
                <w:highlight w:val="none"/>
              </w:rPr>
              <w:t>投标人</w:t>
            </w:r>
            <w:r>
              <w:rPr>
                <w:rFonts w:hint="eastAsia" w:ascii="宋体" w:hAnsi="宋体"/>
                <w:szCs w:val="21"/>
                <w:highlight w:val="none"/>
                <w:lang w:val="en-US" w:eastAsia="zh-CN"/>
              </w:rPr>
              <w:t>在</w:t>
            </w:r>
            <w:r>
              <w:rPr>
                <w:rFonts w:hint="eastAsia" w:ascii="宋体" w:hAnsi="宋体"/>
                <w:szCs w:val="21"/>
                <w:highlight w:val="none"/>
              </w:rPr>
              <w:t>提供上述经评审有效的业绩中，能够提供用户出具的履约评价书，且评价为优或满意以上的，每份得1分；最高得5分。不提供或者不能有效证明的，得0分。</w:t>
            </w:r>
          </w:p>
          <w:p w14:paraId="05B40E31">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69CD5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szCs w:val="21"/>
                <w:highlight w:val="none"/>
              </w:rPr>
              <w:t>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4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1200" w:type="dxa"/>
            <w:vMerge w:val="continue"/>
            <w:tcBorders>
              <w:left w:val="single" w:color="000000" w:sz="4" w:space="0"/>
              <w:right w:val="single" w:color="000000" w:sz="4" w:space="0"/>
            </w:tcBorders>
            <w:shd w:val="clear" w:color="auto" w:fill="auto"/>
            <w:vAlign w:val="center"/>
          </w:tcPr>
          <w:p w14:paraId="16A93A2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92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Cs w:val="21"/>
                <w:highlight w:val="none"/>
                <w:lang w:val="en-US" w:eastAsia="zh-CN"/>
              </w:rPr>
              <w:t xml:space="preserve">仓储、运输能力  </w:t>
            </w:r>
            <w:r>
              <w:rPr>
                <w:rFonts w:hint="eastAsia" w:ascii="宋体" w:hAnsi="宋体" w:eastAsia="宋体" w:cs="宋体"/>
                <w:i w:val="0"/>
                <w:iCs w:val="0"/>
                <w:color w:val="000000"/>
                <w:kern w:val="0"/>
                <w:sz w:val="22"/>
                <w:szCs w:val="22"/>
                <w:u w:val="none"/>
                <w:lang w:val="en-US" w:eastAsia="zh-CN" w:bidi="ar"/>
              </w:rPr>
              <w:t xml:space="preserve">      </w:t>
            </w:r>
          </w:p>
          <w:p w14:paraId="065CF543">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4735E8F6">
            <w:pPr>
              <w:keepNext w:val="0"/>
              <w:keepLines w:val="0"/>
              <w:pageBreakBefore w:val="0"/>
              <w:kinsoku/>
              <w:overflowPunct/>
              <w:topLinePunct w:val="0"/>
              <w:autoSpaceDE/>
              <w:autoSpaceDN/>
              <w:bidi w:val="0"/>
              <w:adjustRightInd/>
              <w:spacing w:line="240" w:lineRule="auto"/>
              <w:textAlignment w:val="auto"/>
              <w:rPr>
                <w:rFonts w:hint="eastAsia" w:ascii="宋体" w:hAnsi="宋体"/>
                <w:szCs w:val="21"/>
                <w:highlight w:val="none"/>
                <w:lang w:val="en-US" w:eastAsia="zh-CN"/>
              </w:rPr>
            </w:pPr>
            <w:r>
              <w:rPr>
                <w:rFonts w:hint="eastAsia" w:ascii="宋体" w:hAnsi="宋体"/>
                <w:szCs w:val="21"/>
                <w:highlight w:val="none"/>
                <w:lang w:val="en-US" w:eastAsia="zh-CN"/>
              </w:rPr>
              <w:t>1、投标人自有或租赁仓库的，得2分。</w:t>
            </w:r>
            <w:r>
              <w:rPr>
                <w:rFonts w:hint="eastAsia" w:ascii="宋体" w:hAnsi="宋体"/>
                <w:szCs w:val="21"/>
                <w:highlight w:val="none"/>
                <w:lang w:val="en-US" w:eastAsia="zh-CN"/>
              </w:rPr>
              <w:br w:type="textWrapping"/>
            </w:r>
            <w:r>
              <w:rPr>
                <w:rFonts w:hint="eastAsia" w:ascii="宋体" w:hAnsi="宋体"/>
                <w:szCs w:val="21"/>
                <w:highlight w:val="none"/>
                <w:lang w:val="en-US" w:eastAsia="zh-CN"/>
              </w:rPr>
              <w:t>2、根据投标人仓库容积进行综合评审，面积最大的为第一名，以此类推，第一名得5分，第二名得3分，第三名得2分，第四名及以后得1分。投标时请提供相关证明材料。</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3、投标人运输车辆：拟投入一辆运输车辆得1分，最高得3分。无正规运输车辆，不得分。</w:t>
            </w:r>
          </w:p>
          <w:p w14:paraId="535D8315">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64E11776">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1、需提供自有产权或租赁相关证明材料，未提供或提供资料无法判断的，该项不得分。</w:t>
            </w:r>
          </w:p>
          <w:p w14:paraId="3DE74AE5">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2、以房产证或租赁合同内载明的容积为准，如未提供或资料不完整，该项不得分。</w:t>
            </w:r>
          </w:p>
          <w:p w14:paraId="13541195">
            <w:pPr>
              <w:keepNext w:val="0"/>
              <w:keepLines w:val="0"/>
              <w:pageBreakBefore w:val="0"/>
              <w:kinsoku/>
              <w:wordWrap w:val="0"/>
              <w:overflowPunct/>
              <w:topLinePunct w:val="0"/>
              <w:autoSpaceDE/>
              <w:autoSpaceDN/>
              <w:bidi w:val="0"/>
              <w:adjustRightInd/>
              <w:snapToGrid w:val="0"/>
              <w:spacing w:line="240" w:lineRule="auto"/>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3、房产证或租赁合同内的租赁用途需为仓储，其余用途不得分。</w:t>
            </w:r>
          </w:p>
          <w:p w14:paraId="1AA02C04">
            <w:pPr>
              <w:keepNext w:val="0"/>
              <w:keepLines w:val="0"/>
              <w:pageBreakBefore w:val="0"/>
              <w:kinsoku/>
              <w:wordWrap w:val="0"/>
              <w:overflowPunct/>
              <w:topLinePunct w:val="0"/>
              <w:autoSpaceDE/>
              <w:autoSpaceDN/>
              <w:bidi w:val="0"/>
              <w:adjustRightInd/>
              <w:snapToGrid w:val="0"/>
              <w:spacing w:line="240" w:lineRule="auto"/>
              <w:textAlignment w:val="auto"/>
              <w:rPr>
                <w:rFonts w:hint="eastAsia"/>
              </w:rPr>
            </w:pPr>
            <w:r>
              <w:rPr>
                <w:rFonts w:hint="eastAsia" w:ascii="宋体" w:hAnsi="宋体" w:cs="宋体"/>
                <w:szCs w:val="21"/>
                <w:highlight w:val="none"/>
                <w:lang w:val="en-US" w:eastAsia="zh-CN"/>
              </w:rPr>
              <w:t>4、提供相关车辆的行驶证或采购合同或购买发票或者授权文件。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65B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0" w:type="dxa"/>
            <w:vMerge w:val="continue"/>
            <w:tcBorders>
              <w:left w:val="single" w:color="000000" w:sz="4" w:space="0"/>
              <w:bottom w:val="nil"/>
              <w:right w:val="single" w:color="000000" w:sz="4" w:space="0"/>
            </w:tcBorders>
            <w:shd w:val="clear" w:color="auto" w:fill="auto"/>
            <w:vAlign w:val="center"/>
          </w:tcPr>
          <w:p w14:paraId="20CF0FE1">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38CA">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b/>
                <w:szCs w:val="21"/>
                <w:highlight w:val="none"/>
              </w:rPr>
            </w:pPr>
            <w:r>
              <w:rPr>
                <w:rFonts w:hint="eastAsia" w:ascii="宋体" w:hAnsi="宋体" w:cs="宋体"/>
                <w:kern w:val="0"/>
                <w:szCs w:val="21"/>
                <w:highlight w:val="none"/>
              </w:rPr>
              <w:t>诚信</w:t>
            </w:r>
          </w:p>
          <w:p w14:paraId="20AC3867">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一</w:t>
            </w:r>
            <w:r>
              <w:rPr>
                <w:rFonts w:hint="eastAsia" w:ascii="宋体" w:hAnsi="宋体" w:cs="宋体"/>
                <w:b/>
                <w:szCs w:val="21"/>
                <w:highlight w:val="none"/>
                <w:lang w:eastAsia="zh-CN"/>
              </w:rPr>
              <w:t>）</w:t>
            </w:r>
            <w:r>
              <w:rPr>
                <w:rFonts w:hint="eastAsia" w:ascii="宋体" w:hAnsi="宋体" w:cs="宋体"/>
                <w:b/>
                <w:szCs w:val="21"/>
                <w:highlight w:val="none"/>
              </w:rPr>
              <w:t>评分内容：</w:t>
            </w:r>
          </w:p>
          <w:p w14:paraId="47D171E4">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szCs w:val="21"/>
                <w:highlight w:val="none"/>
              </w:rPr>
            </w:pPr>
            <w:r>
              <w:rPr>
                <w:rFonts w:hint="eastAsia" w:ascii="宋体" w:hAnsi="宋体" w:cs="宋体"/>
                <w:szCs w:val="21"/>
                <w:highlight w:val="none"/>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b/>
                <w:szCs w:val="21"/>
                <w:highlight w:val="none"/>
              </w:rPr>
            </w:pPr>
            <w:r>
              <w:rPr>
                <w:rFonts w:hint="eastAsia" w:ascii="宋体" w:hAnsi="宋体" w:cs="宋体"/>
                <w:b/>
                <w:szCs w:val="21"/>
                <w:highlight w:val="none"/>
              </w:rPr>
              <w:t xml:space="preserve">（二）评分依据： </w:t>
            </w:r>
          </w:p>
          <w:p w14:paraId="5CA696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Cs w:val="21"/>
                <w:highlight w:val="none"/>
              </w:rPr>
              <w:t>投标人无需提供任何证明材料，由工作人员向评审委员会提供相关信息。</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C9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7836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szCs w:val="21"/>
                <w:highlight w:val="none"/>
                <w:lang w:val="en-US" w:eastAsia="zh-CN"/>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 xml:space="preserve">采用低价优先法计算，即满足招标文件要求且投标价格最低的投标报价为评标基准价，其价格分为满分。其他投标人的价格分统一按照下列公式计算： </w:t>
            </w:r>
          </w:p>
          <w:p w14:paraId="51FA1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themeColor="text1"/>
                <w:szCs w:val="21"/>
                <w:highlight w:val="none"/>
                <w14:textFill>
                  <w14:solidFill>
                    <w14:schemeClr w14:val="tx1"/>
                  </w14:solidFill>
                </w14:textFill>
              </w:rPr>
              <w:t>投标报价得分=(评标基准价／投标报价)×</w:t>
            </w:r>
            <w:r>
              <w:rPr>
                <w:rFonts w:hint="eastAsia" w:ascii="宋体" w:hAnsi="宋体" w:cs="宋体"/>
                <w:b/>
                <w:bCs/>
                <w:color w:val="000000" w:themeColor="text1"/>
                <w:szCs w:val="21"/>
                <w:highlight w:val="none"/>
                <w:lang w:val="en-US" w:eastAsia="zh-CN"/>
                <w14:textFill>
                  <w14:solidFill>
                    <w14:schemeClr w14:val="tx1"/>
                  </w14:solidFill>
                </w14:textFill>
              </w:rPr>
              <w:t>30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875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E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26098853">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DA86940-DD56-40B0-A3C6-55FD5343174D}"/>
  </w:font>
  <w:font w:name="黑体">
    <w:panose1 w:val="02010609060101010101"/>
    <w:charset w:val="86"/>
    <w:family w:val="auto"/>
    <w:pitch w:val="default"/>
    <w:sig w:usb0="800002BF" w:usb1="38CF7CFA" w:usb2="00000016" w:usb3="00000000" w:csb0="00040001" w:csb1="00000000"/>
    <w:embedRegular r:id="rId2" w:fontKey="{4CE4B409-30A2-4DCF-B3EB-DEED495AB7CD}"/>
  </w:font>
  <w:font w:name="Courier New">
    <w:panose1 w:val="02070309020205020404"/>
    <w:charset w:val="01"/>
    <w:family w:val="modern"/>
    <w:pitch w:val="default"/>
    <w:sig w:usb0="E0002EFF" w:usb1="C0007843" w:usb2="00000009" w:usb3="00000000" w:csb0="400001FF" w:csb1="FFFF0000"/>
    <w:embedRegular r:id="rId3" w:fontKey="{15853294-CB31-43FF-AAD3-663129C9AEA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9E1BC279-8228-4BBA-9B2F-40B955A7B94E}"/>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5" w:fontKey="{6B8100B1-D367-4FA9-AC95-E3551B85CB67}"/>
  </w:font>
  <w:font w:name="Tahoma">
    <w:panose1 w:val="020B0604030504040204"/>
    <w:charset w:val="00"/>
    <w:family w:val="auto"/>
    <w:pitch w:val="default"/>
    <w:sig w:usb0="E1002EFF" w:usb1="C000605B" w:usb2="00000029" w:usb3="00000000" w:csb0="200101FF" w:csb1="20280000"/>
    <w:embedRegular r:id="rId6" w:fontKey="{4C03BC10-74D3-44F8-8D5D-7E87DFFC2D40}"/>
  </w:font>
  <w:font w:name="仿宋_GB2312">
    <w:panose1 w:val="02010609030101010101"/>
    <w:charset w:val="86"/>
    <w:family w:val="auto"/>
    <w:pitch w:val="default"/>
    <w:sig w:usb0="00000001" w:usb1="080E0000" w:usb2="00000000" w:usb3="00000000" w:csb0="00040000" w:csb1="00000000"/>
    <w:embedRegular r:id="rId7" w:fontKey="{369275AE-5D5B-493F-9193-2DF65A447317}"/>
  </w:font>
  <w:font w:name="Wingdings 2">
    <w:panose1 w:val="05020102010507070707"/>
    <w:charset w:val="00"/>
    <w:family w:val="auto"/>
    <w:pitch w:val="default"/>
    <w:sig w:usb0="00000000" w:usb1="00000000" w:usb2="00000000" w:usb3="00000000" w:csb0="80000000" w:csb1="00000000"/>
    <w:embedRegular r:id="rId8" w:fontKey="{FE452571-2D59-42B4-8B16-EA6D28189EE8}"/>
  </w:font>
  <w:font w:name="方正仿宋_GBK">
    <w:altName w:val="微软雅黑"/>
    <w:panose1 w:val="00000000000000000000"/>
    <w:charset w:val="86"/>
    <w:family w:val="auto"/>
    <w:pitch w:val="default"/>
    <w:sig w:usb0="00000000" w:usb1="00000000" w:usb2="00000000" w:usb3="00000000" w:csb0="00040000" w:csb1="00000000"/>
    <w:embedRegular r:id="rId9" w:fontKey="{E26EB8A1-8B02-44C9-BEE3-0357BDD60C59}"/>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10" w:fontKey="{7B9E1957-3020-4C2A-9F51-4AAC9F3B7B67}"/>
  </w:font>
  <w:font w:name="方正小标宋_GBK">
    <w:panose1 w:val="02000000000000000000"/>
    <w:charset w:val="86"/>
    <w:family w:val="script"/>
    <w:pitch w:val="default"/>
    <w:sig w:usb0="A00002BF" w:usb1="38CF7CFA" w:usb2="00082016" w:usb3="00000000" w:csb0="00040001" w:csb1="00000000"/>
    <w:embedRegular r:id="rId11" w:fontKey="{BEB6C2F0-DA85-4843-99B1-6E965729DC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1"/>
      <w:jc w:val="center"/>
      <w:rPr>
        <w:rStyle w:val="20"/>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1"/>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1"/>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5AE7A01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2"/>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760F9"/>
    <w:multiLevelType w:val="singleLevel"/>
    <w:tmpl w:val="9CE760F9"/>
    <w:lvl w:ilvl="0" w:tentative="0">
      <w:start w:val="2"/>
      <w:numFmt w:val="chineseCounting"/>
      <w:suff w:val="nothing"/>
      <w:lvlText w:val="（%1）"/>
      <w:lvlJc w:val="left"/>
      <w:rPr>
        <w:rFonts w:hint="eastAsia"/>
      </w:rPr>
    </w:lvl>
  </w:abstractNum>
  <w:abstractNum w:abstractNumId="1">
    <w:nsid w:val="C2FF3313"/>
    <w:multiLevelType w:val="singleLevel"/>
    <w:tmpl w:val="C2FF3313"/>
    <w:lvl w:ilvl="0" w:tentative="0">
      <w:start w:val="3"/>
      <w:numFmt w:val="chineseCounting"/>
      <w:suff w:val="space"/>
      <w:lvlText w:val="（%1）"/>
      <w:lvlJc w:val="left"/>
      <w:rPr>
        <w:rFonts w:hint="eastAsia"/>
      </w:rPr>
    </w:lvl>
  </w:abstractNum>
  <w:abstractNum w:abstractNumId="2">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D6D61694"/>
    <w:multiLevelType w:val="singleLevel"/>
    <w:tmpl w:val="D6D61694"/>
    <w:lvl w:ilvl="0" w:tentative="0">
      <w:start w:val="1"/>
      <w:numFmt w:val="chineseCounting"/>
      <w:suff w:val="nothing"/>
      <w:lvlText w:val="（%1）"/>
      <w:lvlJc w:val="left"/>
      <w:rPr>
        <w:rFonts w:hint="eastAsia"/>
      </w:rPr>
    </w:lvl>
  </w:abstractNum>
  <w:abstractNum w:abstractNumId="4">
    <w:nsid w:val="0B8F3126"/>
    <w:multiLevelType w:val="singleLevel"/>
    <w:tmpl w:val="0B8F3126"/>
    <w:lvl w:ilvl="0" w:tentative="0">
      <w:start w:val="3"/>
      <w:numFmt w:val="chineseCounting"/>
      <w:suff w:val="nothing"/>
      <w:lvlText w:val="%1、"/>
      <w:lvlJc w:val="left"/>
      <w:rPr>
        <w:rFonts w:hint="eastAsia"/>
      </w:r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7E85C6F"/>
    <w:multiLevelType w:val="singleLevel"/>
    <w:tmpl w:val="37E85C6F"/>
    <w:lvl w:ilvl="0" w:tentative="0">
      <w:start w:val="1"/>
      <w:numFmt w:val="decimal"/>
      <w:lvlText w:val="%1."/>
      <w:lvlJc w:val="left"/>
      <w:pPr>
        <w:tabs>
          <w:tab w:val="left" w:pos="312"/>
        </w:tabs>
      </w:pPr>
      <w:rPr>
        <w:rFonts w:hint="default" w:ascii="宋体" w:hAnsi="宋体" w:eastAsia="宋体" w:cs="宋体"/>
        <w:b/>
        <w:bCs/>
      </w:rPr>
    </w:lvl>
  </w:abstractNum>
  <w:abstractNum w:abstractNumId="7">
    <w:nsid w:val="40EC10D5"/>
    <w:multiLevelType w:val="singleLevel"/>
    <w:tmpl w:val="40EC10D5"/>
    <w:lvl w:ilvl="0" w:tentative="0">
      <w:start w:val="1"/>
      <w:numFmt w:val="chineseCounting"/>
      <w:suff w:val="space"/>
      <w:lvlText w:val="第%1章"/>
      <w:lvlJc w:val="left"/>
      <w:rPr>
        <w:rFonts w:hint="eastAsia"/>
      </w:rPr>
    </w:lvl>
  </w:abstractNum>
  <w:abstractNum w:abstractNumId="8">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07A66DD"/>
    <w:multiLevelType w:val="singleLevel"/>
    <w:tmpl w:val="507A66DD"/>
    <w:lvl w:ilvl="0" w:tentative="0">
      <w:start w:val="5"/>
      <w:numFmt w:val="chineseCounting"/>
      <w:suff w:val="nothing"/>
      <w:lvlText w:val="%1、"/>
      <w:lvlJc w:val="left"/>
      <w:rPr>
        <w:rFonts w:hint="eastAsia"/>
      </w:rPr>
    </w:lvl>
  </w:abstractNum>
  <w:abstractNum w:abstractNumId="10">
    <w:nsid w:val="50FB4E67"/>
    <w:multiLevelType w:val="singleLevel"/>
    <w:tmpl w:val="50FB4E67"/>
    <w:lvl w:ilvl="0" w:tentative="0">
      <w:start w:val="1"/>
      <w:numFmt w:val="decimal"/>
      <w:suff w:val="space"/>
      <w:lvlText w:val="%1."/>
      <w:lvlJc w:val="left"/>
    </w:lvl>
  </w:abstractNum>
  <w:abstractNum w:abstractNumId="11">
    <w:nsid w:val="59215DE2"/>
    <w:multiLevelType w:val="singleLevel"/>
    <w:tmpl w:val="59215DE2"/>
    <w:lvl w:ilvl="0" w:tentative="0">
      <w:start w:val="2"/>
      <w:numFmt w:val="decimal"/>
      <w:suff w:val="nothing"/>
      <w:lvlText w:val="（%1）"/>
      <w:lvlJc w:val="left"/>
    </w:lvl>
  </w:abstractNum>
  <w:abstractNum w:abstractNumId="12">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3">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FD0FAC"/>
    <w:multiLevelType w:val="singleLevel"/>
    <w:tmpl w:val="70FD0FAC"/>
    <w:lvl w:ilvl="0" w:tentative="0">
      <w:start w:val="5"/>
      <w:numFmt w:val="chineseCounting"/>
      <w:suff w:val="space"/>
      <w:lvlText w:val="第%1章"/>
      <w:lvlJc w:val="left"/>
      <w:rPr>
        <w:rFonts w:hint="eastAsia"/>
      </w:rPr>
    </w:lvl>
  </w:abstractNum>
  <w:abstractNum w:abstractNumId="16">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1"/>
  </w:num>
  <w:num w:numId="5">
    <w:abstractNumId w:val="4"/>
  </w:num>
  <w:num w:numId="6">
    <w:abstractNumId w:val="9"/>
  </w:num>
  <w:num w:numId="7">
    <w:abstractNumId w:val="8"/>
  </w:num>
  <w:num w:numId="8">
    <w:abstractNumId w:val="5"/>
  </w:num>
  <w:num w:numId="9">
    <w:abstractNumId w:val="6"/>
  </w:num>
  <w:num w:numId="10">
    <w:abstractNumId w:val="14"/>
  </w:num>
  <w:num w:numId="11">
    <w:abstractNumId w:val="1"/>
  </w:num>
  <w:num w:numId="12">
    <w:abstractNumId w:val="10"/>
  </w:num>
  <w:num w:numId="13">
    <w:abstractNumId w:val="3"/>
  </w:num>
  <w:num w:numId="14">
    <w:abstractNumId w:val="17"/>
  </w:num>
  <w:num w:numId="15">
    <w:abstractNumId w:val="12"/>
  </w:num>
  <w:num w:numId="16">
    <w:abstractNumId w:val="15"/>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1FD42EF"/>
    <w:rsid w:val="02515E13"/>
    <w:rsid w:val="03824295"/>
    <w:rsid w:val="03CA1333"/>
    <w:rsid w:val="03D86CBB"/>
    <w:rsid w:val="04A41E29"/>
    <w:rsid w:val="0586171E"/>
    <w:rsid w:val="062A1835"/>
    <w:rsid w:val="0C831895"/>
    <w:rsid w:val="0F847DFE"/>
    <w:rsid w:val="10437371"/>
    <w:rsid w:val="13272F7A"/>
    <w:rsid w:val="14DA7639"/>
    <w:rsid w:val="167968A8"/>
    <w:rsid w:val="168261AD"/>
    <w:rsid w:val="1A0F0637"/>
    <w:rsid w:val="1AC75CBA"/>
    <w:rsid w:val="1ACD08AB"/>
    <w:rsid w:val="1CA12614"/>
    <w:rsid w:val="1D740F3F"/>
    <w:rsid w:val="1FC04AB6"/>
    <w:rsid w:val="20857E4D"/>
    <w:rsid w:val="2110276B"/>
    <w:rsid w:val="217A1947"/>
    <w:rsid w:val="22DA20BB"/>
    <w:rsid w:val="24CC6443"/>
    <w:rsid w:val="27A32756"/>
    <w:rsid w:val="28774BB2"/>
    <w:rsid w:val="292F0982"/>
    <w:rsid w:val="2AD85138"/>
    <w:rsid w:val="2BC25ADE"/>
    <w:rsid w:val="2BEF1BE2"/>
    <w:rsid w:val="2C2F1E92"/>
    <w:rsid w:val="2CAA6F1D"/>
    <w:rsid w:val="2F746B39"/>
    <w:rsid w:val="2FEF24C1"/>
    <w:rsid w:val="315D30E6"/>
    <w:rsid w:val="32A7178F"/>
    <w:rsid w:val="348C0A37"/>
    <w:rsid w:val="34D95BA1"/>
    <w:rsid w:val="36F16FEE"/>
    <w:rsid w:val="37436ACA"/>
    <w:rsid w:val="38312021"/>
    <w:rsid w:val="38404012"/>
    <w:rsid w:val="3A4F4F44"/>
    <w:rsid w:val="3CFF2687"/>
    <w:rsid w:val="3D691D61"/>
    <w:rsid w:val="3FF83425"/>
    <w:rsid w:val="41894625"/>
    <w:rsid w:val="42961172"/>
    <w:rsid w:val="44B33DBE"/>
    <w:rsid w:val="44ED4447"/>
    <w:rsid w:val="46062A6F"/>
    <w:rsid w:val="466C27DB"/>
    <w:rsid w:val="466F1003"/>
    <w:rsid w:val="46E84D7E"/>
    <w:rsid w:val="47507FEA"/>
    <w:rsid w:val="49871B07"/>
    <w:rsid w:val="49BE56DF"/>
    <w:rsid w:val="4A0517DE"/>
    <w:rsid w:val="4DAD7DEB"/>
    <w:rsid w:val="4E8100AD"/>
    <w:rsid w:val="4E8E5256"/>
    <w:rsid w:val="4F0F12CA"/>
    <w:rsid w:val="4F560168"/>
    <w:rsid w:val="511864D9"/>
    <w:rsid w:val="51D63AF4"/>
    <w:rsid w:val="521F3077"/>
    <w:rsid w:val="558214CD"/>
    <w:rsid w:val="56E36785"/>
    <w:rsid w:val="580B4B95"/>
    <w:rsid w:val="58AF7528"/>
    <w:rsid w:val="58C53577"/>
    <w:rsid w:val="5A2F6381"/>
    <w:rsid w:val="5A853639"/>
    <w:rsid w:val="5B4A22D1"/>
    <w:rsid w:val="5BC7458E"/>
    <w:rsid w:val="5CAC08DD"/>
    <w:rsid w:val="5CEC7157"/>
    <w:rsid w:val="5D045FFD"/>
    <w:rsid w:val="5F630463"/>
    <w:rsid w:val="65265113"/>
    <w:rsid w:val="65E57895"/>
    <w:rsid w:val="6602326A"/>
    <w:rsid w:val="68A23D9A"/>
    <w:rsid w:val="69E7776E"/>
    <w:rsid w:val="6AA14535"/>
    <w:rsid w:val="6ACC2680"/>
    <w:rsid w:val="6B80006E"/>
    <w:rsid w:val="6BB74550"/>
    <w:rsid w:val="6BD67630"/>
    <w:rsid w:val="6CF30DA6"/>
    <w:rsid w:val="6DD15131"/>
    <w:rsid w:val="72AC65F9"/>
    <w:rsid w:val="72AF5315"/>
    <w:rsid w:val="730B15A2"/>
    <w:rsid w:val="74055651"/>
    <w:rsid w:val="774A4416"/>
    <w:rsid w:val="7B49325B"/>
    <w:rsid w:val="7BFC15FE"/>
    <w:rsid w:val="7C4E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outlineLvl w:val="1"/>
    </w:pPr>
    <w:rPr>
      <w:rFonts w:ascii="Cambria" w:hAnsi="Cambria" w:cs="宋体"/>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widowControl w:val="0"/>
      <w:ind w:firstLine="420"/>
    </w:pPr>
    <w:rPr>
      <w:rFonts w:ascii="Times New Roman" w:hAnsi="Times New Roman" w:eastAsia="宋体" w:cs="Times New Roman"/>
      <w:kern w:val="2"/>
      <w:sz w:val="21"/>
      <w:szCs w:val="24"/>
      <w:lang w:val="en-US" w:eastAsia="zh-CN" w:bidi="ar-SA"/>
    </w:rPr>
  </w:style>
  <w:style w:type="paragraph" w:styleId="6">
    <w:name w:val="Body Text"/>
    <w:basedOn w:val="1"/>
    <w:next w:val="1"/>
    <w:qFormat/>
    <w:uiPriority w:val="0"/>
    <w:pPr>
      <w:spacing w:after="120"/>
    </w:pPr>
  </w:style>
  <w:style w:type="paragraph" w:styleId="7">
    <w:name w:val="annotation text"/>
    <w:basedOn w:val="1"/>
    <w:qFormat/>
    <w:uiPriority w:val="0"/>
    <w:pPr>
      <w:jc w:val="left"/>
    </w:pPr>
  </w:style>
  <w:style w:type="paragraph" w:styleId="8">
    <w:name w:val="Body Text Indent"/>
    <w:basedOn w:val="1"/>
    <w:qFormat/>
    <w:uiPriority w:val="0"/>
    <w:pPr>
      <w:spacing w:line="560" w:lineRule="exact"/>
      <w:ind w:left="300"/>
    </w:pPr>
    <w:rPr>
      <w:sz w:val="24"/>
    </w:rPr>
  </w:style>
  <w:style w:type="paragraph" w:styleId="9">
    <w:name w:val="toc 3"/>
    <w:basedOn w:val="1"/>
    <w:next w:val="1"/>
    <w:semiHidden/>
    <w:unhideWhenUsed/>
    <w:qFormat/>
    <w:uiPriority w:val="39"/>
    <w:pPr>
      <w:ind w:left="840" w:leftChars="400"/>
    </w:pPr>
  </w:style>
  <w:style w:type="paragraph" w:styleId="10">
    <w:name w:val="Plain Text"/>
    <w:basedOn w:val="1"/>
    <w:link w:val="23"/>
    <w:semiHidden/>
    <w:unhideWhenUsed/>
    <w:qFormat/>
    <w:uiPriority w:val="99"/>
    <w:rPr>
      <w:rFonts w:ascii="宋体" w:hAnsi="Courier New" w:eastAsia="宋体" w:cs="Times New Roman"/>
      <w:szCs w:val="20"/>
    </w:rPr>
  </w:style>
  <w:style w:type="paragraph" w:styleId="11">
    <w:name w:val="footer"/>
    <w:basedOn w:val="1"/>
    <w:link w:val="22"/>
    <w:semiHidden/>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8"/>
    <w:qFormat/>
    <w:uiPriority w:val="0"/>
    <w:pPr>
      <w:ind w:firstLine="420" w:firstLineChars="200"/>
    </w:pPr>
    <w:rPr>
      <w:sz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customStyle="1" w:styleId="21">
    <w:name w:val="页眉 Char"/>
    <w:basedOn w:val="19"/>
    <w:link w:val="12"/>
    <w:autoRedefine/>
    <w:semiHidden/>
    <w:qFormat/>
    <w:uiPriority w:val="99"/>
    <w:rPr>
      <w:sz w:val="18"/>
      <w:szCs w:val="18"/>
    </w:rPr>
  </w:style>
  <w:style w:type="character" w:customStyle="1" w:styleId="22">
    <w:name w:val="页脚 Char"/>
    <w:basedOn w:val="19"/>
    <w:link w:val="11"/>
    <w:semiHidden/>
    <w:qFormat/>
    <w:uiPriority w:val="99"/>
    <w:rPr>
      <w:sz w:val="18"/>
      <w:szCs w:val="18"/>
    </w:rPr>
  </w:style>
  <w:style w:type="character" w:customStyle="1" w:styleId="23">
    <w:name w:val="纯文本 Char"/>
    <w:basedOn w:val="19"/>
    <w:link w:val="10"/>
    <w:semiHidden/>
    <w:qFormat/>
    <w:uiPriority w:val="99"/>
    <w:rPr>
      <w:rFonts w:ascii="宋体" w:hAnsi="Courier New" w:eastAsia="宋体" w:cs="Times New Roman"/>
      <w:szCs w:val="20"/>
    </w:rPr>
  </w:style>
  <w:style w:type="character" w:customStyle="1" w:styleId="24">
    <w:name w:val="font11"/>
    <w:basedOn w:val="19"/>
    <w:qFormat/>
    <w:uiPriority w:val="0"/>
    <w:rPr>
      <w:rFonts w:hint="eastAsia" w:ascii="宋体" w:hAnsi="宋体" w:eastAsia="宋体" w:cs="宋体"/>
      <w:color w:val="000000"/>
      <w:sz w:val="30"/>
      <w:szCs w:val="30"/>
      <w:u w:val="none"/>
    </w:rPr>
  </w:style>
  <w:style w:type="paragraph" w:styleId="25">
    <w:name w:val="List Paragraph"/>
    <w:basedOn w:val="1"/>
    <w:autoRedefine/>
    <w:qFormat/>
    <w:uiPriority w:val="34"/>
    <w:pPr>
      <w:ind w:firstLine="420" w:firstLineChars="200"/>
    </w:pPr>
    <w:rPr>
      <w:rFonts w:ascii="Calibri" w:hAnsi="Calibri"/>
      <w:szCs w:val="22"/>
    </w:rPr>
  </w:style>
  <w:style w:type="table" w:customStyle="1" w:styleId="26">
    <w:name w:val="网格型1"/>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8">
    <w:name w:val="列出段落1"/>
    <w:basedOn w:val="1"/>
    <w:autoRedefine/>
    <w:qFormat/>
    <w:uiPriority w:val="34"/>
    <w:pPr>
      <w:ind w:firstLine="420" w:firstLineChars="200"/>
    </w:pPr>
  </w:style>
  <w:style w:type="paragraph" w:customStyle="1" w:styleId="29">
    <w:name w:val="样式1 Char Char"/>
    <w:basedOn w:val="1"/>
    <w:next w:val="10"/>
    <w:qFormat/>
    <w:uiPriority w:val="0"/>
    <w:pPr>
      <w:spacing w:line="360" w:lineRule="auto"/>
      <w:ind w:firstLine="516" w:firstLineChars="215"/>
    </w:pPr>
    <w:rPr>
      <w:sz w:val="24"/>
    </w:rPr>
  </w:style>
  <w:style w:type="paragraph" w:customStyle="1" w:styleId="30">
    <w:name w:val="文档正文"/>
    <w:qFormat/>
    <w:uiPriority w:val="99"/>
    <w:pPr>
      <w:widowControl w:val="0"/>
      <w:adjustRightInd w:val="0"/>
      <w:spacing w:line="480" w:lineRule="atLeast"/>
      <w:ind w:firstLine="567" w:firstLineChars="200"/>
      <w:textAlignment w:val="baseline"/>
    </w:pPr>
    <w:rPr>
      <w:rFonts w:ascii="长城仿宋" w:hAnsi="Times New Roman" w:eastAsia="宋体" w:cs="Times New Roman"/>
      <w:sz w:val="21"/>
      <w:lang w:val="en-US" w:eastAsia="zh-CN" w:bidi="ar-SA"/>
    </w:rPr>
  </w:style>
  <w:style w:type="character" w:customStyle="1" w:styleId="31">
    <w:name w:val="font21"/>
    <w:basedOn w:val="19"/>
    <w:qFormat/>
    <w:uiPriority w:val="0"/>
    <w:rPr>
      <w:rFonts w:hint="eastAsia" w:ascii="宋体" w:hAnsi="宋体" w:eastAsia="宋体" w:cs="宋体"/>
      <w:color w:val="000000"/>
      <w:sz w:val="20"/>
      <w:szCs w:val="20"/>
      <w:u w:val="none"/>
    </w:rPr>
  </w:style>
  <w:style w:type="character" w:customStyle="1" w:styleId="32">
    <w:name w:val="font31"/>
    <w:basedOn w:val="19"/>
    <w:qFormat/>
    <w:uiPriority w:val="0"/>
    <w:rPr>
      <w:rFonts w:ascii="Tahoma" w:hAnsi="Tahoma" w:eastAsia="Tahoma" w:cs="Tahoma"/>
      <w:color w:val="000000"/>
      <w:sz w:val="20"/>
      <w:szCs w:val="20"/>
      <w:u w:val="none"/>
    </w:rPr>
  </w:style>
  <w:style w:type="paragraph" w:customStyle="1" w:styleId="33">
    <w:name w:val="*正文"/>
    <w:basedOn w:val="1"/>
    <w:qFormat/>
    <w:uiPriority w:val="0"/>
    <w:pPr>
      <w:spacing w:line="360" w:lineRule="auto"/>
      <w:ind w:firstLine="200" w:firstLineChars="200"/>
    </w:pPr>
    <w:rPr>
      <w:rFonts w:ascii="宋体" w:hAnsi="宋体"/>
      <w:kern w:val="0"/>
      <w:sz w:val="2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11700</Words>
  <Characters>12491</Characters>
  <Lines>31</Lines>
  <Paragraphs>8</Paragraphs>
  <TotalTime>11</TotalTime>
  <ScaleCrop>false</ScaleCrop>
  <LinksUpToDate>false</LinksUpToDate>
  <CharactersWithSpaces>12612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2025-09-18T00:38:33Z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BD48D6073215437AB3440CECE3983FD4_13</vt:lpwstr>
  </property>
  <property fmtid="{D5CDD505-2E9C-101B-9397-08002B2CF9AE}" pid="4" name="KSOTemplateDocerSaveRecord">
    <vt:lpwstr>eyJoZGlkIjoiM2EyNDYyYmQ1ZDA0NDE2ZWMxMTVjMTBjNjZlNGMxZWMiLCJ1c2VySWQiOiIxOTQ5NzkyNTQifQ==</vt:lpwstr>
  </property>
</Properties>
</file>