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3C76E">
      <w:pPr>
        <w:jc w:val="center"/>
        <w:rPr>
          <w:rFonts w:asciiTheme="minorEastAsia" w:hAnsiTheme="minorEastAsia" w:cstheme="minorEastAsia"/>
          <w:b/>
          <w:bCs/>
          <w:sz w:val="24"/>
        </w:rPr>
      </w:pPr>
    </w:p>
    <w:p w14:paraId="032FC704">
      <w:pPr>
        <w:jc w:val="center"/>
        <w:rPr>
          <w:rFonts w:hint="eastAsia" w:asciiTheme="minorEastAsia" w:hAnsiTheme="minorEastAsia" w:cstheme="minorEastAsia"/>
          <w:b/>
          <w:bCs/>
          <w:sz w:val="40"/>
          <w:szCs w:val="40"/>
        </w:rPr>
      </w:pPr>
      <w:r>
        <w:rPr>
          <w:rFonts w:hint="eastAsia" w:asciiTheme="minorEastAsia" w:hAnsiTheme="minorEastAsia" w:cstheme="minorEastAsia"/>
          <w:b/>
          <w:bCs/>
          <w:sz w:val="40"/>
          <w:szCs w:val="40"/>
        </w:rPr>
        <w:t>福田区第二人民医院医疗器械招标文件</w:t>
      </w:r>
    </w:p>
    <w:p w14:paraId="40CD8E0A">
      <w:pPr>
        <w:jc w:val="center"/>
        <w:rPr>
          <w:rFonts w:hint="eastAsia" w:asciiTheme="minorEastAsia" w:hAnsiTheme="minorEastAsia" w:cstheme="minorEastAsia"/>
          <w:b/>
          <w:bCs/>
          <w:sz w:val="32"/>
          <w:szCs w:val="32"/>
        </w:rPr>
      </w:pPr>
    </w:p>
    <w:p w14:paraId="7CB31B7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rPr>
        <w:t>1、深圳市福田区第二人民医院对本单位部分医疗</w:t>
      </w:r>
      <w:r>
        <w:rPr>
          <w:rFonts w:hint="eastAsia" w:asciiTheme="minorEastAsia" w:hAnsiTheme="minorEastAsia" w:cstheme="minorEastAsia"/>
          <w:sz w:val="28"/>
          <w:szCs w:val="28"/>
          <w:lang w:val="en-US" w:eastAsia="zh-CN"/>
        </w:rPr>
        <w:t>器械</w:t>
      </w:r>
      <w:r>
        <w:rPr>
          <w:rFonts w:hint="eastAsia" w:asciiTheme="minorEastAsia" w:hAnsiTheme="minorEastAsia" w:cstheme="minorEastAsia"/>
          <w:sz w:val="28"/>
          <w:szCs w:val="28"/>
        </w:rPr>
        <w:t>采购进行</w:t>
      </w:r>
      <w:r>
        <w:rPr>
          <w:rFonts w:hint="eastAsia" w:asciiTheme="minorEastAsia" w:hAnsiTheme="minorEastAsia" w:cstheme="minorEastAsia"/>
          <w:sz w:val="28"/>
          <w:szCs w:val="28"/>
          <w:lang w:val="en-US" w:eastAsia="zh-CN"/>
        </w:rPr>
        <w:t>挂网招标</w:t>
      </w:r>
      <w:r>
        <w:rPr>
          <w:rFonts w:hint="eastAsia" w:asciiTheme="minorEastAsia" w:hAnsiTheme="minorEastAsia" w:cstheme="minorEastAsia"/>
          <w:sz w:val="28"/>
          <w:szCs w:val="28"/>
        </w:rPr>
        <w:t>。欢迎各有医疗器械经营许可权或医疗设备生产许可权的经营企业或生产企业参加投标。</w:t>
      </w:r>
    </w:p>
    <w:p w14:paraId="46BEE8EA">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Theme="minorEastAsia" w:hAnsiTheme="minorEastAsia" w:cstheme="minorEastAsia"/>
          <w:sz w:val="28"/>
          <w:szCs w:val="28"/>
        </w:rPr>
      </w:pPr>
      <w:r>
        <w:rPr>
          <w:rFonts w:hint="eastAsia" w:asciiTheme="minorEastAsia" w:hAnsiTheme="minorEastAsia" w:cstheme="minorEastAsia"/>
          <w:sz w:val="28"/>
          <w:szCs w:val="28"/>
        </w:rPr>
        <w:t>2、供应商可根据自身的经营情况，选择投一个或多个采购条目，但不允许将一个采购条目流水号的内容拆散。</w:t>
      </w:r>
      <w:r>
        <w:rPr>
          <w:rFonts w:hint="eastAsia" w:asciiTheme="minorEastAsia" w:hAnsiTheme="minorEastAsia" w:cstheme="minorEastAsia"/>
          <w:b/>
          <w:bCs/>
          <w:sz w:val="28"/>
          <w:szCs w:val="28"/>
        </w:rPr>
        <w:t>请准备投标文件</w:t>
      </w:r>
      <w:r>
        <w:rPr>
          <w:rFonts w:hint="eastAsia" w:asciiTheme="minorEastAsia" w:hAnsiTheme="minorEastAsia" w:cstheme="minorEastAsia"/>
          <w:b/>
          <w:bCs/>
          <w:sz w:val="28"/>
          <w:szCs w:val="28"/>
          <w:lang w:val="en-US" w:eastAsia="zh-CN"/>
        </w:rPr>
        <w:t>六</w:t>
      </w:r>
      <w:r>
        <w:rPr>
          <w:rFonts w:hint="eastAsia" w:asciiTheme="minorEastAsia" w:hAnsiTheme="minorEastAsia" w:cstheme="minorEastAsia"/>
          <w:b/>
          <w:bCs/>
          <w:sz w:val="28"/>
          <w:szCs w:val="28"/>
        </w:rPr>
        <w:t>份</w:t>
      </w:r>
      <w:r>
        <w:rPr>
          <w:rFonts w:hint="eastAsia" w:asciiTheme="minorEastAsia" w:hAnsiTheme="minorEastAsia" w:cstheme="minorEastAsia"/>
          <w:sz w:val="28"/>
          <w:szCs w:val="28"/>
        </w:rPr>
        <w:t>（</w:t>
      </w:r>
      <w:r>
        <w:rPr>
          <w:rFonts w:hint="eastAsia" w:asciiTheme="minorEastAsia" w:hAnsiTheme="minorEastAsia" w:cstheme="minorEastAsia"/>
          <w:color w:val="FF0000"/>
          <w:sz w:val="28"/>
          <w:szCs w:val="28"/>
        </w:rPr>
        <w:t>一份正本</w:t>
      </w:r>
      <w:r>
        <w:rPr>
          <w:rFonts w:hint="eastAsia" w:asciiTheme="minorEastAsia" w:hAnsiTheme="minorEastAsia" w:cstheme="minorEastAsia"/>
          <w:color w:val="FF0000"/>
          <w:sz w:val="28"/>
          <w:szCs w:val="28"/>
          <w:lang w:val="en-US" w:eastAsia="zh-CN"/>
        </w:rPr>
        <w:t>五</w:t>
      </w:r>
      <w:r>
        <w:rPr>
          <w:rFonts w:hint="eastAsia" w:asciiTheme="minorEastAsia" w:hAnsiTheme="minorEastAsia" w:cstheme="minorEastAsia"/>
          <w:color w:val="FF0000"/>
          <w:sz w:val="28"/>
          <w:szCs w:val="28"/>
        </w:rPr>
        <w:t>份副本</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开标一览表需单独密封，电子文件拷贝到U盘存放于开标一览表密封袋内。</w:t>
      </w:r>
      <w:r>
        <w:rPr>
          <w:rFonts w:hint="eastAsia" w:asciiTheme="minorEastAsia" w:hAnsiTheme="minorEastAsia" w:cstheme="minorEastAsia"/>
          <w:sz w:val="28"/>
          <w:szCs w:val="28"/>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招标文件要求签署并加盖公章</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w:t>
      </w:r>
    </w:p>
    <w:p w14:paraId="5D4F8D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80" w:firstLineChars="1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3、</w:t>
      </w:r>
      <w:r>
        <w:rPr>
          <w:rFonts w:hint="eastAsia" w:asciiTheme="minorEastAsia" w:hAnsiTheme="minorEastAsia" w:cstheme="minorEastAsia"/>
          <w:color w:val="000000" w:themeColor="text1"/>
          <w:sz w:val="28"/>
          <w:szCs w:val="28"/>
          <w14:textFill>
            <w14:solidFill>
              <w14:schemeClr w14:val="tx1"/>
            </w14:solidFill>
          </w14:textFill>
        </w:rPr>
        <w:t>属于国家强制计量检测设备项目需提供有效期内</w:t>
      </w:r>
      <w:r>
        <w:rPr>
          <w:rFonts w:hint="eastAsia" w:asciiTheme="minorEastAsia" w:hAnsiTheme="minorEastAsia" w:cstheme="minorEastAsia"/>
          <w:sz w:val="28"/>
          <w:szCs w:val="28"/>
        </w:rPr>
        <w:t>的第三方检测报告及检测合格证</w:t>
      </w:r>
      <w:r>
        <w:rPr>
          <w:rFonts w:hint="eastAsia" w:asciiTheme="minorEastAsia" w:hAnsiTheme="minorEastAsia" w:cstheme="minorEastAsia"/>
          <w:sz w:val="28"/>
          <w:szCs w:val="28"/>
          <w:lang w:eastAsia="zh-CN"/>
        </w:rPr>
        <w:t>。</w:t>
      </w:r>
    </w:p>
    <w:p w14:paraId="372890EF">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rPr>
        <w:t>每家</w:t>
      </w:r>
      <w:r>
        <w:rPr>
          <w:rFonts w:hint="eastAsia" w:asciiTheme="minorEastAsia" w:hAnsiTheme="minorEastAsia" w:cstheme="minorEastAsia"/>
          <w:sz w:val="28"/>
          <w:szCs w:val="28"/>
          <w:lang w:val="en-US" w:eastAsia="zh-CN"/>
        </w:rPr>
        <w:t>应标</w:t>
      </w:r>
      <w:r>
        <w:rPr>
          <w:rFonts w:hint="eastAsia" w:asciiTheme="minorEastAsia" w:hAnsiTheme="minorEastAsia" w:cstheme="minorEastAsia"/>
          <w:sz w:val="28"/>
          <w:szCs w:val="28"/>
        </w:rPr>
        <w:t>公司参与投标的同品名、同规格的品种，不得超过1个。</w:t>
      </w:r>
    </w:p>
    <w:p w14:paraId="710E4FB1">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rPr>
        <w:t>合同有效期内，如政府调价或市政府统一招标，双方应无条件按上级文件执行，并相应修改合同的有关条款。</w:t>
      </w:r>
    </w:p>
    <w:p w14:paraId="4B9050B9">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企业参加投标，即表示接受本次招标的各项要求。</w:t>
      </w:r>
    </w:p>
    <w:p w14:paraId="3CB0ADC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7、</w:t>
      </w:r>
      <w:r>
        <w:rPr>
          <w:rFonts w:hint="eastAsia" w:asciiTheme="minorEastAsia" w:hAnsiTheme="minorEastAsia" w:cstheme="minorEastAsia"/>
          <w:sz w:val="28"/>
          <w:szCs w:val="28"/>
        </w:rPr>
        <w:t>招标活动的最终解释权属于深圳市福田区第二人民医院。</w:t>
      </w:r>
    </w:p>
    <w:p w14:paraId="6DB632C7">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hint="eastAsia" w:asciiTheme="minorEastAsia" w:hAnsiTheme="minorEastAsia" w:cstheme="minorEastAsia"/>
          <w:sz w:val="28"/>
          <w:szCs w:val="28"/>
        </w:rPr>
      </w:pPr>
      <w:r>
        <w:rPr>
          <w:rFonts w:hint="eastAsia" w:asciiTheme="minorEastAsia" w:hAnsiTheme="minorEastAsia" w:cstheme="minorEastAsia"/>
          <w:sz w:val="28"/>
          <w:szCs w:val="28"/>
          <w:lang w:val="en-US" w:eastAsia="zh-CN"/>
        </w:rPr>
        <w:t>8、评标委员会</w:t>
      </w:r>
      <w:r>
        <w:rPr>
          <w:rFonts w:hint="eastAsia" w:asciiTheme="minorEastAsia" w:hAnsiTheme="minorEastAsia" w:cstheme="minorEastAsia"/>
          <w:sz w:val="28"/>
          <w:szCs w:val="28"/>
        </w:rPr>
        <w:t>由相关科室专家、</w:t>
      </w:r>
      <w:r>
        <w:rPr>
          <w:rFonts w:hint="eastAsia" w:asciiTheme="minorEastAsia" w:hAnsiTheme="minorEastAsia" w:cstheme="minorEastAsia"/>
          <w:sz w:val="28"/>
          <w:szCs w:val="28"/>
          <w:lang w:val="en-US" w:eastAsia="zh-CN"/>
        </w:rPr>
        <w:t>医学装备部</w:t>
      </w:r>
      <w:r>
        <w:rPr>
          <w:rFonts w:hint="eastAsia" w:asciiTheme="minorEastAsia" w:hAnsiTheme="minorEastAsia" w:cstheme="minorEastAsia"/>
          <w:sz w:val="28"/>
          <w:szCs w:val="28"/>
        </w:rPr>
        <w:t>、医院纪检部门等组成。</w:t>
      </w:r>
    </w:p>
    <w:p w14:paraId="4FDB9A17">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outlineLvl w:val="9"/>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9、</w:t>
      </w:r>
      <w:r>
        <w:rPr>
          <w:rFonts w:hint="eastAsia" w:asciiTheme="minorEastAsia" w:hAnsiTheme="minorEastAsia" w:cstheme="minorEastAsia"/>
          <w:sz w:val="28"/>
          <w:szCs w:val="28"/>
        </w:rPr>
        <w:t>参加投标企业需投标前</w:t>
      </w:r>
      <w:r>
        <w:rPr>
          <w:rFonts w:hint="eastAsia" w:asciiTheme="minorEastAsia" w:hAnsiTheme="minorEastAsia" w:cstheme="minorEastAsia"/>
          <w:sz w:val="28"/>
          <w:szCs w:val="28"/>
          <w:lang w:val="en-US" w:eastAsia="zh-CN"/>
        </w:rPr>
        <w:t>30</w:t>
      </w:r>
      <w:r>
        <w:rPr>
          <w:rFonts w:hint="eastAsia" w:asciiTheme="minorEastAsia" w:hAnsiTheme="minorEastAsia" w:cstheme="minorEastAsia"/>
          <w:sz w:val="28"/>
          <w:szCs w:val="28"/>
        </w:rPr>
        <w:t>分钟到达开标地点。</w:t>
      </w:r>
    </w:p>
    <w:p w14:paraId="3AA58BAC">
      <w:pPr>
        <w:jc w:val="both"/>
        <w:rPr>
          <w:rFonts w:hint="eastAsia" w:ascii="宋体" w:hAnsi="宋体" w:eastAsia="宋体" w:cs="宋体"/>
          <w:b/>
          <w:bCs/>
          <w:color w:val="FF0000"/>
          <w:kern w:val="44"/>
          <w:sz w:val="44"/>
          <w:szCs w:val="44"/>
          <w:highlight w:val="none"/>
          <w:lang w:eastAsia="zh-CN"/>
        </w:rPr>
      </w:pPr>
    </w:p>
    <w:p w14:paraId="4E47FF13">
      <w:pPr>
        <w:jc w:val="center"/>
        <w:outlineLvl w:val="9"/>
        <w:rPr>
          <w:rFonts w:hint="eastAsia" w:ascii="宋体" w:hAnsi="宋体" w:eastAsia="宋体" w:cs="宋体"/>
          <w:b/>
          <w:bCs/>
          <w:color w:val="FF0000"/>
          <w:sz w:val="28"/>
          <w:szCs w:val="28"/>
          <w:highlight w:val="none"/>
          <w:lang w:val="en-US" w:eastAsia="zh-CN"/>
        </w:rPr>
      </w:pPr>
      <w:bookmarkStart w:id="0" w:name="_Toc3689"/>
      <w:bookmarkStart w:id="1" w:name="_Toc29098"/>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179585CB">
      <w:pPr>
        <w:rPr>
          <w:rFonts w:asciiTheme="minorEastAsia" w:hAnsiTheme="minorEastAsia" w:cstheme="minorEastAsia"/>
          <w:szCs w:val="21"/>
        </w:rPr>
      </w:pPr>
    </w:p>
    <w:p w14:paraId="10E164FD">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538F311D">
      <w:pPr>
        <w:rPr>
          <w:rFonts w:hint="eastAsia" w:asciiTheme="minorEastAsia" w:hAnsiTheme="minorEastAsia" w:cstheme="minorEastAsia"/>
          <w:szCs w:val="21"/>
        </w:rPr>
      </w:pPr>
    </w:p>
    <w:p w14:paraId="1D12076D">
      <w:pPr>
        <w:rPr>
          <w:rFonts w:hint="eastAsia" w:asciiTheme="minorEastAsia" w:hAnsiTheme="minorEastAsia" w:cstheme="minorEastAsia"/>
          <w:szCs w:val="21"/>
        </w:rPr>
      </w:pPr>
    </w:p>
    <w:p w14:paraId="0592315D">
      <w:pPr>
        <w:rPr>
          <w:rFonts w:hint="eastAsia" w:asciiTheme="minorEastAsia" w:hAnsiTheme="minorEastAsia" w:cstheme="minorEastAsia"/>
          <w:szCs w:val="21"/>
        </w:rPr>
      </w:pPr>
    </w:p>
    <w:p w14:paraId="2277D1FB">
      <w:pPr>
        <w:rPr>
          <w:rFonts w:hint="eastAsia" w:asciiTheme="minorEastAsia" w:hAnsiTheme="minorEastAsia" w:cstheme="minorEastAsia"/>
          <w:szCs w:val="21"/>
        </w:rPr>
      </w:pPr>
    </w:p>
    <w:p w14:paraId="5A35ED88">
      <w:pPr>
        <w:rPr>
          <w:rFonts w:hint="eastAsia" w:asciiTheme="minorEastAsia" w:hAnsiTheme="minorEastAsia" w:cstheme="minorEastAsia"/>
          <w:szCs w:val="21"/>
        </w:rPr>
      </w:pPr>
    </w:p>
    <w:p w14:paraId="2FF3BF78">
      <w:pPr>
        <w:rPr>
          <w:rFonts w:hint="eastAsia" w:asciiTheme="minorEastAsia" w:hAnsiTheme="minorEastAsia" w:cstheme="minorEastAsia"/>
          <w:szCs w:val="21"/>
        </w:rPr>
      </w:pPr>
    </w:p>
    <w:p w14:paraId="135AA796">
      <w:pPr>
        <w:rPr>
          <w:rFonts w:hint="eastAsia" w:asciiTheme="minorEastAsia" w:hAnsiTheme="minorEastAsia" w:cstheme="minorEastAsia"/>
          <w:szCs w:val="21"/>
        </w:rPr>
      </w:pPr>
    </w:p>
    <w:p w14:paraId="189AF714">
      <w:pPr>
        <w:rPr>
          <w:rFonts w:hint="eastAsia" w:asciiTheme="minorEastAsia" w:hAnsiTheme="minorEastAsia" w:cstheme="minorEastAsia"/>
          <w:szCs w:val="21"/>
        </w:rPr>
      </w:pPr>
    </w:p>
    <w:p w14:paraId="01F3185B">
      <w:pPr>
        <w:rPr>
          <w:rFonts w:hint="eastAsia" w:asciiTheme="minorEastAsia" w:hAnsiTheme="minorEastAsia" w:cstheme="minorEastAsia"/>
          <w:szCs w:val="21"/>
        </w:rPr>
      </w:pPr>
    </w:p>
    <w:p w14:paraId="3AECDAA7">
      <w:pPr>
        <w:rPr>
          <w:rFonts w:hint="eastAsia" w:asciiTheme="minorEastAsia" w:hAnsiTheme="minorEastAsia" w:cstheme="minorEastAsia"/>
          <w:szCs w:val="21"/>
        </w:rPr>
      </w:pPr>
    </w:p>
    <w:p w14:paraId="47ED932C">
      <w:pPr>
        <w:jc w:val="both"/>
        <w:outlineLvl w:val="9"/>
        <w:rPr>
          <w:rFonts w:hint="eastAsia" w:ascii="宋体" w:hAnsi="宋体" w:eastAsia="宋体" w:cs="宋体"/>
          <w:b/>
          <w:bCs/>
          <w:color w:val="FF0000"/>
          <w:sz w:val="36"/>
          <w:szCs w:val="36"/>
          <w:highlight w:val="none"/>
          <w:lang w:val="en-US" w:eastAsia="zh-CN"/>
        </w:rPr>
      </w:pPr>
    </w:p>
    <w:p w14:paraId="34E45245">
      <w:pPr>
        <w:jc w:val="both"/>
        <w:outlineLvl w:val="9"/>
        <w:rPr>
          <w:rFonts w:hint="eastAsia" w:ascii="宋体" w:hAnsi="宋体" w:eastAsia="宋体" w:cs="宋体"/>
          <w:b/>
          <w:bCs/>
          <w:color w:val="FF0000"/>
          <w:sz w:val="36"/>
          <w:szCs w:val="36"/>
          <w:highlight w:val="none"/>
          <w:lang w:val="en-US" w:eastAsia="zh-CN"/>
        </w:rPr>
      </w:pPr>
    </w:p>
    <w:p w14:paraId="178C65DA">
      <w:pPr>
        <w:jc w:val="both"/>
        <w:outlineLvl w:val="9"/>
        <w:rPr>
          <w:rFonts w:hint="eastAsia" w:ascii="宋体" w:hAnsi="宋体" w:eastAsia="宋体" w:cs="宋体"/>
          <w:b/>
          <w:bCs/>
          <w:color w:val="FF0000"/>
          <w:sz w:val="36"/>
          <w:szCs w:val="36"/>
          <w:highlight w:val="none"/>
          <w:lang w:val="en-US" w:eastAsia="zh-CN"/>
        </w:rPr>
      </w:pPr>
    </w:p>
    <w:p w14:paraId="448581D6">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474C1D0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16AF0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（一）在采购活动中应当回避而未回避的；</w:t>
      </w:r>
    </w:p>
    <w:p w14:paraId="37EEE27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（二）未按本条例规定签订、履行采购合同，造成严重后果的；</w:t>
      </w:r>
    </w:p>
    <w:p w14:paraId="4808C23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（三）隐瞒真实情况，提供虚假资料的；</w:t>
      </w:r>
    </w:p>
    <w:p w14:paraId="5345B83E">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（四）以非法手段排斥其他供应商参与竞争的；</w:t>
      </w:r>
    </w:p>
    <w:p w14:paraId="3340A43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（五）与其他采购参加人串通投标的；</w:t>
      </w:r>
    </w:p>
    <w:p w14:paraId="0136FED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（六）恶意投诉的；</w:t>
      </w:r>
    </w:p>
    <w:p w14:paraId="59253F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（七）向采购项目相关人行贿或者提供其他不当利益的；</w:t>
      </w:r>
    </w:p>
    <w:p w14:paraId="1F389C1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（八）阻碍、抗拒主管部门监督检查的；</w:t>
      </w:r>
    </w:p>
    <w:p w14:paraId="02FF8D1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（九）其他违反本条例规定的行为。</w:t>
      </w:r>
    </w:p>
    <w:p w14:paraId="51EEDF7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二、《深圳经济特区政府采购条例实施细则》第七十五条 供应商有下列情形的，属于采购条例所称的串通投标行为，按照采购条例第五十七条有关规定处理：</w:t>
      </w:r>
    </w:p>
    <w:p w14:paraId="2ADCC08D">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（一）投标供应商之间相互约定给予未中标的供应商利益补偿；</w:t>
      </w:r>
    </w:p>
    <w:p w14:paraId="55ED522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（二）不同投标供应商的法定代表人、主要经营负责人、项目投标授权代表人、项目负责人、主要技术人员为同一人、属同一单位或者在同一单位缴纳社会保险；</w:t>
      </w:r>
    </w:p>
    <w:p w14:paraId="78F14F4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（三）不同投标供应商的投标文件由同一单位或者同一人编制，或者由同一人分阶段参与编制的；</w:t>
      </w:r>
    </w:p>
    <w:p w14:paraId="16658C6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（四）不同投标供应商的投标文件或部分投标文件相互混装；</w:t>
      </w:r>
    </w:p>
    <w:p w14:paraId="5196299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（五）不同投标供应商的投标文件内容存在非正常一致；</w:t>
      </w:r>
    </w:p>
    <w:p w14:paraId="434F021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（六）由同一单位工作人员为两家以上（含两家）供应商进行同一项投标活动的；</w:t>
      </w:r>
    </w:p>
    <w:p w14:paraId="4A398E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（七）主管部门依照法律、法规认定的其他情形。</w:t>
      </w:r>
    </w:p>
    <w:p w14:paraId="79CD4B5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三、《深圳经济特区政府采购条例实施细则》第七十七条 供应商有下列情形之一的，属于隐瞒真实情况，提供虚假资料，按照采购条例第五十七的有关规定处理：</w:t>
      </w:r>
    </w:p>
    <w:p w14:paraId="741CCB3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（一）通过转让或者租借等方式从其他单位获取资格或者资质证书投标的；</w:t>
      </w:r>
    </w:p>
    <w:p w14:paraId="596ABDAF">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（二）由其他单位或者其他单位负责人在投标供应商编制的投标文件上加盖印章或者签字的；</w:t>
      </w:r>
    </w:p>
    <w:p w14:paraId="34B9408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（三）项目负责人或者主要技术人员不是本单位人员的；</w:t>
      </w:r>
    </w:p>
    <w:p w14:paraId="17A6347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（四）投标保证金不是从投标供应商基本账户转出的；</w:t>
      </w:r>
    </w:p>
    <w:p w14:paraId="52EF686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（五）其他隐瞒真实情况、提供虚假资料的行为。</w:t>
      </w:r>
    </w:p>
    <w:p w14:paraId="06D6419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投标供应商不能提供项目负责人或者主要技术人员的劳动合同、社会保险等劳动关系证明材料的，视为存在前款第（三）项规定的情形。</w:t>
      </w:r>
    </w:p>
    <w:p w14:paraId="53B57CC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四、请投标供应商阅读《政府采购违法行为风险知悉确认书》，并经各投标供应商负责人或投标授权代表签字并加盖单位公章后，扫描上传至投标文件一并提交。</w:t>
      </w:r>
    </w:p>
    <w:p w14:paraId="7076758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注：该风险知悉确认书用于对供应商违法行为的警示，不作为供应商资格性审查及符合性审查条件。</w:t>
      </w:r>
    </w:p>
    <w:p w14:paraId="13255A4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密钥。</w:t>
      </w:r>
    </w:p>
    <w:p w14:paraId="2C569DFF">
      <w:pPr>
        <w:jc w:val="center"/>
        <w:rPr>
          <w:rFonts w:hint="eastAsia" w:ascii="宋体" w:hAnsi="宋体" w:eastAsia="宋体" w:cs="宋体"/>
          <w:b/>
          <w:sz w:val="32"/>
          <w:szCs w:val="32"/>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请仔细检查投标文件是否已按招标文件要求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招标项目内或所投包号内有多项设备或报价内容的，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（以上提示内容仅仅一般项提醒，如与实际招标项目要求有不一致，以招标文件为准）</w:t>
      </w:r>
    </w:p>
    <w:p w14:paraId="16CAAC3F">
      <w:pPr>
        <w:rPr>
          <w:rFonts w:hint="eastAsia" w:asciiTheme="minorEastAsia" w:hAnsiTheme="minorEastAsia" w:cstheme="minorEastAsia"/>
          <w:szCs w:val="21"/>
        </w:rPr>
      </w:pPr>
    </w:p>
    <w:p w14:paraId="47039B92">
      <w:pPr>
        <w:rPr>
          <w:rFonts w:hint="eastAsia" w:asciiTheme="minorEastAsia" w:hAnsiTheme="minorEastAsia" w:cstheme="minorEastAsia"/>
          <w:szCs w:val="21"/>
        </w:rPr>
      </w:pPr>
    </w:p>
    <w:p w14:paraId="7B13E3C0">
      <w:pPr>
        <w:rPr>
          <w:rFonts w:hint="eastAsia" w:asciiTheme="minorEastAsia" w:hAnsiTheme="minorEastAsia" w:cstheme="minorEastAsia"/>
          <w:szCs w:val="21"/>
        </w:rPr>
      </w:pPr>
    </w:p>
    <w:p w14:paraId="5A64B025">
      <w:pPr>
        <w:rPr>
          <w:rFonts w:hint="eastAsia" w:asciiTheme="minorEastAsia" w:hAnsiTheme="minorEastAsia" w:cstheme="minorEastAsia"/>
          <w:szCs w:val="21"/>
        </w:rPr>
      </w:pPr>
    </w:p>
    <w:p w14:paraId="34556B53">
      <w:pPr>
        <w:rPr>
          <w:rFonts w:hint="eastAsia" w:asciiTheme="minorEastAsia" w:hAnsiTheme="minorEastAsia" w:cstheme="minorEastAsia"/>
          <w:szCs w:val="21"/>
        </w:rPr>
      </w:pPr>
    </w:p>
    <w:p w14:paraId="63B3F4CA">
      <w:pPr>
        <w:rPr>
          <w:rFonts w:hint="eastAsia" w:asciiTheme="minorEastAsia" w:hAnsiTheme="minorEastAsia" w:cstheme="minorEastAsia"/>
          <w:szCs w:val="21"/>
        </w:rPr>
      </w:pPr>
    </w:p>
    <w:p w14:paraId="238999D2">
      <w:pPr>
        <w:rPr>
          <w:rFonts w:hint="eastAsia" w:asciiTheme="minorEastAsia" w:hAnsiTheme="minorEastAsia" w:cstheme="minorEastAsia"/>
          <w:szCs w:val="21"/>
        </w:rPr>
      </w:pPr>
    </w:p>
    <w:p w14:paraId="5EE83BD7">
      <w:pPr>
        <w:rPr>
          <w:rFonts w:hint="eastAsia" w:asciiTheme="minorEastAsia" w:hAnsiTheme="minorEastAsia" w:cstheme="minorEastAsia"/>
          <w:szCs w:val="21"/>
        </w:rPr>
      </w:pPr>
    </w:p>
    <w:p w14:paraId="1A7B06A3">
      <w:pPr>
        <w:rPr>
          <w:rFonts w:hint="eastAsia" w:asciiTheme="minorEastAsia" w:hAnsiTheme="minorEastAsia" w:cstheme="minorEastAsia"/>
          <w:szCs w:val="21"/>
        </w:rPr>
      </w:pPr>
    </w:p>
    <w:p w14:paraId="0BE9234F">
      <w:pPr>
        <w:rPr>
          <w:rFonts w:hint="eastAsia" w:asciiTheme="minorEastAsia" w:hAnsiTheme="minorEastAsia" w:cstheme="minorEastAsia"/>
          <w:szCs w:val="21"/>
        </w:rPr>
      </w:pPr>
    </w:p>
    <w:p w14:paraId="6AFB3A9E">
      <w:pPr>
        <w:rPr>
          <w:rFonts w:hint="eastAsia" w:asciiTheme="minorEastAsia" w:hAnsiTheme="minorEastAsia" w:cstheme="minorEastAsia"/>
          <w:szCs w:val="21"/>
        </w:rPr>
      </w:pPr>
    </w:p>
    <w:p w14:paraId="3251FB3B">
      <w:pPr>
        <w:rPr>
          <w:rFonts w:hint="eastAsia" w:asciiTheme="minorEastAsia" w:hAnsiTheme="minorEastAsia" w:cstheme="minorEastAsia"/>
          <w:szCs w:val="21"/>
        </w:rPr>
      </w:pPr>
    </w:p>
    <w:p w14:paraId="0EF5ADC6">
      <w:pPr>
        <w:rPr>
          <w:rFonts w:hint="eastAsia" w:asciiTheme="minorEastAsia" w:hAnsiTheme="minorEastAsia" w:cstheme="minorEastAsia"/>
          <w:szCs w:val="21"/>
        </w:rPr>
      </w:pPr>
    </w:p>
    <w:p w14:paraId="2CE665B9">
      <w:pPr>
        <w:rPr>
          <w:rFonts w:hint="eastAsia" w:asciiTheme="minorEastAsia" w:hAnsiTheme="minorEastAsia" w:cstheme="minorEastAsia"/>
          <w:szCs w:val="21"/>
        </w:rPr>
      </w:pPr>
    </w:p>
    <w:p w14:paraId="53D7BD1D">
      <w:pPr>
        <w:rPr>
          <w:rFonts w:hint="eastAsia" w:asciiTheme="minorEastAsia" w:hAnsiTheme="minorEastAsia" w:cstheme="minorEastAsia"/>
          <w:szCs w:val="21"/>
        </w:rPr>
      </w:pPr>
    </w:p>
    <w:p w14:paraId="6607EFBE">
      <w:pPr>
        <w:rPr>
          <w:rFonts w:hint="eastAsia" w:asciiTheme="minorEastAsia" w:hAnsiTheme="minorEastAsia" w:cstheme="minorEastAsia"/>
          <w:szCs w:val="21"/>
        </w:rPr>
      </w:pPr>
    </w:p>
    <w:p w14:paraId="3B8FF10C">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38395D03">
      <w:pPr>
        <w:jc w:val="center"/>
        <w:rPr>
          <w:rFonts w:hint="eastAsia" w:asciiTheme="minorEastAsia" w:hAnsiTheme="minorEastAsia" w:cstheme="minorEastAsia"/>
          <w:sz w:val="36"/>
          <w:szCs w:val="36"/>
          <w:lang w:val="en-US" w:eastAsia="zh-CN"/>
        </w:rPr>
      </w:pPr>
    </w:p>
    <w:p w14:paraId="4D764082">
      <w:pPr>
        <w:jc w:val="center"/>
        <w:rPr>
          <w:rFonts w:hint="eastAsia" w:asciiTheme="minorEastAsia" w:hAnsiTheme="minorEastAsia" w:cstheme="minorEastAsia"/>
          <w:sz w:val="36"/>
          <w:szCs w:val="36"/>
          <w:lang w:val="en-US" w:eastAsia="zh-CN"/>
        </w:rPr>
      </w:pPr>
    </w:p>
    <w:p w14:paraId="51B6ABE7">
      <w:pPr>
        <w:jc w:val="center"/>
        <w:rPr>
          <w:rFonts w:hint="eastAsia" w:asciiTheme="minorEastAsia" w:hAnsiTheme="minorEastAsia" w:cstheme="minorEastAsia"/>
          <w:sz w:val="36"/>
          <w:szCs w:val="36"/>
          <w:lang w:val="en-US" w:eastAsia="zh-CN"/>
        </w:rPr>
      </w:pPr>
    </w:p>
    <w:p w14:paraId="193D958E">
      <w:pPr>
        <w:jc w:val="both"/>
        <w:rPr>
          <w:rFonts w:hint="eastAsia" w:asciiTheme="minorEastAsia" w:hAnsiTheme="minorEastAsia" w:cstheme="minorEastAsia"/>
          <w:sz w:val="36"/>
          <w:szCs w:val="36"/>
          <w:lang w:val="en-US" w:eastAsia="zh-CN"/>
        </w:rPr>
      </w:pPr>
    </w:p>
    <w:sdt>
      <w:sdtPr>
        <w:rPr>
          <w:rFonts w:ascii="宋体" w:hAnsi="宋体" w:eastAsia="宋体" w:cstheme="minorBidi"/>
          <w:kern w:val="2"/>
          <w:sz w:val="52"/>
          <w:szCs w:val="60"/>
          <w:lang w:val="en-US" w:eastAsia="zh-CN" w:bidi="ar-SA"/>
        </w:rPr>
        <w:id w:val="147469591"/>
        <w15:color w:val="DBDBDB"/>
        <w:docPartObj>
          <w:docPartGallery w:val="Table of Contents"/>
          <w:docPartUnique/>
        </w:docPartObj>
      </w:sdtPr>
      <w:sdtEndPr>
        <w:rPr>
          <w:rFonts w:hint="eastAsia" w:asciiTheme="majorEastAsia" w:hAnsiTheme="majorEastAsia" w:eastAsiaTheme="majorEastAsia" w:cstheme="majorEastAsia"/>
          <w:kern w:val="2"/>
          <w:sz w:val="36"/>
          <w:szCs w:val="44"/>
          <w:lang w:val="en-US" w:eastAsia="zh-CN" w:bidi="ar-SA"/>
        </w:rPr>
      </w:sdtEndPr>
      <w:sdtContent>
        <w:p w14:paraId="2B4FFD52">
          <w:pPr>
            <w:spacing w:before="0" w:beforeLines="0" w:after="0" w:afterLines="0" w:line="240" w:lineRule="auto"/>
            <w:ind w:left="0" w:leftChars="0" w:right="0" w:rightChars="0" w:firstLine="0" w:firstLineChars="0"/>
            <w:jc w:val="center"/>
            <w:rPr>
              <w:sz w:val="52"/>
              <w:szCs w:val="60"/>
            </w:rPr>
          </w:pPr>
          <w:r>
            <w:rPr>
              <w:rFonts w:ascii="宋体" w:hAnsi="宋体" w:eastAsia="宋体"/>
              <w:sz w:val="52"/>
              <w:szCs w:val="60"/>
            </w:rPr>
            <w:t>目录</w:t>
          </w:r>
        </w:p>
        <w:p w14:paraId="025925AB">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TOC \o "1-1" \h \u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_Toc27897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第一章 综合评分表</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_Toc27897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1C2C024F">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_Toc16421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第二章 招标公告</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_Toc16421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10</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3B83435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_Toc27909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第三章 用户需求书</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_Toc27909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13</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0E83D99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_Toc113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 xml:space="preserve">第四章 </w:t>
          </w:r>
          <w:r>
            <w:rPr>
              <w:rFonts w:hint="eastAsia" w:asciiTheme="majorEastAsia" w:hAnsiTheme="majorEastAsia" w:eastAsiaTheme="majorEastAsia" w:cstheme="majorEastAsia"/>
              <w:sz w:val="36"/>
              <w:szCs w:val="52"/>
            </w:rPr>
            <w:t>开标、评标、定标</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_Toc113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15</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788C09A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_Toc14800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第五章 </w:t>
          </w:r>
          <w:r>
            <w:rPr>
              <w:rFonts w:hint="eastAsia" w:asciiTheme="majorEastAsia" w:hAnsiTheme="majorEastAsia" w:eastAsiaTheme="majorEastAsia" w:cstheme="majorEastAsia"/>
              <w:sz w:val="36"/>
              <w:szCs w:val="52"/>
            </w:rPr>
            <w:t>投标文件</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52"/>
              <w:lang w:val="en-US" w:eastAsia="zh-CN"/>
            </w:rPr>
            <w:t>编制</w:t>
          </w:r>
          <w:r>
            <w:rPr>
              <w:rFonts w:hint="eastAsia" w:asciiTheme="majorEastAsia" w:hAnsiTheme="majorEastAsia" w:eastAsiaTheme="majorEastAsia" w:cstheme="majorEastAsia"/>
              <w:sz w:val="36"/>
              <w:szCs w:val="52"/>
            </w:rPr>
            <w:t>参考</w:t>
          </w:r>
          <w:r>
            <w:rPr>
              <w:rFonts w:hint="eastAsia" w:asciiTheme="majorEastAsia" w:hAnsiTheme="majorEastAsia" w:eastAsiaTheme="majorEastAsia" w:cstheme="majorEastAsia"/>
              <w:sz w:val="36"/>
              <w:szCs w:val="52"/>
              <w:lang w:val="en-US" w:eastAsia="zh-CN"/>
            </w:rPr>
            <w:t>模板</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_Toc14800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24</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4FD02B4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_Toc21111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第六章 </w:t>
          </w:r>
          <w:r>
            <w:rPr>
              <w:rFonts w:hint="eastAsia" w:asciiTheme="majorEastAsia" w:hAnsiTheme="majorEastAsia" w:eastAsiaTheme="majorEastAsia" w:cstheme="majorEastAsia"/>
              <w:sz w:val="36"/>
              <w:szCs w:val="52"/>
              <w:lang w:eastAsia="zh-TW"/>
            </w:rPr>
            <w:t>说 明</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_Toc21111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60</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50CEB7C1">
          <w:pPr>
            <w:rPr>
              <w:rFonts w:hint="eastAsia" w:asciiTheme="majorEastAsia" w:hAnsiTheme="majorEastAsia" w:eastAsiaTheme="majorEastAsia" w:cstheme="majorEastAsia"/>
              <w:kern w:val="2"/>
              <w:sz w:val="36"/>
              <w:szCs w:val="44"/>
              <w:lang w:val="en-US" w:eastAsia="zh-CN" w:bidi="ar-SA"/>
            </w:rPr>
          </w:pPr>
          <w:r>
            <w:rPr>
              <w:rFonts w:hint="eastAsia" w:asciiTheme="majorEastAsia" w:hAnsiTheme="majorEastAsia" w:eastAsiaTheme="majorEastAsia" w:cstheme="majorEastAsia"/>
              <w:kern w:val="2"/>
              <w:sz w:val="36"/>
              <w:szCs w:val="44"/>
              <w:lang w:val="en-US" w:eastAsia="zh-CN" w:bidi="ar-SA"/>
            </w:rPr>
            <w:fldChar w:fldCharType="end"/>
          </w:r>
        </w:p>
      </w:sdtContent>
    </w:sdt>
    <w:p w14:paraId="5BBB0E65">
      <w:pPr>
        <w:rPr>
          <w:rFonts w:asciiTheme="minorHAnsi" w:hAnsiTheme="minorHAnsi" w:eastAsiaTheme="minorEastAsia" w:cstheme="minorBidi"/>
          <w:kern w:val="2"/>
          <w:sz w:val="21"/>
          <w:szCs w:val="24"/>
          <w:lang w:val="en-US" w:eastAsia="zh-CN" w:bidi="ar-SA"/>
        </w:rPr>
      </w:pPr>
    </w:p>
    <w:p w14:paraId="0CF51C02"/>
    <w:p w14:paraId="2EC45284">
      <w:pPr>
        <w:pStyle w:val="3"/>
        <w:numPr>
          <w:ilvl w:val="0"/>
          <w:numId w:val="0"/>
        </w:numPr>
        <w:spacing w:line="240" w:lineRule="auto"/>
        <w:ind w:left="0" w:leftChars="0" w:firstLine="0" w:firstLineChars="0"/>
        <w:jc w:val="both"/>
        <w:outlineLvl w:val="9"/>
        <w:rPr>
          <w:rFonts w:hint="eastAsia" w:cs="宋体" w:asciiTheme="majorEastAsia" w:hAnsiTheme="majorEastAsia" w:eastAsiaTheme="majorEastAsia"/>
          <w:kern w:val="2"/>
          <w:sz w:val="32"/>
          <w:szCs w:val="32"/>
          <w:lang w:val="en-US" w:eastAsia="zh-CN" w:bidi="ar-SA"/>
        </w:rPr>
      </w:pPr>
      <w:r>
        <w:br w:type="page"/>
      </w:r>
      <w:bookmarkStart w:id="2" w:name="_Toc24015566"/>
      <w:bookmarkStart w:id="3" w:name="_Toc28823"/>
    </w:p>
    <w:bookmarkEnd w:id="2"/>
    <w:bookmarkEnd w:id="3"/>
    <w:p w14:paraId="549DA7AA">
      <w:pPr>
        <w:widowControl/>
        <w:numPr>
          <w:ilvl w:val="0"/>
          <w:numId w:val="2"/>
        </w:numPr>
        <w:ind w:firstLine="640" w:firstLineChars="200"/>
        <w:jc w:val="center"/>
        <w:outlineLvl w:val="0"/>
        <w:rPr>
          <w:rFonts w:hint="eastAsia" w:cs="宋体" w:asciiTheme="majorEastAsia" w:hAnsiTheme="majorEastAsia" w:eastAsiaTheme="majorEastAsia"/>
          <w:kern w:val="2"/>
          <w:sz w:val="32"/>
          <w:szCs w:val="32"/>
          <w:lang w:val="en-US" w:eastAsia="zh-CN" w:bidi="ar-SA"/>
        </w:rPr>
      </w:pPr>
      <w:bookmarkStart w:id="4" w:name="_Toc27897"/>
      <w:r>
        <w:rPr>
          <w:rFonts w:hint="eastAsia" w:cs="宋体" w:asciiTheme="majorEastAsia" w:hAnsiTheme="majorEastAsia" w:eastAsiaTheme="majorEastAsia"/>
          <w:kern w:val="2"/>
          <w:sz w:val="32"/>
          <w:szCs w:val="32"/>
          <w:lang w:val="en-US" w:eastAsia="zh-CN" w:bidi="ar-SA"/>
        </w:rPr>
        <w:t>综合评分表</w:t>
      </w:r>
      <w:bookmarkEnd w:id="4"/>
    </w:p>
    <w:tbl>
      <w:tblPr>
        <w:tblStyle w:val="16"/>
        <w:tblW w:w="98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7"/>
        <w:gridCol w:w="647"/>
        <w:gridCol w:w="7443"/>
        <w:gridCol w:w="702"/>
      </w:tblGrid>
      <w:tr w14:paraId="3BAD7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829" w:type="dxa"/>
            <w:gridSpan w:val="4"/>
            <w:tcBorders>
              <w:top w:val="nil"/>
              <w:left w:val="nil"/>
              <w:bottom w:val="nil"/>
              <w:right w:val="nil"/>
            </w:tcBorders>
            <w:shd w:val="clear" w:color="auto" w:fill="auto"/>
            <w:noWrap/>
            <w:vAlign w:val="center"/>
          </w:tcPr>
          <w:p w14:paraId="71C6EA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Style w:val="27"/>
                <w:sz w:val="21"/>
                <w:szCs w:val="21"/>
                <w:lang w:val="en-US" w:eastAsia="zh-CN" w:bidi="ar"/>
              </w:rPr>
              <w:t>项目名称：                         招标编号：</w:t>
            </w:r>
          </w:p>
        </w:tc>
      </w:tr>
      <w:tr w14:paraId="2010C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7D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评分项目</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32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3B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评分因素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91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r>
      <w:tr w14:paraId="48192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bottom w:val="nil"/>
              <w:right w:val="single" w:color="000000" w:sz="4" w:space="0"/>
            </w:tcBorders>
            <w:shd w:val="clear" w:color="auto" w:fill="auto"/>
            <w:vAlign w:val="center"/>
          </w:tcPr>
          <w:p w14:paraId="64387D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20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82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技术参数响应情况                                                               投标供应商应如实填写《技术规格偏离表》，评审委员会根据技术需求参数响应情况进行打分，每1项负偏离的，扣2分；扣完为止。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EA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36</w:t>
            </w:r>
          </w:p>
        </w:tc>
      </w:tr>
      <w:tr w14:paraId="22FC3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1CC9D6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33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02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重要技术参数响应评分                                                                投标供应商应如实填写《技术规格偏离表》，评审委员会根据技术需求参数响应情况进行打分，每1项负偏离的，扣4分；扣完为止。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86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w:t>
            </w:r>
          </w:p>
        </w:tc>
      </w:tr>
      <w:tr w14:paraId="0E847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7"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05F0F7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2C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06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技术保障措施</w:t>
            </w:r>
          </w:p>
          <w:p w14:paraId="3BD4A2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投标人在投标文件中提供技术保障措施，评分标准：</w:t>
            </w:r>
          </w:p>
          <w:p w14:paraId="346A05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1.安装售后服务保障</w:t>
            </w:r>
          </w:p>
          <w:p w14:paraId="1EA3C5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2.紧急情况相应程度</w:t>
            </w:r>
          </w:p>
          <w:p w14:paraId="328711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3.人员培训措施综合评价</w:t>
            </w:r>
          </w:p>
          <w:p w14:paraId="3FE148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每提供一项得1分，最高不超过3分。</w:t>
            </w:r>
          </w:p>
          <w:p w14:paraId="277A87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在此基础上，专家根据各供应商的具体响应内容进一步评审，评审标准如下：</w:t>
            </w:r>
          </w:p>
          <w:p w14:paraId="378934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(1)所投产品的安装售后服务保障、紧急情况响应程度、人员培训措施内容全面，得10分，</w:t>
            </w:r>
          </w:p>
          <w:p w14:paraId="0F5790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(2)所投产品的安装售后服务保障、紧急情况响应程度、人员培训措施评价较为内容全面，得5分，</w:t>
            </w:r>
          </w:p>
          <w:p w14:paraId="526375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(3)所投产品的安装售后服务保障、紧急情况响应程度、人员培训措施评价一般，得2分，</w:t>
            </w:r>
          </w:p>
          <w:p w14:paraId="28F61F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(4)所投产品的安装售后服务保障、紧急情况响应程度、人员培训措施评价差，不得分。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44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13</w:t>
            </w:r>
          </w:p>
        </w:tc>
      </w:tr>
      <w:tr w14:paraId="7D31B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right w:val="single" w:color="000000" w:sz="4" w:space="0"/>
            </w:tcBorders>
            <w:shd w:val="clear" w:color="auto" w:fill="auto"/>
            <w:vAlign w:val="center"/>
          </w:tcPr>
          <w:p w14:paraId="4BFC4C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54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A9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有效业绩                                                                        提供1项有效业绩的，得1分；以此类推，最高不超过3分。不提供或者不能有效证明的，得0分。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有效业绩定义：（同时满足以下全部要求同类业绩才属于有效业绩）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1.为投标供应商所投产品的同类业绩。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2.合同签订时间为2023年1月1日至投标截止时间前。</w:t>
            </w:r>
          </w:p>
          <w:p w14:paraId="75875E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3.合同、中标通知书、发票等证明文件必须是以该投标人出具的。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供应商必须提供项目合同或中标通知书或发票复印件，未提供或无法判断则不得分，原件备查。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D4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r>
      <w:tr w14:paraId="37911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5A31AB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73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BF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履约评价</w:t>
            </w:r>
          </w:p>
          <w:p w14:paraId="539DBD6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投标人提供上述同类项目业绩中，能够提供用户出具的履约评书，且评价为优或满意以上的，每提供1份得1分，本项最高得3分。</w:t>
            </w:r>
          </w:p>
          <w:p w14:paraId="63750DE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366127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须提供用户出具的履约评价书扫描件或复印件，并加盖用户公章，原件备查。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2A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r>
      <w:tr w14:paraId="0F21E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3659F5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74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2BF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延长质保期                                                                      在满足免费保修期（3年质保期）基础上，承诺每延长1年加1分，最高2分。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p>
          <w:p w14:paraId="21D29E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提供延长免费保修期的承诺函（格式自拟），未提供或无法判断则不得分。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3A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E929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bottom w:val="nil"/>
              <w:right w:val="single" w:color="000000" w:sz="4" w:space="0"/>
            </w:tcBorders>
            <w:shd w:val="clear" w:color="auto" w:fill="auto"/>
            <w:vAlign w:val="center"/>
          </w:tcPr>
          <w:p w14:paraId="2B33FE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6C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9E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诚信</w:t>
            </w:r>
          </w:p>
          <w:p w14:paraId="5BA232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投标人在参与政府采购活动中存在诚信相关问题且在主管部门相关处理措施实施期限内的；投标人存在《深圳市财政局 政府采购供应商信用信息管理办法》（深财规〔2023〕3号）列明的一般行政处罚信息、一般违法失信记录信息的，本项不得分，否则得满分。</w:t>
            </w:r>
          </w:p>
          <w:p w14:paraId="0CE87B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6D26D981">
            <w:pPr>
              <w:keepNext w:val="0"/>
              <w:keepLines w:val="0"/>
              <w:widowControl/>
              <w:suppressLineNumbers w:val="0"/>
              <w:spacing w:before="0" w:beforeAutospacing="0" w:after="0" w:afterAutospacing="0"/>
              <w:ind w:left="0" w:right="0"/>
              <w:jc w:val="left"/>
              <w:textAlignment w:val="center"/>
              <w:rPr>
                <w:rFonts w:hint="eastAsia" w:ascii="宋体" w:hAnsi="宋体" w:cs="宋体" w:eastAsia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投标人无需提供任何证明材料，由工作人员向评审委员会提供相关信息。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EA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040A6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4E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7B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48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采用低价优先法计算，即满足招标文件要求且投标价格最低的投标报价为评标基准价，其价格分为满分。其他投标人的价格分统一按照下列公式计算： </w:t>
            </w:r>
          </w:p>
          <w:p w14:paraId="0DEC91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投标报价得分=(评标基准价／投标报价)×30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95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1D573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92E5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FE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bl>
    <w:p w14:paraId="3E733A93">
      <w:pPr>
        <w:widowControl/>
        <w:jc w:val="left"/>
        <w:rPr>
          <w:rFonts w:hint="eastAsia" w:ascii="宋体" w:cs="宋体"/>
          <w:snapToGrid w:val="0"/>
          <w:kern w:val="0"/>
        </w:rPr>
      </w:pPr>
      <w:r>
        <w:rPr>
          <w:rFonts w:hint="eastAsia" w:ascii="宋体" w:cs="宋体"/>
          <w:snapToGrid w:val="0"/>
          <w:kern w:val="0"/>
        </w:rPr>
        <w:t>备注：招标文件要求提交的与评价指标体系相关的各类有效资料，投标人如未按要求提交的，该项评分为零分。</w:t>
      </w:r>
    </w:p>
    <w:p w14:paraId="6435363A">
      <w:pPr>
        <w:widowControl/>
        <w:jc w:val="left"/>
        <w:rPr>
          <w:rFonts w:hint="eastAsia" w:ascii="宋体" w:cs="宋体"/>
          <w:snapToGrid w:val="0"/>
          <w:kern w:val="0"/>
        </w:rPr>
      </w:pPr>
    </w:p>
    <w:p w14:paraId="7FAC5CF9">
      <w:pPr>
        <w:widowControl/>
        <w:jc w:val="left"/>
        <w:rPr>
          <w:rFonts w:hint="eastAsia" w:ascii="宋体" w:cs="宋体"/>
          <w:snapToGrid w:val="0"/>
          <w:kern w:val="0"/>
        </w:rPr>
      </w:pPr>
    </w:p>
    <w:p w14:paraId="521C6A40">
      <w:pPr>
        <w:widowControl/>
        <w:jc w:val="left"/>
        <w:rPr>
          <w:rFonts w:hint="eastAsia" w:ascii="宋体" w:cs="宋体"/>
          <w:snapToGrid w:val="0"/>
          <w:kern w:val="0"/>
        </w:rPr>
      </w:pPr>
    </w:p>
    <w:p w14:paraId="06190832">
      <w:pPr>
        <w:widowControl/>
        <w:jc w:val="left"/>
        <w:rPr>
          <w:rFonts w:hint="eastAsia" w:ascii="宋体" w:cs="宋体"/>
          <w:snapToGrid w:val="0"/>
          <w:kern w:val="0"/>
        </w:rPr>
      </w:pPr>
    </w:p>
    <w:p w14:paraId="472306B9">
      <w:pPr>
        <w:widowControl/>
        <w:jc w:val="left"/>
        <w:rPr>
          <w:rFonts w:hint="eastAsia" w:ascii="宋体" w:cs="宋体"/>
          <w:snapToGrid w:val="0"/>
          <w:kern w:val="0"/>
        </w:rPr>
      </w:pPr>
    </w:p>
    <w:p w14:paraId="6B9FED75">
      <w:pPr>
        <w:widowControl/>
        <w:jc w:val="left"/>
        <w:rPr>
          <w:rFonts w:hint="eastAsia" w:ascii="宋体" w:cs="宋体"/>
          <w:snapToGrid w:val="0"/>
          <w:kern w:val="0"/>
        </w:rPr>
      </w:pPr>
    </w:p>
    <w:p w14:paraId="5884F5C0">
      <w:pPr>
        <w:widowControl/>
        <w:jc w:val="left"/>
        <w:rPr>
          <w:rFonts w:hint="eastAsia" w:ascii="宋体" w:cs="宋体"/>
          <w:snapToGrid w:val="0"/>
          <w:kern w:val="0"/>
        </w:rPr>
      </w:pPr>
    </w:p>
    <w:p w14:paraId="501FB820">
      <w:pPr>
        <w:widowControl/>
        <w:jc w:val="left"/>
        <w:rPr>
          <w:rFonts w:hint="eastAsia" w:ascii="宋体" w:cs="宋体"/>
          <w:snapToGrid w:val="0"/>
          <w:kern w:val="0"/>
        </w:rPr>
      </w:pPr>
    </w:p>
    <w:p w14:paraId="4C76C92A">
      <w:pPr>
        <w:widowControl/>
        <w:jc w:val="left"/>
        <w:rPr>
          <w:rFonts w:hint="eastAsia" w:ascii="宋体" w:cs="宋体"/>
          <w:snapToGrid w:val="0"/>
          <w:kern w:val="0"/>
        </w:rPr>
      </w:pPr>
    </w:p>
    <w:p w14:paraId="5B5E2F15">
      <w:pPr>
        <w:widowControl/>
        <w:jc w:val="left"/>
        <w:rPr>
          <w:rFonts w:hint="eastAsia" w:ascii="宋体" w:cs="宋体"/>
          <w:snapToGrid w:val="0"/>
          <w:kern w:val="0"/>
        </w:rPr>
      </w:pPr>
    </w:p>
    <w:p w14:paraId="034C2B92">
      <w:pPr>
        <w:widowControl/>
        <w:jc w:val="left"/>
        <w:rPr>
          <w:rFonts w:hint="eastAsia" w:ascii="宋体" w:cs="宋体"/>
          <w:snapToGrid w:val="0"/>
          <w:kern w:val="0"/>
        </w:rPr>
      </w:pPr>
    </w:p>
    <w:p w14:paraId="47B59301">
      <w:pPr>
        <w:widowControl/>
        <w:jc w:val="left"/>
        <w:rPr>
          <w:rFonts w:hint="eastAsia" w:ascii="宋体" w:cs="宋体"/>
          <w:snapToGrid w:val="0"/>
          <w:kern w:val="0"/>
        </w:rPr>
      </w:pPr>
    </w:p>
    <w:p w14:paraId="18160263">
      <w:pPr>
        <w:widowControl/>
        <w:jc w:val="left"/>
        <w:rPr>
          <w:rFonts w:hint="eastAsia" w:ascii="宋体" w:cs="宋体"/>
          <w:snapToGrid w:val="0"/>
          <w:kern w:val="0"/>
        </w:rPr>
      </w:pPr>
    </w:p>
    <w:p w14:paraId="2ECDB819">
      <w:pPr>
        <w:widowControl/>
        <w:jc w:val="left"/>
        <w:rPr>
          <w:rFonts w:hint="eastAsia" w:ascii="宋体" w:cs="宋体"/>
          <w:snapToGrid w:val="0"/>
          <w:kern w:val="0"/>
        </w:rPr>
      </w:pPr>
    </w:p>
    <w:p w14:paraId="3F39DACF">
      <w:pPr>
        <w:widowControl/>
        <w:jc w:val="left"/>
        <w:rPr>
          <w:rFonts w:hint="eastAsia" w:ascii="宋体" w:cs="宋体"/>
          <w:snapToGrid w:val="0"/>
          <w:kern w:val="0"/>
        </w:rPr>
      </w:pPr>
    </w:p>
    <w:p w14:paraId="3B0DF469">
      <w:pPr>
        <w:widowControl/>
        <w:jc w:val="left"/>
        <w:rPr>
          <w:rFonts w:hint="eastAsia" w:ascii="宋体" w:cs="宋体"/>
          <w:snapToGrid w:val="0"/>
          <w:kern w:val="0"/>
        </w:rPr>
      </w:pPr>
    </w:p>
    <w:p w14:paraId="7936A017">
      <w:pPr>
        <w:widowControl/>
        <w:jc w:val="left"/>
        <w:rPr>
          <w:rFonts w:hint="eastAsia" w:ascii="宋体" w:cs="宋体"/>
          <w:snapToGrid w:val="0"/>
          <w:kern w:val="0"/>
        </w:rPr>
      </w:pPr>
    </w:p>
    <w:p w14:paraId="2C368AE4">
      <w:pPr>
        <w:widowControl/>
        <w:jc w:val="left"/>
        <w:rPr>
          <w:rFonts w:hint="eastAsia" w:ascii="宋体" w:cs="宋体"/>
          <w:snapToGrid w:val="0"/>
          <w:kern w:val="0"/>
        </w:rPr>
      </w:pPr>
    </w:p>
    <w:p w14:paraId="541605B7">
      <w:pPr>
        <w:widowControl/>
        <w:jc w:val="left"/>
        <w:rPr>
          <w:rFonts w:hint="eastAsia" w:ascii="宋体" w:cs="宋体"/>
          <w:snapToGrid w:val="0"/>
          <w:kern w:val="0"/>
        </w:rPr>
      </w:pPr>
    </w:p>
    <w:p w14:paraId="4D5860BD">
      <w:pPr>
        <w:widowControl/>
        <w:jc w:val="left"/>
        <w:rPr>
          <w:rFonts w:hint="eastAsia" w:ascii="宋体" w:cs="宋体"/>
          <w:snapToGrid w:val="0"/>
          <w:kern w:val="0"/>
        </w:rPr>
      </w:pPr>
    </w:p>
    <w:p w14:paraId="15BCC94D">
      <w:pPr>
        <w:widowControl/>
        <w:jc w:val="left"/>
        <w:rPr>
          <w:rFonts w:hint="eastAsia" w:ascii="宋体" w:cs="宋体"/>
          <w:snapToGrid w:val="0"/>
          <w:kern w:val="0"/>
        </w:rPr>
      </w:pPr>
    </w:p>
    <w:p w14:paraId="42F6C424">
      <w:pPr>
        <w:widowControl/>
        <w:jc w:val="left"/>
        <w:rPr>
          <w:rFonts w:hint="eastAsia" w:ascii="宋体" w:cs="宋体"/>
          <w:snapToGrid w:val="0"/>
          <w:kern w:val="0"/>
        </w:rPr>
      </w:pPr>
    </w:p>
    <w:p w14:paraId="5F7E00AB">
      <w:pPr>
        <w:widowControl/>
        <w:jc w:val="left"/>
        <w:rPr>
          <w:rFonts w:hint="eastAsia" w:ascii="宋体" w:cs="宋体"/>
          <w:snapToGrid w:val="0"/>
          <w:kern w:val="0"/>
        </w:rPr>
      </w:pPr>
    </w:p>
    <w:p w14:paraId="16309AA4">
      <w:pPr>
        <w:widowControl/>
        <w:jc w:val="left"/>
        <w:rPr>
          <w:rFonts w:hint="eastAsia" w:ascii="宋体" w:cs="宋体"/>
          <w:snapToGrid w:val="0"/>
          <w:kern w:val="0"/>
        </w:rPr>
      </w:pPr>
    </w:p>
    <w:p w14:paraId="4A2149EB">
      <w:pPr>
        <w:widowControl/>
        <w:jc w:val="left"/>
        <w:rPr>
          <w:rFonts w:hint="eastAsia" w:ascii="宋体" w:cs="宋体"/>
          <w:snapToGrid w:val="0"/>
          <w:kern w:val="0"/>
        </w:rPr>
      </w:pPr>
    </w:p>
    <w:p w14:paraId="66F24A15">
      <w:pPr>
        <w:widowControl/>
        <w:jc w:val="left"/>
        <w:rPr>
          <w:rFonts w:hint="eastAsia" w:ascii="宋体" w:cs="宋体"/>
          <w:snapToGrid w:val="0"/>
          <w:kern w:val="0"/>
        </w:rPr>
      </w:pPr>
    </w:p>
    <w:p w14:paraId="483038EC">
      <w:pPr>
        <w:widowControl/>
        <w:jc w:val="left"/>
        <w:rPr>
          <w:rFonts w:hint="eastAsia" w:ascii="宋体" w:cs="宋体"/>
          <w:snapToGrid w:val="0"/>
          <w:kern w:val="0"/>
        </w:rPr>
      </w:pPr>
    </w:p>
    <w:p w14:paraId="468CB623">
      <w:pPr>
        <w:widowControl/>
        <w:jc w:val="left"/>
        <w:rPr>
          <w:rFonts w:hint="eastAsia" w:ascii="宋体" w:cs="宋体"/>
          <w:snapToGrid w:val="0"/>
          <w:kern w:val="0"/>
        </w:rPr>
      </w:pPr>
    </w:p>
    <w:p w14:paraId="3F8F5A74">
      <w:pPr>
        <w:widowControl/>
        <w:jc w:val="left"/>
        <w:rPr>
          <w:rFonts w:hint="eastAsia" w:ascii="宋体" w:cs="宋体"/>
          <w:snapToGrid w:val="0"/>
          <w:kern w:val="0"/>
        </w:rPr>
      </w:pPr>
    </w:p>
    <w:p w14:paraId="413A7A8C">
      <w:pPr>
        <w:widowControl/>
        <w:jc w:val="left"/>
        <w:rPr>
          <w:rFonts w:hint="eastAsia" w:ascii="宋体" w:cs="宋体"/>
          <w:snapToGrid w:val="0"/>
          <w:kern w:val="0"/>
        </w:rPr>
      </w:pPr>
    </w:p>
    <w:p w14:paraId="1CF88144">
      <w:pPr>
        <w:widowControl/>
        <w:jc w:val="left"/>
        <w:rPr>
          <w:rFonts w:hint="eastAsia" w:ascii="宋体" w:cs="宋体"/>
          <w:snapToGrid w:val="0"/>
          <w:kern w:val="0"/>
        </w:rPr>
      </w:pPr>
    </w:p>
    <w:p w14:paraId="73316491">
      <w:pPr>
        <w:widowControl/>
        <w:jc w:val="left"/>
        <w:rPr>
          <w:rFonts w:hint="eastAsia" w:ascii="宋体" w:cs="宋体"/>
          <w:snapToGrid w:val="0"/>
          <w:kern w:val="0"/>
        </w:rPr>
      </w:pPr>
    </w:p>
    <w:p w14:paraId="363E7F86">
      <w:pPr>
        <w:widowControl/>
        <w:jc w:val="left"/>
        <w:rPr>
          <w:rFonts w:hint="eastAsia" w:ascii="宋体" w:cs="宋体"/>
          <w:snapToGrid w:val="0"/>
          <w:kern w:val="0"/>
        </w:rPr>
      </w:pPr>
    </w:p>
    <w:p w14:paraId="4FFB062A">
      <w:pPr>
        <w:widowControl/>
        <w:jc w:val="left"/>
        <w:rPr>
          <w:rFonts w:hint="eastAsia" w:ascii="宋体" w:cs="宋体"/>
          <w:snapToGrid w:val="0"/>
          <w:kern w:val="0"/>
        </w:rPr>
      </w:pPr>
    </w:p>
    <w:p w14:paraId="153AF54F">
      <w:pPr>
        <w:widowControl/>
        <w:jc w:val="left"/>
        <w:rPr>
          <w:rFonts w:hint="eastAsia" w:ascii="宋体" w:cs="宋体"/>
          <w:snapToGrid w:val="0"/>
          <w:kern w:val="0"/>
        </w:rPr>
      </w:pPr>
    </w:p>
    <w:p w14:paraId="5B6B71F7">
      <w:pPr>
        <w:widowControl/>
        <w:jc w:val="center"/>
        <w:outlineLvl w:val="0"/>
        <w:rPr>
          <w:rFonts w:ascii="黑体" w:hAnsi="宋体" w:eastAsia="黑体" w:cs="宋体"/>
          <w:sz w:val="28"/>
          <w:szCs w:val="28"/>
        </w:rPr>
      </w:pPr>
      <w:r>
        <w:rPr>
          <w:rFonts w:hint="eastAsia" w:ascii="黑体" w:hAnsi="宋体" w:eastAsia="黑体" w:cs="宋体"/>
          <w:sz w:val="28"/>
          <w:szCs w:val="28"/>
          <w:lang w:bidi="ar"/>
        </w:rPr>
        <w:t>政策功能</w:t>
      </w:r>
    </w:p>
    <w:p w14:paraId="3FEA3BEB">
      <w:pPr>
        <w:pStyle w:val="15"/>
        <w:widowControl/>
        <w:ind w:left="-2" w:leftChars="-7" w:hanging="13" w:hangingChars="6"/>
        <w:jc w:val="center"/>
        <w:outlineLvl w:val="0"/>
        <w:rPr>
          <w:b/>
          <w:bCs/>
        </w:rPr>
      </w:pPr>
      <w:r>
        <w:rPr>
          <w:rFonts w:hint="eastAsia" w:cs="宋体"/>
          <w:b/>
          <w:bCs/>
        </w:rPr>
        <w:t>价格扣除</w:t>
      </w:r>
    </w:p>
    <w:p w14:paraId="600B1499">
      <w:pPr>
        <w:numPr>
          <w:ilvl w:val="0"/>
          <w:numId w:val="3"/>
        </w:numPr>
        <w:tabs>
          <w:tab w:val="left" w:pos="567"/>
        </w:tabs>
        <w:spacing w:line="360" w:lineRule="auto"/>
        <w:outlineLvl w:val="9"/>
        <w:rPr>
          <w:rFonts w:ascii="宋体" w:hAnsi="宋体" w:cs="宋体"/>
          <w:szCs w:val="21"/>
        </w:rPr>
      </w:pPr>
      <w:r>
        <w:rPr>
          <w:rFonts w:hint="eastAsia" w:ascii="宋体" w:hAnsi="宋体" w:cs="宋体"/>
          <w:szCs w:val="21"/>
          <w:lang w:bidi="ar"/>
        </w:rPr>
        <w:t>小型和微型企业产品价格扣除</w:t>
      </w:r>
    </w:p>
    <w:p w14:paraId="6EB15D5D">
      <w:pPr>
        <w:numPr>
          <w:ilvl w:val="1"/>
          <w:numId w:val="3"/>
        </w:numPr>
        <w:spacing w:line="360" w:lineRule="auto"/>
        <w:rPr>
          <w:rFonts w:ascii="宋体" w:hAnsi="宋体" w:cs="宋体"/>
          <w:bCs/>
          <w:strike/>
          <w:szCs w:val="21"/>
        </w:rPr>
      </w:pPr>
      <w:r>
        <w:rPr>
          <w:rFonts w:hint="eastAsia" w:ascii="宋体" w:hAnsi="宋体" w:cs="宋体"/>
          <w:bCs/>
          <w:szCs w:val="21"/>
          <w:lang w:bidi="ar"/>
        </w:rPr>
        <w:t>根据《财政部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小型和微型企业产品的价格给予C1的扣除</w:t>
      </w:r>
      <w:r>
        <w:rPr>
          <w:rFonts w:hint="eastAsia" w:ascii="宋体" w:hAnsi="宋体" w:cs="宋体"/>
          <w:b/>
          <w:bCs w:val="0"/>
          <w:szCs w:val="21"/>
          <w:lang w:bidi="ar"/>
        </w:rPr>
        <w:t>（C1的取值为</w:t>
      </w:r>
      <w:r>
        <w:rPr>
          <w:rFonts w:hint="eastAsia" w:ascii="宋体" w:hAnsi="宋体" w:cs="宋体"/>
          <w:b/>
          <w:bCs w:val="0"/>
          <w:szCs w:val="21"/>
          <w:u w:val="single"/>
          <w:lang w:bidi="ar"/>
        </w:rPr>
        <w:t>10</w:t>
      </w:r>
      <w:r>
        <w:rPr>
          <w:rFonts w:hint="eastAsia" w:ascii="宋体" w:hAnsi="宋体" w:cs="宋体"/>
          <w:b/>
          <w:bCs w:val="0"/>
          <w:szCs w:val="21"/>
          <w:lang w:bidi="ar"/>
        </w:rPr>
        <w:t>%）</w:t>
      </w:r>
      <w:r>
        <w:rPr>
          <w:rFonts w:hint="eastAsia" w:ascii="宋体" w:hAnsi="宋体" w:cs="宋体"/>
          <w:bCs/>
          <w:szCs w:val="21"/>
          <w:lang w:bidi="ar"/>
        </w:rPr>
        <w:t>，用扣除后的价格参与评审。</w:t>
      </w:r>
    </w:p>
    <w:p w14:paraId="38467324">
      <w:pPr>
        <w:numPr>
          <w:ilvl w:val="1"/>
          <w:numId w:val="3"/>
        </w:numPr>
        <w:spacing w:line="360" w:lineRule="auto"/>
        <w:rPr>
          <w:rFonts w:ascii="宋体" w:hAnsi="宋体" w:cs="宋体"/>
          <w:bCs/>
          <w:szCs w:val="21"/>
        </w:rPr>
      </w:pPr>
      <w:r>
        <w:rPr>
          <w:rFonts w:hint="eastAsia" w:ascii="宋体" w:hAnsi="宋体" w:cs="宋体"/>
          <w:bCs/>
          <w:szCs w:val="21"/>
          <w:lang w:bidi="ar"/>
        </w:rPr>
        <w:t>《政府采购促进中小企业发展管理办法》所称中小企业（含中型、小型、微型企业，下同）应当同时符合以下条件：</w:t>
      </w:r>
    </w:p>
    <w:p w14:paraId="27018DEC">
      <w:pPr>
        <w:numPr>
          <w:ilvl w:val="2"/>
          <w:numId w:val="3"/>
        </w:numPr>
        <w:spacing w:line="360" w:lineRule="auto"/>
        <w:ind w:left="567" w:hanging="567"/>
        <w:outlineLvl w:val="9"/>
        <w:rPr>
          <w:rFonts w:ascii="宋体" w:hAnsi="宋体" w:cs="宋体"/>
          <w:bCs/>
          <w:szCs w:val="21"/>
        </w:rPr>
      </w:pPr>
      <w:r>
        <w:rPr>
          <w:rFonts w:hint="eastAsia" w:ascii="宋体" w:hAnsi="宋体" w:cs="宋体"/>
          <w:bCs/>
          <w:szCs w:val="21"/>
          <w:lang w:bidi="ar"/>
        </w:rPr>
        <w:t xml:space="preserve">符合中小企业划分标准； </w:t>
      </w:r>
    </w:p>
    <w:p w14:paraId="0FD0E25E">
      <w:pPr>
        <w:numPr>
          <w:ilvl w:val="2"/>
          <w:numId w:val="3"/>
        </w:numPr>
        <w:spacing w:line="360" w:lineRule="auto"/>
        <w:ind w:left="567" w:hanging="567"/>
        <w:rPr>
          <w:rFonts w:ascii="宋体" w:hAnsi="宋体" w:cs="宋体"/>
          <w:bCs/>
          <w:szCs w:val="21"/>
        </w:rPr>
      </w:pPr>
      <w:r>
        <w:rPr>
          <w:rFonts w:hint="eastAsia" w:ascii="宋体" w:hAnsi="宋体" w:cs="宋体"/>
          <w:bCs/>
          <w:szCs w:val="21"/>
          <w:lang w:bidi="ar"/>
        </w:rPr>
        <w:t>提供本企业制造的货物、承担的工程或者服务，或者提供其他中小企业制造的货物。本项所称货物不包括使用大型企业注册商标的货物。</w:t>
      </w:r>
    </w:p>
    <w:p w14:paraId="1457FC4F">
      <w:pPr>
        <w:spacing w:line="360" w:lineRule="auto"/>
        <w:ind w:firstLine="495" w:firstLineChars="236"/>
        <w:rPr>
          <w:rFonts w:ascii="宋体" w:hAnsi="宋体" w:cs="宋体"/>
          <w:bCs/>
          <w:szCs w:val="21"/>
        </w:rPr>
      </w:pPr>
      <w:r>
        <w:rPr>
          <w:rFonts w:hint="eastAsia" w:ascii="宋体" w:hAnsi="宋体" w:cs="宋体"/>
          <w:bCs/>
          <w:szCs w:val="21"/>
          <w:lang w:bidi="ar"/>
        </w:rPr>
        <w:t>中小企业划分标准以《工业和信息化部、国家统计局、国家发展和改革委员会、财政部关于印发中小企业划型标准规定的通知》（工信部联企业[2011]300号）规定的划分标准为准。小型、微型企业提供中型企业制造的货物的，视同为中型企业。</w:t>
      </w:r>
    </w:p>
    <w:p w14:paraId="1DAE5FBF">
      <w:pPr>
        <w:numPr>
          <w:ilvl w:val="1"/>
          <w:numId w:val="3"/>
        </w:numPr>
        <w:spacing w:line="360" w:lineRule="auto"/>
        <w:rPr>
          <w:rFonts w:ascii="宋体" w:hAnsi="宋体" w:cs="宋体"/>
          <w:szCs w:val="21"/>
        </w:rPr>
      </w:pPr>
      <w:r>
        <w:rPr>
          <w:rFonts w:hint="eastAsia" w:ascii="宋体" w:hAnsi="宋体" w:cs="宋体"/>
          <w:bCs/>
          <w:szCs w:val="21"/>
          <w:lang w:bidi="ar"/>
        </w:rPr>
        <w:t>参加政府采购活动的中小企业应当提供《中小企业声明函》（格式见第六章投标文件格式）</w:t>
      </w:r>
      <w:r>
        <w:rPr>
          <w:rFonts w:hint="eastAsia" w:ascii="宋体" w:hAnsi="宋体" w:cs="宋体"/>
          <w:szCs w:val="21"/>
          <w:lang w:bidi="ar"/>
        </w:rPr>
        <w:t>。</w:t>
      </w:r>
    </w:p>
    <w:p w14:paraId="150FA081">
      <w:pPr>
        <w:spacing w:line="360" w:lineRule="auto"/>
        <w:ind w:left="567"/>
        <w:rPr>
          <w:rFonts w:ascii="宋体" w:hAnsi="宋体" w:cs="宋体"/>
          <w:bCs/>
          <w:szCs w:val="21"/>
        </w:rPr>
      </w:pPr>
      <w:r>
        <w:rPr>
          <w:rFonts w:hint="eastAsia" w:ascii="宋体" w:hAnsi="宋体" w:cs="宋体"/>
          <w:bCs/>
          <w:szCs w:val="21"/>
          <w:lang w:bidi="ar"/>
        </w:rPr>
        <w:t>投标人提供的货物只有部分为小型或微型企业制造的，不享受价格扣除。</w:t>
      </w:r>
    </w:p>
    <w:p w14:paraId="5A21A797">
      <w:pPr>
        <w:numPr>
          <w:ilvl w:val="1"/>
          <w:numId w:val="3"/>
        </w:numPr>
        <w:spacing w:line="360" w:lineRule="auto"/>
        <w:outlineLvl w:val="9"/>
        <w:rPr>
          <w:rFonts w:ascii="宋体" w:hAnsi="宋体" w:cs="宋体"/>
          <w:szCs w:val="21"/>
        </w:rPr>
      </w:pPr>
      <w:r>
        <w:rPr>
          <w:rFonts w:hint="eastAsia" w:ascii="宋体" w:hAnsi="宋体" w:cs="宋体"/>
          <w:szCs w:val="21"/>
          <w:lang w:bidi="ar"/>
        </w:rPr>
        <w:t>监狱企业产品价格扣除</w:t>
      </w:r>
    </w:p>
    <w:p w14:paraId="70A22E0A">
      <w:pPr>
        <w:numPr>
          <w:ilvl w:val="2"/>
          <w:numId w:val="3"/>
        </w:numPr>
        <w:spacing w:line="360" w:lineRule="auto"/>
        <w:ind w:left="567" w:hanging="567"/>
        <w:rPr>
          <w:rFonts w:ascii="宋体" w:hAnsi="宋体" w:cs="宋体"/>
          <w:szCs w:val="21"/>
        </w:rPr>
      </w:pPr>
      <w:r>
        <w:rPr>
          <w:rFonts w:hint="eastAsia" w:ascii="宋体" w:hAnsi="宋体" w:cs="宋体"/>
          <w:szCs w:val="21"/>
          <w:lang w:bidi="ar"/>
        </w:rPr>
        <w:t>监狱企业视同小型、微型企业，按上述条款享受评审中价格扣除。</w:t>
      </w:r>
    </w:p>
    <w:p w14:paraId="514C4064">
      <w:pPr>
        <w:numPr>
          <w:ilvl w:val="2"/>
          <w:numId w:val="3"/>
        </w:numPr>
        <w:spacing w:line="360" w:lineRule="auto"/>
        <w:ind w:left="567" w:hanging="567"/>
        <w:rPr>
          <w:rFonts w:ascii="宋体" w:hAnsi="宋体" w:cs="宋体"/>
          <w:szCs w:val="21"/>
        </w:rPr>
      </w:pPr>
      <w:r>
        <w:rPr>
          <w:rFonts w:hint="eastAsia" w:ascii="宋体" w:hAnsi="宋体" w:cs="宋体"/>
          <w:szCs w:val="21"/>
          <w:lang w:bidi="ar"/>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6875C41">
      <w:pPr>
        <w:numPr>
          <w:ilvl w:val="2"/>
          <w:numId w:val="3"/>
        </w:numPr>
        <w:spacing w:line="360" w:lineRule="auto"/>
        <w:ind w:left="567" w:hanging="567"/>
        <w:rPr>
          <w:rFonts w:ascii="宋体" w:hAnsi="宋体" w:cs="宋体"/>
          <w:szCs w:val="21"/>
        </w:rPr>
      </w:pPr>
      <w:r>
        <w:rPr>
          <w:rFonts w:hint="eastAsia" w:ascii="宋体" w:hAnsi="宋体" w:cs="宋体"/>
          <w:szCs w:val="21"/>
          <w:lang w:bidi="ar"/>
        </w:rPr>
        <w:t>监狱企业参加政府采购活动时，应当提供由省级以上监狱管理局、戒毒管理局（含新疆生产建设兵团）出具的属于监狱企业的证明文件，</w:t>
      </w:r>
      <w:r>
        <w:rPr>
          <w:rFonts w:hint="eastAsia" w:ascii="宋体" w:hAnsi="宋体" w:cs="宋体"/>
          <w:kern w:val="0"/>
          <w:szCs w:val="21"/>
          <w:lang w:bidi="ar"/>
        </w:rPr>
        <w:t>否则不予认可</w:t>
      </w:r>
      <w:r>
        <w:rPr>
          <w:rFonts w:hint="eastAsia" w:ascii="宋体" w:hAnsi="宋体" w:cs="宋体"/>
          <w:szCs w:val="21"/>
          <w:lang w:bidi="ar"/>
        </w:rPr>
        <w:t>。</w:t>
      </w:r>
    </w:p>
    <w:p w14:paraId="683978EB">
      <w:pPr>
        <w:numPr>
          <w:ilvl w:val="1"/>
          <w:numId w:val="3"/>
        </w:numPr>
        <w:spacing w:line="360" w:lineRule="auto"/>
        <w:outlineLvl w:val="9"/>
        <w:rPr>
          <w:rFonts w:ascii="宋体" w:hAnsi="宋体" w:cs="宋体"/>
          <w:szCs w:val="21"/>
        </w:rPr>
      </w:pPr>
      <w:r>
        <w:rPr>
          <w:rFonts w:hint="eastAsia" w:ascii="宋体" w:hAnsi="宋体" w:cs="宋体"/>
          <w:szCs w:val="21"/>
          <w:lang w:bidi="ar"/>
        </w:rPr>
        <w:t>残疾人福利性单位产品价格扣除</w:t>
      </w:r>
    </w:p>
    <w:p w14:paraId="2125CF69">
      <w:pPr>
        <w:numPr>
          <w:ilvl w:val="2"/>
          <w:numId w:val="3"/>
        </w:numPr>
        <w:spacing w:line="360" w:lineRule="auto"/>
        <w:ind w:left="567" w:hanging="567"/>
        <w:rPr>
          <w:rFonts w:ascii="宋体" w:hAnsi="宋体" w:cs="宋体"/>
          <w:szCs w:val="21"/>
        </w:rPr>
      </w:pPr>
      <w:r>
        <w:rPr>
          <w:rFonts w:hint="eastAsia" w:ascii="宋体" w:hAnsi="宋体" w:cs="宋体"/>
          <w:szCs w:val="21"/>
          <w:lang w:bidi="ar"/>
        </w:rPr>
        <w:t>残疾人福利性单位视同小型、微型企业，按上述条款享受评审中价格扣除。</w:t>
      </w:r>
    </w:p>
    <w:p w14:paraId="03CA2C9B">
      <w:pPr>
        <w:numPr>
          <w:ilvl w:val="2"/>
          <w:numId w:val="3"/>
        </w:numPr>
        <w:spacing w:line="360" w:lineRule="auto"/>
        <w:ind w:left="567" w:hanging="567"/>
        <w:rPr>
          <w:rFonts w:ascii="宋体" w:hAnsi="宋体" w:cs="宋体"/>
          <w:szCs w:val="21"/>
        </w:rPr>
      </w:pPr>
      <w:r>
        <w:rPr>
          <w:rFonts w:hint="eastAsia" w:ascii="宋体" w:hAnsi="宋体" w:cs="宋体"/>
          <w:bCs/>
          <w:szCs w:val="21"/>
          <w:lang w:bidi="ar"/>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w:t>
      </w:r>
      <w:r>
        <w:rPr>
          <w:rFonts w:hint="eastAsia" w:ascii="宋体" w:hAnsi="宋体" w:cs="宋体"/>
          <w:szCs w:val="21"/>
          <w:lang w:bidi="ar"/>
        </w:rPr>
        <w:t>声明的真实性负责。一旦中标将在中标公告中公告其声明函，接受社会监督。投标人提供的《残疾人福利性单位声明函》与事实不符的，依照《</w:t>
      </w:r>
      <w:r>
        <w:rPr>
          <w:rFonts w:hint="eastAsia" w:ascii="宋体" w:hAnsi="宋体" w:cs="宋体"/>
          <w:bCs/>
          <w:szCs w:val="21"/>
          <w:lang w:bidi="ar"/>
        </w:rPr>
        <w:t>中华人民共和国政府采购法</w:t>
      </w:r>
      <w:r>
        <w:rPr>
          <w:rFonts w:hint="eastAsia" w:ascii="宋体" w:hAnsi="宋体" w:cs="宋体"/>
          <w:szCs w:val="21"/>
          <w:lang w:bidi="ar"/>
        </w:rPr>
        <w:t>》第七十七条第一款的规定追究法律责任。</w:t>
      </w:r>
    </w:p>
    <w:p w14:paraId="20C042D0">
      <w:pPr>
        <w:numPr>
          <w:ilvl w:val="0"/>
          <w:numId w:val="3"/>
        </w:numPr>
        <w:tabs>
          <w:tab w:val="left" w:pos="567"/>
        </w:tabs>
        <w:spacing w:line="360" w:lineRule="auto"/>
        <w:ind w:left="567" w:hanging="567"/>
        <w:rPr>
          <w:rFonts w:ascii="宋体" w:hAnsi="宋体" w:cs="宋体"/>
          <w:color w:val="0000FF"/>
          <w:szCs w:val="21"/>
        </w:rPr>
      </w:pPr>
      <w:r>
        <w:rPr>
          <w:rFonts w:hint="eastAsia" w:ascii="宋体" w:hAnsi="宋体" w:cs="宋体"/>
          <w:szCs w:val="21"/>
          <w:lang w:bidi="ar"/>
        </w:rPr>
        <w:t>投标人同时为小型、微型企业、监狱企业、残疾人福利性单位任两种或以上情况的，评审中只享受一次价格扣除，不重复进行价格扣除。</w:t>
      </w:r>
    </w:p>
    <w:p w14:paraId="7C88F462">
      <w:pPr>
        <w:widowControl/>
        <w:numPr>
          <w:ilvl w:val="0"/>
          <w:numId w:val="2"/>
        </w:numPr>
        <w:ind w:left="0" w:leftChars="0" w:firstLine="420" w:firstLineChars="200"/>
        <w:jc w:val="center"/>
        <w:outlineLvl w:val="0"/>
        <w:rPr>
          <w:rFonts w:hint="eastAsia" w:asciiTheme="majorEastAsia" w:hAnsiTheme="majorEastAsia" w:eastAsiaTheme="majorEastAsia"/>
          <w:sz w:val="32"/>
          <w:szCs w:val="32"/>
          <w:lang w:val="en-US" w:eastAsia="zh-CN"/>
        </w:rPr>
      </w:pPr>
      <w:r>
        <w:br w:type="page"/>
      </w:r>
      <w:bookmarkStart w:id="5" w:name="_Toc16421"/>
      <w:r>
        <w:rPr>
          <w:rFonts w:hint="eastAsia" w:asciiTheme="majorEastAsia" w:hAnsiTheme="majorEastAsia" w:eastAsiaTheme="majorEastAsia"/>
          <w:sz w:val="32"/>
          <w:szCs w:val="32"/>
          <w:lang w:val="en-US" w:eastAsia="zh-CN"/>
        </w:rPr>
        <w:t>招标公告</w:t>
      </w:r>
      <w:bookmarkEnd w:id="5"/>
    </w:p>
    <w:p w14:paraId="37A5CB8D">
      <w:pPr>
        <w:pStyle w:val="3"/>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6" w:name="OLE_LINK1"/>
      <w:bookmarkStart w:id="7" w:name="OLE_LINK3"/>
      <w:r>
        <w:rPr>
          <w:rFonts w:hint="eastAsia" w:ascii="宋体" w:hAnsi="宋体"/>
          <w:szCs w:val="28"/>
        </w:rPr>
        <w:t>项目概况</w:t>
      </w:r>
    </w:p>
    <w:p w14:paraId="6AAB300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r>
        <w:rPr>
          <w:rFonts w:hint="eastAsia" w:ascii="宋体" w:hAnsi="宋体"/>
          <w:szCs w:val="28"/>
          <w:u w:val="single"/>
          <w:lang w:val="en-US" w:eastAsia="zh-CN"/>
        </w:rPr>
        <w:t>声阻抗仪</w:t>
      </w:r>
      <w:r>
        <w:rPr>
          <w:rFonts w:hint="eastAsia" w:ascii="宋体" w:hAnsi="宋体"/>
          <w:szCs w:val="28"/>
          <w:u w:val="single"/>
          <w:lang w:eastAsia="zh-CN"/>
        </w:rPr>
        <w:t>（</w:t>
      </w:r>
      <w:r>
        <w:rPr>
          <w:rFonts w:hint="eastAsia" w:ascii="宋体" w:hAnsi="宋体"/>
          <w:szCs w:val="28"/>
          <w:u w:val="single"/>
          <w:lang w:val="en-US" w:eastAsia="zh-CN"/>
        </w:rPr>
        <w:t>二次招标</w:t>
      </w:r>
      <w:r>
        <w:rPr>
          <w:rFonts w:hint="eastAsia" w:ascii="宋体" w:hAnsi="宋体"/>
          <w:szCs w:val="28"/>
          <w:u w:val="single"/>
          <w:lang w:eastAsia="zh-CN"/>
        </w:rPr>
        <w:t>）</w:t>
      </w:r>
      <w:r>
        <w:rPr>
          <w:rFonts w:hint="eastAsia" w:ascii="宋体" w:hAnsi="宋体"/>
          <w:szCs w:val="28"/>
        </w:rPr>
        <w:t>招标项目的潜在投标人应在</w:t>
      </w:r>
      <w:r>
        <w:rPr>
          <w:rFonts w:hint="eastAsia" w:ascii="宋体" w:hAnsi="宋体"/>
          <w:szCs w:val="28"/>
          <w:lang w:val="en-US" w:eastAsia="zh-CN"/>
        </w:rPr>
        <w:t>深圳市福田区第二人民医院</w:t>
      </w:r>
      <w:r>
        <w:rPr>
          <w:rFonts w:hint="eastAsia" w:ascii="宋体" w:hAnsi="宋体"/>
          <w:szCs w:val="28"/>
        </w:rPr>
        <w:t>获取招标文件，并于</w:t>
      </w:r>
      <w:r>
        <w:rPr>
          <w:rFonts w:hint="eastAsia" w:ascii="宋体" w:hAnsi="宋体"/>
          <w:szCs w:val="28"/>
          <w:u w:val="single"/>
        </w:rPr>
        <w:t>2025</w:t>
      </w:r>
      <w:r>
        <w:rPr>
          <w:rFonts w:hint="eastAsia" w:ascii="宋体" w:hAnsi="宋体"/>
          <w:bCs/>
          <w:szCs w:val="28"/>
          <w:u w:val="single"/>
        </w:rPr>
        <w:t>年</w:t>
      </w:r>
      <w:r>
        <w:rPr>
          <w:rFonts w:hint="eastAsia" w:ascii="宋体" w:hAnsi="宋体"/>
          <w:bCs/>
          <w:szCs w:val="28"/>
          <w:u w:val="single"/>
          <w:lang w:val="en-US" w:eastAsia="zh-CN"/>
        </w:rPr>
        <w:t>10</w:t>
      </w:r>
      <w:r>
        <w:rPr>
          <w:rFonts w:hint="eastAsia" w:ascii="宋体" w:hAnsi="宋体"/>
          <w:bCs/>
          <w:szCs w:val="28"/>
          <w:u w:val="single"/>
        </w:rPr>
        <w:t>月</w:t>
      </w:r>
      <w:r>
        <w:rPr>
          <w:rFonts w:hint="eastAsia" w:ascii="宋体" w:hAnsi="宋体"/>
          <w:bCs/>
          <w:szCs w:val="28"/>
          <w:u w:val="single"/>
          <w:lang w:val="en-US" w:eastAsia="zh-CN"/>
        </w:rPr>
        <w:t>29</w:t>
      </w:r>
      <w:r>
        <w:rPr>
          <w:rFonts w:hint="eastAsia" w:ascii="宋体" w:hAnsi="宋体"/>
          <w:bCs/>
          <w:szCs w:val="28"/>
          <w:u w:val="single"/>
        </w:rPr>
        <w:t>日</w:t>
      </w:r>
      <w:r>
        <w:rPr>
          <w:rFonts w:hint="eastAsia" w:ascii="宋体" w:hAnsi="宋体"/>
          <w:bCs/>
          <w:szCs w:val="28"/>
          <w:u w:val="single"/>
          <w:lang w:val="en-US" w:eastAsia="zh-CN"/>
        </w:rPr>
        <w:t>8</w:t>
      </w:r>
      <w:r>
        <w:rPr>
          <w:rFonts w:hint="eastAsia" w:ascii="宋体" w:hAnsi="宋体"/>
          <w:bCs/>
          <w:szCs w:val="28"/>
          <w:u w:val="single"/>
        </w:rPr>
        <w:t>点30分（</w:t>
      </w:r>
      <w:r>
        <w:rPr>
          <w:rFonts w:hint="eastAsia" w:ascii="宋体" w:hAnsi="宋体"/>
          <w:bCs/>
          <w:szCs w:val="28"/>
        </w:rPr>
        <w:t>北京时间）前递交投标</w:t>
      </w:r>
      <w:r>
        <w:rPr>
          <w:rFonts w:ascii="宋体" w:hAnsi="宋体"/>
          <w:bCs/>
          <w:szCs w:val="28"/>
        </w:rPr>
        <w:t>文件</w:t>
      </w:r>
      <w:r>
        <w:rPr>
          <w:rFonts w:hint="eastAsia" w:ascii="宋体" w:hAnsi="宋体"/>
          <w:szCs w:val="28"/>
        </w:rPr>
        <w:t>。</w:t>
      </w:r>
    </w:p>
    <w:p w14:paraId="75F49FC0">
      <w:pPr>
        <w:spacing w:line="360" w:lineRule="auto"/>
        <w:ind w:firstLine="420" w:firstLineChars="200"/>
        <w:rPr>
          <w:rFonts w:hint="eastAsia" w:ascii="宋体" w:hAnsi="宋体"/>
        </w:rPr>
      </w:pPr>
      <w:bookmarkStart w:id="8" w:name="OLE_LINK2"/>
    </w:p>
    <w:p w14:paraId="445E017D">
      <w:pPr>
        <w:spacing w:line="360" w:lineRule="auto"/>
        <w:ind w:firstLine="420" w:firstLineChars="200"/>
        <w:outlineLvl w:val="0"/>
        <w:rPr>
          <w:rFonts w:ascii="宋体" w:hAnsi="宋体"/>
          <w:b/>
        </w:rPr>
      </w:pPr>
      <w:r>
        <w:rPr>
          <w:rFonts w:hint="eastAsia" w:ascii="宋体" w:hAnsi="宋体"/>
        </w:rPr>
        <w:t>一、项目基本情况</w:t>
      </w:r>
    </w:p>
    <w:p w14:paraId="656BF1CC">
      <w:pPr>
        <w:spacing w:line="360" w:lineRule="auto"/>
        <w:ind w:firstLine="420" w:firstLineChars="200"/>
        <w:rPr>
          <w:rFonts w:hint="default" w:ascii="宋体" w:hAnsi="宋体" w:eastAsiaTheme="minorEastAsia"/>
          <w:lang w:val="en-US" w:eastAsia="zh-CN"/>
        </w:rPr>
      </w:pPr>
      <w:r>
        <w:rPr>
          <w:rFonts w:hint="eastAsia" w:ascii="宋体" w:hAnsi="宋体"/>
        </w:rPr>
        <w:t>项目编号：</w:t>
      </w:r>
      <w:r>
        <w:rPr>
          <w:rFonts w:hint="eastAsia" w:ascii="宋体" w:hAnsi="宋体"/>
          <w:lang w:val="en-US" w:eastAsia="zh-CN"/>
        </w:rPr>
        <w:t>FTEY-202504-QX005A</w:t>
      </w:r>
    </w:p>
    <w:p w14:paraId="792813B2">
      <w:pPr>
        <w:spacing w:line="360" w:lineRule="auto"/>
        <w:ind w:firstLine="420" w:firstLineChars="200"/>
        <w:rPr>
          <w:rFonts w:hint="eastAsia" w:ascii="宋体" w:hAnsi="宋体" w:eastAsiaTheme="minorEastAsia"/>
          <w:lang w:eastAsia="zh-CN"/>
        </w:rPr>
      </w:pPr>
      <w:r>
        <w:rPr>
          <w:rFonts w:hint="eastAsia" w:ascii="宋体" w:hAnsi="宋体"/>
        </w:rPr>
        <w:t>项目名称：声阻抗仪</w:t>
      </w:r>
      <w:r>
        <w:rPr>
          <w:rFonts w:hint="eastAsia" w:ascii="宋体" w:hAnsi="宋体"/>
          <w:lang w:eastAsia="zh-CN"/>
        </w:rPr>
        <w:t>（</w:t>
      </w:r>
      <w:r>
        <w:rPr>
          <w:rFonts w:hint="eastAsia" w:ascii="宋体" w:hAnsi="宋体"/>
          <w:lang w:val="en-US" w:eastAsia="zh-CN"/>
        </w:rPr>
        <w:t>二次招标</w:t>
      </w:r>
      <w:r>
        <w:rPr>
          <w:rFonts w:hint="eastAsia" w:ascii="宋体" w:hAnsi="宋体"/>
          <w:lang w:eastAsia="zh-CN"/>
        </w:rPr>
        <w:t>）</w:t>
      </w:r>
    </w:p>
    <w:p w14:paraId="118885C8">
      <w:pPr>
        <w:spacing w:line="360" w:lineRule="auto"/>
        <w:ind w:firstLine="420" w:firstLineChars="200"/>
        <w:rPr>
          <w:rFonts w:hint="eastAsia" w:ascii="宋体" w:hAnsi="宋体"/>
          <w:szCs w:val="21"/>
        </w:rPr>
      </w:pPr>
      <w:r>
        <w:rPr>
          <w:rFonts w:hint="eastAsia" w:ascii="宋体" w:hAnsi="宋体"/>
        </w:rPr>
        <w:t>预算金额：人民币壹拾万元整（¥</w:t>
      </w:r>
      <w:r>
        <w:rPr>
          <w:rFonts w:hint="eastAsia" w:ascii="宋体" w:hAnsi="宋体"/>
          <w:lang w:val="en-US" w:eastAsia="zh-CN"/>
        </w:rPr>
        <w:t>1000</w:t>
      </w:r>
      <w:r>
        <w:rPr>
          <w:rFonts w:hint="eastAsia" w:ascii="宋体" w:hAnsi="宋体"/>
          <w:szCs w:val="21"/>
          <w:lang w:val="en-US" w:eastAsia="zh-CN"/>
        </w:rPr>
        <w:t>00</w:t>
      </w:r>
      <w:r>
        <w:rPr>
          <w:rFonts w:hint="eastAsia" w:ascii="宋体" w:hAnsi="宋体"/>
          <w:szCs w:val="21"/>
        </w:rPr>
        <w:t>.00元）</w:t>
      </w:r>
    </w:p>
    <w:p w14:paraId="11B5D75C">
      <w:pPr>
        <w:spacing w:line="360" w:lineRule="auto"/>
        <w:ind w:firstLine="420" w:firstLineChars="200"/>
        <w:rPr>
          <w:rFonts w:hint="default" w:ascii="宋体" w:hAnsi="宋体" w:eastAsiaTheme="minorEastAsia"/>
          <w:szCs w:val="21"/>
          <w:lang w:val="en-US" w:eastAsia="zh-CN"/>
        </w:rPr>
      </w:pPr>
      <w:r>
        <w:rPr>
          <w:rFonts w:hint="eastAsia" w:ascii="宋体" w:hAnsi="宋体"/>
          <w:szCs w:val="21"/>
          <w:lang w:val="en-US" w:eastAsia="zh-CN"/>
        </w:rPr>
        <w:t>采购方式：公开招标</w:t>
      </w:r>
    </w:p>
    <w:p w14:paraId="3D8115B5">
      <w:pPr>
        <w:spacing w:line="360" w:lineRule="auto"/>
        <w:ind w:firstLine="420" w:firstLineChars="200"/>
        <w:rPr>
          <w:rFonts w:ascii="宋体" w:hAnsi="宋体"/>
          <w:u w:val="single"/>
        </w:rPr>
      </w:pPr>
      <w:r>
        <w:rPr>
          <w:rFonts w:hint="eastAsia" w:ascii="宋体" w:hAnsi="宋体"/>
        </w:rPr>
        <w:t>采购需求：详见招标文件</w:t>
      </w:r>
    </w:p>
    <w:p w14:paraId="1C2AA89B">
      <w:pPr>
        <w:spacing w:line="360" w:lineRule="auto"/>
        <w:ind w:firstLine="420" w:firstLineChars="200"/>
        <w:rPr>
          <w:rFonts w:ascii="宋体" w:hAnsi="宋体"/>
          <w:u w:val="single"/>
        </w:rPr>
      </w:pPr>
      <w:r>
        <w:rPr>
          <w:rFonts w:hint="eastAsia" w:ascii="宋体" w:hAnsi="宋体"/>
        </w:rPr>
        <w:t>合同履行期限：详见招标文件</w:t>
      </w:r>
    </w:p>
    <w:p w14:paraId="22B32CBD">
      <w:pPr>
        <w:spacing w:line="360" w:lineRule="auto"/>
        <w:ind w:firstLine="420" w:firstLineChars="200"/>
        <w:rPr>
          <w:rFonts w:hint="eastAsia" w:ascii="宋体" w:hAnsi="宋体"/>
        </w:rPr>
      </w:pPr>
      <w:r>
        <w:rPr>
          <w:rFonts w:hint="eastAsia" w:ascii="宋体" w:hAnsi="宋体"/>
        </w:rPr>
        <w:t>本项目不接受联合体投标。</w:t>
      </w:r>
    </w:p>
    <w:p w14:paraId="25206CE6">
      <w:pPr>
        <w:spacing w:line="360" w:lineRule="auto"/>
        <w:ind w:firstLine="420" w:firstLineChars="200"/>
        <w:rPr>
          <w:rFonts w:hint="eastAsia" w:ascii="宋体" w:hAnsi="宋体"/>
        </w:rPr>
      </w:pPr>
    </w:p>
    <w:p w14:paraId="1FCF967D">
      <w:pPr>
        <w:spacing w:line="360" w:lineRule="auto"/>
        <w:ind w:firstLine="420" w:firstLineChars="200"/>
        <w:outlineLvl w:val="0"/>
        <w:rPr>
          <w:rFonts w:ascii="宋体" w:hAnsi="宋体"/>
          <w:b/>
        </w:rPr>
      </w:pPr>
      <w:r>
        <w:rPr>
          <w:rFonts w:hint="eastAsia" w:ascii="宋体" w:hAnsi="宋体"/>
        </w:rPr>
        <w:t>二、申请人的资格要求：</w:t>
      </w:r>
    </w:p>
    <w:p w14:paraId="79CCFE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9"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bookmarkEnd w:id="9"/>
    </w:p>
    <w:p w14:paraId="4857933A">
      <w:pPr>
        <w:spacing w:line="360" w:lineRule="auto"/>
        <w:ind w:firstLine="420" w:firstLineChars="200"/>
        <w:rPr>
          <w:rFonts w:hint="eastAsia" w:ascii="宋体" w:hAnsi="宋体"/>
          <w:lang w:eastAsia="zh-CN"/>
        </w:rPr>
      </w:pPr>
      <w:r>
        <w:rPr>
          <w:rFonts w:hint="eastAsia" w:ascii="宋体" w:hAnsi="宋体"/>
        </w:rPr>
        <w:t>2、投标人具有独立法人资格或独立承担民事责任能力的其他组织（提供营业执照或事业单位法人证等法人证明复印件加盖投标人公章，原件备查）</w:t>
      </w:r>
      <w:r>
        <w:rPr>
          <w:rFonts w:hint="eastAsia" w:ascii="宋体" w:hAnsi="宋体"/>
          <w:lang w:eastAsia="zh-CN"/>
        </w:rPr>
        <w:t>；</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63509820">
      <w:pPr>
        <w:spacing w:line="360" w:lineRule="auto"/>
        <w:ind w:firstLine="420" w:firstLineChars="200"/>
        <w:rPr>
          <w:rFonts w:hint="eastAsia" w:ascii="宋体" w:hAnsi="宋体"/>
        </w:rPr>
      </w:pPr>
      <w:r>
        <w:rPr>
          <w:rFonts w:hint="eastAsia" w:ascii="宋体" w:hAnsi="宋体"/>
        </w:rPr>
        <w:t>①如投标人为所投产品的生产企业且所投产品为第一类医疗器械的，投标人须提供监督管理部门签发的涵盖所投医疗器械的有效《医疗器械生产备案凭证》（提供复印件加盖公章，原件备查）；</w:t>
      </w:r>
    </w:p>
    <w:p w14:paraId="25E8FCB6">
      <w:pPr>
        <w:spacing w:line="360" w:lineRule="auto"/>
        <w:ind w:firstLine="420" w:firstLineChars="200"/>
        <w:rPr>
          <w:rFonts w:hint="eastAsia" w:ascii="宋体" w:hAnsi="宋体"/>
        </w:rPr>
      </w:pPr>
      <w:r>
        <w:rPr>
          <w:rFonts w:hint="eastAsia" w:ascii="宋体" w:hAnsi="宋体"/>
        </w:rPr>
        <w:t>②如投标人为所投产品的生产企业且所投产品为第二、三类医疗器械的，投标人须提供监督管理部门签发的涵盖所投医疗器械的有效《医疗器械生产许可证》（提供复印件加盖公章，原件备查）；</w:t>
      </w:r>
    </w:p>
    <w:p w14:paraId="763399F8">
      <w:pPr>
        <w:spacing w:line="360" w:lineRule="auto"/>
        <w:ind w:firstLine="420" w:firstLineChars="200"/>
        <w:rPr>
          <w:rFonts w:hint="eastAsia" w:ascii="宋体" w:hAnsi="宋体"/>
        </w:rPr>
      </w:pPr>
      <w:r>
        <w:rPr>
          <w:rFonts w:hint="eastAsia" w:ascii="宋体" w:hAnsi="宋体"/>
        </w:rPr>
        <w:t>③如投标人为所投产品的经营企业且所投产品为第二类医疗器械的，投标人须提供监督管理部门签发的涵盖所投医疗器械的有效《医疗器械经营备案凭证》（提供复印件加盖公章，原件备查）；</w:t>
      </w:r>
    </w:p>
    <w:p w14:paraId="34A6C6B7">
      <w:pPr>
        <w:spacing w:line="360" w:lineRule="auto"/>
        <w:ind w:firstLine="420" w:firstLineChars="200"/>
        <w:rPr>
          <w:rFonts w:hint="eastAsia" w:ascii="宋体" w:hAnsi="宋体"/>
        </w:rPr>
      </w:pPr>
      <w:r>
        <w:rPr>
          <w:rFonts w:hint="eastAsia" w:ascii="宋体" w:hAnsi="宋体"/>
        </w:rPr>
        <w:t>④如投标人为所投产品的经营企业且所投产品为第三类医疗器械的，投标人须提供监督管理部门签发的涵盖所投医疗器械的有效《医疗器械经营许可证》（提供复印件加盖公章，原件备查）；</w:t>
      </w:r>
    </w:p>
    <w:p w14:paraId="2991F11E">
      <w:pPr>
        <w:spacing w:line="360" w:lineRule="auto"/>
        <w:ind w:firstLine="420" w:firstLineChars="200"/>
        <w:rPr>
          <w:rFonts w:hint="default" w:ascii="宋体" w:hAnsi="宋体"/>
          <w:lang w:val="en-US" w:eastAsia="zh-CN"/>
        </w:rPr>
      </w:pPr>
      <w:r>
        <w:rPr>
          <w:rFonts w:hint="eastAsia" w:ascii="宋体" w:hAnsi="宋体"/>
        </w:rPr>
        <w:t>⑤如投标人所投产品不</w:t>
      </w:r>
      <w:r>
        <w:rPr>
          <w:rFonts w:hint="eastAsia" w:ascii="宋体" w:hAnsi="宋体"/>
          <w:lang w:val="en-US" w:eastAsia="zh-CN"/>
        </w:rPr>
        <w:t>属</w:t>
      </w:r>
      <w:r>
        <w:rPr>
          <w:rFonts w:hint="eastAsia" w:ascii="宋体" w:hAnsi="宋体"/>
        </w:rPr>
        <w:t>于第一、二、三类医疗器械的，投标人无需提供医疗器械生产/经营资格相关证明材料，但需提供投标人关于所投产品不属于医疗器械的相关说明（加盖投标人公章）。</w:t>
      </w:r>
    </w:p>
    <w:p w14:paraId="62B7FE0C">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rPr>
        <w:t>、本项目</w:t>
      </w:r>
      <w:r>
        <w:rPr>
          <w:rFonts w:hint="eastAsia" w:ascii="宋体" w:hAnsi="宋体"/>
          <w:b/>
        </w:rPr>
        <w:t>不接受</w:t>
      </w:r>
      <w:r>
        <w:rPr>
          <w:rFonts w:hint="eastAsia" w:ascii="宋体" w:hAnsi="宋体"/>
        </w:rPr>
        <w:t>供应商选用进口产品参与投标（进口产品是指通过中国海关报关验收进入中国境内且产自境外的产品）；</w:t>
      </w:r>
    </w:p>
    <w:p w14:paraId="4799F45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bookmarkStart w:id="10" w:name="_Toc27695"/>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bookmarkEnd w:id="10"/>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4"/>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2E0B1E6D">
      <w:pPr>
        <w:spacing w:line="360" w:lineRule="auto"/>
        <w:ind w:firstLine="420" w:firstLineChars="200"/>
        <w:outlineLvl w:val="0"/>
        <w:rPr>
          <w:rFonts w:hint="default" w:ascii="宋体" w:hAnsi="宋体" w:eastAsiaTheme="minorEastAsia"/>
          <w:b/>
          <w:lang w:val="en-US" w:eastAsia="zh-CN"/>
        </w:rPr>
      </w:pPr>
      <w:r>
        <w:rPr>
          <w:rFonts w:hint="eastAsia" w:ascii="宋体" w:hAnsi="宋体"/>
          <w:lang w:val="en-US" w:eastAsia="zh-CN"/>
        </w:rPr>
        <w:t>三</w:t>
      </w:r>
      <w:r>
        <w:rPr>
          <w:rFonts w:hint="eastAsia" w:ascii="宋体" w:hAnsi="宋体"/>
        </w:rPr>
        <w:t>、</w:t>
      </w:r>
      <w:r>
        <w:rPr>
          <w:rFonts w:hint="eastAsia" w:ascii="宋体" w:hAnsi="宋体"/>
          <w:lang w:val="en-US" w:eastAsia="zh-CN"/>
        </w:rPr>
        <w:t>相关招投标时间及地点信息</w:t>
      </w:r>
    </w:p>
    <w:p w14:paraId="6F0FAEE1">
      <w:pPr>
        <w:numPr>
          <w:ilvl w:val="0"/>
          <w:numId w:val="0"/>
        </w:numPr>
        <w:spacing w:line="360" w:lineRule="auto"/>
        <w:ind w:firstLine="420" w:firstLineChars="200"/>
        <w:outlineLvl w:val="9"/>
        <w:rPr>
          <w:rFonts w:hint="eastAsia" w:ascii="宋体" w:hAnsi="宋体" w:eastAsiaTheme="minorEastAsia" w:cstheme="minorBidi"/>
          <w:bCs/>
          <w:kern w:val="2"/>
          <w:sz w:val="21"/>
          <w:szCs w:val="24"/>
          <w:lang w:val="en-US" w:eastAsia="zh-CN" w:bidi="ar-SA"/>
        </w:rPr>
      </w:pPr>
      <w:r>
        <w:rPr>
          <w:rFonts w:hint="eastAsia" w:ascii="宋体" w:hAnsi="宋体" w:eastAsiaTheme="minorEastAsia" w:cstheme="minorBidi"/>
          <w:bCs/>
          <w:kern w:val="2"/>
          <w:sz w:val="21"/>
          <w:szCs w:val="24"/>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shd w:val="clear" w:fill="FFFFFF"/>
          <w:lang w:val="en-US" w:eastAsia="zh-CN" w:bidi="ar"/>
          <w14:textFill>
            <w14:solidFill>
              <w14:schemeClr w14:val="tx1"/>
            </w14:solidFill>
          </w14:textFill>
        </w:rPr>
        <w:t>报名时间：2025年10月13日8时00分至2025年10月17日17时00分止。</w:t>
      </w:r>
    </w:p>
    <w:p w14:paraId="1A0158DA">
      <w:pPr>
        <w:spacing w:line="360" w:lineRule="auto"/>
        <w:ind w:firstLine="420" w:firstLineChars="200"/>
        <w:rPr>
          <w:rFonts w:ascii="宋体" w:hAnsi="宋体"/>
          <w:bCs/>
        </w:rPr>
      </w:pPr>
      <w:r>
        <w:rPr>
          <w:rFonts w:hint="eastAsia" w:ascii="宋体" w:hAnsi="宋体"/>
          <w:bCs/>
          <w:lang w:val="en-US" w:eastAsia="zh-CN"/>
        </w:rPr>
        <w:t>2</w:t>
      </w:r>
      <w:r>
        <w:rPr>
          <w:rFonts w:hint="eastAsia" w:ascii="宋体" w:hAnsi="宋体"/>
          <w:bCs/>
        </w:rPr>
        <w:t>、投标文件递交时间：</w:t>
      </w:r>
      <w:r>
        <w:rPr>
          <w:rFonts w:hint="eastAsia" w:ascii="宋体" w:hAnsi="宋体"/>
        </w:rPr>
        <w:t>2025年</w:t>
      </w:r>
      <w:r>
        <w:rPr>
          <w:rFonts w:hint="eastAsia" w:ascii="宋体" w:hAnsi="宋体"/>
          <w:lang w:val="en-US" w:eastAsia="zh-CN"/>
        </w:rPr>
        <w:t>10</w:t>
      </w:r>
      <w:r>
        <w:rPr>
          <w:rFonts w:hint="eastAsia" w:ascii="宋体" w:hAnsi="宋体"/>
        </w:rPr>
        <w:t>月</w:t>
      </w:r>
      <w:r>
        <w:rPr>
          <w:rFonts w:hint="eastAsia" w:ascii="宋体" w:hAnsi="宋体"/>
          <w:lang w:val="en-US" w:eastAsia="zh-CN"/>
        </w:rPr>
        <w:t>29</w:t>
      </w:r>
      <w:r>
        <w:rPr>
          <w:rFonts w:hint="eastAsia" w:ascii="宋体" w:hAnsi="宋体"/>
        </w:rPr>
        <w:t>日</w:t>
      </w:r>
      <w:r>
        <w:rPr>
          <w:rFonts w:hint="eastAsia" w:ascii="宋体" w:hAnsi="宋体"/>
          <w:bCs/>
          <w:lang w:val="en-US" w:eastAsia="zh-CN"/>
        </w:rPr>
        <w:t>8</w:t>
      </w:r>
      <w:r>
        <w:rPr>
          <w:rFonts w:hint="eastAsia" w:ascii="宋体" w:hAnsi="宋体"/>
          <w:bCs/>
        </w:rPr>
        <w:t>:00至</w:t>
      </w:r>
      <w:r>
        <w:rPr>
          <w:rFonts w:hint="eastAsia" w:ascii="宋体" w:hAnsi="宋体"/>
          <w:bCs/>
          <w:lang w:val="en-US" w:eastAsia="zh-CN"/>
        </w:rPr>
        <w:t>8</w:t>
      </w:r>
      <w:r>
        <w:rPr>
          <w:rFonts w:hint="eastAsia" w:ascii="宋体" w:hAnsi="宋体"/>
          <w:bCs/>
        </w:rPr>
        <w:t>:30（北京时间）；</w:t>
      </w:r>
    </w:p>
    <w:p w14:paraId="1157F1DE">
      <w:pPr>
        <w:spacing w:line="360" w:lineRule="auto"/>
        <w:ind w:firstLine="420" w:firstLineChars="200"/>
        <w:rPr>
          <w:rFonts w:hint="default" w:ascii="宋体" w:hAnsi="宋体"/>
          <w:bCs/>
          <w:lang w:val="en-US"/>
        </w:rPr>
      </w:pPr>
      <w:r>
        <w:rPr>
          <w:rFonts w:hint="eastAsia" w:ascii="宋体" w:hAnsi="宋体"/>
          <w:bCs/>
          <w:lang w:val="en-US" w:eastAsia="zh-CN"/>
        </w:rPr>
        <w:t>3</w:t>
      </w:r>
      <w:r>
        <w:rPr>
          <w:rFonts w:hint="eastAsia" w:ascii="宋体" w:hAnsi="宋体"/>
          <w:bCs/>
        </w:rPr>
        <w:t>、投标文件递交地点：</w:t>
      </w:r>
      <w:r>
        <w:rPr>
          <w:rFonts w:hint="eastAsia" w:ascii="宋体"/>
          <w:bCs/>
          <w:color w:val="auto"/>
          <w:szCs w:val="20"/>
          <w:highlight w:val="none"/>
          <w:lang w:val="en-US" w:eastAsia="zh-CN"/>
        </w:rPr>
        <w:t>深圳市福田区梅林街道中康路27号综合楼A栋501室</w:t>
      </w:r>
    </w:p>
    <w:p w14:paraId="74CAA61F">
      <w:pPr>
        <w:spacing w:line="360" w:lineRule="auto"/>
        <w:ind w:firstLine="420" w:firstLineChars="200"/>
        <w:rPr>
          <w:rFonts w:ascii="宋体" w:hAnsi="宋体"/>
          <w:bCs/>
        </w:rPr>
      </w:pPr>
      <w:r>
        <w:rPr>
          <w:rFonts w:hint="eastAsia" w:ascii="宋体" w:hAnsi="宋体"/>
          <w:bCs/>
          <w:lang w:val="en-US" w:eastAsia="zh-CN"/>
        </w:rPr>
        <w:t>4</w:t>
      </w:r>
      <w:r>
        <w:rPr>
          <w:rFonts w:hint="eastAsia" w:ascii="宋体" w:hAnsi="宋体"/>
          <w:bCs/>
        </w:rPr>
        <w:t>、递交投标文件截止时间：</w:t>
      </w:r>
      <w:r>
        <w:rPr>
          <w:rFonts w:hint="eastAsia" w:ascii="宋体" w:hAnsi="宋体"/>
        </w:rPr>
        <w:t>2025年</w:t>
      </w:r>
      <w:r>
        <w:rPr>
          <w:rFonts w:hint="eastAsia" w:ascii="宋体" w:hAnsi="宋体"/>
          <w:lang w:val="en-US" w:eastAsia="zh-CN"/>
        </w:rPr>
        <w:t>10</w:t>
      </w:r>
      <w:r>
        <w:rPr>
          <w:rFonts w:hint="eastAsia" w:ascii="宋体" w:hAnsi="宋体"/>
        </w:rPr>
        <w:t>月</w:t>
      </w:r>
      <w:r>
        <w:rPr>
          <w:rFonts w:hint="eastAsia" w:ascii="宋体" w:hAnsi="宋体"/>
          <w:lang w:val="en-US" w:eastAsia="zh-CN"/>
        </w:rPr>
        <w:t>29</w:t>
      </w:r>
      <w:r>
        <w:rPr>
          <w:rFonts w:hint="eastAsia" w:ascii="宋体" w:hAnsi="宋体"/>
        </w:rPr>
        <w:t>日</w:t>
      </w:r>
      <w:r>
        <w:rPr>
          <w:rFonts w:hint="eastAsia" w:ascii="宋体" w:hAnsi="宋体"/>
          <w:bCs/>
          <w:lang w:val="en-US" w:eastAsia="zh-CN"/>
        </w:rPr>
        <w:t>8</w:t>
      </w:r>
      <w:r>
        <w:rPr>
          <w:rFonts w:hint="eastAsia" w:ascii="宋体" w:hAnsi="宋体"/>
          <w:bCs/>
        </w:rPr>
        <w:t>:30（北京时间）</w:t>
      </w:r>
      <w:r>
        <w:rPr>
          <w:rFonts w:hint="eastAsia" w:ascii="宋体" w:hAnsi="宋体"/>
          <w:bCs/>
          <w:lang w:eastAsia="zh-CN"/>
        </w:rPr>
        <w:t>，</w:t>
      </w:r>
      <w:r>
        <w:rPr>
          <w:rFonts w:hint="eastAsia" w:ascii="宋体" w:hAnsi="宋体"/>
          <w:bCs/>
        </w:rPr>
        <w:t>所有投标文件应于投标截止时间之前递交，迟交的投标文件将拒绝接收；</w:t>
      </w:r>
    </w:p>
    <w:p w14:paraId="416C132A">
      <w:pPr>
        <w:spacing w:line="360" w:lineRule="auto"/>
        <w:ind w:firstLine="420" w:firstLineChars="200"/>
        <w:rPr>
          <w:rFonts w:ascii="宋体" w:hAnsi="宋体"/>
          <w:bCs/>
        </w:rPr>
      </w:pPr>
      <w:r>
        <w:rPr>
          <w:rFonts w:hint="eastAsia" w:ascii="宋体" w:hAnsi="宋体"/>
          <w:bCs/>
          <w:lang w:val="en-US" w:eastAsia="zh-CN"/>
        </w:rPr>
        <w:t>5</w:t>
      </w:r>
      <w:r>
        <w:rPr>
          <w:rFonts w:hint="eastAsia" w:ascii="宋体" w:hAnsi="宋体"/>
          <w:bCs/>
        </w:rPr>
        <w:t>、开标时间：</w:t>
      </w:r>
      <w:r>
        <w:rPr>
          <w:rFonts w:hint="eastAsia" w:ascii="宋体" w:hAnsi="宋体"/>
        </w:rPr>
        <w:t>2025年</w:t>
      </w:r>
      <w:r>
        <w:rPr>
          <w:rFonts w:hint="eastAsia" w:ascii="宋体" w:hAnsi="宋体"/>
          <w:lang w:val="en-US" w:eastAsia="zh-CN"/>
        </w:rPr>
        <w:t>10</w:t>
      </w:r>
      <w:r>
        <w:rPr>
          <w:rFonts w:hint="eastAsia" w:ascii="宋体" w:hAnsi="宋体"/>
        </w:rPr>
        <w:t>月</w:t>
      </w:r>
      <w:r>
        <w:rPr>
          <w:rFonts w:hint="eastAsia" w:ascii="宋体" w:hAnsi="宋体"/>
          <w:lang w:val="en-US" w:eastAsia="zh-CN"/>
        </w:rPr>
        <w:t>29</w:t>
      </w:r>
      <w:r>
        <w:rPr>
          <w:rFonts w:hint="eastAsia" w:ascii="宋体" w:hAnsi="宋体"/>
        </w:rPr>
        <w:t>日</w:t>
      </w:r>
      <w:r>
        <w:rPr>
          <w:rFonts w:hint="eastAsia" w:ascii="宋体" w:hAnsi="宋体"/>
          <w:bCs/>
          <w:lang w:val="en-US" w:eastAsia="zh-CN"/>
        </w:rPr>
        <w:t>8</w:t>
      </w:r>
      <w:r>
        <w:rPr>
          <w:rFonts w:hint="eastAsia" w:ascii="宋体" w:hAnsi="宋体"/>
          <w:bCs/>
        </w:rPr>
        <w:t>:30（北京时间）</w:t>
      </w:r>
    </w:p>
    <w:p w14:paraId="7CA577EA">
      <w:pPr>
        <w:spacing w:line="360" w:lineRule="auto"/>
        <w:ind w:firstLine="420" w:firstLineChars="200"/>
        <w:rPr>
          <w:rFonts w:ascii="宋体" w:hAnsi="宋体"/>
          <w:bCs/>
        </w:rPr>
      </w:pPr>
      <w:r>
        <w:rPr>
          <w:rFonts w:hint="eastAsia" w:ascii="宋体" w:hAnsi="宋体"/>
          <w:bCs/>
          <w:lang w:val="en-US" w:eastAsia="zh-CN"/>
        </w:rPr>
        <w:t>6</w:t>
      </w:r>
      <w:r>
        <w:rPr>
          <w:rFonts w:hint="eastAsia" w:ascii="宋体" w:hAnsi="宋体"/>
          <w:bCs/>
        </w:rPr>
        <w:t>、开标地点：</w:t>
      </w:r>
      <w:r>
        <w:rPr>
          <w:rFonts w:hint="eastAsia" w:ascii="宋体"/>
          <w:bCs/>
          <w:color w:val="auto"/>
          <w:szCs w:val="20"/>
          <w:highlight w:val="none"/>
          <w:lang w:val="en-US" w:eastAsia="zh-CN"/>
        </w:rPr>
        <w:t>深圳市福田区梅林街道中康路27号综合楼A栋501室</w:t>
      </w:r>
    </w:p>
    <w:p w14:paraId="003CCE7E">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0"/>
        <w:rPr>
          <w:rFonts w:ascii="宋体" w:hAnsi="宋体"/>
          <w:b/>
        </w:rPr>
      </w:pPr>
      <w:r>
        <w:rPr>
          <w:rFonts w:hint="eastAsia" w:ascii="宋体" w:hAnsi="宋体"/>
          <w:lang w:val="en-US" w:eastAsia="zh-CN"/>
        </w:rPr>
        <w:t>四</w:t>
      </w:r>
      <w:r>
        <w:rPr>
          <w:rFonts w:hint="eastAsia" w:ascii="宋体" w:hAnsi="宋体"/>
        </w:rPr>
        <w:t>、公告期限</w:t>
      </w:r>
    </w:p>
    <w:p w14:paraId="53BA3E0E">
      <w:pPr>
        <w:spacing w:line="360" w:lineRule="auto"/>
        <w:ind w:firstLine="420" w:firstLineChars="200"/>
        <w:rPr>
          <w:rFonts w:ascii="宋体" w:hAnsi="宋体"/>
          <w:kern w:val="0"/>
        </w:rPr>
      </w:pPr>
      <w:r>
        <w:rPr>
          <w:rFonts w:hint="eastAsia" w:ascii="宋体" w:hAnsi="宋体"/>
          <w:kern w:val="0"/>
        </w:rPr>
        <w:t>自本公告发布之日起5个工作日。</w:t>
      </w:r>
    </w:p>
    <w:p w14:paraId="790F53A0">
      <w:pPr>
        <w:spacing w:line="360" w:lineRule="auto"/>
        <w:ind w:firstLine="420" w:firstLineChars="200"/>
        <w:rPr>
          <w:rFonts w:hint="eastAsia" w:ascii="宋体" w:hAnsi="宋体"/>
          <w:lang w:val="en-US" w:eastAsia="zh-CN"/>
        </w:rPr>
      </w:pPr>
    </w:p>
    <w:p w14:paraId="0972B18F">
      <w:pPr>
        <w:numPr>
          <w:ilvl w:val="0"/>
          <w:numId w:val="5"/>
        </w:numPr>
        <w:spacing w:line="360" w:lineRule="auto"/>
        <w:ind w:firstLine="420" w:firstLineChars="200"/>
        <w:outlineLvl w:val="0"/>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5AAE8624">
      <w:pPr>
        <w:numPr>
          <w:ilvl w:val="0"/>
          <w:numId w:val="0"/>
        </w:numPr>
        <w:spacing w:line="360" w:lineRule="auto"/>
        <w:ind w:firstLine="420" w:firstLineChars="200"/>
        <w:rPr>
          <w:rFonts w:hint="default" w:ascii="宋体" w:hAnsi="宋体"/>
          <w:lang w:val="en-US" w:eastAsia="zh-CN"/>
        </w:rPr>
      </w:pPr>
    </w:p>
    <w:p w14:paraId="4F2DF4E0">
      <w:pPr>
        <w:numPr>
          <w:ilvl w:val="0"/>
          <w:numId w:val="5"/>
        </w:numPr>
        <w:spacing w:line="360" w:lineRule="auto"/>
        <w:ind w:firstLine="420" w:firstLineChars="200"/>
        <w:outlineLvl w:val="0"/>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30405C1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r>
        <w:rPr>
          <w:rFonts w:hint="eastAsia" w:ascii="宋体" w:hAnsi="宋体"/>
          <w:lang w:val="en-US" w:eastAsia="zh-CN"/>
        </w:rPr>
        <w:t>2.</w:t>
      </w:r>
      <w:r>
        <w:rPr>
          <w:rFonts w:hint="eastAsia" w:ascii="宋体" w:hAnsi="宋体"/>
        </w:rPr>
        <w:t>投标人有义务在招标活动期间浏览</w:t>
      </w:r>
      <w:r>
        <w:rPr>
          <w:rFonts w:hint="eastAsia" w:ascii="宋体" w:hAnsi="宋体"/>
          <w:lang w:val="en-US" w:eastAsia="zh-CN"/>
        </w:rPr>
        <w:t>深圳市福田区第二人民医院</w:t>
      </w:r>
      <w:r>
        <w:rPr>
          <w:rFonts w:hint="eastAsia" w:ascii="宋体"/>
          <w:bCs/>
          <w:color w:val="auto"/>
          <w:szCs w:val="20"/>
          <w:highlight w:val="none"/>
          <w:lang w:val="en-US" w:eastAsia="zh-CN"/>
        </w:rPr>
        <w:t>网站（https://www.ft2yy.cn/）。相关公告在上述媒体上公布之日即视为有效送达，不再另行通知。</w:t>
      </w:r>
    </w:p>
    <w:p w14:paraId="28D320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p>
    <w:p w14:paraId="3019BE1D">
      <w:pPr>
        <w:spacing w:line="360" w:lineRule="auto"/>
        <w:ind w:firstLine="420" w:firstLineChars="200"/>
        <w:outlineLvl w:val="0"/>
        <w:rPr>
          <w:rFonts w:ascii="宋体" w:hAnsi="宋体"/>
          <w:b/>
        </w:rPr>
      </w:pPr>
      <w:r>
        <w:rPr>
          <w:rFonts w:hint="eastAsia" w:ascii="宋体" w:hAnsi="宋体"/>
          <w:lang w:val="en-US" w:eastAsia="zh-CN"/>
        </w:rPr>
        <w:t>七</w:t>
      </w:r>
      <w:r>
        <w:rPr>
          <w:rFonts w:hint="eastAsia" w:ascii="宋体" w:hAnsi="宋体"/>
        </w:rPr>
        <w:t>、对本次招标提出询问，请按</w:t>
      </w:r>
      <w:r>
        <w:rPr>
          <w:rFonts w:ascii="宋体" w:hAnsi="宋体"/>
        </w:rPr>
        <w:t>以下方式</w:t>
      </w:r>
      <w:r>
        <w:rPr>
          <w:rFonts w:hint="eastAsia" w:ascii="宋体" w:hAnsi="宋体"/>
        </w:rPr>
        <w:t>联系。</w:t>
      </w:r>
    </w:p>
    <w:p w14:paraId="4F679AC3">
      <w:pPr>
        <w:adjustRightInd w:val="0"/>
        <w:snapToGrid w:val="0"/>
        <w:spacing w:line="360" w:lineRule="auto"/>
        <w:ind w:firstLine="424" w:firstLineChars="202"/>
        <w:rPr>
          <w:rFonts w:hint="default" w:ascii="宋体"/>
          <w:bCs/>
          <w:color w:val="auto"/>
          <w:szCs w:val="20"/>
          <w:highlight w:val="none"/>
          <w:lang w:val="en-US" w:eastAsia="zh-CN"/>
        </w:rPr>
      </w:pPr>
      <w:r>
        <w:rPr>
          <w:rFonts w:hint="eastAsia" w:ascii="宋体"/>
          <w:bCs/>
          <w:color w:val="auto"/>
          <w:szCs w:val="20"/>
          <w:highlight w:val="none"/>
          <w:lang w:val="en-US" w:eastAsia="zh-CN"/>
        </w:rPr>
        <w:t>医学装备部联系人</w:t>
      </w:r>
      <w:r>
        <w:rPr>
          <w:rFonts w:hint="eastAsia" w:ascii="宋体"/>
          <w:bCs/>
          <w:color w:val="auto"/>
          <w:szCs w:val="20"/>
          <w:highlight w:val="none"/>
        </w:rPr>
        <w:t>：</w:t>
      </w:r>
      <w:r>
        <w:rPr>
          <w:rFonts w:hint="eastAsia" w:ascii="宋体"/>
          <w:bCs/>
          <w:color w:val="auto"/>
          <w:szCs w:val="20"/>
          <w:highlight w:val="none"/>
          <w:lang w:val="en-US" w:eastAsia="zh-CN"/>
        </w:rPr>
        <w:t>石老师 0755-83116181</w:t>
      </w:r>
    </w:p>
    <w:p w14:paraId="1D33796B">
      <w:pPr>
        <w:adjustRightInd w:val="0"/>
        <w:snapToGrid w:val="0"/>
        <w:spacing w:line="360" w:lineRule="auto"/>
        <w:ind w:firstLine="424" w:firstLineChars="202"/>
        <w:rPr>
          <w:rFonts w:hint="eastAsia" w:ascii="宋体"/>
          <w:bCs/>
          <w:color w:val="auto"/>
          <w:szCs w:val="20"/>
          <w:highlight w:val="none"/>
        </w:rPr>
      </w:pPr>
      <w:r>
        <w:rPr>
          <w:rFonts w:hint="eastAsia" w:ascii="宋体"/>
          <w:bCs/>
          <w:color w:val="auto"/>
          <w:szCs w:val="20"/>
          <w:highlight w:val="none"/>
          <w:lang w:val="en-US" w:eastAsia="zh-CN"/>
        </w:rPr>
        <w:t>招标采购办联系人：吴老师 0755-83279817</w:t>
      </w:r>
    </w:p>
    <w:p w14:paraId="4B886C7A">
      <w:pPr>
        <w:spacing w:line="400" w:lineRule="exact"/>
        <w:rPr>
          <w:rFonts w:ascii="宋体" w:hAnsi="宋体"/>
          <w:szCs w:val="21"/>
          <w:u w:val="single"/>
        </w:rPr>
      </w:pPr>
    </w:p>
    <w:p w14:paraId="12B3098F">
      <w:pPr>
        <w:spacing w:line="400" w:lineRule="exact"/>
        <w:ind w:firstLine="420" w:firstLineChars="200"/>
        <w:jc w:val="right"/>
        <w:rPr>
          <w:rFonts w:hint="eastAsia" w:ascii="宋体" w:hAnsi="宋体"/>
          <w:szCs w:val="21"/>
          <w:lang w:val="en-US" w:eastAsia="zh-CN"/>
        </w:rPr>
      </w:pPr>
      <w:r>
        <w:rPr>
          <w:rFonts w:hint="eastAsia" w:ascii="宋体" w:hAnsi="宋体"/>
          <w:szCs w:val="21"/>
          <w:lang w:val="en-US" w:eastAsia="zh-CN"/>
        </w:rPr>
        <w:t>深圳市福田区第二人民医院</w:t>
      </w:r>
    </w:p>
    <w:p w14:paraId="7A1260C9">
      <w:pPr>
        <w:spacing w:line="400" w:lineRule="exact"/>
        <w:ind w:firstLine="420" w:firstLineChars="200"/>
        <w:jc w:val="right"/>
        <w:rPr>
          <w:rFonts w:hint="eastAsia" w:ascii="宋体" w:hAnsi="宋体"/>
          <w:lang w:val="en-US" w:eastAsia="zh-CN"/>
        </w:rPr>
      </w:pPr>
      <w:r>
        <w:rPr>
          <w:rFonts w:hint="eastAsia" w:ascii="宋体" w:hAnsi="宋体"/>
        </w:rPr>
        <w:t>2025年</w:t>
      </w:r>
      <w:r>
        <w:rPr>
          <w:rFonts w:hint="eastAsia" w:ascii="宋体" w:hAnsi="宋体"/>
          <w:lang w:val="en-US" w:eastAsia="zh-CN"/>
        </w:rPr>
        <w:t>10</w:t>
      </w:r>
      <w:r>
        <w:rPr>
          <w:rFonts w:hint="eastAsia" w:ascii="宋体" w:hAnsi="宋体"/>
        </w:rPr>
        <w:t>月</w:t>
      </w:r>
      <w:r>
        <w:rPr>
          <w:rFonts w:hint="eastAsia" w:ascii="宋体" w:hAnsi="宋体"/>
          <w:lang w:val="en-US" w:eastAsia="zh-CN"/>
        </w:rPr>
        <w:t>11</w:t>
      </w:r>
      <w:r>
        <w:rPr>
          <w:rFonts w:hint="eastAsia" w:ascii="宋体" w:hAnsi="宋体"/>
        </w:rPr>
        <w:t>日</w:t>
      </w:r>
      <w:bookmarkEnd w:id="6"/>
      <w:bookmarkEnd w:id="7"/>
      <w:bookmarkEnd w:id="8"/>
    </w:p>
    <w:p w14:paraId="3F56D25A">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11" w:name="_Toc27909"/>
      <w:r>
        <w:rPr>
          <w:rFonts w:hint="eastAsia" w:asciiTheme="majorEastAsia" w:hAnsiTheme="majorEastAsia" w:eastAsiaTheme="majorEastAsia"/>
          <w:sz w:val="32"/>
          <w:szCs w:val="32"/>
          <w:lang w:val="en-US" w:eastAsia="zh-CN"/>
        </w:rPr>
        <w:t>用户需求书</w:t>
      </w:r>
      <w:bookmarkEnd w:id="11"/>
    </w:p>
    <w:p w14:paraId="1A0964E7">
      <w:pPr>
        <w:snapToGrid w:val="0"/>
        <w:spacing w:line="360" w:lineRule="auto"/>
        <w:rPr>
          <w:rFonts w:ascii="宋体"/>
          <w:b/>
          <w:bCs/>
          <w:szCs w:val="20"/>
        </w:rPr>
      </w:pPr>
      <w:r>
        <w:rPr>
          <w:rFonts w:hint="eastAsia" w:ascii="宋体"/>
          <w:b/>
          <w:bCs/>
          <w:szCs w:val="20"/>
        </w:rPr>
        <w:t>说明：</w:t>
      </w:r>
    </w:p>
    <w:p w14:paraId="41B0864D">
      <w:pPr>
        <w:numPr>
          <w:ilvl w:val="0"/>
          <w:numId w:val="6"/>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6"/>
        </w:numPr>
        <w:snapToGrid w:val="0"/>
        <w:spacing w:line="360" w:lineRule="auto"/>
        <w:ind w:left="422" w:hanging="422" w:hangingChars="200"/>
        <w:rPr>
          <w:rFonts w:ascii="宋体"/>
          <w:b/>
          <w:bCs/>
          <w:color w:val="auto"/>
          <w:szCs w:val="20"/>
        </w:rPr>
      </w:pPr>
      <w:r>
        <w:rPr>
          <w:rFonts w:hint="eastAsia" w:asciiTheme="minorEastAsia" w:hAnsiTheme="minorEastAsia" w:eastAsiaTheme="minorEastAsia"/>
          <w:b/>
          <w:bCs/>
          <w:color w:val="auto"/>
          <w:szCs w:val="21"/>
        </w:rPr>
        <w:t>用户需求书中打</w:t>
      </w:r>
      <w:r>
        <w:rPr>
          <w:rFonts w:asciiTheme="minorEastAsia" w:hAnsiTheme="minorEastAsia" w:eastAsiaTheme="minorEastAsia"/>
          <w:b/>
          <w:bCs/>
          <w:color w:val="auto"/>
          <w:szCs w:val="21"/>
        </w:rPr>
        <w:t>“</w:t>
      </w:r>
      <w:r>
        <w:rPr>
          <w:rFonts w:hint="eastAsia" w:asciiTheme="minorEastAsia" w:hAnsiTheme="minorEastAsia" w:eastAsiaTheme="minorEastAsia"/>
          <w:b/>
          <w:bCs/>
          <w:color w:val="auto"/>
          <w:szCs w:val="21"/>
        </w:rPr>
        <w:t>★</w:t>
      </w:r>
      <w:r>
        <w:rPr>
          <w:rFonts w:asciiTheme="minorEastAsia" w:hAnsiTheme="minorEastAsia" w:eastAsiaTheme="minorEastAsia"/>
          <w:b/>
          <w:bCs/>
          <w:color w:val="auto"/>
          <w:szCs w:val="21"/>
        </w:rPr>
        <w:t>”</w:t>
      </w:r>
      <w:r>
        <w:rPr>
          <w:rFonts w:hint="eastAsia" w:asciiTheme="minorEastAsia" w:hAnsiTheme="minorEastAsia" w:eastAsiaTheme="minorEastAsia"/>
          <w:b/>
          <w:bCs/>
          <w:color w:val="auto"/>
          <w:szCs w:val="21"/>
        </w:rPr>
        <w:t>号条款为实质性条款，有任何一条负偏离则导致无效投标。</w:t>
      </w:r>
    </w:p>
    <w:p w14:paraId="4D99824F">
      <w:pPr>
        <w:numPr>
          <w:ilvl w:val="0"/>
          <w:numId w:val="6"/>
        </w:numPr>
        <w:snapToGrid w:val="0"/>
        <w:spacing w:line="360" w:lineRule="auto"/>
        <w:ind w:left="422" w:hanging="422" w:hangingChars="200"/>
        <w:rPr>
          <w:rFonts w:ascii="宋体"/>
          <w:b/>
          <w:bCs/>
          <w:color w:val="auto"/>
          <w:szCs w:val="20"/>
        </w:rPr>
      </w:pPr>
      <w:r>
        <w:rPr>
          <w:rFonts w:hint="eastAsia" w:ascii="宋体"/>
          <w:b/>
          <w:bCs/>
          <w:color w:val="auto"/>
          <w:szCs w:val="20"/>
        </w:rPr>
        <w:t>用户需求书中打</w:t>
      </w:r>
      <w:r>
        <w:rPr>
          <w:rFonts w:ascii="宋体"/>
          <w:b/>
          <w:bCs/>
          <w:color w:val="auto"/>
          <w:szCs w:val="20"/>
        </w:rPr>
        <w:t>“</w:t>
      </w:r>
      <w:r>
        <w:rPr>
          <w:rFonts w:hint="eastAsia" w:ascii="宋体"/>
          <w:b/>
          <w:bCs/>
          <w:color w:val="auto"/>
          <w:szCs w:val="20"/>
        </w:rPr>
        <w:t>▲</w:t>
      </w:r>
      <w:r>
        <w:rPr>
          <w:rFonts w:ascii="宋体"/>
          <w:b/>
          <w:bCs/>
          <w:color w:val="auto"/>
          <w:szCs w:val="20"/>
        </w:rPr>
        <w:t>”</w:t>
      </w:r>
      <w:r>
        <w:rPr>
          <w:rFonts w:hint="eastAsia" w:ascii="宋体"/>
          <w:b/>
          <w:bCs/>
          <w:color w:val="auto"/>
          <w:szCs w:val="20"/>
        </w:rPr>
        <w:t>号条款为重要技术参数，但不作为无效投标条款。</w:t>
      </w:r>
    </w:p>
    <w:p w14:paraId="5AAF2DBC">
      <w:pPr>
        <w:pStyle w:val="9"/>
        <w:numPr>
          <w:ilvl w:val="0"/>
          <w:numId w:val="7"/>
        </w:numPr>
        <w:tabs>
          <w:tab w:val="left" w:pos="540"/>
        </w:tabs>
        <w:adjustRightInd w:val="0"/>
        <w:snapToGrid w:val="0"/>
        <w:spacing w:line="360" w:lineRule="auto"/>
        <w:ind w:left="420" w:leftChars="0" w:hanging="420" w:firstLineChars="0"/>
        <w:outlineLvl w:val="0"/>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6"/>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93"/>
        <w:gridCol w:w="2859"/>
        <w:gridCol w:w="1937"/>
        <w:gridCol w:w="1937"/>
      </w:tblGrid>
      <w:tr w14:paraId="3CF2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2311" w:type="dxa"/>
            <w:shd w:val="clear" w:color="auto" w:fill="EEECE1"/>
            <w:vAlign w:val="center"/>
          </w:tcPr>
          <w:p w14:paraId="515F1896">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693" w:type="dxa"/>
            <w:shd w:val="clear" w:color="auto" w:fill="EEECE1"/>
            <w:vAlign w:val="center"/>
          </w:tcPr>
          <w:p w14:paraId="6E527C4A">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2859" w:type="dxa"/>
            <w:shd w:val="clear" w:color="auto" w:fill="EEECE1"/>
            <w:vAlign w:val="center"/>
          </w:tcPr>
          <w:p w14:paraId="1F7013D0">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交货期</w:t>
            </w:r>
          </w:p>
        </w:tc>
        <w:tc>
          <w:tcPr>
            <w:tcW w:w="1937" w:type="dxa"/>
            <w:shd w:val="clear" w:color="auto" w:fill="EEECE1"/>
            <w:vAlign w:val="center"/>
          </w:tcPr>
          <w:p w14:paraId="77A1679F">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最高限价</w:t>
            </w:r>
          </w:p>
        </w:tc>
        <w:tc>
          <w:tcPr>
            <w:tcW w:w="1937" w:type="dxa"/>
            <w:shd w:val="clear" w:color="auto" w:fill="EEECE1"/>
            <w:vAlign w:val="center"/>
          </w:tcPr>
          <w:p w14:paraId="20EB26C1">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0A1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2311" w:type="dxa"/>
            <w:vAlign w:val="center"/>
          </w:tcPr>
          <w:p w14:paraId="262358C2">
            <w:pPr>
              <w:keepNext w:val="0"/>
              <w:keepLines w:val="0"/>
              <w:suppressLineNumbers w:val="0"/>
              <w:spacing w:before="0" w:beforeAutospacing="0" w:after="0" w:afterAutospacing="0"/>
              <w:ind w:left="0" w:leftChars="0" w:right="0" w:rightChars="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lang w:val="en-US" w:eastAsia="zh-CN"/>
              </w:rPr>
              <w:t>声阻抗仪（二次招标</w:t>
            </w:r>
            <w:bookmarkStart w:id="138" w:name="_GoBack"/>
            <w:bookmarkEnd w:id="138"/>
            <w:r>
              <w:rPr>
                <w:rFonts w:hint="eastAsia" w:ascii="宋体" w:hAnsi="宋体" w:eastAsia="宋体"/>
                <w:lang w:val="en-US" w:eastAsia="zh-CN"/>
              </w:rPr>
              <w:t>）</w:t>
            </w:r>
          </w:p>
        </w:tc>
        <w:tc>
          <w:tcPr>
            <w:tcW w:w="693" w:type="dxa"/>
            <w:vAlign w:val="center"/>
          </w:tcPr>
          <w:p w14:paraId="390AF9D4">
            <w:pPr>
              <w:keepNext w:val="0"/>
              <w:keepLines w:val="0"/>
              <w:suppressLineNumbers w:val="0"/>
              <w:spacing w:before="0" w:beforeAutospacing="0" w:after="0" w:afterAutospacing="0"/>
              <w:ind w:left="0" w:leftChars="0" w:right="0" w:rightChars="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1台</w:t>
            </w:r>
          </w:p>
        </w:tc>
        <w:tc>
          <w:tcPr>
            <w:tcW w:w="2859" w:type="dxa"/>
            <w:vAlign w:val="center"/>
          </w:tcPr>
          <w:p w14:paraId="36A3EC96">
            <w:pPr>
              <w:pStyle w:val="30"/>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合同签订并接院方通知后15日内交货</w:t>
            </w:r>
          </w:p>
        </w:tc>
        <w:tc>
          <w:tcPr>
            <w:tcW w:w="1937" w:type="dxa"/>
            <w:vAlign w:val="center"/>
          </w:tcPr>
          <w:p w14:paraId="113A87B9">
            <w:pPr>
              <w:pStyle w:val="30"/>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人民币100000.00元</w:t>
            </w:r>
          </w:p>
        </w:tc>
        <w:tc>
          <w:tcPr>
            <w:tcW w:w="1937" w:type="dxa"/>
            <w:vAlign w:val="center"/>
          </w:tcPr>
          <w:p w14:paraId="6694BA19">
            <w:pPr>
              <w:pStyle w:val="30"/>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70B3C683">
      <w:pPr>
        <w:pStyle w:val="9"/>
        <w:tabs>
          <w:tab w:val="left" w:pos="540"/>
        </w:tabs>
        <w:adjustRightInd w:val="0"/>
        <w:snapToGrid w:val="0"/>
        <w:spacing w:line="360" w:lineRule="auto"/>
        <w:rPr>
          <w:rFonts w:hAnsi="宋体"/>
          <w:b/>
          <w:color w:val="auto"/>
        </w:rPr>
      </w:pPr>
    </w:p>
    <w:p w14:paraId="3142D659">
      <w:pPr>
        <w:pStyle w:val="9"/>
        <w:numPr>
          <w:ilvl w:val="0"/>
          <w:numId w:val="7"/>
        </w:numPr>
        <w:tabs>
          <w:tab w:val="left" w:pos="540"/>
        </w:tabs>
        <w:adjustRightInd w:val="0"/>
        <w:snapToGrid w:val="0"/>
        <w:spacing w:line="360" w:lineRule="auto"/>
        <w:ind w:left="420" w:leftChars="0" w:hanging="420" w:firstLineChars="0"/>
        <w:outlineLvl w:val="0"/>
        <w:rPr>
          <w:rFonts w:hAnsi="宋体"/>
          <w:b/>
          <w:color w:val="auto"/>
        </w:rPr>
      </w:pPr>
      <w:r>
        <w:rPr>
          <w:rFonts w:hint="eastAsia" w:ascii="宋体" w:hAnsi="宋体" w:cs="宋体"/>
          <w:b/>
          <w:sz w:val="24"/>
        </w:rPr>
        <w:t>★</w:t>
      </w:r>
      <w:r>
        <w:rPr>
          <w:rFonts w:hint="eastAsia" w:hAnsi="宋体"/>
          <w:b/>
          <w:color w:val="auto"/>
        </w:rPr>
        <w:t>项目采购标的清单</w:t>
      </w:r>
      <w:r>
        <w:rPr>
          <w:rFonts w:hint="eastAsia" w:hAnsi="宋体"/>
          <w:b/>
          <w:color w:val="auto"/>
          <w:lang w:eastAsia="zh-CN"/>
        </w:rPr>
        <w:t>（</w:t>
      </w:r>
      <w:r>
        <w:rPr>
          <w:rFonts w:hint="eastAsia" w:hAnsi="宋体"/>
          <w:b/>
          <w:color w:val="auto"/>
          <w:lang w:val="en-US" w:eastAsia="zh-CN"/>
        </w:rPr>
        <w:t>配</w:t>
      </w:r>
      <w:r>
        <w:rPr>
          <w:rFonts w:hint="eastAsia" w:ascii="宋体" w:hAnsi="宋体" w:eastAsia="宋体"/>
          <w:b/>
          <w:color w:val="auto"/>
          <w:lang w:val="en-US" w:eastAsia="zh-CN"/>
        </w:rPr>
        <w:t>置清单</w:t>
      </w:r>
      <w:r>
        <w:rPr>
          <w:rFonts w:hint="eastAsia" w:ascii="宋体" w:hAnsi="宋体" w:eastAsia="宋体"/>
          <w:b/>
          <w:color w:val="auto"/>
          <w:lang w:eastAsia="zh-CN"/>
        </w:rPr>
        <w:t>）：（</w:t>
      </w:r>
      <w:r>
        <w:rPr>
          <w:rFonts w:hint="eastAsia" w:ascii="宋体" w:hAnsi="宋体" w:eastAsia="宋体"/>
          <w:b/>
          <w:color w:val="auto"/>
          <w:lang w:val="en-US" w:eastAsia="zh-CN"/>
        </w:rPr>
        <w:t>每台</w:t>
      </w:r>
      <w:r>
        <w:rPr>
          <w:rFonts w:hint="eastAsia" w:ascii="宋体" w:hAnsi="宋体" w:eastAsia="宋体"/>
          <w:b/>
          <w:color w:val="auto"/>
          <w:lang w:eastAsia="zh-CN"/>
        </w:rPr>
        <w:t>不低于下表配置）</w:t>
      </w:r>
    </w:p>
    <w:tbl>
      <w:tblPr>
        <w:tblStyle w:val="17"/>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2323"/>
        <w:gridCol w:w="1629"/>
        <w:gridCol w:w="922"/>
        <w:gridCol w:w="1022"/>
        <w:gridCol w:w="1286"/>
        <w:gridCol w:w="1286"/>
      </w:tblGrid>
      <w:tr w14:paraId="7879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shd w:val="clear" w:color="auto" w:fill="EEECE1" w:themeFill="background2"/>
            <w:vAlign w:val="center"/>
          </w:tcPr>
          <w:p w14:paraId="048C67B0">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序号</w:t>
            </w:r>
          </w:p>
        </w:tc>
        <w:tc>
          <w:tcPr>
            <w:tcW w:w="2323" w:type="dxa"/>
            <w:shd w:val="clear" w:color="auto" w:fill="EEECE1" w:themeFill="background2"/>
            <w:vAlign w:val="center"/>
          </w:tcPr>
          <w:p w14:paraId="3C0ABD3F">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货物名称</w:t>
            </w:r>
          </w:p>
        </w:tc>
        <w:tc>
          <w:tcPr>
            <w:tcW w:w="1629" w:type="dxa"/>
            <w:shd w:val="clear" w:color="auto" w:fill="EEECE1" w:themeFill="background2"/>
            <w:vAlign w:val="center"/>
          </w:tcPr>
          <w:p w14:paraId="75EA622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val="0"/>
                <w:color w:val="auto"/>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价格</w:t>
            </w:r>
          </w:p>
        </w:tc>
        <w:tc>
          <w:tcPr>
            <w:tcW w:w="922" w:type="dxa"/>
            <w:shd w:val="clear" w:color="auto" w:fill="EEECE1" w:themeFill="background2"/>
            <w:vAlign w:val="center"/>
          </w:tcPr>
          <w:p w14:paraId="4A62AB4B">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数量</w:t>
            </w:r>
          </w:p>
        </w:tc>
        <w:tc>
          <w:tcPr>
            <w:tcW w:w="1022" w:type="dxa"/>
            <w:shd w:val="clear" w:color="auto" w:fill="EEECE1" w:themeFill="background2"/>
            <w:vAlign w:val="center"/>
          </w:tcPr>
          <w:p w14:paraId="5C93D736">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单位</w:t>
            </w:r>
          </w:p>
        </w:tc>
        <w:tc>
          <w:tcPr>
            <w:tcW w:w="1286" w:type="dxa"/>
            <w:shd w:val="clear" w:color="auto" w:fill="EEECE1" w:themeFill="background2"/>
            <w:vAlign w:val="center"/>
          </w:tcPr>
          <w:p w14:paraId="70A152B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val="0"/>
                <w:color w:val="auto"/>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备注</w:t>
            </w:r>
          </w:p>
        </w:tc>
        <w:tc>
          <w:tcPr>
            <w:tcW w:w="1286" w:type="dxa"/>
            <w:shd w:val="clear" w:color="auto" w:fill="EEECE1" w:themeFill="background2"/>
            <w:vAlign w:val="center"/>
          </w:tcPr>
          <w:p w14:paraId="044ADA5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62CBD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0A4BE48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auto"/>
                <w:sz w:val="22"/>
                <w:szCs w:val="28"/>
                <w:vertAlign w:val="baseline"/>
              </w:rPr>
            </w:pPr>
            <w:r>
              <w:rPr>
                <w:rFonts w:hint="eastAsia" w:ascii="宋体" w:hAnsi="宋体" w:eastAsia="宋体" w:cs="宋体"/>
                <w:i w:val="0"/>
                <w:iCs w:val="0"/>
                <w:color w:val="auto"/>
                <w:kern w:val="0"/>
                <w:sz w:val="21"/>
                <w:szCs w:val="21"/>
                <w:u w:val="none"/>
                <w:lang w:val="en-US" w:eastAsia="zh-CN" w:bidi="ar"/>
              </w:rPr>
              <w:t>1</w:t>
            </w:r>
          </w:p>
        </w:tc>
        <w:tc>
          <w:tcPr>
            <w:tcW w:w="2323" w:type="dxa"/>
            <w:shd w:val="clear" w:color="auto" w:fill="auto"/>
            <w:vAlign w:val="center"/>
          </w:tcPr>
          <w:p w14:paraId="7FD11E6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主机</w:t>
            </w:r>
          </w:p>
        </w:tc>
        <w:tc>
          <w:tcPr>
            <w:tcW w:w="1629" w:type="dxa"/>
            <w:vAlign w:val="center"/>
          </w:tcPr>
          <w:p w14:paraId="3EC50B2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人民币100000.00元</w:t>
            </w:r>
          </w:p>
        </w:tc>
        <w:tc>
          <w:tcPr>
            <w:tcW w:w="922" w:type="dxa"/>
            <w:shd w:val="clear" w:color="auto" w:fill="auto"/>
            <w:vAlign w:val="center"/>
          </w:tcPr>
          <w:p w14:paraId="0BBC6ED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2AB4987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6" w:type="dxa"/>
            <w:vAlign w:val="center"/>
          </w:tcPr>
          <w:p w14:paraId="69B2245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48A63A7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核心产品</w:t>
            </w:r>
          </w:p>
        </w:tc>
      </w:tr>
      <w:tr w14:paraId="7643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7E0D28A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auto"/>
                <w:sz w:val="22"/>
                <w:szCs w:val="28"/>
                <w:vertAlign w:val="baseline"/>
              </w:rPr>
            </w:pPr>
            <w:r>
              <w:rPr>
                <w:rFonts w:hint="eastAsia" w:ascii="宋体" w:hAnsi="宋体" w:eastAsia="宋体" w:cs="宋体"/>
                <w:i w:val="0"/>
                <w:iCs w:val="0"/>
                <w:color w:val="auto"/>
                <w:kern w:val="0"/>
                <w:sz w:val="21"/>
                <w:szCs w:val="21"/>
                <w:u w:val="none"/>
                <w:lang w:val="en-US" w:eastAsia="zh-CN" w:bidi="ar"/>
              </w:rPr>
              <w:t>2</w:t>
            </w:r>
          </w:p>
        </w:tc>
        <w:tc>
          <w:tcPr>
            <w:tcW w:w="2323" w:type="dxa"/>
            <w:shd w:val="clear" w:color="auto" w:fill="auto"/>
            <w:vAlign w:val="center"/>
          </w:tcPr>
          <w:p w14:paraId="24779D9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探头</w:t>
            </w:r>
          </w:p>
        </w:tc>
        <w:tc>
          <w:tcPr>
            <w:tcW w:w="1629" w:type="dxa"/>
            <w:vAlign w:val="center"/>
          </w:tcPr>
          <w:p w14:paraId="4DF5419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18D317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77A1C08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Align w:val="center"/>
          </w:tcPr>
          <w:p w14:paraId="06C7127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2077156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795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6228670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auto"/>
                <w:sz w:val="22"/>
                <w:szCs w:val="28"/>
                <w:vertAlign w:val="baseline"/>
              </w:rPr>
            </w:pPr>
            <w:r>
              <w:rPr>
                <w:rFonts w:hint="eastAsia" w:ascii="宋体" w:hAnsi="宋体" w:eastAsia="宋体" w:cs="宋体"/>
                <w:i w:val="0"/>
                <w:iCs w:val="0"/>
                <w:color w:val="auto"/>
                <w:kern w:val="0"/>
                <w:sz w:val="21"/>
                <w:szCs w:val="21"/>
                <w:u w:val="none"/>
                <w:lang w:val="en-US" w:eastAsia="zh-CN" w:bidi="ar"/>
              </w:rPr>
              <w:t>3</w:t>
            </w:r>
          </w:p>
        </w:tc>
        <w:tc>
          <w:tcPr>
            <w:tcW w:w="2323" w:type="dxa"/>
            <w:shd w:val="clear" w:color="auto" w:fill="auto"/>
            <w:vAlign w:val="center"/>
          </w:tcPr>
          <w:p w14:paraId="6EA0D71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入耳式耳机</w:t>
            </w:r>
          </w:p>
        </w:tc>
        <w:tc>
          <w:tcPr>
            <w:tcW w:w="1629" w:type="dxa"/>
            <w:vAlign w:val="center"/>
          </w:tcPr>
          <w:p w14:paraId="7EE1EF7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0D8667E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4D9952C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副</w:t>
            </w:r>
          </w:p>
        </w:tc>
        <w:tc>
          <w:tcPr>
            <w:tcW w:w="1286" w:type="dxa"/>
            <w:vAlign w:val="center"/>
          </w:tcPr>
          <w:p w14:paraId="352436A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648C4D2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627B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66518DA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auto"/>
                <w:sz w:val="22"/>
                <w:szCs w:val="28"/>
                <w:vertAlign w:val="baseline"/>
              </w:rPr>
            </w:pPr>
            <w:r>
              <w:rPr>
                <w:rFonts w:hint="eastAsia" w:ascii="宋体" w:hAnsi="宋体" w:eastAsia="宋体" w:cs="宋体"/>
                <w:i w:val="0"/>
                <w:iCs w:val="0"/>
                <w:color w:val="auto"/>
                <w:kern w:val="0"/>
                <w:sz w:val="21"/>
                <w:szCs w:val="21"/>
                <w:u w:val="none"/>
                <w:lang w:val="en-US" w:eastAsia="zh-CN" w:bidi="ar"/>
              </w:rPr>
              <w:t>4</w:t>
            </w:r>
          </w:p>
        </w:tc>
        <w:tc>
          <w:tcPr>
            <w:tcW w:w="2323" w:type="dxa"/>
            <w:shd w:val="clear" w:color="auto" w:fill="auto"/>
            <w:vAlign w:val="center"/>
          </w:tcPr>
          <w:p w14:paraId="35C846D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耳塞套件</w:t>
            </w:r>
          </w:p>
        </w:tc>
        <w:tc>
          <w:tcPr>
            <w:tcW w:w="1629" w:type="dxa"/>
            <w:vAlign w:val="center"/>
          </w:tcPr>
          <w:p w14:paraId="4173065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74939EF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25CDDEA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1286" w:type="dxa"/>
            <w:vAlign w:val="center"/>
          </w:tcPr>
          <w:p w14:paraId="7F7103B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22A3747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F93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2D23AA1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2323" w:type="dxa"/>
            <w:shd w:val="clear" w:color="auto" w:fill="auto"/>
            <w:vAlign w:val="center"/>
          </w:tcPr>
          <w:p w14:paraId="5CF7DF3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产品说明书</w:t>
            </w:r>
          </w:p>
        </w:tc>
        <w:tc>
          <w:tcPr>
            <w:tcW w:w="1629" w:type="dxa"/>
            <w:vAlign w:val="center"/>
          </w:tcPr>
          <w:p w14:paraId="6E131C4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01AADB9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07E81B4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本</w:t>
            </w:r>
          </w:p>
        </w:tc>
        <w:tc>
          <w:tcPr>
            <w:tcW w:w="1286" w:type="dxa"/>
            <w:vAlign w:val="center"/>
          </w:tcPr>
          <w:p w14:paraId="65E57E6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62E9487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87D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33DDF5D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2323" w:type="dxa"/>
            <w:shd w:val="clear" w:color="auto" w:fill="auto"/>
            <w:vAlign w:val="center"/>
          </w:tcPr>
          <w:p w14:paraId="523F5E8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肩带</w:t>
            </w:r>
          </w:p>
        </w:tc>
        <w:tc>
          <w:tcPr>
            <w:tcW w:w="1629" w:type="dxa"/>
            <w:vAlign w:val="center"/>
          </w:tcPr>
          <w:p w14:paraId="2B5DA42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77A21A1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3F63DD4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Align w:val="center"/>
          </w:tcPr>
          <w:p w14:paraId="7364D85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677C21C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3DB9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578A612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2323" w:type="dxa"/>
            <w:shd w:val="clear" w:color="auto" w:fill="auto"/>
            <w:vAlign w:val="center"/>
          </w:tcPr>
          <w:p w14:paraId="737309E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藕合腔</w:t>
            </w:r>
          </w:p>
        </w:tc>
        <w:tc>
          <w:tcPr>
            <w:tcW w:w="1629" w:type="dxa"/>
            <w:vAlign w:val="center"/>
          </w:tcPr>
          <w:p w14:paraId="1D7AFF9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3BA88EF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111BCF9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Align w:val="center"/>
          </w:tcPr>
          <w:p w14:paraId="68EA912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2252BAF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BAC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506008A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2323" w:type="dxa"/>
            <w:shd w:val="clear" w:color="auto" w:fill="auto"/>
            <w:vAlign w:val="center"/>
          </w:tcPr>
          <w:p w14:paraId="4B1CFD7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USB数据线</w:t>
            </w:r>
          </w:p>
        </w:tc>
        <w:tc>
          <w:tcPr>
            <w:tcW w:w="1629" w:type="dxa"/>
            <w:vAlign w:val="center"/>
          </w:tcPr>
          <w:p w14:paraId="5385C98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5105EAA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19C93A2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条</w:t>
            </w:r>
          </w:p>
        </w:tc>
        <w:tc>
          <w:tcPr>
            <w:tcW w:w="1286" w:type="dxa"/>
            <w:vAlign w:val="center"/>
          </w:tcPr>
          <w:p w14:paraId="496A2AA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213668A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F2E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7354A42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2323" w:type="dxa"/>
            <w:shd w:val="clear" w:color="auto" w:fill="auto"/>
            <w:vAlign w:val="center"/>
          </w:tcPr>
          <w:p w14:paraId="71374C8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软件</w:t>
            </w:r>
          </w:p>
        </w:tc>
        <w:tc>
          <w:tcPr>
            <w:tcW w:w="1629" w:type="dxa"/>
            <w:vAlign w:val="center"/>
          </w:tcPr>
          <w:p w14:paraId="4481CFC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6B969A1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16203EC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张</w:t>
            </w:r>
          </w:p>
        </w:tc>
        <w:tc>
          <w:tcPr>
            <w:tcW w:w="1286" w:type="dxa"/>
            <w:vAlign w:val="center"/>
          </w:tcPr>
          <w:p w14:paraId="27F5493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0A87259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3E5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6686F34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2323" w:type="dxa"/>
            <w:shd w:val="clear" w:color="auto" w:fill="auto"/>
            <w:vAlign w:val="center"/>
          </w:tcPr>
          <w:p w14:paraId="11E97B2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铝箱</w:t>
            </w:r>
          </w:p>
        </w:tc>
        <w:tc>
          <w:tcPr>
            <w:tcW w:w="1629" w:type="dxa"/>
            <w:vAlign w:val="center"/>
          </w:tcPr>
          <w:p w14:paraId="19CF5A6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7C76338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07F85D6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Align w:val="center"/>
          </w:tcPr>
          <w:p w14:paraId="3EF2F1B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23DA8E7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238299F7">
      <w:pPr>
        <w:pStyle w:val="26"/>
        <w:ind w:firstLine="422"/>
        <w:rPr>
          <w:rFonts w:hAnsi="宋体"/>
          <w:b/>
          <w:color w:val="auto"/>
        </w:rPr>
      </w:pPr>
    </w:p>
    <w:p w14:paraId="705CA8FA">
      <w:pPr>
        <w:pStyle w:val="9"/>
        <w:numPr>
          <w:ilvl w:val="0"/>
          <w:numId w:val="7"/>
        </w:numPr>
        <w:tabs>
          <w:tab w:val="left" w:pos="540"/>
        </w:tabs>
        <w:adjustRightInd w:val="0"/>
        <w:snapToGrid w:val="0"/>
        <w:spacing w:line="360" w:lineRule="auto"/>
        <w:ind w:left="420" w:leftChars="0" w:hanging="420" w:firstLineChars="0"/>
        <w:outlineLvl w:val="0"/>
        <w:rPr>
          <w:rFonts w:hAnsi="宋体"/>
          <w:b/>
          <w:color w:val="auto"/>
        </w:rPr>
      </w:pPr>
      <w:r>
        <w:rPr>
          <w:rFonts w:hint="eastAsia" w:hAnsi="宋体"/>
          <w:b/>
          <w:color w:val="auto"/>
        </w:rPr>
        <w:t>技术要求：</w:t>
      </w:r>
    </w:p>
    <w:tbl>
      <w:tblPr>
        <w:tblStyle w:val="16"/>
        <w:tblW w:w="964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754"/>
        <w:gridCol w:w="6743"/>
        <w:gridCol w:w="1152"/>
      </w:tblGrid>
      <w:tr w14:paraId="25C5BA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tcBorders>
              <w:tl2br w:val="nil"/>
              <w:tr2bl w:val="nil"/>
            </w:tcBorders>
            <w:shd w:val="clear" w:color="auto" w:fill="EEECE1" w:themeFill="background2"/>
            <w:vAlign w:val="center"/>
          </w:tcPr>
          <w:p w14:paraId="61A01A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6743" w:type="dxa"/>
            <w:tcBorders>
              <w:tl2br w:val="nil"/>
              <w:tr2bl w:val="nil"/>
            </w:tcBorders>
            <w:shd w:val="clear" w:color="auto" w:fill="EEECE1" w:themeFill="background2"/>
            <w:vAlign w:val="center"/>
          </w:tcPr>
          <w:p w14:paraId="53F6DD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技术要求</w:t>
            </w:r>
          </w:p>
        </w:tc>
        <w:tc>
          <w:tcPr>
            <w:tcW w:w="1152" w:type="dxa"/>
            <w:tcBorders>
              <w:tl2br w:val="nil"/>
              <w:tr2bl w:val="nil"/>
            </w:tcBorders>
            <w:shd w:val="clear" w:color="auto" w:fill="EEECE1" w:themeFill="background2"/>
            <w:vAlign w:val="center"/>
          </w:tcPr>
          <w:p w14:paraId="0AA0EF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标注</w:t>
            </w:r>
          </w:p>
        </w:tc>
      </w:tr>
      <w:tr w14:paraId="2B5B61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restart"/>
            <w:tcBorders>
              <w:tl2br w:val="nil"/>
              <w:tr2bl w:val="nil"/>
            </w:tcBorders>
            <w:shd w:val="clear" w:color="auto" w:fill="auto"/>
            <w:vAlign w:val="center"/>
          </w:tcPr>
          <w:p w14:paraId="6B015B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rPr>
              <w:t>声阻抗仪</w:t>
            </w:r>
          </w:p>
        </w:tc>
        <w:tc>
          <w:tcPr>
            <w:tcW w:w="6743" w:type="dxa"/>
            <w:tcBorders>
              <w:tl2br w:val="nil"/>
              <w:tr2bl w:val="nil"/>
            </w:tcBorders>
            <w:shd w:val="clear" w:color="auto" w:fill="auto"/>
            <w:vAlign w:val="center"/>
          </w:tcPr>
          <w:p w14:paraId="7DF14EA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1.具有鼓室图测试、镫骨肌反射测试、声反射潜伏期测试、声反射衰减测试、完整/穿孔咽鼓管功能测试的测试功能。（需提供产品彩页或技术白皮书佐证）</w:t>
            </w:r>
          </w:p>
        </w:tc>
        <w:tc>
          <w:tcPr>
            <w:tcW w:w="1152" w:type="dxa"/>
            <w:tcBorders>
              <w:tl2br w:val="nil"/>
              <w:tr2bl w:val="nil"/>
            </w:tcBorders>
            <w:shd w:val="clear" w:color="auto" w:fill="auto"/>
            <w:vAlign w:val="center"/>
          </w:tcPr>
          <w:p w14:paraId="1DEBC8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704660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38854A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A9055B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2.快速测试：至少可生成2个由用户编程的快速测试，测试时间≦60s。</w:t>
            </w:r>
          </w:p>
        </w:tc>
        <w:tc>
          <w:tcPr>
            <w:tcW w:w="1152" w:type="dxa"/>
            <w:tcBorders>
              <w:tl2br w:val="nil"/>
              <w:tr2bl w:val="nil"/>
            </w:tcBorders>
            <w:shd w:val="clear" w:color="auto" w:fill="auto"/>
            <w:vAlign w:val="center"/>
          </w:tcPr>
          <w:p w14:paraId="451CA5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0728B6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6C278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F1D67B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3.具有“实时视图”功能，可以在计算机屏幕上看到正在进行的测试全景。</w:t>
            </w:r>
          </w:p>
        </w:tc>
        <w:tc>
          <w:tcPr>
            <w:tcW w:w="1152" w:type="dxa"/>
            <w:tcBorders>
              <w:tl2br w:val="nil"/>
              <w:tr2bl w:val="nil"/>
            </w:tcBorders>
            <w:shd w:val="clear" w:color="auto" w:fill="auto"/>
            <w:vAlign w:val="center"/>
          </w:tcPr>
          <w:p w14:paraId="4C88D3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53D777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E1BE0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A7868F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4.≥10英寸显示面板，≥7寸彩色触摸屏+触摸按键配合工作模式。</w:t>
            </w:r>
          </w:p>
        </w:tc>
        <w:tc>
          <w:tcPr>
            <w:tcW w:w="1152" w:type="dxa"/>
            <w:tcBorders>
              <w:tl2br w:val="nil"/>
              <w:tr2bl w:val="nil"/>
            </w:tcBorders>
            <w:shd w:val="clear" w:color="auto" w:fill="auto"/>
            <w:vAlign w:val="center"/>
          </w:tcPr>
          <w:p w14:paraId="4F028B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17D936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B752B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12F9C2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5.具有探头手柄内置控制灯和开关，可直接进行测试、切换测试耳。</w:t>
            </w:r>
          </w:p>
        </w:tc>
        <w:tc>
          <w:tcPr>
            <w:tcW w:w="1152" w:type="dxa"/>
            <w:tcBorders>
              <w:tl2br w:val="nil"/>
              <w:tr2bl w:val="nil"/>
            </w:tcBorders>
            <w:shd w:val="clear" w:color="auto" w:fill="auto"/>
            <w:vAlign w:val="center"/>
          </w:tcPr>
          <w:p w14:paraId="1478B9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59907C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4595C9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939D57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6.具有自定义快速测试模式。</w:t>
            </w:r>
          </w:p>
        </w:tc>
        <w:tc>
          <w:tcPr>
            <w:tcW w:w="1152" w:type="dxa"/>
            <w:tcBorders>
              <w:tl2br w:val="nil"/>
              <w:tr2bl w:val="nil"/>
            </w:tcBorders>
            <w:shd w:val="clear" w:color="auto" w:fill="auto"/>
            <w:vAlign w:val="center"/>
          </w:tcPr>
          <w:p w14:paraId="355F36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40440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0D5FC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02413E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7.探测音：至少包含226Hz（85dB SPL）：678Hz（85dB SPL）；800Hz（75dB SPL）；1000Hz（75dB SPL）。</w:t>
            </w:r>
          </w:p>
        </w:tc>
        <w:tc>
          <w:tcPr>
            <w:tcW w:w="1152" w:type="dxa"/>
            <w:tcBorders>
              <w:tl2br w:val="nil"/>
              <w:tr2bl w:val="nil"/>
            </w:tcBorders>
            <w:shd w:val="clear" w:color="auto" w:fill="auto"/>
            <w:vAlign w:val="center"/>
          </w:tcPr>
          <w:p w14:paraId="1C3760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1FE2D5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D6472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13048F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8.声导纳（声顺）测量容积范围：测量平面鼓室图为0.2cm³～5cm³。（所投产品涵盖此范围即认定为满足该项技术要求）</w:t>
            </w:r>
          </w:p>
        </w:tc>
        <w:tc>
          <w:tcPr>
            <w:tcW w:w="1152" w:type="dxa"/>
            <w:tcBorders>
              <w:tl2br w:val="nil"/>
              <w:tr2bl w:val="nil"/>
            </w:tcBorders>
            <w:shd w:val="clear" w:color="auto" w:fill="auto"/>
            <w:vAlign w:val="center"/>
          </w:tcPr>
          <w:p w14:paraId="19F162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679F82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1703E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198AEF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9.对于外耳鼓室补偿图，为0cm³～2 cm³。（所投产品涵盖此范围即认定为满足该项技术要求）</w:t>
            </w:r>
          </w:p>
        </w:tc>
        <w:tc>
          <w:tcPr>
            <w:tcW w:w="1152" w:type="dxa"/>
            <w:tcBorders>
              <w:tl2br w:val="nil"/>
              <w:tr2bl w:val="nil"/>
            </w:tcBorders>
            <w:shd w:val="clear" w:color="auto" w:fill="auto"/>
            <w:vAlign w:val="center"/>
          </w:tcPr>
          <w:p w14:paraId="5EBE20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2E661B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36DEAB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E00724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10.鼓室图测试包含自动、手动模式。</w:t>
            </w:r>
          </w:p>
        </w:tc>
        <w:tc>
          <w:tcPr>
            <w:tcW w:w="1152" w:type="dxa"/>
            <w:tcBorders>
              <w:tl2br w:val="nil"/>
              <w:tr2bl w:val="nil"/>
            </w:tcBorders>
            <w:shd w:val="clear" w:color="auto" w:fill="auto"/>
            <w:vAlign w:val="center"/>
          </w:tcPr>
          <w:p w14:paraId="6DE2C9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59CF68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94D66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6C51C02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11.最大测压范围：-600～+400 daPa。（所投产品涵盖此范围即认定为满足该项技术要求）</w:t>
            </w:r>
          </w:p>
        </w:tc>
        <w:tc>
          <w:tcPr>
            <w:tcW w:w="1152" w:type="dxa"/>
            <w:tcBorders>
              <w:tl2br w:val="nil"/>
              <w:tr2bl w:val="nil"/>
            </w:tcBorders>
            <w:shd w:val="clear" w:color="auto" w:fill="auto"/>
            <w:vAlign w:val="center"/>
          </w:tcPr>
          <w:p w14:paraId="15CA98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BB93E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EA3CC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036ACC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12.蠕动泵加压速率：200daPa/s±50daPa/s。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可选速率至少包含15,50,100,200,300,400,600 daPa/s。</w:t>
            </w:r>
          </w:p>
        </w:tc>
        <w:tc>
          <w:tcPr>
            <w:tcW w:w="1152" w:type="dxa"/>
            <w:tcBorders>
              <w:tl2br w:val="nil"/>
              <w:tr2bl w:val="nil"/>
            </w:tcBorders>
            <w:shd w:val="clear" w:color="auto" w:fill="auto"/>
            <w:vAlign w:val="center"/>
          </w:tcPr>
          <w:p w14:paraId="41C223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37E15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3A6300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6E1463F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13.测试模式：至少包含声导纳（Y）、声纳（B）、 声导（G）。</w:t>
            </w:r>
          </w:p>
        </w:tc>
        <w:tc>
          <w:tcPr>
            <w:tcW w:w="1152" w:type="dxa"/>
            <w:tcBorders>
              <w:tl2br w:val="nil"/>
              <w:tr2bl w:val="nil"/>
            </w:tcBorders>
            <w:shd w:val="clear" w:color="auto" w:fill="auto"/>
            <w:vAlign w:val="center"/>
          </w:tcPr>
          <w:p w14:paraId="5EC039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14D726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66DE96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597A264">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14.包含同侧/对侧镫骨肌反射测试（自动、手动），声衰减测试（自动、手动），声反射潜伏期测试。</w:t>
            </w:r>
          </w:p>
        </w:tc>
        <w:tc>
          <w:tcPr>
            <w:tcW w:w="1152" w:type="dxa"/>
            <w:tcBorders>
              <w:tl2br w:val="nil"/>
              <w:tr2bl w:val="nil"/>
            </w:tcBorders>
            <w:shd w:val="clear" w:color="auto" w:fill="auto"/>
            <w:vAlign w:val="center"/>
          </w:tcPr>
          <w:p w14:paraId="543091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0DAC6F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62D12D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9AFD1C2">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15.具有咽鼓管功能测试功能，鼓膜完整或穿孔均可进行。（需提供产品彩页或技术白皮书佐证）</w:t>
            </w:r>
          </w:p>
        </w:tc>
        <w:tc>
          <w:tcPr>
            <w:tcW w:w="1152" w:type="dxa"/>
            <w:tcBorders>
              <w:tl2br w:val="nil"/>
              <w:tr2bl w:val="nil"/>
            </w:tcBorders>
            <w:shd w:val="clear" w:color="auto" w:fill="auto"/>
            <w:vAlign w:val="center"/>
          </w:tcPr>
          <w:p w14:paraId="76F8EE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544E13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7EAF4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DC1573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16.完整鼓膜咽鼓管测试方法：Williams 测试法。</w:t>
            </w:r>
          </w:p>
        </w:tc>
        <w:tc>
          <w:tcPr>
            <w:tcW w:w="1152" w:type="dxa"/>
            <w:tcBorders>
              <w:tl2br w:val="nil"/>
              <w:tr2bl w:val="nil"/>
            </w:tcBorders>
            <w:shd w:val="clear" w:color="auto" w:fill="auto"/>
            <w:vAlign w:val="center"/>
          </w:tcPr>
          <w:p w14:paraId="25F8C2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1357C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3FE33F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242446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17.穿孔鼓膜咽鼓管测试方法：Toynbee测试法,测试时间和鼓室压范围可调。</w:t>
            </w:r>
          </w:p>
        </w:tc>
        <w:tc>
          <w:tcPr>
            <w:tcW w:w="1152" w:type="dxa"/>
            <w:tcBorders>
              <w:tl2br w:val="nil"/>
              <w:tr2bl w:val="nil"/>
            </w:tcBorders>
            <w:shd w:val="clear" w:color="auto" w:fill="auto"/>
            <w:vAlign w:val="center"/>
          </w:tcPr>
          <w:p w14:paraId="2C274B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26BB1A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EAF64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99375A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18.刺激声频率和声强：声强步进值≤5dB。</w:t>
            </w:r>
          </w:p>
        </w:tc>
        <w:tc>
          <w:tcPr>
            <w:tcW w:w="1152" w:type="dxa"/>
            <w:tcBorders>
              <w:tl2br w:val="nil"/>
              <w:tr2bl w:val="nil"/>
            </w:tcBorders>
            <w:shd w:val="clear" w:color="auto" w:fill="auto"/>
            <w:vAlign w:val="center"/>
          </w:tcPr>
          <w:p w14:paraId="20198E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5BE9DD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488D4C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65E511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19.同侧：至少包含500Hz，1000Hz，2000Hz，4000Hz，最大声强110dB HL。</w:t>
            </w:r>
          </w:p>
        </w:tc>
        <w:tc>
          <w:tcPr>
            <w:tcW w:w="1152" w:type="dxa"/>
            <w:tcBorders>
              <w:tl2br w:val="nil"/>
              <w:tr2bl w:val="nil"/>
            </w:tcBorders>
            <w:shd w:val="clear" w:color="auto" w:fill="auto"/>
            <w:vAlign w:val="center"/>
          </w:tcPr>
          <w:p w14:paraId="0BBADA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59346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C1EC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C8255E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20.对侧:至少包含500Hz，1000Hz，2000Hz，4000Hz最大声强110dB HL。（插入式耳机）</w:t>
            </w:r>
          </w:p>
        </w:tc>
        <w:tc>
          <w:tcPr>
            <w:tcW w:w="1152" w:type="dxa"/>
            <w:tcBorders>
              <w:tl2br w:val="nil"/>
              <w:tr2bl w:val="nil"/>
            </w:tcBorders>
            <w:shd w:val="clear" w:color="auto" w:fill="auto"/>
            <w:vAlign w:val="center"/>
          </w:tcPr>
          <w:p w14:paraId="0E4D1A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7E3BEC19">
      <w:pPr>
        <w:pStyle w:val="9"/>
        <w:tabs>
          <w:tab w:val="left" w:pos="420"/>
          <w:tab w:val="left" w:pos="540"/>
        </w:tabs>
        <w:adjustRightInd w:val="0"/>
        <w:snapToGrid w:val="0"/>
        <w:spacing w:line="360" w:lineRule="auto"/>
        <w:rPr>
          <w:rFonts w:hAnsi="宋体"/>
          <w:b/>
          <w:color w:val="auto"/>
        </w:rPr>
      </w:pPr>
    </w:p>
    <w:p w14:paraId="7998F4CE">
      <w:pPr>
        <w:pStyle w:val="9"/>
        <w:tabs>
          <w:tab w:val="left" w:pos="420"/>
          <w:tab w:val="left" w:pos="540"/>
        </w:tabs>
        <w:adjustRightInd w:val="0"/>
        <w:snapToGrid w:val="0"/>
        <w:spacing w:line="360" w:lineRule="auto"/>
        <w:rPr>
          <w:rFonts w:hAnsi="宋体"/>
          <w:b/>
          <w:color w:val="auto"/>
        </w:rPr>
      </w:pPr>
    </w:p>
    <w:p w14:paraId="02FBEC99">
      <w:pPr>
        <w:pStyle w:val="9"/>
        <w:tabs>
          <w:tab w:val="left" w:pos="420"/>
          <w:tab w:val="left" w:pos="540"/>
        </w:tabs>
        <w:adjustRightInd w:val="0"/>
        <w:snapToGrid w:val="0"/>
        <w:spacing w:line="360" w:lineRule="auto"/>
        <w:rPr>
          <w:rFonts w:hAnsi="宋体"/>
          <w:b/>
          <w:color w:val="auto"/>
        </w:rPr>
      </w:pPr>
    </w:p>
    <w:p w14:paraId="7C2FC4C4">
      <w:pPr>
        <w:pStyle w:val="9"/>
        <w:numPr>
          <w:ilvl w:val="0"/>
          <w:numId w:val="7"/>
        </w:numPr>
        <w:tabs>
          <w:tab w:val="left" w:pos="540"/>
        </w:tabs>
        <w:adjustRightInd w:val="0"/>
        <w:snapToGrid w:val="0"/>
        <w:spacing w:line="360" w:lineRule="auto"/>
        <w:ind w:left="420" w:leftChars="0" w:hanging="420" w:firstLineChars="0"/>
        <w:outlineLvl w:val="0"/>
        <w:rPr>
          <w:rFonts w:hAnsi="宋体"/>
          <w:b/>
          <w:color w:val="auto"/>
        </w:rPr>
      </w:pPr>
      <w:r>
        <w:rPr>
          <w:rFonts w:hint="eastAsia" w:ascii="宋体" w:hAnsi="宋体" w:cs="宋体"/>
          <w:b/>
          <w:sz w:val="24"/>
        </w:rPr>
        <w:t>★</w:t>
      </w:r>
      <w:r>
        <w:rPr>
          <w:rFonts w:hint="eastAsia" w:hAnsi="宋体"/>
          <w:b/>
          <w:color w:val="auto"/>
        </w:rPr>
        <w:t>商务要求：</w:t>
      </w:r>
    </w:p>
    <w:tbl>
      <w:tblPr>
        <w:tblStyle w:val="16"/>
        <w:tblW w:w="95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07"/>
        <w:gridCol w:w="7995"/>
      </w:tblGrid>
      <w:tr w14:paraId="56186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8E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bookmarkStart w:id="12" w:name="_Toc113"/>
            <w:r>
              <w:rPr>
                <w:rFonts w:hint="eastAsia" w:ascii="宋体" w:hAnsi="宋体" w:eastAsia="宋体" w:cs="宋体"/>
                <w:i w:val="0"/>
                <w:iCs w:val="0"/>
                <w:color w:val="000000"/>
                <w:kern w:val="0"/>
                <w:sz w:val="21"/>
                <w:szCs w:val="21"/>
                <w:u w:val="none"/>
                <w:lang w:val="en-US" w:eastAsia="zh-CN" w:bidi="ar"/>
              </w:rPr>
              <w:t>序号</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6D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商务条款</w:t>
            </w:r>
          </w:p>
        </w:tc>
      </w:tr>
      <w:tr w14:paraId="4D46F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5C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B2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交货时间：合同签订并接院方通知后15日内。</w:t>
            </w:r>
          </w:p>
        </w:tc>
      </w:tr>
      <w:tr w14:paraId="65354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5B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F0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免费保修期：系指中标供应商提供的产品在非使用者人为破坏情况下，出现任何质量问题造成产品不能使用时，由中标供应商免费维修、更换以确保产品正常使用的时间期限。此时间期限从设备验收合格之日起计算。具体是指设备验收合格后3年内。</w:t>
            </w:r>
          </w:p>
        </w:tc>
      </w:tr>
      <w:tr w14:paraId="1A3D2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84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79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中标方应保证设备是全新、未使用过的原装合格正品（包括零部件），设备到达院方安装现场时外包装应完好无损。进口产品生产日期在采购人收到货物日期前</w:t>
            </w:r>
            <w:r>
              <w:rPr>
                <w:rFonts w:hint="default" w:ascii="宋体" w:hAnsi="宋体" w:eastAsia="宋体" w:cs="宋体"/>
                <w:i w:val="0"/>
                <w:iCs w:val="0"/>
                <w:color w:val="auto"/>
                <w:kern w:val="0"/>
                <w:sz w:val="21"/>
                <w:szCs w:val="21"/>
                <w:u w:val="none"/>
                <w:lang w:val="en-US" w:eastAsia="zh-CN" w:bidi="ar"/>
              </w:rPr>
              <w:t>12</w:t>
            </w:r>
            <w:r>
              <w:rPr>
                <w:rFonts w:hint="eastAsia" w:ascii="宋体" w:hAnsi="宋体" w:eastAsia="宋体" w:cs="宋体"/>
                <w:i w:val="0"/>
                <w:iCs w:val="0"/>
                <w:color w:val="auto"/>
                <w:kern w:val="0"/>
                <w:sz w:val="21"/>
                <w:szCs w:val="21"/>
                <w:u w:val="none"/>
                <w:lang w:val="en-US" w:eastAsia="zh-CN" w:bidi="ar"/>
              </w:rPr>
              <w:t>个月内，本国产品生产日期在采购人收到货物日期前</w:t>
            </w:r>
            <w:r>
              <w:rPr>
                <w:rFonts w:hint="default" w:ascii="宋体" w:hAnsi="宋体" w:eastAsia="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个月内，最新生产批次且经检验合格的产品。</w:t>
            </w:r>
          </w:p>
        </w:tc>
      </w:tr>
      <w:tr w14:paraId="56648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DA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p w14:paraId="739593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74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中标方应随设备向院方交付设备中文版《使用说明书》《医疗器械生产企业许可证》《医疗器械经营企业许可证》《医疗器械注册证》等与本合同设备使用有关的所有资料。</w:t>
            </w:r>
          </w:p>
        </w:tc>
      </w:tr>
      <w:tr w14:paraId="62FFA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66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0F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验收日期前中标方必须完成合同约定的各项培训，包括对院方相关人员进行设备使用培训及日常保养培训并提供培训记录。现场验收时中标方需提供必要的技术支持并协助院方完成各项指标和功能的测试，否则因验收延误产生的后果由中标方负责。</w:t>
            </w:r>
          </w:p>
        </w:tc>
      </w:tr>
      <w:tr w14:paraId="63342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81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44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货到安装、调试验收合格后，中标方应按本合同全额价款出具正规税务发票，院方财务科收到中标方发票等相关资料后</w:t>
            </w:r>
            <w:r>
              <w:rPr>
                <w:rFonts w:hint="default" w:ascii="宋体" w:hAnsi="宋体" w:eastAsia="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个工作日内向中标方支付合同全款。</w:t>
            </w:r>
          </w:p>
        </w:tc>
      </w:tr>
      <w:tr w14:paraId="745E2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EF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EF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设备出现故障时中标方应在接到院方通知时</w:t>
            </w:r>
            <w:r>
              <w:rPr>
                <w:rFonts w:hint="default" w:ascii="宋体" w:hAnsi="宋体" w:eastAsia="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小时响应，</w:t>
            </w:r>
            <w:r>
              <w:rPr>
                <w:rFonts w:hint="default" w:ascii="宋体" w:hAnsi="宋体" w:eastAsia="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小时内到位，若中标方未能在</w:t>
            </w:r>
            <w:r>
              <w:rPr>
                <w:rFonts w:hint="default" w:ascii="宋体" w:hAnsi="宋体" w:eastAsia="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小时内消除障碍，院方有权聘请第三方消除障碍，所发生的费用由中标方全部承担。</w:t>
            </w:r>
          </w:p>
        </w:tc>
      </w:tr>
      <w:tr w14:paraId="4F38B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tcPr>
          <w:p w14:paraId="0D7559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p w14:paraId="37DBE6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7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D3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如中标设备需要医院信息端口，则由中标方负责医院信息系统端口连接的安装工作及费用（包含信息系统方的接口开发费），医院协助中标方完成信息系统安装，确保设备稳定运行。</w:t>
            </w:r>
          </w:p>
        </w:tc>
      </w:tr>
    </w:tbl>
    <w:p w14:paraId="6B97F37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2742E911">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5E3915FF">
      <w:pPr>
        <w:rPr>
          <w:rFonts w:hint="eastAsia" w:asciiTheme="majorEastAsia" w:hAnsiTheme="majorEastAsia" w:eastAsiaTheme="majorEastAsia" w:cstheme="majorEastAsia"/>
          <w:kern w:val="2"/>
          <w:sz w:val="32"/>
          <w:szCs w:val="32"/>
          <w:lang w:val="en-US" w:eastAsia="zh-CN" w:bidi="ar-SA"/>
        </w:rPr>
      </w:pPr>
    </w:p>
    <w:p w14:paraId="0E3F7B86">
      <w:pPr>
        <w:rPr>
          <w:rFonts w:hint="eastAsia" w:asciiTheme="majorEastAsia" w:hAnsiTheme="majorEastAsia" w:eastAsiaTheme="majorEastAsia" w:cstheme="majorEastAsia"/>
          <w:kern w:val="2"/>
          <w:sz w:val="32"/>
          <w:szCs w:val="32"/>
          <w:lang w:val="en-US" w:eastAsia="zh-CN" w:bidi="ar-SA"/>
        </w:rPr>
      </w:pPr>
    </w:p>
    <w:p w14:paraId="0B386CF6">
      <w:pPr>
        <w:rPr>
          <w:rFonts w:hint="eastAsia" w:asciiTheme="majorEastAsia" w:hAnsiTheme="majorEastAsia" w:eastAsiaTheme="majorEastAsia" w:cstheme="majorEastAsia"/>
          <w:kern w:val="2"/>
          <w:sz w:val="32"/>
          <w:szCs w:val="32"/>
          <w:lang w:val="en-US" w:eastAsia="zh-CN" w:bidi="ar-SA"/>
        </w:rPr>
      </w:pPr>
    </w:p>
    <w:p w14:paraId="63ABCD31">
      <w:pPr>
        <w:rPr>
          <w:rFonts w:hint="eastAsia" w:asciiTheme="majorEastAsia" w:hAnsiTheme="majorEastAsia" w:eastAsiaTheme="majorEastAsia" w:cstheme="majorEastAsia"/>
          <w:kern w:val="2"/>
          <w:sz w:val="32"/>
          <w:szCs w:val="32"/>
          <w:lang w:val="en-US" w:eastAsia="zh-CN" w:bidi="ar-SA"/>
        </w:rPr>
      </w:pPr>
    </w:p>
    <w:p w14:paraId="3DDFD10C">
      <w:pPr>
        <w:rPr>
          <w:rFonts w:hint="eastAsia" w:asciiTheme="majorEastAsia" w:hAnsiTheme="majorEastAsia" w:eastAsiaTheme="majorEastAsia" w:cstheme="majorEastAsia"/>
          <w:kern w:val="2"/>
          <w:sz w:val="32"/>
          <w:szCs w:val="32"/>
          <w:lang w:val="en-US" w:eastAsia="zh-CN" w:bidi="ar-SA"/>
        </w:rPr>
      </w:pPr>
    </w:p>
    <w:p w14:paraId="5482EC29">
      <w:pPr>
        <w:rPr>
          <w:rFonts w:hint="eastAsia" w:asciiTheme="majorEastAsia" w:hAnsiTheme="majorEastAsia" w:eastAsiaTheme="majorEastAsia" w:cstheme="majorEastAsia"/>
          <w:kern w:val="2"/>
          <w:sz w:val="32"/>
          <w:szCs w:val="32"/>
          <w:lang w:val="en-US" w:eastAsia="zh-CN" w:bidi="ar-SA"/>
        </w:rPr>
      </w:pPr>
    </w:p>
    <w:p w14:paraId="4B69A60C">
      <w:pPr>
        <w:rPr>
          <w:rFonts w:hint="eastAsia" w:asciiTheme="majorEastAsia" w:hAnsiTheme="majorEastAsia" w:eastAsiaTheme="majorEastAsia" w:cstheme="majorEastAsia"/>
          <w:kern w:val="2"/>
          <w:sz w:val="32"/>
          <w:szCs w:val="32"/>
          <w:lang w:val="en-US" w:eastAsia="zh-CN" w:bidi="ar-SA"/>
        </w:rPr>
      </w:pPr>
    </w:p>
    <w:p w14:paraId="36EB70C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2"/>
          <w:sz w:val="32"/>
          <w:szCs w:val="32"/>
          <w:lang w:val="en-US" w:eastAsia="zh-CN" w:bidi="ar-SA"/>
        </w:rPr>
        <w:t xml:space="preserve">第四章 </w:t>
      </w:r>
      <w:r>
        <w:rPr>
          <w:rFonts w:hint="eastAsia" w:asciiTheme="majorEastAsia" w:hAnsiTheme="majorEastAsia" w:eastAsiaTheme="majorEastAsia" w:cstheme="majorEastAsia"/>
          <w:sz w:val="32"/>
          <w:szCs w:val="32"/>
        </w:rPr>
        <w:t>开标、评标、定标</w:t>
      </w:r>
      <w:bookmarkEnd w:id="12"/>
    </w:p>
    <w:p w14:paraId="3B4C8BEE">
      <w:pPr>
        <w:pStyle w:val="3"/>
        <w:numPr>
          <w:ilvl w:val="0"/>
          <w:numId w:val="8"/>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3" w:name="_Toc24015563"/>
      <w:bookmarkStart w:id="14" w:name="_Toc15209"/>
      <w:bookmarkStart w:id="15" w:name="_Toc1988"/>
      <w:r>
        <w:rPr>
          <w:rFonts w:hint="eastAsia" w:ascii="宋体" w:hAnsi="宋体" w:cs="宋体" w:eastAsiaTheme="minorEastAsia"/>
          <w:kern w:val="2"/>
          <w:sz w:val="21"/>
          <w:szCs w:val="21"/>
          <w:lang w:val="en-US" w:eastAsia="zh-CN" w:bidi="ar-SA"/>
        </w:rPr>
        <w:t>资格性审查表</w:t>
      </w:r>
      <w:bookmarkEnd w:id="13"/>
      <w:bookmarkEnd w:id="14"/>
      <w:bookmarkEnd w:id="15"/>
    </w:p>
    <w:tbl>
      <w:tblPr>
        <w:tblStyle w:val="1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2C7A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3" w:type="dxa"/>
            <w:noWrap w:val="0"/>
            <w:vAlign w:val="center"/>
          </w:tcPr>
          <w:p w14:paraId="59A3AE57">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9286" w:type="dxa"/>
            <w:noWrap w:val="0"/>
            <w:vAlign w:val="center"/>
          </w:tcPr>
          <w:p w14:paraId="492F829C">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2EB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6424D38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37E0A346">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FD2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503FDA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3A1E4E1D">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bl>
    <w:p w14:paraId="218A01EB">
      <w:pPr>
        <w:adjustRightInd w:val="0"/>
        <w:snapToGrid w:val="0"/>
        <w:spacing w:line="360" w:lineRule="auto"/>
        <w:jc w:val="left"/>
        <w:outlineLvl w:val="9"/>
        <w:rPr>
          <w:rFonts w:ascii="宋体" w:hAnsi="宋体"/>
          <w:color w:val="auto"/>
          <w:highlight w:val="none"/>
        </w:rPr>
      </w:pPr>
      <w:bookmarkStart w:id="16" w:name="_Toc15975"/>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6"/>
    </w:p>
    <w:p w14:paraId="41BA4C69">
      <w:pPr>
        <w:pStyle w:val="3"/>
        <w:numPr>
          <w:ilvl w:val="0"/>
          <w:numId w:val="8"/>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p>
    <w:tbl>
      <w:tblPr>
        <w:tblStyle w:val="16"/>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5AA6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14:paraId="2E0DB8B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67E75CE5">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539C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5" w:type="dxa"/>
            <w:noWrap w:val="0"/>
            <w:vAlign w:val="center"/>
          </w:tcPr>
          <w:p w14:paraId="4B3134C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319" w:type="dxa"/>
            <w:noWrap w:val="0"/>
            <w:vAlign w:val="center"/>
          </w:tcPr>
          <w:p w14:paraId="0016FA3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将一个包中的内容拆开投标</w:t>
            </w:r>
          </w:p>
        </w:tc>
      </w:tr>
      <w:tr w14:paraId="7033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85" w:type="dxa"/>
            <w:noWrap w:val="0"/>
            <w:vAlign w:val="center"/>
          </w:tcPr>
          <w:p w14:paraId="114EF63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319" w:type="dxa"/>
            <w:noWrap w:val="0"/>
            <w:vAlign w:val="center"/>
          </w:tcPr>
          <w:p w14:paraId="1B512E9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r>
      <w:tr w14:paraId="018C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5FB2B3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9319" w:type="dxa"/>
            <w:noWrap w:val="0"/>
            <w:vAlign w:val="center"/>
          </w:tcPr>
          <w:p w14:paraId="395773B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谈判文件未规定允许有替代方案时，对同一项目投标时，同时提供两套或两套以上的投标方案</w:t>
            </w:r>
          </w:p>
        </w:tc>
      </w:tr>
      <w:tr w14:paraId="0B51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5" w:type="dxa"/>
            <w:noWrap w:val="0"/>
            <w:vAlign w:val="center"/>
          </w:tcPr>
          <w:p w14:paraId="04F295E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9319" w:type="dxa"/>
            <w:noWrap w:val="0"/>
            <w:vAlign w:val="center"/>
          </w:tcPr>
          <w:p w14:paraId="3A9D57E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分项报价或投标总价高于限价，或未按照谈判文件的报价要求进行报价的</w:t>
            </w:r>
          </w:p>
        </w:tc>
      </w:tr>
      <w:tr w14:paraId="6C81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85" w:type="dxa"/>
            <w:noWrap w:val="0"/>
            <w:vAlign w:val="center"/>
          </w:tcPr>
          <w:p w14:paraId="2C771CA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9319" w:type="dxa"/>
            <w:noWrap w:val="0"/>
            <w:vAlign w:val="center"/>
          </w:tcPr>
          <w:p w14:paraId="123B434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同一项目出现两个及以上报价，按规定又无法确定哪个是有效报价</w:t>
            </w:r>
          </w:p>
        </w:tc>
      </w:tr>
      <w:tr w14:paraId="0797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85" w:type="dxa"/>
            <w:noWrap w:val="0"/>
            <w:vAlign w:val="center"/>
          </w:tcPr>
          <w:p w14:paraId="5C0200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9319" w:type="dxa"/>
            <w:noWrap w:val="0"/>
            <w:vAlign w:val="center"/>
          </w:tcPr>
          <w:p w14:paraId="685AA5E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谈判小组认为</w:t>
            </w:r>
            <w:r>
              <w:rPr>
                <w:rFonts w:hint="eastAsia" w:ascii="宋体" w:hAnsi="宋体" w:eastAsia="宋体" w:cs="宋体"/>
                <w:sz w:val="21"/>
                <w:szCs w:val="21"/>
                <w:lang w:eastAsia="zh-CN"/>
              </w:rPr>
              <w:t>投标人</w:t>
            </w:r>
            <w:r>
              <w:rPr>
                <w:rFonts w:hint="eastAsia" w:ascii="宋体" w:hAnsi="宋体" w:eastAsia="宋体" w:cs="宋体"/>
                <w:sz w:val="21"/>
                <w:szCs w:val="21"/>
              </w:rPr>
              <w:t>的报价明显低于其他通过符合性审查</w:t>
            </w:r>
            <w:r>
              <w:rPr>
                <w:rFonts w:hint="eastAsia" w:ascii="宋体" w:hAnsi="宋体" w:eastAsia="宋体" w:cs="宋体"/>
                <w:sz w:val="21"/>
                <w:szCs w:val="21"/>
                <w:lang w:eastAsia="zh-CN"/>
              </w:rPr>
              <w:t>投标人</w:t>
            </w:r>
            <w:r>
              <w:rPr>
                <w:rFonts w:hint="eastAsia" w:ascii="宋体" w:hAnsi="宋体" w:eastAsia="宋体" w:cs="宋体"/>
                <w:sz w:val="21"/>
                <w:szCs w:val="21"/>
              </w:rPr>
              <w:t>的报价，有可能影响产品质量或者不能诚信履约的，</w:t>
            </w:r>
            <w:r>
              <w:rPr>
                <w:rFonts w:hint="eastAsia" w:ascii="宋体" w:hAnsi="宋体" w:eastAsia="宋体" w:cs="宋体"/>
                <w:sz w:val="21"/>
                <w:szCs w:val="21"/>
                <w:lang w:eastAsia="zh-CN"/>
              </w:rPr>
              <w:t>投标人</w:t>
            </w:r>
            <w:r>
              <w:rPr>
                <w:rFonts w:hint="eastAsia" w:ascii="宋体" w:hAnsi="宋体" w:eastAsia="宋体" w:cs="宋体"/>
                <w:sz w:val="21"/>
                <w:szCs w:val="21"/>
              </w:rPr>
              <w:t>不能在合理的时间内提供书面说明，或无法提交相关证明材料，</w:t>
            </w:r>
            <w:r>
              <w:rPr>
                <w:rFonts w:hint="eastAsia" w:ascii="宋体" w:hAnsi="宋体" w:eastAsia="宋体" w:cs="宋体"/>
                <w:sz w:val="21"/>
                <w:szCs w:val="21"/>
                <w:lang w:eastAsia="zh-CN"/>
              </w:rPr>
              <w:t>投标人</w:t>
            </w:r>
            <w:r>
              <w:rPr>
                <w:rFonts w:hint="eastAsia" w:ascii="宋体" w:hAnsi="宋体" w:eastAsia="宋体" w:cs="宋体"/>
                <w:sz w:val="21"/>
                <w:szCs w:val="21"/>
              </w:rPr>
              <w:t>不能证明其报价合理性的（若谈判小组成员对是否须由</w:t>
            </w:r>
            <w:r>
              <w:rPr>
                <w:rFonts w:hint="eastAsia" w:ascii="宋体" w:hAnsi="宋体" w:eastAsia="宋体" w:cs="宋体"/>
                <w:sz w:val="21"/>
                <w:szCs w:val="21"/>
                <w:lang w:eastAsia="zh-CN"/>
              </w:rPr>
              <w:t>投标人</w:t>
            </w:r>
            <w:r>
              <w:rPr>
                <w:rFonts w:hint="eastAsia" w:ascii="宋体" w:hAnsi="宋体" w:eastAsia="宋体" w:cs="宋体"/>
                <w:sz w:val="21"/>
                <w:szCs w:val="21"/>
              </w:rPr>
              <w:t>作出报价合理性说明，以及书面说明是否采纳等判断不一致的，按照“少数服从多数”的原则确定谈判小组的意见，投标文件的轻微瑕疵、非关键内容不得作为认定投标无效的依据）</w:t>
            </w:r>
          </w:p>
        </w:tc>
      </w:tr>
      <w:tr w14:paraId="07FB8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4602544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9319" w:type="dxa"/>
            <w:noWrap w:val="0"/>
            <w:vAlign w:val="center"/>
          </w:tcPr>
          <w:p w14:paraId="206BE28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所投货物、服务在技术、商务等方面没有实质性满足招标文件要求的（是否实质性满足招标文件要求，由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r>
      <w:tr w14:paraId="650E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5" w:type="dxa"/>
            <w:noWrap w:val="0"/>
            <w:vAlign w:val="center"/>
          </w:tcPr>
          <w:p w14:paraId="2FD13F5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9319" w:type="dxa"/>
            <w:noWrap w:val="0"/>
            <w:vAlign w:val="center"/>
          </w:tcPr>
          <w:p w14:paraId="66BB309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文件对谈判文件中标注“★”的条款响应为负偏离的</w:t>
            </w:r>
          </w:p>
        </w:tc>
      </w:tr>
      <w:tr w14:paraId="0982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85" w:type="dxa"/>
            <w:noWrap w:val="0"/>
            <w:vAlign w:val="center"/>
          </w:tcPr>
          <w:p w14:paraId="24267C1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9</w:t>
            </w:r>
          </w:p>
        </w:tc>
        <w:tc>
          <w:tcPr>
            <w:tcW w:w="9319" w:type="dxa"/>
            <w:noWrap w:val="0"/>
            <w:vAlign w:val="center"/>
          </w:tcPr>
          <w:p w14:paraId="1DB8397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文件对采购标的响应不全（响应不全情形包括：投标报价有缺漏项，对谈判文件规定的项目需求内容或者需求数量进行修改，未填写所投货物的品牌、规格、型号、制造商、原产地），由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根据《分项报价清单》做出评判）；</w:t>
            </w:r>
          </w:p>
        </w:tc>
      </w:tr>
      <w:tr w14:paraId="599A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noWrap w:val="0"/>
            <w:vAlign w:val="center"/>
          </w:tcPr>
          <w:p w14:paraId="4026D76C">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9319" w:type="dxa"/>
            <w:noWrap w:val="0"/>
            <w:vAlign w:val="center"/>
          </w:tcPr>
          <w:p w14:paraId="3ADB2EDB">
            <w:pPr>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rPr>
              <w:t>投标文件附有采购人或招标需求不能接受的条件</w:t>
            </w:r>
          </w:p>
        </w:tc>
      </w:tr>
      <w:tr w14:paraId="6FB9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noWrap w:val="0"/>
            <w:vAlign w:val="center"/>
          </w:tcPr>
          <w:p w14:paraId="135A73C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1</w:t>
            </w:r>
          </w:p>
        </w:tc>
        <w:tc>
          <w:tcPr>
            <w:tcW w:w="9319" w:type="dxa"/>
            <w:noWrap w:val="0"/>
            <w:vAlign w:val="center"/>
          </w:tcPr>
          <w:p w14:paraId="38C52FA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法律法规规定的其他情形</w:t>
            </w:r>
          </w:p>
        </w:tc>
      </w:tr>
    </w:tbl>
    <w:p w14:paraId="544B3F43">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619B9638">
      <w:pPr>
        <w:tabs>
          <w:tab w:val="left" w:pos="420"/>
          <w:tab w:val="left" w:pos="630"/>
        </w:tabs>
        <w:autoSpaceDE w:val="0"/>
        <w:autoSpaceDN w:val="0"/>
        <w:adjustRightInd w:val="0"/>
        <w:spacing w:line="360" w:lineRule="auto"/>
        <w:rPr>
          <w:rFonts w:hint="eastAsia" w:ascii="宋体" w:cs="宋体"/>
          <w:szCs w:val="21"/>
        </w:rPr>
      </w:pPr>
    </w:p>
    <w:p w14:paraId="58D1A2AD">
      <w:pPr>
        <w:pStyle w:val="4"/>
        <w:numPr>
          <w:ilvl w:val="0"/>
          <w:numId w:val="9"/>
        </w:numPr>
        <w:ind w:left="0" w:leftChars="0" w:firstLine="0" w:firstLineChars="0"/>
        <w:jc w:val="left"/>
        <w:outlineLvl w:val="0"/>
        <w:rPr>
          <w:color w:val="auto"/>
        </w:rPr>
      </w:pPr>
      <w:r>
        <w:rPr>
          <w:rFonts w:hint="eastAsia" w:ascii="宋体" w:hAnsi="宋体" w:cs="宋体" w:eastAsiaTheme="minorEastAsia"/>
          <w:kern w:val="2"/>
          <w:sz w:val="21"/>
          <w:szCs w:val="21"/>
          <w:lang w:val="en-US" w:eastAsia="zh-CN" w:bidi="ar-SA"/>
        </w:rPr>
        <w:t>福田区自行采购供应商资格审查表</w:t>
      </w:r>
    </w:p>
    <w:tbl>
      <w:tblPr>
        <w:tblStyle w:val="17"/>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4D79F9F6">
      <w:pPr>
        <w:pStyle w:val="32"/>
        <w:widowControl/>
        <w:numPr>
          <w:ilvl w:val="0"/>
          <w:numId w:val="10"/>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r>
        <w:rPr>
          <w:rFonts w:hint="eastAsia" w:hAnsi="宋体"/>
          <w:b/>
          <w:bCs/>
        </w:rPr>
        <w:t>开标</w:t>
      </w:r>
    </w:p>
    <w:p w14:paraId="0369ECD0">
      <w:pPr>
        <w:pStyle w:val="32"/>
        <w:widowControl/>
        <w:numPr>
          <w:ilvl w:val="0"/>
          <w:numId w:val="0"/>
        </w:numPr>
        <w:spacing w:line="360" w:lineRule="auto"/>
        <w:ind w:leftChars="0"/>
        <w:jc w:val="left"/>
        <w:rPr>
          <w:rFonts w:hAnsi="宋体"/>
          <w:color w:val="auto"/>
        </w:rPr>
      </w:pPr>
      <w:r>
        <w:rPr>
          <w:rFonts w:hint="eastAsia" w:ascii="宋体" w:hAnsi="宋体" w:cs="宋体"/>
          <w:szCs w:val="21"/>
          <w:lang w:val="en-US" w:eastAsia="zh-CN"/>
        </w:rPr>
        <w:t>1.1. 应在</w:t>
      </w:r>
      <w:r>
        <w:rPr>
          <w:rFonts w:hint="eastAsia" w:ascii="宋体" w:hAnsi="宋体" w:cs="宋体"/>
          <w:szCs w:val="21"/>
        </w:rPr>
        <w:t>规定的日期、时间和地点组织公开开标。开标时邀请所有投标人代表</w:t>
      </w:r>
      <w:r>
        <w:rPr>
          <w:rFonts w:hint="eastAsia" w:ascii="宋体" w:hAnsi="宋体" w:cs="宋体"/>
          <w:color w:val="auto"/>
          <w:szCs w:val="21"/>
        </w:rPr>
        <w:t>参加。参加开标的代表应签名报到以证明其出席。</w:t>
      </w:r>
    </w:p>
    <w:p w14:paraId="3FE2B93C">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1.2. </w:t>
      </w:r>
      <w:r>
        <w:rPr>
          <w:rFonts w:hint="eastAsia" w:ascii="宋体" w:hAnsi="宋体" w:cs="宋体"/>
          <w:szCs w:val="21"/>
        </w:rPr>
        <w:t>开标时，由</w:t>
      </w:r>
      <w:r>
        <w:rPr>
          <w:rFonts w:hint="eastAsia" w:ascii="宋体" w:hAnsi="宋体" w:cs="宋体"/>
          <w:szCs w:val="21"/>
          <w:lang w:val="en-US" w:eastAsia="zh-CN"/>
        </w:rPr>
        <w:t>采购人党委办公室工作人员</w:t>
      </w:r>
      <w:r>
        <w:rPr>
          <w:rFonts w:hint="eastAsia" w:ascii="宋体" w:hAnsi="宋体" w:cs="宋体"/>
          <w:szCs w:val="21"/>
        </w:rPr>
        <w:t>检查投标文件的密封情况；经确认无误后，由采购人工作人员当众拆封，宣布投标人名称、投标价格和招标文件规定的需要宣布的其他内容。</w:t>
      </w:r>
    </w:p>
    <w:p w14:paraId="1D2020F4">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1.3. </w:t>
      </w:r>
      <w:r>
        <w:rPr>
          <w:rFonts w:hint="eastAsia" w:ascii="宋体" w:hAnsi="宋体" w:cs="宋体"/>
          <w:szCs w:val="21"/>
        </w:rPr>
        <w:t>开标过程应当由采购人相关工作人员负责记录，由参加开标的各投标人代表和相关工作人员签字确认。</w:t>
      </w:r>
    </w:p>
    <w:p w14:paraId="7AC09916">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1.4. </w:t>
      </w:r>
      <w:r>
        <w:rPr>
          <w:rFonts w:hint="eastAsia" w:ascii="宋体" w:hAnsi="宋体" w:cs="宋体"/>
          <w:szCs w:val="21"/>
        </w:rPr>
        <w:t>投标人代表对开标过程和开标记录有疑义，以及认为采购人相关工作人员有需要回避的情形的，应当场提出询问或者回避申请。采购人对投标人代表提出的询问或者回避申请应当及时处理。</w:t>
      </w:r>
    </w:p>
    <w:p w14:paraId="5224829E">
      <w:pPr>
        <w:pStyle w:val="32"/>
        <w:widowControl/>
        <w:numPr>
          <w:ilvl w:val="0"/>
          <w:numId w:val="0"/>
        </w:numPr>
        <w:spacing w:line="360" w:lineRule="auto"/>
        <w:ind w:leftChars="0"/>
        <w:jc w:val="left"/>
        <w:outlineLvl w:val="9"/>
        <w:rPr>
          <w:rFonts w:hint="eastAsia" w:ascii="宋体" w:hAnsi="宋体" w:cs="宋体"/>
          <w:szCs w:val="21"/>
        </w:rPr>
      </w:pPr>
      <w:r>
        <w:rPr>
          <w:rFonts w:hint="eastAsia" w:ascii="宋体" w:hAnsi="宋体" w:cs="宋体"/>
          <w:szCs w:val="21"/>
          <w:lang w:val="en-US" w:eastAsia="zh-CN"/>
        </w:rPr>
        <w:t xml:space="preserve">1.5. </w:t>
      </w:r>
      <w:r>
        <w:rPr>
          <w:rFonts w:hint="eastAsia" w:ascii="宋体" w:hAnsi="宋体" w:cs="宋体"/>
          <w:szCs w:val="21"/>
        </w:rPr>
        <w:t>投标人未参加开标的，视同认可开标结果。</w:t>
      </w:r>
    </w:p>
    <w:p w14:paraId="15660E1E">
      <w:pPr>
        <w:pStyle w:val="32"/>
        <w:widowControl/>
        <w:numPr>
          <w:ilvl w:val="0"/>
          <w:numId w:val="0"/>
        </w:numPr>
        <w:spacing w:line="360" w:lineRule="auto"/>
        <w:ind w:leftChars="0"/>
        <w:jc w:val="left"/>
        <w:outlineLvl w:val="1"/>
        <w:rPr>
          <w:rFonts w:hint="eastAsia" w:ascii="宋体" w:hAnsi="宋体" w:cs="宋体"/>
          <w:szCs w:val="21"/>
        </w:rPr>
      </w:pPr>
      <w:r>
        <w:rPr>
          <w:rFonts w:hint="eastAsia" w:hAnsi="宋体"/>
          <w:b/>
          <w:lang w:val="en-US" w:eastAsia="zh-CN"/>
        </w:rPr>
        <w:t>2.  评标委员会的组成</w:t>
      </w:r>
    </w:p>
    <w:p w14:paraId="3509FA96">
      <w:pPr>
        <w:pStyle w:val="32"/>
        <w:widowControl/>
        <w:numPr>
          <w:ilvl w:val="0"/>
          <w:numId w:val="0"/>
        </w:numPr>
        <w:spacing w:line="360" w:lineRule="auto"/>
        <w:ind w:leftChars="0"/>
        <w:jc w:val="left"/>
        <w:outlineLvl w:val="9"/>
        <w:rPr>
          <w:rFonts w:ascii="宋体" w:hAnsi="宋体" w:cs="宋体"/>
          <w:szCs w:val="21"/>
        </w:rPr>
      </w:pPr>
      <w:r>
        <w:rPr>
          <w:rFonts w:hint="eastAsia" w:ascii="宋体" w:hAnsi="宋体" w:cs="宋体"/>
          <w:szCs w:val="21"/>
          <w:lang w:val="en-US" w:eastAsia="zh-CN"/>
        </w:rPr>
        <w:t xml:space="preserve">2.1. </w:t>
      </w:r>
      <w:r>
        <w:rPr>
          <w:rFonts w:hint="eastAsia" w:ascii="宋体" w:hAnsi="宋体" w:cs="宋体"/>
          <w:szCs w:val="21"/>
        </w:rPr>
        <w:t>评标委员会依法组建，由5人单数组成。</w:t>
      </w:r>
    </w:p>
    <w:p w14:paraId="78A04134">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2.2. </w:t>
      </w:r>
      <w:r>
        <w:rPr>
          <w:rFonts w:hint="eastAsia" w:ascii="宋体" w:hAnsi="宋体" w:cs="宋体"/>
          <w:szCs w:val="21"/>
        </w:rPr>
        <w:t>评标委员会成员名单在评标结果公告前应当保密。评审专家有下列情形之一的，受到邀请应主动提出回避，采购当事人也可以要求该评审专家回避：</w:t>
      </w:r>
    </w:p>
    <w:p w14:paraId="0D550C9C">
      <w:pPr>
        <w:pStyle w:val="26"/>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参加采购活动前3年内与供应商存在劳动关系；</w:t>
      </w:r>
    </w:p>
    <w:p w14:paraId="415C13EA">
      <w:pPr>
        <w:pStyle w:val="26"/>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参加采购活动前3年内担任供应商的董事、监事；</w:t>
      </w:r>
    </w:p>
    <w:p w14:paraId="7F82D60C">
      <w:pPr>
        <w:pStyle w:val="26"/>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szCs w:val="21"/>
        </w:rPr>
        <w:t>参加采购活动前3年内是供应商的控股股东或者实际控制人；</w:t>
      </w:r>
    </w:p>
    <w:p w14:paraId="03BCF695">
      <w:pPr>
        <w:pStyle w:val="26"/>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（4） </w:t>
      </w:r>
      <w:r>
        <w:rPr>
          <w:rFonts w:hint="eastAsia" w:ascii="宋体" w:hAnsi="宋体" w:cs="宋体"/>
          <w:szCs w:val="21"/>
        </w:rPr>
        <w:t>与供应商的法定代表人或者负责人有夫妻、直系血亲、三代以内旁系血亲或者近姻亲关系；</w:t>
      </w:r>
    </w:p>
    <w:p w14:paraId="6558117E">
      <w:pPr>
        <w:pStyle w:val="26"/>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（5） </w:t>
      </w:r>
      <w:r>
        <w:rPr>
          <w:rFonts w:hint="eastAsia" w:ascii="宋体" w:hAnsi="宋体" w:cs="宋体"/>
          <w:szCs w:val="21"/>
        </w:rPr>
        <w:t>与供应商有其他可能影响采购活动公平、公正进行的关系。</w:t>
      </w:r>
    </w:p>
    <w:p w14:paraId="6E7F3194">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2.3. </w:t>
      </w:r>
      <w:r>
        <w:rPr>
          <w:rFonts w:hint="eastAsia" w:ascii="宋体" w:hAnsi="宋体" w:cs="宋体"/>
          <w:szCs w:val="21"/>
        </w:rPr>
        <w:t>评标委员会和有关工作人员不得透露对投标文件的评审和比较以及与评标有关的其他情况。</w:t>
      </w:r>
    </w:p>
    <w:p w14:paraId="73C401BF">
      <w:pPr>
        <w:pStyle w:val="32"/>
        <w:widowControl/>
        <w:numPr>
          <w:ilvl w:val="0"/>
          <w:numId w:val="0"/>
        </w:numPr>
        <w:spacing w:line="360" w:lineRule="auto"/>
        <w:ind w:leftChars="0"/>
        <w:jc w:val="left"/>
        <w:outlineLvl w:val="9"/>
        <w:rPr>
          <w:rFonts w:ascii="宋体" w:hAnsi="宋体" w:cs="宋体"/>
          <w:szCs w:val="21"/>
        </w:rPr>
      </w:pPr>
      <w:r>
        <w:rPr>
          <w:rFonts w:hint="eastAsia" w:ascii="宋体" w:hAnsi="宋体" w:cs="宋体"/>
          <w:szCs w:val="21"/>
          <w:lang w:val="en-US" w:eastAsia="zh-CN"/>
        </w:rPr>
        <w:t xml:space="preserve">2.4. </w:t>
      </w:r>
      <w:r>
        <w:rPr>
          <w:rFonts w:hint="eastAsia" w:ascii="宋体" w:hAnsi="宋体" w:cs="宋体"/>
          <w:szCs w:val="21"/>
        </w:rPr>
        <w:t>评标委员会负责具体评标事务，并独立履行下列职责：</w:t>
      </w:r>
    </w:p>
    <w:p w14:paraId="0FFF6028">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审查、评价投标文件是否符合招标文件的商务、技术等实质性要求；</w:t>
      </w:r>
    </w:p>
    <w:p w14:paraId="032848C8">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要求投标人对投标文件有关事项作出澄清或者说明；</w:t>
      </w:r>
    </w:p>
    <w:p w14:paraId="397EAD7C">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szCs w:val="21"/>
        </w:rPr>
        <w:t>对投标文件进行比较和评价；</w:t>
      </w:r>
    </w:p>
    <w:p w14:paraId="623C2705">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（4） </w:t>
      </w:r>
      <w:r>
        <w:rPr>
          <w:rFonts w:hint="eastAsia" w:ascii="宋体" w:hAnsi="宋体" w:cs="宋体"/>
          <w:szCs w:val="21"/>
        </w:rPr>
        <w:t>确定中标候选人名单；</w:t>
      </w:r>
    </w:p>
    <w:p w14:paraId="65F715F6">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2.5. </w:t>
      </w:r>
      <w:r>
        <w:rPr>
          <w:rFonts w:hint="eastAsia" w:ascii="宋体" w:hAnsi="宋体" w:cs="宋体"/>
          <w:szCs w:val="21"/>
        </w:rPr>
        <w:t>对于投标文件中含义不明确、同类问题表述不一致或者有明显文字和计算错误的内容，评标委员会应当以书面形式要求投标人作出必要的澄清、说明或者补正。</w:t>
      </w:r>
    </w:p>
    <w:p w14:paraId="4E7C51F4">
      <w:pPr>
        <w:pStyle w:val="32"/>
        <w:widowControl/>
        <w:numPr>
          <w:ilvl w:val="0"/>
          <w:numId w:val="0"/>
        </w:numPr>
        <w:spacing w:line="360" w:lineRule="auto"/>
        <w:ind w:leftChars="0"/>
        <w:jc w:val="left"/>
        <w:rPr>
          <w:rFonts w:ascii="宋体" w:hAnsi="宋体" w:cs="宋体"/>
          <w:szCs w:val="21"/>
          <w:lang w:eastAsia="zh-TW"/>
        </w:rPr>
      </w:pPr>
      <w:r>
        <w:rPr>
          <w:rFonts w:hint="eastAsia" w:ascii="宋体" w:hAnsi="宋体" w:cs="宋体"/>
          <w:szCs w:val="21"/>
          <w:lang w:val="en-US" w:eastAsia="zh-CN"/>
        </w:rPr>
        <w:t xml:space="preserve">2.6. </w:t>
      </w:r>
      <w:r>
        <w:rPr>
          <w:rFonts w:hint="eastAsia" w:ascii="宋体" w:hAnsi="宋体" w:cs="宋体"/>
          <w:szCs w:val="21"/>
        </w:rPr>
        <w:t>投标人的澄清、说明或者补正应当采用书面形式，并加盖公章，或者由法定代表人或其授权的代表签字。投标人的澄清、说明或者补正不得超出投标文件的范围或者改变投标文件的实质性内容。</w:t>
      </w:r>
      <w:r>
        <w:rPr>
          <w:rFonts w:hint="eastAsia" w:ascii="宋体" w:hAnsi="宋体" w:cs="宋体"/>
          <w:szCs w:val="21"/>
          <w:lang w:eastAsia="zh-TW"/>
        </w:rPr>
        <w:t>投标人的澄清文件是其投标文件的组成部分。</w:t>
      </w:r>
    </w:p>
    <w:p w14:paraId="3189A38B">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2.7. </w:t>
      </w:r>
      <w:r>
        <w:rPr>
          <w:rFonts w:hint="eastAsia" w:ascii="宋体" w:hAnsi="宋体" w:cs="宋体"/>
          <w:szCs w:val="21"/>
          <w:lang w:eastAsia="zh-TW"/>
        </w:rPr>
        <w:t>评标</w:t>
      </w:r>
      <w:r>
        <w:t>委员会决定投标的响应性只根据投标文件中提供的材料内容，而不依据外部的材料证据</w:t>
      </w:r>
      <w:r>
        <w:rPr>
          <w:rFonts w:hint="eastAsia" w:ascii="宋体" w:hAnsi="宋体" w:cs="宋体"/>
          <w:szCs w:val="21"/>
        </w:rPr>
        <w:t>。</w:t>
      </w:r>
    </w:p>
    <w:p w14:paraId="03C8DD9D">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2.8. </w:t>
      </w:r>
      <w:r>
        <w:rPr>
          <w:rFonts w:hint="eastAsia" w:ascii="宋体" w:hAnsi="宋体" w:cs="宋体"/>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致的，按照“少数服从多数”的原则确定评标委员会的意见。</w:t>
      </w:r>
    </w:p>
    <w:p w14:paraId="22CC7225">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2.9. </w:t>
      </w:r>
      <w:r>
        <w:rPr>
          <w:rFonts w:hint="eastAsia" w:ascii="宋体" w:hAnsi="宋体" w:cs="宋体"/>
          <w:szCs w:val="21"/>
        </w:rPr>
        <w:t>评标委员会成员对需要共同认定的事项存在争议的，应当按照少数服从多数的原则作出结论。持不同意见的评标委员会成员应当在评标报告上签署不同意见及理由，否则视为同意评标报告。</w:t>
      </w:r>
    </w:p>
    <w:p w14:paraId="2D7705E9">
      <w:pPr>
        <w:pStyle w:val="32"/>
        <w:widowControl/>
        <w:numPr>
          <w:ilvl w:val="0"/>
          <w:numId w:val="0"/>
        </w:numPr>
        <w:spacing w:line="360" w:lineRule="auto"/>
        <w:ind w:leftChars="0"/>
        <w:jc w:val="left"/>
        <w:outlineLvl w:val="1"/>
        <w:rPr>
          <w:rFonts w:hAnsi="宋体"/>
          <w:b/>
        </w:rPr>
      </w:pPr>
      <w:r>
        <w:rPr>
          <w:rFonts w:hint="eastAsia" w:hAnsi="宋体"/>
          <w:b/>
          <w:lang w:val="en-US" w:eastAsia="zh-CN"/>
        </w:rPr>
        <w:t>3.  投标文件初审</w:t>
      </w:r>
    </w:p>
    <w:p w14:paraId="4FF5934B">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3.1. </w:t>
      </w:r>
      <w:r>
        <w:rPr>
          <w:rFonts w:hint="eastAsia" w:ascii="宋体" w:hAnsi="宋体" w:cs="宋体"/>
          <w:szCs w:val="21"/>
        </w:rPr>
        <w:t>投标文件初审包括资格性检查和符合性检查。资格性检查：依据法律法规和招标文件的规定，对投标文件中的资格证明等进行审查，以确定投标供应商是否具备投标资格。符合性检查：依据招标文件的规定，从投标文件的有效性、完整性和对招标文件的响应程度进行审查，以确定是否对招标文件的实质性要求作出响应。</w:t>
      </w:r>
    </w:p>
    <w:p w14:paraId="5F6A3FC9">
      <w:pPr>
        <w:pStyle w:val="32"/>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3.2. </w:t>
      </w:r>
      <w:r>
        <w:rPr>
          <w:rFonts w:hint="eastAsia" w:ascii="宋体" w:hAnsi="宋体" w:cs="宋体"/>
          <w:szCs w:val="21"/>
        </w:rPr>
        <w:t>投标文件初审中关于供应商家数的计算:</w:t>
      </w:r>
    </w:p>
    <w:p w14:paraId="1A11FC07">
      <w:pPr>
        <w:pStyle w:val="32"/>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采用最低价法的采购项目，提供相同品牌产品的不同投标人参加同一合同项下投标的，以其中通过资格审查、符合性审查且报价最低的参加评标；报价相同的，由采购人或者采购人委托</w:t>
      </w:r>
      <w:r>
        <w:rPr>
          <w:rFonts w:hint="eastAsia" w:ascii="宋体" w:hAnsi="宋体" w:cs="宋体"/>
          <w:szCs w:val="21"/>
          <w:lang w:eastAsia="zh-CN"/>
        </w:rPr>
        <w:t>评标委员会</w:t>
      </w:r>
      <w:r>
        <w:rPr>
          <w:rFonts w:hint="eastAsia" w:ascii="宋体" w:hAnsi="宋体" w:cs="宋体"/>
          <w:szCs w:val="21"/>
        </w:rPr>
        <w:t>按照招标文件规定的方式确定一个参加评审的投标人，招标文件未规定的采取随机抽取方式确定，其他投标无效。</w:t>
      </w:r>
    </w:p>
    <w:p w14:paraId="1A11F764">
      <w:pPr>
        <w:pStyle w:val="32"/>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cs="宋体"/>
          <w:szCs w:val="21"/>
          <w:lang w:eastAsia="zh-CN"/>
        </w:rPr>
        <w:t>评标委员会</w:t>
      </w:r>
      <w:r>
        <w:rPr>
          <w:rFonts w:hint="eastAsia" w:ascii="宋体" w:hAnsi="宋体" w:cs="宋体"/>
          <w:szCs w:val="21"/>
        </w:rPr>
        <w:t>按照招标文件规定的方式确定一个投标人获得中标人推荐资格，招标文件未规定的采取随机抽取方式确定，其他同品牌投标人不作为中标候选人。</w:t>
      </w:r>
    </w:p>
    <w:p w14:paraId="67110D92">
      <w:pPr>
        <w:snapToGrid w:val="0"/>
        <w:spacing w:line="360" w:lineRule="auto"/>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eastAsiaTheme="minorEastAsia"/>
          <w:kern w:val="2"/>
          <w:sz w:val="21"/>
          <w:szCs w:val="21"/>
          <w:lang w:val="en-US" w:eastAsia="zh-CN" w:bidi="ar-SA"/>
        </w:rPr>
        <w:t>非单一产品采购项目，采购人应当根据采购项目技术构成、产品价格比重等合理确定核心产品，并在招标文件中载明。多家投标人提供的核心产品品牌相同的，按前两款规定处理。</w:t>
      </w:r>
    </w:p>
    <w:p w14:paraId="43B1EC83">
      <w:pPr>
        <w:pStyle w:val="32"/>
        <w:widowControl/>
        <w:numPr>
          <w:ilvl w:val="0"/>
          <w:numId w:val="0"/>
        </w:numPr>
        <w:spacing w:line="360" w:lineRule="auto"/>
        <w:ind w:leftChars="0"/>
        <w:jc w:val="left"/>
        <w:outlineLvl w:val="1"/>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4EFCC9BF">
      <w:pPr>
        <w:pStyle w:val="32"/>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评标方法分为最低价法、综合评分法及法律、法规允许的其它评标办法。</w:t>
      </w:r>
    </w:p>
    <w:p w14:paraId="41233814">
      <w:pPr>
        <w:pStyle w:val="26"/>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4.1.1 </w:t>
      </w:r>
      <w:r>
        <w:rPr>
          <w:rFonts w:hint="eastAsia" w:ascii="宋体" w:hAnsi="宋体" w:cs="宋体" w:eastAsiaTheme="minorEastAsia"/>
          <w:kern w:val="2"/>
          <w:sz w:val="21"/>
          <w:szCs w:val="21"/>
          <w:lang w:val="en-US" w:eastAsia="zh-CN" w:bidi="ar-SA"/>
        </w:rPr>
        <w:t>最低价法，是指完全满足招标文件实质性要求，按照报价由低到高的顺序，依据招标文件中规定的数量或者比例推荐候选中标供应商。</w:t>
      </w:r>
    </w:p>
    <w:p w14:paraId="5D19274F">
      <w:pPr>
        <w:pStyle w:val="26"/>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4.1.2. </w:t>
      </w:r>
      <w:r>
        <w:rPr>
          <w:rFonts w:hint="eastAsia" w:ascii="宋体" w:hAnsi="宋体" w:cs="宋体" w:eastAsiaTheme="minorEastAsia"/>
          <w:kern w:val="2"/>
          <w:sz w:val="21"/>
          <w:szCs w:val="21"/>
          <w:lang w:val="en-US" w:eastAsia="zh-CN" w:bidi="ar-SA"/>
        </w:rPr>
        <w:t>综合评分法，是指在满足招标文件全部实质性要求的前提下，按照招标文件中规定的各项因素进行综合评审，评审总得分排名前列的投标人，作为推荐的候选中标供应商。</w:t>
      </w:r>
    </w:p>
    <w:p w14:paraId="582C407C">
      <w:pPr>
        <w:numPr>
          <w:ilvl w:val="0"/>
          <w:numId w:val="0"/>
        </w:numPr>
        <w:snapToGrid w:val="0"/>
        <w:spacing w:line="360" w:lineRule="auto"/>
        <w:ind w:leftChars="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4.2. </w:t>
      </w:r>
      <w:r>
        <w:rPr>
          <w:rFonts w:hint="eastAsia" w:ascii="宋体" w:hAnsi="宋体" w:cs="宋体" w:eastAsiaTheme="minorEastAsia"/>
          <w:kern w:val="2"/>
          <w:sz w:val="21"/>
          <w:szCs w:val="21"/>
          <w:lang w:val="en-US" w:eastAsia="zh-CN" w:bidi="ar-SA"/>
        </w:rPr>
        <w:t>重新评审的情形</w:t>
      </w:r>
      <w:r>
        <w:rPr>
          <w:rFonts w:hint="eastAsia" w:ascii="宋体" w:hAnsi="宋体" w:cs="宋体"/>
          <w:kern w:val="2"/>
          <w:sz w:val="21"/>
          <w:szCs w:val="21"/>
          <w:lang w:val="en-US" w:eastAsia="zh-CN" w:bidi="ar-SA"/>
        </w:rPr>
        <w:t>：</w:t>
      </w:r>
    </w:p>
    <w:p w14:paraId="4C8518AD">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（1） </w:t>
      </w:r>
      <w:r>
        <w:rPr>
          <w:rFonts w:hint="eastAsia" w:ascii="宋体" w:hAnsi="宋体" w:cs="宋体" w:eastAsiaTheme="minorEastAsia"/>
          <w:kern w:val="2"/>
          <w:sz w:val="21"/>
          <w:szCs w:val="21"/>
          <w:lang w:val="en-US" w:eastAsia="zh-CN" w:bidi="ar-SA"/>
        </w:rPr>
        <w:t>分值汇总计算错误的；</w:t>
      </w:r>
    </w:p>
    <w:p w14:paraId="29107180">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（2） </w:t>
      </w:r>
      <w:r>
        <w:rPr>
          <w:rFonts w:hint="eastAsia" w:ascii="宋体" w:hAnsi="宋体" w:cs="宋体" w:eastAsiaTheme="minorEastAsia"/>
          <w:kern w:val="2"/>
          <w:sz w:val="21"/>
          <w:szCs w:val="21"/>
          <w:lang w:val="en-US" w:eastAsia="zh-CN" w:bidi="ar-SA"/>
        </w:rPr>
        <w:t>分项评分超出评分标准范围的；</w:t>
      </w:r>
    </w:p>
    <w:p w14:paraId="76DF0E5E">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（3） 评标委员会</w:t>
      </w:r>
      <w:r>
        <w:rPr>
          <w:rFonts w:hint="eastAsia" w:ascii="宋体" w:hAnsi="宋体" w:cs="宋体" w:eastAsiaTheme="minorEastAsia"/>
          <w:kern w:val="2"/>
          <w:sz w:val="21"/>
          <w:szCs w:val="21"/>
          <w:lang w:val="en-US" w:eastAsia="zh-CN" w:bidi="ar-SA"/>
        </w:rPr>
        <w:t>成员对客观评审因素评分不一致的；</w:t>
      </w:r>
    </w:p>
    <w:p w14:paraId="6637284D">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 </w:t>
      </w:r>
      <w:r>
        <w:rPr>
          <w:rFonts w:hint="eastAsia" w:ascii="宋体" w:hAnsi="宋体" w:cs="宋体" w:eastAsiaTheme="minorEastAsia"/>
          <w:kern w:val="2"/>
          <w:sz w:val="21"/>
          <w:szCs w:val="21"/>
          <w:lang w:val="en-US" w:eastAsia="zh-CN" w:bidi="ar-SA"/>
        </w:rPr>
        <w:t>经</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认定评分畸高、畸低的。</w:t>
      </w:r>
    </w:p>
    <w:p w14:paraId="6D12116C">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4.3. 评标报告</w:t>
      </w:r>
      <w:r>
        <w:rPr>
          <w:rFonts w:hint="eastAsia" w:ascii="宋体" w:hAnsi="宋体" w:cs="宋体" w:eastAsiaTheme="minorEastAsia"/>
          <w:kern w:val="2"/>
          <w:sz w:val="21"/>
          <w:szCs w:val="21"/>
          <w:lang w:val="en-US" w:eastAsia="zh-CN" w:bidi="ar-SA"/>
        </w:rPr>
        <w:t>签署前，经复核发现存在以上情形之一的，</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应当当场修改评审结果，并进行书面记载；</w:t>
      </w:r>
      <w:r>
        <w:rPr>
          <w:rFonts w:hint="eastAsia" w:ascii="宋体" w:hAnsi="宋体" w:cs="宋体"/>
          <w:kern w:val="2"/>
          <w:sz w:val="21"/>
          <w:szCs w:val="21"/>
          <w:lang w:val="en-US" w:eastAsia="zh-CN" w:bidi="ar-SA"/>
        </w:rPr>
        <w:t>评标报告</w:t>
      </w:r>
      <w:r>
        <w:rPr>
          <w:rFonts w:hint="eastAsia" w:ascii="宋体" w:hAnsi="宋体" w:cs="宋体" w:eastAsiaTheme="minorEastAsia"/>
          <w:kern w:val="2"/>
          <w:sz w:val="21"/>
          <w:szCs w:val="21"/>
          <w:lang w:val="en-US" w:eastAsia="zh-CN" w:bidi="ar-SA"/>
        </w:rPr>
        <w:t>签署后，采购人发现存在以上情形之一的，应当组织原</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进行重新评审，重新评审改变评审结果的，书面报告采购人的采购主管部门。</w:t>
      </w:r>
    </w:p>
    <w:p w14:paraId="0A27FC8C">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4.4. </w:t>
      </w:r>
      <w:r>
        <w:rPr>
          <w:rFonts w:hint="eastAsia" w:ascii="宋体" w:hAnsi="宋体" w:cs="宋体" w:eastAsiaTheme="minorEastAsia"/>
          <w:kern w:val="2"/>
          <w:sz w:val="21"/>
          <w:szCs w:val="21"/>
          <w:lang w:val="en-US" w:eastAsia="zh-CN" w:bidi="ar-SA"/>
        </w:rPr>
        <w:t>投标人对本条第一款情形提出质疑的，采购人可以组织原</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进行重新评审，重新评审改变评审结果的，应当书面报告采购人的采购主管部门。</w:t>
      </w:r>
    </w:p>
    <w:p w14:paraId="70185EF8">
      <w:pPr>
        <w:pStyle w:val="26"/>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6BD4B064">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5.1. 评标</w:t>
      </w:r>
      <w:r>
        <w:rPr>
          <w:rFonts w:hint="eastAsia" w:ascii="宋体" w:hAnsi="宋体" w:eastAsiaTheme="minorEastAsia" w:cstheme="minorBidi"/>
          <w:color w:val="auto"/>
          <w:kern w:val="2"/>
          <w:sz w:val="21"/>
          <w:szCs w:val="21"/>
          <w:lang w:val="en-US" w:eastAsia="zh-CN" w:bidi="ar-SA"/>
        </w:rPr>
        <w:t>委员会按招标文件中规定的评标方法和标准，对资格性检查和符合性检查合格且报价不超过预算控制金额的投标文件进行商务和技术评审，综合比较与评价。</w:t>
      </w:r>
    </w:p>
    <w:p w14:paraId="52D57BCD">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 xml:space="preserve">5.2. </w:t>
      </w:r>
      <w:r>
        <w:rPr>
          <w:rFonts w:hint="eastAsia" w:ascii="宋体" w:hAnsi="宋体" w:eastAsiaTheme="minorEastAsia" w:cstheme="minorBidi"/>
          <w:color w:val="auto"/>
          <w:kern w:val="2"/>
          <w:sz w:val="21"/>
          <w:szCs w:val="21"/>
          <w:lang w:val="en-US" w:eastAsia="zh-CN" w:bidi="ar-SA"/>
        </w:rPr>
        <w:t>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委员会成员对需要共同认定的事项存在争议的，应当按照少数服从多数的原则作出结论。持不同意见的评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委员会成员应当书面作出说明，否则视为无异议。</w:t>
      </w:r>
    </w:p>
    <w:p w14:paraId="699B21F8">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 xml:space="preserve">5.3. </w:t>
      </w:r>
      <w:r>
        <w:rPr>
          <w:rFonts w:hint="eastAsia" w:ascii="宋体" w:hAnsi="宋体" w:eastAsiaTheme="minorEastAsia" w:cstheme="minorBidi"/>
          <w:color w:val="auto"/>
          <w:kern w:val="2"/>
          <w:sz w:val="21"/>
          <w:szCs w:val="21"/>
          <w:lang w:val="en-US" w:eastAsia="zh-CN" w:bidi="ar-SA"/>
        </w:rPr>
        <w:t>在评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过程中，评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委员会有权决定是否对本项目投标人进行实地考察或资料查验（原件）。投标人应随时做好接受实地考察或资料查验的准备。</w:t>
      </w:r>
    </w:p>
    <w:p w14:paraId="4BEC88FB">
      <w:pPr>
        <w:pStyle w:val="26"/>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5.4. </w:t>
      </w:r>
      <w:r>
        <w:rPr>
          <w:rFonts w:hint="eastAsia" w:ascii="宋体" w:hAnsi="宋体"/>
          <w:szCs w:val="21"/>
        </w:rPr>
        <w:t>按照评标报告中推荐的中标候选人确定中标人，确认后将在刊登本项目招标公告的法定媒体上</w:t>
      </w:r>
      <w:r>
        <w:rPr>
          <w:rFonts w:ascii="宋体" w:hAnsi="宋体"/>
          <w:szCs w:val="21"/>
        </w:rPr>
        <w:t>发</w:t>
      </w:r>
      <w:r>
        <w:rPr>
          <w:rFonts w:hint="eastAsia" w:ascii="宋体" w:hAnsi="宋体"/>
          <w:szCs w:val="21"/>
        </w:rPr>
        <w:t>布中标公告。</w:t>
      </w:r>
    </w:p>
    <w:p w14:paraId="71BEEE2A">
      <w:pPr>
        <w:pStyle w:val="26"/>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5.5. </w:t>
      </w:r>
      <w:r>
        <w:rPr>
          <w:rFonts w:hint="eastAsia" w:ascii="宋体" w:hAnsi="宋体"/>
          <w:szCs w:val="21"/>
        </w:rPr>
        <w:t>中标人拒绝与采购人签订合同的，可以重新开展政府采购活动。</w:t>
      </w:r>
    </w:p>
    <w:p w14:paraId="3949C5CA">
      <w:pPr>
        <w:pStyle w:val="32"/>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70EEA8B4">
      <w:pPr>
        <w:pStyle w:val="32"/>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6.1. </w:t>
      </w:r>
      <w:r>
        <w:rPr>
          <w:rFonts w:hint="eastAsia" w:ascii="宋体" w:hAnsi="宋体"/>
          <w:szCs w:val="21"/>
        </w:rPr>
        <w:t>有下列情形之一的，视为投标人串通投标，其投标无效：</w:t>
      </w:r>
    </w:p>
    <w:p w14:paraId="776BF247">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不同投标人的投标文件由同一单位或者个人编制；</w:t>
      </w:r>
    </w:p>
    <w:p w14:paraId="45D516EA">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不同投标人委托同一单位或者个人办理投标事宜；</w:t>
      </w:r>
    </w:p>
    <w:p w14:paraId="09F72BB8">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不同投标人的投标文件载明的项目管理成员或者联系人员为同一人；</w:t>
      </w:r>
    </w:p>
    <w:p w14:paraId="16ACA07F">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不同投标人的投标文件异常一致或者投标报价呈规律性差异；</w:t>
      </w:r>
    </w:p>
    <w:p w14:paraId="421D9A7B">
      <w:pPr>
        <w:pStyle w:val="32"/>
        <w:widowControl/>
        <w:numPr>
          <w:ilvl w:val="0"/>
          <w:numId w:val="0"/>
        </w:numPr>
        <w:spacing w:line="360" w:lineRule="auto"/>
        <w:ind w:leftChars="0"/>
        <w:jc w:val="left"/>
        <w:outlineLvl w:val="9"/>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不同投标人的投标文件相互混装；</w:t>
      </w:r>
    </w:p>
    <w:p w14:paraId="2FAB76F9">
      <w:pPr>
        <w:pStyle w:val="32"/>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6.2. </w:t>
      </w:r>
      <w:r>
        <w:rPr>
          <w:rFonts w:hint="eastAsia" w:ascii="宋体" w:hAnsi="宋体"/>
          <w:szCs w:val="21"/>
        </w:rPr>
        <w:t>投标人存在下列情况之一的，投标无效：</w:t>
      </w:r>
    </w:p>
    <w:p w14:paraId="2B978D18">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投标文件未按招标文件要求签署、盖章的；</w:t>
      </w:r>
    </w:p>
    <w:p w14:paraId="4BAD3AB5">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不具备招标文件中规定的资格要求的；</w:t>
      </w:r>
    </w:p>
    <w:p w14:paraId="72EC76C4">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报价超过招标文件中规定的预算金额或者最高限价的；</w:t>
      </w:r>
    </w:p>
    <w:p w14:paraId="62626DC9">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55F4A46C">
      <w:pPr>
        <w:pStyle w:val="32"/>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法律、法规和招标文件规定的其他无效情形。</w:t>
      </w:r>
    </w:p>
    <w:p w14:paraId="10C28F40">
      <w:pPr>
        <w:pStyle w:val="32"/>
        <w:widowControl/>
        <w:numPr>
          <w:ilvl w:val="0"/>
          <w:numId w:val="0"/>
        </w:numPr>
        <w:spacing w:line="360" w:lineRule="auto"/>
        <w:ind w:leftChars="0"/>
        <w:jc w:val="left"/>
        <w:rPr>
          <w:rFonts w:hint="eastAsia" w:ascii="宋体" w:hAnsi="宋体" w:eastAsiaTheme="minorEastAsia"/>
          <w:szCs w:val="21"/>
          <w:lang w:eastAsia="zh-CN"/>
        </w:rPr>
      </w:pPr>
      <w:r>
        <w:rPr>
          <w:rFonts w:hint="eastAsia" w:ascii="宋体" w:hAnsi="宋体"/>
          <w:szCs w:val="21"/>
          <w:lang w:val="en-US" w:eastAsia="zh-CN"/>
        </w:rPr>
        <w:t xml:space="preserve">6.3. </w:t>
      </w:r>
      <w:r>
        <w:rPr>
          <w:rFonts w:ascii="宋体" w:hAnsi="宋体"/>
          <w:szCs w:val="21"/>
        </w:rPr>
        <w:t>在招标采购中，出现下列情形之一的，应予废标</w:t>
      </w:r>
      <w:r>
        <w:rPr>
          <w:rFonts w:hint="eastAsia" w:ascii="宋体" w:hAnsi="宋体"/>
          <w:szCs w:val="21"/>
          <w:lang w:eastAsia="zh-CN"/>
        </w:rPr>
        <w:t>：</w:t>
      </w:r>
    </w:p>
    <w:p w14:paraId="7667ED95">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符合专业条件的供应商或者对</w:t>
      </w:r>
      <w:r>
        <w:rPr>
          <w:rFonts w:hint="eastAsia" w:ascii="宋体" w:hAnsi="宋体"/>
          <w:szCs w:val="21"/>
        </w:rPr>
        <w:t>招标</w:t>
      </w:r>
      <w:r>
        <w:rPr>
          <w:rFonts w:ascii="宋体" w:hAnsi="宋体"/>
          <w:szCs w:val="21"/>
        </w:rPr>
        <w:t>文件作实质响应的供应商不足三家的；</w:t>
      </w:r>
    </w:p>
    <w:p w14:paraId="7C0BA65F">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55C2363F">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p>
    <w:p w14:paraId="4B57E99D">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462F3870">
      <w:pPr>
        <w:pStyle w:val="32"/>
        <w:widowControl/>
        <w:numPr>
          <w:ilvl w:val="0"/>
          <w:numId w:val="0"/>
        </w:numPr>
        <w:spacing w:line="360" w:lineRule="auto"/>
        <w:ind w:leftChars="0"/>
        <w:jc w:val="left"/>
        <w:outlineLvl w:val="1"/>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4B96D31C">
      <w:pPr>
        <w:pStyle w:val="32"/>
        <w:widowControl/>
        <w:numPr>
          <w:ilvl w:val="0"/>
          <w:numId w:val="0"/>
        </w:numPr>
        <w:spacing w:line="360" w:lineRule="auto"/>
        <w:ind w:leftChars="0"/>
        <w:jc w:val="left"/>
        <w:rPr>
          <w:rFonts w:hint="eastAsia" w:ascii="宋体" w:hAnsi="宋体"/>
          <w:szCs w:val="21"/>
          <w:lang w:val="en-US" w:eastAsia="zh-CN"/>
        </w:rPr>
      </w:pPr>
      <w:r>
        <w:rPr>
          <w:rFonts w:hint="eastAsia" w:ascii="宋体" w:hAnsi="宋体"/>
          <w:szCs w:val="21"/>
          <w:lang w:val="en-US" w:eastAsia="zh-CN"/>
        </w:rPr>
        <w:t>7.1. 若第一次挂网公告中，有效报名的投标单位不满足三家，可二次公告重新挂网招标。若第二次挂网公告中，有效报名的投标单位仍不满足三家，可三次公告重新挂网招标。待三次公告结束后，若该项目已满三家有效投标单位的，评标方法仍为综合评分法，若仅有两家有效投标单位的，评标方法转为竞争性谈判（最低价法），若仅有一家有效投标单位的，评标方法转为单一来源采购。</w:t>
      </w:r>
    </w:p>
    <w:p w14:paraId="6881453D">
      <w:pPr>
        <w:pStyle w:val="32"/>
        <w:widowControl/>
        <w:numPr>
          <w:ilvl w:val="0"/>
          <w:numId w:val="0"/>
        </w:numPr>
        <w:spacing w:line="360" w:lineRule="auto"/>
        <w:ind w:leftChars="0"/>
        <w:jc w:val="left"/>
        <w:rPr>
          <w:rFonts w:hint="eastAsia" w:ascii="宋体" w:hAnsi="宋体"/>
          <w:szCs w:val="21"/>
          <w:lang w:val="en-US" w:eastAsia="zh-CN"/>
        </w:rPr>
      </w:pPr>
      <w:r>
        <w:rPr>
          <w:rFonts w:hint="eastAsia" w:ascii="宋体" w:hAnsi="宋体"/>
          <w:szCs w:val="21"/>
          <w:lang w:val="en-US" w:eastAsia="zh-CN"/>
        </w:rPr>
        <w:t>7.1.1. 公开招标失败的处理：</w:t>
      </w:r>
    </w:p>
    <w:p w14:paraId="0941C780">
      <w:pPr>
        <w:pStyle w:val="32"/>
        <w:widowControl/>
        <w:numPr>
          <w:ilvl w:val="0"/>
          <w:numId w:val="0"/>
        </w:numPr>
        <w:spacing w:line="360" w:lineRule="auto"/>
        <w:ind w:leftChars="0"/>
        <w:jc w:val="left"/>
        <w:rPr>
          <w:rFonts w:hint="eastAsia" w:ascii="宋体" w:hAnsi="宋体"/>
          <w:szCs w:val="21"/>
          <w:lang w:val="en-US" w:eastAsia="zh-CN"/>
        </w:rPr>
      </w:pPr>
      <w:r>
        <w:rPr>
          <w:rFonts w:hint="eastAsia" w:ascii="宋体" w:hAnsi="宋体"/>
          <w:szCs w:val="21"/>
          <w:lang w:val="en-US" w:eastAsia="zh-CN"/>
        </w:rPr>
        <w:t>7.1.1.1. 本项目公开招标过程中若由于投标截止后实际递交投标文件的供应商数量不足、经评标委员会评审对招标文件作实质响应的供应商不足等原因造成公开招标失败，可重新组织采购。</w:t>
      </w:r>
    </w:p>
    <w:p w14:paraId="3B8F20FD">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w:t>
      </w:r>
      <w:r>
        <w:rPr>
          <w:rFonts w:hint="eastAsia" w:ascii="宋体" w:hAnsi="宋体" w:eastAsiaTheme="minorEastAsia" w:cstheme="minorBidi"/>
          <w:kern w:val="2"/>
          <w:sz w:val="21"/>
          <w:szCs w:val="21"/>
          <w:lang w:val="en-US" w:eastAsia="zh-CN" w:bidi="ar-SA"/>
        </w:rPr>
        <w:t>.1.1.2</w:t>
      </w:r>
      <w:r>
        <w:rPr>
          <w:rFonts w:hint="eastAsia" w:ascii="宋体" w:hAnsi="宋体" w:cstheme="minorBidi"/>
          <w:kern w:val="2"/>
          <w:sz w:val="21"/>
          <w:szCs w:val="21"/>
          <w:lang w:val="en-US" w:eastAsia="zh-CN" w:bidi="ar-SA"/>
        </w:rPr>
        <w:t xml:space="preserve">. </w:t>
      </w:r>
      <w:r>
        <w:rPr>
          <w:rFonts w:hint="eastAsia" w:ascii="宋体" w:hAnsi="宋体" w:eastAsiaTheme="minorEastAsia" w:cstheme="minorBidi"/>
          <w:kern w:val="2"/>
          <w:sz w:val="21"/>
          <w:szCs w:val="21"/>
          <w:lang w:val="en-US" w:eastAsia="zh-CN" w:bidi="ar-SA"/>
        </w:rPr>
        <w:t>对公开招标失败的项目，</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在出具该项目招标失败结论的同时，可以提出重新采购组织形式的建议，以及进一步完善招标文件的资格、技术、商务要求的修改建议。</w:t>
      </w:r>
    </w:p>
    <w:p w14:paraId="72B715A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7.1.</w:t>
      </w:r>
      <w:r>
        <w:rPr>
          <w:rFonts w:hint="eastAsia" w:ascii="宋体" w:hAnsi="宋体" w:eastAsiaTheme="minorEastAsia" w:cstheme="minorBidi"/>
          <w:kern w:val="2"/>
          <w:sz w:val="21"/>
          <w:szCs w:val="21"/>
          <w:lang w:val="en-US" w:eastAsia="zh-CN" w:bidi="ar-SA"/>
        </w:rPr>
        <w:t>2</w:t>
      </w:r>
      <w:r>
        <w:rPr>
          <w:rFonts w:hint="eastAsia" w:ascii="宋体" w:hAnsi="宋体" w:cstheme="minorBidi"/>
          <w:kern w:val="2"/>
          <w:sz w:val="21"/>
          <w:szCs w:val="21"/>
          <w:lang w:val="en-US" w:eastAsia="zh-CN" w:bidi="ar-SA"/>
        </w:rPr>
        <w:t xml:space="preserve"> </w:t>
      </w:r>
      <w:r>
        <w:rPr>
          <w:rFonts w:hint="eastAsia" w:ascii="宋体" w:hAnsi="宋体" w:eastAsiaTheme="minorEastAsia" w:cstheme="minorBidi"/>
          <w:kern w:val="2"/>
          <w:sz w:val="21"/>
          <w:szCs w:val="21"/>
          <w:lang w:val="en-US" w:eastAsia="zh-CN" w:bidi="ar-SA"/>
        </w:rPr>
        <w:t>公开招标失败的采购项目重新组织公开招标</w:t>
      </w:r>
      <w:r>
        <w:rPr>
          <w:rFonts w:hint="eastAsia" w:ascii="宋体" w:hAnsi="宋体" w:cstheme="minorBidi"/>
          <w:kern w:val="2"/>
          <w:sz w:val="21"/>
          <w:szCs w:val="21"/>
          <w:lang w:val="en-US" w:eastAsia="zh-CN" w:bidi="ar-SA"/>
        </w:rPr>
        <w:t>的</w:t>
      </w:r>
      <w:r>
        <w:rPr>
          <w:rFonts w:hint="eastAsia" w:ascii="宋体" w:hAnsi="宋体" w:eastAsiaTheme="minorEastAsia" w:cstheme="minorBidi"/>
          <w:kern w:val="2"/>
          <w:sz w:val="21"/>
          <w:szCs w:val="21"/>
          <w:lang w:val="en-US" w:eastAsia="zh-CN" w:bidi="ar-SA"/>
        </w:rPr>
        <w:t>，</w:t>
      </w:r>
      <w:r>
        <w:rPr>
          <w:rFonts w:hint="eastAsia" w:ascii="宋体" w:hAnsi="宋体" w:cstheme="minorBidi"/>
          <w:kern w:val="2"/>
          <w:sz w:val="21"/>
          <w:szCs w:val="21"/>
          <w:lang w:val="en-US" w:eastAsia="zh-CN" w:bidi="ar-SA"/>
        </w:rPr>
        <w:t>需</w:t>
      </w:r>
      <w:r>
        <w:rPr>
          <w:rFonts w:hint="eastAsia" w:ascii="宋体" w:hAnsi="宋体" w:eastAsiaTheme="minorEastAsia" w:cstheme="minorBidi"/>
          <w:kern w:val="2"/>
          <w:sz w:val="21"/>
          <w:szCs w:val="21"/>
          <w:lang w:val="en-US" w:eastAsia="zh-CN" w:bidi="ar-SA"/>
        </w:rPr>
        <w:t>要重新按公开招标流程发布招标公告和招标文件、组成</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等组织采购活动。</w:t>
      </w:r>
    </w:p>
    <w:p w14:paraId="514102F3">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w:t>
      </w:r>
      <w:r>
        <w:rPr>
          <w:rFonts w:hint="eastAsia" w:ascii="宋体" w:hAnsi="宋体" w:eastAsiaTheme="minorEastAsia" w:cstheme="minorBidi"/>
          <w:kern w:val="2"/>
          <w:sz w:val="21"/>
          <w:szCs w:val="21"/>
          <w:lang w:val="en-US" w:eastAsia="zh-CN" w:bidi="ar-SA"/>
        </w:rPr>
        <w:t>.2. 公开招标失败项目转为竞争性谈判方式采购</w:t>
      </w:r>
    </w:p>
    <w:p w14:paraId="643F2D9E">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7.2.1</w:t>
      </w:r>
      <w:r>
        <w:rPr>
          <w:rFonts w:hint="eastAsia" w:ascii="宋体" w:hAnsi="宋体" w:eastAsiaTheme="minorEastAsia" w:cstheme="minorBidi"/>
          <w:kern w:val="2"/>
          <w:sz w:val="21"/>
          <w:szCs w:val="21"/>
          <w:lang w:val="en-US" w:eastAsia="zh-CN" w:bidi="ar-SA"/>
        </w:rPr>
        <w:t>. 公开招标失败项目转为竞争性谈判方式采购后，</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转为谈判小组，谈判小组成员由采购单位代表和有关专家共3人以上（含3人）的单数组成；专家可重新抽取也可继续采用</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内专家。</w:t>
      </w:r>
    </w:p>
    <w:p w14:paraId="331E2EF0">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7.2.2. 谈判前，谈判小组将对各供应商的谈判应答文件进行审查，当谈判应答文件出现下列情况之一的将视为无效，按废标处理，不得进入谈判，具体内容见原招标文件中投标文件初审表的《资格性检查表》部分以及谈判邀请中相应的变动部分。</w:t>
      </w:r>
    </w:p>
    <w:p w14:paraId="6BEF680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7.2.</w:t>
      </w:r>
      <w:r>
        <w:rPr>
          <w:rFonts w:hint="eastAsia" w:ascii="宋体" w:hAnsi="宋体" w:eastAsiaTheme="minorEastAsia" w:cstheme="minorBidi"/>
          <w:kern w:val="2"/>
          <w:sz w:val="21"/>
          <w:szCs w:val="21"/>
          <w:lang w:val="en-US" w:eastAsia="zh-CN" w:bidi="ar-SA"/>
        </w:rPr>
        <w:t>3. 参加谈判的供应商和谈判小组成员填写谈判登记表，并交验证明文件（法定代表人证明书、法人授权委托书、被授权的谈判代表身份证原件）。</w:t>
      </w:r>
    </w:p>
    <w:p w14:paraId="02D5CA3D">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7.2.4. 在谈判中，谈判小组将就以下谈判内容跟供应商进行谈判：</w:t>
      </w:r>
    </w:p>
    <w:p w14:paraId="1412251F">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（1）项目方案；</w:t>
      </w:r>
    </w:p>
    <w:p w14:paraId="1726E218">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（2）报价；</w:t>
      </w:r>
    </w:p>
    <w:p w14:paraId="49BC5F4D">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（3）其它相关事项。</w:t>
      </w:r>
    </w:p>
    <w:p w14:paraId="5AA0E9B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原招标文件或谈判邀请文件有实质性变动的，谈判小组应当通知所有参加谈判的供应商。</w:t>
      </w:r>
    </w:p>
    <w:p w14:paraId="003AC95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7.2.5. 谈判小组可以用书面形式要求各供应商对其谈判应答文件含义不明确的内容作必要的澄清或者说明，重要问题供应商应以书面形式进行澄清、说明。</w:t>
      </w:r>
    </w:p>
    <w:p w14:paraId="42079DC7">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7.2.</w:t>
      </w:r>
      <w:r>
        <w:rPr>
          <w:rFonts w:hint="eastAsia" w:ascii="宋体" w:hAnsi="宋体" w:eastAsiaTheme="minorEastAsia" w:cstheme="minorBidi"/>
          <w:kern w:val="2"/>
          <w:sz w:val="21"/>
          <w:szCs w:val="21"/>
          <w:lang w:val="en-US" w:eastAsia="zh-CN" w:bidi="ar-SA"/>
        </w:rPr>
        <w:t>6. 允许供应商在谈判结束之前根据谈判小组提出的内容进行澄清、修改或完善，或对项目方案进行相应的调整。</w:t>
      </w:r>
    </w:p>
    <w:p w14:paraId="45F7B668">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7.2.7. 供应商对谈判应答文件进行修改，都应形成文字材料，并经供应商谈判授权人签字认可。</w:t>
      </w:r>
    </w:p>
    <w:p w14:paraId="1F0F3DE7">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7.2.8. 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26C694E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7.2.9. 有下列情形之一的，该供应商的谈判结果作废标处理，具体内容见原招标文件中投标文件初审表的《符合性检查表》部分以及谈判邀请中相应的变动部分。</w:t>
      </w:r>
    </w:p>
    <w:p w14:paraId="4E76A7AF">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7.2.10. 谈判结束后，谈判小组根据供应商提供的谈判应答文件、谈判过程中产生的相关资料，对供应商谈判应答文件进行评估与比较，提出书面评审意见。</w:t>
      </w:r>
    </w:p>
    <w:p w14:paraId="5BB0857F">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7.2.11. 谈判小组将对谈判过程进行记录，以存档备查。</w:t>
      </w:r>
    </w:p>
    <w:p w14:paraId="4526AEC8">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7.2.12. 竞争性谈判采购项目的评标方法要比照最低价法规定执行。如确因实际情况需要采用其他评标方法的，应报经采购人的采购主管部门批准。</w:t>
      </w:r>
    </w:p>
    <w:p w14:paraId="5698CCEC">
      <w:pPr>
        <w:snapToGrid w:val="0"/>
        <w:spacing w:line="360" w:lineRule="auto"/>
        <w:rPr>
          <w:rFonts w:hint="default"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 公开招标失败项目转为单一来源谈判方式采购</w:t>
      </w:r>
    </w:p>
    <w:p w14:paraId="05051A21">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7.3.1. 公开招标失败项目转为单一来源谈判方式采购后，</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转为谈判小组，谈判小组成员由采购单位代表和有关专家共3人以上（含3人）的单数组成；其中专家的人数不得少于成员总数的三分之二；专家可重新抽取也可继续采用</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内专家。</w:t>
      </w:r>
    </w:p>
    <w:p w14:paraId="5558F869">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7.3.2. 谈判前，谈判小组将对单一来源供应商的谈判应答文件进行审查，当谈判应答文件出现下列情况之一的将视为无效，按废标处理，不得进入谈判，具体内容见原招标文件中投标文件初审表的《资格性检查表》部分以及谈判邀请中相应的变动部分。</w:t>
      </w:r>
    </w:p>
    <w:p w14:paraId="4312D3DB">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7.3.3. 参加谈判的供应商和谈判小组成员填写谈判登记表，并交验证明文件（法定代表人证明书、法人授权委托书、被授权的谈判代表身份证原件）。</w:t>
      </w:r>
    </w:p>
    <w:p w14:paraId="22E1B5AE">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7.3.4. 在谈判中，谈判小组将就以下谈判内容跟供应商进行谈判：</w:t>
      </w:r>
    </w:p>
    <w:p w14:paraId="506C238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（1）项目方案；</w:t>
      </w:r>
    </w:p>
    <w:p w14:paraId="5FAF3EE9">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（2）报价；</w:t>
      </w:r>
    </w:p>
    <w:p w14:paraId="16DCA707">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（3）其它相关事项。</w:t>
      </w:r>
    </w:p>
    <w:p w14:paraId="0C57E8B1">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原招标文件或谈判邀请文件有实质性变动的，谈判小组应当通知供应商。</w:t>
      </w:r>
    </w:p>
    <w:p w14:paraId="6B2387FA">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7.3.5. 谈判小组可以用书面形式要求供应商对其谈判应答文件含义不明确的内容作必要的澄清或者说明，重要问题供应商应以书面形式进行澄清、说明。</w:t>
      </w:r>
    </w:p>
    <w:p w14:paraId="0009A3A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7.3.6. 允许供应商在谈判结束之前根据谈判小组提出的内容进行澄清、修改或完善，或对项目方案进行相应的调整。</w:t>
      </w:r>
    </w:p>
    <w:p w14:paraId="44FAC3AD">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w:t>
      </w:r>
      <w:r>
        <w:rPr>
          <w:rFonts w:hint="eastAsia" w:ascii="宋体" w:hAnsi="宋体" w:eastAsiaTheme="minorEastAsia" w:cstheme="minorBidi"/>
          <w:kern w:val="2"/>
          <w:sz w:val="21"/>
          <w:szCs w:val="21"/>
          <w:lang w:val="en-US" w:eastAsia="zh-CN" w:bidi="ar-SA"/>
        </w:rPr>
        <w:t>3.7. 供应商对谈判应答文件进行修改，都应形成文字材料，并经供应商谈判授权人签字认可。</w:t>
      </w:r>
    </w:p>
    <w:p w14:paraId="79BAFCF4">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7.3.8. 谈判小组与单一来源供应商进行谈判。供应商有两次更改机会；供应商应在规定的时间内提出最后更改及书面承诺。</w:t>
      </w:r>
    </w:p>
    <w:p w14:paraId="4C3CFC77">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7.3.9. 有下列情形之一的，供应商的谈判结果作废标处理，具体内容见原招标文件中投标文件初审表的《符合性检查表》部分以及谈判邀请中相应的变动部分。</w:t>
      </w:r>
    </w:p>
    <w:p w14:paraId="30D31921">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7.3.10. 谈判结束后，谈判小组根据供应商提供的谈判应答文件、谈判过程中产生的相关资料，对供应商谈判应答文件进行评估与比较，提出书面评审意见。</w:t>
      </w:r>
    </w:p>
    <w:p w14:paraId="4E726B6D">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7.3.11. 谈判小组将对谈判过程进行记录，以存档备查。</w:t>
      </w:r>
    </w:p>
    <w:p w14:paraId="7B74605B">
      <w:pPr>
        <w:snapToGrid w:val="0"/>
        <w:spacing w:line="360" w:lineRule="auto"/>
        <w:rPr>
          <w:rFonts w:hint="default" w:ascii="宋体" w:hAnsi="宋体"/>
          <w:szCs w:val="21"/>
          <w:lang w:val="en-US" w:eastAsia="zh-CN"/>
        </w:rPr>
      </w:pPr>
      <w:r>
        <w:rPr>
          <w:rFonts w:hint="eastAsia" w:ascii="宋体" w:hAnsi="宋体" w:eastAsiaTheme="minorEastAsia" w:cstheme="minorBidi"/>
          <w:kern w:val="2"/>
          <w:sz w:val="21"/>
          <w:szCs w:val="21"/>
          <w:lang w:val="en-US" w:eastAsia="zh-CN" w:bidi="ar-SA"/>
        </w:rPr>
        <w:t>7.3.12. 单一来源谈判采用最低价法。原招标文件若采用最低价法以外的评标方法，转为单一来源后，评标方法改为最低价法。谈判小组对谈判应答文件进行评审和比较，对供应商最终的方案、服务和投资等谈判结果按最低价法进行评审。</w:t>
      </w:r>
    </w:p>
    <w:p w14:paraId="61FF9DAA">
      <w:pPr>
        <w:pStyle w:val="32"/>
        <w:widowControl/>
        <w:numPr>
          <w:ilvl w:val="0"/>
          <w:numId w:val="0"/>
        </w:numPr>
        <w:spacing w:line="360" w:lineRule="auto"/>
        <w:ind w:leftChars="0"/>
        <w:jc w:val="left"/>
        <w:rPr>
          <w:rFonts w:hint="eastAsia" w:asciiTheme="minorEastAsia" w:hAnsiTheme="minorEastAsia"/>
          <w:szCs w:val="21"/>
          <w:lang w:val="en-US" w:eastAsia="zh-CN"/>
        </w:rPr>
      </w:pPr>
      <w:r>
        <w:rPr>
          <w:rFonts w:hint="eastAsia" w:ascii="宋体" w:hAnsi="宋体"/>
          <w:szCs w:val="21"/>
          <w:lang w:val="en-US" w:eastAsia="zh-CN"/>
        </w:rPr>
        <w:t>7.4. 该项目</w:t>
      </w:r>
      <w:r>
        <w:rPr>
          <w:rFonts w:hint="eastAsia" w:asciiTheme="minorEastAsia" w:hAnsiTheme="minorEastAsia" w:eastAsiaTheme="minorEastAsia"/>
          <w:szCs w:val="21"/>
        </w:rPr>
        <w:t>中标供应商数量</w:t>
      </w:r>
      <w:r>
        <w:rPr>
          <w:rFonts w:hint="eastAsia" w:asciiTheme="minorEastAsia" w:hAnsiTheme="minorEastAsia"/>
          <w:szCs w:val="21"/>
          <w:lang w:val="en-US" w:eastAsia="zh-CN"/>
        </w:rPr>
        <w:t>为一家。</w:t>
      </w:r>
    </w:p>
    <w:p w14:paraId="091AE675">
      <w:pPr>
        <w:pStyle w:val="32"/>
        <w:widowControl/>
        <w:numPr>
          <w:ilvl w:val="0"/>
          <w:numId w:val="0"/>
        </w:numPr>
        <w:spacing w:line="360" w:lineRule="auto"/>
        <w:ind w:leftChars="0"/>
        <w:jc w:val="left"/>
        <w:rPr>
          <w:rFonts w:hint="eastAsia" w:cs="Arial" w:asciiTheme="minorEastAsia" w:hAnsiTheme="minorEastAsia" w:eastAsiaTheme="minorEastAsia"/>
          <w:bCs/>
          <w:kern w:val="0"/>
          <w:szCs w:val="21"/>
        </w:rPr>
      </w:pPr>
      <w:r>
        <w:rPr>
          <w:rFonts w:hint="eastAsia" w:asciiTheme="minorEastAsia" w:hAnsiTheme="minorEastAsia"/>
          <w:szCs w:val="21"/>
          <w:lang w:val="en-US" w:eastAsia="zh-CN"/>
        </w:rPr>
        <w:t xml:space="preserve">7.5. </w:t>
      </w:r>
      <w:r>
        <w:rPr>
          <w:rFonts w:hint="eastAsia" w:cs="Arial" w:asciiTheme="minorEastAsia" w:hAnsiTheme="minorEastAsia" w:eastAsiaTheme="minorEastAsia"/>
          <w:bCs/>
          <w:kern w:val="0"/>
          <w:szCs w:val="21"/>
        </w:rPr>
        <w:t>本项目不安排现场踏勘。</w:t>
      </w:r>
    </w:p>
    <w:p w14:paraId="4C27887E">
      <w:pPr>
        <w:pStyle w:val="32"/>
        <w:widowControl/>
        <w:numPr>
          <w:ilvl w:val="0"/>
          <w:numId w:val="0"/>
        </w:numPr>
        <w:spacing w:line="360" w:lineRule="auto"/>
        <w:ind w:leftChars="0"/>
        <w:jc w:val="left"/>
        <w:rPr>
          <w:rFonts w:hint="eastAsia" w:cs="Arial" w:asciiTheme="minorEastAsia" w:hAnsiTheme="minorEastAsia" w:eastAsiaTheme="minorEastAsia"/>
          <w:bCs/>
          <w:kern w:val="0"/>
          <w:szCs w:val="21"/>
        </w:rPr>
      </w:pPr>
      <w:r>
        <w:rPr>
          <w:rFonts w:hint="eastAsia" w:cs="Arial" w:asciiTheme="minorEastAsia" w:hAnsiTheme="minorEastAsia"/>
          <w:bCs/>
          <w:kern w:val="0"/>
          <w:szCs w:val="21"/>
          <w:lang w:val="en-US" w:eastAsia="zh-CN"/>
        </w:rPr>
        <w:t xml:space="preserve">7.6. </w:t>
      </w:r>
      <w:r>
        <w:rPr>
          <w:rFonts w:hint="eastAsia" w:cs="Arial" w:asciiTheme="minorEastAsia" w:hAnsiTheme="minorEastAsia" w:eastAsiaTheme="minorEastAsia"/>
          <w:bCs/>
          <w:kern w:val="0"/>
          <w:szCs w:val="21"/>
        </w:rPr>
        <w:t>本项目不安排现场演示。</w:t>
      </w:r>
    </w:p>
    <w:p w14:paraId="013A9618">
      <w:pPr>
        <w:pStyle w:val="32"/>
        <w:widowControl/>
        <w:numPr>
          <w:ilvl w:val="0"/>
          <w:numId w:val="0"/>
        </w:numPr>
        <w:spacing w:line="360" w:lineRule="auto"/>
        <w:ind w:leftChars="0"/>
        <w:jc w:val="left"/>
        <w:rPr>
          <w:rFonts w:hint="eastAsia" w:cs="宋体" w:asciiTheme="minorEastAsia" w:hAnsiTheme="minorEastAsia"/>
          <w:spacing w:val="1"/>
          <w:kern w:val="0"/>
          <w:szCs w:val="21"/>
          <w:lang w:val="en-US" w:eastAsia="zh-CN"/>
        </w:rPr>
      </w:pPr>
      <w:r>
        <w:rPr>
          <w:rFonts w:hint="eastAsia" w:cs="Arial" w:asciiTheme="minorEastAsia" w:hAnsiTheme="minorEastAsia"/>
          <w:bCs/>
          <w:kern w:val="0"/>
          <w:szCs w:val="21"/>
          <w:lang w:val="en-US" w:eastAsia="zh-CN"/>
        </w:rPr>
        <w:t>7.7. 本项目</w:t>
      </w:r>
      <w:r>
        <w:rPr>
          <w:rFonts w:hint="eastAsia" w:cs="宋体" w:asciiTheme="minorEastAsia" w:hAnsiTheme="minorEastAsia" w:eastAsiaTheme="minorEastAsia"/>
          <w:spacing w:val="1"/>
          <w:kern w:val="0"/>
          <w:szCs w:val="21"/>
        </w:rPr>
        <w:t>资金来源</w:t>
      </w:r>
      <w:r>
        <w:rPr>
          <w:rFonts w:hint="eastAsia" w:cs="宋体" w:asciiTheme="minorEastAsia" w:hAnsiTheme="minorEastAsia"/>
          <w:spacing w:val="1"/>
          <w:kern w:val="0"/>
          <w:szCs w:val="21"/>
          <w:lang w:val="en-US" w:eastAsia="zh-CN"/>
        </w:rPr>
        <w:t>为自筹资金。</w:t>
      </w:r>
    </w:p>
    <w:p w14:paraId="0C471FF4">
      <w:pPr>
        <w:pStyle w:val="32"/>
        <w:widowControl/>
        <w:numPr>
          <w:ilvl w:val="0"/>
          <w:numId w:val="0"/>
        </w:numPr>
        <w:spacing w:line="360" w:lineRule="auto"/>
        <w:ind w:leftChars="0"/>
        <w:jc w:val="left"/>
        <w:rPr>
          <w:rFonts w:hint="eastAsia" w:cs="Arial" w:asciiTheme="minorEastAsia" w:hAnsiTheme="minorEastAsia" w:eastAsiaTheme="minorEastAsia"/>
          <w:bCs/>
          <w:kern w:val="0"/>
          <w:szCs w:val="21"/>
        </w:rPr>
      </w:pPr>
      <w:r>
        <w:rPr>
          <w:rFonts w:hint="eastAsia" w:cs="宋体" w:asciiTheme="minorEastAsia" w:hAnsiTheme="minorEastAsia"/>
          <w:spacing w:val="1"/>
          <w:kern w:val="0"/>
          <w:szCs w:val="21"/>
          <w:lang w:val="en-US" w:eastAsia="zh-CN"/>
        </w:rPr>
        <w:t>7.8. 本</w:t>
      </w:r>
      <w:r>
        <w:rPr>
          <w:rFonts w:hint="eastAsia" w:cs="Arial" w:asciiTheme="minorEastAsia" w:hAnsiTheme="minorEastAsia" w:eastAsiaTheme="minorEastAsia"/>
          <w:bCs/>
          <w:kern w:val="0"/>
          <w:szCs w:val="21"/>
          <w:lang w:val="en-US" w:eastAsia="zh-CN"/>
        </w:rPr>
        <w:t>项目</w:t>
      </w:r>
      <w:r>
        <w:rPr>
          <w:rFonts w:hint="eastAsia" w:cs="Arial" w:asciiTheme="minorEastAsia" w:hAnsiTheme="minorEastAsia" w:eastAsiaTheme="minorEastAsia"/>
          <w:bCs/>
          <w:kern w:val="0"/>
          <w:szCs w:val="21"/>
        </w:rPr>
        <w:t>投标有效期从提交投标文件的截止之日起</w:t>
      </w:r>
      <w:r>
        <w:rPr>
          <w:rFonts w:hint="eastAsia" w:cs="Arial" w:asciiTheme="minorEastAsia" w:hAnsiTheme="minorEastAsia" w:eastAsiaTheme="minorEastAsia"/>
          <w:bCs/>
          <w:kern w:val="0"/>
          <w:szCs w:val="21"/>
          <w:lang w:val="en-US" w:eastAsia="zh-CN"/>
        </w:rPr>
        <w:t>120</w:t>
      </w:r>
      <w:r>
        <w:rPr>
          <w:rFonts w:hint="eastAsia" w:cs="Arial" w:asciiTheme="minorEastAsia" w:hAnsiTheme="minorEastAsia" w:eastAsiaTheme="minorEastAsia"/>
          <w:bCs/>
          <w:kern w:val="0"/>
          <w:szCs w:val="21"/>
        </w:rPr>
        <w:t>日历日内有效。</w:t>
      </w:r>
    </w:p>
    <w:p w14:paraId="36370E08">
      <w:pPr>
        <w:pStyle w:val="32"/>
        <w:widowControl/>
        <w:numPr>
          <w:ilvl w:val="0"/>
          <w:numId w:val="0"/>
        </w:numPr>
        <w:spacing w:line="360" w:lineRule="auto"/>
        <w:ind w:leftChars="0"/>
        <w:jc w:val="left"/>
        <w:rPr>
          <w:rFonts w:hint="default" w:cs="Arial" w:asciiTheme="minorEastAsia" w:hAnsiTheme="minorEastAsia" w:eastAsiaTheme="minorEastAsia"/>
          <w:bCs/>
          <w:kern w:val="0"/>
          <w:szCs w:val="21"/>
          <w:lang w:val="en-US" w:eastAsia="zh-CN"/>
        </w:rPr>
      </w:pPr>
      <w:r>
        <w:rPr>
          <w:rFonts w:hint="eastAsia" w:cs="Arial" w:asciiTheme="minorEastAsia" w:hAnsiTheme="minorEastAsia"/>
          <w:bCs/>
          <w:kern w:val="0"/>
          <w:szCs w:val="21"/>
          <w:lang w:val="en-US" w:eastAsia="zh-CN"/>
        </w:rPr>
        <w:t>7.9. 本项目不允许</w:t>
      </w:r>
      <w:r>
        <w:rPr>
          <w:rFonts w:cs="Arial" w:asciiTheme="minorEastAsia" w:hAnsiTheme="minorEastAsia" w:eastAsiaTheme="minorEastAsia"/>
          <w:bCs/>
          <w:kern w:val="0"/>
          <w:szCs w:val="21"/>
        </w:rPr>
        <w:t>提交备选方案</w:t>
      </w:r>
      <w:r>
        <w:rPr>
          <w:rFonts w:hint="eastAsia" w:cs="Arial" w:asciiTheme="minorEastAsia" w:hAnsiTheme="minorEastAsia"/>
          <w:bCs/>
          <w:kern w:val="0"/>
          <w:szCs w:val="21"/>
          <w:lang w:val="en-US" w:eastAsia="zh-CN"/>
        </w:rPr>
        <w:t>或替代方案。</w:t>
      </w:r>
    </w:p>
    <w:p w14:paraId="3CAB0B6D">
      <w:pPr>
        <w:pStyle w:val="32"/>
        <w:widowControl/>
        <w:numPr>
          <w:ilvl w:val="0"/>
          <w:numId w:val="0"/>
        </w:numPr>
        <w:spacing w:line="360" w:lineRule="auto"/>
        <w:ind w:leftChars="0"/>
        <w:jc w:val="left"/>
        <w:rPr>
          <w:rFonts w:hint="default" w:asciiTheme="minorEastAsia" w:hAnsiTheme="minorEastAsia"/>
          <w:szCs w:val="21"/>
          <w:lang w:val="en-US" w:eastAsia="zh-CN"/>
        </w:rPr>
      </w:pPr>
    </w:p>
    <w:p w14:paraId="1025FF3E">
      <w:pPr>
        <w:rPr>
          <w:rFonts w:ascii="宋体" w:hAnsi="宋体"/>
          <w:szCs w:val="21"/>
        </w:rPr>
      </w:pPr>
      <w:r>
        <w:rPr>
          <w:rFonts w:hint="eastAsia" w:ascii="宋体" w:hAnsi="宋体"/>
          <w:szCs w:val="21"/>
        </w:rPr>
        <w:br w:type="page"/>
      </w:r>
    </w:p>
    <w:p w14:paraId="1B56CBFB">
      <w:pPr>
        <w:pStyle w:val="3"/>
        <w:numPr>
          <w:ilvl w:val="0"/>
          <w:numId w:val="0"/>
        </w:numPr>
        <w:spacing w:line="240" w:lineRule="auto"/>
        <w:ind w:leftChars="0"/>
        <w:jc w:val="center"/>
        <w:outlineLvl w:val="0"/>
        <w:rPr>
          <w:rFonts w:asciiTheme="majorEastAsia" w:hAnsiTheme="majorEastAsia" w:eastAsiaTheme="majorEastAsia"/>
          <w:sz w:val="32"/>
          <w:szCs w:val="32"/>
        </w:rPr>
      </w:pPr>
      <w:bookmarkStart w:id="17" w:name="_Toc435514852"/>
      <w:bookmarkStart w:id="18" w:name="_Toc1246"/>
      <w:bookmarkStart w:id="19" w:name="_Toc8080"/>
      <w:bookmarkStart w:id="20" w:name="_Toc14800"/>
      <w:bookmarkStart w:id="21" w:name="_Toc435515292"/>
      <w:r>
        <w:rPr>
          <w:rFonts w:hint="eastAsia" w:asciiTheme="majorEastAsia" w:hAnsiTheme="majorEastAsia" w:eastAsiaTheme="majorEastAsia"/>
          <w:sz w:val="32"/>
          <w:szCs w:val="32"/>
          <w:lang w:val="en-US" w:eastAsia="zh-CN"/>
        </w:rPr>
        <w:t xml:space="preserve">第五章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17"/>
      <w:bookmarkEnd w:id="18"/>
      <w:bookmarkEnd w:id="19"/>
      <w:bookmarkEnd w:id="20"/>
      <w:bookmarkEnd w:id="21"/>
    </w:p>
    <w:tbl>
      <w:tblPr>
        <w:tblStyle w:val="16"/>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tcPr>
          <w:p w14:paraId="0168BCD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5DD6665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4F96A7D5">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24E0C28B">
            <w:pPr>
              <w:pStyle w:val="5"/>
              <w:keepNext w:val="0"/>
              <w:keepLines w:val="0"/>
              <w:suppressLineNumbers w:val="0"/>
              <w:spacing w:before="0" w:beforeAutospacing="0" w:afterAutospacing="0" w:line="360" w:lineRule="auto"/>
              <w:ind w:left="0" w:right="0"/>
              <w:jc w:val="center"/>
              <w:rPr>
                <w:rFonts w:hint="default" w:ascii="黑体" w:eastAsia="黑体"/>
                <w:b/>
                <w:sz w:val="72"/>
                <w:szCs w:val="72"/>
              </w:rPr>
            </w:pPr>
            <w:r>
              <w:rPr>
                <w:rFonts w:hint="eastAsia" w:ascii="黑体" w:eastAsia="黑体"/>
                <w:b/>
                <w:sz w:val="72"/>
                <w:szCs w:val="72"/>
              </w:rPr>
              <w:t>投 标 文 件</w:t>
            </w:r>
          </w:p>
          <w:p w14:paraId="056E2451">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408DEE70">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F535991">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8F76FDC">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投标人名称：</w:t>
            </w:r>
          </w:p>
          <w:p w14:paraId="3E773E6D">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投标人地址：</w:t>
            </w:r>
          </w:p>
          <w:p w14:paraId="578B5057">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eastAsia" w:ascii="仿宋_GB2312" w:eastAsia="仿宋_GB2312"/>
                <w:b/>
                <w:sz w:val="28"/>
                <w:szCs w:val="28"/>
              </w:rPr>
            </w:pPr>
          </w:p>
          <w:p w14:paraId="29748A16">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default" w:ascii="仿宋_GB2312" w:eastAsia="仿宋_GB2312"/>
                <w:b/>
                <w:sz w:val="32"/>
              </w:rPr>
            </w:pPr>
            <w:r>
              <w:rPr>
                <w:rFonts w:hint="eastAsia" w:ascii="仿宋_GB2312" w:eastAsia="仿宋_GB2312"/>
                <w:b/>
                <w:sz w:val="28"/>
                <w:szCs w:val="28"/>
              </w:rPr>
              <w:t>开标之前不得启封</w:t>
            </w:r>
          </w:p>
        </w:tc>
      </w:tr>
    </w:tbl>
    <w:p w14:paraId="24A46D78">
      <w:bookmarkStart w:id="22" w:name="_Toc435514865"/>
      <w:bookmarkStart w:id="23" w:name="_Toc435515305"/>
      <w:r>
        <w:rPr>
          <w:rFonts w:hint="eastAsia"/>
        </w:rPr>
        <w:br w:type="page"/>
      </w:r>
    </w:p>
    <w:p w14:paraId="5B3C692F">
      <w:pPr>
        <w:pStyle w:val="3"/>
        <w:numPr>
          <w:ilvl w:val="0"/>
          <w:numId w:val="0"/>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24" w:name="_Toc28307"/>
      <w:bookmarkStart w:id="25" w:name="_Toc29334"/>
      <w:r>
        <w:rPr>
          <w:rFonts w:hint="eastAsia" w:cs="宋体" w:asciiTheme="majorEastAsia" w:hAnsiTheme="majorEastAsia" w:eastAsiaTheme="majorEastAsia"/>
          <w:kern w:val="2"/>
          <w:sz w:val="30"/>
          <w:szCs w:val="30"/>
          <w:lang w:val="en-US" w:eastAsia="zh-CN" w:bidi="ar-SA"/>
        </w:rPr>
        <w:t>（一）资格性自查表</w:t>
      </w:r>
    </w:p>
    <w:tbl>
      <w:tblPr>
        <w:tblStyle w:val="16"/>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3CBE7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6593FFEC">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56ECC894">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rPr>
              <w:t>招标文件要求</w:t>
            </w:r>
          </w:p>
        </w:tc>
        <w:tc>
          <w:tcPr>
            <w:tcW w:w="1244" w:type="dxa"/>
            <w:vAlign w:val="center"/>
          </w:tcPr>
          <w:p w14:paraId="39E51F3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547AF073">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1231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7108B9FF">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szCs w:val="21"/>
                <w:highlight w:val="none"/>
              </w:rPr>
              <w:t>1</w:t>
            </w:r>
          </w:p>
        </w:tc>
        <w:tc>
          <w:tcPr>
            <w:tcW w:w="6518" w:type="dxa"/>
            <w:vAlign w:val="center"/>
          </w:tcPr>
          <w:p w14:paraId="0208E076">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7ACCFE82">
            <w:pPr>
              <w:keepNext w:val="0"/>
              <w:keepLines w:val="0"/>
              <w:suppressLineNumbers w:val="0"/>
              <w:spacing w:before="0" w:beforeAutospacing="0" w:after="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rPr>
              <w:t>通过</w:t>
            </w:r>
          </w:p>
          <w:p w14:paraId="5DC3DC10">
            <w:pPr>
              <w:keepNext w:val="0"/>
              <w:keepLines w:val="0"/>
              <w:suppressLineNumbers w:val="0"/>
              <w:spacing w:before="0" w:beforeAutospacing="0" w:after="0" w:afterAutospacing="0"/>
              <w:ind w:left="36" w:leftChars="17" w:right="0"/>
              <w:jc w:val="left"/>
              <w:rPr>
                <w:rFonts w:hint="eastAsia" w:ascii="宋体" w:hAnsi="宋体" w:eastAsia="宋体" w:cs="宋体"/>
                <w:b/>
                <w:bCs/>
                <w:szCs w:val="21"/>
                <w:highlight w:val="none"/>
              </w:rPr>
            </w:pPr>
            <w:r>
              <w:rPr>
                <w:rFonts w:hint="eastAsia" w:ascii="宋体" w:hAnsi="宋体" w:eastAsia="宋体" w:cs="宋体"/>
                <w:szCs w:val="21"/>
                <w:highlight w:val="none"/>
              </w:rPr>
              <w:t>□不通过</w:t>
            </w:r>
          </w:p>
        </w:tc>
        <w:tc>
          <w:tcPr>
            <w:tcW w:w="1982" w:type="dxa"/>
            <w:vAlign w:val="center"/>
          </w:tcPr>
          <w:p w14:paraId="5B5D55D6">
            <w:pPr>
              <w:keepNext w:val="0"/>
              <w:keepLines w:val="0"/>
              <w:suppressLineNumbers w:val="0"/>
              <w:spacing w:before="0" w:beforeAutospacing="0" w:after="0" w:afterAutospacing="0"/>
              <w:ind w:left="0"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7FD96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4438968A">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8" w:type="dxa"/>
            <w:vAlign w:val="center"/>
          </w:tcPr>
          <w:p w14:paraId="48B940B7">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2FE0F9BB">
            <w:pPr>
              <w:keepNext w:val="0"/>
              <w:keepLines w:val="0"/>
              <w:suppressLineNumbers w:val="0"/>
              <w:spacing w:before="0" w:beforeAutospacing="0" w:after="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43DA1E09">
            <w:pPr>
              <w:keepNext w:val="0"/>
              <w:keepLines w:val="0"/>
              <w:suppressLineNumbers w:val="0"/>
              <w:spacing w:before="0" w:beforeAutospacing="0" w:after="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1982" w:type="dxa"/>
            <w:vAlign w:val="center"/>
          </w:tcPr>
          <w:p w14:paraId="0C693187">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0"/>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（二）符合性自查表</w:t>
      </w:r>
    </w:p>
    <w:tbl>
      <w:tblPr>
        <w:tblStyle w:val="16"/>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0669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75DBC085">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36430FE0">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rPr>
              <w:t>招标文件要求</w:t>
            </w:r>
          </w:p>
        </w:tc>
        <w:tc>
          <w:tcPr>
            <w:tcW w:w="1240" w:type="dxa"/>
            <w:vAlign w:val="center"/>
          </w:tcPr>
          <w:p w14:paraId="1882E7B2">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6B0CE3E3">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4271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8" w:type="dxa"/>
            <w:vAlign w:val="center"/>
          </w:tcPr>
          <w:p w14:paraId="4B6F9C66">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6519" w:type="dxa"/>
            <w:shd w:val="clear" w:color="auto" w:fill="auto"/>
            <w:vAlign w:val="center"/>
          </w:tcPr>
          <w:p w14:paraId="17123E62">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c>
          <w:tcPr>
            <w:tcW w:w="1240" w:type="dxa"/>
            <w:vAlign w:val="center"/>
          </w:tcPr>
          <w:p w14:paraId="15643595">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2C698640">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446247A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ED2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1EAE879A">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9" w:type="dxa"/>
            <w:shd w:val="clear" w:color="auto" w:fill="auto"/>
            <w:vAlign w:val="center"/>
          </w:tcPr>
          <w:p w14:paraId="213D8FB4">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c>
          <w:tcPr>
            <w:tcW w:w="1240" w:type="dxa"/>
            <w:vAlign w:val="center"/>
          </w:tcPr>
          <w:p w14:paraId="5DB3C5B8">
            <w:pPr>
              <w:keepNext w:val="0"/>
              <w:keepLines w:val="0"/>
              <w:suppressLineNumbers w:val="0"/>
              <w:spacing w:before="0" w:beforeAutospacing="0" w:after="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401F7F9B">
            <w:pPr>
              <w:keepNext w:val="0"/>
              <w:keepLines w:val="0"/>
              <w:suppressLineNumbers w:val="0"/>
              <w:spacing w:before="0" w:beforeAutospacing="0" w:after="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2F8546C6">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4A23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55D16134">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6519" w:type="dxa"/>
            <w:shd w:val="clear" w:color="auto" w:fill="auto"/>
            <w:vAlign w:val="center"/>
          </w:tcPr>
          <w:p w14:paraId="4BBECC0C">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谈判文件未规定允许有替代方案时，对同一项目投标时，同时提供两套或两套以上的投标方案</w:t>
            </w:r>
          </w:p>
        </w:tc>
        <w:tc>
          <w:tcPr>
            <w:tcW w:w="1240" w:type="dxa"/>
            <w:vAlign w:val="center"/>
          </w:tcPr>
          <w:p w14:paraId="7A1ECE8C">
            <w:pPr>
              <w:keepNext w:val="0"/>
              <w:keepLines w:val="0"/>
              <w:suppressLineNumbers w:val="0"/>
              <w:spacing w:before="0" w:beforeAutospacing="0" w:after="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07806385">
            <w:pPr>
              <w:keepNext w:val="0"/>
              <w:keepLines w:val="0"/>
              <w:suppressLineNumbers w:val="0"/>
              <w:spacing w:before="0" w:beforeAutospacing="0" w:after="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5E8C4F59">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6B1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70A89A3D">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6519" w:type="dxa"/>
            <w:shd w:val="clear" w:color="auto" w:fill="auto"/>
            <w:vAlign w:val="center"/>
          </w:tcPr>
          <w:p w14:paraId="22EE69DC">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分项报价或投标总价高于限价，或未按照谈判文件的报价要求进行报价的</w:t>
            </w:r>
          </w:p>
        </w:tc>
        <w:tc>
          <w:tcPr>
            <w:tcW w:w="1240" w:type="dxa"/>
            <w:vAlign w:val="center"/>
          </w:tcPr>
          <w:p w14:paraId="120867DD">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1E85AA18">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15BA996B">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4792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4A639A5F">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6519" w:type="dxa"/>
            <w:shd w:val="clear" w:color="auto" w:fill="auto"/>
            <w:vAlign w:val="center"/>
          </w:tcPr>
          <w:p w14:paraId="3D5139DB">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7E179E5D">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12F0D542">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1CC6E02F">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208E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8" w:type="dxa"/>
            <w:vAlign w:val="center"/>
          </w:tcPr>
          <w:p w14:paraId="5DDC7960">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6519" w:type="dxa"/>
            <w:shd w:val="clear" w:color="auto" w:fill="auto"/>
            <w:vAlign w:val="center"/>
          </w:tcPr>
          <w:p w14:paraId="4604CD95">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谈判小组认为</w:t>
            </w:r>
            <w:r>
              <w:rPr>
                <w:rFonts w:hint="eastAsia" w:ascii="宋体" w:hAnsi="宋体" w:eastAsia="宋体" w:cs="宋体"/>
                <w:sz w:val="21"/>
                <w:szCs w:val="21"/>
                <w:lang w:eastAsia="zh-CN"/>
              </w:rPr>
              <w:t>投标人</w:t>
            </w:r>
            <w:r>
              <w:rPr>
                <w:rFonts w:hint="eastAsia" w:ascii="宋体" w:hAnsi="宋体" w:eastAsia="宋体" w:cs="宋体"/>
                <w:sz w:val="21"/>
                <w:szCs w:val="21"/>
              </w:rPr>
              <w:t>的报价明显低于其他通过符合性审查</w:t>
            </w:r>
            <w:r>
              <w:rPr>
                <w:rFonts w:hint="eastAsia" w:ascii="宋体" w:hAnsi="宋体" w:eastAsia="宋体" w:cs="宋体"/>
                <w:sz w:val="21"/>
                <w:szCs w:val="21"/>
                <w:lang w:eastAsia="zh-CN"/>
              </w:rPr>
              <w:t>投标人</w:t>
            </w:r>
            <w:r>
              <w:rPr>
                <w:rFonts w:hint="eastAsia" w:ascii="宋体" w:hAnsi="宋体" w:eastAsia="宋体" w:cs="宋体"/>
                <w:sz w:val="21"/>
                <w:szCs w:val="21"/>
              </w:rPr>
              <w:t>的报价，有可能影响产品质量或者不能诚信履约的，</w:t>
            </w:r>
            <w:r>
              <w:rPr>
                <w:rFonts w:hint="eastAsia" w:ascii="宋体" w:hAnsi="宋体" w:eastAsia="宋体" w:cs="宋体"/>
                <w:sz w:val="21"/>
                <w:szCs w:val="21"/>
                <w:lang w:eastAsia="zh-CN"/>
              </w:rPr>
              <w:t>投标人</w:t>
            </w:r>
            <w:r>
              <w:rPr>
                <w:rFonts w:hint="eastAsia" w:ascii="宋体" w:hAnsi="宋体" w:eastAsia="宋体" w:cs="宋体"/>
                <w:sz w:val="21"/>
                <w:szCs w:val="21"/>
              </w:rPr>
              <w:t>不能在合理的时间内提供书面说明，或无法提交相关证明材料，</w:t>
            </w:r>
            <w:r>
              <w:rPr>
                <w:rFonts w:hint="eastAsia" w:ascii="宋体" w:hAnsi="宋体" w:eastAsia="宋体" w:cs="宋体"/>
                <w:sz w:val="21"/>
                <w:szCs w:val="21"/>
                <w:lang w:eastAsia="zh-CN"/>
              </w:rPr>
              <w:t>投标人</w:t>
            </w:r>
            <w:r>
              <w:rPr>
                <w:rFonts w:hint="eastAsia" w:ascii="宋体" w:hAnsi="宋体" w:eastAsia="宋体" w:cs="宋体"/>
                <w:sz w:val="21"/>
                <w:szCs w:val="21"/>
              </w:rPr>
              <w:t>不能证明其报价合理性的（若谈判小组成员对是否须由</w:t>
            </w:r>
            <w:r>
              <w:rPr>
                <w:rFonts w:hint="eastAsia" w:ascii="宋体" w:hAnsi="宋体" w:eastAsia="宋体" w:cs="宋体"/>
                <w:sz w:val="21"/>
                <w:szCs w:val="21"/>
                <w:lang w:eastAsia="zh-CN"/>
              </w:rPr>
              <w:t>投标人</w:t>
            </w:r>
            <w:r>
              <w:rPr>
                <w:rFonts w:hint="eastAsia" w:ascii="宋体" w:hAnsi="宋体" w:eastAsia="宋体" w:cs="宋体"/>
                <w:sz w:val="21"/>
                <w:szCs w:val="21"/>
              </w:rPr>
              <w:t>作出报价合理性说明，以及书面说明是否采纳等判断不一致的，按照“少数服从多数”的原则确定谈判小组的意见，投标文件的轻微瑕疵、非关键内容不得作为认定投标无效的依据）</w:t>
            </w:r>
          </w:p>
        </w:tc>
        <w:tc>
          <w:tcPr>
            <w:tcW w:w="1240" w:type="dxa"/>
            <w:vAlign w:val="center"/>
          </w:tcPr>
          <w:p w14:paraId="1D7EEC76">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51C3E7CF">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4F0CE86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C99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572D3DCA">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6519" w:type="dxa"/>
            <w:shd w:val="clear" w:color="auto" w:fill="auto"/>
            <w:vAlign w:val="center"/>
          </w:tcPr>
          <w:p w14:paraId="610B5611">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所投货物、服务在技术、商务等方面没有实质性满足招标文件要求的（是否实质性满足招标文件要求，由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c>
          <w:tcPr>
            <w:tcW w:w="1240" w:type="dxa"/>
            <w:vAlign w:val="center"/>
          </w:tcPr>
          <w:p w14:paraId="10AE87CC">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61AC2AE6">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6D0368C4">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D67C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vAlign w:val="center"/>
          </w:tcPr>
          <w:p w14:paraId="42BBB338">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8</w:t>
            </w:r>
          </w:p>
        </w:tc>
        <w:tc>
          <w:tcPr>
            <w:tcW w:w="6519" w:type="dxa"/>
            <w:shd w:val="clear" w:color="auto" w:fill="auto"/>
            <w:vAlign w:val="center"/>
          </w:tcPr>
          <w:p w14:paraId="14144B04">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文件对谈判文件中标注“★”的条款响应为负偏离的</w:t>
            </w:r>
          </w:p>
        </w:tc>
        <w:tc>
          <w:tcPr>
            <w:tcW w:w="1240" w:type="dxa"/>
            <w:vAlign w:val="center"/>
          </w:tcPr>
          <w:p w14:paraId="24F79408">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0F8475AB">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12935A99">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BEC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2A65B0D7">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9</w:t>
            </w:r>
          </w:p>
        </w:tc>
        <w:tc>
          <w:tcPr>
            <w:tcW w:w="6519" w:type="dxa"/>
            <w:shd w:val="clear" w:color="auto" w:fill="auto"/>
            <w:vAlign w:val="center"/>
          </w:tcPr>
          <w:p w14:paraId="5E048D72">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文件对采购标的响应不全（响应不全情形包括：投标报价有缺漏项，对谈判文件规定的项目需求内容或者需求数量进行修改，未填写所投货物的品牌、规格、型号、制造商、原产地），由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根据《分项报价清单》做出评判）；</w:t>
            </w:r>
          </w:p>
        </w:tc>
        <w:tc>
          <w:tcPr>
            <w:tcW w:w="1240" w:type="dxa"/>
            <w:vAlign w:val="center"/>
          </w:tcPr>
          <w:p w14:paraId="59DEF0EB">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27AEC887">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1613D6B8">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4641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046827F">
            <w:pPr>
              <w:keepNext w:val="0"/>
              <w:keepLines w:val="0"/>
              <w:suppressLineNumbers w:val="0"/>
              <w:spacing w:before="0" w:beforeAutospacing="0" w:after="0" w:afterAutospacing="0"/>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10</w:t>
            </w:r>
          </w:p>
        </w:tc>
        <w:tc>
          <w:tcPr>
            <w:tcW w:w="6519" w:type="dxa"/>
            <w:shd w:val="clear" w:color="auto" w:fill="auto"/>
            <w:vAlign w:val="center"/>
          </w:tcPr>
          <w:p w14:paraId="59650854">
            <w:pPr>
              <w:keepNext w:val="0"/>
              <w:keepLines w:val="0"/>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投标文件附有采购人或招标需求不能接受的条件</w:t>
            </w:r>
          </w:p>
        </w:tc>
        <w:tc>
          <w:tcPr>
            <w:tcW w:w="1240" w:type="dxa"/>
            <w:vAlign w:val="center"/>
          </w:tcPr>
          <w:p w14:paraId="4FFCE5EC">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54D078DE">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222C2C0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29CC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1409755">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6519" w:type="dxa"/>
            <w:shd w:val="clear" w:color="auto" w:fill="auto"/>
            <w:vAlign w:val="center"/>
          </w:tcPr>
          <w:p w14:paraId="0ED8E5A1">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c>
          <w:tcPr>
            <w:tcW w:w="1240" w:type="dxa"/>
            <w:vAlign w:val="center"/>
          </w:tcPr>
          <w:p w14:paraId="25288EED">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02C847D0">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013E76C0">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（三）警示情形自查确认表</w:t>
      </w: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4DA0D58">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55206D2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611745D">
      <w:pPr>
        <w:pStyle w:val="3"/>
        <w:numPr>
          <w:ilvl w:val="0"/>
          <w:numId w:val="9"/>
        </w:numPr>
        <w:spacing w:line="240" w:lineRule="auto"/>
        <w:ind w:left="0" w:leftChars="0" w:firstLine="0" w:firstLineChars="0"/>
        <w:jc w:val="center"/>
        <w:outlineLvl w:val="0"/>
        <w:rPr>
          <w:rFonts w:hint="eastAsia" w:asciiTheme="majorEastAsia" w:hAnsiTheme="majorEastAsia" w:eastAsiaTheme="majorEastAsia"/>
          <w:sz w:val="30"/>
          <w:szCs w:val="30"/>
          <w:lang w:val="en-US" w:eastAsia="zh-CN"/>
        </w:rPr>
      </w:pPr>
      <w:r>
        <w:rPr>
          <w:rFonts w:hint="eastAsia" w:asciiTheme="majorEastAsia" w:hAnsiTheme="majorEastAsia" w:eastAsiaTheme="majorEastAsia"/>
          <w:sz w:val="30"/>
          <w:szCs w:val="30"/>
          <w:lang w:val="en-US" w:eastAsia="zh-CN"/>
        </w:rPr>
        <w:t>综合评分指引</w:t>
      </w:r>
    </w:p>
    <w:p w14:paraId="168FCB66">
      <w:pPr>
        <w:adjustRightInd w:val="0"/>
        <w:snapToGrid w:val="0"/>
        <w:spacing w:line="300" w:lineRule="auto"/>
        <w:ind w:firstLine="420" w:firstLineChars="200"/>
        <w:rPr>
          <w:rFonts w:ascii="宋体" w:hAnsi="宋体"/>
          <w:szCs w:val="21"/>
        </w:rPr>
      </w:pPr>
      <w:r>
        <w:rPr>
          <w:rFonts w:hint="eastAsia" w:ascii="宋体" w:hAnsi="宋体"/>
          <w:szCs w:val="21"/>
        </w:rPr>
        <w:t>对于“</w:t>
      </w:r>
      <w:r>
        <w:rPr>
          <w:rFonts w:hint="eastAsia" w:ascii="宋体" w:hAnsi="宋体"/>
          <w:b/>
          <w:szCs w:val="21"/>
        </w:rPr>
        <w:t>综合评分指引”</w:t>
      </w:r>
      <w:r>
        <w:rPr>
          <w:rFonts w:hint="eastAsia" w:ascii="宋体" w:hAnsi="宋体"/>
          <w:szCs w:val="21"/>
        </w:rPr>
        <w:t>请投标人按照招标文件</w:t>
      </w:r>
      <w:r>
        <w:rPr>
          <w:rFonts w:hint="eastAsia" w:ascii="宋体" w:hAnsi="宋体"/>
          <w:b/>
          <w:szCs w:val="21"/>
        </w:rPr>
        <w:t>评标信息评分细则表</w:t>
      </w:r>
      <w:r>
        <w:rPr>
          <w:rFonts w:hint="eastAsia" w:ascii="宋体" w:hAnsi="宋体"/>
          <w:szCs w:val="21"/>
        </w:rPr>
        <w:t>内容，根据各评分项目以</w:t>
      </w:r>
      <w:r>
        <w:rPr>
          <w:rFonts w:hint="eastAsia" w:ascii="宋体" w:hAnsi="宋体"/>
          <w:b/>
          <w:szCs w:val="21"/>
        </w:rPr>
        <w:t>自上而下</w:t>
      </w:r>
      <w:r>
        <w:rPr>
          <w:rFonts w:hint="eastAsia" w:ascii="宋体" w:hAnsi="宋体"/>
          <w:szCs w:val="21"/>
        </w:rPr>
        <w:t>的顺序编制。因项目次序混乱而影响评标效率及评标结果者，投标人自负其责。</w:t>
      </w:r>
    </w:p>
    <w:p w14:paraId="257ABC5B">
      <w:pPr>
        <w:adjustRightInd w:val="0"/>
        <w:snapToGrid w:val="0"/>
        <w:spacing w:line="300" w:lineRule="auto"/>
        <w:rPr>
          <w:rFonts w:ascii="宋体" w:hAnsi="宋体"/>
          <w:szCs w:val="21"/>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1"/>
        <w:gridCol w:w="2636"/>
        <w:gridCol w:w="3367"/>
      </w:tblGrid>
      <w:tr w14:paraId="58E4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01" w:type="dxa"/>
            <w:vAlign w:val="center"/>
          </w:tcPr>
          <w:p w14:paraId="7098C0A7">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评分因素</w:t>
            </w:r>
          </w:p>
        </w:tc>
        <w:tc>
          <w:tcPr>
            <w:tcW w:w="2636" w:type="dxa"/>
            <w:vAlign w:val="center"/>
          </w:tcPr>
          <w:p w14:paraId="2F23BF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评分准则</w:t>
            </w:r>
          </w:p>
        </w:tc>
        <w:tc>
          <w:tcPr>
            <w:tcW w:w="3367" w:type="dxa"/>
            <w:vAlign w:val="center"/>
          </w:tcPr>
          <w:p w14:paraId="097497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证明文件</w:t>
            </w:r>
          </w:p>
        </w:tc>
      </w:tr>
      <w:tr w14:paraId="44B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01" w:type="dxa"/>
            <w:vAlign w:val="center"/>
          </w:tcPr>
          <w:p w14:paraId="4C8851E2">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24BA1A3A">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28CF5B8">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7CA2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001" w:type="dxa"/>
            <w:vAlign w:val="center"/>
          </w:tcPr>
          <w:p w14:paraId="61AE6F4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7BF120A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7FC47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6A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01" w:type="dxa"/>
            <w:vAlign w:val="center"/>
          </w:tcPr>
          <w:p w14:paraId="725CDC1D">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F7544BC">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00DAD86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5F6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001" w:type="dxa"/>
            <w:vAlign w:val="center"/>
          </w:tcPr>
          <w:p w14:paraId="133B850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D6C3D8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8257C3">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24C0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0E5EF5F1">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C0DE59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2D667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D72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6E5F3AE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18F66296">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5A69511D">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r w14:paraId="09BA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7360DA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0D1FA4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7C5C56C">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bl>
    <w:p w14:paraId="360D7A47">
      <w:pPr>
        <w:numPr>
          <w:ilvl w:val="0"/>
          <w:numId w:val="0"/>
        </w:numPr>
        <w:ind w:leftChars="0"/>
        <w:rPr>
          <w:rFonts w:hint="eastAsia"/>
          <w:lang w:val="en-US" w:eastAsia="zh-CN"/>
        </w:rPr>
      </w:pPr>
    </w:p>
    <w:p w14:paraId="1B2C3062">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3652D17">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163C87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CA0D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24022B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C0E4DD3">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7186ED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48117D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D3A274">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F674D68">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4115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D7BB6C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6D7C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4C12BA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（五）</w:t>
      </w:r>
      <w:r>
        <w:rPr>
          <w:rFonts w:hint="eastAsia" w:asciiTheme="majorEastAsia" w:hAnsiTheme="majorEastAsia" w:eastAsiaTheme="majorEastAsia"/>
          <w:sz w:val="30"/>
          <w:szCs w:val="30"/>
          <w:lang w:val="en-US" w:eastAsia="zh-CN"/>
        </w:rPr>
        <w:t>营业执</w:t>
      </w:r>
      <w:r>
        <w:rPr>
          <w:rFonts w:hint="eastAsia" w:cs="宋体" w:asciiTheme="majorEastAsia" w:hAnsiTheme="majorEastAsia" w:eastAsiaTheme="majorEastAsia"/>
          <w:sz w:val="30"/>
          <w:szCs w:val="30"/>
        </w:rPr>
        <w:t>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授权书</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rPr>
        <w:t>资质文件</w:t>
      </w:r>
      <w:bookmarkEnd w:id="24"/>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（六）诚信及信用信息证明</w:t>
      </w:r>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26" w:name="_Toc12322"/>
      <w:r>
        <w:rPr>
          <w:rFonts w:hint="eastAsia" w:cs="宋体" w:asciiTheme="majorEastAsia" w:hAnsiTheme="majorEastAsia" w:eastAsiaTheme="majorEastAsia"/>
          <w:kern w:val="2"/>
          <w:sz w:val="30"/>
          <w:szCs w:val="30"/>
          <w:lang w:val="en-US" w:eastAsia="zh-CN" w:bidi="ar-SA"/>
        </w:rPr>
        <w:t>（七）</w:t>
      </w:r>
      <w:r>
        <w:rPr>
          <w:rFonts w:hint="eastAsia" w:asciiTheme="majorEastAsia" w:hAnsiTheme="majorEastAsia" w:eastAsiaTheme="majorEastAsia"/>
          <w:sz w:val="30"/>
          <w:szCs w:val="30"/>
        </w:rPr>
        <w:t>供应商基本情况表</w:t>
      </w:r>
      <w:bookmarkEnd w:id="26"/>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7"/>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0E9E01A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45A0A5D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1B42BE4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93FE52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83A26E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5FD7B4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19B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2F47493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D911DD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C0051F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48729E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E035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7732C98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D102E7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5A708A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50CDBC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39CE7BC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B62990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BC94FC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9A32B79">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6B2E6F3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2A7418A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6AA7347A">
      <w:pPr>
        <w:bidi w:val="0"/>
        <w:rPr>
          <w:rFonts w:hint="eastAsia"/>
        </w:rPr>
      </w:pPr>
    </w:p>
    <w:p w14:paraId="66A8E52C">
      <w:pPr>
        <w:rPr>
          <w:rFonts w:hint="eastAsia" w:ascii="宋体" w:hAnsi="宋体" w:eastAsia="宋体" w:cs="宋体"/>
          <w:sz w:val="30"/>
          <w:szCs w:val="30"/>
        </w:rPr>
      </w:pPr>
      <w:r>
        <w:rPr>
          <w:rFonts w:hint="eastAsia" w:ascii="宋体" w:hAnsi="宋体" w:eastAsia="宋体" w:cs="宋体"/>
          <w:sz w:val="30"/>
          <w:szCs w:val="30"/>
        </w:rPr>
        <w:br w:type="page"/>
      </w:r>
    </w:p>
    <w:p w14:paraId="76C3BE37">
      <w:pPr>
        <w:pStyle w:val="3"/>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27" w:name="_Toc30875"/>
      <w:bookmarkStart w:id="28" w:name="_Toc2074"/>
      <w:r>
        <w:rPr>
          <w:rFonts w:hint="eastAsia" w:cs="宋体" w:asciiTheme="majorEastAsia" w:hAnsiTheme="majorEastAsia" w:eastAsiaTheme="majorEastAsia"/>
          <w:color w:val="auto"/>
          <w:kern w:val="2"/>
          <w:sz w:val="30"/>
          <w:szCs w:val="30"/>
          <w:lang w:val="en-US" w:eastAsia="zh-CN" w:bidi="ar-SA"/>
        </w:rPr>
        <w:t>（八）</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27"/>
      <w:bookmarkEnd w:id="28"/>
    </w:p>
    <w:p w14:paraId="02229216">
      <w:pPr>
        <w:spacing w:line="360" w:lineRule="exact"/>
        <w:rPr>
          <w:b/>
          <w:bCs/>
          <w:color w:val="auto"/>
        </w:rPr>
      </w:pPr>
      <w:r>
        <w:rPr>
          <w:rFonts w:hint="eastAsia" w:ascii="黑体" w:hAnsi="宋体" w:eastAsia="黑体"/>
          <w:bCs/>
          <w:color w:val="auto"/>
          <w:szCs w:val="32"/>
        </w:rPr>
        <w:t>备注：该部分内容由供应商根据自身情况提供相关内容，不符合要求的供应商可以不提供。</w:t>
      </w:r>
    </w:p>
    <w:p w14:paraId="5C981CD0">
      <w:pPr>
        <w:pStyle w:val="29"/>
        <w:spacing w:before="120" w:after="120" w:line="276" w:lineRule="auto"/>
        <w:ind w:left="0" w:leftChars="0" w:firstLine="0" w:firstLineChars="0"/>
        <w:rPr>
          <w:rFonts w:hint="eastAsia"/>
          <w:b/>
          <w:color w:val="auto"/>
          <w:sz w:val="24"/>
        </w:rPr>
      </w:pPr>
    </w:p>
    <w:p w14:paraId="4B1D9CBC">
      <w:pPr>
        <w:pStyle w:val="29"/>
        <w:spacing w:before="120" w:after="120" w:line="276" w:lineRule="auto"/>
        <w:ind w:firstLine="482"/>
        <w:rPr>
          <w:rFonts w:hint="eastAsia" w:ascii="宋体" w:hAnsi="宋体" w:eastAsia="宋体" w:cs="宋体"/>
          <w:bCs/>
          <w:color w:val="auto"/>
          <w:kern w:val="0"/>
          <w:sz w:val="24"/>
          <w:szCs w:val="24"/>
          <w:highlight w:val="none"/>
        </w:rPr>
      </w:pPr>
      <w:r>
        <w:rPr>
          <w:rFonts w:hint="eastAsia"/>
          <w:b/>
          <w:color w:val="auto"/>
          <w:sz w:val="24"/>
        </w:rPr>
        <w:t>填写指引：</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项目名称（项目名称可在招标公告处查看）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bookmarkStart w:id="29" w:name="_Hlk72259001"/>
      <w:r>
        <w:rPr>
          <w:rFonts w:hint="eastAsia"/>
          <w:b/>
          <w:bCs/>
          <w:color w:val="auto"/>
        </w:rPr>
        <w:t>招标文件</w:t>
      </w:r>
      <w:bookmarkEnd w:id="29"/>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“招标文件中明确的所属行业”</w:t>
      </w:r>
      <w:r>
        <w:rPr>
          <w:rFonts w:hint="eastAsia"/>
          <w:color w:val="auto"/>
        </w:rPr>
        <w:t>下划线处填写采购标的对应的中小企业划分标准所属行业（</w:t>
      </w:r>
      <w:r>
        <w:rPr>
          <w:rFonts w:hint="eastAsia"/>
          <w:b/>
          <w:bCs/>
          <w:color w:val="auto"/>
        </w:rPr>
        <w:t>所属行业可在招标文件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《中小企业声明函》中制造商所属行业应当与招标文件要求的行业相一致，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w:t>
      </w:r>
      <w:r>
        <w:rPr>
          <w:rFonts w:hint="eastAsia"/>
          <w:color w:val="auto"/>
          <w:lang w:eastAsia="zh-CN"/>
        </w:rPr>
        <w:t>评标委员会</w:t>
      </w:r>
      <w:r>
        <w:rPr>
          <w:rFonts w:hint="eastAsia"/>
          <w:color w:val="auto"/>
        </w:rPr>
        <w:t>判定，如</w:t>
      </w:r>
      <w:r>
        <w:rPr>
          <w:rFonts w:hint="eastAsia"/>
          <w:color w:val="auto"/>
          <w:lang w:eastAsia="zh-CN"/>
        </w:rPr>
        <w:t>评标委员会</w:t>
      </w:r>
      <w:r>
        <w:rPr>
          <w:rFonts w:hint="eastAsia"/>
          <w:color w:val="auto"/>
        </w:rPr>
        <w:t>判定声明函无效，相关供应商不享受价格扣除（但不作投标无效处理）。</w:t>
      </w:r>
    </w:p>
    <w:p w14:paraId="04C31D22">
      <w:pPr>
        <w:pStyle w:val="5"/>
        <w:rPr>
          <w:color w:val="auto"/>
        </w:rPr>
      </w:pPr>
    </w:p>
    <w:p w14:paraId="04F8DE87">
      <w:pPr>
        <w:spacing w:after="60"/>
        <w:jc w:val="center"/>
        <w:outlineLvl w:val="1"/>
        <w:rPr>
          <w:b/>
          <w:color w:val="auto"/>
        </w:rPr>
      </w:pPr>
      <w:r>
        <w:rPr>
          <w:rFonts w:hint="eastAsia"/>
          <w:b/>
          <w:color w:val="auto"/>
        </w:rPr>
        <w:t>1、中小企业声明函</w:t>
      </w:r>
    </w:p>
    <w:p w14:paraId="260C3881">
      <w:pPr>
        <w:pStyle w:val="5"/>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5"/>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5"/>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1"/>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1"/>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5"/>
        <w:outlineLvl w:val="9"/>
        <w:rPr>
          <w:color w:val="auto"/>
        </w:rPr>
      </w:pPr>
    </w:p>
    <w:p w14:paraId="0888B786">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3533FC00">
      <w:pPr>
        <w:rPr>
          <w:color w:val="auto"/>
        </w:rPr>
      </w:pPr>
      <w:r>
        <w:rPr>
          <w:color w:val="auto"/>
        </w:rPr>
        <w:br w:type="page"/>
      </w:r>
    </w:p>
    <w:p w14:paraId="406BD766">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30" w:name="_Toc8245"/>
      <w:r>
        <w:rPr>
          <w:rFonts w:hint="eastAsia" w:cs="宋体" w:asciiTheme="majorEastAsia" w:hAnsiTheme="majorEastAsia" w:eastAsiaTheme="majorEastAsia"/>
          <w:kern w:val="2"/>
          <w:sz w:val="30"/>
          <w:szCs w:val="30"/>
          <w:lang w:val="en-US" w:eastAsia="zh-CN" w:bidi="ar-SA"/>
        </w:rPr>
        <w:t>（九）</w:t>
      </w:r>
      <w:r>
        <w:rPr>
          <w:rFonts w:hint="eastAsia" w:asciiTheme="majorEastAsia" w:hAnsiTheme="majorEastAsia" w:eastAsiaTheme="majorEastAsia"/>
          <w:sz w:val="30"/>
          <w:szCs w:val="30"/>
        </w:rPr>
        <w:t>开标一览表(报价表)</w:t>
      </w:r>
      <w:bookmarkEnd w:id="25"/>
      <w:bookmarkEnd w:id="30"/>
    </w:p>
    <w:bookmarkEnd w:id="22"/>
    <w:bookmarkEnd w:id="23"/>
    <w:tbl>
      <w:tblPr>
        <w:tblStyle w:val="16"/>
        <w:tblW w:w="102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665"/>
        <w:gridCol w:w="1870"/>
        <w:gridCol w:w="1435"/>
        <w:gridCol w:w="1078"/>
        <w:gridCol w:w="2612"/>
      </w:tblGrid>
      <w:tr w14:paraId="1F687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638" w:type="dxa"/>
            <w:tcBorders>
              <w:top w:val="single" w:color="auto" w:sz="12" w:space="0"/>
              <w:bottom w:val="single" w:color="auto" w:sz="12" w:space="0"/>
            </w:tcBorders>
            <w:shd w:val="clear" w:color="auto" w:fill="EEECE1"/>
            <w:vAlign w:val="center"/>
          </w:tcPr>
          <w:p w14:paraId="12F100D1">
            <w:pPr>
              <w:keepNext w:val="0"/>
              <w:keepLines w:val="0"/>
              <w:suppressLineNumbers w:val="0"/>
              <w:spacing w:before="0" w:beforeAutospacing="0" w:after="0" w:afterAutospacing="0"/>
              <w:ind w:left="0" w:right="0"/>
              <w:jc w:val="center"/>
              <w:rPr>
                <w:rFonts w:hint="default" w:ascii="宋体" w:eastAsia="宋体"/>
                <w:b/>
                <w:color w:val="auto"/>
                <w:szCs w:val="21"/>
                <w:lang w:val="en-US" w:eastAsia="zh-CN"/>
              </w:rPr>
            </w:pPr>
            <w:r>
              <w:rPr>
                <w:rFonts w:hint="eastAsia" w:ascii="宋体"/>
                <w:b/>
                <w:color w:val="auto"/>
                <w:szCs w:val="21"/>
                <w:lang w:val="en-US" w:eastAsia="zh-CN"/>
              </w:rPr>
              <w:t>采购编号</w:t>
            </w:r>
          </w:p>
        </w:tc>
        <w:tc>
          <w:tcPr>
            <w:tcW w:w="1665" w:type="dxa"/>
            <w:tcBorders>
              <w:top w:val="single" w:color="auto" w:sz="12" w:space="0"/>
              <w:bottom w:val="single" w:color="auto" w:sz="12" w:space="0"/>
            </w:tcBorders>
            <w:shd w:val="clear" w:color="auto" w:fill="EEECE1"/>
            <w:vAlign w:val="center"/>
          </w:tcPr>
          <w:p w14:paraId="7DF2F416">
            <w:pPr>
              <w:keepNext w:val="0"/>
              <w:keepLines w:val="0"/>
              <w:suppressLineNumbers w:val="0"/>
              <w:spacing w:before="0" w:beforeAutospacing="0" w:after="0" w:afterAutospacing="0"/>
              <w:ind w:left="0" w:right="0"/>
              <w:jc w:val="center"/>
              <w:rPr>
                <w:rFonts w:hint="default" w:ascii="宋体" w:eastAsia="宋体" w:hAnsiTheme="minorHAnsi" w:cstheme="minorBidi"/>
                <w:b/>
                <w:color w:val="auto"/>
                <w:kern w:val="2"/>
                <w:sz w:val="21"/>
                <w:szCs w:val="21"/>
                <w:lang w:val="en-US" w:eastAsia="zh-CN" w:bidi="ar-SA"/>
              </w:rPr>
            </w:pPr>
            <w:r>
              <w:rPr>
                <w:rFonts w:hint="eastAsia" w:ascii="宋体"/>
                <w:b/>
                <w:color w:val="auto"/>
                <w:szCs w:val="21"/>
                <w:lang w:val="en-US" w:eastAsia="zh-CN"/>
              </w:rPr>
              <w:t>采购名称</w:t>
            </w:r>
          </w:p>
        </w:tc>
        <w:tc>
          <w:tcPr>
            <w:tcW w:w="1870" w:type="dxa"/>
            <w:tcBorders>
              <w:top w:val="single" w:color="auto" w:sz="12" w:space="0"/>
              <w:bottom w:val="single" w:color="auto" w:sz="12" w:space="0"/>
            </w:tcBorders>
            <w:shd w:val="clear" w:color="auto" w:fill="EEECE1"/>
            <w:vAlign w:val="center"/>
          </w:tcPr>
          <w:p w14:paraId="760D13ED">
            <w:pPr>
              <w:keepNext w:val="0"/>
              <w:keepLines w:val="0"/>
              <w:suppressLineNumbers w:val="0"/>
              <w:tabs>
                <w:tab w:val="left" w:pos="8364"/>
              </w:tabs>
              <w:snapToGrid w:val="0"/>
              <w:spacing w:before="0" w:beforeAutospacing="0" w:after="0" w:afterAutospacing="0"/>
              <w:ind w:left="0" w:right="-58"/>
              <w:jc w:val="center"/>
              <w:rPr>
                <w:rFonts w:hint="eastAsia" w:ascii="宋体" w:hAnsi="宋体" w:eastAsia="宋体" w:cs="宋体"/>
                <w:b/>
                <w:szCs w:val="21"/>
                <w:highlight w:val="none"/>
              </w:rPr>
            </w:pPr>
            <w:r>
              <w:rPr>
                <w:rFonts w:hint="eastAsia" w:ascii="宋体" w:hAnsi="宋体" w:eastAsia="宋体" w:cs="宋体"/>
                <w:b/>
                <w:szCs w:val="21"/>
                <w:highlight w:val="none"/>
              </w:rPr>
              <w:t>制造商、原产地</w:t>
            </w:r>
          </w:p>
          <w:p w14:paraId="0FC0ABDC">
            <w:pPr>
              <w:keepNext w:val="0"/>
              <w:keepLines w:val="0"/>
              <w:suppressLineNumbers w:val="0"/>
              <w:spacing w:before="0" w:beforeAutospacing="0" w:after="0" w:afterAutospacing="0"/>
              <w:ind w:left="0" w:right="0"/>
              <w:jc w:val="center"/>
              <w:rPr>
                <w:rFonts w:hint="eastAsia" w:ascii="宋体"/>
                <w:b/>
                <w:color w:val="auto"/>
                <w:szCs w:val="21"/>
              </w:rPr>
            </w:pPr>
            <w:r>
              <w:rPr>
                <w:rFonts w:hint="eastAsia" w:ascii="宋体" w:hAnsi="宋体" w:cs="宋体"/>
                <w:b/>
                <w:color w:val="FF0000"/>
                <w:szCs w:val="21"/>
                <w:highlight w:val="none"/>
                <w:lang w:eastAsia="zh-CN"/>
              </w:rPr>
              <w:t>（</w:t>
            </w:r>
            <w:r>
              <w:rPr>
                <w:rFonts w:hint="eastAsia" w:ascii="宋体" w:hAnsi="宋体" w:cs="宋体"/>
                <w:b/>
                <w:color w:val="FF0000"/>
                <w:szCs w:val="21"/>
                <w:highlight w:val="none"/>
                <w:lang w:val="en-US" w:eastAsia="zh-CN"/>
              </w:rPr>
              <w:t>核心产品</w:t>
            </w:r>
            <w:r>
              <w:rPr>
                <w:rFonts w:hint="eastAsia" w:ascii="宋体" w:hAnsi="宋体" w:cs="宋体"/>
                <w:b/>
                <w:color w:val="FF0000"/>
                <w:szCs w:val="21"/>
                <w:highlight w:val="none"/>
                <w:lang w:eastAsia="zh-CN"/>
              </w:rPr>
              <w:t>）</w:t>
            </w:r>
          </w:p>
        </w:tc>
        <w:tc>
          <w:tcPr>
            <w:tcW w:w="1435" w:type="dxa"/>
            <w:tcBorders>
              <w:top w:val="single" w:color="auto" w:sz="12" w:space="0"/>
              <w:bottom w:val="single" w:color="auto" w:sz="12" w:space="0"/>
            </w:tcBorders>
            <w:shd w:val="clear" w:color="auto" w:fill="EEECE1"/>
            <w:vAlign w:val="center"/>
          </w:tcPr>
          <w:p w14:paraId="65458354">
            <w:pPr>
              <w:keepNext w:val="0"/>
              <w:keepLines w:val="0"/>
              <w:suppressLineNumbers w:val="0"/>
              <w:spacing w:before="0" w:beforeAutospacing="0" w:after="0" w:afterAutospacing="0"/>
              <w:ind w:left="0" w:right="0"/>
              <w:jc w:val="center"/>
              <w:rPr>
                <w:rFonts w:hint="eastAsia" w:ascii="宋体" w:hAnsi="宋体" w:cs="宋体"/>
                <w:b/>
                <w:color w:val="FF0000"/>
                <w:szCs w:val="21"/>
                <w:highlight w:val="none"/>
                <w:lang w:eastAsia="zh-CN"/>
              </w:rPr>
            </w:pPr>
            <w:r>
              <w:rPr>
                <w:rFonts w:hint="eastAsia" w:ascii="宋体" w:hAnsi="宋体" w:eastAsia="宋体" w:cs="宋体"/>
                <w:b/>
                <w:szCs w:val="21"/>
                <w:highlight w:val="none"/>
              </w:rPr>
              <w:t>品牌、型号</w:t>
            </w:r>
            <w:r>
              <w:rPr>
                <w:rFonts w:hint="eastAsia" w:ascii="宋体" w:hAnsi="宋体" w:cs="宋体"/>
                <w:b/>
                <w:color w:val="FF0000"/>
                <w:szCs w:val="21"/>
                <w:highlight w:val="none"/>
                <w:lang w:eastAsia="zh-CN"/>
              </w:rPr>
              <w:t>（</w:t>
            </w:r>
            <w:r>
              <w:rPr>
                <w:rFonts w:hint="eastAsia" w:ascii="宋体" w:hAnsi="宋体" w:cs="宋体"/>
                <w:b/>
                <w:color w:val="FF0000"/>
                <w:szCs w:val="21"/>
                <w:highlight w:val="none"/>
                <w:lang w:val="en-US" w:eastAsia="zh-CN"/>
              </w:rPr>
              <w:t>核心产品</w:t>
            </w:r>
            <w:r>
              <w:rPr>
                <w:rFonts w:hint="eastAsia" w:ascii="宋体" w:hAnsi="宋体" w:cs="宋体"/>
                <w:b/>
                <w:color w:val="FF0000"/>
                <w:szCs w:val="21"/>
                <w:highlight w:val="none"/>
                <w:lang w:eastAsia="zh-CN"/>
              </w:rPr>
              <w:t>）</w:t>
            </w:r>
          </w:p>
        </w:tc>
        <w:tc>
          <w:tcPr>
            <w:tcW w:w="1078" w:type="dxa"/>
            <w:tcBorders>
              <w:top w:val="single" w:color="auto" w:sz="12" w:space="0"/>
              <w:bottom w:val="single" w:color="auto" w:sz="12" w:space="0"/>
            </w:tcBorders>
            <w:shd w:val="clear" w:color="auto" w:fill="EEECE1"/>
            <w:vAlign w:val="center"/>
          </w:tcPr>
          <w:p w14:paraId="0DE0CD21">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ascii="宋体"/>
                <w:b/>
                <w:color w:val="auto"/>
                <w:szCs w:val="21"/>
              </w:rPr>
              <w:t>数量</w:t>
            </w:r>
          </w:p>
        </w:tc>
        <w:tc>
          <w:tcPr>
            <w:tcW w:w="2612" w:type="dxa"/>
            <w:tcBorders>
              <w:top w:val="single" w:color="auto" w:sz="12" w:space="0"/>
              <w:bottom w:val="single" w:color="auto" w:sz="12" w:space="0"/>
            </w:tcBorders>
            <w:shd w:val="clear" w:color="auto" w:fill="EEECE1"/>
            <w:vAlign w:val="center"/>
          </w:tcPr>
          <w:p w14:paraId="07C9EA11">
            <w:pPr>
              <w:keepNext w:val="0"/>
              <w:keepLines w:val="0"/>
              <w:suppressLineNumbers w:val="0"/>
              <w:spacing w:before="0" w:beforeAutospacing="0" w:after="0" w:afterAutospacing="0"/>
              <w:ind w:left="0" w:right="0"/>
              <w:jc w:val="center"/>
              <w:rPr>
                <w:rFonts w:hint="eastAsia" w:hAnsi="宋体"/>
                <w:b/>
                <w:color w:val="auto"/>
                <w:vertAlign w:val="baseline"/>
                <w:lang w:val="en-US" w:eastAsia="zh-CN"/>
              </w:rPr>
            </w:pPr>
            <w:r>
              <w:rPr>
                <w:rFonts w:hint="eastAsia" w:hAnsi="宋体"/>
                <w:b/>
                <w:color w:val="auto"/>
                <w:vertAlign w:val="baseline"/>
                <w:lang w:val="en-US" w:eastAsia="zh-CN"/>
              </w:rPr>
              <w:t>投标报价</w:t>
            </w:r>
          </w:p>
          <w:p w14:paraId="21427E9E">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hAnsi="宋体"/>
                <w:b/>
                <w:color w:val="auto"/>
                <w:vertAlign w:val="baseline"/>
                <w:lang w:val="en-US" w:eastAsia="zh-CN"/>
              </w:rPr>
              <w:t>（人民币 元）</w:t>
            </w:r>
          </w:p>
        </w:tc>
      </w:tr>
      <w:tr w14:paraId="090F9B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638" w:type="dxa"/>
            <w:tcBorders>
              <w:top w:val="single" w:color="auto" w:sz="12" w:space="0"/>
              <w:bottom w:val="single" w:color="auto" w:sz="12" w:space="0"/>
            </w:tcBorders>
            <w:vAlign w:val="center"/>
          </w:tcPr>
          <w:p w14:paraId="27FCC3B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665" w:type="dxa"/>
            <w:tcBorders>
              <w:top w:val="single" w:color="auto" w:sz="12" w:space="0"/>
              <w:bottom w:val="single" w:color="auto" w:sz="12" w:space="0"/>
            </w:tcBorders>
            <w:vAlign w:val="center"/>
          </w:tcPr>
          <w:p w14:paraId="431C6EDD">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napToGrid/>
                <w:color w:val="auto"/>
                <w:spacing w:val="0"/>
                <w:kern w:val="2"/>
                <w:sz w:val="21"/>
                <w:szCs w:val="24"/>
                <w:lang w:val="en-US" w:eastAsia="zh-CN" w:bidi="ar-SA"/>
              </w:rPr>
            </w:pPr>
          </w:p>
        </w:tc>
        <w:tc>
          <w:tcPr>
            <w:tcW w:w="1870" w:type="dxa"/>
            <w:tcBorders>
              <w:top w:val="single" w:color="auto" w:sz="12" w:space="0"/>
              <w:bottom w:val="single" w:color="auto" w:sz="12" w:space="0"/>
            </w:tcBorders>
            <w:vAlign w:val="center"/>
          </w:tcPr>
          <w:p w14:paraId="53030D5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435" w:type="dxa"/>
            <w:tcBorders>
              <w:top w:val="single" w:color="auto" w:sz="12" w:space="0"/>
              <w:bottom w:val="single" w:color="auto" w:sz="12" w:space="0"/>
            </w:tcBorders>
            <w:vAlign w:val="center"/>
          </w:tcPr>
          <w:p w14:paraId="5CAF2A8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078" w:type="dxa"/>
            <w:tcBorders>
              <w:top w:val="single" w:color="auto" w:sz="12" w:space="0"/>
              <w:bottom w:val="single" w:color="auto" w:sz="12" w:space="0"/>
            </w:tcBorders>
            <w:vAlign w:val="center"/>
          </w:tcPr>
          <w:p w14:paraId="7E633B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2612" w:type="dxa"/>
            <w:tcBorders>
              <w:top w:val="single" w:color="auto" w:sz="12" w:space="0"/>
              <w:bottom w:val="single" w:color="auto" w:sz="12" w:space="0"/>
            </w:tcBorders>
            <w:vAlign w:val="center"/>
          </w:tcPr>
          <w:p w14:paraId="6885F932">
            <w:pPr>
              <w:pStyle w:val="30"/>
              <w:keepLines w:val="0"/>
              <w:suppressLineNumbers w:val="0"/>
              <w:spacing w:beforeAutospacing="0" w:afterAutospacing="0" w:line="240" w:lineRule="auto"/>
              <w:ind w:left="0" w:right="0"/>
              <w:rPr>
                <w:rFonts w:hint="default" w:ascii="宋体"/>
                <w:bCs/>
                <w:color w:val="auto"/>
                <w:szCs w:val="21"/>
                <w:u w:val="single"/>
              </w:rPr>
            </w:pPr>
          </w:p>
        </w:tc>
      </w:tr>
      <w:tr w14:paraId="71680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0298" w:type="dxa"/>
            <w:gridSpan w:val="6"/>
            <w:tcBorders>
              <w:top w:val="single" w:color="auto" w:sz="12" w:space="0"/>
              <w:bottom w:val="single" w:color="auto" w:sz="12" w:space="0"/>
            </w:tcBorders>
            <w:vAlign w:val="center"/>
          </w:tcPr>
          <w:p w14:paraId="366CD76F">
            <w:pPr>
              <w:keepNext w:val="0"/>
              <w:keepLines w:val="0"/>
              <w:suppressLineNumbers w:val="0"/>
              <w:spacing w:before="0" w:beforeAutospacing="0" w:after="0" w:afterAutospacing="0"/>
              <w:ind w:left="0" w:right="0"/>
              <w:jc w:val="left"/>
              <w:rPr>
                <w:rFonts w:hint="default" w:ascii="宋体"/>
                <w:bCs/>
                <w:color w:val="auto"/>
                <w:szCs w:val="21"/>
                <w:u w:val="single"/>
                <w:lang w:val="en-US"/>
              </w:rPr>
            </w:pPr>
            <w:r>
              <w:rPr>
                <w:rFonts w:hint="eastAsia" w:hAnsi="宋体"/>
                <w:b/>
                <w:color w:val="auto"/>
                <w:vertAlign w:val="baseline"/>
                <w:lang w:val="en-US" w:eastAsia="zh-CN"/>
              </w:rPr>
              <w:t>投标报价（元）小写：                   大写：</w:t>
            </w:r>
          </w:p>
        </w:tc>
      </w:tr>
    </w:tbl>
    <w:p w14:paraId="2F8AE64B">
      <w:pPr>
        <w:pStyle w:val="31"/>
      </w:pPr>
    </w:p>
    <w:p w14:paraId="3E7E1871">
      <w:pPr>
        <w:pStyle w:val="31"/>
      </w:pPr>
    </w:p>
    <w:p w14:paraId="65FD6EFB">
      <w:pPr>
        <w:pStyle w:val="31"/>
      </w:pPr>
    </w:p>
    <w:p w14:paraId="599AE3DB">
      <w:pPr>
        <w:spacing w:line="360" w:lineRule="auto"/>
        <w:rPr>
          <w:rFonts w:hint="default"/>
          <w:b/>
          <w:bCs/>
          <w:highlight w:val="lightGray"/>
          <w:u w:val="single"/>
          <w:lang w:val="en-US"/>
        </w:rPr>
      </w:pPr>
      <w:r>
        <w:rPr>
          <w:rFonts w:hint="eastAsia"/>
          <w:b/>
          <w:bCs/>
          <w:sz w:val="24"/>
          <w:lang w:val="en-US" w:eastAsia="zh-CN"/>
        </w:rPr>
        <w:t>投标人签字：</w:t>
      </w:r>
      <w:r>
        <w:rPr>
          <w:rFonts w:hint="eastAsia"/>
          <w:b/>
          <w:bCs/>
          <w:sz w:val="24"/>
          <w:u w:val="single"/>
          <w:lang w:val="en-US" w:eastAsia="zh-CN"/>
        </w:rPr>
        <w:t xml:space="preserve">                     </w:t>
      </w:r>
    </w:p>
    <w:p w14:paraId="73B46FE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AE07D80">
      <w:pPr>
        <w:spacing w:line="360" w:lineRule="auto"/>
        <w:outlineLvl w:val="9"/>
        <w:rPr>
          <w:rFonts w:hint="eastAsia"/>
          <w:b/>
          <w:sz w:val="24"/>
        </w:rPr>
      </w:pPr>
      <w:r>
        <w:rPr>
          <w:rFonts w:hint="eastAsia"/>
          <w:b/>
          <w:sz w:val="24"/>
        </w:rPr>
        <w:t>（此处加盖投标人单位公章）</w:t>
      </w:r>
    </w:p>
    <w:p w14:paraId="7D974DDB">
      <w:pPr>
        <w:spacing w:line="360" w:lineRule="auto"/>
        <w:rPr>
          <w:rFonts w:hint="eastAsia"/>
          <w:b/>
          <w:bCs/>
          <w:sz w:val="24"/>
        </w:rPr>
      </w:pPr>
      <w:r>
        <w:rPr>
          <w:rFonts w:hint="eastAsia"/>
          <w:b/>
          <w:bCs/>
          <w:sz w:val="24"/>
        </w:rPr>
        <w:t>日期：       年     月    日</w:t>
      </w:r>
    </w:p>
    <w:p w14:paraId="3E729C9D">
      <w:pPr>
        <w:pStyle w:val="5"/>
        <w:rPr>
          <w:rFonts w:hint="default"/>
          <w:lang w:val="en-US" w:eastAsia="zh-CN"/>
        </w:rPr>
      </w:pPr>
    </w:p>
    <w:p w14:paraId="29AA90E5">
      <w:pPr>
        <w:spacing w:line="400" w:lineRule="exact"/>
        <w:rPr>
          <w:rFonts w:ascii="宋体" w:hAnsi="宋体"/>
          <w:szCs w:val="21"/>
        </w:rPr>
      </w:pPr>
      <w:r>
        <w:rPr>
          <w:rFonts w:hint="eastAsia" w:ascii="宋体" w:hAnsi="宋体"/>
          <w:szCs w:val="21"/>
        </w:rPr>
        <w:t>备注：</w:t>
      </w:r>
    </w:p>
    <w:p w14:paraId="461A862F">
      <w:pPr>
        <w:numPr>
          <w:ilvl w:val="1"/>
          <w:numId w:val="11"/>
        </w:numPr>
        <w:tabs>
          <w:tab w:val="left" w:pos="360"/>
          <w:tab w:val="clear" w:pos="1620"/>
        </w:tabs>
        <w:snapToGrid w:val="0"/>
        <w:spacing w:line="360" w:lineRule="auto"/>
        <w:ind w:left="360" w:leftChars="0" w:hanging="360" w:firstLineChars="0"/>
        <w:outlineLvl w:val="9"/>
        <w:rPr>
          <w:rFonts w:ascii="宋体" w:hAnsi="宋体"/>
          <w:szCs w:val="21"/>
        </w:rPr>
      </w:pPr>
      <w:r>
        <w:rPr>
          <w:rFonts w:hint="eastAsia" w:ascii="宋体" w:hAnsi="宋体"/>
        </w:rPr>
        <w:t>投标报价的小数点后保留两位有效数</w:t>
      </w:r>
      <w:r>
        <w:rPr>
          <w:rFonts w:hint="eastAsia" w:ascii="宋体" w:hAnsi="宋体"/>
          <w:szCs w:val="21"/>
        </w:rPr>
        <w:t>。</w:t>
      </w:r>
    </w:p>
    <w:p w14:paraId="0226C8E6">
      <w:pPr>
        <w:numPr>
          <w:ilvl w:val="1"/>
          <w:numId w:val="11"/>
        </w:numPr>
        <w:tabs>
          <w:tab w:val="left" w:pos="360"/>
          <w:tab w:val="left" w:pos="840"/>
          <w:tab w:val="clear" w:pos="1620"/>
        </w:tabs>
        <w:snapToGrid w:val="0"/>
        <w:spacing w:line="360" w:lineRule="auto"/>
        <w:ind w:left="360"/>
      </w:pPr>
      <w:r>
        <w:rPr>
          <w:rFonts w:hint="eastAsia"/>
        </w:rPr>
        <w:t>除招标文件另有规定外，投标文件内不得含有任何对本报价进行价格折扣的说明或资料，否则为无效投标。</w:t>
      </w:r>
    </w:p>
    <w:p w14:paraId="63A99683">
      <w:pPr>
        <w:numPr>
          <w:ilvl w:val="1"/>
          <w:numId w:val="11"/>
        </w:numPr>
        <w:tabs>
          <w:tab w:val="left" w:pos="360"/>
          <w:tab w:val="left" w:pos="840"/>
          <w:tab w:val="clear" w:pos="1620"/>
        </w:tabs>
        <w:snapToGrid w:val="0"/>
        <w:spacing w:line="360" w:lineRule="auto"/>
        <w:ind w:left="360"/>
      </w:pPr>
      <w:r>
        <w:rPr>
          <w:rFonts w:hint="eastAsia"/>
        </w:rPr>
        <w:t>投标报价</w:t>
      </w:r>
      <w:r>
        <w:rPr>
          <w:rFonts w:hint="eastAsia"/>
          <w:lang w:val="en-US" w:eastAsia="zh-CN"/>
        </w:rPr>
        <w:t>不得超过挂网公告的预算价格，否则为无效投标</w:t>
      </w:r>
      <w:r>
        <w:rPr>
          <w:rFonts w:hint="eastAsia"/>
        </w:rPr>
        <w:t>。</w:t>
      </w:r>
    </w:p>
    <w:p w14:paraId="2B15EBBF">
      <w:pPr>
        <w:numPr>
          <w:ilvl w:val="1"/>
          <w:numId w:val="11"/>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投标人须按要求填写所有信息，不得随意更改本表格式。</w:t>
      </w:r>
    </w:p>
    <w:p w14:paraId="6497BC59">
      <w:pPr>
        <w:numPr>
          <w:ilvl w:val="1"/>
          <w:numId w:val="11"/>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此表是投标文件的必要文件，是投标文件的组成部分，封装在一个信封中，作为唱标之用。</w:t>
      </w:r>
    </w:p>
    <w:p w14:paraId="15DE9748">
      <w:pPr>
        <w:numPr>
          <w:ilvl w:val="1"/>
          <w:numId w:val="11"/>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w:t>
      </w:r>
      <w:r>
        <w:rPr>
          <w:rFonts w:hint="eastAsia" w:ascii="宋体" w:hAnsi="宋体" w:eastAsia="宋体" w:cs="宋体"/>
          <w:szCs w:val="21"/>
          <w:highlight w:val="none"/>
          <w:lang w:val="en-US" w:eastAsia="zh-CN"/>
        </w:rPr>
        <w:t>做</w:t>
      </w:r>
      <w:r>
        <w:rPr>
          <w:rFonts w:hint="eastAsia" w:ascii="宋体" w:hAnsi="宋体" w:eastAsia="宋体" w:cs="宋体"/>
          <w:szCs w:val="21"/>
          <w:highlight w:val="none"/>
        </w:rPr>
        <w:t>相应处理。</w:t>
      </w:r>
    </w:p>
    <w:p w14:paraId="015DCFDE">
      <w:pPr>
        <w:numPr>
          <w:ilvl w:val="1"/>
          <w:numId w:val="11"/>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详细填写所投货物的制造商名称；若所投产品属于定制类的非量产货物或无具体品牌型号的货物，可以不填写品牌、型号等信息，但应当标注投标产品为定制产品。招标文件已要求提供核心产品的，供应商必须明确所投核心产品的品牌。</w:t>
      </w:r>
    </w:p>
    <w:p w14:paraId="31AC87EF">
      <w:pPr>
        <w:numPr>
          <w:ilvl w:val="1"/>
          <w:numId w:val="11"/>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Theme="minorEastAsia" w:hAnsiTheme="minorEastAsia" w:eastAsiaTheme="minorEastAsia"/>
          <w:szCs w:val="21"/>
        </w:rPr>
        <w:t>若开标一览表中大写金额和小写金额不一致的，以大写金额为准。</w:t>
      </w:r>
    </w:p>
    <w:p w14:paraId="3DCB839C">
      <w:pPr>
        <w:pStyle w:val="5"/>
        <w:rPr>
          <w:rFonts w:hint="default" w:ascii="宋体" w:hAnsi="宋体" w:eastAsiaTheme="minorEastAsia" w:cstheme="minorBidi"/>
          <w:kern w:val="2"/>
          <w:sz w:val="21"/>
          <w:szCs w:val="24"/>
          <w:lang w:val="en-US" w:eastAsia="zh-CN" w:bidi="ar-SA"/>
        </w:rPr>
      </w:pPr>
    </w:p>
    <w:p w14:paraId="27349781">
      <w:pPr>
        <w:tabs>
          <w:tab w:val="left" w:pos="1200"/>
        </w:tabs>
        <w:snapToGrid w:val="0"/>
        <w:spacing w:line="360" w:lineRule="auto"/>
        <w:ind w:left="360"/>
        <w:rPr>
          <w:color w:val="FF0000"/>
        </w:rPr>
      </w:pPr>
    </w:p>
    <w:p w14:paraId="54F1A10B">
      <w:pPr>
        <w:spacing w:line="400" w:lineRule="exact"/>
        <w:rPr>
          <w:rFonts w:ascii="宋体" w:hAnsi="宋体"/>
          <w:b/>
          <w:bCs/>
          <w:szCs w:val="21"/>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57D675F">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lang w:eastAsia="zh-CN"/>
        </w:rPr>
      </w:pPr>
      <w:bookmarkStart w:id="31" w:name="_Toc435515306"/>
      <w:bookmarkStart w:id="32" w:name="_Toc435514866"/>
      <w:bookmarkStart w:id="33" w:name="_Toc22031"/>
      <w:bookmarkStart w:id="34" w:name="_Toc192662843"/>
      <w:bookmarkStart w:id="35" w:name="_Toc6350"/>
      <w:bookmarkStart w:id="36" w:name="_Toc275865611"/>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rPr>
        <w:t>投标报价</w:t>
      </w:r>
      <w:r>
        <w:rPr>
          <w:rFonts w:hint="eastAsia" w:asciiTheme="majorEastAsia" w:hAnsiTheme="majorEastAsia" w:eastAsiaTheme="majorEastAsia"/>
          <w:sz w:val="30"/>
          <w:szCs w:val="30"/>
          <w:lang w:val="en-US" w:eastAsia="zh-CN"/>
        </w:rPr>
        <w:t>明细</w:t>
      </w:r>
      <w:r>
        <w:rPr>
          <w:rFonts w:hint="eastAsia" w:asciiTheme="majorEastAsia" w:hAnsiTheme="majorEastAsia" w:eastAsiaTheme="majorEastAsia"/>
          <w:sz w:val="30"/>
          <w:szCs w:val="30"/>
        </w:rPr>
        <w:t>表</w:t>
      </w:r>
      <w:bookmarkEnd w:id="31"/>
      <w:bookmarkEnd w:id="32"/>
      <w:bookmarkEnd w:id="33"/>
      <w:bookmarkEnd w:id="34"/>
      <w:bookmarkEnd w:id="35"/>
      <w:bookmarkEnd w:id="36"/>
    </w:p>
    <w:tbl>
      <w:tblPr>
        <w:tblStyle w:val="16"/>
        <w:tblW w:w="88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050"/>
        <w:gridCol w:w="990"/>
        <w:gridCol w:w="990"/>
        <w:gridCol w:w="750"/>
        <w:gridCol w:w="870"/>
        <w:gridCol w:w="1020"/>
        <w:gridCol w:w="968"/>
        <w:gridCol w:w="725"/>
      </w:tblGrid>
      <w:tr w14:paraId="30F3E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534" w:type="dxa"/>
            <w:tcBorders>
              <w:top w:val="single" w:color="auto" w:sz="12" w:space="0"/>
              <w:bottom w:val="double" w:color="auto" w:sz="4" w:space="0"/>
            </w:tcBorders>
            <w:shd w:val="clear" w:color="auto" w:fill="EEECE1"/>
            <w:vAlign w:val="center"/>
          </w:tcPr>
          <w:p w14:paraId="5F5EBF4D">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序号</w:t>
            </w:r>
          </w:p>
        </w:tc>
        <w:tc>
          <w:tcPr>
            <w:tcW w:w="1050" w:type="dxa"/>
            <w:tcBorders>
              <w:top w:val="single" w:color="auto" w:sz="12" w:space="0"/>
              <w:bottom w:val="double" w:color="auto" w:sz="4" w:space="0"/>
            </w:tcBorders>
            <w:shd w:val="clear" w:color="auto" w:fill="EEECE1"/>
            <w:vAlign w:val="center"/>
          </w:tcPr>
          <w:p w14:paraId="5915C804">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产品</w:t>
            </w:r>
          </w:p>
          <w:p w14:paraId="384D549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名称</w:t>
            </w:r>
          </w:p>
        </w:tc>
        <w:tc>
          <w:tcPr>
            <w:tcW w:w="990" w:type="dxa"/>
            <w:tcBorders>
              <w:top w:val="single" w:color="auto" w:sz="12" w:space="0"/>
              <w:bottom w:val="double" w:color="auto" w:sz="4" w:space="0"/>
            </w:tcBorders>
            <w:shd w:val="clear" w:color="auto" w:fill="EEECE1"/>
            <w:vAlign w:val="center"/>
          </w:tcPr>
          <w:p w14:paraId="4F87A1A6">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规格</w:t>
            </w:r>
            <w:r>
              <w:rPr>
                <w:rFonts w:hint="eastAsia" w:ascii="宋体" w:hAnsi="宋体"/>
                <w:lang w:val="en-US" w:eastAsia="zh-CN"/>
              </w:rPr>
              <w:t xml:space="preserve">  </w:t>
            </w:r>
            <w:r>
              <w:rPr>
                <w:rFonts w:hint="default" w:ascii="宋体" w:hAnsi="宋体"/>
              </w:rPr>
              <w:t>型号</w:t>
            </w:r>
          </w:p>
        </w:tc>
        <w:tc>
          <w:tcPr>
            <w:tcW w:w="990" w:type="dxa"/>
            <w:tcBorders>
              <w:top w:val="single" w:color="auto" w:sz="12" w:space="0"/>
              <w:bottom w:val="double" w:color="auto" w:sz="4" w:space="0"/>
            </w:tcBorders>
            <w:shd w:val="clear" w:color="auto" w:fill="EEECE1"/>
            <w:vAlign w:val="center"/>
          </w:tcPr>
          <w:p w14:paraId="69A5DBCF">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品牌</w:t>
            </w:r>
          </w:p>
        </w:tc>
        <w:tc>
          <w:tcPr>
            <w:tcW w:w="750" w:type="dxa"/>
            <w:tcBorders>
              <w:top w:val="single" w:color="auto" w:sz="12" w:space="0"/>
              <w:bottom w:val="double" w:color="auto" w:sz="4" w:space="0"/>
            </w:tcBorders>
            <w:shd w:val="clear" w:color="auto" w:fill="EEECE1"/>
            <w:vAlign w:val="center"/>
          </w:tcPr>
          <w:p w14:paraId="22B38E5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单位</w:t>
            </w:r>
          </w:p>
        </w:tc>
        <w:tc>
          <w:tcPr>
            <w:tcW w:w="870" w:type="dxa"/>
            <w:tcBorders>
              <w:top w:val="single" w:color="auto" w:sz="12" w:space="0"/>
              <w:bottom w:val="double" w:color="auto" w:sz="4" w:space="0"/>
            </w:tcBorders>
            <w:shd w:val="clear" w:color="auto" w:fill="EEECE1"/>
            <w:vAlign w:val="center"/>
          </w:tcPr>
          <w:p w14:paraId="3C4AF9D9">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数量</w:t>
            </w:r>
          </w:p>
        </w:tc>
        <w:tc>
          <w:tcPr>
            <w:tcW w:w="1020" w:type="dxa"/>
            <w:tcBorders>
              <w:top w:val="single" w:color="auto" w:sz="12" w:space="0"/>
              <w:bottom w:val="double" w:color="auto" w:sz="4" w:space="0"/>
            </w:tcBorders>
            <w:shd w:val="clear" w:color="auto" w:fill="EEECE1"/>
            <w:vAlign w:val="center"/>
          </w:tcPr>
          <w:p w14:paraId="1D2B96D2">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单价</w:t>
            </w:r>
            <w:r>
              <w:rPr>
                <w:rFonts w:hint="eastAsia" w:ascii="宋体" w:hAnsi="宋体"/>
                <w:lang w:val="en-US" w:eastAsia="zh-CN"/>
              </w:rPr>
              <w:t xml:space="preserve">   </w:t>
            </w:r>
            <w:r>
              <w:rPr>
                <w:rFonts w:hint="default" w:ascii="宋体" w:hAnsi="宋体"/>
              </w:rPr>
              <w:t>（元）</w:t>
            </w:r>
          </w:p>
        </w:tc>
        <w:tc>
          <w:tcPr>
            <w:tcW w:w="968" w:type="dxa"/>
            <w:tcBorders>
              <w:top w:val="single" w:color="auto" w:sz="12" w:space="0"/>
              <w:bottom w:val="double" w:color="auto" w:sz="4" w:space="0"/>
            </w:tcBorders>
            <w:shd w:val="clear" w:color="auto" w:fill="EEECE1"/>
            <w:vAlign w:val="center"/>
          </w:tcPr>
          <w:p w14:paraId="122C5C98">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合计</w:t>
            </w:r>
            <w:r>
              <w:rPr>
                <w:rFonts w:hint="eastAsia" w:ascii="宋体" w:hAnsi="宋体"/>
                <w:lang w:val="en-US" w:eastAsia="zh-CN"/>
              </w:rPr>
              <w:t xml:space="preserve">   </w:t>
            </w:r>
            <w:r>
              <w:rPr>
                <w:rFonts w:hint="eastAsia" w:ascii="宋体" w:hAnsi="宋体"/>
              </w:rPr>
              <w:t>（元）</w:t>
            </w:r>
          </w:p>
        </w:tc>
        <w:tc>
          <w:tcPr>
            <w:tcW w:w="725" w:type="dxa"/>
            <w:tcBorders>
              <w:top w:val="single" w:color="auto" w:sz="12" w:space="0"/>
              <w:bottom w:val="double" w:color="auto" w:sz="4" w:space="0"/>
            </w:tcBorders>
            <w:shd w:val="clear" w:color="auto" w:fill="EEECE1"/>
            <w:vAlign w:val="center"/>
          </w:tcPr>
          <w:p w14:paraId="26BB7D70">
            <w:pPr>
              <w:keepNext w:val="0"/>
              <w:keepLines w:val="0"/>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备注</w:t>
            </w:r>
          </w:p>
        </w:tc>
      </w:tr>
      <w:tr w14:paraId="3D7BC0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6ADCBEC4">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1</w:t>
            </w:r>
          </w:p>
        </w:tc>
        <w:tc>
          <w:tcPr>
            <w:tcW w:w="1050" w:type="dxa"/>
            <w:vAlign w:val="center"/>
          </w:tcPr>
          <w:p w14:paraId="587D43AF">
            <w:pPr>
              <w:keepNext w:val="0"/>
              <w:keepLines w:val="0"/>
              <w:suppressLineNumbers w:val="0"/>
              <w:spacing w:before="0" w:beforeAutospacing="0" w:after="0" w:afterAutospacing="0"/>
              <w:ind w:left="0" w:right="0"/>
              <w:jc w:val="center"/>
              <w:rPr>
                <w:rFonts w:hint="default"/>
              </w:rPr>
            </w:pPr>
          </w:p>
        </w:tc>
        <w:tc>
          <w:tcPr>
            <w:tcW w:w="990" w:type="dxa"/>
            <w:vAlign w:val="center"/>
          </w:tcPr>
          <w:p w14:paraId="1FBD9E86">
            <w:pPr>
              <w:keepNext w:val="0"/>
              <w:keepLines w:val="0"/>
              <w:suppressLineNumbers w:val="0"/>
              <w:spacing w:before="0" w:beforeAutospacing="0" w:after="0" w:afterAutospacing="0"/>
              <w:ind w:left="0" w:right="0"/>
              <w:jc w:val="center"/>
              <w:rPr>
                <w:rFonts w:hint="default"/>
              </w:rPr>
            </w:pPr>
          </w:p>
        </w:tc>
        <w:tc>
          <w:tcPr>
            <w:tcW w:w="990" w:type="dxa"/>
            <w:vAlign w:val="center"/>
          </w:tcPr>
          <w:p w14:paraId="4F5FDCC7">
            <w:pPr>
              <w:keepNext w:val="0"/>
              <w:keepLines w:val="0"/>
              <w:suppressLineNumbers w:val="0"/>
              <w:spacing w:before="0" w:beforeAutospacing="0" w:after="0" w:afterAutospacing="0"/>
              <w:ind w:left="0" w:right="0"/>
              <w:jc w:val="center"/>
              <w:rPr>
                <w:rFonts w:hint="default"/>
              </w:rPr>
            </w:pPr>
          </w:p>
        </w:tc>
        <w:tc>
          <w:tcPr>
            <w:tcW w:w="750" w:type="dxa"/>
            <w:vAlign w:val="center"/>
          </w:tcPr>
          <w:p w14:paraId="5DEBA6A7">
            <w:pPr>
              <w:keepNext w:val="0"/>
              <w:keepLines w:val="0"/>
              <w:suppressLineNumbers w:val="0"/>
              <w:spacing w:before="0" w:beforeAutospacing="0" w:after="0" w:afterAutospacing="0"/>
              <w:ind w:left="0" w:right="0"/>
              <w:jc w:val="center"/>
              <w:rPr>
                <w:rFonts w:hint="default"/>
              </w:rPr>
            </w:pPr>
          </w:p>
        </w:tc>
        <w:tc>
          <w:tcPr>
            <w:tcW w:w="870" w:type="dxa"/>
            <w:vAlign w:val="center"/>
          </w:tcPr>
          <w:p w14:paraId="150DCEB5">
            <w:pPr>
              <w:keepNext w:val="0"/>
              <w:keepLines w:val="0"/>
              <w:suppressLineNumbers w:val="0"/>
              <w:spacing w:before="0" w:beforeAutospacing="0" w:after="0" w:afterAutospacing="0"/>
              <w:ind w:left="0" w:right="0"/>
              <w:jc w:val="center"/>
              <w:rPr>
                <w:rFonts w:hint="default"/>
              </w:rPr>
            </w:pPr>
          </w:p>
        </w:tc>
        <w:tc>
          <w:tcPr>
            <w:tcW w:w="1020" w:type="dxa"/>
            <w:vAlign w:val="center"/>
          </w:tcPr>
          <w:p w14:paraId="0B6ACCDB">
            <w:pPr>
              <w:keepNext w:val="0"/>
              <w:keepLines w:val="0"/>
              <w:suppressLineNumbers w:val="0"/>
              <w:spacing w:before="0" w:beforeAutospacing="0" w:after="0" w:afterAutospacing="0"/>
              <w:ind w:left="0" w:right="0"/>
              <w:jc w:val="center"/>
              <w:rPr>
                <w:rFonts w:hint="default"/>
              </w:rPr>
            </w:pPr>
          </w:p>
        </w:tc>
        <w:tc>
          <w:tcPr>
            <w:tcW w:w="968" w:type="dxa"/>
            <w:vAlign w:val="center"/>
          </w:tcPr>
          <w:p w14:paraId="7BBE7B51">
            <w:pPr>
              <w:keepNext w:val="0"/>
              <w:keepLines w:val="0"/>
              <w:suppressLineNumbers w:val="0"/>
              <w:spacing w:before="0" w:beforeAutospacing="0" w:after="0" w:afterAutospacing="0"/>
              <w:ind w:left="0" w:right="0"/>
              <w:jc w:val="center"/>
              <w:rPr>
                <w:rFonts w:hint="default"/>
              </w:rPr>
            </w:pPr>
          </w:p>
        </w:tc>
        <w:tc>
          <w:tcPr>
            <w:tcW w:w="725" w:type="dxa"/>
            <w:vAlign w:val="center"/>
          </w:tcPr>
          <w:p w14:paraId="3A11F0BB">
            <w:pPr>
              <w:keepNext w:val="0"/>
              <w:keepLines w:val="0"/>
              <w:suppressLineNumbers w:val="0"/>
              <w:spacing w:before="0" w:beforeAutospacing="0" w:after="0" w:afterAutospacing="0"/>
              <w:ind w:left="0" w:right="0"/>
              <w:jc w:val="center"/>
              <w:rPr>
                <w:rFonts w:hint="default"/>
              </w:rPr>
            </w:pPr>
          </w:p>
        </w:tc>
      </w:tr>
      <w:tr w14:paraId="5F9A3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D8B611E">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2</w:t>
            </w:r>
          </w:p>
        </w:tc>
        <w:tc>
          <w:tcPr>
            <w:tcW w:w="1050" w:type="dxa"/>
            <w:vAlign w:val="center"/>
          </w:tcPr>
          <w:p w14:paraId="70669F5F">
            <w:pPr>
              <w:keepNext w:val="0"/>
              <w:keepLines w:val="0"/>
              <w:suppressLineNumbers w:val="0"/>
              <w:spacing w:before="0" w:beforeAutospacing="0" w:after="0" w:afterAutospacing="0"/>
              <w:ind w:left="0" w:right="0"/>
              <w:jc w:val="center"/>
              <w:rPr>
                <w:rFonts w:hint="default"/>
              </w:rPr>
            </w:pPr>
          </w:p>
        </w:tc>
        <w:tc>
          <w:tcPr>
            <w:tcW w:w="990" w:type="dxa"/>
            <w:vAlign w:val="center"/>
          </w:tcPr>
          <w:p w14:paraId="41ED0F8E">
            <w:pPr>
              <w:keepNext w:val="0"/>
              <w:keepLines w:val="0"/>
              <w:suppressLineNumbers w:val="0"/>
              <w:spacing w:before="0" w:beforeAutospacing="0" w:after="0" w:afterAutospacing="0"/>
              <w:ind w:left="0" w:right="0"/>
              <w:jc w:val="center"/>
              <w:rPr>
                <w:rFonts w:hint="default"/>
              </w:rPr>
            </w:pPr>
          </w:p>
        </w:tc>
        <w:tc>
          <w:tcPr>
            <w:tcW w:w="990" w:type="dxa"/>
            <w:vAlign w:val="center"/>
          </w:tcPr>
          <w:p w14:paraId="222424AE">
            <w:pPr>
              <w:keepNext w:val="0"/>
              <w:keepLines w:val="0"/>
              <w:suppressLineNumbers w:val="0"/>
              <w:spacing w:before="0" w:beforeAutospacing="0" w:after="0" w:afterAutospacing="0"/>
              <w:ind w:left="0" w:right="0"/>
              <w:jc w:val="center"/>
              <w:rPr>
                <w:rFonts w:hint="default"/>
              </w:rPr>
            </w:pPr>
          </w:p>
        </w:tc>
        <w:tc>
          <w:tcPr>
            <w:tcW w:w="750" w:type="dxa"/>
            <w:vAlign w:val="center"/>
          </w:tcPr>
          <w:p w14:paraId="72412A1D">
            <w:pPr>
              <w:keepNext w:val="0"/>
              <w:keepLines w:val="0"/>
              <w:suppressLineNumbers w:val="0"/>
              <w:spacing w:before="0" w:beforeAutospacing="0" w:after="0" w:afterAutospacing="0"/>
              <w:ind w:left="0" w:right="0"/>
              <w:jc w:val="center"/>
              <w:rPr>
                <w:rFonts w:hint="default"/>
              </w:rPr>
            </w:pPr>
          </w:p>
        </w:tc>
        <w:tc>
          <w:tcPr>
            <w:tcW w:w="870" w:type="dxa"/>
            <w:vAlign w:val="center"/>
          </w:tcPr>
          <w:p w14:paraId="257186F2">
            <w:pPr>
              <w:keepNext w:val="0"/>
              <w:keepLines w:val="0"/>
              <w:suppressLineNumbers w:val="0"/>
              <w:spacing w:before="0" w:beforeAutospacing="0" w:after="0" w:afterAutospacing="0"/>
              <w:ind w:left="0" w:right="0"/>
              <w:jc w:val="center"/>
              <w:rPr>
                <w:rFonts w:hint="default"/>
              </w:rPr>
            </w:pPr>
          </w:p>
        </w:tc>
        <w:tc>
          <w:tcPr>
            <w:tcW w:w="1020" w:type="dxa"/>
            <w:vAlign w:val="center"/>
          </w:tcPr>
          <w:p w14:paraId="42E249AF">
            <w:pPr>
              <w:keepNext w:val="0"/>
              <w:keepLines w:val="0"/>
              <w:suppressLineNumbers w:val="0"/>
              <w:spacing w:before="0" w:beforeAutospacing="0" w:after="0" w:afterAutospacing="0"/>
              <w:ind w:left="0" w:right="0"/>
              <w:jc w:val="center"/>
              <w:rPr>
                <w:rFonts w:hint="default"/>
              </w:rPr>
            </w:pPr>
          </w:p>
        </w:tc>
        <w:tc>
          <w:tcPr>
            <w:tcW w:w="968" w:type="dxa"/>
            <w:vAlign w:val="center"/>
          </w:tcPr>
          <w:p w14:paraId="5C60D203">
            <w:pPr>
              <w:keepNext w:val="0"/>
              <w:keepLines w:val="0"/>
              <w:suppressLineNumbers w:val="0"/>
              <w:spacing w:before="0" w:beforeAutospacing="0" w:after="0" w:afterAutospacing="0"/>
              <w:ind w:left="0" w:right="0"/>
              <w:jc w:val="center"/>
              <w:rPr>
                <w:rFonts w:hint="default"/>
              </w:rPr>
            </w:pPr>
          </w:p>
        </w:tc>
        <w:tc>
          <w:tcPr>
            <w:tcW w:w="725" w:type="dxa"/>
            <w:vAlign w:val="center"/>
          </w:tcPr>
          <w:p w14:paraId="5A6C1D5A">
            <w:pPr>
              <w:keepNext w:val="0"/>
              <w:keepLines w:val="0"/>
              <w:suppressLineNumbers w:val="0"/>
              <w:spacing w:before="0" w:beforeAutospacing="0" w:after="0" w:afterAutospacing="0"/>
              <w:ind w:left="0" w:right="0"/>
              <w:jc w:val="center"/>
              <w:rPr>
                <w:rFonts w:hint="default"/>
              </w:rPr>
            </w:pPr>
          </w:p>
        </w:tc>
      </w:tr>
      <w:tr w14:paraId="192755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6FB0D31">
            <w:pPr>
              <w:keepNext w:val="0"/>
              <w:keepLines w:val="0"/>
              <w:suppressLineNumbers w:val="0"/>
              <w:spacing w:before="0" w:beforeAutospacing="0" w:after="0" w:afterAutospacing="0"/>
              <w:ind w:left="0" w:right="0"/>
              <w:jc w:val="center"/>
              <w:rPr>
                <w:rFonts w:hint="eastAsia" w:eastAsiaTheme="minorEastAsia"/>
                <w:lang w:eastAsia="zh-CN"/>
              </w:rPr>
            </w:pPr>
            <w:r>
              <w:rPr>
                <w:rFonts w:hint="eastAsia"/>
                <w:lang w:val="en-US" w:eastAsia="zh-CN"/>
              </w:rPr>
              <w:t>3</w:t>
            </w:r>
          </w:p>
        </w:tc>
        <w:tc>
          <w:tcPr>
            <w:tcW w:w="1050" w:type="dxa"/>
            <w:vAlign w:val="center"/>
          </w:tcPr>
          <w:p w14:paraId="745F5712">
            <w:pPr>
              <w:keepNext w:val="0"/>
              <w:keepLines w:val="0"/>
              <w:suppressLineNumbers w:val="0"/>
              <w:spacing w:before="0" w:beforeAutospacing="0" w:after="0" w:afterAutospacing="0"/>
              <w:ind w:left="0" w:right="0"/>
              <w:jc w:val="center"/>
              <w:rPr>
                <w:rFonts w:hint="default"/>
              </w:rPr>
            </w:pPr>
          </w:p>
        </w:tc>
        <w:tc>
          <w:tcPr>
            <w:tcW w:w="990" w:type="dxa"/>
            <w:vAlign w:val="center"/>
          </w:tcPr>
          <w:p w14:paraId="77BF9D43">
            <w:pPr>
              <w:keepNext w:val="0"/>
              <w:keepLines w:val="0"/>
              <w:suppressLineNumbers w:val="0"/>
              <w:spacing w:before="0" w:beforeAutospacing="0" w:after="0" w:afterAutospacing="0"/>
              <w:ind w:left="0" w:right="0"/>
              <w:jc w:val="center"/>
              <w:rPr>
                <w:rFonts w:hint="default"/>
              </w:rPr>
            </w:pPr>
          </w:p>
        </w:tc>
        <w:tc>
          <w:tcPr>
            <w:tcW w:w="990" w:type="dxa"/>
            <w:vAlign w:val="center"/>
          </w:tcPr>
          <w:p w14:paraId="0A5DC4D5">
            <w:pPr>
              <w:keepNext w:val="0"/>
              <w:keepLines w:val="0"/>
              <w:suppressLineNumbers w:val="0"/>
              <w:spacing w:before="0" w:beforeAutospacing="0" w:after="0" w:afterAutospacing="0"/>
              <w:ind w:left="0" w:right="0"/>
              <w:jc w:val="center"/>
              <w:rPr>
                <w:rFonts w:hint="default"/>
              </w:rPr>
            </w:pPr>
          </w:p>
        </w:tc>
        <w:tc>
          <w:tcPr>
            <w:tcW w:w="750" w:type="dxa"/>
            <w:vAlign w:val="center"/>
          </w:tcPr>
          <w:p w14:paraId="10A066A4">
            <w:pPr>
              <w:keepNext w:val="0"/>
              <w:keepLines w:val="0"/>
              <w:suppressLineNumbers w:val="0"/>
              <w:spacing w:before="0" w:beforeAutospacing="0" w:after="0" w:afterAutospacing="0"/>
              <w:ind w:left="0" w:right="0"/>
              <w:jc w:val="center"/>
              <w:rPr>
                <w:rFonts w:hint="default"/>
              </w:rPr>
            </w:pPr>
          </w:p>
        </w:tc>
        <w:tc>
          <w:tcPr>
            <w:tcW w:w="870" w:type="dxa"/>
            <w:vAlign w:val="center"/>
          </w:tcPr>
          <w:p w14:paraId="7B558961">
            <w:pPr>
              <w:keepNext w:val="0"/>
              <w:keepLines w:val="0"/>
              <w:suppressLineNumbers w:val="0"/>
              <w:spacing w:before="0" w:beforeAutospacing="0" w:after="0" w:afterAutospacing="0"/>
              <w:ind w:left="0" w:right="0"/>
              <w:jc w:val="center"/>
              <w:rPr>
                <w:rFonts w:hint="default"/>
              </w:rPr>
            </w:pPr>
          </w:p>
        </w:tc>
        <w:tc>
          <w:tcPr>
            <w:tcW w:w="1020" w:type="dxa"/>
            <w:vAlign w:val="center"/>
          </w:tcPr>
          <w:p w14:paraId="7E193032">
            <w:pPr>
              <w:keepNext w:val="0"/>
              <w:keepLines w:val="0"/>
              <w:suppressLineNumbers w:val="0"/>
              <w:spacing w:before="0" w:beforeAutospacing="0" w:after="0" w:afterAutospacing="0"/>
              <w:ind w:left="0" w:right="0"/>
              <w:jc w:val="center"/>
              <w:rPr>
                <w:rFonts w:hint="default"/>
              </w:rPr>
            </w:pPr>
          </w:p>
        </w:tc>
        <w:tc>
          <w:tcPr>
            <w:tcW w:w="968" w:type="dxa"/>
            <w:vAlign w:val="center"/>
          </w:tcPr>
          <w:p w14:paraId="50C0846A">
            <w:pPr>
              <w:keepNext w:val="0"/>
              <w:keepLines w:val="0"/>
              <w:suppressLineNumbers w:val="0"/>
              <w:spacing w:before="0" w:beforeAutospacing="0" w:after="0" w:afterAutospacing="0"/>
              <w:ind w:left="0" w:right="0"/>
              <w:jc w:val="center"/>
              <w:rPr>
                <w:rFonts w:hint="default"/>
              </w:rPr>
            </w:pPr>
          </w:p>
        </w:tc>
        <w:tc>
          <w:tcPr>
            <w:tcW w:w="725" w:type="dxa"/>
            <w:vAlign w:val="center"/>
          </w:tcPr>
          <w:p w14:paraId="1AB98162">
            <w:pPr>
              <w:keepNext w:val="0"/>
              <w:keepLines w:val="0"/>
              <w:suppressLineNumbers w:val="0"/>
              <w:spacing w:before="0" w:beforeAutospacing="0" w:after="0" w:afterAutospacing="0"/>
              <w:ind w:left="0" w:right="0"/>
              <w:jc w:val="center"/>
              <w:rPr>
                <w:rFonts w:hint="default"/>
              </w:rPr>
            </w:pPr>
          </w:p>
        </w:tc>
      </w:tr>
      <w:tr w14:paraId="47AF0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37BEBF6">
            <w:pPr>
              <w:keepNext w:val="0"/>
              <w:keepLines w:val="0"/>
              <w:suppressLineNumbers w:val="0"/>
              <w:spacing w:before="0" w:beforeAutospacing="0" w:after="0" w:afterAutospacing="0"/>
              <w:ind w:left="0" w:right="0"/>
              <w:jc w:val="center"/>
              <w:rPr>
                <w:rFonts w:hint="eastAsia" w:eastAsiaTheme="minorEastAsia"/>
                <w:lang w:val="en-US" w:eastAsia="zh-CN"/>
              </w:rPr>
            </w:pPr>
            <w:r>
              <w:rPr>
                <w:rFonts w:hint="eastAsia"/>
                <w:lang w:val="en-US" w:eastAsia="zh-CN"/>
              </w:rPr>
              <w:t>4</w:t>
            </w:r>
          </w:p>
        </w:tc>
        <w:tc>
          <w:tcPr>
            <w:tcW w:w="1050" w:type="dxa"/>
            <w:vAlign w:val="center"/>
          </w:tcPr>
          <w:p w14:paraId="7C2988EE">
            <w:pPr>
              <w:keepNext w:val="0"/>
              <w:keepLines w:val="0"/>
              <w:suppressLineNumbers w:val="0"/>
              <w:spacing w:before="0" w:beforeAutospacing="0" w:after="0" w:afterAutospacing="0"/>
              <w:ind w:left="0" w:right="0"/>
              <w:jc w:val="center"/>
              <w:rPr>
                <w:rFonts w:hint="default"/>
              </w:rPr>
            </w:pPr>
          </w:p>
        </w:tc>
        <w:tc>
          <w:tcPr>
            <w:tcW w:w="990" w:type="dxa"/>
            <w:vAlign w:val="center"/>
          </w:tcPr>
          <w:p w14:paraId="29A2E49B">
            <w:pPr>
              <w:keepNext w:val="0"/>
              <w:keepLines w:val="0"/>
              <w:suppressLineNumbers w:val="0"/>
              <w:spacing w:before="0" w:beforeAutospacing="0" w:after="0" w:afterAutospacing="0"/>
              <w:ind w:left="0" w:right="0"/>
              <w:jc w:val="center"/>
              <w:rPr>
                <w:rFonts w:hint="default"/>
              </w:rPr>
            </w:pPr>
          </w:p>
        </w:tc>
        <w:tc>
          <w:tcPr>
            <w:tcW w:w="990" w:type="dxa"/>
            <w:vAlign w:val="center"/>
          </w:tcPr>
          <w:p w14:paraId="63DDBB0D">
            <w:pPr>
              <w:keepNext w:val="0"/>
              <w:keepLines w:val="0"/>
              <w:suppressLineNumbers w:val="0"/>
              <w:spacing w:before="0" w:beforeAutospacing="0" w:after="0" w:afterAutospacing="0"/>
              <w:ind w:left="0" w:right="0"/>
              <w:jc w:val="center"/>
              <w:rPr>
                <w:rFonts w:hint="default"/>
              </w:rPr>
            </w:pPr>
          </w:p>
        </w:tc>
        <w:tc>
          <w:tcPr>
            <w:tcW w:w="750" w:type="dxa"/>
            <w:vAlign w:val="center"/>
          </w:tcPr>
          <w:p w14:paraId="097E2DB7">
            <w:pPr>
              <w:keepNext w:val="0"/>
              <w:keepLines w:val="0"/>
              <w:suppressLineNumbers w:val="0"/>
              <w:spacing w:before="0" w:beforeAutospacing="0" w:after="0" w:afterAutospacing="0"/>
              <w:ind w:left="0" w:right="0"/>
              <w:jc w:val="center"/>
              <w:rPr>
                <w:rFonts w:hint="default"/>
              </w:rPr>
            </w:pPr>
          </w:p>
        </w:tc>
        <w:tc>
          <w:tcPr>
            <w:tcW w:w="870" w:type="dxa"/>
            <w:vAlign w:val="center"/>
          </w:tcPr>
          <w:p w14:paraId="06F59F69">
            <w:pPr>
              <w:keepNext w:val="0"/>
              <w:keepLines w:val="0"/>
              <w:suppressLineNumbers w:val="0"/>
              <w:spacing w:before="0" w:beforeAutospacing="0" w:after="0" w:afterAutospacing="0"/>
              <w:ind w:left="0" w:right="0"/>
              <w:jc w:val="center"/>
              <w:rPr>
                <w:rFonts w:hint="default"/>
              </w:rPr>
            </w:pPr>
          </w:p>
        </w:tc>
        <w:tc>
          <w:tcPr>
            <w:tcW w:w="1020" w:type="dxa"/>
            <w:vAlign w:val="center"/>
          </w:tcPr>
          <w:p w14:paraId="7033E8FE">
            <w:pPr>
              <w:keepNext w:val="0"/>
              <w:keepLines w:val="0"/>
              <w:suppressLineNumbers w:val="0"/>
              <w:spacing w:before="0" w:beforeAutospacing="0" w:after="0" w:afterAutospacing="0"/>
              <w:ind w:left="0" w:right="0"/>
              <w:jc w:val="center"/>
              <w:rPr>
                <w:rFonts w:hint="default"/>
              </w:rPr>
            </w:pPr>
          </w:p>
        </w:tc>
        <w:tc>
          <w:tcPr>
            <w:tcW w:w="968" w:type="dxa"/>
            <w:vAlign w:val="center"/>
          </w:tcPr>
          <w:p w14:paraId="190F58CD">
            <w:pPr>
              <w:keepNext w:val="0"/>
              <w:keepLines w:val="0"/>
              <w:suppressLineNumbers w:val="0"/>
              <w:spacing w:before="0" w:beforeAutospacing="0" w:after="0" w:afterAutospacing="0"/>
              <w:ind w:left="0" w:right="0"/>
              <w:jc w:val="center"/>
              <w:rPr>
                <w:rFonts w:hint="default"/>
              </w:rPr>
            </w:pPr>
          </w:p>
        </w:tc>
        <w:tc>
          <w:tcPr>
            <w:tcW w:w="725" w:type="dxa"/>
            <w:vAlign w:val="center"/>
          </w:tcPr>
          <w:p w14:paraId="0069FDC3">
            <w:pPr>
              <w:keepNext w:val="0"/>
              <w:keepLines w:val="0"/>
              <w:suppressLineNumbers w:val="0"/>
              <w:spacing w:before="0" w:beforeAutospacing="0" w:after="0" w:afterAutospacing="0"/>
              <w:ind w:left="0" w:right="0"/>
              <w:jc w:val="center"/>
              <w:rPr>
                <w:rFonts w:hint="default"/>
              </w:rPr>
            </w:pPr>
          </w:p>
        </w:tc>
      </w:tr>
      <w:tr w14:paraId="304F6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3D46894B">
            <w:pPr>
              <w:keepNext w:val="0"/>
              <w:keepLines w:val="0"/>
              <w:suppressLineNumbers w:val="0"/>
              <w:spacing w:before="0" w:beforeAutospacing="0" w:after="0" w:afterAutospacing="0"/>
              <w:ind w:left="0" w:right="0"/>
              <w:jc w:val="center"/>
              <w:rPr>
                <w:rFonts w:hint="eastAsia"/>
              </w:rPr>
            </w:pPr>
            <w:r>
              <w:rPr>
                <w:rFonts w:hint="eastAsia"/>
              </w:rPr>
              <w:t>……</w:t>
            </w:r>
          </w:p>
        </w:tc>
        <w:tc>
          <w:tcPr>
            <w:tcW w:w="1050" w:type="dxa"/>
            <w:vAlign w:val="center"/>
          </w:tcPr>
          <w:p w14:paraId="6D7736AA">
            <w:pPr>
              <w:keepNext w:val="0"/>
              <w:keepLines w:val="0"/>
              <w:suppressLineNumbers w:val="0"/>
              <w:spacing w:before="0" w:beforeAutospacing="0" w:after="0" w:afterAutospacing="0"/>
              <w:ind w:left="0" w:right="0"/>
              <w:jc w:val="center"/>
              <w:rPr>
                <w:rFonts w:hint="default"/>
              </w:rPr>
            </w:pPr>
          </w:p>
        </w:tc>
        <w:tc>
          <w:tcPr>
            <w:tcW w:w="990" w:type="dxa"/>
            <w:vAlign w:val="center"/>
          </w:tcPr>
          <w:p w14:paraId="1CE8CDF5">
            <w:pPr>
              <w:keepNext w:val="0"/>
              <w:keepLines w:val="0"/>
              <w:suppressLineNumbers w:val="0"/>
              <w:spacing w:before="0" w:beforeAutospacing="0" w:after="0" w:afterAutospacing="0"/>
              <w:ind w:left="0" w:right="0"/>
              <w:jc w:val="center"/>
              <w:rPr>
                <w:rFonts w:hint="default"/>
              </w:rPr>
            </w:pPr>
          </w:p>
        </w:tc>
        <w:tc>
          <w:tcPr>
            <w:tcW w:w="990" w:type="dxa"/>
            <w:vAlign w:val="center"/>
          </w:tcPr>
          <w:p w14:paraId="0A436446">
            <w:pPr>
              <w:keepNext w:val="0"/>
              <w:keepLines w:val="0"/>
              <w:suppressLineNumbers w:val="0"/>
              <w:spacing w:before="0" w:beforeAutospacing="0" w:after="0" w:afterAutospacing="0"/>
              <w:ind w:left="0" w:right="0"/>
              <w:jc w:val="center"/>
              <w:rPr>
                <w:rFonts w:hint="default"/>
              </w:rPr>
            </w:pPr>
          </w:p>
        </w:tc>
        <w:tc>
          <w:tcPr>
            <w:tcW w:w="750" w:type="dxa"/>
            <w:vAlign w:val="center"/>
          </w:tcPr>
          <w:p w14:paraId="793DB9AB">
            <w:pPr>
              <w:keepNext w:val="0"/>
              <w:keepLines w:val="0"/>
              <w:suppressLineNumbers w:val="0"/>
              <w:spacing w:before="0" w:beforeAutospacing="0" w:after="0" w:afterAutospacing="0"/>
              <w:ind w:left="0" w:right="0"/>
              <w:jc w:val="center"/>
              <w:rPr>
                <w:rFonts w:hint="default"/>
              </w:rPr>
            </w:pPr>
          </w:p>
        </w:tc>
        <w:tc>
          <w:tcPr>
            <w:tcW w:w="870" w:type="dxa"/>
            <w:vAlign w:val="center"/>
          </w:tcPr>
          <w:p w14:paraId="572BDF3D">
            <w:pPr>
              <w:keepNext w:val="0"/>
              <w:keepLines w:val="0"/>
              <w:suppressLineNumbers w:val="0"/>
              <w:spacing w:before="0" w:beforeAutospacing="0" w:after="0" w:afterAutospacing="0"/>
              <w:ind w:left="0" w:right="0"/>
              <w:jc w:val="center"/>
              <w:rPr>
                <w:rFonts w:hint="default"/>
              </w:rPr>
            </w:pPr>
          </w:p>
        </w:tc>
        <w:tc>
          <w:tcPr>
            <w:tcW w:w="1020" w:type="dxa"/>
            <w:vAlign w:val="center"/>
          </w:tcPr>
          <w:p w14:paraId="0D5FDA0D">
            <w:pPr>
              <w:keepNext w:val="0"/>
              <w:keepLines w:val="0"/>
              <w:suppressLineNumbers w:val="0"/>
              <w:spacing w:before="0" w:beforeAutospacing="0" w:after="0" w:afterAutospacing="0"/>
              <w:ind w:left="0" w:right="0"/>
              <w:jc w:val="center"/>
              <w:rPr>
                <w:rFonts w:hint="default"/>
              </w:rPr>
            </w:pPr>
          </w:p>
        </w:tc>
        <w:tc>
          <w:tcPr>
            <w:tcW w:w="968" w:type="dxa"/>
            <w:vAlign w:val="center"/>
          </w:tcPr>
          <w:p w14:paraId="4386A38B">
            <w:pPr>
              <w:keepNext w:val="0"/>
              <w:keepLines w:val="0"/>
              <w:suppressLineNumbers w:val="0"/>
              <w:spacing w:before="0" w:beforeAutospacing="0" w:after="0" w:afterAutospacing="0"/>
              <w:ind w:left="0" w:right="0"/>
              <w:jc w:val="center"/>
              <w:rPr>
                <w:rFonts w:hint="default"/>
              </w:rPr>
            </w:pPr>
          </w:p>
        </w:tc>
        <w:tc>
          <w:tcPr>
            <w:tcW w:w="725" w:type="dxa"/>
            <w:vAlign w:val="center"/>
          </w:tcPr>
          <w:p w14:paraId="3AE151F1">
            <w:pPr>
              <w:keepNext w:val="0"/>
              <w:keepLines w:val="0"/>
              <w:suppressLineNumbers w:val="0"/>
              <w:spacing w:before="0" w:beforeAutospacing="0" w:after="0" w:afterAutospacing="0"/>
              <w:ind w:left="0" w:right="0"/>
              <w:jc w:val="center"/>
              <w:rPr>
                <w:rFonts w:hint="default"/>
              </w:rPr>
            </w:pPr>
          </w:p>
        </w:tc>
      </w:tr>
      <w:tr w14:paraId="7C2BA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299453B2">
            <w:pPr>
              <w:keepNext w:val="0"/>
              <w:keepLines w:val="0"/>
              <w:suppressLineNumbers w:val="0"/>
              <w:spacing w:before="0" w:beforeAutospacing="0" w:after="0" w:afterAutospacing="0"/>
              <w:ind w:left="0" w:right="0"/>
              <w:jc w:val="center"/>
              <w:rPr>
                <w:rFonts w:hint="eastAsia" w:ascii="宋体" w:hAnsi="宋体" w:eastAsiaTheme="minorEastAsia"/>
                <w:lang w:eastAsia="zh-CN"/>
              </w:rPr>
            </w:pPr>
            <w:r>
              <w:rPr>
                <w:rFonts w:hint="eastAsia" w:ascii="宋体" w:hAnsi="宋体"/>
              </w:rPr>
              <w:t>总计</w:t>
            </w:r>
          </w:p>
        </w:tc>
        <w:tc>
          <w:tcPr>
            <w:tcW w:w="7363" w:type="dxa"/>
            <w:gridSpan w:val="8"/>
            <w:vAlign w:val="center"/>
          </w:tcPr>
          <w:p w14:paraId="44A20969">
            <w:pPr>
              <w:keepNext w:val="0"/>
              <w:keepLines w:val="0"/>
              <w:suppressLineNumbers w:val="0"/>
              <w:spacing w:before="0" w:beforeAutospacing="0" w:after="0" w:afterAutospacing="0"/>
              <w:ind w:left="0" w:right="0"/>
              <w:rPr>
                <w:rFonts w:hint="default"/>
              </w:rPr>
            </w:pPr>
            <w:r>
              <w:rPr>
                <w:rFonts w:hint="eastAsia"/>
                <w:lang w:val="en-US" w:eastAsia="zh-CN"/>
              </w:rPr>
              <w:t>小写：</w:t>
            </w:r>
            <w:r>
              <w:rPr>
                <w:rFonts w:hint="eastAsia"/>
              </w:rPr>
              <w:t xml:space="preserve">            大写：</w:t>
            </w:r>
          </w:p>
        </w:tc>
      </w:tr>
    </w:tbl>
    <w:p w14:paraId="74DB6181">
      <w:pPr>
        <w:widowControl/>
        <w:wordWrap w:val="0"/>
        <w:spacing w:line="360" w:lineRule="auto"/>
        <w:jc w:val="left"/>
        <w:rPr>
          <w:rFonts w:ascii="ˎ̥" w:hAnsi="ˎ̥" w:cs="宋体"/>
          <w:kern w:val="0"/>
          <w:sz w:val="18"/>
          <w:szCs w:val="18"/>
        </w:rPr>
      </w:pPr>
    </w:p>
    <w:p w14:paraId="6AA29BC1">
      <w:pPr>
        <w:pStyle w:val="5"/>
      </w:pPr>
    </w:p>
    <w:p w14:paraId="14D6F199">
      <w:pPr>
        <w:spacing w:line="360" w:lineRule="auto"/>
        <w:rPr>
          <w:b/>
          <w:bCs/>
          <w:sz w:val="24"/>
        </w:rPr>
      </w:pPr>
      <w:r>
        <w:rPr>
          <w:rFonts w:hint="eastAsia"/>
          <w:b/>
          <w:bCs/>
          <w:sz w:val="24"/>
          <w:lang w:val="en-US" w:eastAsia="zh-CN"/>
        </w:rPr>
        <w:t>投标人签字：</w:t>
      </w:r>
      <w:r>
        <w:rPr>
          <w:rFonts w:hint="eastAsia"/>
          <w:b/>
          <w:bCs/>
          <w:sz w:val="24"/>
          <w:u w:val="single"/>
          <w:lang w:val="en-US" w:eastAsia="zh-CN"/>
        </w:rPr>
        <w:t xml:space="preserve">                     </w:t>
      </w:r>
    </w:p>
    <w:p w14:paraId="32FD1D14">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58704B5">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4E0D3D7E">
      <w:pPr>
        <w:spacing w:line="360" w:lineRule="auto"/>
        <w:outlineLvl w:val="9"/>
        <w:rPr>
          <w:sz w:val="24"/>
        </w:rPr>
      </w:pPr>
      <w:r>
        <w:rPr>
          <w:rFonts w:hint="eastAsia"/>
          <w:b/>
          <w:sz w:val="24"/>
        </w:rPr>
        <w:t>（此处加盖投标人单位公章）</w:t>
      </w:r>
    </w:p>
    <w:p w14:paraId="2F80012B">
      <w:pPr>
        <w:tabs>
          <w:tab w:val="left" w:pos="567"/>
        </w:tabs>
        <w:snapToGrid w:val="0"/>
        <w:spacing w:line="360" w:lineRule="auto"/>
        <w:rPr>
          <w:rFonts w:ascii="宋体" w:hAnsi="宋体"/>
        </w:rPr>
      </w:pPr>
    </w:p>
    <w:p w14:paraId="7578DAC9">
      <w:pPr>
        <w:tabs>
          <w:tab w:val="left" w:pos="567"/>
        </w:tabs>
        <w:snapToGrid w:val="0"/>
        <w:spacing w:line="360" w:lineRule="auto"/>
        <w:rPr>
          <w:rFonts w:ascii="宋体" w:hAnsi="宋体"/>
        </w:rPr>
      </w:pPr>
      <w:r>
        <w:rPr>
          <w:rFonts w:hint="eastAsia" w:ascii="宋体" w:hAnsi="宋体"/>
        </w:rPr>
        <w:t>注：</w:t>
      </w:r>
    </w:p>
    <w:p w14:paraId="10109930">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此表为《开标一览表(报价表)》的报价明细表。</w:t>
      </w:r>
    </w:p>
    <w:p w14:paraId="60C88164">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所有价格均以人民币作为货币单位填写及计算。</w:t>
      </w:r>
    </w:p>
    <w:p w14:paraId="08644903">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该表格式仅作参考，投标人的详细报价表格式可自定。</w:t>
      </w:r>
    </w:p>
    <w:p w14:paraId="4B3DAAF6">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若投标报价</w:t>
      </w:r>
      <w:r>
        <w:rPr>
          <w:rFonts w:hint="eastAsia" w:ascii="宋体" w:hAnsi="宋体"/>
          <w:lang w:val="en-US" w:eastAsia="zh-CN"/>
        </w:rPr>
        <w:t>明细</w:t>
      </w:r>
      <w:r>
        <w:rPr>
          <w:rFonts w:hint="eastAsia" w:ascii="宋体" w:hAnsi="宋体"/>
        </w:rPr>
        <w:t>表中大写金额和小</w:t>
      </w:r>
      <w:r>
        <w:rPr>
          <w:rFonts w:hint="eastAsia" w:asciiTheme="minorEastAsia" w:hAnsiTheme="minorEastAsia" w:eastAsiaTheme="minorEastAsia"/>
          <w:szCs w:val="21"/>
        </w:rPr>
        <w:t>写金额不一致的，以大写金额为准。</w:t>
      </w:r>
    </w:p>
    <w:p w14:paraId="57712ECD">
      <w:pPr>
        <w:pStyle w:val="3"/>
        <w:numPr>
          <w:ilvl w:val="0"/>
          <w:numId w:val="0"/>
        </w:numPr>
        <w:spacing w:line="240" w:lineRule="auto"/>
        <w:ind w:left="420" w:leftChars="0" w:hanging="420" w:firstLineChars="0"/>
        <w:jc w:val="center"/>
        <w:outlineLvl w:val="9"/>
        <w:rPr>
          <w:rFonts w:ascii="宋体" w:hAnsi="宋体"/>
          <w:color w:val="000000"/>
        </w:rPr>
      </w:pPr>
    </w:p>
    <w:p w14:paraId="37B42F00">
      <w:pPr>
        <w:rPr>
          <w:rFonts w:ascii="宋体" w:hAnsi="宋体"/>
          <w:color w:val="000000"/>
        </w:rPr>
      </w:pPr>
    </w:p>
    <w:p w14:paraId="48A26FD0">
      <w:pPr>
        <w:pStyle w:val="5"/>
        <w:rPr>
          <w:rFonts w:ascii="宋体" w:hAnsi="宋体"/>
          <w:color w:val="000000"/>
        </w:rPr>
      </w:pPr>
    </w:p>
    <w:p w14:paraId="1EE00335">
      <w:pPr>
        <w:rPr>
          <w:rFonts w:ascii="宋体" w:hAnsi="宋体"/>
          <w:color w:val="000000"/>
        </w:rPr>
      </w:pPr>
    </w:p>
    <w:p w14:paraId="074A18CC">
      <w:pPr>
        <w:pStyle w:val="5"/>
        <w:rPr>
          <w:rFonts w:ascii="宋体" w:hAnsi="宋体"/>
          <w:color w:val="000000"/>
        </w:rPr>
      </w:pPr>
    </w:p>
    <w:p w14:paraId="1EAF0F35">
      <w:pPr>
        <w:rPr>
          <w:rFonts w:ascii="宋体" w:hAnsi="宋体"/>
          <w:color w:val="000000"/>
        </w:rPr>
      </w:pPr>
    </w:p>
    <w:p w14:paraId="561C5F22">
      <w:pPr>
        <w:pStyle w:val="5"/>
        <w:rPr>
          <w:rFonts w:ascii="宋体" w:hAnsi="宋体"/>
          <w:color w:val="000000"/>
        </w:rPr>
      </w:pPr>
    </w:p>
    <w:p w14:paraId="68A50261">
      <w:pPr>
        <w:rPr>
          <w:rFonts w:ascii="宋体" w:hAnsi="宋体"/>
          <w:color w:val="000000"/>
        </w:rPr>
      </w:pPr>
    </w:p>
    <w:p w14:paraId="7E8FC21E">
      <w:pPr>
        <w:pStyle w:val="5"/>
        <w:rPr>
          <w:rFonts w:ascii="宋体" w:hAnsi="宋体"/>
          <w:color w:val="000000"/>
        </w:rPr>
      </w:pPr>
    </w:p>
    <w:p w14:paraId="51E2905D">
      <w:pPr>
        <w:pStyle w:val="5"/>
      </w:pPr>
    </w:p>
    <w:p w14:paraId="48791E83">
      <w:pPr>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（十一）产品配置清单</w:t>
      </w:r>
    </w:p>
    <w:tbl>
      <w:tblPr>
        <w:tblStyle w:val="16"/>
        <w:tblW w:w="4996"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02"/>
        <w:gridCol w:w="1359"/>
        <w:gridCol w:w="1446"/>
        <w:gridCol w:w="1098"/>
        <w:gridCol w:w="1350"/>
        <w:gridCol w:w="2391"/>
        <w:gridCol w:w="957"/>
      </w:tblGrid>
      <w:tr w14:paraId="59B3688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27"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27C78ED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序号</w:t>
            </w:r>
          </w:p>
        </w:tc>
        <w:tc>
          <w:tcPr>
            <w:tcW w:w="73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81144DE">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品名</w:t>
            </w:r>
          </w:p>
        </w:tc>
        <w:tc>
          <w:tcPr>
            <w:tcW w:w="785"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7AE266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规格说明</w:t>
            </w:r>
          </w:p>
        </w:tc>
        <w:tc>
          <w:tcPr>
            <w:tcW w:w="596"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3EDABADF">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采购数量</w:t>
            </w:r>
          </w:p>
        </w:tc>
        <w:tc>
          <w:tcPr>
            <w:tcW w:w="733"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46D0FDD2">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lang w:val="en-US" w:eastAsia="zh-CN"/>
              </w:rPr>
              <w:t>投标</w:t>
            </w:r>
            <w:r>
              <w:rPr>
                <w:rFonts w:hint="eastAsia" w:ascii="宋体" w:hAnsi="宋体"/>
                <w:highlight w:val="none"/>
              </w:rPr>
              <w:t>数量</w:t>
            </w:r>
          </w:p>
        </w:tc>
        <w:tc>
          <w:tcPr>
            <w:tcW w:w="129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616CA0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偏离情况（填写“正偏离、</w:t>
            </w:r>
            <w:r>
              <w:rPr>
                <w:rFonts w:hint="eastAsia" w:ascii="宋体" w:hAnsi="宋体"/>
                <w:highlight w:val="none"/>
                <w:lang w:val="en-US" w:eastAsia="zh-CN"/>
              </w:rPr>
              <w:t>无偏离</w:t>
            </w:r>
            <w:r>
              <w:rPr>
                <w:rFonts w:hint="eastAsia" w:ascii="宋体" w:hAnsi="宋体"/>
                <w:highlight w:val="none"/>
              </w:rPr>
              <w:t>或负偏离”）</w:t>
            </w:r>
          </w:p>
        </w:tc>
        <w:tc>
          <w:tcPr>
            <w:tcW w:w="519"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281F3E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备注</w:t>
            </w:r>
          </w:p>
        </w:tc>
      </w:tr>
      <w:tr w14:paraId="0C11FD5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double" w:color="auto" w:sz="4" w:space="0"/>
              <w:left w:val="single" w:color="auto" w:sz="4" w:space="0"/>
              <w:bottom w:val="single" w:color="auto" w:sz="4" w:space="0"/>
              <w:right w:val="single" w:color="auto" w:sz="4" w:space="0"/>
            </w:tcBorders>
            <w:vAlign w:val="center"/>
          </w:tcPr>
          <w:p w14:paraId="226BB8C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w:t>
            </w:r>
          </w:p>
        </w:tc>
        <w:tc>
          <w:tcPr>
            <w:tcW w:w="738" w:type="pct"/>
            <w:tcBorders>
              <w:top w:val="double" w:color="auto" w:sz="4" w:space="0"/>
              <w:left w:val="single" w:color="auto" w:sz="4" w:space="0"/>
              <w:bottom w:val="single" w:color="auto" w:sz="4" w:space="0"/>
              <w:right w:val="single" w:color="auto" w:sz="4" w:space="0"/>
            </w:tcBorders>
            <w:vAlign w:val="center"/>
          </w:tcPr>
          <w:p w14:paraId="49504AD2">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double" w:color="auto" w:sz="4" w:space="0"/>
              <w:left w:val="single" w:color="auto" w:sz="4" w:space="0"/>
              <w:bottom w:val="single" w:color="auto" w:sz="4" w:space="0"/>
              <w:right w:val="single" w:color="auto" w:sz="4" w:space="0"/>
            </w:tcBorders>
            <w:vAlign w:val="center"/>
          </w:tcPr>
          <w:p w14:paraId="399BD18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double" w:color="auto" w:sz="4" w:space="0"/>
              <w:left w:val="single" w:color="auto" w:sz="4" w:space="0"/>
              <w:bottom w:val="single" w:color="auto" w:sz="4" w:space="0"/>
              <w:right w:val="single" w:color="auto" w:sz="4" w:space="0"/>
            </w:tcBorders>
            <w:vAlign w:val="center"/>
          </w:tcPr>
          <w:p w14:paraId="681D123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double" w:color="auto" w:sz="4" w:space="0"/>
              <w:left w:val="single" w:color="auto" w:sz="4" w:space="0"/>
              <w:bottom w:val="single" w:color="auto" w:sz="4" w:space="0"/>
              <w:right w:val="single" w:color="auto" w:sz="4" w:space="0"/>
            </w:tcBorders>
            <w:vAlign w:val="center"/>
          </w:tcPr>
          <w:p w14:paraId="11E35DC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double" w:color="auto" w:sz="4" w:space="0"/>
              <w:left w:val="single" w:color="auto" w:sz="4" w:space="0"/>
              <w:bottom w:val="single" w:color="auto" w:sz="4" w:space="0"/>
              <w:right w:val="single" w:color="auto" w:sz="4" w:space="0"/>
            </w:tcBorders>
            <w:vAlign w:val="center"/>
          </w:tcPr>
          <w:p w14:paraId="3B9FCC3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double" w:color="auto" w:sz="4" w:space="0"/>
              <w:left w:val="single" w:color="auto" w:sz="4" w:space="0"/>
              <w:bottom w:val="single" w:color="auto" w:sz="4" w:space="0"/>
              <w:right w:val="single" w:color="auto" w:sz="4" w:space="0"/>
            </w:tcBorders>
            <w:vAlign w:val="center"/>
          </w:tcPr>
          <w:p w14:paraId="6742F55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610D879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6EAC12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w:t>
            </w:r>
          </w:p>
        </w:tc>
        <w:tc>
          <w:tcPr>
            <w:tcW w:w="738" w:type="pct"/>
            <w:tcBorders>
              <w:top w:val="single" w:color="auto" w:sz="4" w:space="0"/>
              <w:left w:val="single" w:color="auto" w:sz="4" w:space="0"/>
              <w:bottom w:val="single" w:color="auto" w:sz="4" w:space="0"/>
              <w:right w:val="single" w:color="auto" w:sz="4" w:space="0"/>
            </w:tcBorders>
            <w:vAlign w:val="center"/>
          </w:tcPr>
          <w:p w14:paraId="5E3D5F7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FA75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220495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7270A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BAF619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6906FD8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1656BA9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17C546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3</w:t>
            </w:r>
          </w:p>
        </w:tc>
        <w:tc>
          <w:tcPr>
            <w:tcW w:w="738" w:type="pct"/>
            <w:tcBorders>
              <w:top w:val="single" w:color="auto" w:sz="4" w:space="0"/>
              <w:left w:val="single" w:color="auto" w:sz="4" w:space="0"/>
              <w:bottom w:val="single" w:color="auto" w:sz="4" w:space="0"/>
              <w:right w:val="single" w:color="auto" w:sz="4" w:space="0"/>
            </w:tcBorders>
            <w:vAlign w:val="center"/>
          </w:tcPr>
          <w:p w14:paraId="25216D35">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247AEBA6">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6192661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2241BF8">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0A80945A">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11E0420E">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0B6946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33DA7FE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w:t>
            </w:r>
          </w:p>
        </w:tc>
        <w:tc>
          <w:tcPr>
            <w:tcW w:w="738" w:type="pct"/>
            <w:tcBorders>
              <w:top w:val="single" w:color="auto" w:sz="4" w:space="0"/>
              <w:left w:val="single" w:color="auto" w:sz="4" w:space="0"/>
              <w:bottom w:val="single" w:color="auto" w:sz="4" w:space="0"/>
              <w:right w:val="single" w:color="auto" w:sz="4" w:space="0"/>
            </w:tcBorders>
            <w:vAlign w:val="center"/>
          </w:tcPr>
          <w:p w14:paraId="34C2F6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14A87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5108311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FE7BB6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FBC13D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343D8A2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B343FC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050012D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5</w:t>
            </w:r>
          </w:p>
        </w:tc>
        <w:tc>
          <w:tcPr>
            <w:tcW w:w="738" w:type="pct"/>
            <w:tcBorders>
              <w:top w:val="single" w:color="auto" w:sz="4" w:space="0"/>
              <w:left w:val="single" w:color="auto" w:sz="4" w:space="0"/>
              <w:bottom w:val="single" w:color="auto" w:sz="4" w:space="0"/>
              <w:right w:val="single" w:color="auto" w:sz="4" w:space="0"/>
            </w:tcBorders>
            <w:vAlign w:val="center"/>
          </w:tcPr>
          <w:p w14:paraId="3DF3997D">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37F8DD0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134A4BC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26568D7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F72E6A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CE24A0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4ACF3B7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CE6BB2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w:t>
            </w:r>
          </w:p>
        </w:tc>
        <w:tc>
          <w:tcPr>
            <w:tcW w:w="738" w:type="pct"/>
            <w:tcBorders>
              <w:top w:val="single" w:color="auto" w:sz="4" w:space="0"/>
              <w:left w:val="single" w:color="auto" w:sz="4" w:space="0"/>
              <w:bottom w:val="single" w:color="auto" w:sz="4" w:space="0"/>
              <w:right w:val="single" w:color="auto" w:sz="4" w:space="0"/>
            </w:tcBorders>
            <w:vAlign w:val="center"/>
          </w:tcPr>
          <w:p w14:paraId="5869EB8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0594AAA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67A414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42933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9713A4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5E5BAD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bl>
    <w:p w14:paraId="21CB7445">
      <w:pPr>
        <w:rPr>
          <w:rFonts w:asciiTheme="minorEastAsia" w:hAnsiTheme="minorEastAsia" w:cstheme="minorEastAsia"/>
          <w:szCs w:val="21"/>
        </w:rPr>
      </w:pPr>
    </w:p>
    <w:p w14:paraId="76382B3F">
      <w:pPr>
        <w:pStyle w:val="9"/>
        <w:numPr>
          <w:ilvl w:val="0"/>
          <w:numId w:val="0"/>
        </w:numPr>
        <w:tabs>
          <w:tab w:val="left" w:pos="540"/>
        </w:tabs>
        <w:adjustRightInd w:val="0"/>
        <w:snapToGrid w:val="0"/>
        <w:spacing w:line="360" w:lineRule="auto"/>
        <w:ind w:leftChars="0"/>
        <w:rPr>
          <w:rFonts w:hint="eastAsia" w:ascii="宋体" w:hAnsi="宋体"/>
        </w:rPr>
      </w:pPr>
      <w:r>
        <w:rPr>
          <w:rFonts w:hint="eastAsia" w:ascii="宋体" w:hAnsi="宋体"/>
        </w:rPr>
        <w:t>注：</w:t>
      </w:r>
    </w:p>
    <w:p w14:paraId="40CC3990">
      <w:pPr>
        <w:pStyle w:val="9"/>
        <w:numPr>
          <w:ilvl w:val="0"/>
          <w:numId w:val="13"/>
        </w:numPr>
        <w:tabs>
          <w:tab w:val="left" w:pos="540"/>
          <w:tab w:val="clear" w:pos="312"/>
        </w:tabs>
        <w:adjustRightInd w:val="0"/>
        <w:snapToGrid w:val="0"/>
        <w:spacing w:line="360" w:lineRule="auto"/>
        <w:ind w:leftChars="0"/>
        <w:rPr>
          <w:rFonts w:hint="eastAsia" w:ascii="宋体" w:hAnsi="宋体" w:eastAsia="宋体" w:cs="Times New Roman"/>
          <w:lang w:val="en-US" w:eastAsia="zh-CN"/>
        </w:rPr>
      </w:pPr>
      <w:r>
        <w:rPr>
          <w:rFonts w:hint="eastAsia" w:ascii="宋体" w:hAnsi="宋体" w:eastAsia="宋体" w:cs="Times New Roman"/>
        </w:rPr>
        <w:t>此表为项目采购标的清单的</w:t>
      </w:r>
      <w:r>
        <w:rPr>
          <w:rFonts w:hint="eastAsia" w:ascii="宋体" w:hAnsi="宋体" w:eastAsia="宋体" w:cs="Times New Roman"/>
          <w:lang w:val="en-US" w:eastAsia="zh-CN"/>
        </w:rPr>
        <w:t>响应情况表。</w:t>
      </w:r>
    </w:p>
    <w:p w14:paraId="5C82DA66">
      <w:pPr>
        <w:pStyle w:val="9"/>
        <w:numPr>
          <w:ilvl w:val="0"/>
          <w:numId w:val="13"/>
        </w:numPr>
        <w:tabs>
          <w:tab w:val="left" w:pos="540"/>
          <w:tab w:val="clear" w:pos="312"/>
        </w:tabs>
        <w:adjustRightInd w:val="0"/>
        <w:snapToGrid w:val="0"/>
        <w:spacing w:line="360" w:lineRule="auto"/>
        <w:ind w:leftChars="0"/>
        <w:rPr>
          <w:rFonts w:hint="default" w:ascii="宋体" w:hAnsi="宋体" w:eastAsia="宋体" w:cs="Times New Roman"/>
          <w:lang w:val="en-US" w:eastAsia="zh-CN"/>
        </w:rPr>
      </w:pPr>
      <w:r>
        <w:rPr>
          <w:rFonts w:hint="eastAsia" w:ascii="宋体" w:hAnsi="宋体" w:eastAsia="宋体" w:cs="Times New Roman"/>
          <w:lang w:val="en-US" w:eastAsia="zh-CN"/>
        </w:rPr>
        <w:t>投标人需根据招标文件采购数量如实填写投标数量。</w:t>
      </w:r>
    </w:p>
    <w:p w14:paraId="71BC2208">
      <w:pPr>
        <w:numPr>
          <w:ilvl w:val="0"/>
          <w:numId w:val="13"/>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响应优于招标</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响应不满足招标</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响应与招标</w:t>
      </w:r>
      <w:r>
        <w:rPr>
          <w:rFonts w:hint="eastAsia" w:ascii="宋体" w:hAnsi="宋体"/>
          <w:szCs w:val="21"/>
          <w:lang w:val="en-US" w:eastAsia="zh-CN"/>
        </w:rPr>
        <w:t>技术</w:t>
      </w:r>
      <w:r>
        <w:rPr>
          <w:rFonts w:hint="eastAsia" w:ascii="宋体" w:hAnsi="宋体"/>
          <w:szCs w:val="21"/>
        </w:rPr>
        <w:t>要求一致”。</w:t>
      </w:r>
    </w:p>
    <w:p w14:paraId="0768874C">
      <w:pPr>
        <w:numPr>
          <w:ilvl w:val="0"/>
          <w:numId w:val="13"/>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响应”对比“招标</w:t>
      </w:r>
      <w:r>
        <w:rPr>
          <w:rFonts w:hint="eastAsia" w:ascii="宋体" w:hAnsi="宋体"/>
          <w:szCs w:val="21"/>
          <w:lang w:val="en-US" w:eastAsia="zh-CN"/>
        </w:rPr>
        <w:t>技术</w:t>
      </w:r>
      <w:r>
        <w:rPr>
          <w:rFonts w:hint="eastAsia" w:ascii="宋体" w:hAnsi="宋体"/>
          <w:szCs w:val="21"/>
        </w:rPr>
        <w:t>要求”存在响应不全（包括未响应整项招标</w:t>
      </w:r>
      <w:r>
        <w:rPr>
          <w:rFonts w:hint="eastAsia" w:ascii="宋体" w:hAnsi="宋体"/>
          <w:szCs w:val="21"/>
          <w:lang w:val="en-US" w:eastAsia="zh-CN"/>
        </w:rPr>
        <w:t>技术</w:t>
      </w:r>
      <w:r>
        <w:rPr>
          <w:rFonts w:hint="eastAsia" w:ascii="宋体" w:hAnsi="宋体"/>
          <w:szCs w:val="21"/>
        </w:rPr>
        <w:t>要求或者未响应一项招标</w:t>
      </w:r>
      <w:r>
        <w:rPr>
          <w:rFonts w:hint="eastAsia" w:ascii="宋体" w:hAnsi="宋体"/>
          <w:szCs w:val="21"/>
          <w:lang w:val="en-US" w:eastAsia="zh-CN"/>
        </w:rPr>
        <w:t>技术</w:t>
      </w:r>
      <w:r>
        <w:rPr>
          <w:rFonts w:hint="eastAsia" w:ascii="宋体" w:hAnsi="宋体"/>
          <w:szCs w:val="21"/>
        </w:rPr>
        <w:t>要求的部分内容），均视为“负偏离”。</w:t>
      </w:r>
    </w:p>
    <w:p w14:paraId="4C5FED8B">
      <w:pPr>
        <w:pStyle w:val="9"/>
        <w:numPr>
          <w:ilvl w:val="0"/>
          <w:numId w:val="0"/>
        </w:numPr>
        <w:tabs>
          <w:tab w:val="left" w:pos="540"/>
        </w:tabs>
        <w:adjustRightInd w:val="0"/>
        <w:snapToGrid w:val="0"/>
        <w:spacing w:line="360" w:lineRule="auto"/>
        <w:rPr>
          <w:rFonts w:hint="default" w:ascii="宋体" w:hAnsi="宋体" w:eastAsia="宋体" w:cs="Times New Roman"/>
          <w:lang w:val="en-US" w:eastAsia="zh-CN"/>
        </w:rPr>
      </w:pPr>
    </w:p>
    <w:p w14:paraId="51884ACB">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r>
        <w:rPr>
          <w:rFonts w:ascii="宋体" w:hAnsi="宋体"/>
          <w:color w:val="000000"/>
        </w:rPr>
        <w:br w:type="page"/>
      </w:r>
      <w:bookmarkStart w:id="37" w:name="_Toc435514854"/>
      <w:bookmarkStart w:id="38" w:name="_Toc1762"/>
      <w:bookmarkStart w:id="39" w:name="_Toc435515294"/>
      <w:bookmarkStart w:id="40" w:name="_Toc275865605"/>
      <w:bookmarkStart w:id="41" w:name="_Toc20322_WPSOffice_Level1"/>
      <w:bookmarkStart w:id="42" w:name="_Toc24434"/>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十二</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投标函</w:t>
      </w:r>
      <w:bookmarkEnd w:id="37"/>
      <w:bookmarkEnd w:id="38"/>
      <w:bookmarkEnd w:id="39"/>
      <w:bookmarkEnd w:id="40"/>
      <w:bookmarkEnd w:id="41"/>
      <w:bookmarkEnd w:id="42"/>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货物及相关服务的招标文件（项目编号：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4"/>
        </w:numPr>
        <w:tabs>
          <w:tab w:val="clear" w:pos="780"/>
        </w:tabs>
        <w:snapToGrid w:val="0"/>
        <w:spacing w:line="360" w:lineRule="auto"/>
        <w:ind w:left="426"/>
        <w:rPr>
          <w:rFonts w:ascii="宋体" w:hAnsi="宋体"/>
          <w:b/>
        </w:rPr>
      </w:pPr>
      <w:r>
        <w:rPr>
          <w:rFonts w:hint="eastAsia" w:ascii="宋体" w:hAnsi="宋体"/>
          <w:b/>
        </w:rPr>
        <w:t>我单位愿意遵守招标文件的各项规定，自愿参加投标，并已清楚招标文件的要求及有关文件规定，并严格按照招标文件的规定履行全部责任和义务。</w:t>
      </w:r>
    </w:p>
    <w:p w14:paraId="628A2847">
      <w:pPr>
        <w:numPr>
          <w:ilvl w:val="0"/>
          <w:numId w:val="14"/>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4"/>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4"/>
        </w:numPr>
        <w:tabs>
          <w:tab w:val="clear" w:pos="780"/>
        </w:tabs>
        <w:snapToGrid w:val="0"/>
        <w:spacing w:line="360" w:lineRule="auto"/>
        <w:ind w:left="426"/>
        <w:rPr>
          <w:rFonts w:ascii="宋体" w:hAnsi="宋体"/>
          <w:b/>
        </w:rPr>
      </w:pPr>
      <w:r>
        <w:rPr>
          <w:rFonts w:hint="eastAsia" w:ascii="宋体" w:hAnsi="宋体"/>
          <w:b/>
        </w:rPr>
        <w:t>我单位已经详细地阅读并完全明白了全部招标文件及附件，包括澄清（如有）及参考文件，我单位完全理解本招标文件的要求，</w:t>
      </w:r>
      <w:r>
        <w:rPr>
          <w:rFonts w:hint="eastAsia" w:ascii="宋体"/>
          <w:b/>
        </w:rPr>
        <w:t>我单位同意放弃对招标文件提出不明或误解的一切权力</w:t>
      </w:r>
      <w:r>
        <w:rPr>
          <w:rFonts w:hint="eastAsia" w:ascii="宋体" w:hAnsi="宋体"/>
          <w:b/>
        </w:rPr>
        <w:t>。</w:t>
      </w:r>
    </w:p>
    <w:p w14:paraId="6B072C5B">
      <w:pPr>
        <w:numPr>
          <w:ilvl w:val="0"/>
          <w:numId w:val="14"/>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与评标委员会要求的有关投标的一切数据或资料。</w:t>
      </w:r>
    </w:p>
    <w:p w14:paraId="0FD5B310">
      <w:pPr>
        <w:numPr>
          <w:ilvl w:val="0"/>
          <w:numId w:val="14"/>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与评标委员会并无义务必须接受最低报价的投标或其它任何投标，完全理解拒绝迟到的任何投标和最低投标报价不是被授予中标的唯一条件。</w:t>
      </w:r>
    </w:p>
    <w:p w14:paraId="2BDE4B1F">
      <w:pPr>
        <w:numPr>
          <w:ilvl w:val="0"/>
          <w:numId w:val="14"/>
        </w:numPr>
        <w:tabs>
          <w:tab w:val="clear" w:pos="780"/>
        </w:tabs>
        <w:snapToGrid w:val="0"/>
        <w:spacing w:line="360" w:lineRule="auto"/>
        <w:ind w:left="426"/>
        <w:rPr>
          <w:rFonts w:ascii="宋体" w:hAnsi="宋体"/>
          <w:b/>
        </w:rPr>
      </w:pPr>
      <w:r>
        <w:rPr>
          <w:rFonts w:hint="eastAsia" w:ascii="宋体" w:hAnsi="宋体"/>
          <w:b/>
        </w:rPr>
        <w:t xml:space="preserve">如果我单位未对招标文件全部要求作出实质性响应，则完全同意并接受按无效投标处理。 </w:t>
      </w:r>
    </w:p>
    <w:p w14:paraId="4E34F74F">
      <w:pPr>
        <w:numPr>
          <w:ilvl w:val="0"/>
          <w:numId w:val="14"/>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4"/>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4"/>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4"/>
        </w:numPr>
        <w:tabs>
          <w:tab w:val="clear" w:pos="780"/>
        </w:tabs>
        <w:snapToGrid w:val="0"/>
        <w:spacing w:line="360" w:lineRule="auto"/>
        <w:ind w:left="426" w:leftChars="0" w:hanging="360" w:firstLineChars="0"/>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1、投标函中承诺的投标有效期应当不少于招标文件中载明的投标有效期，否则视为无效投标。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43" w:name="_Toc4649"/>
      <w:bookmarkStart w:id="44" w:name="_Toc435515295"/>
      <w:bookmarkStart w:id="45" w:name="_Toc275865606"/>
      <w:bookmarkStart w:id="46" w:name="_Toc24650"/>
      <w:bookmarkStart w:id="47" w:name="_Toc435514855"/>
      <w:r>
        <w:rPr>
          <w:rFonts w:hint="eastAsia" w:cs="宋体" w:asciiTheme="majorEastAsia" w:hAnsiTheme="majorEastAsia" w:eastAsiaTheme="majorEastAsia"/>
          <w:kern w:val="2"/>
          <w:sz w:val="30"/>
          <w:szCs w:val="30"/>
          <w:lang w:val="en-US" w:eastAsia="zh-CN" w:bidi="ar-SA"/>
        </w:rPr>
        <w:t>（十三）</w:t>
      </w:r>
      <w:r>
        <w:rPr>
          <w:rFonts w:hint="eastAsia" w:asciiTheme="majorEastAsia" w:hAnsiTheme="majorEastAsia" w:eastAsiaTheme="majorEastAsia"/>
          <w:sz w:val="30"/>
          <w:szCs w:val="30"/>
        </w:rPr>
        <w:t>投标人资格声明函</w:t>
      </w:r>
      <w:bookmarkEnd w:id="43"/>
      <w:bookmarkEnd w:id="44"/>
      <w:bookmarkEnd w:id="45"/>
      <w:bookmarkEnd w:id="46"/>
      <w:bookmarkEnd w:id="47"/>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6"/>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）招标，本公司（企业）愿意参加投标，并声明：</w:t>
      </w:r>
    </w:p>
    <w:p w14:paraId="179ACA93">
      <w:pPr>
        <w:numPr>
          <w:ilvl w:val="0"/>
          <w:numId w:val="15"/>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5"/>
        </w:numPr>
        <w:spacing w:line="360" w:lineRule="auto"/>
        <w:ind w:left="0" w:leftChars="0" w:right="-815" w:rightChars="0" w:firstLine="420" w:firstLineChars="200"/>
        <w:outlineLvl w:val="9"/>
        <w:rPr>
          <w:rFonts w:ascii="宋体" w:hAnsi="宋体"/>
          <w:szCs w:val="21"/>
        </w:rPr>
      </w:pPr>
      <w:r>
        <w:rPr>
          <w:rFonts w:hint="eastAsia" w:ascii="宋体" w:hAnsi="宋体"/>
          <w:szCs w:val="21"/>
        </w:rPr>
        <w:t>我公司对本招标项目所提供的货物或服务未侵犯知识产权。</w:t>
      </w:r>
    </w:p>
    <w:p w14:paraId="6CC207C4">
      <w:pPr>
        <w:numPr>
          <w:ilvl w:val="0"/>
          <w:numId w:val="15"/>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5"/>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5"/>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如果中标，做到守信，不偷工减料，依照本项目招标文件需求内容、签署的采购合同及本公司在投标中所作的一切承诺履约。项目验收达到全部指标合格，力争优良。</w:t>
      </w:r>
    </w:p>
    <w:p w14:paraId="30EADCCC">
      <w:pPr>
        <w:numPr>
          <w:ilvl w:val="0"/>
          <w:numId w:val="15"/>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5"/>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5"/>
        </w:numPr>
        <w:spacing w:line="360" w:lineRule="auto"/>
        <w:ind w:right="-815" w:firstLineChars="200"/>
        <w:rPr>
          <w:rFonts w:ascii="宋体" w:hAnsi="宋体"/>
          <w:szCs w:val="21"/>
        </w:rPr>
      </w:pPr>
      <w:r>
        <w:rPr>
          <w:rFonts w:hint="eastAsia" w:ascii="宋体" w:hAnsi="宋体"/>
        </w:rPr>
        <w:t>本公司（企业）承诺在本次招标采购活动中，如有违法、违规、弄虚作假行为，所造成的损失、不良后果及法律责任，一律由我公司（企业）承担。</w:t>
      </w:r>
    </w:p>
    <w:p w14:paraId="776B9E12">
      <w:pPr>
        <w:numPr>
          <w:ilvl w:val="0"/>
          <w:numId w:val="15"/>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本次招标采购活动中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5"/>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本次招标采购活动中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5"/>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48" w:name="_承诺函"/>
      <w:bookmarkEnd w:id="48"/>
      <w:bookmarkStart w:id="49" w:name="_Toc435515299"/>
      <w:bookmarkStart w:id="50" w:name="_Toc50737329"/>
      <w:bookmarkStart w:id="51" w:name="_Toc52165081"/>
      <w:bookmarkStart w:id="52" w:name="_Toc24149"/>
      <w:bookmarkStart w:id="53" w:name="_Toc27672"/>
      <w:bookmarkStart w:id="54" w:name="_Toc50736477"/>
      <w:bookmarkStart w:id="55" w:name="_Toc50737297"/>
      <w:bookmarkStart w:id="56" w:name="_Toc435514859"/>
      <w:bookmarkStart w:id="57" w:name="_Toc275865607"/>
      <w:bookmarkStart w:id="58" w:name="_Toc50736476"/>
      <w:bookmarkStart w:id="59" w:name="_Toc50737296"/>
      <w:bookmarkStart w:id="60" w:name="_Toc50691034"/>
      <w:bookmarkStart w:id="61" w:name="_Toc50737328"/>
      <w:bookmarkStart w:id="62" w:name="_Toc52165080"/>
      <w:r>
        <w:rPr>
          <w:rFonts w:hint="eastAsia" w:cs="宋体" w:asciiTheme="majorEastAsia" w:hAnsiTheme="majorEastAsia" w:eastAsiaTheme="majorEastAsia"/>
          <w:kern w:val="2"/>
          <w:sz w:val="30"/>
          <w:szCs w:val="30"/>
          <w:lang w:val="en-US" w:eastAsia="zh-CN" w:bidi="ar-SA"/>
        </w:rPr>
        <w:t>（十四）政府采购违法行为风险知悉确认书</w:t>
      </w:r>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4BB599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33"/>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rPr>
          <w:trHeight w:val="304" w:hRule="atLeast"/>
          <w:jc w:val="center"/>
        </w:trPr>
        <w:tc>
          <w:tcPr>
            <w:tcW w:w="8529" w:type="dxa"/>
            <w:tcBorders>
              <w:top w:val="nil"/>
              <w:left w:val="nil"/>
              <w:bottom w:val="single" w:color="000000" w:sz="8" w:space="0"/>
              <w:right w:val="nil"/>
            </w:tcBorders>
            <w:noWrap w:val="0"/>
            <w:vAlign w:val="top"/>
          </w:tcPr>
          <w:p w14:paraId="51BCFE1D">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3"/>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3"/>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法定代表人授权委托书</w:t>
      </w:r>
      <w:bookmarkEnd w:id="49"/>
      <w:bookmarkEnd w:id="50"/>
      <w:bookmarkEnd w:id="51"/>
      <w:bookmarkEnd w:id="52"/>
      <w:bookmarkEnd w:id="53"/>
      <w:bookmarkEnd w:id="54"/>
      <w:bookmarkEnd w:id="55"/>
      <w:bookmarkEnd w:id="56"/>
      <w:bookmarkEnd w:id="57"/>
    </w:p>
    <w:p w14:paraId="232C51C3">
      <w:pPr>
        <w:pStyle w:val="9"/>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9"/>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5"/>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63" w:name="_Toc435515300"/>
      <w:bookmarkStart w:id="64" w:name="_Toc275865608"/>
      <w:bookmarkStart w:id="65" w:name="_Toc14289"/>
      <w:bookmarkStart w:id="66" w:name="_Toc435514860"/>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46D4BB7D">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Theme="majorEastAsia" w:hAnsiTheme="majorEastAsia" w:eastAsiaTheme="majorEastAsia"/>
          <w:sz w:val="30"/>
          <w:szCs w:val="30"/>
        </w:rPr>
        <w:br w:type="page"/>
      </w:r>
    </w:p>
    <w:bookmarkEnd w:id="58"/>
    <w:bookmarkEnd w:id="59"/>
    <w:bookmarkEnd w:id="60"/>
    <w:bookmarkEnd w:id="61"/>
    <w:bookmarkEnd w:id="62"/>
    <w:bookmarkEnd w:id="63"/>
    <w:bookmarkEnd w:id="64"/>
    <w:bookmarkEnd w:id="65"/>
    <w:bookmarkEnd w:id="66"/>
    <w:p w14:paraId="0DE7F0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7" w:name="_Toc6666"/>
      <w:bookmarkStart w:id="68" w:name="_Toc7067"/>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67"/>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3A73B24C">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8A4F398">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E7BD5D">
      <w:pPr>
        <w:spacing w:line="360" w:lineRule="auto"/>
        <w:ind w:firstLine="422" w:firstLineChars="200"/>
      </w:pPr>
      <w:r>
        <w:rPr>
          <w:rFonts w:hint="eastAsia" w:ascii="宋体" w:hAnsi="宋体" w:eastAsia="宋体" w:cs="宋体"/>
          <w:b/>
          <w:bCs w:val="0"/>
          <w:color w:val="auto"/>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9" w:name="_Toc24233"/>
      <w:r>
        <w:rPr>
          <w:rFonts w:hint="eastAsia" w:cs="宋体" w:asciiTheme="majorEastAsia" w:hAnsiTheme="majorEastAsia" w:eastAsiaTheme="majorEastAsia"/>
          <w:kern w:val="2"/>
          <w:sz w:val="30"/>
          <w:szCs w:val="30"/>
          <w:lang w:val="en-US" w:eastAsia="zh-CN" w:bidi="ar-SA"/>
        </w:rPr>
        <w:t>（十七）</w:t>
      </w:r>
      <w:r>
        <w:rPr>
          <w:rFonts w:hint="eastAsia" w:asciiTheme="majorEastAsia" w:hAnsiTheme="majorEastAsia" w:eastAsiaTheme="majorEastAsia"/>
          <w:sz w:val="30"/>
          <w:szCs w:val="30"/>
        </w:rPr>
        <w:t>法定代表人证明书</w:t>
      </w:r>
      <w:bookmarkEnd w:id="68"/>
      <w:bookmarkEnd w:id="69"/>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3"/>
        <w:numPr>
          <w:ilvl w:val="0"/>
          <w:numId w:val="0"/>
        </w:numPr>
        <w:spacing w:line="240" w:lineRule="auto"/>
        <w:ind w:left="420" w:leftChars="0" w:hanging="420" w:firstLineChars="0"/>
        <w:jc w:val="center"/>
        <w:outlineLvl w:val="0"/>
        <w:rPr>
          <w:rFonts w:ascii="宋体" w:hAnsi="宋体" w:eastAsia="宋体"/>
          <w:sz w:val="30"/>
          <w:szCs w:val="30"/>
        </w:rPr>
      </w:pPr>
      <w:bookmarkStart w:id="70" w:name="_Toc24644"/>
      <w:r>
        <w:rPr>
          <w:rFonts w:hint="eastAsia" w:ascii="宋体" w:hAnsi="宋体" w:eastAsia="宋体" w:cs="宋体"/>
          <w:kern w:val="2"/>
          <w:sz w:val="30"/>
          <w:szCs w:val="30"/>
          <w:lang w:val="en-US" w:eastAsia="zh-CN" w:bidi="ar-SA"/>
        </w:rPr>
        <w:t>（十八）</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70"/>
    </w:p>
    <w:p w14:paraId="0263054A">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olor w:val="auto"/>
          <w:szCs w:val="21"/>
          <w:highlight w:val="none"/>
          <w:lang w:val="en-US" w:eastAsia="zh-CN"/>
        </w:rPr>
        <w:br w:type="page"/>
      </w:r>
    </w:p>
    <w:p w14:paraId="6C6A5DD0">
      <w:pPr>
        <w:pStyle w:val="3"/>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71" w:name="_Toc15871"/>
      <w:bookmarkStart w:id="72" w:name="_Toc777"/>
      <w:bookmarkStart w:id="73" w:name="_Toc11352"/>
      <w:bookmarkStart w:id="74" w:name="_Toc25910"/>
      <w:bookmarkStart w:id="75" w:name="_Toc7126"/>
      <w:bookmarkStart w:id="76" w:name="_Toc2305"/>
      <w:r>
        <w:rPr>
          <w:rFonts w:hint="eastAsia" w:ascii="宋体" w:hAnsi="宋体" w:eastAsia="宋体" w:cs="宋体"/>
          <w:color w:val="auto"/>
          <w:kern w:val="2"/>
          <w:sz w:val="30"/>
          <w:szCs w:val="30"/>
          <w:lang w:val="en-US" w:eastAsia="zh-CN" w:bidi="ar-SA"/>
        </w:rPr>
        <w:t>（十九）</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71"/>
      <w:bookmarkEnd w:id="72"/>
      <w:bookmarkEnd w:id="73"/>
      <w:bookmarkEnd w:id="74"/>
      <w:bookmarkEnd w:id="75"/>
      <w:bookmarkEnd w:id="76"/>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790DCE5D">
      <w:pPr>
        <w:pStyle w:val="5"/>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4006300D">
      <w:r>
        <w:rPr>
          <w:rFonts w:hint="eastAsi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129845">
      <w:pPr>
        <w:spacing w:line="500" w:lineRule="exact"/>
        <w:rPr>
          <w:rFonts w:ascii="宋体" w:hAnsi="宋体"/>
        </w:rPr>
      </w:pPr>
    </w:p>
    <w:p w14:paraId="0B1E9164">
      <w:pPr>
        <w:rPr>
          <w:rFonts w:hint="eastAsia" w:asciiTheme="majorEastAsia" w:hAnsiTheme="majorEastAsia" w:eastAsiaTheme="majorEastAsia"/>
          <w:sz w:val="30"/>
          <w:szCs w:val="30"/>
        </w:rPr>
      </w:pPr>
      <w:bookmarkStart w:id="77" w:name="_Toc8619"/>
      <w:bookmarkStart w:id="78" w:name="_Toc435515308"/>
      <w:bookmarkStart w:id="79" w:name="_Toc435514868"/>
      <w:r>
        <w:rPr>
          <w:rFonts w:hint="eastAsia" w:asciiTheme="majorEastAsia" w:hAnsiTheme="majorEastAsia" w:eastAsiaTheme="majorEastAsia"/>
          <w:sz w:val="30"/>
          <w:szCs w:val="30"/>
        </w:rPr>
        <w:br w:type="page"/>
      </w:r>
    </w:p>
    <w:p w14:paraId="6F888131">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80" w:name="_Toc29264"/>
      <w:r>
        <w:rPr>
          <w:rFonts w:hint="eastAsia" w:cs="宋体" w:asciiTheme="majorEastAsia" w:hAnsiTheme="majorEastAsia" w:eastAsiaTheme="majorEastAsia"/>
          <w:kern w:val="2"/>
          <w:sz w:val="30"/>
          <w:szCs w:val="30"/>
          <w:lang w:val="en-US" w:eastAsia="zh-CN" w:bidi="ar-SA"/>
        </w:rPr>
        <w:t>（二十）</w:t>
      </w:r>
      <w:r>
        <w:rPr>
          <w:rFonts w:hint="eastAsia" w:asciiTheme="majorEastAsia" w:hAnsiTheme="majorEastAsia" w:eastAsiaTheme="majorEastAsia"/>
          <w:sz w:val="30"/>
          <w:szCs w:val="30"/>
        </w:rPr>
        <w:t>技术规格偏离表</w:t>
      </w:r>
      <w:bookmarkEnd w:id="80"/>
    </w:p>
    <w:p w14:paraId="4B516DB8">
      <w:pPr>
        <w:spacing w:line="400" w:lineRule="exact"/>
        <w:rPr>
          <w:rFonts w:ascii="宋体" w:hAnsi="宋体"/>
        </w:rPr>
      </w:pPr>
      <w:r>
        <w:rPr>
          <w:rFonts w:hint="eastAsia" w:ascii="宋体" w:hAnsi="宋体"/>
        </w:rPr>
        <w:t>说明：投标人必须对应招标文件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600754F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招标技术要求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E47F2F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1D64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6ED6CC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DF9696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E433214">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FB38C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7405FAE">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D4E48A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5C6801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015303A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BDA9829">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67486C0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2376D43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47EF3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0518E54">
      <w:pPr>
        <w:spacing w:line="360" w:lineRule="auto"/>
        <w:ind w:right="84" w:rightChars="40"/>
        <w:rPr>
          <w:rFonts w:ascii="宋体" w:hAnsi="宋体"/>
          <w:szCs w:val="21"/>
        </w:rPr>
      </w:pPr>
      <w:r>
        <w:rPr>
          <w:rFonts w:hint="eastAsia" w:ascii="宋体" w:hAnsi="宋体"/>
          <w:szCs w:val="21"/>
        </w:rPr>
        <w:t>备注：投标人必须按招标文件要求附相关证明文件，如未提供的视为负偏离。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响应”一栏必须一一对照“招标</w:t>
      </w:r>
      <w:r>
        <w:rPr>
          <w:rFonts w:hint="eastAsia" w:ascii="宋体" w:hAnsi="宋体"/>
          <w:szCs w:val="21"/>
          <w:lang w:val="en-US" w:eastAsia="zh-CN"/>
        </w:rPr>
        <w:t>技术</w:t>
      </w:r>
      <w:r>
        <w:rPr>
          <w:rFonts w:hint="eastAsia" w:ascii="宋体" w:hAnsi="宋体"/>
          <w:szCs w:val="21"/>
        </w:rPr>
        <w:t>要求”，详细填写自身响应情况，而不能不合理照搬照抄招标文件的商务要求，以体现具体响应情况。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响应优于招标</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响应不满足招标</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响应与招标</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响应”对比“招标</w:t>
      </w:r>
      <w:r>
        <w:rPr>
          <w:rFonts w:hint="eastAsia" w:ascii="宋体" w:hAnsi="宋体"/>
          <w:szCs w:val="21"/>
          <w:lang w:val="en-US" w:eastAsia="zh-CN"/>
        </w:rPr>
        <w:t>技术</w:t>
      </w:r>
      <w:r>
        <w:rPr>
          <w:rFonts w:hint="eastAsia" w:ascii="宋体" w:hAnsi="宋体"/>
          <w:szCs w:val="21"/>
        </w:rPr>
        <w:t>要求”存在响应不全（包括未响应整项招标</w:t>
      </w:r>
      <w:r>
        <w:rPr>
          <w:rFonts w:hint="eastAsia" w:ascii="宋体" w:hAnsi="宋体"/>
          <w:szCs w:val="21"/>
          <w:lang w:val="en-US" w:eastAsia="zh-CN"/>
        </w:rPr>
        <w:t>技术</w:t>
      </w:r>
      <w:r>
        <w:rPr>
          <w:rFonts w:hint="eastAsia" w:ascii="宋体" w:hAnsi="宋体"/>
          <w:szCs w:val="21"/>
        </w:rPr>
        <w:t>要求或者未响应一项招标</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562BABE">
      <w:pPr>
        <w:rPr>
          <w:rFonts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26710D5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81" w:name="_Toc1851"/>
      <w:r>
        <w:rPr>
          <w:rFonts w:hint="eastAsia" w:cs="宋体" w:asciiTheme="majorEastAsia" w:hAnsiTheme="majorEastAsia" w:eastAsiaTheme="majorEastAsia"/>
          <w:kern w:val="2"/>
          <w:sz w:val="30"/>
          <w:szCs w:val="30"/>
          <w:lang w:val="en-US" w:eastAsia="zh-CN" w:bidi="ar-SA"/>
        </w:rPr>
        <w:t>（二十一）</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77"/>
      <w:bookmarkEnd w:id="81"/>
    </w:p>
    <w:p w14:paraId="4F49A491">
      <w:pPr>
        <w:spacing w:line="400" w:lineRule="exact"/>
        <w:rPr>
          <w:rFonts w:ascii="宋体" w:hAnsi="宋体"/>
        </w:rPr>
      </w:pPr>
      <w:r>
        <w:rPr>
          <w:rFonts w:hint="eastAsia" w:ascii="宋体" w:hAnsi="宋体"/>
        </w:rPr>
        <w:t>说明：投标人必须对应招标文件</w:t>
      </w:r>
      <w:r>
        <w:rPr>
          <w:rFonts w:hint="eastAsia" w:ascii="宋体" w:hAnsi="宋体"/>
          <w:lang w:val="en-US" w:eastAsia="zh-CN"/>
        </w:rPr>
        <w:t>商务要求中的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招标</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备注：投标人必须按招标文件要求附相关证明文件，如未提供的视为负偏离。</w:t>
      </w:r>
    </w:p>
    <w:bookmarkEnd w:id="78"/>
    <w:bookmarkEnd w:id="79"/>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、“投标商务响应”一栏必须一一对照“招标商务要求”，详细填写自身响应情况，而不能不合理照搬照抄招标文件的商务要求，以体现具体响应情况。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响应优于招标商务要求”，“负偏离”表示“投标</w:t>
      </w:r>
      <w:r>
        <w:rPr>
          <w:rFonts w:hint="eastAsia" w:ascii="宋体" w:hAnsi="宋体"/>
          <w:szCs w:val="21"/>
          <w:lang w:val="en-US" w:eastAsia="zh-CN"/>
        </w:rPr>
        <w:t>商务</w:t>
      </w:r>
      <w:r>
        <w:rPr>
          <w:rFonts w:hint="eastAsia" w:ascii="宋体" w:hAnsi="宋体"/>
          <w:szCs w:val="21"/>
        </w:rPr>
        <w:t>响应不满足招标商务要求”，“无偏离”表示“投标</w:t>
      </w:r>
      <w:r>
        <w:rPr>
          <w:rFonts w:hint="eastAsia" w:ascii="宋体" w:hAnsi="宋体"/>
          <w:szCs w:val="21"/>
          <w:lang w:val="en-US" w:eastAsia="zh-CN"/>
        </w:rPr>
        <w:t>商务</w:t>
      </w:r>
      <w:r>
        <w:rPr>
          <w:rFonts w:hint="eastAsia" w:ascii="宋体" w:hAnsi="宋体"/>
          <w:szCs w:val="21"/>
        </w:rPr>
        <w:t>响应与招标商务要求一致”。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、“投标商务响应”对比“招标商务要求”存在响应不全（包括未响应整项招标商务要求或者未响应一项招标商务要求的部分内容），均视为“负偏离”。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bookmarkStart w:id="82" w:name="_Toc435515318"/>
      <w:bookmarkStart w:id="83" w:name="_Toc275865626"/>
      <w:bookmarkStart w:id="84" w:name="_Toc173553195"/>
      <w:bookmarkStart w:id="85" w:name="_Toc435514878"/>
    </w:p>
    <w:p w14:paraId="57099E2D">
      <w:pPr>
        <w:pStyle w:val="3"/>
        <w:numPr>
          <w:ilvl w:val="0"/>
          <w:numId w:val="0"/>
        </w:numPr>
        <w:jc w:val="center"/>
        <w:outlineLvl w:val="9"/>
        <w:rPr>
          <w:rFonts w:hint="eastAsia" w:ascii="宋体" w:hAnsi="宋体" w:cs="宋体" w:eastAsiaTheme="minorEastAsia"/>
          <w:kern w:val="2"/>
          <w:sz w:val="30"/>
          <w:szCs w:val="30"/>
          <w:lang w:val="en-US" w:eastAsia="zh-CN" w:bidi="ar-SA"/>
        </w:rPr>
      </w:pPr>
      <w:bookmarkStart w:id="86" w:name="_Toc5084"/>
      <w:bookmarkStart w:id="87" w:name="_Toc24015580"/>
      <w:bookmarkStart w:id="88" w:name="_Toc23178"/>
    </w:p>
    <w:p w14:paraId="7A683F8F">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34D72260">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16B3BBAB">
      <w:pPr>
        <w:pStyle w:val="3"/>
        <w:numPr>
          <w:ilvl w:val="0"/>
          <w:numId w:val="0"/>
        </w:numPr>
        <w:ind w:left="0" w:leftChars="0" w:firstLine="0" w:firstLineChars="0"/>
        <w:jc w:val="center"/>
        <w:outlineLvl w:val="0"/>
        <w:rPr>
          <w:rFonts w:ascii="宋体" w:hAnsi="宋体"/>
          <w:sz w:val="30"/>
          <w:szCs w:val="30"/>
        </w:rPr>
      </w:pPr>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二十二</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我公司本招标项目所提供的货物或服务未侵犯知识产权。</w:t>
      </w:r>
    </w:p>
    <w:p w14:paraId="5EC7A22A">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2E0EBD0A">
      <w:pPr>
        <w:numPr>
          <w:ilvl w:val="0"/>
          <w:numId w:val="0"/>
        </w:numPr>
        <w:ind w:left="0" w:leftChars="0" w:firstLine="0" w:firstLineChars="0"/>
        <w:jc w:val="center"/>
        <w:outlineLvl w:val="0"/>
        <w:rPr>
          <w:rFonts w:hint="eastAsia" w:asciiTheme="minorEastAsia" w:hAnsiTheme="minorEastAsia" w:cstheme="minorEastAsia"/>
          <w:sz w:val="30"/>
          <w:szCs w:val="30"/>
        </w:rPr>
      </w:pP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kern w:val="2"/>
          <w:sz w:val="30"/>
          <w:szCs w:val="30"/>
          <w:lang w:val="en-US" w:eastAsia="zh-CN" w:bidi="ar-SA"/>
        </w:rPr>
        <w:t>二十三</w:t>
      </w: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sz w:val="30"/>
          <w:szCs w:val="30"/>
        </w:rPr>
        <w:t>售后服务承诺</w:t>
      </w:r>
    </w:p>
    <w:p w14:paraId="37889004">
      <w:pPr>
        <w:numPr>
          <w:ilvl w:val="0"/>
          <w:numId w:val="0"/>
        </w:numPr>
        <w:rPr>
          <w:rFonts w:hint="eastAsia" w:asciiTheme="minorEastAsia" w:hAnsiTheme="minorEastAsia" w:cstheme="minorEastAsia"/>
          <w:sz w:val="24"/>
        </w:rPr>
      </w:pPr>
    </w:p>
    <w:p w14:paraId="0C827B89">
      <w:pPr>
        <w:widowControl/>
        <w:spacing w:after="200" w:line="220" w:lineRule="atLeast"/>
        <w:jc w:val="center"/>
        <w:outlineLvl w:val="1"/>
        <w:rPr>
          <w:rFonts w:hint="eastAsia" w:asciiTheme="minorEastAsia" w:hAnsiTheme="minorEastAsia" w:eastAsiaTheme="minorEastAsia" w:cstheme="minorEastAsia"/>
          <w:sz w:val="24"/>
          <w:lang w:eastAsia="zh-CN"/>
        </w:rPr>
      </w:pPr>
      <w:r>
        <w:rPr>
          <w:rFonts w:asciiTheme="minorEastAsia" w:hAnsiTheme="minorEastAsia" w:cstheme="minorEastAsia"/>
          <w:sz w:val="24"/>
        </w:rPr>
        <w:t>每年两次维</w:t>
      </w:r>
      <w:r>
        <w:rPr>
          <w:rFonts w:hint="eastAsia" w:asciiTheme="minorEastAsia" w:hAnsiTheme="minorEastAsia" w:cstheme="minorEastAsia"/>
          <w:sz w:val="24"/>
          <w:lang w:eastAsia="zh-CN"/>
        </w:rPr>
        <w:t>修承诺</w:t>
      </w:r>
    </w:p>
    <w:p w14:paraId="4F2BE074">
      <w:pPr>
        <w:widowControl/>
        <w:spacing w:after="200" w:line="220" w:lineRule="atLeast"/>
        <w:ind w:left="420" w:hanging="420" w:hangingChars="200"/>
        <w:jc w:val="left"/>
        <w:rPr>
          <w:rFonts w:ascii="宋体" w:hAnsi="宋体" w:cs="宋体"/>
          <w:szCs w:val="21"/>
        </w:rPr>
      </w:pPr>
      <w:r>
        <w:rPr>
          <w:rFonts w:ascii="宋体" w:hAnsi="宋体" w:cs="宋体"/>
          <w:szCs w:val="21"/>
        </w:rPr>
        <w:t>深圳市福田区第二人民医院：</w:t>
      </w:r>
    </w:p>
    <w:p w14:paraId="0E78352C">
      <w:pPr>
        <w:ind w:firstLine="420" w:firstLineChars="200"/>
        <w:rPr>
          <w:rFonts w:ascii="宋体" w:hAnsi="宋体" w:cs="宋体"/>
          <w:szCs w:val="21"/>
        </w:rPr>
      </w:pPr>
      <w:r>
        <w:rPr>
          <w:rFonts w:ascii="宋体" w:hAnsi="宋体" w:cs="宋体"/>
          <w:szCs w:val="21"/>
        </w:rPr>
        <w:t>在您的支持和信任之下，为保障您的利益，使您得到更好更优质的服务，我司在此做出如下承诺：</w:t>
      </w:r>
    </w:p>
    <w:p w14:paraId="20163C6E">
      <w:pPr>
        <w:numPr>
          <w:ilvl w:val="0"/>
          <w:numId w:val="16"/>
        </w:numPr>
        <w:ind w:left="210" w:hanging="210" w:hangingChars="100"/>
        <w:rPr>
          <w:rFonts w:ascii="宋体" w:hAnsi="宋体" w:cs="宋体"/>
          <w:szCs w:val="21"/>
        </w:rPr>
      </w:pPr>
      <w:r>
        <w:rPr>
          <w:rFonts w:ascii="宋体" w:hAnsi="宋体" w:cs="宋体"/>
          <w:szCs w:val="21"/>
        </w:rPr>
        <w:t>安装前准备工作：</w:t>
      </w:r>
      <w:r>
        <w:rPr>
          <w:rFonts w:ascii="宋体" w:hAnsi="宋体" w:cs="宋体"/>
          <w:szCs w:val="21"/>
        </w:rPr>
        <w:br w:type="textWrapping"/>
      </w:r>
      <w:r>
        <w:rPr>
          <w:rFonts w:ascii="宋体" w:hAnsi="宋体" w:cs="宋体"/>
          <w:szCs w:val="21"/>
        </w:rPr>
        <w:t>我方所提</w:t>
      </w:r>
      <w:r>
        <w:rPr>
          <w:rFonts w:ascii="Calibri" w:hAnsi="Calibri" w:eastAsia="宋体" w:cs="Times New Roman"/>
          <w:color w:val="000000"/>
        </w:rPr>
        <w:t>供的设备必须是全新（包括零部件）的设备</w:t>
      </w:r>
      <w:r>
        <w:rPr>
          <w:rFonts w:hint="eastAsia" w:ascii="Calibri" w:hAnsi="Calibri" w:eastAsia="宋体" w:cs="Times New Roman"/>
          <w:color w:val="000000"/>
        </w:rPr>
        <w:t>,</w:t>
      </w:r>
      <w:r>
        <w:rPr>
          <w:rFonts w:hint="eastAsia" w:ascii="Calibri" w:hAnsi="Calibri" w:eastAsia="宋体" w:cs="Times New Roman"/>
          <w:color w:val="FF0000"/>
        </w:rPr>
        <w:t xml:space="preserve"> </w:t>
      </w:r>
      <w:r>
        <w:rPr>
          <w:rFonts w:hint="eastAsia" w:ascii="Calibri" w:hAnsi="Calibri" w:eastAsia="宋体" w:cs="Times New Roman"/>
          <w:color w:val="000000"/>
        </w:rPr>
        <w:t>出厂日期在采购人收到日期前12个月内，最新生产批次且经检验合格的产品。</w:t>
      </w:r>
      <w:r>
        <w:rPr>
          <w:rFonts w:ascii="Calibri" w:hAnsi="Calibri" w:eastAsia="宋体" w:cs="Times New Roman"/>
          <w:color w:val="000000"/>
        </w:rPr>
        <w:t>设备到达甲方安装现场时外包装应完好无损。本合同项下设备必须符合国家检测标准。</w:t>
      </w:r>
    </w:p>
    <w:p w14:paraId="3F31591F">
      <w:pPr>
        <w:numPr>
          <w:ilvl w:val="0"/>
          <w:numId w:val="16"/>
        </w:numPr>
        <w:ind w:left="210" w:hanging="210" w:hangingChars="100"/>
        <w:rPr>
          <w:szCs w:val="21"/>
        </w:rPr>
      </w:pPr>
      <w:r>
        <w:rPr>
          <w:rFonts w:ascii="宋体" w:hAnsi="宋体" w:cs="宋体"/>
          <w:szCs w:val="21"/>
        </w:rPr>
        <w:t>安装与调试及培训</w:t>
      </w:r>
      <w:r>
        <w:rPr>
          <w:rFonts w:ascii="宋体" w:hAnsi="宋体" w:cs="宋体"/>
          <w:szCs w:val="21"/>
        </w:rPr>
        <w:br w:type="textWrapping"/>
      </w:r>
      <w:r>
        <w:rPr>
          <w:rFonts w:ascii="宋体" w:hAnsi="宋体" w:cs="宋体"/>
          <w:szCs w:val="21"/>
        </w:rPr>
        <w:t>1.我方对所提供的设备负责现场指导安装与调试直至系统正常运行。</w:t>
      </w:r>
      <w:r>
        <w:rPr>
          <w:rFonts w:ascii="宋体" w:hAnsi="宋体" w:cs="宋体"/>
          <w:szCs w:val="21"/>
        </w:rPr>
        <w:br w:type="textWrapping"/>
      </w:r>
      <w:r>
        <w:rPr>
          <w:rFonts w:ascii="宋体" w:hAnsi="宋体" w:cs="宋体"/>
          <w:szCs w:val="21"/>
        </w:rPr>
        <w:t>2.安装调试完成后我方将在安装现场由具有</w:t>
      </w:r>
      <w:r>
        <w:rPr>
          <w:rFonts w:hint="eastAsia" w:ascii="宋体" w:hAnsi="宋体" w:cs="宋体"/>
          <w:szCs w:val="21"/>
        </w:rPr>
        <w:t>三</w:t>
      </w:r>
      <w:r>
        <w:rPr>
          <w:rFonts w:ascii="宋体" w:hAnsi="宋体" w:cs="宋体"/>
          <w:szCs w:val="21"/>
        </w:rPr>
        <w:t>年以上的维修经验的技术员为需方进行培训，使其能独立完成与设备、系统有关的各项操作，以及使用时注意的事项和常见简单故障的处理，保证用户对仪器能进行熟练的操作和日常维护。</w:t>
      </w:r>
    </w:p>
    <w:p w14:paraId="3062E996">
      <w:pPr>
        <w:ind w:left="210" w:hanging="210" w:hangingChars="100"/>
      </w:pPr>
      <w:r>
        <w:rPr>
          <w:rFonts w:hint="eastAsia" w:ascii="宋体" w:hAnsi="宋体" w:cs="宋体"/>
          <w:szCs w:val="21"/>
          <w:lang w:val="en-US" w:eastAsia="zh-CN"/>
        </w:rPr>
        <w:t>三、</w:t>
      </w:r>
      <w:r>
        <w:rPr>
          <w:rFonts w:ascii="宋体" w:hAnsi="宋体" w:cs="宋体"/>
          <w:szCs w:val="21"/>
        </w:rPr>
        <w:t>维护保养服务</w:t>
      </w:r>
      <w:r>
        <w:rPr>
          <w:rFonts w:ascii="宋体" w:hAnsi="宋体" w:cs="宋体"/>
          <w:szCs w:val="21"/>
        </w:rPr>
        <w:br w:type="textWrapping"/>
      </w:r>
      <w:r>
        <w:rPr>
          <w:rFonts w:ascii="宋体" w:hAnsi="宋体" w:cs="宋体"/>
          <w:szCs w:val="21"/>
        </w:rPr>
        <w:t>我们保证为货物提供整机免</w:t>
      </w:r>
      <w:r>
        <w:rPr>
          <w:rFonts w:ascii="宋体" w:hAnsi="宋体" w:cs="宋体"/>
          <w:color w:val="000000" w:themeColor="text1"/>
          <w:szCs w:val="21"/>
          <w14:textFill>
            <w14:solidFill>
              <w14:schemeClr w14:val="tx1"/>
            </w14:solidFill>
          </w14:textFill>
        </w:rPr>
        <w:t>费</w:t>
      </w:r>
      <w:r>
        <w:rPr>
          <w:rFonts w:ascii="宋体" w:hAnsi="宋体" w:cs="宋体"/>
          <w:color w:val="000000" w:themeColor="text1"/>
          <w:szCs w:val="21"/>
          <w:highlight w:val="yellow"/>
          <w14:textFill>
            <w14:solidFill>
              <w14:schemeClr w14:val="tx1"/>
            </w14:solidFill>
          </w14:textFill>
        </w:rPr>
        <w:t>保修期</w:t>
      </w:r>
      <w:r>
        <w:rPr>
          <w:rFonts w:hint="eastAsia" w:ascii="宋体" w:hAnsi="宋体" w:cs="宋体"/>
          <w:color w:val="000000" w:themeColor="text1"/>
          <w:szCs w:val="21"/>
          <w:highlight w:val="yellow"/>
          <w14:textFill>
            <w14:solidFill>
              <w14:schemeClr w14:val="tx1"/>
            </w14:solidFill>
          </w14:textFill>
        </w:rPr>
        <w:t>叁</w:t>
      </w:r>
      <w:r>
        <w:rPr>
          <w:rFonts w:ascii="宋体" w:hAnsi="宋体" w:cs="宋体"/>
          <w:color w:val="000000" w:themeColor="text1"/>
          <w:szCs w:val="21"/>
          <w:highlight w:val="yellow"/>
          <w14:textFill>
            <w14:solidFill>
              <w14:schemeClr w14:val="tx1"/>
            </w14:solidFill>
          </w14:textFill>
        </w:rPr>
        <w:t>年</w:t>
      </w:r>
      <w:r>
        <w:rPr>
          <w:rFonts w:ascii="宋体" w:hAnsi="宋体" w:cs="宋体"/>
          <w:szCs w:val="21"/>
        </w:rPr>
        <w:t>，终身有偿维修。年度定期预防性维护保养次数应</w:t>
      </w:r>
      <w:r>
        <w:rPr>
          <w:rFonts w:ascii="宋体" w:hAnsi="宋体" w:cs="宋体"/>
          <w:szCs w:val="21"/>
          <w:highlight w:val="yellow"/>
        </w:rPr>
        <w:t>不少于2次</w:t>
      </w:r>
      <w:r>
        <w:rPr>
          <w:rFonts w:hint="eastAsia" w:ascii="宋体" w:hAnsi="宋体" w:cs="宋体"/>
          <w:szCs w:val="21"/>
          <w:highlight w:val="yellow"/>
          <w:lang w:eastAsia="zh-CN"/>
        </w:rPr>
        <w:t>。</w:t>
      </w:r>
      <w:r>
        <w:rPr>
          <w:rFonts w:ascii="宋体" w:hAnsi="宋体" w:cs="宋体"/>
          <w:szCs w:val="21"/>
        </w:rPr>
        <w:br w:type="textWrapping"/>
      </w:r>
      <w:r>
        <w:rPr>
          <w:rFonts w:ascii="宋体" w:hAnsi="宋体" w:cs="宋体"/>
          <w:szCs w:val="21"/>
        </w:rPr>
        <w:t>1．</w:t>
      </w:r>
      <w:r>
        <w:rPr>
          <w:rFonts w:hint="eastAsia" w:ascii="宋体" w:hAnsi="宋体" w:cs="宋体"/>
          <w:szCs w:val="21"/>
          <w:lang w:val="en-US" w:eastAsia="zh-CN"/>
        </w:rPr>
        <w:t>仪器</w:t>
      </w:r>
      <w:r>
        <w:rPr>
          <w:rFonts w:ascii="宋体" w:hAnsi="宋体" w:cs="宋体"/>
          <w:szCs w:val="21"/>
        </w:rPr>
        <w:t>的正常保养</w:t>
      </w:r>
      <w:r>
        <w:rPr>
          <w:rFonts w:hint="eastAsia" w:ascii="宋体" w:hAnsi="宋体" w:cs="宋体"/>
          <w:szCs w:val="21"/>
          <w:lang w:eastAsia="zh-CN"/>
        </w:rPr>
        <w:t>。</w:t>
      </w:r>
      <w:r>
        <w:rPr>
          <w:rFonts w:ascii="宋体" w:hAnsi="宋体" w:cs="宋体"/>
          <w:szCs w:val="21"/>
        </w:rPr>
        <w:br w:type="textWrapping"/>
      </w:r>
      <w:r>
        <w:rPr>
          <w:rFonts w:ascii="宋体" w:hAnsi="宋体" w:cs="宋体"/>
          <w:szCs w:val="21"/>
        </w:rPr>
        <w:t>2．</w:t>
      </w:r>
      <w:r>
        <w:rPr>
          <w:rFonts w:hint="eastAsia" w:ascii="宋体" w:hAnsi="宋体" w:cs="宋体"/>
          <w:szCs w:val="21"/>
          <w:lang w:val="en-US" w:eastAsia="zh-CN"/>
        </w:rPr>
        <w:t>仪器</w:t>
      </w:r>
      <w:r>
        <w:rPr>
          <w:rFonts w:ascii="宋体" w:hAnsi="宋体" w:cs="宋体"/>
          <w:szCs w:val="21"/>
        </w:rPr>
        <w:t>性能的检测。 </w:t>
      </w:r>
    </w:p>
    <w:p w14:paraId="0D53EFF2">
      <w:pPr>
        <w:ind w:left="210" w:hanging="210" w:hangingChars="100"/>
      </w:pPr>
      <w:r>
        <w:rPr>
          <w:rFonts w:hint="eastAsia"/>
          <w:lang w:val="en-US" w:eastAsia="zh-CN"/>
        </w:rPr>
        <w:t>四、</w:t>
      </w:r>
      <w:r>
        <w:t>免费保修期内外所提供服务</w:t>
      </w:r>
      <w:r>
        <w:br w:type="textWrapping"/>
      </w:r>
      <w:r>
        <w:t>1.保修期内免费更换零配件、免工时保修时间从验收签字起计算。在质保期内我方将严格遵守中华人民共和国的相关法律和法规对货物提供“三包”等售后服务</w:t>
      </w:r>
      <w:r>
        <w:rPr>
          <w:rFonts w:hint="eastAsia"/>
        </w:rPr>
        <w:t>。</w:t>
      </w:r>
    </w:p>
    <w:p w14:paraId="536B31BE">
      <w:pPr>
        <w:ind w:left="210" w:leftChars="100" w:firstLine="0" w:firstLineChars="0"/>
      </w:pPr>
      <w:r>
        <w:rPr>
          <w:highlight w:val="yellow"/>
        </w:rPr>
        <w:t>2.由我方提供售后服务，2小时内响应，8小时维修到位（不可抗力情况除外）。消耗品和零配件供应及时，特殊情况下可提供备用机</w:t>
      </w:r>
      <w:r>
        <w:t>。</w:t>
      </w:r>
      <w:r>
        <w:rPr>
          <w:rFonts w:hint="eastAsia"/>
        </w:rPr>
        <w:t xml:space="preserve">   </w:t>
      </w:r>
    </w:p>
    <w:p w14:paraId="44D01A4A">
      <w:pPr>
        <w:outlineLvl w:val="9"/>
      </w:pPr>
      <w:r>
        <w:rPr>
          <w:rFonts w:hint="eastAsia"/>
        </w:rPr>
        <w:t>五、信息化服务</w:t>
      </w:r>
    </w:p>
    <w:p w14:paraId="1263201E">
      <w:pPr>
        <w:ind w:left="210" w:leftChars="100" w:firstLine="210" w:firstLineChars="100"/>
      </w:pPr>
      <w:r>
        <w:rPr>
          <w:rFonts w:hint="eastAsia"/>
        </w:rPr>
        <w:t xml:space="preserve">免费提供软件升级服务,并免费开放设备接口，无偿派人配合与医院信息系统的连接工作(包括接口费与二次开发费)，直至该设备与医院信息系统可进行完整的数据交换；在设备保修期内，当医院信息系统变更并需要与该设备连接时，需无偿派人配合直至该设备与医院信息系统可进行完整的数据交换。  </w:t>
      </w:r>
    </w:p>
    <w:p w14:paraId="783B0E99">
      <w:pPr>
        <w:numPr>
          <w:ilvl w:val="0"/>
          <w:numId w:val="0"/>
        </w:numPr>
        <w:rPr>
          <w:rFonts w:hint="eastAsia" w:ascii="宋体" w:hAnsi="宋体" w:cs="宋体"/>
          <w:color w:val="000000" w:themeColor="text1"/>
          <w:szCs w:val="21"/>
          <w:lang w:eastAsia="zh-CN"/>
          <w14:textFill>
            <w14:solidFill>
              <w14:schemeClr w14:val="tx1"/>
            </w14:solidFill>
          </w14:textFill>
        </w:rPr>
      </w:pPr>
    </w:p>
    <w:p w14:paraId="0CE62F1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8FC25D">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A806D6A">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2FE106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A407C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5E40BD2">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（二十四）</w:t>
      </w:r>
      <w:bookmarkEnd w:id="86"/>
      <w:r>
        <w:rPr>
          <w:rFonts w:hint="eastAsia" w:cs="宋体" w:asciiTheme="majorEastAsia" w:hAnsiTheme="majorEastAsia" w:eastAsiaTheme="majorEastAsia"/>
          <w:kern w:val="2"/>
          <w:sz w:val="30"/>
          <w:szCs w:val="30"/>
          <w:lang w:val="en-US" w:eastAsia="zh-CN" w:bidi="ar-SA"/>
        </w:rPr>
        <w:t>技术保障措施</w:t>
      </w:r>
    </w:p>
    <w:p w14:paraId="32448156">
      <w:pPr>
        <w:keepNext w:val="0"/>
        <w:keepLines w:val="0"/>
        <w:widowControl/>
        <w:suppressLineNumbers w:val="0"/>
        <w:jc w:val="center"/>
        <w:textAlignment w:val="center"/>
        <w:outlineLvl w:val="9"/>
        <w:rPr>
          <w:rFonts w:hint="default"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05FF5B71">
      <w:pPr>
        <w:pStyle w:val="3"/>
        <w:numPr>
          <w:ilvl w:val="0"/>
          <w:numId w:val="0"/>
        </w:numPr>
        <w:spacing w:line="240" w:lineRule="auto"/>
        <w:ind w:left="0" w:leftChars="0" w:firstLine="0" w:firstLineChars="0"/>
        <w:jc w:val="center"/>
        <w:outlineLvl w:val="9"/>
        <w:rPr>
          <w:rFonts w:hint="eastAsia" w:asciiTheme="majorEastAsia" w:hAnsiTheme="majorEastAsia" w:eastAsiaTheme="majorEastAsia"/>
          <w:sz w:val="30"/>
          <w:szCs w:val="30"/>
        </w:rPr>
      </w:pPr>
    </w:p>
    <w:p w14:paraId="142BDA7C">
      <w:pPr>
        <w:widowControl w:val="0"/>
        <w:numPr>
          <w:ilvl w:val="0"/>
          <w:numId w:val="0"/>
        </w:numPr>
        <w:jc w:val="both"/>
        <w:rPr>
          <w:rFonts w:hint="eastAsia"/>
          <w:sz w:val="32"/>
          <w:szCs w:val="32"/>
          <w:lang w:val="en-US" w:eastAsia="zh-CN"/>
        </w:rPr>
      </w:pPr>
    </w:p>
    <w:p w14:paraId="386EC165">
      <w:pPr>
        <w:widowControl w:val="0"/>
        <w:numPr>
          <w:ilvl w:val="0"/>
          <w:numId w:val="0"/>
        </w:numPr>
        <w:jc w:val="both"/>
        <w:rPr>
          <w:rFonts w:hint="eastAsia"/>
          <w:sz w:val="32"/>
          <w:szCs w:val="32"/>
          <w:lang w:val="en-US" w:eastAsia="zh-CN"/>
        </w:rPr>
      </w:pPr>
    </w:p>
    <w:p w14:paraId="50E0B4B0">
      <w:pPr>
        <w:widowControl w:val="0"/>
        <w:numPr>
          <w:ilvl w:val="0"/>
          <w:numId w:val="0"/>
        </w:numPr>
        <w:jc w:val="both"/>
        <w:rPr>
          <w:rFonts w:hint="eastAsia"/>
          <w:sz w:val="32"/>
          <w:szCs w:val="32"/>
          <w:lang w:val="en-US" w:eastAsia="zh-CN"/>
        </w:rPr>
      </w:pPr>
    </w:p>
    <w:p w14:paraId="07EB7E8B">
      <w:pPr>
        <w:widowControl w:val="0"/>
        <w:numPr>
          <w:ilvl w:val="0"/>
          <w:numId w:val="0"/>
        </w:numPr>
        <w:jc w:val="both"/>
        <w:rPr>
          <w:rFonts w:hint="eastAsia"/>
          <w:sz w:val="32"/>
          <w:szCs w:val="32"/>
          <w:lang w:val="en-US" w:eastAsia="zh-CN"/>
        </w:rPr>
      </w:pPr>
    </w:p>
    <w:p w14:paraId="379CB4BF">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bookmarkStart w:id="89" w:name="_Toc435515322"/>
      <w:bookmarkStart w:id="90" w:name="_Toc435514882"/>
    </w:p>
    <w:p w14:paraId="44FBB5B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9EE82B4">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7ED4A22">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40D7815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7E0C35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0B94A02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D17910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564217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CC54C3A">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FE501F5">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68A0206">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88D070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1CB9269">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4048E0C">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1F0C58A0">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95C51CB">
      <w:pPr>
        <w:pStyle w:val="15"/>
        <w:numPr>
          <w:ilvl w:val="0"/>
          <w:numId w:val="0"/>
        </w:numPr>
        <w:ind w:left="0" w:leftChars="0" w:firstLine="0" w:firstLineChars="0"/>
        <w:jc w:val="both"/>
        <w:rPr>
          <w:rFonts w:hint="eastAsia" w:asciiTheme="majorEastAsia" w:hAnsiTheme="majorEastAsia" w:eastAsiaTheme="minorEastAsia" w:cstheme="minorBidi"/>
          <w:kern w:val="2"/>
          <w:sz w:val="32"/>
          <w:szCs w:val="32"/>
          <w:lang w:val="en-US" w:eastAsia="zh-CN" w:bidi="ar-SA"/>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（二十五）有效业绩</w:t>
      </w:r>
    </w:p>
    <w:p w14:paraId="4A0B5855">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FE3A0F8">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40FEC72">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7FDCF3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F9ADBB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E12505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D9A2BD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34E2CF8">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（二十六）履约评价</w:t>
      </w:r>
    </w:p>
    <w:p w14:paraId="7FB48CE9">
      <w:pPr>
        <w:pStyle w:val="15"/>
        <w:widowControl w:val="0"/>
        <w:numPr>
          <w:ilvl w:val="0"/>
          <w:numId w:val="0"/>
        </w:numPr>
        <w:spacing w:line="560" w:lineRule="exact"/>
        <w:jc w:val="center"/>
        <w:rPr>
          <w:rFonts w:hint="eastAsia" w:asciiTheme="majorEastAsia" w:hAnsiTheme="majorEastAsia"/>
          <w:sz w:val="32"/>
          <w:szCs w:val="32"/>
        </w:rPr>
      </w:pPr>
    </w:p>
    <w:p w14:paraId="1E64563B">
      <w:pPr>
        <w:pStyle w:val="15"/>
        <w:widowControl w:val="0"/>
        <w:numPr>
          <w:ilvl w:val="0"/>
          <w:numId w:val="0"/>
        </w:numPr>
        <w:spacing w:line="560" w:lineRule="exact"/>
        <w:jc w:val="center"/>
        <w:rPr>
          <w:rFonts w:hint="eastAsia" w:asciiTheme="majorEastAsia" w:hAnsiTheme="majorEastAsia"/>
          <w:sz w:val="32"/>
          <w:szCs w:val="32"/>
        </w:rPr>
      </w:pPr>
    </w:p>
    <w:p w14:paraId="1E9153AC">
      <w:pPr>
        <w:pStyle w:val="15"/>
        <w:widowControl w:val="0"/>
        <w:numPr>
          <w:ilvl w:val="0"/>
          <w:numId w:val="0"/>
        </w:numPr>
        <w:spacing w:line="560" w:lineRule="exact"/>
        <w:jc w:val="center"/>
        <w:rPr>
          <w:rFonts w:hint="eastAsia" w:asciiTheme="majorEastAsia" w:hAnsiTheme="majorEastAsia"/>
          <w:sz w:val="32"/>
          <w:szCs w:val="32"/>
        </w:rPr>
      </w:pPr>
    </w:p>
    <w:p w14:paraId="5F101BCF">
      <w:pPr>
        <w:pStyle w:val="15"/>
        <w:widowControl w:val="0"/>
        <w:numPr>
          <w:ilvl w:val="0"/>
          <w:numId w:val="0"/>
        </w:numPr>
        <w:spacing w:line="560" w:lineRule="exact"/>
        <w:jc w:val="center"/>
        <w:rPr>
          <w:rFonts w:hint="eastAsia" w:asciiTheme="majorEastAsia" w:hAnsiTheme="majorEastAsia"/>
          <w:sz w:val="32"/>
          <w:szCs w:val="32"/>
        </w:rPr>
      </w:pPr>
    </w:p>
    <w:p w14:paraId="1F62F63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56082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4735608">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8ED6084">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2381D1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FEEA16C">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C4C8B4E">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14721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EA864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5E3BA20">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DE647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DE47B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64A1AEF9">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BEBDA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64AB9C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F802E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1974B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175A2CD7">
      <w:pPr>
        <w:snapToGrid w:val="0"/>
        <w:ind w:left="0" w:leftChars="0" w:firstLine="0" w:firstLineChars="0"/>
        <w:jc w:val="center"/>
        <w:rPr>
          <w:rFonts w:hint="eastAsia" w:asciiTheme="majorEastAsia" w:hAnsiTheme="majorEastAsia" w:eastAsiaTheme="majorEastAsia"/>
          <w:sz w:val="30"/>
          <w:szCs w:val="30"/>
          <w:lang w:eastAsia="zh-CN"/>
        </w:rPr>
      </w:pPr>
    </w:p>
    <w:p w14:paraId="46420AF4">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二十七</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质保期</w:t>
      </w:r>
    </w:p>
    <w:p w14:paraId="1535852E">
      <w:pPr>
        <w:snapToGrid w:val="0"/>
        <w:ind w:left="0" w:leftChars="0" w:firstLine="0" w:firstLineChars="0"/>
        <w:jc w:val="center"/>
        <w:outlineLvl w:val="9"/>
        <w:rPr>
          <w:rFonts w:hint="eastAsia" w:asciiTheme="majorEastAsia" w:hAnsiTheme="majorEastAsia" w:eastAsiaTheme="minorEastAsia" w:cstheme="minorBidi"/>
          <w:kern w:val="2"/>
          <w:sz w:val="30"/>
          <w:szCs w:val="30"/>
          <w:lang w:val="en-US" w:eastAsia="zh-CN" w:bidi="ar-SA"/>
        </w:rPr>
      </w:pPr>
      <w:r>
        <w:rPr>
          <w:rFonts w:hint="eastAsia" w:asciiTheme="majorEastAsia" w:hAnsiTheme="majorEastAsia" w:eastAsiaTheme="minorEastAsia" w:cstheme="minorBidi"/>
          <w:kern w:val="2"/>
          <w:sz w:val="30"/>
          <w:szCs w:val="30"/>
          <w:lang w:val="en-US" w:eastAsia="zh-CN" w:bidi="ar-SA"/>
        </w:rPr>
        <w:t>（根据投标人情况提供承诺，格式自拟）</w:t>
      </w:r>
    </w:p>
    <w:p w14:paraId="1785BFA1">
      <w:pPr>
        <w:jc w:val="center"/>
        <w:rPr>
          <w:rFonts w:hint="eastAsia" w:asciiTheme="majorEastAsia" w:hAnsiTheme="majorEastAsia" w:eastAsiaTheme="majorEastAsia"/>
          <w:sz w:val="30"/>
          <w:szCs w:val="30"/>
          <w:lang w:eastAsia="zh-CN"/>
        </w:rPr>
      </w:pPr>
    </w:p>
    <w:p w14:paraId="076E8443">
      <w:pPr>
        <w:pStyle w:val="5"/>
        <w:rPr>
          <w:rFonts w:hint="eastAsia" w:asciiTheme="majorEastAsia" w:hAnsiTheme="majorEastAsia" w:eastAsiaTheme="majorEastAsia"/>
          <w:sz w:val="30"/>
          <w:szCs w:val="30"/>
          <w:lang w:eastAsia="zh-CN"/>
        </w:rPr>
      </w:pPr>
    </w:p>
    <w:p w14:paraId="6F8BD450">
      <w:pPr>
        <w:rPr>
          <w:rFonts w:hint="eastAsia" w:asciiTheme="majorEastAsia" w:hAnsiTheme="majorEastAsia" w:eastAsiaTheme="majorEastAsia"/>
          <w:sz w:val="30"/>
          <w:szCs w:val="30"/>
          <w:lang w:eastAsia="zh-CN"/>
        </w:rPr>
      </w:pPr>
    </w:p>
    <w:p w14:paraId="51439EBE">
      <w:pPr>
        <w:rPr>
          <w:rFonts w:hint="eastAsia" w:asciiTheme="majorEastAsia" w:hAnsiTheme="majorEastAsia" w:eastAsiaTheme="majorEastAsia"/>
          <w:sz w:val="30"/>
          <w:szCs w:val="30"/>
          <w:lang w:eastAsia="zh-CN"/>
        </w:rPr>
      </w:pPr>
    </w:p>
    <w:p w14:paraId="70E44D4C">
      <w:pPr>
        <w:rPr>
          <w:rFonts w:hint="eastAsia" w:asciiTheme="majorEastAsia" w:hAnsiTheme="majorEastAsia" w:eastAsiaTheme="majorEastAsia"/>
          <w:sz w:val="30"/>
          <w:szCs w:val="30"/>
          <w:lang w:eastAsia="zh-CN"/>
        </w:rPr>
      </w:pPr>
    </w:p>
    <w:p w14:paraId="77D7B746">
      <w:pPr>
        <w:rPr>
          <w:rFonts w:hint="eastAsia" w:asciiTheme="majorEastAsia" w:hAnsiTheme="majorEastAsia" w:eastAsiaTheme="majorEastAsia"/>
          <w:sz w:val="30"/>
          <w:szCs w:val="30"/>
          <w:lang w:eastAsia="zh-CN"/>
        </w:rPr>
      </w:pPr>
    </w:p>
    <w:p w14:paraId="5D61D772">
      <w:pPr>
        <w:rPr>
          <w:rFonts w:hint="eastAsia" w:asciiTheme="majorEastAsia" w:hAnsiTheme="majorEastAsia" w:eastAsiaTheme="majorEastAsia"/>
          <w:sz w:val="30"/>
          <w:szCs w:val="30"/>
          <w:lang w:eastAsia="zh-CN"/>
        </w:rPr>
      </w:pPr>
    </w:p>
    <w:p w14:paraId="4D3D118A">
      <w:pPr>
        <w:rPr>
          <w:rFonts w:hint="eastAsia" w:asciiTheme="majorEastAsia" w:hAnsiTheme="majorEastAsia" w:eastAsiaTheme="majorEastAsia"/>
          <w:sz w:val="30"/>
          <w:szCs w:val="30"/>
          <w:lang w:eastAsia="zh-CN"/>
        </w:rPr>
      </w:pPr>
    </w:p>
    <w:p w14:paraId="5302882E">
      <w:pPr>
        <w:rPr>
          <w:rFonts w:hint="eastAsia" w:asciiTheme="majorEastAsia" w:hAnsiTheme="majorEastAsia" w:eastAsiaTheme="majorEastAsia"/>
          <w:sz w:val="30"/>
          <w:szCs w:val="30"/>
          <w:lang w:eastAsia="zh-CN"/>
        </w:rPr>
      </w:pPr>
    </w:p>
    <w:p w14:paraId="295B4F01">
      <w:pPr>
        <w:rPr>
          <w:rFonts w:hint="eastAsia" w:asciiTheme="majorEastAsia" w:hAnsiTheme="majorEastAsia" w:eastAsiaTheme="majorEastAsia"/>
          <w:sz w:val="30"/>
          <w:szCs w:val="30"/>
          <w:lang w:eastAsia="zh-CN"/>
        </w:rPr>
      </w:pPr>
    </w:p>
    <w:p w14:paraId="1A606DEA">
      <w:pPr>
        <w:rPr>
          <w:rFonts w:hint="eastAsia" w:asciiTheme="majorEastAsia" w:hAnsiTheme="majorEastAsia" w:eastAsiaTheme="majorEastAsia"/>
          <w:sz w:val="30"/>
          <w:szCs w:val="30"/>
          <w:lang w:eastAsia="zh-CN"/>
        </w:rPr>
      </w:pPr>
    </w:p>
    <w:p w14:paraId="726B63A6">
      <w:pPr>
        <w:rPr>
          <w:rFonts w:hint="eastAsia" w:asciiTheme="majorEastAsia" w:hAnsiTheme="majorEastAsia" w:eastAsiaTheme="majorEastAsia"/>
          <w:sz w:val="30"/>
          <w:szCs w:val="30"/>
          <w:lang w:eastAsia="zh-CN"/>
        </w:rPr>
      </w:pPr>
    </w:p>
    <w:p w14:paraId="5D363DC9">
      <w:pPr>
        <w:rPr>
          <w:rFonts w:hint="eastAsia" w:asciiTheme="majorEastAsia" w:hAnsiTheme="majorEastAsia" w:eastAsiaTheme="majorEastAsia"/>
          <w:sz w:val="30"/>
          <w:szCs w:val="30"/>
          <w:lang w:eastAsia="zh-CN"/>
        </w:rPr>
      </w:pPr>
    </w:p>
    <w:p w14:paraId="55ED6738">
      <w:pPr>
        <w:rPr>
          <w:rFonts w:hint="eastAsia" w:asciiTheme="majorEastAsia" w:hAnsiTheme="majorEastAsia" w:eastAsiaTheme="majorEastAsia"/>
          <w:sz w:val="30"/>
          <w:szCs w:val="30"/>
          <w:lang w:eastAsia="zh-CN"/>
        </w:rPr>
      </w:pPr>
    </w:p>
    <w:p w14:paraId="44188481">
      <w:pPr>
        <w:rPr>
          <w:rFonts w:hint="eastAsia" w:asciiTheme="majorEastAsia" w:hAnsiTheme="majorEastAsia" w:eastAsiaTheme="majorEastAsia"/>
          <w:sz w:val="30"/>
          <w:szCs w:val="30"/>
          <w:lang w:eastAsia="zh-CN"/>
        </w:rPr>
      </w:pPr>
    </w:p>
    <w:p w14:paraId="0E08CF18">
      <w:pPr>
        <w:rPr>
          <w:rFonts w:hint="eastAsia" w:asciiTheme="majorEastAsia" w:hAnsiTheme="majorEastAsia" w:eastAsiaTheme="majorEastAsia"/>
          <w:sz w:val="30"/>
          <w:szCs w:val="30"/>
          <w:lang w:eastAsia="zh-CN"/>
        </w:rPr>
      </w:pPr>
    </w:p>
    <w:p w14:paraId="54F7E3A7">
      <w:pPr>
        <w:rPr>
          <w:rFonts w:hint="eastAsia" w:asciiTheme="majorEastAsia" w:hAnsiTheme="majorEastAsia" w:eastAsiaTheme="majorEastAsia"/>
          <w:sz w:val="30"/>
          <w:szCs w:val="30"/>
          <w:lang w:eastAsia="zh-CN"/>
        </w:rPr>
      </w:pPr>
    </w:p>
    <w:p w14:paraId="4FD042A8">
      <w:pPr>
        <w:rPr>
          <w:rFonts w:hint="eastAsia" w:asciiTheme="majorEastAsia" w:hAnsiTheme="majorEastAsia" w:eastAsiaTheme="majorEastAsia"/>
          <w:sz w:val="30"/>
          <w:szCs w:val="30"/>
          <w:lang w:eastAsia="zh-CN"/>
        </w:rPr>
      </w:pPr>
    </w:p>
    <w:p w14:paraId="4B38098E">
      <w:pPr>
        <w:rPr>
          <w:rFonts w:hint="eastAsia" w:asciiTheme="majorEastAsia" w:hAnsiTheme="majorEastAsia" w:eastAsiaTheme="majorEastAsia"/>
          <w:sz w:val="30"/>
          <w:szCs w:val="30"/>
          <w:lang w:eastAsia="zh-CN"/>
        </w:rPr>
      </w:pPr>
    </w:p>
    <w:p w14:paraId="29E48FF0">
      <w:pPr>
        <w:rPr>
          <w:rFonts w:hint="eastAsia" w:asciiTheme="majorEastAsia" w:hAnsiTheme="majorEastAsia" w:eastAsiaTheme="majorEastAsia"/>
          <w:sz w:val="30"/>
          <w:szCs w:val="30"/>
          <w:lang w:eastAsia="zh-CN"/>
        </w:rPr>
      </w:pPr>
    </w:p>
    <w:p w14:paraId="6E958AAC">
      <w:pPr>
        <w:rPr>
          <w:rFonts w:hint="eastAsia" w:asciiTheme="majorEastAsia" w:hAnsiTheme="majorEastAsia" w:eastAsiaTheme="majorEastAsia"/>
          <w:sz w:val="30"/>
          <w:szCs w:val="30"/>
          <w:lang w:eastAsia="zh-CN"/>
        </w:rPr>
      </w:pPr>
    </w:p>
    <w:p w14:paraId="3323938C">
      <w:pPr>
        <w:pStyle w:val="15"/>
        <w:numPr>
          <w:ilvl w:val="0"/>
          <w:numId w:val="0"/>
        </w:numPr>
        <w:ind w:left="0" w:leftChars="0" w:firstLine="0" w:firstLineChars="0"/>
        <w:jc w:val="center"/>
        <w:outlineLvl w:val="0"/>
        <w:rPr>
          <w:rFonts w:hint="eastAsia" w:asciiTheme="majorEastAsia" w:hAnsiTheme="majorEastAsia"/>
          <w:sz w:val="30"/>
          <w:szCs w:val="30"/>
        </w:rPr>
      </w:pP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cstheme="minorBidi"/>
          <w:kern w:val="2"/>
          <w:sz w:val="30"/>
          <w:szCs w:val="30"/>
          <w:lang w:val="en-US" w:eastAsia="zh-CN" w:bidi="ar-SA"/>
        </w:rPr>
        <w:t>二十八</w:t>
      </w: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sz w:val="30"/>
          <w:szCs w:val="30"/>
        </w:rPr>
        <w:t>所投设备参数及产品注册时的检测报告</w:t>
      </w:r>
      <w:r>
        <w:rPr>
          <w:rFonts w:hint="eastAsia" w:asciiTheme="majorEastAsia" w:hAnsiTheme="majorEastAsia"/>
          <w:sz w:val="30"/>
          <w:szCs w:val="30"/>
          <w:lang w:val="en-US" w:eastAsia="zh-CN"/>
        </w:rPr>
        <w:t xml:space="preserve">            </w:t>
      </w:r>
    </w:p>
    <w:p w14:paraId="40472A44">
      <w:pPr>
        <w:rPr>
          <w:rFonts w:hint="eastAsia" w:asciiTheme="majorEastAsia" w:hAnsiTheme="majorEastAsia" w:eastAsiaTheme="majorEastAsia"/>
          <w:sz w:val="30"/>
          <w:szCs w:val="30"/>
          <w:lang w:eastAsia="zh-CN"/>
        </w:rPr>
      </w:pPr>
    </w:p>
    <w:p w14:paraId="7588BA56">
      <w:pPr>
        <w:pStyle w:val="5"/>
        <w:rPr>
          <w:rFonts w:hint="eastAsia" w:asciiTheme="majorEastAsia" w:hAnsiTheme="majorEastAsia" w:eastAsiaTheme="majorEastAsia"/>
          <w:sz w:val="30"/>
          <w:szCs w:val="30"/>
          <w:lang w:eastAsia="zh-CN"/>
        </w:rPr>
      </w:pPr>
    </w:p>
    <w:p w14:paraId="17CABD36">
      <w:pPr>
        <w:rPr>
          <w:rFonts w:hint="eastAsia" w:asciiTheme="majorEastAsia" w:hAnsiTheme="majorEastAsia" w:eastAsiaTheme="majorEastAsia"/>
          <w:sz w:val="30"/>
          <w:szCs w:val="30"/>
          <w:lang w:eastAsia="zh-CN"/>
        </w:rPr>
      </w:pPr>
    </w:p>
    <w:p w14:paraId="4EFA4CC0">
      <w:pPr>
        <w:pStyle w:val="5"/>
        <w:rPr>
          <w:rFonts w:hint="eastAsia" w:asciiTheme="majorEastAsia" w:hAnsiTheme="majorEastAsia" w:eastAsiaTheme="majorEastAsia"/>
          <w:sz w:val="30"/>
          <w:szCs w:val="30"/>
          <w:lang w:eastAsia="zh-CN"/>
        </w:rPr>
      </w:pPr>
    </w:p>
    <w:p w14:paraId="4BD30BB8">
      <w:pPr>
        <w:rPr>
          <w:rFonts w:hint="eastAsia" w:asciiTheme="majorEastAsia" w:hAnsiTheme="majorEastAsia" w:eastAsiaTheme="majorEastAsia"/>
          <w:sz w:val="30"/>
          <w:szCs w:val="30"/>
          <w:lang w:eastAsia="zh-CN"/>
        </w:rPr>
      </w:pPr>
    </w:p>
    <w:p w14:paraId="67DAEE38">
      <w:pPr>
        <w:pStyle w:val="5"/>
        <w:rPr>
          <w:rFonts w:hint="eastAsia" w:asciiTheme="majorEastAsia" w:hAnsiTheme="majorEastAsia" w:eastAsiaTheme="majorEastAsia"/>
          <w:sz w:val="30"/>
          <w:szCs w:val="30"/>
          <w:lang w:eastAsia="zh-CN"/>
        </w:rPr>
      </w:pPr>
    </w:p>
    <w:p w14:paraId="0C2C9215">
      <w:pPr>
        <w:rPr>
          <w:rFonts w:hint="eastAsia" w:asciiTheme="majorEastAsia" w:hAnsiTheme="majorEastAsia" w:eastAsiaTheme="majorEastAsia"/>
          <w:sz w:val="30"/>
          <w:szCs w:val="30"/>
          <w:lang w:eastAsia="zh-CN"/>
        </w:rPr>
      </w:pPr>
    </w:p>
    <w:p w14:paraId="23AEC420">
      <w:pPr>
        <w:pStyle w:val="5"/>
        <w:rPr>
          <w:rFonts w:hint="eastAsia" w:asciiTheme="majorEastAsia" w:hAnsiTheme="majorEastAsia" w:eastAsiaTheme="majorEastAsia"/>
          <w:sz w:val="30"/>
          <w:szCs w:val="30"/>
          <w:lang w:eastAsia="zh-CN"/>
        </w:rPr>
      </w:pPr>
    </w:p>
    <w:p w14:paraId="1DA4F157">
      <w:pPr>
        <w:rPr>
          <w:rFonts w:hint="eastAsia" w:asciiTheme="majorEastAsia" w:hAnsiTheme="majorEastAsia" w:eastAsiaTheme="majorEastAsia"/>
          <w:sz w:val="30"/>
          <w:szCs w:val="30"/>
          <w:lang w:eastAsia="zh-CN"/>
        </w:rPr>
      </w:pPr>
    </w:p>
    <w:p w14:paraId="2612965B">
      <w:pPr>
        <w:pStyle w:val="5"/>
        <w:rPr>
          <w:rFonts w:hint="eastAsia" w:asciiTheme="majorEastAsia" w:hAnsiTheme="majorEastAsia" w:eastAsiaTheme="majorEastAsia"/>
          <w:sz w:val="30"/>
          <w:szCs w:val="30"/>
          <w:lang w:eastAsia="zh-CN"/>
        </w:rPr>
      </w:pPr>
    </w:p>
    <w:p w14:paraId="42B2449E">
      <w:pPr>
        <w:rPr>
          <w:rFonts w:hint="eastAsia" w:asciiTheme="majorEastAsia" w:hAnsiTheme="majorEastAsia" w:eastAsiaTheme="majorEastAsia"/>
          <w:sz w:val="30"/>
          <w:szCs w:val="30"/>
          <w:lang w:eastAsia="zh-CN"/>
        </w:rPr>
      </w:pPr>
    </w:p>
    <w:p w14:paraId="2AE8F28C">
      <w:pPr>
        <w:pStyle w:val="5"/>
        <w:rPr>
          <w:rFonts w:hint="eastAsia" w:asciiTheme="majorEastAsia" w:hAnsiTheme="majorEastAsia" w:eastAsiaTheme="majorEastAsia"/>
          <w:sz w:val="30"/>
          <w:szCs w:val="30"/>
          <w:lang w:eastAsia="zh-CN"/>
        </w:rPr>
      </w:pPr>
    </w:p>
    <w:p w14:paraId="1C6F6F6C">
      <w:pPr>
        <w:rPr>
          <w:rFonts w:hint="eastAsia" w:asciiTheme="majorEastAsia" w:hAnsiTheme="majorEastAsia" w:eastAsiaTheme="majorEastAsia"/>
          <w:sz w:val="30"/>
          <w:szCs w:val="30"/>
          <w:lang w:eastAsia="zh-CN"/>
        </w:rPr>
      </w:pPr>
    </w:p>
    <w:p w14:paraId="461EB672">
      <w:pPr>
        <w:pStyle w:val="5"/>
        <w:rPr>
          <w:rFonts w:hint="eastAsia" w:asciiTheme="majorEastAsia" w:hAnsiTheme="majorEastAsia" w:eastAsiaTheme="majorEastAsia"/>
          <w:sz w:val="30"/>
          <w:szCs w:val="30"/>
          <w:lang w:eastAsia="zh-CN"/>
        </w:rPr>
      </w:pPr>
    </w:p>
    <w:p w14:paraId="303E52EE">
      <w:pPr>
        <w:rPr>
          <w:rFonts w:hint="eastAsia" w:asciiTheme="majorEastAsia" w:hAnsiTheme="majorEastAsia" w:eastAsiaTheme="majorEastAsia"/>
          <w:sz w:val="30"/>
          <w:szCs w:val="30"/>
          <w:lang w:eastAsia="zh-CN"/>
        </w:rPr>
      </w:pPr>
    </w:p>
    <w:p w14:paraId="46B53A22">
      <w:pPr>
        <w:pStyle w:val="5"/>
        <w:rPr>
          <w:rFonts w:hint="eastAsia" w:asciiTheme="majorEastAsia" w:hAnsiTheme="majorEastAsia" w:eastAsiaTheme="majorEastAsia"/>
          <w:sz w:val="30"/>
          <w:szCs w:val="30"/>
          <w:lang w:eastAsia="zh-CN"/>
        </w:rPr>
      </w:pPr>
    </w:p>
    <w:p w14:paraId="6412A59E">
      <w:pPr>
        <w:pStyle w:val="5"/>
        <w:rPr>
          <w:rFonts w:hint="eastAsia"/>
          <w:lang w:eastAsia="zh-CN"/>
        </w:rPr>
      </w:pPr>
    </w:p>
    <w:p w14:paraId="706D9213">
      <w:pPr>
        <w:rPr>
          <w:rFonts w:hint="eastAsia"/>
          <w:lang w:eastAsia="zh-CN"/>
        </w:rPr>
      </w:pPr>
    </w:p>
    <w:p w14:paraId="565BAA7E">
      <w:pPr>
        <w:rPr>
          <w:rFonts w:hint="eastAsia"/>
          <w:lang w:eastAsia="zh-CN"/>
        </w:rPr>
      </w:pPr>
    </w:p>
    <w:p w14:paraId="0D900A92">
      <w:pPr>
        <w:rPr>
          <w:rFonts w:hint="eastAsia"/>
          <w:lang w:eastAsia="zh-CN"/>
        </w:rPr>
      </w:pPr>
    </w:p>
    <w:p w14:paraId="22E4BFDB">
      <w:pPr>
        <w:rPr>
          <w:rFonts w:hint="eastAsia"/>
          <w:lang w:eastAsia="zh-CN"/>
        </w:rPr>
      </w:pPr>
    </w:p>
    <w:p w14:paraId="7D5BD77E">
      <w:pPr>
        <w:snapToGrid w:val="0"/>
        <w:ind w:left="0" w:leftChars="0" w:firstLine="0" w:firstLineChars="0"/>
        <w:jc w:val="center"/>
        <w:outlineLvl w:val="9"/>
        <w:rPr>
          <w:rFonts w:hint="eastAsia" w:asciiTheme="majorEastAsia" w:hAnsiTheme="majorEastAsia" w:eastAsiaTheme="majorEastAsia"/>
          <w:sz w:val="30"/>
          <w:szCs w:val="30"/>
          <w:lang w:eastAsia="zh-CN"/>
        </w:rPr>
      </w:pPr>
    </w:p>
    <w:p w14:paraId="5F0A14F1">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二十九</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招标文件要求的其他内容及投标人认为需要加以说明其他内容</w:t>
      </w:r>
    </w:p>
    <w:p w14:paraId="37883878">
      <w:pPr>
        <w:rPr>
          <w:rFonts w:hint="eastAsia"/>
          <w:lang w:eastAsia="zh-CN"/>
        </w:rPr>
      </w:pPr>
    </w:p>
    <w:p w14:paraId="7D6A1082">
      <w:pPr>
        <w:rPr>
          <w:rFonts w:hint="eastAsia"/>
          <w:lang w:eastAsia="zh-CN"/>
        </w:rPr>
      </w:pPr>
    </w:p>
    <w:p w14:paraId="2167A369">
      <w:pPr>
        <w:rPr>
          <w:rFonts w:hint="eastAsia"/>
          <w:lang w:eastAsia="zh-CN"/>
        </w:rPr>
      </w:pPr>
    </w:p>
    <w:p w14:paraId="535ED33C">
      <w:pPr>
        <w:rPr>
          <w:rFonts w:hint="eastAsia"/>
          <w:lang w:eastAsia="zh-CN"/>
        </w:rPr>
      </w:pPr>
    </w:p>
    <w:p w14:paraId="74C826FA">
      <w:pPr>
        <w:rPr>
          <w:rFonts w:hint="eastAsia"/>
          <w:lang w:eastAsia="zh-CN"/>
        </w:rPr>
      </w:pPr>
    </w:p>
    <w:p w14:paraId="0A3F66F0">
      <w:pPr>
        <w:rPr>
          <w:rFonts w:hint="eastAsia"/>
          <w:lang w:eastAsia="zh-CN"/>
        </w:rPr>
      </w:pPr>
    </w:p>
    <w:p w14:paraId="041DC546">
      <w:pPr>
        <w:rPr>
          <w:rFonts w:hint="eastAsia"/>
          <w:lang w:eastAsia="zh-CN"/>
        </w:rPr>
      </w:pPr>
    </w:p>
    <w:p w14:paraId="199634B8">
      <w:pPr>
        <w:rPr>
          <w:rFonts w:hint="eastAsia"/>
          <w:lang w:eastAsia="zh-CN"/>
        </w:rPr>
      </w:pPr>
    </w:p>
    <w:p w14:paraId="70B5E125">
      <w:pPr>
        <w:rPr>
          <w:rFonts w:hint="eastAsia"/>
          <w:lang w:eastAsia="zh-CN"/>
        </w:rPr>
      </w:pPr>
    </w:p>
    <w:p w14:paraId="5F19ED12">
      <w:pPr>
        <w:rPr>
          <w:rFonts w:hint="eastAsia"/>
          <w:lang w:eastAsia="zh-CN"/>
        </w:rPr>
      </w:pPr>
    </w:p>
    <w:p w14:paraId="738613B9">
      <w:pPr>
        <w:rPr>
          <w:rFonts w:hint="eastAsia"/>
          <w:lang w:eastAsia="zh-CN"/>
        </w:rPr>
      </w:pPr>
    </w:p>
    <w:p w14:paraId="69E28615">
      <w:pPr>
        <w:rPr>
          <w:rFonts w:hint="eastAsia"/>
          <w:lang w:eastAsia="zh-CN"/>
        </w:rPr>
      </w:pPr>
    </w:p>
    <w:p w14:paraId="61CA393F">
      <w:pPr>
        <w:rPr>
          <w:rFonts w:hint="eastAsia"/>
          <w:lang w:eastAsia="zh-CN"/>
        </w:rPr>
      </w:pPr>
    </w:p>
    <w:p w14:paraId="30D31DDD">
      <w:pPr>
        <w:rPr>
          <w:rFonts w:hint="eastAsia"/>
          <w:lang w:eastAsia="zh-CN"/>
        </w:rPr>
      </w:pPr>
    </w:p>
    <w:p w14:paraId="14BAD376">
      <w:pPr>
        <w:rPr>
          <w:rFonts w:hint="eastAsia"/>
          <w:lang w:eastAsia="zh-CN"/>
        </w:rPr>
      </w:pPr>
    </w:p>
    <w:p w14:paraId="4CEE6252">
      <w:pPr>
        <w:rPr>
          <w:rFonts w:hint="eastAsia"/>
          <w:lang w:eastAsia="zh-CN"/>
        </w:rPr>
      </w:pPr>
    </w:p>
    <w:p w14:paraId="01884D50">
      <w:pPr>
        <w:rPr>
          <w:rFonts w:hint="eastAsia"/>
          <w:lang w:eastAsia="zh-CN"/>
        </w:rPr>
      </w:pPr>
    </w:p>
    <w:p w14:paraId="53649E07">
      <w:pPr>
        <w:rPr>
          <w:rFonts w:hint="eastAsia"/>
          <w:lang w:eastAsia="zh-CN"/>
        </w:rPr>
      </w:pPr>
    </w:p>
    <w:p w14:paraId="5A5C0A7E">
      <w:pPr>
        <w:rPr>
          <w:rFonts w:hint="eastAsia"/>
          <w:lang w:eastAsia="zh-CN"/>
        </w:rPr>
      </w:pPr>
    </w:p>
    <w:p w14:paraId="06D8142C">
      <w:pPr>
        <w:rPr>
          <w:rFonts w:hint="eastAsia"/>
          <w:lang w:eastAsia="zh-CN"/>
        </w:rPr>
      </w:pPr>
    </w:p>
    <w:p w14:paraId="0109BEA2">
      <w:pPr>
        <w:rPr>
          <w:rFonts w:hint="eastAsia"/>
          <w:lang w:eastAsia="zh-CN"/>
        </w:rPr>
      </w:pPr>
    </w:p>
    <w:p w14:paraId="104047FB">
      <w:pPr>
        <w:rPr>
          <w:rFonts w:hint="eastAsia"/>
          <w:lang w:eastAsia="zh-CN"/>
        </w:rPr>
      </w:pPr>
    </w:p>
    <w:p w14:paraId="1A06EB15">
      <w:pPr>
        <w:rPr>
          <w:rFonts w:hint="eastAsia"/>
          <w:lang w:eastAsia="zh-CN"/>
        </w:rPr>
      </w:pPr>
    </w:p>
    <w:p w14:paraId="70C03BFD">
      <w:pPr>
        <w:rPr>
          <w:rFonts w:hint="eastAsia"/>
          <w:lang w:eastAsia="zh-CN"/>
        </w:rPr>
      </w:pPr>
    </w:p>
    <w:p w14:paraId="6E3A0FAB">
      <w:pPr>
        <w:rPr>
          <w:rFonts w:hint="eastAsia"/>
          <w:lang w:eastAsia="zh-CN"/>
        </w:rPr>
      </w:pPr>
    </w:p>
    <w:p w14:paraId="61A647DF">
      <w:pPr>
        <w:rPr>
          <w:rFonts w:hint="eastAsia"/>
          <w:lang w:eastAsia="zh-CN"/>
        </w:rPr>
      </w:pPr>
    </w:p>
    <w:p w14:paraId="353D963B">
      <w:pPr>
        <w:rPr>
          <w:rFonts w:hint="eastAsia"/>
          <w:lang w:eastAsia="zh-CN"/>
        </w:rPr>
      </w:pPr>
    </w:p>
    <w:p w14:paraId="7E1194BA">
      <w:pPr>
        <w:rPr>
          <w:rFonts w:hint="eastAsia"/>
          <w:lang w:eastAsia="zh-CN"/>
        </w:rPr>
      </w:pPr>
    </w:p>
    <w:p w14:paraId="4F1B7BB3">
      <w:pPr>
        <w:rPr>
          <w:rFonts w:hint="eastAsia"/>
          <w:lang w:eastAsia="zh-CN"/>
        </w:rPr>
      </w:pPr>
    </w:p>
    <w:p w14:paraId="4F7368EE">
      <w:pPr>
        <w:rPr>
          <w:rFonts w:hint="eastAsia"/>
          <w:lang w:eastAsia="zh-CN"/>
        </w:rPr>
      </w:pPr>
    </w:p>
    <w:p w14:paraId="5F270169">
      <w:pPr>
        <w:rPr>
          <w:rFonts w:hint="eastAsia"/>
          <w:lang w:eastAsia="zh-CN"/>
        </w:rPr>
      </w:pPr>
    </w:p>
    <w:p w14:paraId="1D421011">
      <w:pPr>
        <w:rPr>
          <w:rFonts w:hint="eastAsia"/>
          <w:lang w:eastAsia="zh-CN"/>
        </w:rPr>
      </w:pPr>
    </w:p>
    <w:p w14:paraId="7562AB98">
      <w:pPr>
        <w:rPr>
          <w:rFonts w:hint="eastAsia"/>
          <w:lang w:eastAsia="zh-CN"/>
        </w:rPr>
      </w:pPr>
    </w:p>
    <w:p w14:paraId="69F1EB36">
      <w:pPr>
        <w:rPr>
          <w:rFonts w:hint="eastAsia"/>
          <w:lang w:eastAsia="zh-CN"/>
        </w:rPr>
      </w:pPr>
    </w:p>
    <w:p w14:paraId="2C91AA8B">
      <w:pPr>
        <w:rPr>
          <w:rFonts w:hint="eastAsia"/>
          <w:lang w:eastAsia="zh-CN"/>
        </w:rPr>
      </w:pPr>
    </w:p>
    <w:p w14:paraId="79333D8D">
      <w:pPr>
        <w:rPr>
          <w:rFonts w:hint="eastAsia"/>
          <w:lang w:eastAsia="zh-CN"/>
        </w:rPr>
      </w:pPr>
    </w:p>
    <w:p w14:paraId="7501A7C1">
      <w:pPr>
        <w:rPr>
          <w:rFonts w:hint="eastAsia"/>
          <w:lang w:eastAsia="zh-CN"/>
        </w:rPr>
      </w:pPr>
    </w:p>
    <w:p w14:paraId="4145D5CE">
      <w:pPr>
        <w:rPr>
          <w:rFonts w:hint="eastAsia"/>
          <w:lang w:eastAsia="zh-CN"/>
        </w:rPr>
      </w:pPr>
    </w:p>
    <w:p w14:paraId="2EA21846">
      <w:pPr>
        <w:rPr>
          <w:rFonts w:hint="eastAsia"/>
          <w:lang w:eastAsia="zh-CN"/>
        </w:rPr>
      </w:pPr>
    </w:p>
    <w:p w14:paraId="54EC5EB0">
      <w:pPr>
        <w:rPr>
          <w:rFonts w:hint="eastAsia"/>
          <w:lang w:eastAsia="zh-CN"/>
        </w:rPr>
      </w:pPr>
    </w:p>
    <w:bookmarkEnd w:id="82"/>
    <w:bookmarkEnd w:id="83"/>
    <w:bookmarkEnd w:id="84"/>
    <w:bookmarkEnd w:id="85"/>
    <w:bookmarkEnd w:id="87"/>
    <w:bookmarkEnd w:id="88"/>
    <w:bookmarkEnd w:id="89"/>
    <w:bookmarkEnd w:id="90"/>
    <w:p w14:paraId="5AFDC160">
      <w:pPr>
        <w:pStyle w:val="3"/>
        <w:numPr>
          <w:ilvl w:val="0"/>
          <w:numId w:val="0"/>
        </w:numPr>
        <w:spacing w:line="240" w:lineRule="auto"/>
        <w:jc w:val="both"/>
        <w:outlineLvl w:val="9"/>
        <w:rPr>
          <w:rFonts w:hint="eastAsia" w:asciiTheme="majorEastAsia" w:hAnsiTheme="majorEastAsia" w:eastAsiaTheme="majorEastAsia"/>
          <w:sz w:val="30"/>
          <w:szCs w:val="30"/>
          <w:lang w:val="en-US" w:eastAsia="zh-CN"/>
        </w:rPr>
      </w:pPr>
      <w:bookmarkStart w:id="91" w:name="_Toc435174933"/>
      <w:bookmarkStart w:id="92" w:name="_Toc1658"/>
      <w:bookmarkStart w:id="93" w:name="_Toc438223136"/>
      <w:bookmarkStart w:id="94" w:name="_Toc435516650"/>
      <w:bookmarkStart w:id="95" w:name="_Toc11652"/>
    </w:p>
    <w:p w14:paraId="4844EB47">
      <w:pPr>
        <w:pStyle w:val="3"/>
        <w:numPr>
          <w:ilvl w:val="0"/>
          <w:numId w:val="17"/>
        </w:numPr>
        <w:spacing w:line="240" w:lineRule="auto"/>
        <w:ind w:left="420" w:leftChars="0" w:hanging="420" w:firstLineChars="0"/>
        <w:jc w:val="center"/>
        <w:outlineLvl w:val="0"/>
        <w:rPr>
          <w:rFonts w:asciiTheme="majorEastAsia" w:hAnsiTheme="majorEastAsia" w:eastAsiaTheme="majorEastAsia"/>
          <w:sz w:val="32"/>
          <w:szCs w:val="32"/>
          <w:lang w:eastAsia="zh-TW"/>
        </w:rPr>
      </w:pPr>
      <w:bookmarkStart w:id="96" w:name="_Toc21111"/>
      <w:r>
        <w:rPr>
          <w:rFonts w:asciiTheme="majorEastAsia" w:hAnsiTheme="majorEastAsia" w:eastAsiaTheme="majorEastAsia"/>
          <w:sz w:val="32"/>
          <w:szCs w:val="32"/>
          <w:lang w:eastAsia="zh-TW"/>
        </w:rPr>
        <w:t>说 明</w:t>
      </w:r>
      <w:bookmarkEnd w:id="91"/>
      <w:bookmarkEnd w:id="92"/>
      <w:bookmarkEnd w:id="93"/>
      <w:bookmarkEnd w:id="94"/>
      <w:bookmarkEnd w:id="95"/>
      <w:bookmarkEnd w:id="96"/>
      <w:bookmarkStart w:id="97" w:name="_Toc292267791"/>
    </w:p>
    <w:p w14:paraId="7D46DAAC">
      <w:pPr>
        <w:numPr>
          <w:ilvl w:val="0"/>
          <w:numId w:val="0"/>
        </w:numPr>
        <w:jc w:val="center"/>
        <w:rPr>
          <w:rFonts w:hint="default" w:eastAsiaTheme="minorEastAsia"/>
          <w:sz w:val="30"/>
          <w:szCs w:val="30"/>
          <w:lang w:val="en-US" w:eastAsia="zh-CN"/>
        </w:rPr>
      </w:pPr>
      <w:r>
        <w:rPr>
          <w:rFonts w:hint="eastAsia"/>
          <w:sz w:val="30"/>
          <w:szCs w:val="30"/>
          <w:lang w:val="en-US" w:eastAsia="zh-CN"/>
        </w:rPr>
        <w:t>总则</w:t>
      </w:r>
    </w:p>
    <w:bookmarkEnd w:id="97"/>
    <w:p w14:paraId="6C6C625E">
      <w:pPr>
        <w:numPr>
          <w:ilvl w:val="0"/>
          <w:numId w:val="18"/>
        </w:numPr>
        <w:autoSpaceDE w:val="0"/>
        <w:autoSpaceDN w:val="0"/>
        <w:adjustRightInd w:val="0"/>
        <w:snapToGrid w:val="0"/>
        <w:spacing w:line="360" w:lineRule="auto"/>
        <w:outlineLvl w:val="1"/>
        <w:rPr>
          <w:rFonts w:ascii="宋体" w:hAnsi="宋体"/>
          <w:b/>
          <w:bCs/>
          <w:szCs w:val="21"/>
        </w:rPr>
      </w:pPr>
      <w:bookmarkStart w:id="98" w:name="_Toc23054"/>
      <w:r>
        <w:rPr>
          <w:rFonts w:hint="eastAsia" w:ascii="宋体" w:hAnsi="宋体"/>
          <w:b/>
          <w:bCs/>
          <w:szCs w:val="21"/>
        </w:rPr>
        <w:t>适用范围</w:t>
      </w:r>
      <w:bookmarkEnd w:id="98"/>
    </w:p>
    <w:p w14:paraId="5425D084">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1.1.</w:t>
      </w:r>
      <w:r>
        <w:rPr>
          <w:rFonts w:hint="eastAsia" w:ascii="宋体" w:hAnsi="宋体"/>
          <w:szCs w:val="21"/>
        </w:rPr>
        <w:t>本招标文件适用于本投标邀请中所述采购项目。</w:t>
      </w:r>
    </w:p>
    <w:p w14:paraId="39FB9C80">
      <w:pPr>
        <w:numPr>
          <w:ilvl w:val="0"/>
          <w:numId w:val="0"/>
        </w:numPr>
        <w:autoSpaceDE w:val="0"/>
        <w:autoSpaceDN w:val="0"/>
        <w:adjustRightInd w:val="0"/>
        <w:snapToGrid w:val="0"/>
        <w:spacing w:line="360" w:lineRule="auto"/>
        <w:ind w:leftChars="0"/>
        <w:jc w:val="left"/>
        <w:outlineLvl w:val="9"/>
        <w:rPr>
          <w:rFonts w:hint="eastAsia" w:ascii="宋体" w:hAnsi="宋体"/>
          <w:szCs w:val="21"/>
        </w:rPr>
      </w:pPr>
      <w:r>
        <w:rPr>
          <w:rFonts w:hint="eastAsia" w:ascii="宋体" w:hAnsi="宋体"/>
          <w:szCs w:val="21"/>
          <w:lang w:val="en-US" w:eastAsia="zh-CN"/>
        </w:rPr>
        <w:t>1.2.</w:t>
      </w:r>
      <w:r>
        <w:rPr>
          <w:rFonts w:hint="eastAsia" w:ascii="宋体" w:hAnsi="宋体"/>
          <w:szCs w:val="21"/>
        </w:rPr>
        <w:t>本项目参照《深圳经济特区政府采购条例》《深圳经济特区政府采购条例实施细则》的规定，并参考有关法规、政策、规章、规定，通过公开招标择优选定供应商。</w:t>
      </w:r>
    </w:p>
    <w:p w14:paraId="0810A1EC">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1.3.</w:t>
      </w:r>
      <w:r>
        <w:rPr>
          <w:rFonts w:hint="eastAsia" w:ascii="宋体" w:hAnsi="宋体"/>
          <w:szCs w:val="21"/>
        </w:rPr>
        <w:t>本招标文件适用于货物采购项目。</w:t>
      </w:r>
    </w:p>
    <w:p w14:paraId="7B029138">
      <w:pPr>
        <w:numPr>
          <w:ilvl w:val="0"/>
          <w:numId w:val="18"/>
        </w:numPr>
        <w:autoSpaceDE w:val="0"/>
        <w:autoSpaceDN w:val="0"/>
        <w:adjustRightInd w:val="0"/>
        <w:snapToGrid w:val="0"/>
        <w:spacing w:line="360" w:lineRule="auto"/>
        <w:ind w:left="449" w:hanging="449" w:hangingChars="213"/>
        <w:outlineLvl w:val="1"/>
        <w:rPr>
          <w:rFonts w:ascii="宋体" w:hAnsi="宋体"/>
          <w:b/>
          <w:bCs/>
          <w:strike/>
          <w:szCs w:val="21"/>
        </w:rPr>
      </w:pPr>
      <w:bookmarkStart w:id="99" w:name="_Toc28379"/>
      <w:r>
        <w:rPr>
          <w:rFonts w:hint="eastAsia" w:ascii="宋体" w:hAnsi="宋体"/>
          <w:b/>
          <w:szCs w:val="21"/>
        </w:rPr>
        <w:t>定义</w:t>
      </w:r>
      <w:bookmarkEnd w:id="99"/>
    </w:p>
    <w:p w14:paraId="293D86D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2.1.</w:t>
      </w:r>
      <w:r>
        <w:rPr>
          <w:rFonts w:hint="eastAsia" w:ascii="宋体" w:hAnsi="宋体"/>
          <w:szCs w:val="21"/>
        </w:rPr>
        <w:t>采购人</w:t>
      </w:r>
      <w:r>
        <w:rPr>
          <w:rFonts w:hint="eastAsia" w:ascii="宋体" w:hAnsi="宋体"/>
          <w:szCs w:val="21"/>
          <w:lang w:val="en-US" w:eastAsia="zh-CN"/>
        </w:rPr>
        <w:t>是</w:t>
      </w:r>
      <w:r>
        <w:rPr>
          <w:rFonts w:hint="eastAsia" w:ascii="宋体" w:hAnsi="宋体"/>
          <w:szCs w:val="21"/>
        </w:rPr>
        <w:t>指各级</w:t>
      </w:r>
      <w:r>
        <w:rPr>
          <w:rFonts w:ascii="宋体" w:hAnsi="宋体"/>
          <w:szCs w:val="21"/>
        </w:rPr>
        <w:t>国家机关、事业单位和团体组织</w:t>
      </w:r>
      <w:r>
        <w:rPr>
          <w:rFonts w:hint="eastAsia" w:ascii="宋体" w:hAnsi="宋体"/>
          <w:szCs w:val="21"/>
          <w:lang w:eastAsia="zh-CN"/>
        </w:rPr>
        <w:t>。</w:t>
      </w:r>
      <w:r>
        <w:rPr>
          <w:rFonts w:hint="eastAsia" w:ascii="宋体" w:hAnsi="宋体" w:cs="宋体"/>
          <w:szCs w:val="21"/>
        </w:rPr>
        <w:t>采购人已拥有一笔财政性资金或资金来源已落实。采购人计划将一部分或全部资金用于支付本次采购后所签订合同项下的款项。</w:t>
      </w:r>
    </w:p>
    <w:p w14:paraId="3ECABCB9">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2.2.</w:t>
      </w:r>
      <w:r>
        <w:rPr>
          <w:rFonts w:hint="eastAsia" w:ascii="宋体" w:hAnsi="宋体"/>
          <w:szCs w:val="21"/>
        </w:rPr>
        <w:t>供应商是指向采购人提供货物、工程或者服务的法人、其他组织或者自然人。</w:t>
      </w:r>
    </w:p>
    <w:p w14:paraId="65BBC7FD">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2.3.评标</w:t>
      </w:r>
      <w:r>
        <w:rPr>
          <w:rFonts w:hint="eastAsia" w:ascii="宋体" w:hAnsi="宋体"/>
          <w:szCs w:val="21"/>
        </w:rPr>
        <w:t>委员会是</w:t>
      </w:r>
      <w:r>
        <w:rPr>
          <w:rFonts w:hint="eastAsia" w:ascii="宋体" w:hAnsi="宋体"/>
          <w:szCs w:val="21"/>
          <w:lang w:val="en-US" w:eastAsia="zh-CN"/>
        </w:rPr>
        <w:t>指</w:t>
      </w:r>
      <w:r>
        <w:rPr>
          <w:rFonts w:hint="eastAsia" w:ascii="宋体" w:hAnsi="宋体"/>
          <w:szCs w:val="21"/>
        </w:rPr>
        <w:t>专门负责本项目评标工作的临时性机构。</w:t>
      </w:r>
    </w:p>
    <w:p w14:paraId="10EFBBB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2.4.</w:t>
      </w:r>
      <w:r>
        <w:rPr>
          <w:rFonts w:hint="eastAsia" w:ascii="宋体" w:hAnsi="宋体"/>
          <w:szCs w:val="21"/>
        </w:rPr>
        <w:t>投标人是指响应招标、参加投标竞争的法人、其他组织或者自然人。</w:t>
      </w:r>
    </w:p>
    <w:p w14:paraId="03F60D92">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szCs w:val="21"/>
          <w:lang w:val="en-US" w:eastAsia="zh-CN"/>
        </w:rPr>
        <w:t>2.5.</w:t>
      </w:r>
      <w:r>
        <w:rPr>
          <w:rFonts w:hint="eastAsia" w:ascii="宋体" w:hAnsi="宋体"/>
          <w:szCs w:val="21"/>
        </w:rPr>
        <w:t>中标人是指经法定程序确定并授予合同的投标人。</w:t>
      </w:r>
    </w:p>
    <w:p w14:paraId="176C9523">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2.6.</w:t>
      </w:r>
      <w:r>
        <w:rPr>
          <w:rFonts w:hint="eastAsia" w:ascii="宋体" w:hAnsi="宋体"/>
          <w:szCs w:val="21"/>
        </w:rPr>
        <w:t>合同</w:t>
      </w:r>
      <w:r>
        <w:rPr>
          <w:rFonts w:hint="eastAsia" w:ascii="宋体" w:hAnsi="宋体"/>
          <w:szCs w:val="21"/>
          <w:lang w:val="en-US" w:eastAsia="zh-CN"/>
        </w:rPr>
        <w:t>是是</w:t>
      </w:r>
      <w:r>
        <w:rPr>
          <w:rFonts w:hint="eastAsia" w:ascii="宋体" w:hAnsi="宋体"/>
          <w:szCs w:val="21"/>
        </w:rPr>
        <w:t>指由本次招标所产生的合同或合约文件。</w:t>
      </w:r>
    </w:p>
    <w:p w14:paraId="0EE11412">
      <w:pPr>
        <w:numPr>
          <w:ilvl w:val="0"/>
          <w:numId w:val="0"/>
        </w:numPr>
        <w:autoSpaceDE w:val="0"/>
        <w:autoSpaceDN w:val="0"/>
        <w:adjustRightInd w:val="0"/>
        <w:snapToGrid w:val="0"/>
        <w:spacing w:line="360" w:lineRule="auto"/>
        <w:ind w:leftChars="0"/>
        <w:outlineLvl w:val="9"/>
        <w:rPr>
          <w:rFonts w:hint="eastAsia" w:ascii="宋体" w:hAnsi="宋体"/>
          <w:szCs w:val="21"/>
        </w:rPr>
      </w:pPr>
      <w:r>
        <w:rPr>
          <w:rFonts w:hint="eastAsia" w:ascii="宋体" w:hAnsi="宋体"/>
          <w:szCs w:val="21"/>
          <w:lang w:val="en-US" w:eastAsia="zh-CN"/>
        </w:rPr>
        <w:t>2.7.</w:t>
      </w:r>
      <w:r>
        <w:rPr>
          <w:rFonts w:hint="eastAsia" w:ascii="宋体" w:hAnsi="宋体"/>
          <w:szCs w:val="21"/>
        </w:rPr>
        <w:t>纸质投标文件</w:t>
      </w:r>
      <w:r>
        <w:rPr>
          <w:rFonts w:hint="eastAsia" w:ascii="宋体" w:hAnsi="宋体"/>
          <w:szCs w:val="21"/>
          <w:lang w:val="en-US" w:eastAsia="zh-CN"/>
        </w:rPr>
        <w:t>是</w:t>
      </w:r>
      <w:r>
        <w:rPr>
          <w:rFonts w:hint="eastAsia" w:ascii="宋体" w:hAnsi="宋体"/>
          <w:szCs w:val="21"/>
        </w:rPr>
        <w:t>指根据本招标文件模板的要求规范填写，打印输出并盖有单位公章的投标文件原件。</w:t>
      </w:r>
    </w:p>
    <w:p w14:paraId="0DADBB1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2.8.</w:t>
      </w:r>
      <w:r>
        <w:rPr>
          <w:rFonts w:hint="eastAsia" w:ascii="宋体" w:hAnsi="宋体"/>
          <w:szCs w:val="21"/>
        </w:rPr>
        <w:t>现场投标</w:t>
      </w:r>
      <w:r>
        <w:rPr>
          <w:rFonts w:hint="eastAsia" w:ascii="宋体" w:hAnsi="宋体"/>
          <w:szCs w:val="21"/>
          <w:lang w:val="en-US" w:eastAsia="zh-CN"/>
        </w:rPr>
        <w:t>是</w:t>
      </w:r>
      <w:r>
        <w:rPr>
          <w:rFonts w:hint="eastAsia" w:ascii="宋体" w:hAnsi="宋体"/>
          <w:szCs w:val="21"/>
        </w:rPr>
        <w:t>指在规定时间内直接向</w:t>
      </w:r>
      <w:r>
        <w:rPr>
          <w:rFonts w:hint="eastAsia" w:ascii="宋体" w:hAnsi="宋体"/>
          <w:szCs w:val="21"/>
          <w:lang w:val="en-US" w:eastAsia="zh-CN"/>
        </w:rPr>
        <w:t>我院</w:t>
      </w:r>
      <w:r>
        <w:rPr>
          <w:rFonts w:hint="eastAsia" w:ascii="宋体" w:hAnsi="宋体"/>
          <w:szCs w:val="21"/>
        </w:rPr>
        <w:t>提交纸质投标文件。</w:t>
      </w:r>
    </w:p>
    <w:p w14:paraId="4EC4B66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2.9.</w:t>
      </w:r>
      <w:r>
        <w:rPr>
          <w:rFonts w:hint="eastAsia" w:ascii="宋体" w:hAnsi="宋体"/>
          <w:szCs w:val="21"/>
        </w:rPr>
        <w:t>招标文件中的标题或题名仅起引导作用，而不应视为对招标文件内容的理解和解释。</w:t>
      </w:r>
    </w:p>
    <w:p w14:paraId="2FEA030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2.10.</w:t>
      </w:r>
      <w:r>
        <w:rPr>
          <w:rFonts w:hint="eastAsia" w:ascii="宋体" w:hAnsi="宋体"/>
          <w:szCs w:val="21"/>
        </w:rPr>
        <w:t>日期</w:t>
      </w:r>
      <w:r>
        <w:rPr>
          <w:rFonts w:hint="eastAsia" w:ascii="宋体" w:hAnsi="宋体"/>
          <w:szCs w:val="21"/>
          <w:lang w:val="en-US" w:eastAsia="zh-CN"/>
        </w:rPr>
        <w:t>是</w:t>
      </w:r>
      <w:r>
        <w:rPr>
          <w:rFonts w:hint="eastAsia" w:ascii="宋体" w:hAnsi="宋体"/>
          <w:szCs w:val="21"/>
        </w:rPr>
        <w:t>指公历日。</w:t>
      </w:r>
    </w:p>
    <w:p w14:paraId="08E94636">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00" w:name="_Toc4681"/>
      <w:r>
        <w:rPr>
          <w:rFonts w:hint="eastAsia" w:ascii="宋体" w:hAnsi="宋体"/>
          <w:b/>
          <w:bCs/>
          <w:szCs w:val="21"/>
        </w:rPr>
        <w:t>合格的货物和服务</w:t>
      </w:r>
      <w:bookmarkEnd w:id="100"/>
    </w:p>
    <w:p w14:paraId="6CA79C08">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szCs w:val="21"/>
          <w:lang w:val="en-US" w:eastAsia="zh-CN"/>
        </w:rPr>
        <w:t>3.1.</w:t>
      </w:r>
      <w:r>
        <w:rPr>
          <w:rFonts w:hint="eastAsia" w:ascii="宋体" w:hAnsi="宋体"/>
          <w:szCs w:val="21"/>
        </w:rPr>
        <w:t>货物是指投标人制造或组织符合招标文件要求的货物等。投标的货物必须是其合法生产、合法来源的符合国家有关标准要求的货物，并满足招标文件规定的规格、参数、质量、价格、有效期、售后服务等要求。</w:t>
      </w:r>
    </w:p>
    <w:p w14:paraId="26B52F2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3.2.</w:t>
      </w:r>
      <w:r>
        <w:rPr>
          <w:rFonts w:hint="eastAsia" w:ascii="宋体" w:hAnsi="宋体"/>
          <w:szCs w:val="21"/>
        </w:rPr>
        <w:t>服务是指除货物和工程以外的其他政府采购对象，其中包括：投标人须承担的运输、安装、技术支持、培训以及招标文件规定的其它服务。</w:t>
      </w:r>
    </w:p>
    <w:p w14:paraId="1B2DAB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3.3.</w:t>
      </w:r>
      <w:r>
        <w:rPr>
          <w:rFonts w:hint="eastAsia" w:ascii="宋体" w:hAnsi="宋体"/>
          <w:szCs w:val="21"/>
        </w:rPr>
        <w:t>国产的货物及其有关服务必须符合中华人民共和国的设计、制造生产标准及行业标准。招标公告有其他要求的，亦应符合其要求。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3AB9CC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3.4.</w:t>
      </w: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7CB46EEB">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3.5.</w:t>
      </w:r>
      <w:r>
        <w:rPr>
          <w:rFonts w:hint="eastAsia" w:ascii="宋体" w:hAnsi="宋体"/>
          <w:szCs w:val="21"/>
        </w:rPr>
        <w:t>若所投产品属于政府强制采购节能产品的，则投标人必须提供该产品国家强制性节能产品进行响应，并提供强制性节能产品认证证书，否则视为无效投标。</w:t>
      </w:r>
    </w:p>
    <w:p w14:paraId="4D908F5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3.6.</w:t>
      </w:r>
      <w:r>
        <w:rPr>
          <w:rFonts w:hint="eastAsia" w:ascii="宋体" w:hAnsi="宋体"/>
          <w:szCs w:val="21"/>
        </w:rPr>
        <w:t>投标人</w:t>
      </w:r>
      <w:bookmarkStart w:id="101"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01"/>
    </w:p>
    <w:p w14:paraId="7436C279">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3.7.</w:t>
      </w:r>
      <w:r>
        <w:rPr>
          <w:rFonts w:hint="eastAsia" w:ascii="宋体" w:hAnsi="宋体"/>
          <w:szCs w:val="21"/>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3CF8BAC">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3.8.</w:t>
      </w:r>
      <w:r>
        <w:rPr>
          <w:rFonts w:hint="eastAsia" w:ascii="宋体" w:hAnsi="宋体"/>
          <w:szCs w:val="21"/>
        </w:rPr>
        <w:t>工期要求：投标人在投标时对其所投项目应提交交货进度、交货计划等，在合同规定的时间内完成项目实施工作。</w:t>
      </w:r>
    </w:p>
    <w:p w14:paraId="5D1ABA4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3.9.</w:t>
      </w:r>
      <w:r>
        <w:rPr>
          <w:rFonts w:hint="eastAsia" w:ascii="宋体" w:hAnsi="宋体"/>
          <w:szCs w:val="21"/>
        </w:rPr>
        <w:t>投标人必须承担的设备运输、安装调试、验收检测和提供设备操作说明书、图纸等其他相关及类似的义务。</w:t>
      </w:r>
    </w:p>
    <w:p w14:paraId="45BD45A2">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02" w:name="_Toc27847"/>
      <w:r>
        <w:rPr>
          <w:rFonts w:hint="eastAsia" w:ascii="宋体" w:hAnsi="宋体"/>
          <w:b/>
          <w:bCs/>
          <w:szCs w:val="21"/>
        </w:rPr>
        <w:t>其他</w:t>
      </w:r>
      <w:bookmarkEnd w:id="102"/>
    </w:p>
    <w:p w14:paraId="20835FF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szCs w:val="21"/>
          <w:lang w:val="en-US" w:eastAsia="zh-CN"/>
        </w:rPr>
        <w:t>4.1.</w:t>
      </w:r>
      <w:r>
        <w:rPr>
          <w:rFonts w:hint="eastAsia" w:ascii="宋体" w:hAnsi="宋体" w:cs="宋体"/>
          <w:szCs w:val="21"/>
        </w:rPr>
        <w:t>所有时间均为24小时制北京时间，所有货币单位均为人民币元，所使用的计量单位均以《中华</w:t>
      </w:r>
      <w:r>
        <w:rPr>
          <w:rFonts w:hint="eastAsia" w:ascii="宋体" w:hAnsi="宋体" w:cs="宋体"/>
          <w:color w:val="auto"/>
          <w:szCs w:val="21"/>
          <w:highlight w:val="none"/>
        </w:rPr>
        <w:t>人民共和国法定计量单位》为准（特别注明除外）。</w:t>
      </w:r>
    </w:p>
    <w:p w14:paraId="18D56482">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供应商（投标人）向我</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咨询的有关项目事项，一切以法律法规的规定和本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书面答复为准，其他一切形式均为个人意见，不代表本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的意见。</w:t>
      </w:r>
    </w:p>
    <w:p w14:paraId="50953B09">
      <w:pPr>
        <w:numPr>
          <w:ilvl w:val="0"/>
          <w:numId w:val="0"/>
        </w:numPr>
        <w:adjustRightInd w:val="0"/>
        <w:snapToGrid w:val="0"/>
        <w:spacing w:line="360" w:lineRule="auto"/>
        <w:ind w:leftChars="0"/>
        <w:rPr>
          <w:rFonts w:cs="宋体" w:asciiTheme="minorEastAsia" w:hAnsiTheme="minorEastAsia" w:eastAsiaTheme="minorEastAsia"/>
          <w:bCs/>
          <w:color w:val="auto"/>
          <w:szCs w:val="21"/>
          <w:highlight w:val="none"/>
        </w:rPr>
      </w:pPr>
      <w:bookmarkStart w:id="103" w:name="_Hlk21592778"/>
      <w:r>
        <w:rPr>
          <w:rFonts w:hint="eastAsia" w:asciiTheme="minorEastAsia" w:hAnsiTheme="minorEastAsia"/>
          <w:color w:val="auto"/>
          <w:szCs w:val="21"/>
          <w:highlight w:val="none"/>
          <w:lang w:val="en-US" w:eastAsia="zh-CN"/>
        </w:rPr>
        <w:t>4.3.</w:t>
      </w:r>
      <w:r>
        <w:rPr>
          <w:rFonts w:hint="eastAsia" w:asciiTheme="minorEastAsia" w:hAnsiTheme="minorEastAsia" w:eastAsiaTheme="minorEastAsia"/>
          <w:color w:val="auto"/>
          <w:szCs w:val="21"/>
          <w:highlight w:val="none"/>
        </w:rPr>
        <w:t>对列入失信</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黑名单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的</w:t>
      </w:r>
      <w:bookmarkStart w:id="104" w:name="_Hlk21591509"/>
      <w:r>
        <w:rPr>
          <w:rFonts w:hint="eastAsia" w:asciiTheme="minorEastAsia" w:hAnsiTheme="minorEastAsia" w:eastAsiaTheme="minorEastAsia"/>
          <w:color w:val="auto"/>
          <w:szCs w:val="21"/>
          <w:highlight w:val="none"/>
        </w:rPr>
        <w:t>供应商限制参与政府采购</w:t>
      </w:r>
      <w:bookmarkEnd w:id="104"/>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供应商诚信查询方式：</w:t>
      </w:r>
      <w:r>
        <w:rPr>
          <w:rFonts w:asciiTheme="minorEastAsia" w:hAnsiTheme="minorEastAsia" w:eastAsiaTheme="minorEastAsia"/>
          <w:color w:val="auto"/>
          <w:szCs w:val="21"/>
          <w:highlight w:val="none"/>
        </w:rPr>
        <w:t>“信用中国”网站(www.creditchina.gov.cn)</w:t>
      </w:r>
      <w:r>
        <w:rPr>
          <w:rFonts w:hint="eastAsia" w:asciiTheme="minorEastAsia" w:hAnsiTheme="minorEastAsia" w:eastAsiaTheme="minorEastAsia"/>
          <w:color w:val="auto"/>
          <w:szCs w:val="21"/>
          <w:highlight w:val="none"/>
        </w:rPr>
        <w:t>没有以下任意记录名单之一：①</w:t>
      </w:r>
      <w:r>
        <w:rPr>
          <w:rFonts w:asciiTheme="minorEastAsia" w:hAnsiTheme="minorEastAsia" w:eastAsiaTheme="minorEastAsia"/>
          <w:color w:val="auto"/>
          <w:szCs w:val="21"/>
          <w:highlight w:val="none"/>
        </w:rPr>
        <w:t>记录失信被执行人</w:t>
      </w:r>
      <w:r>
        <w:rPr>
          <w:rFonts w:hint="eastAsia" w:asciiTheme="minorEastAsia" w:hAnsiTheme="minorEastAsia" w:eastAsiaTheme="minorEastAsia"/>
          <w:color w:val="auto"/>
          <w:szCs w:val="21"/>
          <w:highlight w:val="none"/>
        </w:rPr>
        <w:t>；②税收违法黑名单；</w:t>
      </w:r>
      <w:r>
        <w:rPr>
          <w:rFonts w:asciiTheme="minorEastAsia" w:hAnsiTheme="minorEastAsia" w:eastAsiaTheme="minorEastAsia"/>
          <w:color w:val="auto"/>
          <w:szCs w:val="21"/>
          <w:highlight w:val="none"/>
        </w:rPr>
        <w:t>中国政府采购网(www.ccgp.gov.cn)不处于“政府采购严重违法失信行为信息记录”中的禁止参加政府采购活动期间</w:t>
      </w:r>
      <w:r>
        <w:rPr>
          <w:rFonts w:hint="eastAsia" w:asciiTheme="minorEastAsia" w:hAnsiTheme="minorEastAsia" w:eastAsiaTheme="minorEastAsia"/>
          <w:color w:val="auto"/>
          <w:szCs w:val="21"/>
          <w:highlight w:val="none"/>
        </w:rPr>
        <w:t>；</w:t>
      </w:r>
      <w:bookmarkEnd w:id="103"/>
      <w:r>
        <w:rPr>
          <w:rFonts w:hint="eastAsia" w:asciiTheme="minorEastAsia" w:hAnsiTheme="minorEastAsia" w:eastAsiaTheme="minorEastAsia"/>
          <w:color w:val="auto"/>
          <w:szCs w:val="21"/>
          <w:highlight w:val="none"/>
        </w:rPr>
        <w:t>在深圳信用网（</w:t>
      </w:r>
      <w:r>
        <w:rPr>
          <w:rFonts w:asciiTheme="minorEastAsia" w:hAnsiTheme="minorEastAsia" w:eastAsiaTheme="minorEastAsia"/>
          <w:color w:val="auto"/>
          <w:szCs w:val="21"/>
          <w:highlight w:val="none"/>
        </w:rPr>
        <w:t>https://www.szcredit.com.cn</w:t>
      </w:r>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深圳市政府采购监督管理网（zfcg.sz.gov.cn）查询相关主体信用记录，对不符合《中华人民共和国政府采购法》第二十二条规定条件的供应商限制参与政府采购。</w:t>
      </w:r>
      <w:r>
        <w:rPr>
          <w:rFonts w:hint="eastAsia" w:cs="宋体" w:asciiTheme="minorEastAsia" w:hAnsiTheme="minorEastAsia" w:eastAsiaTheme="minorEastAsia"/>
          <w:color w:val="auto"/>
          <w:szCs w:val="21"/>
          <w:highlight w:val="none"/>
        </w:rPr>
        <w:t>联合体投标的，对</w:t>
      </w:r>
      <w:r>
        <w:rPr>
          <w:rFonts w:cs="宋体" w:asciiTheme="minorEastAsia" w:hAnsiTheme="minorEastAsia" w:eastAsiaTheme="minorEastAsia"/>
          <w:color w:val="auto"/>
          <w:szCs w:val="21"/>
          <w:highlight w:val="none"/>
        </w:rPr>
        <w:t>所有联合体成员进行信用记录查询，联合体成员存在不良信用记录的，视同联合体存在不良信用记录。</w:t>
      </w:r>
      <w:r>
        <w:rPr>
          <w:rFonts w:cs="宋体" w:asciiTheme="minorEastAsia" w:hAnsiTheme="minorEastAsia" w:eastAsiaTheme="minorEastAsia"/>
          <w:bCs/>
          <w:color w:val="auto"/>
          <w:szCs w:val="21"/>
          <w:highlight w:val="none"/>
        </w:rPr>
        <w:t>如在上述网站查询结果均显示没有相关记录，视为</w:t>
      </w:r>
      <w:r>
        <w:rPr>
          <w:rFonts w:hint="eastAsia" w:cs="宋体" w:asciiTheme="minorEastAsia" w:hAnsiTheme="minorEastAsia" w:eastAsiaTheme="minorEastAsia"/>
          <w:bCs/>
          <w:color w:val="auto"/>
          <w:szCs w:val="21"/>
          <w:highlight w:val="none"/>
        </w:rPr>
        <w:t>不存在</w:t>
      </w:r>
      <w:r>
        <w:rPr>
          <w:rFonts w:cs="宋体" w:asciiTheme="minorEastAsia" w:hAnsiTheme="minorEastAsia" w:eastAsiaTheme="minorEastAsia"/>
          <w:bCs/>
          <w:color w:val="auto"/>
          <w:szCs w:val="21"/>
          <w:highlight w:val="none"/>
        </w:rPr>
        <w:t>上述不良信用记录</w:t>
      </w:r>
      <w:r>
        <w:rPr>
          <w:rFonts w:hint="eastAsia" w:cs="宋体" w:asciiTheme="minorEastAsia" w:hAnsiTheme="minorEastAsia" w:eastAsiaTheme="minorEastAsia"/>
          <w:bCs/>
          <w:color w:val="auto"/>
          <w:szCs w:val="21"/>
          <w:highlight w:val="none"/>
        </w:rPr>
        <w:t>。由</w:t>
      </w:r>
      <w:r>
        <w:rPr>
          <w:rFonts w:hint="eastAsia" w:cs="宋体" w:asciiTheme="minorEastAsia" w:hAnsiTheme="minorEastAsia"/>
          <w:bCs/>
          <w:color w:val="auto"/>
          <w:szCs w:val="21"/>
          <w:highlight w:val="none"/>
          <w:lang w:val="en-US" w:eastAsia="zh-CN"/>
        </w:rPr>
        <w:t>采购人工作人员</w:t>
      </w:r>
      <w:r>
        <w:rPr>
          <w:rFonts w:hint="eastAsia" w:cs="宋体" w:asciiTheme="minorEastAsia" w:hAnsiTheme="minorEastAsia" w:eastAsiaTheme="minorEastAsia"/>
          <w:bCs/>
          <w:color w:val="auto"/>
          <w:szCs w:val="21"/>
          <w:highlight w:val="none"/>
        </w:rPr>
        <w:t>对信用信息查询记录和证据截图或下载存档，</w:t>
      </w:r>
      <w:r>
        <w:rPr>
          <w:rFonts w:hint="eastAsia" w:asciiTheme="minorEastAsia" w:hAnsiTheme="minorEastAsia" w:eastAsiaTheme="minorEastAsia"/>
          <w:color w:val="auto"/>
          <w:szCs w:val="21"/>
          <w:highlight w:val="none"/>
        </w:rPr>
        <w:t>相关信息以开标当日的查询结果为准。信用信息查询记录应当作为项目档案材料一并保存。</w:t>
      </w:r>
    </w:p>
    <w:p w14:paraId="33445C9F">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p>
    <w:p w14:paraId="5CDF3448">
      <w:pPr>
        <w:numPr>
          <w:ilvl w:val="0"/>
          <w:numId w:val="0"/>
        </w:numPr>
        <w:adjustRightInd w:val="0"/>
        <w:snapToGrid w:val="0"/>
        <w:spacing w:line="360" w:lineRule="auto"/>
        <w:ind w:leftChars="0"/>
        <w:jc w:val="center"/>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招标文件</w:t>
      </w:r>
    </w:p>
    <w:p w14:paraId="1C971EE1">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招标文件注意事项</w:t>
      </w:r>
    </w:p>
    <w:p w14:paraId="38D39AA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5.1.</w:t>
      </w:r>
      <w:r>
        <w:rPr>
          <w:rFonts w:hint="eastAsia" w:cs="宋体" w:asciiTheme="minorEastAsia" w:hAnsiTheme="minorEastAsia" w:eastAsiaTheme="minorEastAsia"/>
          <w:bCs/>
          <w:color w:val="auto"/>
          <w:szCs w:val="21"/>
          <w:highlight w:val="none"/>
        </w:rPr>
        <w:t>投标人获得招标文件后，应仔细检查招标文件的所有内容，如有残缺应在投标截止时间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前向</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14:paraId="4B9F136D">
      <w:pPr>
        <w:numPr>
          <w:ilvl w:val="0"/>
          <w:numId w:val="0"/>
        </w:numPr>
        <w:adjustRightInd w:val="0"/>
        <w:snapToGrid w:val="0"/>
        <w:spacing w:line="360" w:lineRule="auto"/>
        <w:ind w:leftChars="0"/>
        <w:rPr>
          <w:rFonts w:ascii="宋体" w:hAnsi="宋体" w:cs="黑体"/>
          <w:b/>
          <w:bCs/>
          <w:szCs w:val="21"/>
        </w:rPr>
      </w:pPr>
      <w:r>
        <w:rPr>
          <w:rFonts w:hint="eastAsia" w:cs="宋体" w:asciiTheme="minorEastAsia" w:hAnsiTheme="minorEastAsia"/>
          <w:bCs/>
          <w:color w:val="auto"/>
          <w:szCs w:val="21"/>
          <w:highlight w:val="none"/>
          <w:lang w:val="en-US" w:eastAsia="zh-CN"/>
        </w:rPr>
        <w:t>5.2.</w:t>
      </w:r>
      <w:r>
        <w:rPr>
          <w:rFonts w:hint="eastAsia" w:cs="宋体" w:asciiTheme="minorEastAsia" w:hAnsiTheme="minorEastAsia" w:eastAsiaTheme="minorEastAsia"/>
          <w:bCs/>
          <w:color w:val="auto"/>
          <w:szCs w:val="21"/>
          <w:highlight w:val="none"/>
        </w:rPr>
        <w:t>任何人或任何组织向投标人提交的任何书面或口头资料，未经</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在网上发布或书面通知，均作无效处理，不得作为招标文件的组成部分。</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对投标人由此而做出的推论、理解和结论概不负责。</w:t>
      </w:r>
    </w:p>
    <w:p w14:paraId="11AE4433">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5.3.</w:t>
      </w:r>
      <w:r>
        <w:rPr>
          <w:rFonts w:hint="eastAsia" w:cs="宋体" w:asciiTheme="minorEastAsia" w:hAnsiTheme="minorEastAsia" w:eastAsiaTheme="minorEastAsia"/>
          <w:bCs/>
          <w:color w:val="auto"/>
          <w:szCs w:val="21"/>
          <w:highlight w:val="none"/>
        </w:rPr>
        <w:t>招标文件澄清的目的是澄清、解答投标人在查阅招标文件后或现场踏勘中可能提出的与投标有关的疑问或询问。</w:t>
      </w:r>
    </w:p>
    <w:p w14:paraId="769203AE">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5.4.</w:t>
      </w:r>
      <w:r>
        <w:rPr>
          <w:rFonts w:hint="eastAsia" w:cs="宋体" w:asciiTheme="minorEastAsia" w:hAnsiTheme="minorEastAsia" w:eastAsiaTheme="minorEastAsia"/>
          <w:bCs/>
          <w:color w:val="auto"/>
          <w:szCs w:val="21"/>
          <w:highlight w:val="none"/>
        </w:rPr>
        <w:t>对招标文件进行澄清或者对招标文件有限制性、倾向性条款提出</w:t>
      </w:r>
      <w:r>
        <w:rPr>
          <w:rFonts w:hint="eastAsia" w:cs="宋体" w:asciiTheme="minorEastAsia" w:hAnsiTheme="minorEastAsia"/>
          <w:bCs/>
          <w:color w:val="auto"/>
          <w:szCs w:val="21"/>
          <w:highlight w:val="none"/>
          <w:lang w:val="en-US" w:eastAsia="zh-CN"/>
        </w:rPr>
        <w:t>招标答疑</w:t>
      </w:r>
      <w:r>
        <w:rPr>
          <w:rFonts w:hint="eastAsia" w:cs="宋体" w:asciiTheme="minorEastAsia" w:hAnsiTheme="minorEastAsia" w:eastAsiaTheme="minorEastAsia"/>
          <w:bCs/>
          <w:color w:val="auto"/>
          <w:szCs w:val="21"/>
          <w:highlight w:val="none"/>
        </w:rPr>
        <w:t>的投标人，均应于“招标公告”中所述</w:t>
      </w:r>
      <w:r>
        <w:rPr>
          <w:rFonts w:hint="eastAsia" w:cs="宋体" w:asciiTheme="minorEastAsia" w:hAnsiTheme="minorEastAsia"/>
          <w:bCs/>
          <w:color w:val="auto"/>
          <w:szCs w:val="21"/>
          <w:highlight w:val="none"/>
          <w:lang w:val="en-US" w:eastAsia="zh-CN"/>
        </w:rPr>
        <w:t>投标</w:t>
      </w:r>
      <w:r>
        <w:rPr>
          <w:rFonts w:hint="eastAsia" w:cs="宋体" w:asciiTheme="minorEastAsia" w:hAnsiTheme="minorEastAsia" w:eastAsiaTheme="minorEastAsia"/>
          <w:bCs/>
          <w:color w:val="auto"/>
          <w:szCs w:val="21"/>
          <w:highlight w:val="none"/>
        </w:rPr>
        <w:t>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前书面通知</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对规定时间内收到的对招标文件的澄清或者</w:t>
      </w:r>
      <w:r>
        <w:rPr>
          <w:rFonts w:hint="eastAsia" w:cs="宋体" w:asciiTheme="minorEastAsia" w:hAnsiTheme="minorEastAsia"/>
          <w:bCs/>
          <w:color w:val="auto"/>
          <w:szCs w:val="21"/>
          <w:highlight w:val="none"/>
          <w:lang w:val="en-US" w:eastAsia="zh-CN"/>
        </w:rPr>
        <w:t>质疑</w:t>
      </w:r>
      <w:r>
        <w:rPr>
          <w:rFonts w:hint="eastAsia" w:cs="宋体" w:asciiTheme="minorEastAsia" w:hAnsiTheme="minorEastAsia" w:eastAsiaTheme="minorEastAsia"/>
          <w:bCs/>
          <w:color w:val="auto"/>
          <w:szCs w:val="21"/>
          <w:highlight w:val="none"/>
        </w:rPr>
        <w:t>，视情况予以答复。</w:t>
      </w:r>
    </w:p>
    <w:p w14:paraId="212D649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5.5.</w:t>
      </w:r>
      <w:r>
        <w:rPr>
          <w:rFonts w:hint="eastAsia" w:cs="宋体" w:asciiTheme="minorEastAsia" w:hAnsiTheme="minorEastAsia" w:eastAsiaTheme="minorEastAsia"/>
          <w:bCs/>
          <w:color w:val="auto"/>
          <w:szCs w:val="21"/>
          <w:highlight w:val="none"/>
        </w:rPr>
        <w:t>不论是</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根据需要主动对招标文件进行必要的澄清或是根据投标人的要求对招标文件做出澄清，</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都将在投标截止日期前以书面形式（包括网站发布方式）答复或发送给所有投标人。答复内容是招标文件的组成部分，对投标人起约束作用。</w:t>
      </w:r>
    </w:p>
    <w:p w14:paraId="71321A8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5.6.</w:t>
      </w:r>
      <w:r>
        <w:rPr>
          <w:rFonts w:hint="eastAsia" w:cs="宋体" w:asciiTheme="minorEastAsia" w:hAnsiTheme="minorEastAsia" w:eastAsiaTheme="minorEastAsia"/>
          <w:bCs/>
          <w:color w:val="auto"/>
          <w:szCs w:val="21"/>
          <w:highlight w:val="none"/>
        </w:rPr>
        <w:t>招标文件发出后，在投标截止日期前任何时候，确需要变更招标内容的，</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可主动地或在解答投标人提出的澄清问题时对招标文件进行修改</w:t>
      </w:r>
      <w:r>
        <w:rPr>
          <w:rFonts w:hint="eastAsia" w:cs="宋体" w:asciiTheme="minorEastAsia" w:hAnsiTheme="minorEastAsia"/>
          <w:bCs/>
          <w:color w:val="auto"/>
          <w:szCs w:val="21"/>
          <w:highlight w:val="none"/>
          <w:lang w:eastAsia="zh-CN"/>
        </w:rPr>
        <w:t>。</w:t>
      </w:r>
    </w:p>
    <w:p w14:paraId="0B39DAF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5.7.</w:t>
      </w:r>
      <w:r>
        <w:rPr>
          <w:rFonts w:hint="eastAsia" w:cs="宋体" w:asciiTheme="minorEastAsia" w:hAnsiTheme="minorEastAsia" w:eastAsiaTheme="minorEastAsia"/>
          <w:bCs/>
          <w:color w:val="auto"/>
          <w:szCs w:val="21"/>
          <w:highlight w:val="none"/>
        </w:rPr>
        <w:t>招标文件的修改均在指定网站</w:t>
      </w:r>
      <w:r>
        <w:rPr>
          <w:rFonts w:hint="eastAsia" w:cs="宋体" w:asciiTheme="minorEastAsia" w:hAnsiTheme="minorEastAsia"/>
          <w:bCs/>
          <w:color w:val="auto"/>
          <w:szCs w:val="21"/>
          <w:highlight w:val="none"/>
          <w:lang w:eastAsia="zh-CN"/>
        </w:rPr>
        <w:t>（</w:t>
      </w:r>
      <w:r>
        <w:rPr>
          <w:rFonts w:hint="eastAsia" w:cs="宋体" w:asciiTheme="minorEastAsia" w:hAnsiTheme="minorEastAsia"/>
          <w:bCs/>
          <w:color w:val="auto"/>
          <w:szCs w:val="21"/>
          <w:highlight w:val="none"/>
          <w:lang w:val="en-US" w:eastAsia="zh-CN"/>
        </w:rPr>
        <w:t>医院官网</w:t>
      </w:r>
      <w:r>
        <w:rPr>
          <w:rFonts w:hint="eastAsia" w:cs="宋体" w:asciiTheme="minorEastAsia" w:hAnsi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以网上公告形式发布，并对投标人具有约束力，在项目开标前，投标人有义务上网查看，公告一经上网发布，即视为送达。</w:t>
      </w:r>
    </w:p>
    <w:p w14:paraId="03A8854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5.8.</w:t>
      </w:r>
      <w:r>
        <w:rPr>
          <w:rFonts w:hint="eastAsia" w:cs="宋体" w:asciiTheme="minorEastAsia" w:hAnsiTheme="minorEastAsia" w:eastAsiaTheme="minorEastAsia"/>
          <w:bCs/>
          <w:color w:val="auto"/>
          <w:szCs w:val="21"/>
          <w:highlight w:val="none"/>
        </w:rPr>
        <w:t>招标文件、招标文件澄清（答疑）纪要、招标文件修改补充通知内容均以书面明确的内容为准。当招标文件、修改补充通知、澄清（答疑）纪要内容相互矛盾时，以最后发出的通知（或纪要）或修改文件为准</w:t>
      </w:r>
      <w:r>
        <w:rPr>
          <w:rFonts w:hint="eastAsia" w:cs="宋体" w:asciiTheme="minorEastAsia" w:hAnsiTheme="minorEastAsia"/>
          <w:bCs/>
          <w:color w:val="auto"/>
          <w:szCs w:val="21"/>
          <w:highlight w:val="none"/>
          <w:lang w:eastAsia="zh-CN"/>
        </w:rPr>
        <w:t>。</w:t>
      </w:r>
    </w:p>
    <w:p w14:paraId="01BD5C1A">
      <w:pPr>
        <w:numPr>
          <w:ilvl w:val="0"/>
          <w:numId w:val="0"/>
        </w:numPr>
        <w:adjustRightInd w:val="0"/>
        <w:snapToGrid w:val="0"/>
        <w:spacing w:line="360" w:lineRule="auto"/>
        <w:ind w:leftChars="0"/>
        <w:rPr>
          <w:rFonts w:hint="default" w:cs="宋体" w:asciiTheme="majorEastAsia" w:hAnsiTheme="majorEastAsia" w:eastAsiaTheme="majorEastAsia"/>
          <w:kern w:val="2"/>
          <w:sz w:val="30"/>
          <w:szCs w:val="30"/>
          <w:lang w:val="en-US" w:eastAsia="zh-CN" w:bidi="ar-SA"/>
        </w:rPr>
      </w:pPr>
      <w:r>
        <w:rPr>
          <w:rFonts w:hint="eastAsia" w:cs="宋体" w:asciiTheme="minorEastAsia" w:hAnsiTheme="minorEastAsia"/>
          <w:bCs/>
          <w:color w:val="auto"/>
          <w:szCs w:val="21"/>
          <w:highlight w:val="none"/>
          <w:lang w:val="en-US" w:eastAsia="zh-CN"/>
        </w:rPr>
        <w:t>5.9.我院</w:t>
      </w:r>
      <w:r>
        <w:rPr>
          <w:rFonts w:hint="eastAsia" w:cs="宋体" w:asciiTheme="minorEastAsia" w:hAnsiTheme="minorEastAsia" w:eastAsiaTheme="minorEastAsia"/>
          <w:bCs/>
          <w:color w:val="auto"/>
          <w:szCs w:val="21"/>
          <w:highlight w:val="none"/>
        </w:rPr>
        <w:t>保证招标文件澄清（答疑）纪要和招标文件修改补充通知在投标截止时间前以网站公开发布形式或书面形式发送给所有投标人。为使投标人在编写投标文件时有充分时间对招标文件的修改部分进行研究，</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可以酌情延长递交投标文件的截止日期，具体时间将在修改补充通知中明确。</w:t>
      </w:r>
    </w:p>
    <w:p w14:paraId="71E88C04">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05" w:name="_Toc15510"/>
      <w:bookmarkStart w:id="106" w:name="_Toc438223138"/>
      <w:bookmarkStart w:id="107" w:name="_Toc22222"/>
      <w:bookmarkStart w:id="108" w:name="_Toc435516652"/>
      <w:bookmarkStart w:id="109" w:name="_Toc435174935"/>
      <w:r>
        <w:rPr>
          <w:rFonts w:hint="eastAsia" w:asciiTheme="majorEastAsia" w:hAnsiTheme="majorEastAsia" w:eastAsiaTheme="majorEastAsia"/>
          <w:sz w:val="30"/>
          <w:szCs w:val="30"/>
          <w:lang w:eastAsia="zh-TW"/>
        </w:rPr>
        <w:t>投标文件的编制</w:t>
      </w:r>
      <w:bookmarkEnd w:id="105"/>
      <w:bookmarkEnd w:id="106"/>
      <w:bookmarkEnd w:id="107"/>
      <w:bookmarkEnd w:id="108"/>
      <w:bookmarkEnd w:id="109"/>
    </w:p>
    <w:p w14:paraId="5EBD4F7D">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0" w:name="_Toc27317"/>
      <w:r>
        <w:rPr>
          <w:rFonts w:hint="eastAsia" w:ascii="宋体" w:hAnsi="宋体"/>
          <w:b/>
          <w:bCs/>
          <w:szCs w:val="21"/>
        </w:rPr>
        <w:t>投标的语言</w:t>
      </w:r>
      <w:bookmarkEnd w:id="110"/>
      <w:r>
        <w:rPr>
          <w:rFonts w:hint="eastAsia" w:ascii="宋体" w:hAnsi="宋体"/>
          <w:b/>
          <w:bCs/>
          <w:szCs w:val="21"/>
          <w:lang w:val="en-US" w:eastAsia="zh-CN"/>
        </w:rPr>
        <w:t>及度量单位</w:t>
      </w:r>
    </w:p>
    <w:p w14:paraId="60E51897">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6.1.</w:t>
      </w:r>
      <w:r>
        <w:rPr>
          <w:rFonts w:hint="eastAsia" w:ascii="宋体" w:hAnsi="宋体" w:cs="宋体"/>
          <w:szCs w:val="21"/>
        </w:rPr>
        <w:t>投标人提交的投标文件以及投标人与采购人就有关投标的所有来往函电均应使用中文书写。投标人提交的支持文件或印刷的资料可以用另一种语言，但相应内容应附有中文翻译本，由翻译机构盖章或者翻译人员签名。</w:t>
      </w:r>
      <w:r>
        <w:rPr>
          <w:rFonts w:hint="eastAsia" w:ascii="宋体" w:hAnsi="宋体"/>
        </w:rPr>
        <w:t>两种语言不一致时以中文翻译本为准。</w:t>
      </w:r>
    </w:p>
    <w:p w14:paraId="2EC9C25D">
      <w:pPr>
        <w:numPr>
          <w:ilvl w:val="0"/>
          <w:numId w:val="0"/>
        </w:numPr>
        <w:autoSpaceDE w:val="0"/>
        <w:autoSpaceDN w:val="0"/>
        <w:adjustRightInd w:val="0"/>
        <w:snapToGrid w:val="0"/>
        <w:spacing w:line="360" w:lineRule="auto"/>
        <w:ind w:leftChars="0"/>
        <w:rPr>
          <w:rFonts w:hint="eastAsia" w:ascii="宋体" w:hAnsi="宋体" w:cs="宋体"/>
          <w:szCs w:val="21"/>
        </w:rPr>
      </w:pPr>
      <w:r>
        <w:rPr>
          <w:rFonts w:hint="eastAsia" w:ascii="宋体" w:hAnsi="宋体" w:cs="宋体"/>
          <w:szCs w:val="21"/>
          <w:lang w:val="en-US" w:eastAsia="zh-CN"/>
        </w:rPr>
        <w:t>6.2.</w:t>
      </w:r>
      <w:r>
        <w:rPr>
          <w:rFonts w:hint="eastAsia" w:ascii="宋体" w:hAnsi="宋体" w:cs="宋体"/>
          <w:szCs w:val="21"/>
        </w:rPr>
        <w:t>除技术规范另有规定外，投标文件使用的度量单位，均采用中华人民共和国法定计量单位。</w:t>
      </w:r>
    </w:p>
    <w:p w14:paraId="5EB2D7D4">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1" w:name="_Toc2446"/>
      <w:r>
        <w:rPr>
          <w:rFonts w:hint="eastAsia" w:ascii="宋体" w:hAnsi="宋体"/>
          <w:b/>
          <w:bCs/>
          <w:szCs w:val="21"/>
        </w:rPr>
        <w:t>投标文件的构成</w:t>
      </w:r>
      <w:bookmarkEnd w:id="111"/>
    </w:p>
    <w:p w14:paraId="57D603E8">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7.1.</w:t>
      </w:r>
      <w:r>
        <w:rPr>
          <w:rFonts w:hint="eastAsia" w:ascii="宋体" w:hAnsi="宋体" w:cs="宋体"/>
          <w:szCs w:val="21"/>
        </w:rPr>
        <w:t>投标人编写的投标文件应包括资格性文件、符合性文件、技术文件、商务文件等，编排顺序参见投标文件格式。</w:t>
      </w:r>
    </w:p>
    <w:p w14:paraId="219B7BC5">
      <w:pPr>
        <w:numPr>
          <w:ilvl w:val="0"/>
          <w:numId w:val="0"/>
        </w:numPr>
        <w:autoSpaceDE w:val="0"/>
        <w:autoSpaceDN w:val="0"/>
        <w:adjustRightInd w:val="0"/>
        <w:snapToGrid w:val="0"/>
        <w:spacing w:line="360" w:lineRule="auto"/>
        <w:ind w:leftChars="0"/>
        <w:outlineLvl w:val="9"/>
        <w:rPr>
          <w:rFonts w:ascii="宋体" w:hAnsi="宋体" w:cs="宋体"/>
          <w:szCs w:val="21"/>
        </w:rPr>
      </w:pPr>
      <w:r>
        <w:rPr>
          <w:rFonts w:hint="eastAsia" w:ascii="宋体" w:hAnsi="宋体" w:cs="宋体"/>
          <w:szCs w:val="21"/>
          <w:lang w:val="en-US" w:eastAsia="zh-CN"/>
        </w:rPr>
        <w:t>7.2.</w:t>
      </w:r>
      <w:r>
        <w:rPr>
          <w:rFonts w:hint="eastAsia" w:ascii="宋体" w:hAnsi="宋体" w:cs="宋体"/>
          <w:szCs w:val="21"/>
        </w:rPr>
        <w:t>投标文件的构成应符合法律法规及招标文件的要求。</w:t>
      </w:r>
    </w:p>
    <w:p w14:paraId="0F86CEF7">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2" w:name="_Toc11091"/>
      <w:r>
        <w:rPr>
          <w:rFonts w:hint="eastAsia" w:ascii="宋体" w:hAnsi="宋体"/>
          <w:b/>
          <w:bCs/>
          <w:szCs w:val="21"/>
        </w:rPr>
        <w:t>投标文件的编写</w:t>
      </w:r>
      <w:bookmarkEnd w:id="112"/>
    </w:p>
    <w:p w14:paraId="3AA1BCA5">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8.1.</w:t>
      </w:r>
      <w:r>
        <w:rPr>
          <w:rFonts w:hint="eastAsia" w:ascii="宋体" w:hAnsi="宋体" w:cs="宋体"/>
          <w:szCs w:val="21"/>
        </w:rPr>
        <w:t>投标人对招标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2476390D">
      <w:pPr>
        <w:numPr>
          <w:ilvl w:val="0"/>
          <w:numId w:val="0"/>
        </w:numPr>
        <w:tabs>
          <w:tab w:val="left" w:pos="709"/>
        </w:tabs>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8.2.</w:t>
      </w:r>
      <w:r>
        <w:rPr>
          <w:rFonts w:hint="eastAsia" w:ascii="宋体" w:hAnsi="宋体" w:cs="宋体"/>
          <w:szCs w:val="21"/>
        </w:rPr>
        <w:t>投标人必须对投标文件所提供的全部资料的真实性承担法律责任，并无条件接受采购人或者</w:t>
      </w:r>
      <w:r>
        <w:rPr>
          <w:rFonts w:hint="eastAsia" w:ascii="宋体" w:hAnsi="宋体"/>
          <w:szCs w:val="21"/>
        </w:rPr>
        <w:t>政府采购监督管理部门</w:t>
      </w:r>
      <w:r>
        <w:rPr>
          <w:rFonts w:hint="eastAsia" w:ascii="宋体" w:hAnsi="宋体" w:cs="宋体"/>
          <w:szCs w:val="21"/>
        </w:rPr>
        <w:t>对其中任何资料进行核实的要求。</w:t>
      </w:r>
    </w:p>
    <w:p w14:paraId="1EC5433C">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8.3.</w:t>
      </w:r>
      <w:r>
        <w:rPr>
          <w:rFonts w:hint="eastAsia" w:ascii="宋体" w:hAnsi="宋体" w:cs="宋体"/>
          <w:szCs w:val="21"/>
        </w:rPr>
        <w:t>如果因为投标人的投标文件只填写和提供了本招标文件要求的部分内容和附件，或没有提供招标文件中所要求的资料及数据，由此造成的后果和责任由投标人承担。</w:t>
      </w:r>
    </w:p>
    <w:p w14:paraId="274B42DA">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8.4.</w:t>
      </w:r>
      <w:r>
        <w:rPr>
          <w:rFonts w:hint="eastAsia" w:ascii="宋体" w:hAnsi="宋体" w:cs="宋体"/>
          <w:szCs w:val="21"/>
        </w:rPr>
        <w:t>投标人应认真阅读、并充分理解招标文件的全部内容（包括所有的补充、修改内容重要事项、格式、条款和技术规范、参数及要求等）。投标人没有按照招标文件要求提交资料，或者投标文件没有对招标文件在各方面都作出实质性响应是投标人的风险，有可能导致其投标被认定为无效投标或被确定为投标无效。</w:t>
      </w:r>
    </w:p>
    <w:p w14:paraId="20EF46C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8.5.</w:t>
      </w:r>
      <w:r>
        <w:rPr>
          <w:rFonts w:hint="eastAsia" w:ascii="宋体" w:hAnsi="宋体" w:cs="宋体"/>
          <w:szCs w:val="21"/>
        </w:rPr>
        <w:t>如招标文件提供了投标文件格式，则投标人提交的投标文件必须毫无例外地使用招标文件所提供的相应格式（表格可以按同样格式扩展）。</w:t>
      </w:r>
    </w:p>
    <w:p w14:paraId="17A80A89">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3" w:name="_Toc7497"/>
      <w:r>
        <w:rPr>
          <w:rFonts w:hint="eastAsia" w:ascii="宋体" w:hAnsi="宋体"/>
          <w:b/>
          <w:bCs/>
          <w:szCs w:val="21"/>
        </w:rPr>
        <w:t>投标报价</w:t>
      </w:r>
      <w:bookmarkEnd w:id="113"/>
    </w:p>
    <w:p w14:paraId="34667E9C">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9.1.</w:t>
      </w:r>
      <w:r>
        <w:rPr>
          <w:rFonts w:hint="eastAsia" w:ascii="宋体" w:hAnsi="宋体" w:cs="宋体"/>
          <w:szCs w:val="21"/>
        </w:rPr>
        <w:t>投标人应按照“用户需求书”中采购项目技术规格、参数及要求规定的内容、责任范围进行报价。并按《开标一览表(报价表)》及《投标分项报价表》（如适用）的要求报出总价和分项价格。</w:t>
      </w:r>
    </w:p>
    <w:p w14:paraId="4C0B5911">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cs="宋体"/>
          <w:szCs w:val="21"/>
          <w:lang w:val="en-US" w:eastAsia="zh-CN"/>
        </w:rPr>
        <w:t>9.2.</w:t>
      </w:r>
      <w:r>
        <w:rPr>
          <w:rFonts w:hint="eastAsia" w:ascii="宋体" w:hAnsi="宋体" w:cs="宋体"/>
          <w:szCs w:val="21"/>
          <w:lang w:eastAsia="zh-TW"/>
        </w:rPr>
        <w:t>投标分项报价</w:t>
      </w:r>
      <w:r>
        <w:rPr>
          <w:rFonts w:hint="eastAsia" w:ascii="宋体" w:hAnsi="宋体" w:cs="宋体"/>
          <w:szCs w:val="21"/>
        </w:rPr>
        <w:t>应包含：</w:t>
      </w:r>
    </w:p>
    <w:p w14:paraId="7BEEE35F">
      <w:pPr>
        <w:numPr>
          <w:ilvl w:val="0"/>
          <w:numId w:val="0"/>
        </w:numPr>
        <w:tabs>
          <w:tab w:val="left" w:pos="851"/>
        </w:tabs>
        <w:autoSpaceDE w:val="0"/>
        <w:autoSpaceDN w:val="0"/>
        <w:adjustRightInd w:val="0"/>
        <w:snapToGrid w:val="0"/>
        <w:spacing w:line="360" w:lineRule="auto"/>
        <w:ind w:leftChars="0"/>
        <w:jc w:val="left"/>
        <w:rPr>
          <w:rFonts w:ascii="宋体" w:hAnsi="宋体" w:cs="宋体"/>
          <w:szCs w:val="21"/>
        </w:rPr>
      </w:pPr>
      <w:r>
        <w:rPr>
          <w:rFonts w:hint="eastAsia" w:ascii="宋体" w:hAnsi="宋体" w:cs="宋体"/>
          <w:szCs w:val="21"/>
          <w:lang w:val="en-US" w:eastAsia="zh-CN"/>
        </w:rPr>
        <w:t>9.2.1.</w:t>
      </w:r>
      <w:r>
        <w:rPr>
          <w:rFonts w:hint="eastAsia" w:ascii="宋体" w:hAnsi="宋体" w:cs="宋体"/>
          <w:szCs w:val="21"/>
        </w:rPr>
        <w:t>按招标文件的要求全部货物及服务内容所需的所有费用，</w:t>
      </w:r>
      <w:r>
        <w:t>包括但不限于项目的</w:t>
      </w:r>
      <w:r>
        <w:rPr>
          <w:rFonts w:hint="eastAsia" w:ascii="宋体" w:hAnsi="宋体" w:cs="宋体"/>
          <w:szCs w:val="21"/>
        </w:rPr>
        <w:t>全部产品价格、服务价格、应向中华人民共和国政府缴纳的增值税和其它税等全部税费、</w:t>
      </w:r>
      <w:r>
        <w:t>运输、保险、安装、伴随服务、</w:t>
      </w:r>
      <w:r>
        <w:rPr>
          <w:rFonts w:hint="eastAsia" w:ascii="宋体" w:hAnsi="宋体" w:cs="宋体"/>
          <w:szCs w:val="21"/>
        </w:rPr>
        <w:t>标准附件价、备品备件及专用工具价</w:t>
      </w:r>
      <w:r>
        <w:rPr>
          <w:rFonts w:ascii="宋体" w:hAnsi="宋体" w:cs="宋体"/>
          <w:szCs w:val="21"/>
        </w:rPr>
        <w:t>(</w:t>
      </w:r>
      <w:r>
        <w:rPr>
          <w:rFonts w:hint="eastAsia" w:ascii="宋体" w:hAnsi="宋体" w:cs="宋体"/>
          <w:szCs w:val="21"/>
        </w:rPr>
        <w:t>如有</w:t>
      </w:r>
      <w:r>
        <w:rPr>
          <w:rFonts w:ascii="宋体" w:hAnsi="宋体" w:cs="宋体"/>
          <w:szCs w:val="21"/>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rPr>
        <w:t>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46B2DB31">
      <w:pPr>
        <w:numPr>
          <w:ilvl w:val="0"/>
          <w:numId w:val="0"/>
        </w:numPr>
        <w:tabs>
          <w:tab w:val="left" w:pos="851"/>
        </w:tabs>
        <w:autoSpaceDE w:val="0"/>
        <w:autoSpaceDN w:val="0"/>
        <w:adjustRightInd w:val="0"/>
        <w:snapToGrid w:val="0"/>
        <w:spacing w:line="360" w:lineRule="auto"/>
        <w:ind w:leftChars="0"/>
        <w:jc w:val="left"/>
        <w:outlineLvl w:val="9"/>
        <w:rPr>
          <w:rFonts w:ascii="宋体" w:hAnsi="宋体" w:cs="宋体"/>
          <w:szCs w:val="21"/>
        </w:rPr>
      </w:pPr>
      <w:r>
        <w:rPr>
          <w:rFonts w:hint="eastAsia" w:ascii="宋体" w:hAnsi="宋体" w:cs="宋体"/>
          <w:szCs w:val="21"/>
          <w:lang w:val="en-US" w:eastAsia="zh-CN"/>
        </w:rPr>
        <w:t>9.2.2.</w:t>
      </w:r>
      <w:r>
        <w:rPr>
          <w:rFonts w:hint="eastAsia" w:ascii="宋体" w:hAnsi="宋体" w:cs="宋体"/>
          <w:szCs w:val="21"/>
        </w:rPr>
        <w:t>对于报价免费的内容须标明“免费”。</w:t>
      </w:r>
    </w:p>
    <w:p w14:paraId="3708B8C6">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9.3.</w:t>
      </w:r>
      <w:r>
        <w:rPr>
          <w:rFonts w:hint="eastAsia" w:ascii="宋体" w:hAnsi="宋体"/>
          <w:szCs w:val="21"/>
        </w:rPr>
        <w:t>除</w:t>
      </w:r>
      <w:r>
        <w:rPr>
          <w:rFonts w:hint="eastAsia" w:ascii="宋体" w:hAnsi="宋体" w:cs="宋体"/>
          <w:szCs w:val="21"/>
        </w:rPr>
        <w:t>投标资料表中另有</w:t>
      </w:r>
      <w:r>
        <w:rPr>
          <w:rFonts w:hint="eastAsia" w:ascii="宋体" w:hAnsi="宋体"/>
          <w:szCs w:val="21"/>
        </w:rPr>
        <w:t>规定，</w:t>
      </w:r>
      <w:r>
        <w:rPr>
          <w:rFonts w:hint="eastAsia" w:ascii="宋体" w:hAnsi="宋体" w:cs="宋体"/>
          <w:szCs w:val="21"/>
        </w:rPr>
        <w:t>投标人所报的投标价在合同执行过程中是固定不变的，不得以任何理由予以变更。任何包含价格调整要求的投标被认为是非实质性响应投标而予以拒绝。</w:t>
      </w:r>
    </w:p>
    <w:p w14:paraId="36D75F9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9.4.</w:t>
      </w:r>
      <w:r>
        <w:rPr>
          <w:rFonts w:hint="eastAsia" w:ascii="宋体" w:hAnsi="宋体" w:cs="宋体"/>
          <w:szCs w:val="21"/>
        </w:rPr>
        <w:t>除投标资料表中允许有</w:t>
      </w:r>
      <w:r>
        <w:rPr>
          <w:rFonts w:hint="eastAsia" w:ascii="宋体" w:hAnsi="宋体"/>
          <w:szCs w:val="21"/>
        </w:rPr>
        <w:t>备选方案外，本次招标不接受选择性报价，</w:t>
      </w:r>
      <w:r>
        <w:rPr>
          <w:rFonts w:hint="eastAsia" w:ascii="宋体" w:hAnsi="宋体" w:cs="宋体"/>
          <w:szCs w:val="21"/>
        </w:rPr>
        <w:t>否则将被视为无效投标。</w:t>
      </w:r>
    </w:p>
    <w:p w14:paraId="32B5E02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9.5.</w:t>
      </w:r>
      <w:r>
        <w:rPr>
          <w:rFonts w:hint="eastAsia" w:ascii="宋体" w:hAnsi="宋体"/>
          <w:szCs w:val="21"/>
        </w:rPr>
        <w:t>除投标资料表另有规定外，本次招标不接受具有附加条件的报价，</w:t>
      </w:r>
      <w:r>
        <w:rPr>
          <w:rFonts w:hint="eastAsia" w:ascii="宋体" w:hAnsi="宋体" w:cs="宋体"/>
          <w:szCs w:val="21"/>
        </w:rPr>
        <w:t>否则将被视为无效投标。</w:t>
      </w:r>
    </w:p>
    <w:p w14:paraId="2B358E29">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4" w:name="_Toc2827"/>
      <w:r>
        <w:rPr>
          <w:rFonts w:hint="eastAsia" w:ascii="宋体" w:hAnsi="宋体"/>
          <w:b/>
          <w:bCs/>
          <w:szCs w:val="21"/>
        </w:rPr>
        <w:t>投标货币</w:t>
      </w:r>
      <w:bookmarkEnd w:id="114"/>
    </w:p>
    <w:p w14:paraId="75F25268">
      <w:pPr>
        <w:numPr>
          <w:ilvl w:val="1"/>
          <w:numId w:val="18"/>
        </w:numPr>
        <w:autoSpaceDE w:val="0"/>
        <w:autoSpaceDN w:val="0"/>
        <w:adjustRightInd w:val="0"/>
        <w:snapToGrid w:val="0"/>
        <w:spacing w:line="360" w:lineRule="auto"/>
        <w:ind w:left="567" w:leftChars="0" w:hanging="567" w:firstLineChars="0"/>
        <w:outlineLvl w:val="9"/>
        <w:rPr>
          <w:rFonts w:ascii="宋体" w:hAnsi="宋体"/>
          <w:szCs w:val="21"/>
        </w:rPr>
      </w:pPr>
      <w:r>
        <w:rPr>
          <w:rFonts w:hint="eastAsia" w:ascii="宋体" w:hAnsi="宋体"/>
          <w:szCs w:val="21"/>
        </w:rPr>
        <w:t>投标人所提供的货物和服务均应以人民币报价。</w:t>
      </w:r>
    </w:p>
    <w:p w14:paraId="74EED58B">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5" w:name="_Toc23174"/>
      <w:r>
        <w:rPr>
          <w:rFonts w:hint="eastAsia" w:ascii="宋体" w:hAnsi="宋体"/>
          <w:b/>
          <w:bCs/>
          <w:szCs w:val="21"/>
        </w:rPr>
        <w:t>联合体投标</w:t>
      </w:r>
      <w:bookmarkEnd w:id="115"/>
    </w:p>
    <w:p w14:paraId="1C1E2EC5">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szCs w:val="21"/>
        </w:rPr>
        <w:t>除</w:t>
      </w:r>
      <w:r>
        <w:rPr>
          <w:rFonts w:hint="eastAsia" w:ascii="宋体" w:hAnsi="宋体"/>
          <w:bCs/>
          <w:szCs w:val="20"/>
        </w:rPr>
        <w:t>非投标邀请中另有规定</w:t>
      </w:r>
      <w:r>
        <w:rPr>
          <w:rFonts w:hint="eastAsia" w:ascii="宋体" w:hAnsi="宋体"/>
          <w:szCs w:val="21"/>
        </w:rPr>
        <w:t>，不接受联合体投标。如果投标邀请中规定允许联合体投标的，则必须满足：</w:t>
      </w:r>
    </w:p>
    <w:p w14:paraId="5EFCE26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11.1.1.</w:t>
      </w:r>
      <w:r>
        <w:rPr>
          <w:rFonts w:hint="eastAsia" w:ascii="宋体" w:hAnsi="宋体"/>
          <w:szCs w:val="21"/>
        </w:rPr>
        <w:t>以联合体形式参加投标的，联合体各方均必须符合联合体各方均必须符合</w:t>
      </w:r>
      <w:r>
        <w:rPr>
          <w:rFonts w:hint="eastAsia" w:ascii="宋体" w:hAnsi="宋体"/>
          <w:bCs/>
          <w:szCs w:val="20"/>
        </w:rPr>
        <w:t>《中华人民共和国政府采购法》第二十二条第（一）至（六）项规定。</w:t>
      </w:r>
    </w:p>
    <w:p w14:paraId="7D7ADB52">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11.1.2.</w:t>
      </w: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168C4E3F">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11.1.3.</w:t>
      </w:r>
      <w:r>
        <w:rPr>
          <w:rFonts w:hint="eastAsia" w:ascii="宋体" w:hAnsi="宋体"/>
          <w:szCs w:val="21"/>
        </w:rPr>
        <w:t>联合体中有同类资质的供应商按照联合体分工承担相同工作的，应当按照资质等级较低的供应商确定资质等级。</w:t>
      </w:r>
    </w:p>
    <w:p w14:paraId="637120FC">
      <w:pPr>
        <w:numPr>
          <w:ilvl w:val="0"/>
          <w:numId w:val="0"/>
        </w:numPr>
        <w:tabs>
          <w:tab w:val="left" w:pos="851"/>
        </w:tabs>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11.1.4.</w:t>
      </w:r>
      <w:r>
        <w:rPr>
          <w:rFonts w:ascii="宋体" w:hAnsi="宋体"/>
          <w:szCs w:val="21"/>
        </w:rPr>
        <w:t>联合体中标的，联合体各方应当共同与</w:t>
      </w:r>
      <w:r>
        <w:rPr>
          <w:rFonts w:hint="eastAsia" w:ascii="宋体" w:hAnsi="宋体"/>
          <w:szCs w:val="21"/>
        </w:rPr>
        <w:t>采购</w:t>
      </w:r>
      <w:r>
        <w:rPr>
          <w:rFonts w:ascii="宋体" w:hAnsi="宋体"/>
          <w:szCs w:val="21"/>
        </w:rPr>
        <w:t>人签订合同。</w:t>
      </w:r>
    </w:p>
    <w:p w14:paraId="1D5AF8E3">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6" w:name="_Toc14020"/>
      <w:r>
        <w:rPr>
          <w:rFonts w:hint="eastAsia" w:ascii="宋体" w:hAnsi="宋体"/>
          <w:b/>
          <w:bCs/>
          <w:szCs w:val="21"/>
        </w:rPr>
        <w:t>证明投标人合格和资格的文件</w:t>
      </w:r>
      <w:bookmarkEnd w:id="116"/>
    </w:p>
    <w:p w14:paraId="5439B540">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投标人应提交证明其有资格参加投标和中标后有能力履行合同的文件，并作为其投标文件的一部分。如果投标人为联合体，应提交联合体各方的资格证明文件、</w:t>
      </w:r>
      <w:r>
        <w:rPr>
          <w:rFonts w:hint="eastAsia" w:ascii="宋体" w:hAnsi="宋体"/>
          <w:szCs w:val="21"/>
        </w:rPr>
        <w:t>联合</w:t>
      </w:r>
      <w:r>
        <w:rPr>
          <w:rFonts w:hint="eastAsia" w:ascii="宋体" w:hAnsi="宋体" w:cs="宋体"/>
          <w:szCs w:val="21"/>
        </w:rPr>
        <w:t>投标协议并注明主体方及各方拟承担的工作和责任。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2E771B7C">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投标人提交的资格证明文件应证明其满足</w:t>
      </w:r>
      <w:r>
        <w:rPr>
          <w:rFonts w:hint="eastAsia" w:ascii="宋体"/>
          <w:bCs/>
          <w:szCs w:val="20"/>
        </w:rPr>
        <w:t>投标人的资格要求</w:t>
      </w:r>
      <w:r>
        <w:rPr>
          <w:rFonts w:hint="eastAsia" w:ascii="宋体" w:hAnsi="宋体" w:cs="宋体"/>
          <w:szCs w:val="21"/>
        </w:rPr>
        <w:t>。</w:t>
      </w:r>
    </w:p>
    <w:p w14:paraId="62D82397">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7" w:name="_Toc17198"/>
      <w:r>
        <w:rPr>
          <w:rFonts w:ascii="宋体" w:hAnsi="宋体"/>
          <w:b/>
          <w:bCs/>
          <w:szCs w:val="21"/>
        </w:rPr>
        <w:t>证明投标标的的合格性和符合招标文件规定的文件</w:t>
      </w:r>
      <w:bookmarkEnd w:id="117"/>
    </w:p>
    <w:p w14:paraId="6B9702A6">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投标人应提交证明文件，证明其拟投标的货物和服务的合格性符合招标文件规定。该证明文件作为投标文件的一部分。</w:t>
      </w:r>
    </w:p>
    <w:p w14:paraId="2283C2D1">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货物和服务合格性的证明文件应包括投标分项报价表中对货物和服务原产地的说明。</w:t>
      </w:r>
    </w:p>
    <w:p w14:paraId="34664144">
      <w:pPr>
        <w:numPr>
          <w:ilvl w:val="1"/>
          <w:numId w:val="18"/>
        </w:numPr>
        <w:autoSpaceDE w:val="0"/>
        <w:autoSpaceDN w:val="0"/>
        <w:adjustRightInd w:val="0"/>
        <w:snapToGrid w:val="0"/>
        <w:spacing w:line="360" w:lineRule="auto"/>
        <w:rPr>
          <w:rFonts w:ascii="宋体" w:hAnsi="宋体"/>
          <w:strike/>
          <w:color w:val="auto"/>
          <w:szCs w:val="21"/>
        </w:rPr>
      </w:pPr>
      <w:r>
        <w:rPr>
          <w:rFonts w:hint="eastAsia" w:ascii="宋体" w:hAnsi="宋体" w:cs="宋体"/>
          <w:szCs w:val="21"/>
        </w:rPr>
        <w:t>证</w:t>
      </w:r>
      <w:r>
        <w:rPr>
          <w:rFonts w:hint="eastAsia" w:ascii="宋体" w:hAnsi="宋体" w:cs="宋体"/>
          <w:color w:val="auto"/>
          <w:szCs w:val="21"/>
        </w:rPr>
        <w:t>明货物和服务与招标文件的要求相一致的文件，可以是文字资料、图纸和数据。</w:t>
      </w:r>
    </w:p>
    <w:p w14:paraId="4D4BF88B">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8" w:name="_Toc20270"/>
      <w:r>
        <w:rPr>
          <w:rFonts w:hint="eastAsia" w:ascii="宋体" w:hAnsi="宋体"/>
          <w:b/>
          <w:bCs/>
          <w:szCs w:val="21"/>
        </w:rPr>
        <w:t>投标文件的式样和签署、密封</w:t>
      </w:r>
      <w:bookmarkEnd w:id="118"/>
    </w:p>
    <w:p w14:paraId="669ADE1D">
      <w:pPr>
        <w:numPr>
          <w:ilvl w:val="1"/>
          <w:numId w:val="18"/>
        </w:numPr>
        <w:autoSpaceDE w:val="0"/>
        <w:autoSpaceDN w:val="0"/>
        <w:adjustRightInd w:val="0"/>
        <w:snapToGrid w:val="0"/>
        <w:spacing w:line="360" w:lineRule="auto"/>
        <w:rPr>
          <w:rFonts w:ascii="宋体" w:hAnsi="宋体" w:cs="黑体"/>
          <w:b/>
          <w:bCs/>
          <w:szCs w:val="21"/>
        </w:rPr>
      </w:pPr>
      <w:bookmarkStart w:id="119" w:name="_Toc435516653"/>
      <w:bookmarkStart w:id="120" w:name="_Toc435174936"/>
      <w:bookmarkStart w:id="121" w:name="_Toc438223139"/>
      <w:r>
        <w:rPr>
          <w:rFonts w:hint="eastAsia" w:ascii="宋体" w:hAnsi="宋体" w:cs="宋体"/>
          <w:szCs w:val="21"/>
        </w:rPr>
        <w:t>投标文件的式样：投标人应准备纸质投标文件一份正本、电子文件和</w:t>
      </w:r>
      <w:r>
        <w:rPr>
          <w:rFonts w:hint="eastAsia" w:ascii="宋体" w:hAnsi="宋体" w:cs="宋体"/>
          <w:szCs w:val="21"/>
          <w:lang w:val="en-US" w:eastAsia="zh-CN"/>
        </w:rPr>
        <w:t>招标须知</w:t>
      </w:r>
      <w:r>
        <w:rPr>
          <w:rFonts w:hint="eastAsia" w:ascii="宋体" w:hAnsi="宋体" w:cs="宋体"/>
          <w:szCs w:val="21"/>
        </w:rPr>
        <w:t>中规定数目的纸质副本。投标文件的副本可采用正本的复印件。每套投标文件须清楚地标明“正本”或“副本”。</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33C4C948">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电子文件：是指将按招标文件要求签署、盖章后的正本投标文件扫描成PDF格式后拷贝至无病毒无密码的U盘或光盘。电子文件与正本投标文件一同密封，若电子文件与正本不符，以正本为准。</w:t>
      </w:r>
    </w:p>
    <w:p w14:paraId="2956E498">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
          <w:bCs/>
          <w:szCs w:val="21"/>
        </w:rPr>
      </w:pPr>
      <w:r>
        <w:rPr>
          <w:rFonts w:hint="eastAsia" w:ascii="宋体" w:hAnsi="宋体" w:cs="宋体"/>
          <w:szCs w:val="21"/>
          <w:lang w:eastAsia="zh-TW"/>
        </w:rPr>
        <w:t>投标文件的签署：</w:t>
      </w:r>
      <w:r>
        <w:rPr>
          <w:rFonts w:ascii="宋体" w:hAnsi="宋体" w:cs="黑体"/>
          <w:b/>
          <w:bCs/>
          <w:szCs w:val="21"/>
        </w:rPr>
        <w:t xml:space="preserve"> </w:t>
      </w:r>
    </w:p>
    <w:p w14:paraId="17D5B1D7">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14.3.1.</w:t>
      </w:r>
      <w:r>
        <w:rPr>
          <w:rFonts w:hint="eastAsia" w:ascii="宋体" w:hAnsi="宋体" w:cs="宋体"/>
          <w:szCs w:val="21"/>
        </w:rPr>
        <w:t>投标文件的正本需打印或用不褪色墨水书写，且招标文件要求签名的由法定代表人或经其正式授权的代表签字或盖章，以及招标文件中明示盖公章处及要求提供的证明材料应盖投标人公章，副本可以</w:t>
      </w:r>
      <w:r>
        <w:rPr>
          <w:rFonts w:hint="eastAsia" w:ascii="宋体" w:hAnsi="宋体" w:cs="Courier New"/>
        </w:rPr>
        <w:t>用正本</w:t>
      </w:r>
      <w:r>
        <w:rPr>
          <w:rFonts w:hint="eastAsia" w:ascii="宋体" w:hAnsi="宋体" w:cs="宋体"/>
          <w:szCs w:val="21"/>
        </w:rPr>
        <w:t>复印，与正本具有同等法律效力。授权代表须将以书面形式出具的《法定代表人授权委托书》附在投标文件中。</w:t>
      </w:r>
    </w:p>
    <w:p w14:paraId="087BEF45">
      <w:pPr>
        <w:numPr>
          <w:ilvl w:val="2"/>
          <w:numId w:val="18"/>
        </w:numPr>
        <w:tabs>
          <w:tab w:val="left" w:pos="851"/>
        </w:tabs>
        <w:autoSpaceDE w:val="0"/>
        <w:autoSpaceDN w:val="0"/>
        <w:adjustRightInd w:val="0"/>
        <w:snapToGrid w:val="0"/>
        <w:spacing w:line="360" w:lineRule="auto"/>
        <w:ind w:left="851" w:hanging="851"/>
        <w:rPr>
          <w:rFonts w:ascii="宋体" w:hAnsi="宋体" w:cs="宋体"/>
          <w:b w:val="0"/>
          <w:bCs w:val="0"/>
          <w:szCs w:val="21"/>
        </w:rPr>
      </w:pPr>
      <w:r>
        <w:rPr>
          <w:rFonts w:hint="eastAsia" w:ascii="宋体" w:hAnsi="宋体" w:cs="宋体"/>
          <w:szCs w:val="21"/>
        </w:rPr>
        <w:t>投标文件中的任何重要的插字、涂改和增删，必须由法定代表人或经其正式授权的</w:t>
      </w:r>
      <w:r>
        <w:rPr>
          <w:rFonts w:hint="eastAsia" w:ascii="宋体" w:hAnsi="宋体" w:cs="宋体"/>
          <w:b w:val="0"/>
          <w:bCs w:val="0"/>
          <w:szCs w:val="21"/>
        </w:rPr>
        <w:t>代表在旁边签章或签字</w:t>
      </w:r>
      <w:r>
        <w:rPr>
          <w:rFonts w:hint="eastAsia" w:ascii="宋体" w:hAnsi="宋体"/>
          <w:b w:val="0"/>
          <w:bCs w:val="0"/>
        </w:rPr>
        <w:t>或盖投标人公章</w:t>
      </w:r>
      <w:r>
        <w:rPr>
          <w:rFonts w:hint="eastAsia" w:ascii="宋体" w:hAnsi="宋体" w:cs="宋体"/>
          <w:b w:val="0"/>
          <w:bCs w:val="0"/>
          <w:szCs w:val="21"/>
        </w:rPr>
        <w:t>才有效。</w:t>
      </w:r>
    </w:p>
    <w:p w14:paraId="3179F55C">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 w:val="0"/>
          <w:bCs w:val="0"/>
          <w:szCs w:val="21"/>
        </w:rPr>
      </w:pPr>
      <w:r>
        <w:rPr>
          <w:rFonts w:hint="eastAsia" w:ascii="宋体" w:hAnsi="宋体" w:cs="宋体"/>
          <w:b w:val="0"/>
          <w:bCs w:val="0"/>
          <w:szCs w:val="21"/>
          <w:lang w:eastAsia="zh-TW"/>
        </w:rPr>
        <w:t>投标文件</w:t>
      </w:r>
      <w:r>
        <w:rPr>
          <w:rFonts w:hint="eastAsia" w:ascii="宋体" w:hAnsi="宋体" w:cs="宋体"/>
          <w:b w:val="0"/>
          <w:bCs w:val="0"/>
          <w:szCs w:val="21"/>
          <w:lang w:val="en-US" w:eastAsia="zh-CN"/>
        </w:rPr>
        <w:t>必须</w:t>
      </w:r>
      <w:r>
        <w:rPr>
          <w:rFonts w:hint="eastAsia" w:ascii="宋体" w:hAnsi="宋体"/>
          <w:b w:val="0"/>
          <w:bCs w:val="0"/>
          <w:szCs w:val="21"/>
        </w:rPr>
        <w:t>密封</w:t>
      </w:r>
      <w:r>
        <w:rPr>
          <w:rFonts w:hint="eastAsia" w:ascii="宋体" w:hAnsi="宋体" w:cs="宋体"/>
          <w:b w:val="0"/>
          <w:bCs w:val="0"/>
          <w:szCs w:val="21"/>
          <w:lang w:eastAsia="zh-TW"/>
        </w:rPr>
        <w:t>：</w:t>
      </w:r>
    </w:p>
    <w:p w14:paraId="10B9B55B">
      <w:pPr>
        <w:numPr>
          <w:ilvl w:val="2"/>
          <w:numId w:val="18"/>
        </w:numPr>
        <w:tabs>
          <w:tab w:val="left" w:pos="851"/>
          <w:tab w:val="clear" w:pos="567"/>
        </w:tabs>
        <w:autoSpaceDE w:val="0"/>
        <w:autoSpaceDN w:val="0"/>
        <w:adjustRightInd w:val="0"/>
        <w:snapToGrid w:val="0"/>
        <w:spacing w:line="360" w:lineRule="auto"/>
        <w:ind w:left="567" w:leftChars="0" w:hanging="567" w:firstLineChars="0"/>
        <w:rPr>
          <w:rFonts w:hint="eastAsia"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rPr>
        <w:t>投标人名称、项目名称、项目编号、</w:t>
      </w:r>
      <w:r>
        <w:rPr>
          <w:rFonts w:hint="eastAsia" w:ascii="宋体" w:hAnsi="宋体" w:cs="宋体"/>
          <w:szCs w:val="21"/>
        </w:rPr>
        <w:t>包组号（如有）和</w:t>
      </w:r>
      <w:r>
        <w:rPr>
          <w:rFonts w:hint="eastAsia" w:ascii="宋体" w:hAnsi="宋体"/>
          <w:szCs w:val="21"/>
        </w:rPr>
        <w:t>“</w:t>
      </w:r>
      <w:r>
        <w:rPr>
          <w:rFonts w:hint="eastAsia" w:ascii="宋体" w:hAnsi="宋体" w:cs="宋体"/>
          <w:szCs w:val="21"/>
        </w:rPr>
        <w:t>在</w:t>
      </w:r>
      <w:r>
        <w:rPr>
          <w:rFonts w:ascii="宋体" w:hAnsi="宋体" w:cs="宋体"/>
          <w:szCs w:val="21"/>
        </w:rPr>
        <w:t>(</w:t>
      </w:r>
      <w:r>
        <w:rPr>
          <w:rFonts w:hint="eastAsia" w:ascii="宋体" w:hAnsi="宋体" w:cs="宋体"/>
          <w:szCs w:val="21"/>
        </w:rPr>
        <w:t>招标文件中规定的开标日期和时间</w:t>
      </w:r>
      <w:r>
        <w:rPr>
          <w:rFonts w:ascii="宋体" w:hAnsi="宋体" w:cs="宋体"/>
          <w:szCs w:val="21"/>
        </w:rPr>
        <w:t>)</w:t>
      </w:r>
      <w:r>
        <w:rPr>
          <w:rFonts w:hint="eastAsia" w:ascii="宋体" w:hAnsi="宋体" w:cs="宋体"/>
          <w:szCs w:val="21"/>
        </w:rPr>
        <w:t>之前不得启封”的字样。</w:t>
      </w:r>
    </w:p>
    <w:p w14:paraId="74C79580">
      <w:pPr>
        <w:numPr>
          <w:ilvl w:val="0"/>
          <w:numId w:val="0"/>
        </w:numPr>
        <w:tabs>
          <w:tab w:val="left" w:pos="851"/>
        </w:tabs>
        <w:autoSpaceDE w:val="0"/>
        <w:autoSpaceDN w:val="0"/>
        <w:adjustRightInd w:val="0"/>
        <w:snapToGrid w:val="0"/>
        <w:spacing w:line="360" w:lineRule="auto"/>
        <w:ind w:leftChars="0"/>
        <w:rPr>
          <w:rFonts w:hint="eastAsia" w:ascii="宋体" w:hAnsi="宋体" w:cs="宋体"/>
          <w:szCs w:val="21"/>
        </w:rPr>
      </w:pPr>
    </w:p>
    <w:p w14:paraId="2761954F">
      <w:pPr>
        <w:pStyle w:val="3"/>
        <w:numPr>
          <w:ilvl w:val="0"/>
          <w:numId w:val="0"/>
        </w:numPr>
        <w:spacing w:line="240" w:lineRule="auto"/>
        <w:ind w:left="420" w:leftChars="0" w:hanging="420" w:firstLineChars="0"/>
        <w:jc w:val="center"/>
        <w:outlineLvl w:val="9"/>
        <w:rPr>
          <w:rFonts w:asciiTheme="majorEastAsia" w:hAnsiTheme="majorEastAsia" w:eastAsiaTheme="majorEastAsia"/>
          <w:sz w:val="30"/>
          <w:szCs w:val="30"/>
          <w:lang w:eastAsia="zh-TW"/>
        </w:rPr>
      </w:pPr>
      <w:bookmarkStart w:id="122" w:name="_Toc28883"/>
      <w:bookmarkStart w:id="123" w:name="_Toc5252"/>
      <w:r>
        <w:rPr>
          <w:rFonts w:hint="eastAsia" w:asciiTheme="majorEastAsia" w:hAnsiTheme="majorEastAsia" w:eastAsiaTheme="majorEastAsia"/>
          <w:sz w:val="30"/>
          <w:szCs w:val="30"/>
          <w:lang w:eastAsia="zh-TW"/>
        </w:rPr>
        <w:t>投标文件的递交</w:t>
      </w:r>
      <w:bookmarkEnd w:id="119"/>
      <w:bookmarkEnd w:id="120"/>
      <w:bookmarkEnd w:id="121"/>
      <w:bookmarkEnd w:id="122"/>
      <w:bookmarkEnd w:id="123"/>
    </w:p>
    <w:p w14:paraId="34019736">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24" w:name="_Toc13202"/>
      <w:r>
        <w:rPr>
          <w:rFonts w:hint="eastAsia" w:ascii="宋体" w:hAnsi="宋体"/>
          <w:b/>
          <w:bCs/>
          <w:szCs w:val="21"/>
        </w:rPr>
        <w:t>投标文件递交</w:t>
      </w:r>
      <w:bookmarkEnd w:id="124"/>
    </w:p>
    <w:p w14:paraId="6CF7C752">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投标人的投标文件应在</w:t>
      </w:r>
      <w:r>
        <w:rPr>
          <w:rFonts w:hint="eastAsia" w:ascii="宋体" w:hAnsi="宋体"/>
        </w:rPr>
        <w:t>本项目投标截止时间前送达开标地点。</w:t>
      </w:r>
    </w:p>
    <w:p w14:paraId="3C3AF87B">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逾期送达或者未按照招标文件要求密封的投标文件，采购人应当拒收。</w:t>
      </w:r>
    </w:p>
    <w:p w14:paraId="4E5AD5BF">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29C8BEAC">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投标文件正本、所有的副本应统一封装在一个信封中，信封密封封口处须加盖投标单位公章（或信封密封封口处粘贴封条并加盖投标单位公章）。</w:t>
      </w:r>
    </w:p>
    <w:p w14:paraId="5D6ABDE0">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密封包上</w:t>
      </w:r>
      <w:r>
        <w:rPr>
          <w:rFonts w:hint="eastAsia" w:ascii="宋体" w:hAnsi="宋体"/>
          <w:lang w:val="en-US" w:eastAsia="zh-CN"/>
        </w:rPr>
        <w:t>应</w:t>
      </w:r>
      <w:r>
        <w:rPr>
          <w:rFonts w:hint="eastAsia" w:ascii="宋体" w:hAnsi="宋体"/>
        </w:rPr>
        <w:t>注明所规定的开标时间（指招标公告中规定的开标时间）前不准启封的字样。</w:t>
      </w:r>
    </w:p>
    <w:p w14:paraId="5C42D29C">
      <w:pPr>
        <w:numPr>
          <w:ilvl w:val="1"/>
          <w:numId w:val="18"/>
        </w:numPr>
        <w:autoSpaceDE w:val="0"/>
        <w:autoSpaceDN w:val="0"/>
        <w:adjustRightInd w:val="0"/>
        <w:snapToGrid w:val="0"/>
        <w:spacing w:line="360" w:lineRule="auto"/>
        <w:rPr>
          <w:rFonts w:hint="eastAsia" w:ascii="宋体" w:hAnsi="宋体"/>
        </w:rPr>
      </w:pPr>
      <w:r>
        <w:rPr>
          <w:rFonts w:hint="eastAsia" w:ascii="宋体" w:hAnsi="宋体"/>
          <w:lang w:val="en-US" w:eastAsia="zh-CN"/>
        </w:rPr>
        <w:t>我院将拒绝并原封退回在其规定的投标截止期后收到的任何投标文件。</w:t>
      </w:r>
    </w:p>
    <w:p w14:paraId="5FB9A843">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25" w:name="_Toc22017"/>
      <w:r>
        <w:rPr>
          <w:rFonts w:hint="eastAsia" w:ascii="宋体" w:hAnsi="宋体"/>
          <w:b/>
          <w:bCs/>
          <w:szCs w:val="21"/>
        </w:rPr>
        <w:t>投标文件的修改和撤回、撤销</w:t>
      </w:r>
      <w:bookmarkEnd w:id="125"/>
    </w:p>
    <w:p w14:paraId="6E8E5B6D">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在投标截止时间前，可以对所递交的投标文件进行补充、修改或者撤回。补充、修改的内容应当按招标文件要求签署、盖章、密封后，并作为投标文件的组成部分。在投标截止时间之后，投标人不得对其投标文件做任何修改和补充。</w:t>
      </w:r>
    </w:p>
    <w:p w14:paraId="00F01FD5">
      <w:pPr>
        <w:numPr>
          <w:ilvl w:val="1"/>
          <w:numId w:val="18"/>
        </w:numPr>
        <w:autoSpaceDE w:val="0"/>
        <w:autoSpaceDN w:val="0"/>
        <w:adjustRightInd w:val="0"/>
        <w:snapToGrid w:val="0"/>
        <w:spacing w:line="360" w:lineRule="auto"/>
        <w:rPr>
          <w:rFonts w:ascii="宋体" w:hAnsi="宋体" w:cs="黑体"/>
          <w:b/>
          <w:bCs/>
          <w:strike/>
          <w:szCs w:val="21"/>
        </w:rPr>
      </w:pPr>
      <w:r>
        <w:rPr>
          <w:rFonts w:hint="eastAsia" w:ascii="宋体" w:hAnsi="宋体"/>
          <w:bCs/>
        </w:rPr>
        <w:t>投标人在投标截止后或在招标文件中规定的投标有效期内不可撤销其投标。</w:t>
      </w:r>
      <w:r>
        <w:rPr>
          <w:rFonts w:hint="eastAsia" w:ascii="宋体" w:hAnsi="宋体"/>
        </w:rPr>
        <w:t>投标人所提交的投标文件在本项目投标截止时间后均不予退还。</w:t>
      </w:r>
    </w:p>
    <w:p w14:paraId="6D72A899">
      <w:pPr>
        <w:numPr>
          <w:ilvl w:val="0"/>
          <w:numId w:val="18"/>
        </w:numPr>
        <w:autoSpaceDE w:val="0"/>
        <w:autoSpaceDN w:val="0"/>
        <w:adjustRightInd w:val="0"/>
        <w:snapToGrid w:val="0"/>
        <w:spacing w:line="360" w:lineRule="auto"/>
        <w:ind w:left="449" w:hanging="449" w:hangingChars="213"/>
        <w:outlineLvl w:val="1"/>
        <w:rPr>
          <w:rFonts w:ascii="宋体" w:hAnsi="宋体" w:cs="黑体"/>
          <w:bCs/>
          <w:szCs w:val="21"/>
        </w:rPr>
      </w:pPr>
      <w:bookmarkStart w:id="126" w:name="_Toc18853"/>
      <w:r>
        <w:rPr>
          <w:rFonts w:hint="eastAsia" w:ascii="宋体" w:hAnsi="宋体"/>
          <w:b/>
          <w:bCs/>
          <w:szCs w:val="21"/>
        </w:rPr>
        <w:t>质疑</w:t>
      </w:r>
      <w:bookmarkEnd w:id="126"/>
    </w:p>
    <w:p w14:paraId="40FAED7F">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质疑期限：</w:t>
      </w:r>
    </w:p>
    <w:p w14:paraId="495E23B1">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17.1.1.</w:t>
      </w:r>
      <w:r>
        <w:rPr>
          <w:rFonts w:hint="eastAsia" w:ascii="宋体" w:hAnsi="宋体" w:cs="黑体"/>
          <w:bCs/>
          <w:szCs w:val="21"/>
        </w:rPr>
        <w:t>供应商认为采购文件的内容损害其权益的，应在采购文件公布之日起七个工作日内。</w:t>
      </w:r>
    </w:p>
    <w:p w14:paraId="285D781C">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17.1.2.</w:t>
      </w:r>
      <w:r>
        <w:rPr>
          <w:rFonts w:hint="eastAsia" w:ascii="宋体" w:hAnsi="宋体" w:cs="黑体"/>
          <w:bCs/>
          <w:szCs w:val="21"/>
        </w:rPr>
        <w:t>供应商认为采购过程损害其权益的，应在各采购程序环节结束之日起七个工作日内。</w:t>
      </w:r>
    </w:p>
    <w:p w14:paraId="09A5D385">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17.1.3.</w:t>
      </w:r>
      <w:r>
        <w:rPr>
          <w:rFonts w:hint="eastAsia" w:ascii="宋体" w:hAnsi="宋体" w:cs="黑体"/>
          <w:bCs/>
          <w:szCs w:val="21"/>
        </w:rPr>
        <w:t>供应商认为中标或者成交结果以及</w:t>
      </w:r>
      <w:r>
        <w:rPr>
          <w:rFonts w:hint="eastAsia" w:ascii="宋体" w:hAnsi="宋体" w:cs="黑体"/>
          <w:bCs/>
          <w:szCs w:val="21"/>
          <w:lang w:eastAsia="zh-CN"/>
        </w:rPr>
        <w:t>评标委员会</w:t>
      </w:r>
      <w:r>
        <w:rPr>
          <w:rFonts w:hint="eastAsia" w:ascii="宋体" w:hAnsi="宋体" w:cs="黑体"/>
          <w:bCs/>
          <w:szCs w:val="21"/>
        </w:rPr>
        <w:t>、谈判小组、竞价小组组成人员损害其权益的，应在中标或者成交结果公示之日起七个工作日内。</w:t>
      </w:r>
    </w:p>
    <w:p w14:paraId="4AC2CB6D">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提交要求：</w:t>
      </w:r>
    </w:p>
    <w:p w14:paraId="119713E8">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17.2.1.</w:t>
      </w:r>
      <w:r>
        <w:rPr>
          <w:rFonts w:hint="eastAsia" w:ascii="宋体" w:hAnsi="宋体" w:cs="黑体"/>
          <w:bCs/>
          <w:szCs w:val="21"/>
        </w:rPr>
        <w:t>以书面形式向采购人</w:t>
      </w:r>
      <w:r>
        <w:rPr>
          <w:rFonts w:hint="eastAsia" w:ascii="宋体" w:hAnsi="宋体" w:cs="宋体"/>
          <w:szCs w:val="21"/>
        </w:rPr>
        <w:t>一次性提出针对同一采购程序环节的</w:t>
      </w:r>
      <w:r>
        <w:rPr>
          <w:rFonts w:hint="eastAsia" w:ascii="宋体" w:hAnsi="宋体" w:cs="黑体"/>
          <w:bCs/>
          <w:szCs w:val="21"/>
        </w:rPr>
        <w:t>质疑。</w:t>
      </w:r>
    </w:p>
    <w:p w14:paraId="43876402">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17.2.2.</w:t>
      </w:r>
      <w:r>
        <w:rPr>
          <w:rFonts w:hint="eastAsia" w:ascii="宋体" w:hAnsi="宋体" w:cs="黑体"/>
          <w:bCs/>
          <w:szCs w:val="21"/>
        </w:rPr>
        <w:t>以联合体形式参加政府采购活动的，其质疑应当由组成联合体的所有供应商共同提出。</w:t>
      </w:r>
    </w:p>
    <w:p w14:paraId="720447C5">
      <w:pPr>
        <w:numPr>
          <w:ilvl w:val="0"/>
          <w:numId w:val="0"/>
        </w:numPr>
        <w:autoSpaceDE w:val="0"/>
        <w:autoSpaceDN w:val="0"/>
        <w:adjustRightInd w:val="0"/>
        <w:snapToGrid w:val="0"/>
        <w:spacing w:line="360" w:lineRule="auto"/>
        <w:ind w:leftChars="0"/>
        <w:rPr>
          <w:rFonts w:hint="eastAsia" w:ascii="宋体" w:hAnsi="宋体" w:eastAsia="宋体" w:cs="宋体"/>
          <w:bCs/>
          <w:szCs w:val="21"/>
        </w:rPr>
      </w:pPr>
      <w:r>
        <w:rPr>
          <w:rFonts w:hint="eastAsia" w:ascii="宋体" w:hAnsi="宋体" w:cs="黑体"/>
          <w:bCs/>
          <w:szCs w:val="21"/>
          <w:lang w:val="en-US" w:eastAsia="zh-CN"/>
        </w:rPr>
        <w:t>17.2.3.</w:t>
      </w:r>
      <w:r>
        <w:rPr>
          <w:rFonts w:hint="eastAsia" w:ascii="宋体" w:hAnsi="宋体" w:cs="黑体"/>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w:t>
      </w:r>
      <w:r>
        <w:rPr>
          <w:rFonts w:hint="eastAsia" w:ascii="宋体" w:hAnsi="宋体" w:eastAsia="宋体" w:cs="宋体"/>
          <w:bCs/>
          <w:szCs w:val="21"/>
        </w:rPr>
        <w:t>代表的姓名或者名称、代理事项、具体权限、期限和相关事项）及授权代表身份证复印件。</w:t>
      </w:r>
    </w:p>
    <w:p w14:paraId="44F2E68E">
      <w:pPr>
        <w:numPr>
          <w:ilvl w:val="0"/>
          <w:numId w:val="0"/>
        </w:numPr>
        <w:autoSpaceDE w:val="0"/>
        <w:autoSpaceDN w:val="0"/>
        <w:adjustRightInd w:val="0"/>
        <w:snapToGrid w:val="0"/>
        <w:spacing w:line="360" w:lineRule="auto"/>
        <w:ind w:leftChars="0"/>
        <w:rPr>
          <w:rFonts w:hAnsi="宋体"/>
          <w:snapToGrid w:val="0"/>
          <w:szCs w:val="21"/>
        </w:rPr>
      </w:pPr>
      <w:r>
        <w:rPr>
          <w:rFonts w:hint="eastAsia" w:ascii="宋体" w:hAnsi="宋体" w:eastAsia="宋体" w:cs="宋体"/>
          <w:szCs w:val="21"/>
          <w:lang w:val="en-US" w:eastAsia="zh-CN"/>
        </w:rPr>
        <w:t>17.2.4.</w:t>
      </w:r>
      <w:r>
        <w:rPr>
          <w:rFonts w:hint="eastAsia" w:ascii="宋体" w:hAnsi="宋体" w:eastAsia="宋体" w:cs="宋体"/>
          <w:szCs w:val="21"/>
        </w:rPr>
        <w:t>供应商捏造</w:t>
      </w:r>
      <w:r>
        <w:rPr>
          <w:rFonts w:hint="eastAsia" w:hAnsi="宋体"/>
          <w:szCs w:val="21"/>
        </w:rPr>
        <w:t>事实、提供虚假材料或者以非法手段取得证明材料不能作为质疑的证明材料</w:t>
      </w:r>
      <w:r>
        <w:rPr>
          <w:rFonts w:hint="eastAsia" w:hAnsi="宋体"/>
          <w:snapToGrid w:val="0"/>
          <w:szCs w:val="21"/>
        </w:rPr>
        <w:t>。</w:t>
      </w:r>
    </w:p>
    <w:p w14:paraId="13B078DA">
      <w:pPr>
        <w:numPr>
          <w:ilvl w:val="0"/>
          <w:numId w:val="0"/>
        </w:numPr>
        <w:tabs>
          <w:tab w:val="left" w:pos="1134"/>
        </w:tabs>
        <w:autoSpaceDE w:val="0"/>
        <w:autoSpaceDN w:val="0"/>
        <w:adjustRightInd w:val="0"/>
        <w:snapToGrid w:val="0"/>
        <w:spacing w:line="360" w:lineRule="auto"/>
        <w:ind w:leftChars="0"/>
        <w:rPr>
          <w:rFonts w:ascii="宋体" w:hAnsi="宋体" w:cs="黑体"/>
          <w:bCs/>
          <w:szCs w:val="21"/>
        </w:rPr>
      </w:pPr>
      <w:r>
        <w:rPr>
          <w:rFonts w:hint="eastAsia" w:ascii="宋体" w:hAnsi="宋体" w:cs="宋体"/>
          <w:szCs w:val="21"/>
          <w:lang w:val="en-US" w:eastAsia="zh-CN"/>
        </w:rPr>
        <w:t>17.2.5.</w:t>
      </w:r>
      <w:r>
        <w:rPr>
          <w:rFonts w:hint="eastAsia" w:ascii="宋体" w:hAnsi="宋体" w:cs="宋体"/>
          <w:szCs w:val="21"/>
        </w:rPr>
        <w:t>采购人</w:t>
      </w:r>
      <w:r>
        <w:rPr>
          <w:rFonts w:hint="eastAsia" w:ascii="宋体" w:hAnsi="宋体"/>
          <w:szCs w:val="21"/>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743620BC">
      <w:pPr>
        <w:numPr>
          <w:ilvl w:val="0"/>
          <w:numId w:val="0"/>
        </w:numPr>
        <w:autoSpaceDE w:val="0"/>
        <w:autoSpaceDN w:val="0"/>
        <w:adjustRightInd w:val="0"/>
        <w:snapToGrid w:val="0"/>
        <w:spacing w:line="360" w:lineRule="auto"/>
        <w:ind w:leftChars="0"/>
        <w:rPr>
          <w:rFonts w:hint="eastAsia" w:ascii="宋体" w:hAnsi="宋体" w:eastAsia="宋体" w:cs="宋体"/>
          <w:b/>
          <w:bCs/>
          <w:szCs w:val="21"/>
        </w:rPr>
      </w:pPr>
      <w:r>
        <w:rPr>
          <w:rFonts w:hint="eastAsia" w:ascii="宋体" w:hAnsi="宋体" w:eastAsia="宋体" w:cs="宋体"/>
          <w:snapToGrid w:val="0"/>
          <w:szCs w:val="21"/>
          <w:lang w:val="en-US" w:eastAsia="zh-CN"/>
        </w:rPr>
        <w:t>17.2.6.</w:t>
      </w:r>
      <w:r>
        <w:rPr>
          <w:rFonts w:hint="eastAsia" w:ascii="宋体" w:hAnsi="宋体" w:eastAsia="宋体" w:cs="宋体"/>
          <w:snapToGrid w:val="0"/>
          <w:szCs w:val="21"/>
        </w:rPr>
        <w:t>采购</w:t>
      </w:r>
      <w:r>
        <w:rPr>
          <w:rFonts w:hint="eastAsia" w:hAnsi="宋体"/>
          <w:snapToGrid w:val="0"/>
          <w:szCs w:val="21"/>
        </w:rPr>
        <w:t>人接收以书面形式递交的质疑函，接收质疑函的联系人、联系方式和通讯地址</w:t>
      </w:r>
      <w:r>
        <w:rPr>
          <w:rFonts w:hint="eastAsia" w:ascii="宋体" w:hAnsi="宋体" w:eastAsia="宋体" w:cs="宋体"/>
          <w:snapToGrid w:val="0"/>
          <w:szCs w:val="21"/>
          <w:lang w:val="en-US" w:eastAsia="zh-CN"/>
        </w:rPr>
        <w:t>见招标公告</w:t>
      </w:r>
      <w:r>
        <w:rPr>
          <w:rFonts w:hint="eastAsia" w:ascii="宋体" w:hAnsi="宋体" w:eastAsia="宋体" w:cs="宋体"/>
          <w:szCs w:val="21"/>
        </w:rPr>
        <w:t>。</w:t>
      </w:r>
    </w:p>
    <w:p w14:paraId="263985DD">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17.2.7.</w:t>
      </w:r>
      <w:r>
        <w:rPr>
          <w:rFonts w:hint="eastAsia" w:ascii="宋体" w:hAnsi="宋体" w:eastAsia="宋体" w:cs="宋体"/>
          <w:snapToGrid w:val="0"/>
          <w:szCs w:val="21"/>
        </w:rPr>
        <w:t>提出质疑的供应商应当是参与所质疑项目采购活动的供应商。</w:t>
      </w:r>
    </w:p>
    <w:p w14:paraId="099241A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17.2.8.</w:t>
      </w:r>
      <w:r>
        <w:rPr>
          <w:rFonts w:hint="eastAsia" w:ascii="宋体" w:hAnsi="宋体" w:eastAsia="宋体" w:cs="宋体"/>
          <w:snapToGrid w:val="0"/>
          <w:szCs w:val="21"/>
        </w:rPr>
        <w:t>供应商质疑不成立，或者成立但未对中标、成交结果构成影响的，继续开展采购活动。</w:t>
      </w:r>
    </w:p>
    <w:p w14:paraId="26A23E6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17.2.9.</w:t>
      </w:r>
      <w:r>
        <w:rPr>
          <w:rFonts w:hint="eastAsia" w:ascii="宋体" w:hAnsi="宋体" w:eastAsia="宋体" w:cs="宋体"/>
          <w:snapToGrid w:val="0"/>
          <w:szCs w:val="21"/>
        </w:rPr>
        <w:t>供应商质疑成立且影响或者可能影响中标、成交结果的，按照下列情况处理：</w:t>
      </w:r>
    </w:p>
    <w:p w14:paraId="3C314CF7">
      <w:pPr>
        <w:snapToGrid w:val="0"/>
        <w:spacing w:line="360" w:lineRule="auto"/>
        <w:rPr>
          <w:rFonts w:hint="eastAsia" w:hAnsi="宋体"/>
          <w:snapToGrid w:val="0"/>
          <w:szCs w:val="21"/>
        </w:rPr>
      </w:pPr>
      <w:r>
        <w:rPr>
          <w:rFonts w:hint="eastAsia" w:ascii="宋体" w:hAnsi="宋体" w:eastAsia="宋体" w:cs="宋体"/>
          <w:snapToGrid w:val="0"/>
          <w:szCs w:val="21"/>
          <w:lang w:val="en-US" w:eastAsia="zh-CN"/>
        </w:rPr>
        <w:t>17.2.10.</w:t>
      </w:r>
      <w:r>
        <w:rPr>
          <w:rFonts w:hint="eastAsia" w:ascii="宋体" w:hAnsi="宋体" w:eastAsia="宋体" w:cs="宋体"/>
          <w:snapToGrid w:val="0"/>
          <w:szCs w:val="21"/>
        </w:rPr>
        <w:t>对采购文件提</w:t>
      </w:r>
      <w:r>
        <w:rPr>
          <w:rFonts w:hint="eastAsia" w:hAnsi="宋体"/>
          <w:snapToGrid w:val="0"/>
          <w:szCs w:val="21"/>
        </w:rPr>
        <w:t>出的质疑，依法通过澄清或者修改可以继续开展采购活动的，澄清或者修改采购文件后继续开展采购活动；否则应当修改采购文件后重新开展采购活动。</w:t>
      </w:r>
    </w:p>
    <w:p w14:paraId="7E90B108">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违约责任</w:t>
      </w:r>
    </w:p>
    <w:p w14:paraId="37F2FCB9">
      <w:pPr>
        <w:numPr>
          <w:ilvl w:val="1"/>
          <w:numId w:val="18"/>
        </w:numPr>
        <w:snapToGrid w:val="0"/>
        <w:spacing w:line="360" w:lineRule="auto"/>
        <w:ind w:left="567" w:leftChars="0" w:hanging="567" w:firstLineChars="0"/>
        <w:rPr>
          <w:rFonts w:hint="eastAsia" w:hAnsi="宋体"/>
          <w:snapToGrid w:val="0"/>
          <w:szCs w:val="21"/>
          <w:lang w:val="en-US" w:eastAsia="zh-CN"/>
        </w:rPr>
      </w:pPr>
      <w:r>
        <w:rPr>
          <w:rFonts w:hint="eastAsia" w:hAnsi="宋体"/>
          <w:snapToGrid w:val="0"/>
          <w:szCs w:val="21"/>
          <w:lang w:val="en-US" w:eastAsia="zh-CN"/>
        </w:rPr>
        <w:t>供应商若在政府采购活动存在下列违法行为，给采购人造成损失的，应当承担赔偿责任。</w:t>
      </w:r>
    </w:p>
    <w:p w14:paraId="47E13451">
      <w:pPr>
        <w:snapToGrid w:val="0"/>
        <w:spacing w:line="360" w:lineRule="auto"/>
        <w:rPr>
          <w:rFonts w:hint="eastAsia" w:hAnsi="宋体"/>
          <w:snapToGrid w:val="0"/>
          <w:szCs w:val="21"/>
        </w:rPr>
      </w:pPr>
      <w:r>
        <w:rPr>
          <w:rFonts w:hint="eastAsia" w:hAnsi="宋体"/>
          <w:snapToGrid w:val="0"/>
          <w:szCs w:val="21"/>
        </w:rPr>
        <w:t>（1）未按照规定签订、履行采购合同；</w:t>
      </w:r>
    </w:p>
    <w:p w14:paraId="25A0EEAE">
      <w:pPr>
        <w:snapToGrid w:val="0"/>
        <w:spacing w:line="360" w:lineRule="auto"/>
        <w:rPr>
          <w:rFonts w:hint="eastAsia" w:hAnsi="宋体"/>
          <w:snapToGrid w:val="0"/>
          <w:szCs w:val="21"/>
        </w:rPr>
      </w:pPr>
      <w:r>
        <w:rPr>
          <w:rFonts w:hint="eastAsia" w:hAnsi="宋体"/>
          <w:snapToGrid w:val="0"/>
          <w:szCs w:val="21"/>
        </w:rPr>
        <w:t>（2）提供虚假材料谋取中标、成交的；</w:t>
      </w:r>
    </w:p>
    <w:p w14:paraId="29F1483A">
      <w:pPr>
        <w:snapToGrid w:val="0"/>
        <w:spacing w:line="360" w:lineRule="auto"/>
        <w:rPr>
          <w:rFonts w:hint="eastAsia" w:hAnsi="宋体"/>
          <w:snapToGrid w:val="0"/>
          <w:szCs w:val="21"/>
        </w:rPr>
      </w:pPr>
      <w:r>
        <w:rPr>
          <w:rFonts w:hint="eastAsia" w:hAnsi="宋体"/>
          <w:snapToGrid w:val="0"/>
          <w:szCs w:val="21"/>
        </w:rPr>
        <w:t>（3）采取不正当手段诋毁、排挤其他供应商的；</w:t>
      </w:r>
    </w:p>
    <w:p w14:paraId="286CA9B2">
      <w:pPr>
        <w:snapToGrid w:val="0"/>
        <w:spacing w:line="360" w:lineRule="auto"/>
        <w:rPr>
          <w:rFonts w:hint="eastAsia" w:hAnsi="宋体"/>
          <w:snapToGrid w:val="0"/>
          <w:szCs w:val="21"/>
        </w:rPr>
      </w:pPr>
      <w:r>
        <w:rPr>
          <w:rFonts w:hint="eastAsia" w:hAnsi="宋体"/>
          <w:snapToGrid w:val="0"/>
          <w:szCs w:val="21"/>
        </w:rPr>
        <w:t>（4）与其他供应商恶意串通的；</w:t>
      </w:r>
    </w:p>
    <w:p w14:paraId="6BB6D639">
      <w:pPr>
        <w:snapToGrid w:val="0"/>
        <w:spacing w:line="360" w:lineRule="auto"/>
        <w:rPr>
          <w:rFonts w:hint="eastAsia" w:hAnsi="宋体"/>
          <w:snapToGrid w:val="0"/>
          <w:szCs w:val="21"/>
        </w:rPr>
      </w:pPr>
      <w:r>
        <w:rPr>
          <w:rFonts w:hint="eastAsia" w:hAnsi="宋体"/>
          <w:snapToGrid w:val="0"/>
          <w:szCs w:val="21"/>
        </w:rPr>
        <w:t>（5）拒绝有关部门监督检查或者提供虚假情况的；</w:t>
      </w:r>
    </w:p>
    <w:p w14:paraId="60452A43">
      <w:pPr>
        <w:snapToGrid w:val="0"/>
        <w:spacing w:line="360" w:lineRule="auto"/>
        <w:rPr>
          <w:rFonts w:hint="eastAsia" w:hAnsi="宋体"/>
          <w:snapToGrid w:val="0"/>
          <w:szCs w:val="21"/>
        </w:rPr>
      </w:pPr>
      <w:r>
        <w:rPr>
          <w:rFonts w:hint="eastAsia" w:hAnsi="宋体"/>
          <w:snapToGrid w:val="0"/>
          <w:szCs w:val="21"/>
        </w:rPr>
        <w:t>（6）经主管部门认定的其他违法采购相关法律法规的行为。</w:t>
      </w:r>
    </w:p>
    <w:p w14:paraId="74E07005">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27" w:name="_Toc19729"/>
      <w:r>
        <w:rPr>
          <w:rFonts w:hint="eastAsia" w:ascii="宋体" w:hAnsi="宋体"/>
          <w:b/>
          <w:bCs/>
          <w:szCs w:val="21"/>
        </w:rPr>
        <w:t>中标通知书</w:t>
      </w:r>
      <w:bookmarkEnd w:id="127"/>
    </w:p>
    <w:p w14:paraId="0275F8BA">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中标人确定后，采购</w:t>
      </w:r>
      <w:r>
        <w:rPr>
          <w:rFonts w:hint="eastAsia" w:ascii="宋体" w:hAnsi="宋体" w:cs="宋体"/>
          <w:szCs w:val="21"/>
          <w:lang w:val="en-US" w:eastAsia="zh-CN"/>
        </w:rPr>
        <w:t>人</w:t>
      </w:r>
      <w:r>
        <w:rPr>
          <w:rFonts w:hint="eastAsia" w:ascii="宋体" w:hAnsi="宋体" w:cs="宋体"/>
          <w:szCs w:val="21"/>
        </w:rPr>
        <w:t>将在发布采购信息公告的媒体上发布中标公告，并向中标人发出《中标通知书》，</w:t>
      </w:r>
      <w:r>
        <w:rPr>
          <w:rFonts w:hint="eastAsia" w:ascii="宋体" w:hAnsi="宋体" w:cs="宋体"/>
          <w:szCs w:val="21"/>
          <w:lang w:val="en-US" w:eastAsia="zh-CN"/>
        </w:rPr>
        <w:t>其中</w:t>
      </w:r>
      <w:r>
        <w:rPr>
          <w:rFonts w:hint="eastAsia" w:ascii="宋体" w:hAnsi="宋体" w:cs="宋体"/>
          <w:szCs w:val="21"/>
        </w:rPr>
        <w:t>《中标通知书》对中标人和采购人具有同等法律效力。</w:t>
      </w:r>
    </w:p>
    <w:p w14:paraId="1A6AFA14">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szCs w:val="21"/>
        </w:rPr>
        <w:t>《中标通知书》将作为授予合同资格的合法依据，是合同的一个组成部分。</w:t>
      </w:r>
    </w:p>
    <w:p w14:paraId="49145DAD">
      <w:pPr>
        <w:numPr>
          <w:ilvl w:val="0"/>
          <w:numId w:val="0"/>
        </w:numPr>
        <w:autoSpaceDE w:val="0"/>
        <w:autoSpaceDN w:val="0"/>
        <w:adjustRightInd w:val="0"/>
        <w:snapToGrid w:val="0"/>
        <w:spacing w:line="360" w:lineRule="auto"/>
        <w:ind w:leftChars="0"/>
        <w:rPr>
          <w:rFonts w:ascii="宋体" w:hAnsi="宋体" w:cs="黑体"/>
          <w:b/>
          <w:bCs/>
          <w:szCs w:val="21"/>
        </w:rPr>
      </w:pPr>
    </w:p>
    <w:p w14:paraId="3FF9917A">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28" w:name="_Toc438223141"/>
      <w:bookmarkStart w:id="129" w:name="_Toc6704"/>
      <w:bookmarkStart w:id="130" w:name="_Toc20050"/>
      <w:bookmarkStart w:id="131" w:name="_Toc435174938"/>
      <w:bookmarkStart w:id="132" w:name="_Toc435516655"/>
      <w:r>
        <w:rPr>
          <w:rFonts w:hint="eastAsia" w:asciiTheme="majorEastAsia" w:hAnsiTheme="majorEastAsia" w:eastAsiaTheme="majorEastAsia"/>
          <w:sz w:val="30"/>
          <w:szCs w:val="30"/>
          <w:lang w:eastAsia="zh-TW"/>
        </w:rPr>
        <w:t>授予合同</w:t>
      </w:r>
      <w:bookmarkEnd w:id="128"/>
      <w:bookmarkEnd w:id="129"/>
      <w:bookmarkEnd w:id="130"/>
      <w:bookmarkEnd w:id="131"/>
      <w:bookmarkEnd w:id="132"/>
    </w:p>
    <w:p w14:paraId="58EF3211">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33" w:name="_Toc5467"/>
      <w:bookmarkStart w:id="134" w:name="_Toc23713"/>
      <w:r>
        <w:rPr>
          <w:rFonts w:hint="eastAsia" w:ascii="宋体" w:hAnsi="宋体"/>
          <w:b/>
          <w:bCs/>
          <w:szCs w:val="21"/>
        </w:rPr>
        <w:t>合同的订立</w:t>
      </w:r>
      <w:bookmarkEnd w:id="133"/>
      <w:bookmarkEnd w:id="134"/>
    </w:p>
    <w:p w14:paraId="4D85A810">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采购人应当自中标通知书发出之日起十个工作日内，按照招标文件和中标人投标文件的约定，与中标人签订书面合同。所签订的合同不得对招标文件和中标人投标文件作实质性修改。</w:t>
      </w:r>
    </w:p>
    <w:p w14:paraId="6A8641E7">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采购人不得向中标人提出任何不合理的要求，作为签订合同的条件，不得与中标人私下订立背离合同实质性内容的协议。 </w:t>
      </w:r>
    </w:p>
    <w:p w14:paraId="5A4F68FF">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自政府采购合同签订之日起2个工作日内，采购人应将政府采购合同在指定的渠道公告，但政府采购合同中涉及国家秘密、商业秘密的内容除外。</w:t>
      </w:r>
    </w:p>
    <w:p w14:paraId="608A44DF">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政府采购合同签订之日起10日内，采购人应将政府采购合同副本报同级监管部门备案和有关部门备案。</w:t>
      </w:r>
    </w:p>
    <w:p w14:paraId="38113B04">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35" w:name="_Toc5053"/>
      <w:bookmarkStart w:id="136" w:name="_Toc560"/>
      <w:r>
        <w:rPr>
          <w:rFonts w:hint="eastAsia" w:ascii="宋体" w:hAnsi="宋体"/>
          <w:b/>
          <w:bCs/>
          <w:szCs w:val="21"/>
        </w:rPr>
        <w:t>合同的履行</w:t>
      </w:r>
      <w:bookmarkEnd w:id="135"/>
      <w:bookmarkEnd w:id="136"/>
    </w:p>
    <w:p w14:paraId="5265F92B">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3914C41E">
      <w:pPr>
        <w:numPr>
          <w:ilvl w:val="1"/>
          <w:numId w:val="18"/>
        </w:numPr>
        <w:autoSpaceDE w:val="0"/>
        <w:autoSpaceDN w:val="0"/>
        <w:adjustRightInd w:val="0"/>
        <w:snapToGrid w:val="0"/>
        <w:spacing w:line="360" w:lineRule="auto"/>
        <w:rPr>
          <w:rFonts w:hint="eastAsia" w:ascii="黑体" w:hAnsi="宋体" w:eastAsia="黑体" w:cs="黑体"/>
          <w:b/>
          <w:bCs/>
          <w:kern w:val="44"/>
          <w:sz w:val="44"/>
          <w:szCs w:val="44"/>
        </w:rPr>
      </w:pPr>
      <w:r>
        <w:rPr>
          <w:rFonts w:hint="eastAsia" w:ascii="宋体" w:hAnsi="宋体" w:cs="宋体"/>
          <w:szCs w:val="21"/>
        </w:rPr>
        <w:t>政府采购合同履行中，采购人需追加与合同标的相同的货物、工程或者服务的，在不改变合同其他条款的前提下，可以与供应商签订补充合同，但所补充合同的采购金额不得超过原合同采购金额的百分之十。</w:t>
      </w:r>
      <w:r>
        <w:rPr>
          <w:rFonts w:hint="eastAsia" w:ascii="宋体" w:hAnsi="宋体" w:cs="宋体"/>
          <w:szCs w:val="21"/>
          <w:lang w:eastAsia="zh-TW"/>
        </w:rPr>
        <w:t>签订补充合同的必须按规定备案。</w:t>
      </w:r>
    </w:p>
    <w:p w14:paraId="3B6F8BC7">
      <w:pPr>
        <w:rPr>
          <w:rFonts w:hint="eastAsia" w:ascii="黑体" w:hAnsi="宋体" w:eastAsia="黑体" w:cs="黑体"/>
          <w:b/>
          <w:bCs/>
          <w:kern w:val="44"/>
          <w:sz w:val="44"/>
          <w:szCs w:val="44"/>
        </w:rPr>
      </w:pPr>
    </w:p>
    <w:p w14:paraId="5BF0ADA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Times New Roman"/>
          <w:kern w:val="2"/>
          <w:sz w:val="21"/>
          <w:szCs w:val="21"/>
        </w:rPr>
      </w:pPr>
      <w:bookmarkStart w:id="137" w:name="_Toc6953"/>
      <w:r>
        <w:rPr>
          <w:rFonts w:hint="eastAsia" w:ascii="黑体" w:hAnsi="宋体" w:eastAsia="黑体" w:cs="黑体"/>
          <w:b/>
          <w:bCs/>
          <w:kern w:val="44"/>
          <w:sz w:val="44"/>
          <w:szCs w:val="44"/>
        </w:rPr>
        <w:t>合同格式</w:t>
      </w:r>
      <w:bookmarkEnd w:id="137"/>
    </w:p>
    <w:p w14:paraId="1622449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b/>
          <w:bCs/>
          <w:color w:val="FF0000"/>
          <w:kern w:val="2"/>
          <w:sz w:val="21"/>
          <w:szCs w:val="21"/>
          <w:highlight w:val="none"/>
          <w:lang w:val="en-US" w:eastAsia="zh-CN" w:bidi="ar"/>
        </w:rPr>
        <w:t>（此部分仅供参考，具体以实际签订为准）</w:t>
      </w:r>
    </w:p>
    <w:p w14:paraId="32C6D4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44919E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9180E1A">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BC13EC6">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21"/>
          <w:szCs w:val="21"/>
        </w:rPr>
      </w:pPr>
      <w:r>
        <w:rPr>
          <w:rFonts w:hint="eastAsia" w:ascii="仿宋" w:hAnsi="仿宋" w:eastAsia="仿宋" w:cs="仿宋"/>
          <w:b/>
          <w:bCs w:val="0"/>
          <w:kern w:val="2"/>
          <w:sz w:val="32"/>
          <w:szCs w:val="32"/>
          <w:lang w:val="en-US" w:eastAsia="zh-CN" w:bidi="ar"/>
        </w:rPr>
        <w:t>合同编号：Ftey-sb-202408-0XX</w:t>
      </w:r>
    </w:p>
    <w:p w14:paraId="7BDB2344">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7B5A5D2C">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1954386D">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6023CF0F">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21"/>
          <w:szCs w:val="21"/>
        </w:rPr>
      </w:pPr>
      <w:r>
        <w:rPr>
          <w:rFonts w:hint="eastAsia" w:ascii="仿宋" w:hAnsi="仿宋" w:eastAsia="仿宋" w:cs="Times New Roman"/>
          <w:b/>
          <w:bCs w:val="0"/>
          <w:kern w:val="2"/>
          <w:sz w:val="21"/>
          <w:szCs w:val="21"/>
          <w:lang w:val="en-US" w:eastAsia="zh-CN" w:bidi="ar"/>
        </w:rPr>
        <w:t xml:space="preserve"> </w:t>
      </w:r>
    </w:p>
    <w:p w14:paraId="02EDA3B9">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72"/>
          <w:szCs w:val="72"/>
        </w:rPr>
      </w:pPr>
      <w:r>
        <w:rPr>
          <w:rFonts w:hint="eastAsia" w:ascii="宋体" w:hAnsi="宋体" w:eastAsia="宋体" w:cs="宋体"/>
          <w:b/>
          <w:bCs/>
          <w:kern w:val="2"/>
          <w:sz w:val="72"/>
          <w:szCs w:val="72"/>
          <w:lang w:val="en-US" w:eastAsia="zh-CN" w:bidi="ar"/>
        </w:rPr>
        <w:t>福田区卫生系统医用设备采购合同</w:t>
      </w:r>
    </w:p>
    <w:p w14:paraId="511DCED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814D1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FCEDB1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A9CD24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E3DE5F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042832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FDD660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14:paraId="379846F8">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rPr>
      </w:pPr>
      <w:r>
        <w:rPr>
          <w:rFonts w:hint="eastAsia" w:ascii="仿宋_GB2312" w:hAnsi="Times New Roman" w:eastAsia="仿宋_GB2312" w:cs="仿宋_GB2312"/>
          <w:bCs/>
          <w:kern w:val="2"/>
          <w:sz w:val="32"/>
          <w:szCs w:val="32"/>
          <w:lang w:val="en-US" w:eastAsia="zh-CN" w:bidi="ar"/>
        </w:rPr>
        <w:t>项目名称：</w:t>
      </w:r>
      <w:r>
        <w:rPr>
          <w:rFonts w:hint="eastAsia" w:ascii="仿宋_GB2312" w:hAnsi="Times New Roman" w:eastAsia="仿宋_GB2312" w:cs="仿宋_GB2312"/>
          <w:bCs/>
          <w:kern w:val="2"/>
          <w:sz w:val="32"/>
          <w:szCs w:val="32"/>
          <w:u w:val="single"/>
          <w:lang w:val="en-US" w:eastAsia="zh-CN" w:bidi="ar"/>
        </w:rPr>
        <w:t xml:space="preserve">                               </w:t>
      </w:r>
    </w:p>
    <w:p w14:paraId="5FE8EE7C">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甲    方：</w:t>
      </w:r>
      <w:r>
        <w:rPr>
          <w:rFonts w:hint="eastAsia" w:ascii="仿宋_GB2312" w:hAnsi="Times New Roman" w:eastAsia="仿宋_GB2312" w:cs="仿宋_GB2312"/>
          <w:kern w:val="2"/>
          <w:sz w:val="32"/>
          <w:szCs w:val="32"/>
          <w:u w:val="single"/>
          <w:lang w:val="en-US" w:eastAsia="zh-CN" w:bidi="ar"/>
        </w:rPr>
        <w:t xml:space="preserve">    深圳市福田区第二人民医院   </w:t>
      </w:r>
    </w:p>
    <w:p w14:paraId="391FCCB2">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乙    方：</w:t>
      </w:r>
      <w:r>
        <w:rPr>
          <w:rFonts w:hint="eastAsia" w:ascii="仿宋_GB2312" w:hAnsi="Times New Roman" w:eastAsia="仿宋_GB2312" w:cs="仿宋_GB2312"/>
          <w:bCs/>
          <w:kern w:val="2"/>
          <w:sz w:val="32"/>
          <w:szCs w:val="32"/>
          <w:u w:val="single"/>
          <w:lang w:val="en-US" w:eastAsia="zh-CN" w:bidi="ar"/>
        </w:rPr>
        <w:t xml:space="preserve">                           </w:t>
      </w:r>
      <w:r>
        <w:rPr>
          <w:rFonts w:hint="eastAsia" w:ascii="仿宋_GB2312" w:hAnsi="Times New Roman" w:eastAsia="仿宋_GB2312" w:cs="仿宋_GB2312"/>
          <w:bCs/>
          <w:color w:val="FF0000"/>
          <w:kern w:val="2"/>
          <w:sz w:val="32"/>
          <w:szCs w:val="32"/>
          <w:u w:val="single"/>
          <w:lang w:val="en-US" w:eastAsia="zh-CN" w:bidi="ar"/>
        </w:rPr>
        <w:t xml:space="preserve"> </w:t>
      </w:r>
      <w:r>
        <w:rPr>
          <w:rFonts w:hint="eastAsia" w:ascii="仿宋_GB2312" w:hAnsi="Times New Roman" w:eastAsia="仿宋_GB2312" w:cs="仿宋_GB2312"/>
          <w:bCs/>
          <w:kern w:val="2"/>
          <w:sz w:val="32"/>
          <w:szCs w:val="32"/>
          <w:u w:val="single"/>
          <w:lang w:val="en-US" w:eastAsia="zh-CN" w:bidi="ar"/>
        </w:rPr>
        <w:t xml:space="preserve">   </w:t>
      </w:r>
    </w:p>
    <w:p w14:paraId="4F59B20D">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07517EA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68A6130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1C86A09E">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r>
        <w:rPr>
          <w:rFonts w:hint="default" w:ascii="Times New Roman" w:hAnsi="Times New Roman" w:eastAsia="宋体" w:cs="Times New Roman"/>
          <w:kern w:val="2"/>
          <w:sz w:val="48"/>
          <w:szCs w:val="48"/>
          <w:lang w:val="en-US" w:eastAsia="zh-CN" w:bidi="ar"/>
        </w:rPr>
        <w:t xml:space="preserve"> </w:t>
      </w:r>
    </w:p>
    <w:p w14:paraId="0C81289B">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DDCA062">
      <w:pPr>
        <w:keepNext w:val="0"/>
        <w:keepLines w:val="0"/>
        <w:widowControl/>
        <w:suppressLineNumbers w:val="0"/>
        <w:spacing w:before="0" w:beforeAutospacing="0" w:after="0" w:afterAutospacing="0"/>
        <w:ind w:left="0" w:right="0"/>
        <w:jc w:val="center"/>
        <w:rPr>
          <w:rFonts w:hint="eastAsia" w:ascii="宋体" w:hAnsi="宋体" w:eastAsia="宋体" w:cs="Times New Roman"/>
          <w:b/>
          <w:bCs w:val="0"/>
          <w:kern w:val="2"/>
          <w:sz w:val="24"/>
          <w:szCs w:val="24"/>
        </w:rPr>
      </w:pPr>
      <w:r>
        <w:rPr>
          <w:rFonts w:hint="eastAsia" w:ascii="方正小标宋简体" w:hAnsi="方正小标宋简体" w:eastAsia="方正小标宋简体" w:cs="方正小标宋简体"/>
          <w:kern w:val="2"/>
          <w:sz w:val="44"/>
          <w:szCs w:val="44"/>
          <w:lang w:val="en-US" w:eastAsia="zh-CN" w:bidi="ar"/>
        </w:rPr>
        <w:t>福田区卫生系统医用设备采购合同</w:t>
      </w:r>
    </w:p>
    <w:p w14:paraId="79729736">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甲方（采购人）：深圳市福田区第二人民医院</w:t>
      </w:r>
    </w:p>
    <w:p w14:paraId="3C39095F">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法定代表人/负责人或授权代表：赵蓉</w:t>
      </w:r>
    </w:p>
    <w:p w14:paraId="02A429C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地址：深圳市福田区梅林街道中康路27号</w:t>
      </w:r>
    </w:p>
    <w:p w14:paraId="314251D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联系电话：0755-83279817</w:t>
      </w:r>
    </w:p>
    <w:p w14:paraId="305A9A1D">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E127DCF">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color w:val="000000" w:themeColor="text1"/>
          <w:kern w:val="2"/>
          <w:sz w:val="28"/>
          <w:szCs w:val="28"/>
          <w:u w:val="single"/>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乙方（供应商）：</w:t>
      </w:r>
    </w:p>
    <w:p w14:paraId="52868DAA">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法定代表人或授权代表：</w:t>
      </w:r>
    </w:p>
    <w:p w14:paraId="697044E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地址：</w:t>
      </w:r>
    </w:p>
    <w:p w14:paraId="76DC256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5D062FA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default" w:ascii="Times New Roman" w:hAnsi="Times New Roman" w:eastAsia="宋体" w:cs="Times New Roman"/>
          <w:kern w:val="2"/>
          <w:sz w:val="21"/>
          <w:szCs w:val="21"/>
        </w:rPr>
      </w:pPr>
      <w:r>
        <w:rPr>
          <w:rFonts w:hint="eastAsia" w:ascii="仿宋_GB2312" w:hAnsi="Times New Roman" w:eastAsia="仿宋_GB2312" w:cs="仿宋_GB2312"/>
          <w:color w:val="000000"/>
          <w:kern w:val="2"/>
          <w:sz w:val="28"/>
          <w:szCs w:val="28"/>
          <w:lang w:val="en-US" w:eastAsia="zh-CN" w:bidi="ar"/>
        </w:rPr>
        <w:t>甲、乙双方</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根据 2024年XX月XX日“XXXX”（招标编号：XXXX）采购项目的结果，按照《中华人民共和国民法典》《中华人民共和国</w:t>
      </w:r>
      <w:r>
        <w:rPr>
          <w:rFonts w:hint="eastAsia" w:ascii="仿宋_GB2312" w:hAnsi="Times New Roman" w:eastAsia="仿宋_GB2312" w:cs="仿宋_GB2312"/>
          <w:kern w:val="2"/>
          <w:sz w:val="28"/>
          <w:szCs w:val="28"/>
          <w:lang w:val="en-US" w:eastAsia="zh-CN" w:bidi="ar"/>
        </w:rPr>
        <w:t>政府采购法》《深圳经济特区政府采购条例》《深圳经济特区政府采购条例实施细则》等相关法律法规的规定，经双方协商一致，达成以下合同条款：</w:t>
      </w:r>
    </w:p>
    <w:p w14:paraId="5E99CF32">
      <w:pPr>
        <w:keepNext w:val="0"/>
        <w:keepLines w:val="0"/>
        <w:widowControl w:val="0"/>
        <w:suppressLineNumbers w:val="0"/>
        <w:adjustRightInd w:val="0"/>
        <w:snapToGrid w:val="0"/>
        <w:spacing w:before="0" w:beforeAutospacing="0" w:after="0" w:afterAutospacing="0" w:line="560" w:lineRule="exact"/>
        <w:ind w:left="0" w:leftChars="0" w:right="0" w:right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第一条  合同标的</w:t>
      </w:r>
    </w:p>
    <w:tbl>
      <w:tblPr>
        <w:tblStyle w:val="16"/>
        <w:tblW w:w="63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2"/>
        <w:gridCol w:w="1001"/>
        <w:gridCol w:w="870"/>
        <w:gridCol w:w="1083"/>
        <w:gridCol w:w="1116"/>
        <w:gridCol w:w="658"/>
        <w:gridCol w:w="794"/>
        <w:gridCol w:w="554"/>
        <w:gridCol w:w="1275"/>
        <w:gridCol w:w="1162"/>
        <w:gridCol w:w="465"/>
        <w:gridCol w:w="474"/>
        <w:gridCol w:w="801"/>
      </w:tblGrid>
      <w:tr w14:paraId="3FD0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1F0EB10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序号</w:t>
            </w:r>
          </w:p>
        </w:tc>
        <w:tc>
          <w:tcPr>
            <w:tcW w:w="1058" w:type="dxa"/>
            <w:tcBorders>
              <w:top w:val="single" w:color="auto" w:sz="4" w:space="0"/>
              <w:left w:val="nil"/>
              <w:bottom w:val="single" w:color="auto" w:sz="4" w:space="0"/>
              <w:right w:val="single" w:color="auto" w:sz="4" w:space="0"/>
            </w:tcBorders>
            <w:shd w:val="clear" w:color="auto" w:fill="auto"/>
            <w:vAlign w:val="center"/>
          </w:tcPr>
          <w:p w14:paraId="78A0430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w:t>
            </w:r>
          </w:p>
          <w:p w14:paraId="50AC90B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名称</w:t>
            </w:r>
          </w:p>
        </w:tc>
        <w:tc>
          <w:tcPr>
            <w:tcW w:w="919" w:type="dxa"/>
            <w:tcBorders>
              <w:top w:val="single" w:color="auto" w:sz="4" w:space="0"/>
              <w:left w:val="nil"/>
              <w:bottom w:val="single" w:color="auto" w:sz="4" w:space="0"/>
              <w:right w:val="single" w:color="auto" w:sz="4" w:space="0"/>
            </w:tcBorders>
            <w:shd w:val="clear" w:color="auto" w:fill="auto"/>
            <w:vAlign w:val="center"/>
          </w:tcPr>
          <w:p w14:paraId="07CCF94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产地</w:t>
            </w:r>
            <w:r>
              <w:rPr>
                <w:rFonts w:hint="eastAsia"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品牌</w:t>
            </w:r>
          </w:p>
        </w:tc>
        <w:tc>
          <w:tcPr>
            <w:tcW w:w="1144" w:type="dxa"/>
            <w:tcBorders>
              <w:top w:val="single" w:color="auto" w:sz="4" w:space="0"/>
              <w:left w:val="nil"/>
              <w:bottom w:val="single" w:color="auto" w:sz="4" w:space="0"/>
              <w:right w:val="single" w:color="auto" w:sz="4" w:space="0"/>
            </w:tcBorders>
            <w:shd w:val="clear" w:color="auto" w:fill="auto"/>
            <w:vAlign w:val="center"/>
          </w:tcPr>
          <w:p w14:paraId="36E0222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规格型号</w:t>
            </w:r>
          </w:p>
        </w:tc>
        <w:tc>
          <w:tcPr>
            <w:tcW w:w="1179" w:type="dxa"/>
            <w:tcBorders>
              <w:top w:val="single" w:color="auto" w:sz="4" w:space="0"/>
              <w:left w:val="nil"/>
              <w:bottom w:val="single" w:color="auto" w:sz="4" w:space="0"/>
              <w:right w:val="single" w:color="auto" w:sz="4" w:space="0"/>
            </w:tcBorders>
            <w:shd w:val="clear" w:color="auto" w:fill="auto"/>
            <w:vAlign w:val="center"/>
          </w:tcPr>
          <w:p w14:paraId="06BCE06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注册证名</w:t>
            </w:r>
          </w:p>
        </w:tc>
        <w:tc>
          <w:tcPr>
            <w:tcW w:w="695" w:type="dxa"/>
            <w:tcBorders>
              <w:top w:val="single" w:color="auto" w:sz="4" w:space="0"/>
              <w:left w:val="nil"/>
              <w:bottom w:val="single" w:color="auto" w:sz="4" w:space="0"/>
              <w:right w:val="single" w:color="auto" w:sz="4" w:space="0"/>
            </w:tcBorders>
            <w:shd w:val="clear" w:color="auto" w:fill="auto"/>
            <w:vAlign w:val="center"/>
          </w:tcPr>
          <w:p w14:paraId="48A7958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注册证号</w:t>
            </w:r>
          </w:p>
        </w:tc>
        <w:tc>
          <w:tcPr>
            <w:tcW w:w="839" w:type="dxa"/>
            <w:tcBorders>
              <w:top w:val="single" w:color="auto" w:sz="4" w:space="0"/>
              <w:left w:val="nil"/>
              <w:bottom w:val="single" w:color="auto" w:sz="4" w:space="0"/>
              <w:right w:val="single" w:color="auto" w:sz="4" w:space="0"/>
            </w:tcBorders>
            <w:shd w:val="clear" w:color="auto" w:fill="auto"/>
            <w:vAlign w:val="center"/>
          </w:tcPr>
          <w:p w14:paraId="3193F87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单位</w:t>
            </w:r>
          </w:p>
        </w:tc>
        <w:tc>
          <w:tcPr>
            <w:tcW w:w="585" w:type="dxa"/>
            <w:tcBorders>
              <w:top w:val="single" w:color="auto" w:sz="4" w:space="0"/>
              <w:left w:val="nil"/>
              <w:bottom w:val="single" w:color="auto" w:sz="4" w:space="0"/>
              <w:right w:val="single" w:color="auto" w:sz="4" w:space="0"/>
            </w:tcBorders>
            <w:shd w:val="clear" w:color="auto" w:fill="auto"/>
            <w:vAlign w:val="center"/>
          </w:tcPr>
          <w:p w14:paraId="2F52B8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数量</w:t>
            </w:r>
          </w:p>
        </w:tc>
        <w:tc>
          <w:tcPr>
            <w:tcW w:w="1347" w:type="dxa"/>
            <w:tcBorders>
              <w:top w:val="single" w:color="auto" w:sz="4" w:space="0"/>
              <w:left w:val="nil"/>
              <w:bottom w:val="single" w:color="auto" w:sz="4" w:space="0"/>
              <w:right w:val="single" w:color="auto" w:sz="4" w:space="0"/>
            </w:tcBorders>
            <w:shd w:val="clear" w:color="auto" w:fill="auto"/>
            <w:vAlign w:val="center"/>
          </w:tcPr>
          <w:p w14:paraId="6DB72FA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单价（元）</w:t>
            </w:r>
          </w:p>
        </w:tc>
        <w:tc>
          <w:tcPr>
            <w:tcW w:w="1228" w:type="dxa"/>
            <w:tcBorders>
              <w:top w:val="single" w:color="auto" w:sz="4" w:space="0"/>
              <w:left w:val="nil"/>
              <w:bottom w:val="single" w:color="auto" w:sz="4" w:space="0"/>
              <w:right w:val="single" w:color="auto" w:sz="4" w:space="0"/>
            </w:tcBorders>
            <w:shd w:val="clear" w:color="auto" w:fill="auto"/>
            <w:vAlign w:val="center"/>
          </w:tcPr>
          <w:p w14:paraId="5793F15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总价（元）</w:t>
            </w:r>
          </w:p>
        </w:tc>
        <w:tc>
          <w:tcPr>
            <w:tcW w:w="491" w:type="dxa"/>
            <w:tcBorders>
              <w:top w:val="single" w:color="auto" w:sz="4" w:space="0"/>
              <w:left w:val="nil"/>
              <w:bottom w:val="single" w:color="auto" w:sz="4" w:space="0"/>
              <w:right w:val="single" w:color="auto" w:sz="4" w:space="0"/>
            </w:tcBorders>
            <w:shd w:val="clear" w:color="auto" w:fill="auto"/>
            <w:vAlign w:val="center"/>
          </w:tcPr>
          <w:p w14:paraId="54EF476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随机配件</w:t>
            </w:r>
          </w:p>
        </w:tc>
        <w:tc>
          <w:tcPr>
            <w:tcW w:w="501" w:type="dxa"/>
            <w:tcBorders>
              <w:top w:val="single" w:color="auto" w:sz="4" w:space="0"/>
              <w:left w:val="nil"/>
              <w:bottom w:val="single" w:color="auto" w:sz="4" w:space="0"/>
              <w:right w:val="single" w:color="auto" w:sz="4" w:space="0"/>
            </w:tcBorders>
            <w:shd w:val="clear" w:color="auto" w:fill="auto"/>
            <w:vAlign w:val="center"/>
          </w:tcPr>
          <w:p w14:paraId="3AF54D1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使用科室</w:t>
            </w:r>
          </w:p>
        </w:tc>
        <w:tc>
          <w:tcPr>
            <w:tcW w:w="846" w:type="dxa"/>
            <w:tcBorders>
              <w:top w:val="single" w:color="auto" w:sz="4" w:space="0"/>
              <w:left w:val="nil"/>
              <w:bottom w:val="single" w:color="auto" w:sz="4" w:space="0"/>
              <w:right w:val="single" w:color="auto" w:sz="4" w:space="0"/>
            </w:tcBorders>
            <w:shd w:val="clear" w:color="auto" w:fill="auto"/>
            <w:vAlign w:val="center"/>
          </w:tcPr>
          <w:p w14:paraId="058F805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设备用途</w:t>
            </w:r>
          </w:p>
        </w:tc>
      </w:tr>
      <w:tr w14:paraId="6BFB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2D8498A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p>
        </w:tc>
        <w:tc>
          <w:tcPr>
            <w:tcW w:w="1058" w:type="dxa"/>
            <w:tcBorders>
              <w:top w:val="single" w:color="auto" w:sz="4" w:space="0"/>
              <w:left w:val="nil"/>
              <w:bottom w:val="single" w:color="auto" w:sz="4" w:space="0"/>
              <w:right w:val="single" w:color="auto" w:sz="4" w:space="0"/>
            </w:tcBorders>
            <w:shd w:val="clear" w:color="auto" w:fill="auto"/>
            <w:vAlign w:val="center"/>
          </w:tcPr>
          <w:p w14:paraId="2DC1999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919" w:type="dxa"/>
            <w:tcBorders>
              <w:top w:val="single" w:color="auto" w:sz="4" w:space="0"/>
              <w:left w:val="nil"/>
              <w:bottom w:val="single" w:color="auto" w:sz="4" w:space="0"/>
              <w:right w:val="single" w:color="auto" w:sz="4" w:space="0"/>
            </w:tcBorders>
            <w:shd w:val="clear" w:color="auto" w:fill="auto"/>
            <w:vAlign w:val="center"/>
          </w:tcPr>
          <w:p w14:paraId="28E6FA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44" w:type="dxa"/>
            <w:tcBorders>
              <w:top w:val="single" w:color="auto" w:sz="4" w:space="0"/>
              <w:left w:val="nil"/>
              <w:bottom w:val="single" w:color="auto" w:sz="4" w:space="0"/>
              <w:right w:val="single" w:color="auto" w:sz="4" w:space="0"/>
            </w:tcBorders>
            <w:shd w:val="clear" w:color="auto" w:fill="auto"/>
            <w:vAlign w:val="center"/>
          </w:tcPr>
          <w:p w14:paraId="10DCF5B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79" w:type="dxa"/>
            <w:tcBorders>
              <w:top w:val="single" w:color="auto" w:sz="4" w:space="0"/>
              <w:left w:val="nil"/>
              <w:bottom w:val="single" w:color="auto" w:sz="4" w:space="0"/>
              <w:right w:val="single" w:color="auto" w:sz="4" w:space="0"/>
            </w:tcBorders>
            <w:shd w:val="clear" w:color="auto" w:fill="auto"/>
            <w:vAlign w:val="center"/>
          </w:tcPr>
          <w:p w14:paraId="02ACD99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695" w:type="dxa"/>
            <w:tcBorders>
              <w:top w:val="single" w:color="auto" w:sz="4" w:space="0"/>
              <w:left w:val="nil"/>
              <w:bottom w:val="single" w:color="auto" w:sz="4" w:space="0"/>
              <w:right w:val="single" w:color="auto" w:sz="4" w:space="0"/>
            </w:tcBorders>
            <w:shd w:val="clear" w:color="auto" w:fill="auto"/>
            <w:vAlign w:val="center"/>
          </w:tcPr>
          <w:p w14:paraId="5C20AFF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839" w:type="dxa"/>
            <w:tcBorders>
              <w:top w:val="single" w:color="auto" w:sz="4" w:space="0"/>
              <w:left w:val="nil"/>
              <w:bottom w:val="single" w:color="auto" w:sz="4" w:space="0"/>
              <w:right w:val="single" w:color="auto" w:sz="4" w:space="0"/>
            </w:tcBorders>
            <w:shd w:val="clear" w:color="auto" w:fill="auto"/>
            <w:vAlign w:val="center"/>
          </w:tcPr>
          <w:p w14:paraId="3776F7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585" w:type="dxa"/>
            <w:tcBorders>
              <w:top w:val="single" w:color="auto" w:sz="4" w:space="0"/>
              <w:left w:val="nil"/>
              <w:bottom w:val="single" w:color="auto" w:sz="4" w:space="0"/>
              <w:right w:val="single" w:color="auto" w:sz="4" w:space="0"/>
            </w:tcBorders>
            <w:shd w:val="clear" w:color="auto" w:fill="auto"/>
            <w:vAlign w:val="center"/>
          </w:tcPr>
          <w:p w14:paraId="6A1BBB9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2B32764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228" w:type="dxa"/>
            <w:tcBorders>
              <w:top w:val="single" w:color="auto" w:sz="4" w:space="0"/>
              <w:left w:val="nil"/>
              <w:bottom w:val="single" w:color="auto" w:sz="4" w:space="0"/>
              <w:right w:val="single" w:color="auto" w:sz="4" w:space="0"/>
            </w:tcBorders>
            <w:shd w:val="clear" w:color="auto" w:fill="auto"/>
            <w:vAlign w:val="center"/>
          </w:tcPr>
          <w:p w14:paraId="644A5CF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491" w:type="dxa"/>
            <w:tcBorders>
              <w:top w:val="single" w:color="auto" w:sz="4" w:space="0"/>
              <w:left w:val="nil"/>
              <w:bottom w:val="single" w:color="auto" w:sz="4" w:space="0"/>
              <w:right w:val="single" w:color="auto" w:sz="4" w:space="0"/>
            </w:tcBorders>
            <w:shd w:val="clear" w:color="auto" w:fill="auto"/>
            <w:vAlign w:val="center"/>
          </w:tcPr>
          <w:p w14:paraId="5CBC594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r>
              <w:rPr>
                <w:rFonts w:hint="eastAsia" w:ascii="宋体" w:hAnsi="宋体" w:eastAsia="宋体" w:cs="宋体"/>
                <w:kern w:val="2"/>
                <w:sz w:val="21"/>
                <w:szCs w:val="21"/>
                <w:lang w:val="en-US" w:eastAsia="zh-CN" w:bidi="ar"/>
              </w:rPr>
              <w:t>详见配置清单</w:t>
            </w:r>
          </w:p>
        </w:tc>
        <w:tc>
          <w:tcPr>
            <w:tcW w:w="501" w:type="dxa"/>
            <w:tcBorders>
              <w:top w:val="single" w:color="auto" w:sz="4" w:space="0"/>
              <w:left w:val="nil"/>
              <w:bottom w:val="single" w:color="auto" w:sz="4" w:space="0"/>
              <w:right w:val="single" w:color="auto" w:sz="4" w:space="0"/>
            </w:tcBorders>
            <w:shd w:val="clear" w:color="auto" w:fill="auto"/>
            <w:vAlign w:val="top"/>
          </w:tcPr>
          <w:p w14:paraId="69888EB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p>
        </w:tc>
        <w:tc>
          <w:tcPr>
            <w:tcW w:w="846" w:type="dxa"/>
            <w:tcBorders>
              <w:top w:val="single" w:color="auto" w:sz="4" w:space="0"/>
              <w:left w:val="nil"/>
              <w:bottom w:val="single" w:color="auto" w:sz="4" w:space="0"/>
              <w:right w:val="single" w:color="auto" w:sz="4" w:space="0"/>
            </w:tcBorders>
            <w:shd w:val="clear" w:color="auto" w:fill="auto"/>
            <w:vAlign w:val="top"/>
          </w:tcPr>
          <w:p w14:paraId="7AACBBB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2F048FA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55CF718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r>
      <w:tr w14:paraId="3378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373"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46583CD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合计人民币：</w:t>
            </w:r>
            <w:r>
              <w:rPr>
                <w:rFonts w:hint="default" w:ascii="Times New Roman" w:hAnsi="Times New Roman" w:eastAsia="宋体" w:cs="Times New Roman"/>
                <w:kern w:val="2"/>
                <w:sz w:val="21"/>
                <w:szCs w:val="21"/>
                <w:lang w:val="en-US" w:eastAsia="zh-CN" w:bidi="ar"/>
              </w:rPr>
              <w:t>XXXX</w:t>
            </w:r>
            <w:r>
              <w:rPr>
                <w:rFonts w:hint="eastAsia" w:ascii="宋体" w:hAnsi="宋体" w:eastAsia="宋体" w:cs="宋体"/>
                <w:kern w:val="2"/>
                <w:sz w:val="21"/>
                <w:szCs w:val="21"/>
                <w:lang w:val="en-US" w:eastAsia="zh-CN" w:bidi="ar"/>
              </w:rPr>
              <w:t xml:space="preserve">元整（￥ </w:t>
            </w:r>
            <w:r>
              <w:rPr>
                <w:rFonts w:hint="default" w:ascii="Times New Roman" w:hAnsi="Times New Roman" w:eastAsia="宋体" w:cs="Times New Roman"/>
                <w:kern w:val="2"/>
                <w:sz w:val="21"/>
                <w:szCs w:val="21"/>
                <w:lang w:val="en-US" w:eastAsia="zh-CN" w:bidi="ar"/>
              </w:rPr>
              <w:t>XXXX.00</w:t>
            </w:r>
            <w:r>
              <w:rPr>
                <w:rFonts w:hint="eastAsia" w:ascii="宋体" w:hAnsi="宋体" w:eastAsia="宋体" w:cs="宋体"/>
                <w:kern w:val="2"/>
                <w:sz w:val="21"/>
                <w:szCs w:val="21"/>
                <w:lang w:val="en-US" w:eastAsia="zh-CN" w:bidi="ar"/>
              </w:rPr>
              <w:t>元）</w:t>
            </w:r>
          </w:p>
        </w:tc>
      </w:tr>
    </w:tbl>
    <w:p w14:paraId="34CBD8B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 xml:space="preserve"> </w:t>
      </w:r>
    </w:p>
    <w:p w14:paraId="55128311">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第二条 合同价款</w:t>
      </w:r>
    </w:p>
    <w:p w14:paraId="2C6C2F13">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1.本合同项下甲乙双方买卖</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设备含税总价款为：大写人民币</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XXXX</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元整（￥</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 xml:space="preserve"> XXXX.00元</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）。此价款为甲方履行本合同义务而产生的一切费用，除此以外甲方不再对乙方承担任何支付价款或以外费用的责任。此价款包括但不限于报装费、设计费、设备</w:t>
      </w:r>
      <w:r>
        <w:rPr>
          <w:rFonts w:hint="eastAsia" w:ascii="仿宋_GB2312" w:hAnsi="Times New Roman" w:eastAsia="仿宋_GB2312" w:cs="仿宋_GB2312"/>
          <w:kern w:val="2"/>
          <w:sz w:val="28"/>
          <w:szCs w:val="28"/>
          <w:lang w:val="en-US" w:eastAsia="zh-CN" w:bidi="ar"/>
        </w:rPr>
        <w:t>制造费、包装费、仓储费、运输费、安装调试费、验收和保修期届满前备品备件费用以及与本合同设备及服务相关的税和费。合同总价款不因通货膨胀、市场行情等市场价格的变动而变动，但本合同另有约定的除外。</w:t>
      </w:r>
    </w:p>
    <w:p w14:paraId="00F9F27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
          <w:bCs w:val="0"/>
          <w:kern w:val="2"/>
          <w:sz w:val="28"/>
          <w:szCs w:val="28"/>
        </w:rPr>
      </w:pPr>
      <w:r>
        <w:rPr>
          <w:rFonts w:hint="eastAsia" w:ascii="仿宋_GB2312" w:hAnsi="Times New Roman" w:eastAsia="仿宋_GB2312" w:cs="仿宋_GB2312"/>
          <w:kern w:val="2"/>
          <w:sz w:val="28"/>
          <w:szCs w:val="28"/>
          <w:lang w:val="en-US" w:eastAsia="zh-CN" w:bidi="ar"/>
        </w:rPr>
        <w:t>2.合同价款的支付方式（双方应共同选择一项，并在所选项□内打“√”）：</w:t>
      </w:r>
    </w:p>
    <w:p w14:paraId="64AF812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一次性支付</w:t>
      </w:r>
    </w:p>
    <w:p w14:paraId="249405F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货到安装、调试验收合格后，乙方应按本合同全额价款出具正规税务发票，甲方财务科收到乙方发票等相关资料后</w:t>
      </w:r>
      <w:r>
        <w:rPr>
          <w:rFonts w:hint="eastAsia" w:ascii="仿宋_GB2312" w:hAnsi="Times New Roman" w:eastAsia="仿宋_GB2312" w:cs="仿宋_GB2312"/>
          <w:color w:val="000000"/>
          <w:kern w:val="2"/>
          <w:sz w:val="28"/>
          <w:szCs w:val="28"/>
          <w:u w:val="single"/>
          <w:lang w:val="en-US" w:eastAsia="zh-CN" w:bidi="ar"/>
        </w:rPr>
        <w:t>10</w:t>
      </w:r>
      <w:r>
        <w:rPr>
          <w:rFonts w:hint="eastAsia" w:ascii="仿宋_GB2312" w:hAnsi="Times New Roman" w:eastAsia="仿宋_GB2312" w:cs="仿宋_GB2312"/>
          <w:color w:val="000000"/>
          <w:kern w:val="2"/>
          <w:sz w:val="28"/>
          <w:szCs w:val="28"/>
          <w:lang w:val="en-US" w:eastAsia="zh-CN" w:bidi="ar"/>
        </w:rPr>
        <w:t>个工作日内向乙方支付合同全款。</w:t>
      </w:r>
    </w:p>
    <w:p w14:paraId="66857BA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分笔支付</w:t>
      </w:r>
    </w:p>
    <w:p w14:paraId="65E4F97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且财政资金下达后，乙方应按本合同全额价款出具正规税务发票，甲方财务科收到乙方发票等相关资料后15日内向乙方支付合同价款的90%；若财政当次下达资金未达合同价款的90%，则以当次实际下达资金为准，直至付款至合同价款的90%。货款余额（合同价款的10%）在项目结算并下达尾款资金后支付。</w:t>
      </w:r>
    </w:p>
    <w:p w14:paraId="7F6EF68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3.乙方指定的收款账户：</w:t>
      </w:r>
    </w:p>
    <w:p w14:paraId="1EA9958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户名：</w:t>
      </w:r>
    </w:p>
    <w:p w14:paraId="0832B23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银行账号</w:t>
      </w:r>
      <w:r>
        <w:rPr>
          <w:rFonts w:hint="eastAsia" w:ascii="仿宋_GB2312" w:hAnsi="Times New Roman" w:eastAsia="仿宋_GB2312" w:cs="仿宋_GB2312"/>
          <w:kern w:val="2"/>
          <w:sz w:val="28"/>
          <w:szCs w:val="28"/>
          <w:lang w:val="en-US" w:eastAsia="zh-CN" w:bidi="ar"/>
        </w:rPr>
        <w:t>：</w:t>
      </w:r>
    </w:p>
    <w:p w14:paraId="4660AF9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开户行：</w:t>
      </w:r>
    </w:p>
    <w:p w14:paraId="1AAFC1EE">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第三条  质量标准</w:t>
      </w:r>
    </w:p>
    <w:p w14:paraId="50F884C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1.乙方在本合同项下向甲方提供的</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质量和技术规格应符合以下标准：</w:t>
      </w:r>
    </w:p>
    <w:p w14:paraId="527B30E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（1）项目的中标通知书、招标文件、答疑及补充通知；</w:t>
      </w:r>
    </w:p>
    <w:p w14:paraId="0F52D3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（2）乙方的投标文件；</w:t>
      </w:r>
    </w:p>
    <w:p w14:paraId="32546F1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kern w:val="2"/>
          <w:sz w:val="28"/>
          <w:szCs w:val="28"/>
          <w:lang w:val="en-US" w:eastAsia="zh-CN" w:bidi="ar"/>
        </w:rPr>
        <w:t>（3）本合同附件</w:t>
      </w:r>
      <w:r>
        <w:rPr>
          <w:rFonts w:hint="eastAsia" w:ascii="仿宋_GB2312" w:hAnsi="Times New Roman" w:eastAsia="仿宋_GB2312" w:cs="仿宋_GB2312"/>
          <w:bCs/>
          <w:kern w:val="2"/>
          <w:sz w:val="28"/>
          <w:szCs w:val="28"/>
          <w:lang w:val="en-US" w:eastAsia="zh-CN" w:bidi="ar"/>
        </w:rPr>
        <w:t>的约定；</w:t>
      </w:r>
    </w:p>
    <w:p w14:paraId="3011BCE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（4）国家关于该类设备的设计和制造生产标准；</w:t>
      </w:r>
    </w:p>
    <w:p w14:paraId="59F70D4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（5）国家关于该类设备质量的行业标准；</w:t>
      </w:r>
    </w:p>
    <w:p w14:paraId="6855ACB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（6）符合国家有关安全、环保等规范和要求（乙方须提供设备测验报告）；</w:t>
      </w:r>
    </w:p>
    <w:p w14:paraId="76C7E72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（7）进口设备具有进口注册证书、《入境设备检验检疫证明》等中国海关商检合格证明</w:t>
      </w:r>
    </w:p>
    <w:p w14:paraId="475DF8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设备注册证名、产地品牌、规格型号应与在行政部门登记的注册证描述一致并在有效期内。消毒设备在注册证号栏中分别填入注册证号、卫生许可证号、卫生许可证批号。合同设备如属《中华人民共和国进口计量器具型式审查目录》或《中华人民共和国强制检定的工作计量器具目录》内的，乙方需提供计量合格证，所有上述证照办理的费用均包含在合同总价内。</w:t>
      </w:r>
    </w:p>
    <w:p w14:paraId="127CB9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3.如合同设备属于国家规定的强检设备，由乙方负责完成首次计量强制检定，验收前乙方必须附上计量检定合格报告。</w:t>
      </w:r>
    </w:p>
    <w:p w14:paraId="632E43A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w:t>
      </w:r>
      <w:r>
        <w:rPr>
          <w:rFonts w:hint="eastAsia" w:ascii="仿宋_GB2312" w:hAnsi="Times New Roman" w:eastAsia="仿宋_GB2312" w:cs="仿宋_GB2312"/>
          <w:bCs/>
          <w:color w:val="000000"/>
          <w:kern w:val="2"/>
          <w:sz w:val="28"/>
          <w:szCs w:val="28"/>
          <w:lang w:val="en-US" w:eastAsia="zh-CN" w:bidi="ar"/>
        </w:rPr>
        <w:t>如合同设备需要甲方信息端口，则由乙方负责甲方信息系统端口连接的安装工作及费用（包含信息系统方的接口开发费）。甲方协助乙方完成信息系统安装，确保设备稳定运行。</w:t>
      </w:r>
    </w:p>
    <w:p w14:paraId="2E910D0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 </w:t>
      </w:r>
    </w:p>
    <w:p w14:paraId="28EAC693">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第四条  质量保证及售后服务</w:t>
      </w:r>
    </w:p>
    <w:p w14:paraId="4A74E58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FF0000"/>
          <w:kern w:val="2"/>
          <w:sz w:val="28"/>
          <w:szCs w:val="28"/>
        </w:rPr>
      </w:pPr>
      <w:r>
        <w:rPr>
          <w:rFonts w:hint="eastAsia" w:ascii="仿宋_GB2312" w:hAnsi="Times New Roman" w:eastAsia="仿宋_GB2312" w:cs="仿宋_GB2312"/>
          <w:bCs/>
          <w:kern w:val="2"/>
          <w:sz w:val="28"/>
          <w:szCs w:val="28"/>
          <w:lang w:val="en-US" w:eastAsia="zh-CN" w:bidi="ar"/>
        </w:rPr>
        <w:t>1.乙方应保证设备是全新、未使用过的原装合格正品（包括零部件），设备到达甲方安装现场时外包装应完好无损，最新生产批次且经检验合格的产品。</w:t>
      </w:r>
    </w:p>
    <w:p w14:paraId="48CE813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2.乙方对本合同设备提供质</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保期</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3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年（</w:t>
      </w:r>
      <w:r>
        <w:rPr>
          <w:rFonts w:hint="eastAsia" w:ascii="仿宋_GB2312" w:hAnsi="Times New Roman" w:eastAsia="仿宋_GB2312" w:cs="仿宋_GB2312"/>
          <w:bCs/>
          <w:kern w:val="2"/>
          <w:sz w:val="28"/>
          <w:szCs w:val="28"/>
          <w:lang w:val="en-US" w:eastAsia="zh-CN" w:bidi="ar"/>
        </w:rPr>
        <w:t>自验收合格之日起算），终身维护。质保期内免费提供每年2次定期保养。设备出现故障时乙方应在接到甲方通知时4小时响应，24小时内到位，若乙方未能在24小时内消除障碍，甲方有权聘请第三方消除障碍，</w:t>
      </w:r>
      <w:r>
        <w:rPr>
          <w:rFonts w:hint="eastAsia" w:ascii="仿宋_GB2312" w:hAnsi="Times New Roman" w:eastAsia="仿宋_GB2312" w:cs="仿宋_GB2312"/>
          <w:kern w:val="2"/>
          <w:sz w:val="28"/>
          <w:szCs w:val="28"/>
          <w:lang w:val="en-US" w:eastAsia="zh-CN" w:bidi="ar"/>
        </w:rPr>
        <w:t>所发生的费用由乙方全部承担，乙方应于故障发生后</w:t>
      </w:r>
      <w:r>
        <w:rPr>
          <w:rFonts w:hint="eastAsia" w:ascii="仿宋_GB2312" w:hAnsi="Times New Roman" w:eastAsia="仿宋_GB2312" w:cs="仿宋_GB2312"/>
          <w:bCs/>
          <w:kern w:val="2"/>
          <w:sz w:val="28"/>
          <w:szCs w:val="28"/>
          <w:u w:val="single"/>
          <w:lang w:val="en-US" w:eastAsia="zh-CN" w:bidi="ar"/>
        </w:rPr>
        <w:t xml:space="preserve"> 15 </w:t>
      </w:r>
      <w:r>
        <w:rPr>
          <w:rFonts w:hint="eastAsia" w:ascii="仿宋_GB2312" w:hAnsi="Times New Roman" w:eastAsia="仿宋_GB2312" w:cs="仿宋_GB2312"/>
          <w:kern w:val="2"/>
          <w:sz w:val="28"/>
          <w:szCs w:val="28"/>
          <w:lang w:val="en-US" w:eastAsia="zh-CN" w:bidi="ar"/>
        </w:rPr>
        <w:t>日内支付。</w:t>
      </w:r>
    </w:p>
    <w:p w14:paraId="3867D0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3.质保期内非因甲方人为原因而出现的质量问题，由乙方负责包修、包换或者包退，并承担修理、调换或退货的实际费用。乙方不能修理或不能调换，按不能交货处理。</w:t>
      </w:r>
    </w:p>
    <w:p w14:paraId="2CF296AD">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必须提供由设备生产原厂签署承诺的合法有效的保修、维修证明（售后服务承诺函，盖厂家公章），厂家签署承诺的保修期应与投标供应商承诺的保修期一致；必须由原厂工程师及技术人员直接提供保修、维修、免费技术培训服务。</w:t>
      </w:r>
    </w:p>
    <w:p w14:paraId="00ADCC3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5.保修期届满后，乙方应按其在深圳地区同类产品的优惠价格提供维保服务，具体设备维护事宜由双方另行协商。</w:t>
      </w:r>
    </w:p>
    <w:p w14:paraId="41941F25">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第五条  进口设备手续（进口设备方使用该条款）</w:t>
      </w:r>
    </w:p>
    <w:p w14:paraId="214316D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乙方提供的进口设备必须具有合法的进口手续，并负责办理设备进口报关等手续。</w:t>
      </w:r>
    </w:p>
    <w:p w14:paraId="23575CE2">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第六条  包装</w:t>
      </w:r>
    </w:p>
    <w:p w14:paraId="3598D3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设备运输至本合同指定的交货地点所需要的包装，包装费用由乙方承担，包装物不返还，归甲方所有。设备的包装均应有良好的防湿、防锈、防潮、防雨、防腐及防碰撞的措施，符合产品标准关于包装的要求。凡由于包装问题造成的损失和由此产生的费用均由乙方承担。</w:t>
      </w:r>
    </w:p>
    <w:p w14:paraId="02E7C3D4">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第七条  交付</w:t>
      </w:r>
    </w:p>
    <w:p w14:paraId="24E4037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1.交货时间：合同签订并接甲方</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通知后</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w:t>
      </w:r>
    </w:p>
    <w:p w14:paraId="503DD4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2.交货地点：运输及卸车搬至甲方指定地点。运输费用及风险由乙方承担。在乙方将设备送至该交货地点前，甲方有权单方变更该交货地点，但应提前</w:t>
      </w:r>
      <w:r>
        <w:rPr>
          <w:rFonts w:hint="eastAsia" w:ascii="仿宋_GB2312" w:hAnsi="Times New Roman" w:eastAsia="仿宋_GB2312" w:cs="仿宋_GB2312"/>
          <w:bCs/>
          <w:kern w:val="2"/>
          <w:sz w:val="28"/>
          <w:szCs w:val="28"/>
          <w:u w:val="single"/>
          <w:lang w:val="en-US" w:eastAsia="zh-CN" w:bidi="ar"/>
        </w:rPr>
        <w:t xml:space="preserve"> 1 </w:t>
      </w:r>
      <w:r>
        <w:rPr>
          <w:rFonts w:hint="eastAsia" w:ascii="仿宋_GB2312" w:hAnsi="Times New Roman" w:eastAsia="仿宋_GB2312" w:cs="仿宋_GB2312"/>
          <w:bCs/>
          <w:kern w:val="2"/>
          <w:sz w:val="28"/>
          <w:szCs w:val="28"/>
          <w:lang w:val="en-US" w:eastAsia="zh-CN" w:bidi="ar"/>
        </w:rPr>
        <w:t>日通知乙方，乙方应无条件服从，因此产生的费用由乙方承担。</w:t>
      </w:r>
    </w:p>
    <w:p w14:paraId="1D62D960">
      <w:pPr>
        <w:pStyle w:val="14"/>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Calibri" w:eastAsia="仿宋_GB2312" w:cs="仿宋_GB2312"/>
          <w:bCs/>
          <w:kern w:val="2"/>
          <w:sz w:val="28"/>
          <w:szCs w:val="28"/>
          <w:lang w:val="en-US" w:eastAsia="zh-CN" w:bidi="ar"/>
        </w:rPr>
        <w:t>3.乙方应随设备向甲方交付设备中文版《使用说明书》等与本合同设备使用有关的所有资料。如为进口设备，乙方还应提供进口设备原产地证、检测报告、检验检疫证明、进口报关手续等资料。</w:t>
      </w:r>
    </w:p>
    <w:p w14:paraId="2780DE8F">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第八条  安装调试</w:t>
      </w:r>
    </w:p>
    <w:p w14:paraId="341EA76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000000" w:themeColor="text1"/>
          <w:kern w:val="2"/>
          <w:sz w:val="28"/>
          <w:szCs w:val="28"/>
          <w14:textFill>
            <w14:solidFill>
              <w14:schemeClr w14:val="tx1"/>
            </w14:solidFill>
          </w14:textFill>
        </w:rPr>
      </w:pPr>
      <w:r>
        <w:rPr>
          <w:rFonts w:hint="eastAsia" w:ascii="仿宋_GB2312" w:hAnsi="Times New Roman" w:eastAsia="仿宋_GB2312" w:cs="仿宋_GB2312"/>
          <w:bCs/>
          <w:kern w:val="2"/>
          <w:sz w:val="28"/>
          <w:szCs w:val="28"/>
          <w:lang w:val="en-US" w:eastAsia="zh-CN" w:bidi="ar"/>
        </w:rPr>
        <w:t>1.安装调试时间</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：自交货</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日内完成。</w:t>
      </w:r>
    </w:p>
    <w:p w14:paraId="5F47CA3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2.乙方负责合同项下设备的安装、调</w:t>
      </w:r>
      <w:r>
        <w:rPr>
          <w:rFonts w:hint="eastAsia" w:ascii="仿宋_GB2312" w:hAnsi="Times New Roman" w:eastAsia="仿宋_GB2312" w:cs="仿宋_GB2312"/>
          <w:bCs/>
          <w:kern w:val="2"/>
          <w:sz w:val="28"/>
          <w:szCs w:val="28"/>
          <w:lang w:val="en-US" w:eastAsia="zh-CN" w:bidi="ar"/>
        </w:rPr>
        <w:t>试，一切费用及责任由乙方承担。</w:t>
      </w:r>
    </w:p>
    <w:p w14:paraId="0950F28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设备安装需施工的，乙方应在合同签订前提供设备安装施工图纸，甲方与乙方共同签字确定安装场地施工方案，确保安装场地（包括消防、环保等）适合设备安装，如因乙方延迟提供材料或未及时签字确认方案等致设备无法如期安装所造成的损失由乙方承担。安装前乙方通知甲方使用科室、设备科三方共同到场开箱，并填写开箱记录。乙方应提供与设备相符且完整的资料，提供包括但不限于如下资料：①产品安装、操作和维修手册②中文版使用说明书③出厂合格证（进口产品提供进口报关单及检疫证明）④到货清单。</w:t>
      </w:r>
    </w:p>
    <w:p w14:paraId="4A93200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安装时须对安装场地及场地内的其他设备、设施有良好保护措施。如因乙方原因造成甲方场地或场地内其他设备、设施损坏，由乙方承担赔偿责任。如安装地点不适合应当书面通知甲方调换合适的地点，设备运送、安装调试以及计量检测所产生的费用由乙方负责。</w:t>
      </w:r>
    </w:p>
    <w:p w14:paraId="21A3797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Cs/>
          <w:kern w:val="2"/>
          <w:sz w:val="28"/>
          <w:szCs w:val="28"/>
          <w:lang w:val="en-US" w:eastAsia="zh-CN" w:bidi="ar"/>
        </w:rPr>
        <w:t>5.如乙方人员（包括受乙方委托提供送货、安装、调试等服务的人员）应提供安全、专业的服务，如在送货、安装、调试过程中造成乙方及乙方服务人员自身、甲方及甲方人员或者任何第三方的人身或财产损害，应由乙方自行承担责任；</w:t>
      </w:r>
    </w:p>
    <w:p w14:paraId="66E68496">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第九条  验收</w:t>
      </w:r>
    </w:p>
    <w:p w14:paraId="5A4AD28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1.验收时间：设备安装调试完毕，并正常运行后</w:t>
      </w:r>
      <w:r>
        <w:rPr>
          <w:rFonts w:hint="eastAsia" w:ascii="仿宋_GB2312" w:hAnsi="Times New Roman" w:eastAsia="仿宋_GB2312" w:cs="仿宋_GB2312"/>
          <w:bCs/>
          <w:color w:val="FF0000"/>
          <w:kern w:val="2"/>
          <w:sz w:val="28"/>
          <w:szCs w:val="28"/>
          <w:u w:val="single"/>
          <w:lang w:val="en-US" w:eastAsia="zh-CN" w:bidi="ar"/>
        </w:rPr>
        <w:t xml:space="preserve">  </w:t>
      </w:r>
      <w:r>
        <w:rPr>
          <w:rFonts w:hint="eastAsia" w:ascii="仿宋_GB2312" w:hAnsi="Times New Roman" w:eastAsia="仿宋_GB2312" w:cs="仿宋_GB2312"/>
          <w:bCs/>
          <w:kern w:val="2"/>
          <w:sz w:val="28"/>
          <w:szCs w:val="28"/>
          <w:lang w:val="en-US" w:eastAsia="zh-CN" w:bidi="ar"/>
        </w:rPr>
        <w:t>日内。</w:t>
      </w:r>
    </w:p>
    <w:p w14:paraId="666954D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验收日期前乙方必须完成合同约定的各项培训，包括对甲方相关人员进行设备使用培训及日常保养培训并提供培训记录。现场验收时乙方提供必要的技术支持并协助甲方完成各项指标和功能的测试，否则因验收延误产生的后果由乙方负责。</w:t>
      </w:r>
    </w:p>
    <w:p w14:paraId="5628763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3.合同设备安装调试完毕后，乙方应及时书面提请验收。甲乙双方共同对</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的包装、外观、数量、商标、型号、规格、质量以及设备随附单证、资料等进行验收。经双方验收后，由双方共同签署验收报告。乙方提供的设备及其随附物件的风险在经验收合格后转移至甲方。因乙方未及时书面提请验收造成付款延误的，由乙方自行承担责任。</w:t>
      </w:r>
    </w:p>
    <w:p w14:paraId="6085CCA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验收按本合同要求及国家有关的规定、规范进行。验收时如发现所交付的设备有短装、次品、损坏或其它不符合本合同规定之情形者，甲方可作现场记录，或由甲乙双方签署备忘录。此现场记录或备忘录可用作换货、补充缺失、更换损坏部件和追责的有效证据。由此产生的有关费用由乙方承担。乙方提供的各种文件载明的内容必须真实，甲方对产品的技术数据置疑时，有权要求乙方按照双方认可的第三方检测机构出具的检验方法进行检测（检测费用由乙方承担），检测结果必须证明乙方提供的技术数据是真实的，否则视为不合格。</w:t>
      </w:r>
    </w:p>
    <w:p w14:paraId="738C1179">
      <w:pPr>
        <w:keepNext w:val="0"/>
        <w:keepLines w:val="0"/>
        <w:widowControl w:val="0"/>
        <w:suppressLineNumbers w:val="0"/>
        <w:tabs>
          <w:tab w:val="left" w:pos="780"/>
        </w:tabs>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验收发现设备短装、损坏或质量不符合本合同之规定，不论何种原因导致，在甲方提出换货要求的情况下，乙方应及时安排换货，以保证合同设备如期安装、通过验收。换货的相关费用和相应后果由乙方承担，验收时间不予顺延。</w:t>
      </w:r>
    </w:p>
    <w:p w14:paraId="581AEB88">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第十条 权利保证</w:t>
      </w:r>
    </w:p>
    <w:p w14:paraId="6DEBE08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1.</w:t>
      </w:r>
      <w:r>
        <w:rPr>
          <w:rFonts w:hint="eastAsia" w:ascii="仿宋_GB2312" w:hAnsi="Times New Roman" w:eastAsia="仿宋_GB2312" w:cs="仿宋_GB2312"/>
          <w:kern w:val="2"/>
          <w:sz w:val="28"/>
          <w:szCs w:val="28"/>
          <w:lang w:val="en-US" w:eastAsia="zh-CN" w:bidi="ar"/>
        </w:rPr>
        <w:t>乙方保证所提供的设备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设备造成的全部损失、律师费、诉讼费、取证费、差旅费、保全费、担保费、鉴证费、公证费、执行费以及间接损失等。</w:t>
      </w:r>
    </w:p>
    <w:p w14:paraId="0E5F35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2.乙方保证所提供的设备符合招标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设备的损失及因纠纷造成的其他损失（如被保全等）、甲方为解决纠纷支出的律师费、诉讼费、保全费、担保费、差旅费、鉴证费、公证费、执行费等全部费用以及全部间接损失。</w:t>
      </w:r>
    </w:p>
    <w:p w14:paraId="74A5506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3.如有关法院、仲裁机构或行政机关禁止甲方继续使用本合同项目下设备的部分或全部，乙方应酌情采取以下措施之一：</w:t>
      </w:r>
    </w:p>
    <w:p w14:paraId="68CEDF5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（1）使甲方重新免费获得使用上述设备的权利； </w:t>
      </w:r>
    </w:p>
    <w:p w14:paraId="1CBDBA2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（2）免费更换或改造上述设备，使甲方不受上述禁令限制继续使用该设备。</w:t>
      </w:r>
    </w:p>
    <w:p w14:paraId="748CF3D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乙方采取上述措施不能免除乙方就甲方因此遭受的损失进行赔偿的义务。</w:t>
      </w:r>
    </w:p>
    <w:p w14:paraId="034A79A9">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第十一条  违约责任</w:t>
      </w:r>
    </w:p>
    <w:p w14:paraId="2DAF2192">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1.甲方无正当理由拒收设备、拒付设备款的，甲方向乙方偿付其所拒收设备总值的</w:t>
      </w:r>
      <w:r>
        <w:rPr>
          <w:rFonts w:hint="eastAsia" w:ascii="仿宋_GB2312" w:hAnsi="Times New Roman" w:eastAsia="仿宋_GB2312" w:cs="仿宋_GB2312"/>
          <w:kern w:val="2"/>
          <w:sz w:val="28"/>
          <w:szCs w:val="28"/>
          <w:u w:val="single"/>
          <w:lang w:val="en-US" w:eastAsia="zh-CN" w:bidi="ar"/>
        </w:rPr>
        <w:t xml:space="preserve"> 10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73CAB818">
      <w:pPr>
        <w:pStyle w:val="43"/>
        <w:widowControl/>
        <w:adjustRightInd w:val="0"/>
        <w:snapToGrid w:val="0"/>
        <w:spacing w:line="560" w:lineRule="exact"/>
        <w:ind w:left="0" w:firstLine="602"/>
        <w:jc w:val="left"/>
        <w:rPr>
          <w:rFonts w:hint="default" w:ascii="Calibri" w:hAnsi="Calibri" w:eastAsia="宋体" w:cs="Times New Roman"/>
          <w:kern w:val="2"/>
          <w:sz w:val="24"/>
          <w:szCs w:val="24"/>
        </w:rPr>
      </w:pPr>
      <w:r>
        <w:rPr>
          <w:rFonts w:hint="eastAsia" w:ascii="仿宋_GB2312" w:eastAsia="仿宋_GB2312" w:cs="仿宋_GB2312"/>
          <w:bCs/>
          <w:kern w:val="2"/>
          <w:sz w:val="28"/>
          <w:szCs w:val="28"/>
        </w:rPr>
        <w:t>2.甲方逾期付设备款的，甲方向乙方每日偿付欠款总额</w:t>
      </w:r>
      <w:r>
        <w:rPr>
          <w:rFonts w:hint="eastAsia" w:ascii="仿宋_GB2312" w:eastAsia="仿宋_GB2312" w:cs="仿宋_GB2312"/>
          <w:kern w:val="2"/>
          <w:sz w:val="28"/>
          <w:szCs w:val="28"/>
          <w:u w:val="single"/>
        </w:rPr>
        <w:t xml:space="preserve">  1  </w:t>
      </w:r>
      <w:r>
        <w:rPr>
          <w:rFonts w:hint="eastAsia" w:ascii="仿宋_GB2312" w:eastAsia="仿宋_GB2312" w:cs="仿宋_GB2312"/>
          <w:kern w:val="2"/>
          <w:sz w:val="28"/>
          <w:szCs w:val="28"/>
        </w:rPr>
        <w:t>‰</w:t>
      </w:r>
      <w:r>
        <w:rPr>
          <w:rFonts w:hint="eastAsia" w:ascii="仿宋_GB2312" w:eastAsia="仿宋_GB2312" w:cs="仿宋_GB2312"/>
          <w:bCs/>
          <w:kern w:val="2"/>
          <w:sz w:val="28"/>
          <w:szCs w:val="28"/>
        </w:rPr>
        <w:t>的违约金，违约金总额最高不超过逾期支付设备款项的5%。但因甲方使用的是财政资金，甲方应在约定期限内办理财政支付申请手续（不含政府财政支付部门审核的时间）。因财政支付流程造成的延误，应视为甲方依约履行，甲方不承担任何逾期付款的违约责任。</w:t>
      </w:r>
    </w:p>
    <w:p w14:paraId="443668E0">
      <w:pPr>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3.乙方逾期交付设备的，每逾期1日，乙方向甲方偿付</w:t>
      </w:r>
      <w:r>
        <w:rPr>
          <w:rFonts w:hint="eastAsia" w:ascii="仿宋_GB2312" w:hAnsi="Times New Roman" w:eastAsia="仿宋_GB2312" w:cs="仿宋_GB2312"/>
          <w:bCs/>
          <w:kern w:val="2"/>
          <w:sz w:val="28"/>
          <w:szCs w:val="28"/>
          <w:lang w:val="en-US" w:eastAsia="zh-CN" w:bidi="ar"/>
        </w:rPr>
        <w:t>本合同总价款</w:t>
      </w:r>
      <w:r>
        <w:rPr>
          <w:rFonts w:hint="eastAsia" w:ascii="仿宋_GB2312" w:hAnsi="Times New Roman" w:eastAsia="仿宋_GB2312" w:cs="仿宋_GB2312"/>
          <w:kern w:val="2"/>
          <w:sz w:val="28"/>
          <w:szCs w:val="28"/>
          <w:u w:val="single"/>
          <w:lang w:val="en-US" w:eastAsia="zh-CN" w:bidi="ar"/>
        </w:rPr>
        <w:t xml:space="preserve">  5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r>
        <w:rPr>
          <w:rFonts w:hint="eastAsia" w:ascii="仿宋_GB2312" w:hAnsi="Times New Roman" w:eastAsia="仿宋_GB2312" w:cs="仿宋_GB2312"/>
          <w:kern w:val="2"/>
          <w:sz w:val="28"/>
          <w:szCs w:val="28"/>
          <w:lang w:val="en-US" w:eastAsia="zh-CN" w:bidi="ar"/>
        </w:rPr>
        <w:t>。如乙方逾期交货达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日，甲方有权单方解除合同，同时乙方应向甲方</w:t>
      </w:r>
      <w:r>
        <w:rPr>
          <w:rFonts w:hint="eastAsia" w:ascii="仿宋_GB2312" w:hAnsi="Times New Roman" w:eastAsia="仿宋_GB2312" w:cs="仿宋_GB2312"/>
          <w:bCs/>
          <w:kern w:val="2"/>
          <w:sz w:val="28"/>
          <w:szCs w:val="28"/>
          <w:lang w:val="en-US" w:eastAsia="zh-CN" w:bidi="ar"/>
        </w:rPr>
        <w:t>支付合同总价款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25819B11">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4.乙方所交付的设备品种、型号、规格、质量标准等不符合合同约定的，甲方有权要求乙方进行退换货处理;设备已安装的，乙方须按照甲方要求的时间、方式拆除处置乙方设备，由此产生一切费用（含恢复原状费用）由乙方承担。乙方在甲方要求时间内不予处置的，甲方有权自行处置，乙方应向甲方支付货款总额</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％的违约金。乙方因退换货造成逾期交货的，按本条第3点的约定执行。</w:t>
      </w:r>
    </w:p>
    <w:p w14:paraId="6F6DC6D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5.在乙方承诺的或国家规定的质量保证期内（取两者中最长的期限），如经乙方两次维修或更换，设备仍不能达到合同约定的质量标准，甲方有权单方解除合同，乙方应退回全部货款并赔偿甲方因此遭受的损失，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46B6D9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6.乙方未履行本合同项下的其他义务或违反招标文件的要求或其在投标文件中的相关承诺的，乙方须在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内改正，未能在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内改正且无正当理由的，甲方有权单方解除合同，乙方应退回全部货款，同时乙方应向甲方支付合同总价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B50EAB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7.乙方在承担上述一项或多项违约责任后，仍应继续履行合同规定的义务（甲方解除合同的除外）。甲方未能及时追究乙方的任何一项违约责任并不表明甲方放弃追究乙方该项或其他违约责任。</w:t>
      </w:r>
    </w:p>
    <w:p w14:paraId="7DCC9C7C">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8.合同双方认为应补充的内容（不违反招投标文件及相关法律法规）：</w:t>
      </w:r>
      <w:r>
        <w:rPr>
          <w:rFonts w:hint="eastAsia" w:ascii="仿宋_GB2312" w:hAnsi="Times New Roman" w:eastAsia="仿宋_GB2312" w:cs="仿宋_GB2312"/>
          <w:kern w:val="2"/>
          <w:sz w:val="28"/>
          <w:szCs w:val="28"/>
          <w:u w:val="single"/>
          <w:lang w:val="en-US" w:eastAsia="zh-CN" w:bidi="ar"/>
        </w:rPr>
        <w:t xml:space="preserve">   无   </w:t>
      </w:r>
    </w:p>
    <w:p w14:paraId="6FF5175D">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第十二条  不可抗力</w:t>
      </w:r>
    </w:p>
    <w:p w14:paraId="4E4FA3D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4）</w:t>
      </w:r>
      <w:r>
        <w:rPr>
          <w:rFonts w:hint="eastAsia" w:ascii="仿宋_GB2312" w:hAnsi="Times New Roman" w:eastAsia="仿宋_GB2312" w:cs="仿宋_GB2312"/>
          <w:kern w:val="2"/>
          <w:sz w:val="28"/>
          <w:szCs w:val="28"/>
          <w:lang w:val="en-US" w:eastAsia="zh-CN" w:bidi="ar"/>
        </w:rPr>
        <w:t>突发公共卫生事件</w:t>
      </w:r>
      <w:r>
        <w:rPr>
          <w:rFonts w:hint="eastAsia" w:ascii="仿宋_GB2312" w:hAnsi="Times New Roman" w:eastAsia="仿宋_GB2312" w:cs="仿宋_GB2312"/>
          <w:bCs/>
          <w:kern w:val="2"/>
          <w:sz w:val="28"/>
          <w:szCs w:val="28"/>
          <w:lang w:val="en-US" w:eastAsia="zh-CN" w:bidi="ar"/>
        </w:rPr>
        <w:t>等。</w:t>
      </w:r>
    </w:p>
    <w:p w14:paraId="033C406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4278B0B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3170BE3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6116D662">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u w:val="single"/>
        </w:rPr>
      </w:pPr>
      <w:r>
        <w:rPr>
          <w:rFonts w:hint="eastAsia" w:ascii="仿宋_GB2312" w:hAnsi="Times New Roman" w:eastAsia="仿宋_GB2312" w:cs="仿宋_GB2312"/>
          <w:b/>
          <w:bCs w:val="0"/>
          <w:kern w:val="2"/>
          <w:sz w:val="28"/>
          <w:szCs w:val="28"/>
          <w:lang w:val="en-US" w:eastAsia="zh-CN" w:bidi="ar"/>
        </w:rPr>
        <w:t>第十三条 变更、终止条款</w:t>
      </w:r>
    </w:p>
    <w:p w14:paraId="7473535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1.除继续履行将损害国家利益和社会公共利益的外，双方不得擅自变更或者终止合同，确有需要的，甲乙双方应根据相关规定完成合同变更程序。</w:t>
      </w:r>
    </w:p>
    <w:p w14:paraId="7A67EE9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2.如继续履行将损害国家利益和社会公共利益的，主张变更或终止权利一方应在终止事件或情形发生时通知另一方。双方另行签订变更或终止协议。</w:t>
      </w:r>
    </w:p>
    <w:p w14:paraId="6227716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kern w:val="2"/>
          <w:sz w:val="28"/>
          <w:szCs w:val="28"/>
          <w:lang w:val="en-US" w:eastAsia="zh-CN" w:bidi="ar"/>
        </w:rPr>
        <w:t>3.合同履行期间，相关法律、法规、规章、规范性文件和政策发生变化或者颁布新的规定，导致本合同的履行依据发生变化的，双方可以按照修改后或者新的规定执行，并另行签订变更协议。</w:t>
      </w:r>
    </w:p>
    <w:p w14:paraId="694F3FFF">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第十四条  争议解决</w:t>
      </w:r>
    </w:p>
    <w:p w14:paraId="54A4032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1.因设备的质量问题发生争议，由国家和市政府指定的技术单位进行质量鉴定，该鉴定结论是终局的，甲乙双方应当接受。</w:t>
      </w:r>
    </w:p>
    <w:p w14:paraId="4488280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2.因履行本合同引起的或与本合同有关的争议，甲、乙双方应首先通过友好协商解决，如果协商不能解决争议，则向甲方所在地有管辖权的人民法院提起诉讼。</w:t>
      </w:r>
    </w:p>
    <w:p w14:paraId="4DE7BD5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3.有关本协议的效力、解释及可执行性的所有问题均应当受中华人民共和国法律管辖并按照其法律进行解释。</w:t>
      </w:r>
    </w:p>
    <w:p w14:paraId="1308FC55">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第十五条  保密责任</w:t>
      </w:r>
    </w:p>
    <w:p w14:paraId="0122AC3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7847E6C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bCs/>
          <w:kern w:val="2"/>
          <w:sz w:val="28"/>
          <w:szCs w:val="28"/>
          <w:lang w:val="en-US" w:eastAsia="zh-CN" w:bidi="ar"/>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255E804D">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第十六条  通信送达</w:t>
      </w:r>
    </w:p>
    <w:p w14:paraId="624E538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1.乙方履行本合同的指定联系人及授</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权代表为</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；职务</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销售经理</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；联系电话</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；电子邮箱</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。在履行合同过程中，该指定联系人及授权代表的行为、意思表示及对甲方所作的任何</w:t>
      </w:r>
      <w:r>
        <w:rPr>
          <w:rFonts w:hint="eastAsia" w:ascii="仿宋_GB2312" w:hAnsi="Times New Roman" w:eastAsia="仿宋_GB2312" w:cs="仿宋_GB2312"/>
          <w:bCs/>
          <w:kern w:val="2"/>
          <w:sz w:val="28"/>
          <w:szCs w:val="28"/>
          <w:lang w:val="en-US" w:eastAsia="zh-CN" w:bidi="ar"/>
        </w:rPr>
        <w:t>承诺、通知等，都对乙方直接具有约束力；甲方通知送达该联系人及授权代表时，即视为通知送达乙方。</w:t>
      </w:r>
    </w:p>
    <w:p w14:paraId="339E78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2.乙方的指定联系人、授权代表的信息发生变化的，或乙方联系地址、电话等发生变化的，应提前5个工作日书面通知到甲方。否则相关送达的不利后果及责任，由乙方自行承担。</w:t>
      </w:r>
    </w:p>
    <w:p w14:paraId="5543FC9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3.如上述地址无法送达的，以双方当事人的注册地址作为送达地址。</w:t>
      </w:r>
    </w:p>
    <w:p w14:paraId="1C321F4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第十七条  廉洁合作</w:t>
      </w:r>
    </w:p>
    <w:p w14:paraId="4300A40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14E0434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8E4A2A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第十八条  附则</w:t>
      </w:r>
    </w:p>
    <w:p w14:paraId="21CD95D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1.本合同一式</w:t>
      </w:r>
      <w:r>
        <w:rPr>
          <w:rFonts w:hint="eastAsia" w:ascii="仿宋_GB2312" w:hAnsi="Times New Roman" w:eastAsia="仿宋_GB2312" w:cs="仿宋_GB2312"/>
          <w:kern w:val="2"/>
          <w:sz w:val="28"/>
          <w:szCs w:val="28"/>
          <w:u w:val="single"/>
          <w:lang w:val="en-US" w:eastAsia="zh-CN" w:bidi="ar"/>
        </w:rPr>
        <w:t xml:space="preserve"> 陆 </w:t>
      </w:r>
      <w:r>
        <w:rPr>
          <w:rFonts w:hint="eastAsia" w:ascii="仿宋_GB2312" w:hAnsi="Times New Roman" w:eastAsia="仿宋_GB2312" w:cs="仿宋_GB2312"/>
          <w:bCs/>
          <w:kern w:val="2"/>
          <w:sz w:val="28"/>
          <w:szCs w:val="28"/>
          <w:lang w:val="en-US" w:eastAsia="zh-CN" w:bidi="ar"/>
        </w:rPr>
        <w:t>份，甲方执</w:t>
      </w:r>
      <w:r>
        <w:rPr>
          <w:rFonts w:hint="eastAsia" w:ascii="仿宋_GB2312" w:hAnsi="Times New Roman" w:eastAsia="仿宋_GB2312" w:cs="仿宋_GB2312"/>
          <w:kern w:val="2"/>
          <w:sz w:val="28"/>
          <w:szCs w:val="28"/>
          <w:u w:val="single"/>
          <w:lang w:val="en-US" w:eastAsia="zh-CN" w:bidi="ar"/>
        </w:rPr>
        <w:t xml:space="preserve"> 伍 </w:t>
      </w:r>
      <w:r>
        <w:rPr>
          <w:rFonts w:hint="eastAsia" w:ascii="仿宋_GB2312" w:hAnsi="Times New Roman" w:eastAsia="仿宋_GB2312" w:cs="仿宋_GB2312"/>
          <w:bCs/>
          <w:kern w:val="2"/>
          <w:sz w:val="28"/>
          <w:szCs w:val="28"/>
          <w:lang w:val="en-US" w:eastAsia="zh-CN" w:bidi="ar"/>
        </w:rPr>
        <w:t>份、乙方执</w:t>
      </w:r>
      <w:r>
        <w:rPr>
          <w:rFonts w:hint="eastAsia" w:ascii="仿宋_GB2312" w:hAnsi="Times New Roman" w:eastAsia="仿宋_GB2312" w:cs="仿宋_GB2312"/>
          <w:kern w:val="2"/>
          <w:sz w:val="28"/>
          <w:szCs w:val="28"/>
          <w:u w:val="single"/>
          <w:lang w:val="en-US" w:eastAsia="zh-CN" w:bidi="ar"/>
        </w:rPr>
        <w:t xml:space="preserve"> 壹 </w:t>
      </w:r>
      <w:r>
        <w:rPr>
          <w:rFonts w:hint="eastAsia" w:ascii="仿宋_GB2312" w:hAnsi="Times New Roman" w:eastAsia="仿宋_GB2312" w:cs="仿宋_GB2312"/>
          <w:bCs/>
          <w:kern w:val="2"/>
          <w:sz w:val="28"/>
          <w:szCs w:val="28"/>
          <w:lang w:val="en-US" w:eastAsia="zh-CN" w:bidi="ar"/>
        </w:rPr>
        <w:t>份，具有同等法律效力。本合同自双方法定代表人或有权代理人签字并加盖双方公章或合同专用章之日起生效。</w:t>
      </w:r>
    </w:p>
    <w:p w14:paraId="30BA3AC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2.本合同未尽事宜，由双方协商处理，经协商一致可签订补充协议。</w:t>
      </w:r>
    </w:p>
    <w:p w14:paraId="30A3ABE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3.如有设备相关耗材、试剂或易损器械，设备及主要维修配件，乙方应提供并分别列出它们的优惠价格。</w:t>
      </w:r>
    </w:p>
    <w:p w14:paraId="7F4E540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第十九条  合同组成文件</w:t>
      </w:r>
    </w:p>
    <w:p w14:paraId="7EADE49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下列文件为本合同的组成部分，并构成一个整体，需综合解释、相互补充。如果下列文件内容出现不一致的情形，在保证按照采购文件确定的事项的前提下，组成本合同的多个文件的优先适用顺序如下：</w:t>
      </w:r>
    </w:p>
    <w:p w14:paraId="66D58A3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1.本合同及其附件、补充合同、变更协议；</w:t>
      </w:r>
    </w:p>
    <w:p w14:paraId="28FF17B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2.中标通知书；</w:t>
      </w:r>
    </w:p>
    <w:p w14:paraId="566848FE">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3.投标文件（含澄清或者说明文件）；</w:t>
      </w:r>
    </w:p>
    <w:p w14:paraId="5702877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4.招标文件（含澄清或者修改文件）；</w:t>
      </w:r>
    </w:p>
    <w:p w14:paraId="7FBE8B5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5.其他相关采购文件。</w:t>
      </w:r>
    </w:p>
    <w:p w14:paraId="1DBDB0B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附件一：中标通知书</w:t>
      </w:r>
    </w:p>
    <w:p w14:paraId="1CDC973A">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附件二：廉洁合作承诺书（企业承诺）</w:t>
      </w:r>
    </w:p>
    <w:p w14:paraId="79CA7C50">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附件三：廉洁从业承诺书（员工承诺）</w:t>
      </w:r>
    </w:p>
    <w:p w14:paraId="1EFC61B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附件四：配置清单</w:t>
      </w:r>
    </w:p>
    <w:p w14:paraId="138DABC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附件五：技术偏离表</w:t>
      </w:r>
    </w:p>
    <w:p w14:paraId="00F6C0A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附件六：售后服务承诺（含厂家）</w:t>
      </w:r>
    </w:p>
    <w:p w14:paraId="501FDF1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附件七：每年二次的维护计划</w:t>
      </w:r>
    </w:p>
    <w:p w14:paraId="61B1BB1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6F7AE8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7BF623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283FF78">
      <w:pPr>
        <w:keepNext w:val="0"/>
        <w:keepLines w:val="0"/>
        <w:widowControl/>
        <w:suppressLineNumbers w:val="0"/>
        <w:spacing w:before="0" w:beforeAutospacing="0" w:after="0" w:afterAutospacing="0"/>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br w:type="page"/>
      </w:r>
    </w:p>
    <w:p w14:paraId="7094F3A3">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（本页无正文</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，为《XXXX》签署页</w:t>
      </w:r>
      <w:r>
        <w:rPr>
          <w:rFonts w:hint="eastAsia" w:ascii="仿宋_GB2312" w:hAnsi="Times New Roman" w:eastAsia="仿宋_GB2312" w:cs="仿宋_GB2312"/>
          <w:kern w:val="2"/>
          <w:sz w:val="28"/>
          <w:szCs w:val="28"/>
          <w:lang w:val="en-US" w:eastAsia="zh-CN" w:bidi="ar"/>
        </w:rPr>
        <w:t>）</w:t>
      </w:r>
    </w:p>
    <w:p w14:paraId="4F8276B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2EEB678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5D9DE3D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tbl>
      <w:tblPr>
        <w:tblStyle w:val="17"/>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362"/>
        <w:gridCol w:w="4160"/>
      </w:tblGrid>
      <w:tr w14:paraId="13BE996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14D854B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甲方：深圳市福田区第二人民医院</w:t>
            </w:r>
          </w:p>
        </w:tc>
        <w:tc>
          <w:tcPr>
            <w:tcW w:w="2441" w:type="pct"/>
            <w:tcBorders>
              <w:top w:val="nil"/>
              <w:left w:val="nil"/>
              <w:bottom w:val="nil"/>
              <w:right w:val="nil"/>
            </w:tcBorders>
            <w:shd w:val="clear" w:color="auto" w:fill="auto"/>
            <w:vAlign w:val="top"/>
          </w:tcPr>
          <w:p w14:paraId="3C71B5C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乙方：</w:t>
            </w:r>
          </w:p>
        </w:tc>
      </w:tr>
      <w:tr w14:paraId="223952E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73E393E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地址：深圳市福田区梅林街道</w:t>
            </w:r>
          </w:p>
          <w:p w14:paraId="01358CA2">
            <w:pPr>
              <w:keepNext w:val="0"/>
              <w:keepLines w:val="0"/>
              <w:widowControl w:val="0"/>
              <w:suppressLineNumbers w:val="0"/>
              <w:spacing w:before="0" w:beforeAutospacing="0" w:after="0" w:afterAutospacing="0" w:line="360" w:lineRule="auto"/>
              <w:ind w:left="0" w:right="0" w:firstLine="840" w:firstLineChars="30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中康路27号</w:t>
            </w:r>
          </w:p>
        </w:tc>
        <w:tc>
          <w:tcPr>
            <w:tcW w:w="2441" w:type="pct"/>
            <w:tcBorders>
              <w:top w:val="nil"/>
              <w:left w:val="nil"/>
              <w:bottom w:val="nil"/>
              <w:right w:val="nil"/>
            </w:tcBorders>
            <w:shd w:val="clear" w:color="auto" w:fill="auto"/>
            <w:vAlign w:val="top"/>
          </w:tcPr>
          <w:p w14:paraId="344D2F8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址：</w:t>
            </w:r>
          </w:p>
        </w:tc>
      </w:tr>
      <w:tr w14:paraId="1DC6AC5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4BC953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p w14:paraId="2A2D2CB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4DAE673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tc>
      </w:tr>
      <w:tr w14:paraId="338836D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F1B7B5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p w14:paraId="2B13E92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69E7D06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tc>
      </w:tr>
      <w:tr w14:paraId="066AEE4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9AF21A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话：0755-83279817</w:t>
            </w:r>
          </w:p>
        </w:tc>
        <w:tc>
          <w:tcPr>
            <w:tcW w:w="2441" w:type="pct"/>
            <w:tcBorders>
              <w:top w:val="nil"/>
              <w:left w:val="nil"/>
              <w:bottom w:val="nil"/>
              <w:right w:val="nil"/>
            </w:tcBorders>
            <w:shd w:val="clear" w:color="auto" w:fill="auto"/>
            <w:vAlign w:val="top"/>
          </w:tcPr>
          <w:p w14:paraId="245F03F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r>
      <w:tr w14:paraId="1B11505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CD57FB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开户银行：建行深圳梅林支行</w:t>
            </w:r>
          </w:p>
        </w:tc>
        <w:tc>
          <w:tcPr>
            <w:tcW w:w="2441" w:type="pct"/>
            <w:tcBorders>
              <w:top w:val="nil"/>
              <w:left w:val="nil"/>
              <w:bottom w:val="nil"/>
              <w:right w:val="nil"/>
            </w:tcBorders>
            <w:shd w:val="clear" w:color="auto" w:fill="auto"/>
            <w:vAlign w:val="top"/>
          </w:tcPr>
          <w:p w14:paraId="0C5397A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r>
      <w:tr w14:paraId="3641142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EA15F9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号：44201550900051002164</w:t>
            </w:r>
          </w:p>
        </w:tc>
        <w:tc>
          <w:tcPr>
            <w:tcW w:w="2441" w:type="pct"/>
            <w:tcBorders>
              <w:top w:val="nil"/>
              <w:left w:val="nil"/>
              <w:bottom w:val="nil"/>
              <w:right w:val="nil"/>
            </w:tcBorders>
            <w:shd w:val="clear" w:color="auto" w:fill="auto"/>
            <w:vAlign w:val="top"/>
          </w:tcPr>
          <w:p w14:paraId="05A37C2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r>
      <w:tr w14:paraId="5467284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4C27A9F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c>
          <w:tcPr>
            <w:tcW w:w="2441" w:type="pct"/>
            <w:tcBorders>
              <w:top w:val="nil"/>
              <w:left w:val="nil"/>
              <w:bottom w:val="nil"/>
              <w:right w:val="nil"/>
            </w:tcBorders>
            <w:shd w:val="clear" w:color="auto" w:fill="auto"/>
            <w:vAlign w:val="top"/>
          </w:tcPr>
          <w:p w14:paraId="73E6F56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r>
    </w:tbl>
    <w:p w14:paraId="48D2DAA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FDF13A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6B3E0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F751C3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3BA9FD39">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仿宋_GB2312" w:eastAsia="仿宋_GB2312" w:cs="仿宋_GB2312"/>
          <w:b/>
          <w:bCs/>
          <w:kern w:val="0"/>
          <w:sz w:val="28"/>
          <w:szCs w:val="28"/>
        </w:rPr>
      </w:pPr>
      <w:r>
        <w:rPr>
          <w:rFonts w:hint="eastAsia" w:ascii="仿宋_GB2312" w:hAnsi="Times New Roman" w:eastAsia="仿宋_GB2312" w:cs="仿宋_GB2312"/>
          <w:b/>
          <w:bCs/>
          <w:kern w:val="0"/>
          <w:sz w:val="28"/>
          <w:szCs w:val="28"/>
          <w:lang w:val="en-US" w:eastAsia="zh-CN" w:bidi="ar"/>
        </w:rPr>
        <w:t>附件一：中标通知书</w:t>
      </w:r>
    </w:p>
    <w:p w14:paraId="3C84B435">
      <w:pPr>
        <w:keepNext w:val="0"/>
        <w:keepLines w:val="0"/>
        <w:widowControl/>
        <w:suppressLineNumbers w:val="0"/>
        <w:spacing w:before="0" w:beforeAutospacing="0" w:after="0" w:afterAutospacing="0"/>
        <w:ind w:left="0" w:right="0"/>
        <w:jc w:val="left"/>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 xml:space="preserve"> </w:t>
      </w:r>
    </w:p>
    <w:p w14:paraId="37E6A5D3">
      <w:pPr>
        <w:keepNext w:val="0"/>
        <w:keepLines w:val="0"/>
        <w:widowControl/>
        <w:suppressLineNumbers w:val="0"/>
        <w:spacing w:before="0" w:beforeAutospacing="0" w:after="0" w:afterAutospacing="0"/>
        <w:ind w:left="0" w:right="0"/>
        <w:jc w:val="left"/>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2"/>
          <w:sz w:val="28"/>
          <w:szCs w:val="28"/>
          <w:lang w:val="en-US" w:eastAsia="zh-CN" w:bidi="ar"/>
        </w:rPr>
        <w:br w:type="page"/>
      </w:r>
    </w:p>
    <w:p w14:paraId="362DF27A">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方正小标宋_GBK" w:hAnsi="方正小标宋_GBK" w:eastAsia="方正小标宋_GBK" w:cs="方正小标宋_GBK"/>
          <w:b/>
          <w:bCs/>
          <w:kern w:val="0"/>
          <w:sz w:val="44"/>
          <w:szCs w:val="44"/>
        </w:rPr>
      </w:pPr>
      <w:r>
        <w:rPr>
          <w:rFonts w:hint="eastAsia" w:ascii="仿宋_GB2312" w:hAnsi="Times New Roman" w:eastAsia="仿宋_GB2312" w:cs="仿宋_GB2312"/>
          <w:b/>
          <w:bCs w:val="0"/>
          <w:kern w:val="0"/>
          <w:sz w:val="28"/>
          <w:szCs w:val="28"/>
          <w:lang w:val="en-US" w:eastAsia="zh-CN" w:bidi="ar"/>
        </w:rPr>
        <w:t>附件二：廉洁合作承诺书（企业承诺）</w:t>
      </w:r>
    </w:p>
    <w:p w14:paraId="3F649317">
      <w:pPr>
        <w:pStyle w:val="14"/>
        <w:keepNext w:val="0"/>
        <w:keepLines w:val="0"/>
        <w:widowControl/>
        <w:suppressLineNumbers w:val="0"/>
        <w:tabs>
          <w:tab w:val="left" w:pos="7497"/>
        </w:tabs>
        <w:spacing w:before="0" w:beforeAutospacing="1" w:after="120" w:afterLines="50" w:afterAutospacing="0" w:line="600" w:lineRule="exact"/>
        <w:ind w:left="0" w:right="0"/>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廉洁合作承诺书</w:t>
      </w:r>
    </w:p>
    <w:p w14:paraId="70CCDE80">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（企业承诺）</w:t>
      </w:r>
    </w:p>
    <w:p w14:paraId="0C7FE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本公司决定参加项目投标。为维护公平竞争的市场秩序，促进企业廉洁从业、诚实守信，特承诺如下：</w:t>
      </w:r>
    </w:p>
    <w:p w14:paraId="5498C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一、严格遵守《中华人民共和国招标投标法》、《中华人民共和国政府采购法》等法律法规，决不发生以下行为：</w:t>
      </w:r>
    </w:p>
    <w:p w14:paraId="05B6A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1.以他人名义投标，允许其他单位或个人使用本单位资质投标；</w:t>
      </w:r>
    </w:p>
    <w:p w14:paraId="30DBB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2.提供虚假材料，或以其他方式弄虚作假骗取中标；</w:t>
      </w:r>
    </w:p>
    <w:p w14:paraId="6CDDC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3.与招标人或者其他投标人相互串通投标；</w:t>
      </w:r>
    </w:p>
    <w:p w14:paraId="56CFF1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4.中标后将项目转包，或违法分包；</w:t>
      </w:r>
    </w:p>
    <w:p w14:paraId="273200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5.中标后与招标人签订背离投标文件及合同实质性内容的私下协议；</w:t>
      </w:r>
    </w:p>
    <w:p w14:paraId="19B58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6.其他违反招标投标、政府采购等法律法规的行为。</w:t>
      </w:r>
    </w:p>
    <w:p w14:paraId="680C4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二、不以任何理由给予采购单位、主管部门、相关单位及其工作人员以下好处：</w:t>
      </w:r>
    </w:p>
    <w:p w14:paraId="6BCA9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0F4FE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3776D0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7BD19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4.提供宴请、健身、旅游、娱乐等高消费活动； </w:t>
      </w:r>
    </w:p>
    <w:p w14:paraId="6CB9B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73BFB7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三、不以任何理由为采购单位、主管部门、相关单位的工作人员及其配偶、子女等亲属的工作安排以及出国（境）等提供方便。</w:t>
      </w:r>
    </w:p>
    <w:p w14:paraId="68BC2C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四、自觉接受有关部门和派驻廉政监察组等机构的监督，积极配合采购单位开展廉政文化进工程工作，加强廉洁从业环境宣传、项目管理制度建设，多种形式开展廉洁教育。</w:t>
      </w:r>
    </w:p>
    <w:p w14:paraId="19F8A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上述承诺如有违反，愿接受录入诚信档案的处理，构成违纪违法的，由相关部门依纪依法作出处理。</w:t>
      </w:r>
    </w:p>
    <w:p w14:paraId="4877F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（本承诺书由投标人法定代表人签名，并加盖公章；一式贰份，采购单位与履约供应商各持壹份。）</w:t>
      </w:r>
    </w:p>
    <w:p w14:paraId="150BE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 xml:space="preserve"> </w:t>
      </w:r>
    </w:p>
    <w:p w14:paraId="76269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  </w:t>
      </w:r>
    </w:p>
    <w:p w14:paraId="17047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法定代表人签名：</w:t>
      </w:r>
    </w:p>
    <w:p w14:paraId="67FFC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承诺单位（公章）：</w:t>
      </w:r>
    </w:p>
    <w:p w14:paraId="70C02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eastAsia="仿宋_GB2312" w:cs="仿宋_GB2312"/>
          <w:kern w:val="2"/>
          <w:sz w:val="28"/>
          <w:szCs w:val="28"/>
        </w:rPr>
      </w:pPr>
      <w:r>
        <w:rPr>
          <w:rFonts w:hint="eastAsia" w:ascii="仿宋_GB2312" w:hAnsi="Times New Roman" w:eastAsia="仿宋_GB2312" w:cs="仿宋_GB2312"/>
          <w:kern w:val="0"/>
          <w:sz w:val="28"/>
          <w:szCs w:val="28"/>
          <w:lang w:val="en-US" w:eastAsia="zh-CN" w:bidi="ar"/>
        </w:rPr>
        <w:t>承诺日期：</w:t>
      </w:r>
      <w:r>
        <w:rPr>
          <w:rFonts w:hint="eastAsia" w:ascii="仿宋_GB2312" w:hAnsi="Times New Roman" w:eastAsia="仿宋_GB2312" w:cs="仿宋_GB2312"/>
          <w:kern w:val="2"/>
          <w:sz w:val="28"/>
          <w:szCs w:val="28"/>
          <w:lang w:val="en-US" w:eastAsia="zh-CN" w:bidi="ar"/>
        </w:rPr>
        <w:br w:type="page"/>
      </w:r>
    </w:p>
    <w:p w14:paraId="26DE5847">
      <w:pPr>
        <w:keepNext w:val="0"/>
        <w:keepLines w:val="0"/>
        <w:widowControl/>
        <w:suppressLineNumbers w:val="0"/>
        <w:spacing w:before="0" w:beforeAutospacing="0" w:after="0" w:afterAutospacing="0"/>
        <w:ind w:left="0" w:leftChars="0" w:right="0" w:rightChars="0"/>
        <w:jc w:val="left"/>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附件三：廉洁从业承诺书（员工承诺）</w:t>
      </w:r>
    </w:p>
    <w:p w14:paraId="15EB66DC">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bCs/>
          <w:kern w:val="2"/>
          <w:sz w:val="44"/>
          <w:szCs w:val="44"/>
        </w:rPr>
      </w:pPr>
      <w:r>
        <w:rPr>
          <w:rFonts w:hint="eastAsia" w:ascii="方正小标宋_GBK" w:hAnsi="方正小标宋_GBK" w:eastAsia="方正小标宋_GBK" w:cs="方正小标宋_GBK"/>
          <w:bCs/>
          <w:kern w:val="2"/>
          <w:sz w:val="44"/>
          <w:szCs w:val="44"/>
          <w:lang w:val="en-US" w:eastAsia="zh-CN" w:bidi="ar"/>
        </w:rPr>
        <w:t>廉洁从业承诺书</w:t>
      </w:r>
    </w:p>
    <w:p w14:paraId="36F8610E">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（员工承诺）</w:t>
      </w:r>
    </w:p>
    <w:p w14:paraId="160FF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本人决定自愿参加本项目。为了更好的树立公司对外形象，更好地打造公司的品牌，促进个人廉洁从业、诚实守信，特承诺如下：</w:t>
      </w:r>
    </w:p>
    <w:p w14:paraId="14C70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一、不以任何理由给予采购单位、主管部门、相关单位及其工作人员以下好处：</w:t>
      </w:r>
    </w:p>
    <w:p w14:paraId="37FDC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73AF2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409FEA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6CE6F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4.提供宴请、健身、旅游、娱乐等高消费活动；</w:t>
      </w:r>
    </w:p>
    <w:p w14:paraId="49386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291ED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二、不以任何理由为采购单位、主管部门、相关单位的工作人员及其配偶、子女等亲属的工作安排以及出国（境）等提供方便。</w:t>
      </w:r>
    </w:p>
    <w:p w14:paraId="164A1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三、自觉接受有关部门和派驻廉政监察组等机构的监督。</w:t>
      </w:r>
    </w:p>
    <w:p w14:paraId="419BE5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以上承诺接受公司和广大员工的监督。本人如有违反承诺，自愿承担违诺责任和法律后果。</w:t>
      </w:r>
    </w:p>
    <w:p w14:paraId="1B3B6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（本承诺书由项目人员签名，一式贰份。公司与项目人员各持壹份。）</w:t>
      </w:r>
    </w:p>
    <w:p w14:paraId="0CBF6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承诺人：</w:t>
      </w:r>
    </w:p>
    <w:p w14:paraId="797BAB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承诺日期：</w:t>
      </w:r>
    </w:p>
    <w:p w14:paraId="328685BE">
      <w:pPr>
        <w:pStyle w:val="14"/>
        <w:keepNext w:val="0"/>
        <w:keepLines w:val="0"/>
        <w:widowControl/>
        <w:suppressLineNumbers w:val="0"/>
        <w:adjustRightInd w:val="0"/>
        <w:snapToGrid w:val="0"/>
        <w:spacing w:before="0" w:beforeAutospacing="1" w:after="0" w:afterAutospacing="1" w:line="579" w:lineRule="exact"/>
        <w:ind w:left="0" w:right="0"/>
        <w:jc w:val="left"/>
        <w:rPr>
          <w:rFonts w:hint="default" w:ascii="Times New Roman" w:hAnsi="Times New Roman" w:cs="Times New Roman"/>
          <w:color w:val="FFFFFF"/>
          <w:kern w:val="2"/>
          <w:sz w:val="16"/>
          <w:szCs w:val="16"/>
          <w:shd w:val="clear" w:fill="000000"/>
        </w:rPr>
      </w:pPr>
      <w:r>
        <w:rPr>
          <w:rFonts w:hint="eastAsia" w:ascii="仿宋_GB2312" w:hAnsi="Times New Roman" w:eastAsia="仿宋_GB2312" w:cs="仿宋_GB2312"/>
          <w:b/>
          <w:bCs/>
          <w:kern w:val="0"/>
          <w:sz w:val="28"/>
          <w:szCs w:val="28"/>
          <w:lang w:val="en-US" w:eastAsia="zh-CN" w:bidi="ar"/>
        </w:rPr>
        <w:t>附件四：配置清单</w:t>
      </w:r>
    </w:p>
    <w:p w14:paraId="042C0A6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0F829A2F">
      <w:pPr>
        <w:keepNext w:val="0"/>
        <w:keepLines w:val="0"/>
        <w:widowControl w:val="0"/>
        <w:suppressLineNumbers w:val="0"/>
        <w:spacing w:before="0" w:beforeAutospacing="0" w:after="0" w:afterAutospacing="0"/>
        <w:ind w:left="0" w:right="0"/>
        <w:jc w:val="left"/>
        <w:rPr>
          <w:rFonts w:hint="eastAsia" w:ascii="仿宋" w:hAnsi="仿宋" w:eastAsia="仿宋" w:cs="Times New Roman"/>
          <w:b/>
          <w:bCs w:val="0"/>
          <w:color w:val="FF0000"/>
          <w:kern w:val="2"/>
          <w:sz w:val="28"/>
          <w:szCs w:val="28"/>
        </w:rPr>
      </w:pPr>
      <w:r>
        <w:rPr>
          <w:rFonts w:hint="eastAsia" w:ascii="仿宋" w:hAnsi="仿宋" w:eastAsia="仿宋" w:cs="仿宋"/>
          <w:b/>
          <w:bCs w:val="0"/>
          <w:kern w:val="2"/>
          <w:sz w:val="28"/>
          <w:szCs w:val="28"/>
          <w:lang w:val="en-US" w:eastAsia="zh-CN" w:bidi="ar"/>
        </w:rPr>
        <w:t>附件五：技术参数偏离表</w:t>
      </w:r>
    </w:p>
    <w:p w14:paraId="4881B7C8">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74263C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24BB280">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122DB13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
          <w:bCs/>
          <w:kern w:val="2"/>
          <w:sz w:val="28"/>
          <w:szCs w:val="28"/>
          <w:lang w:val="en-US" w:eastAsia="zh-CN" w:bidi="ar"/>
        </w:rPr>
        <w:t>附件六：售后服务承诺（含厂家）</w:t>
      </w:r>
    </w:p>
    <w:p w14:paraId="6EDEECB2">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43C1B10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0"/>
          <w:sz w:val="32"/>
          <w:szCs w:val="32"/>
        </w:rPr>
      </w:pPr>
      <w:r>
        <w:rPr>
          <w:rFonts w:hint="eastAsia" w:ascii="仿宋_GB2312" w:hAnsi="Times New Roman" w:eastAsia="仿宋_GB2312" w:cs="仿宋_GB2312"/>
          <w:b/>
          <w:bCs/>
          <w:kern w:val="2"/>
          <w:sz w:val="28"/>
          <w:szCs w:val="28"/>
          <w:lang w:val="en-US" w:eastAsia="zh-CN" w:bidi="ar"/>
        </w:rPr>
        <w:t>附件七：每年二次的维护计划</w:t>
      </w:r>
    </w:p>
    <w:p w14:paraId="6D05C46A">
      <w:pPr>
        <w:pStyle w:val="21"/>
        <w:ind w:left="0" w:leftChars="0" w:firstLine="0" w:firstLineChars="0"/>
        <w:rPr>
          <w:rFonts w:hint="eastAsia" w:ascii="宋体" w:hAnsi="宋体" w:cs="宋体"/>
          <w:color w:val="000000" w:themeColor="text1"/>
          <w:szCs w:val="21"/>
          <w:lang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1861026-1FA7-48EE-86BF-C8F16E8F6631}"/>
  </w:font>
  <w:font w:name="黑体">
    <w:panose1 w:val="02010609060101010101"/>
    <w:charset w:val="86"/>
    <w:family w:val="auto"/>
    <w:pitch w:val="default"/>
    <w:sig w:usb0="800002BF" w:usb1="38CF7CFA" w:usb2="00000016" w:usb3="00000000" w:csb0="00040001" w:csb1="00000000"/>
    <w:embedRegular r:id="rId2" w:fontKey="{DB1192ED-52EE-419E-9004-CF95C7EC9A09}"/>
  </w:font>
  <w:font w:name="Courier New">
    <w:panose1 w:val="02070309020205020404"/>
    <w:charset w:val="01"/>
    <w:family w:val="modern"/>
    <w:pitch w:val="default"/>
    <w:sig w:usb0="E0002EFF" w:usb1="C0007843" w:usb2="00000009" w:usb3="00000000" w:csb0="400001FF" w:csb1="FFFF0000"/>
    <w:embedRegular r:id="rId3" w:fontKey="{DBAF286B-0118-4F5A-B5DF-D3050127CEF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C96107E6-9487-4439-97B0-58FFD14CC796}"/>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5" w:fontKey="{F8BC46B7-48FC-444D-8E8C-D64B3CB67417}"/>
  </w:font>
  <w:font w:name="微软雅黑">
    <w:panose1 w:val="020B0503020204020204"/>
    <w:charset w:val="86"/>
    <w:family w:val="swiss"/>
    <w:pitch w:val="default"/>
    <w:sig w:usb0="80000287" w:usb1="2ACF3C50" w:usb2="00000016" w:usb3="00000000" w:csb0="0004001F" w:csb1="00000000"/>
  </w:font>
  <w:font w:name="华文宋体">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6" w:fontKey="{E3E266BC-F6D3-40CB-B30C-8019C2031E65}"/>
  </w:font>
  <w:font w:name="Wingdings 2">
    <w:panose1 w:val="05020102010507070707"/>
    <w:charset w:val="00"/>
    <w:family w:val="auto"/>
    <w:pitch w:val="default"/>
    <w:sig w:usb0="00000000" w:usb1="00000000" w:usb2="00000000" w:usb3="00000000" w:csb0="80000000" w:csb1="00000000"/>
    <w:embedRegular r:id="rId7" w:fontKey="{3BCB3953-B283-4955-A0C7-1C29EF0B9CA0}"/>
  </w:font>
  <w:font w:name="方正仿宋_GBK">
    <w:altName w:val="微软雅黑"/>
    <w:panose1 w:val="00000000000000000000"/>
    <w:charset w:val="86"/>
    <w:family w:val="auto"/>
    <w:pitch w:val="default"/>
    <w:sig w:usb0="00000000" w:usb1="00000000" w:usb2="00000000" w:usb3="00000000" w:csb0="00040000" w:csb1="00000000"/>
    <w:embedRegular r:id="rId8" w:fontKey="{A32E36FE-1C70-40B8-8FD3-B068AECFA33C}"/>
  </w:font>
  <w:font w:name="ˎ̥">
    <w:altName w:val="Times New Roman"/>
    <w:panose1 w:val="00000000000000000000"/>
    <w:charset w:val="00"/>
    <w:family w:val="roman"/>
    <w:pitch w:val="default"/>
    <w:sig w:usb0="00000000" w:usb1="00000000" w:usb2="00000000" w:usb3="00000000" w:csb0="00040001" w:csb1="00000000"/>
    <w:embedRegular r:id="rId9" w:fontKey="{D96C6B12-E52E-477C-ADB2-ECB326DFF713}"/>
  </w:font>
  <w:font w:name="方正小标宋简体">
    <w:panose1 w:val="02010600010101010101"/>
    <w:charset w:val="86"/>
    <w:family w:val="auto"/>
    <w:pitch w:val="default"/>
    <w:sig w:usb0="00000001" w:usb1="080E0000" w:usb2="00000000" w:usb3="00000000" w:csb0="00040000" w:csb1="00000000"/>
    <w:embedRegular r:id="rId10" w:fontKey="{79A908E1-FCF5-4313-B23F-F3CC6701240F}"/>
  </w:font>
  <w:font w:name="方正小标宋_GBK">
    <w:panose1 w:val="02000000000000000000"/>
    <w:charset w:val="86"/>
    <w:family w:val="auto"/>
    <w:pitch w:val="default"/>
    <w:sig w:usb0="A00002BF" w:usb1="38CF7CFA" w:usb2="00082016" w:usb3="00000000" w:csb0="00040001" w:csb1="00000000"/>
    <w:embedRegular r:id="rId11" w:fontKey="{848CCB5E-FBE1-4A23-B2A7-2EDF0C55A7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060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0"/>
      <w:jc w:val="center"/>
      <w:rPr>
        <w:rStyle w:val="19"/>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p w14:paraId="5AE7A01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1"/>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F3313"/>
    <w:multiLevelType w:val="singleLevel"/>
    <w:tmpl w:val="C2FF3313"/>
    <w:lvl w:ilvl="0" w:tentative="0">
      <w:start w:val="3"/>
      <w:numFmt w:val="chineseCounting"/>
      <w:suff w:val="space"/>
      <w:lvlText w:val="（%1）"/>
      <w:lvlJc w:val="left"/>
      <w:rPr>
        <w:rFonts w:hint="eastAsia"/>
      </w:rPr>
    </w:lvl>
  </w:abstractNum>
  <w:abstractNum w:abstractNumId="1">
    <w:nsid w:val="C62602BC"/>
    <w:multiLevelType w:val="multilevel"/>
    <w:tmpl w:val="C62602BC"/>
    <w:lvl w:ilvl="0" w:tentative="0">
      <w:start w:val="1"/>
      <w:numFmt w:val="decimal"/>
      <w:lvlText w:val="%1."/>
      <w:lvlJc w:val="left"/>
      <w:pPr>
        <w:ind w:left="425" w:hanging="425"/>
      </w:pPr>
      <w:rPr>
        <w:rFonts w:hint="eastAsia" w:ascii="宋体" w:hAnsi="宋体" w:eastAsia="宋体" w:cs="宋体"/>
        <w:b w:val="0"/>
        <w:i w:val="0"/>
        <w:iCs/>
        <w:color w:val="auto"/>
      </w:rPr>
    </w:lvl>
    <w:lvl w:ilvl="1" w:tentative="0">
      <w:start w:val="1"/>
      <w:numFmt w:val="decimal"/>
      <w:lvlText w:val="%1.%2."/>
      <w:lvlJc w:val="left"/>
      <w:pPr>
        <w:ind w:left="567" w:hanging="567"/>
      </w:pPr>
      <w:rPr>
        <w:rFonts w:ascii="宋体" w:hAnsi="宋体" w:eastAsia="宋体"/>
        <w:b w:val="0"/>
        <w:strike w:val="0"/>
        <w:dstrike w:val="0"/>
        <w:sz w:val="21"/>
        <w:szCs w:val="21"/>
        <w:u w:val="none"/>
      </w:rPr>
    </w:lvl>
    <w:lvl w:ilvl="2" w:tentative="0">
      <w:start w:val="1"/>
      <w:numFmt w:val="decimal"/>
      <w:lvlText w:val="%1.%2.%3."/>
      <w:lvlJc w:val="left"/>
      <w:pPr>
        <w:ind w:left="709" w:hanging="709"/>
      </w:pPr>
      <w:rPr>
        <w:rFonts w:ascii="宋体" w:hAnsi="宋体" w:eastAsia="宋体"/>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5" w:hanging="1135"/>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
    <w:nsid w:val="D9602B2F"/>
    <w:multiLevelType w:val="singleLevel"/>
    <w:tmpl w:val="D9602B2F"/>
    <w:lvl w:ilvl="0" w:tentative="0">
      <w:start w:val="1"/>
      <w:numFmt w:val="chineseCounting"/>
      <w:suff w:val="space"/>
      <w:lvlText w:val="%1、"/>
      <w:lvlJc w:val="left"/>
      <w:rPr>
        <w:rFonts w:hint="eastAsia"/>
      </w:rPr>
    </w:lvl>
  </w:abstractNum>
  <w:abstractNum w:abstractNumId="3">
    <w:nsid w:val="F4421C38"/>
    <w:multiLevelType w:val="singleLevel"/>
    <w:tmpl w:val="F4421C38"/>
    <w:lvl w:ilvl="0" w:tentative="0">
      <w:start w:val="1"/>
      <w:numFmt w:val="chineseCounting"/>
      <w:suff w:val="space"/>
      <w:lvlText w:val="第%1章"/>
      <w:lvlJc w:val="left"/>
      <w:rPr>
        <w:rFonts w:hint="eastAsia"/>
      </w:rPr>
    </w:lvl>
  </w:abstractNum>
  <w:abstractNum w:abstractNumId="4">
    <w:nsid w:val="07486699"/>
    <w:multiLevelType w:val="singleLevel"/>
    <w:tmpl w:val="07486699"/>
    <w:lvl w:ilvl="0" w:tentative="0">
      <w:start w:val="1"/>
      <w:numFmt w:val="decimal"/>
      <w:lvlText w:val="%1."/>
      <w:lvlJc w:val="left"/>
      <w:pPr>
        <w:tabs>
          <w:tab w:val="left" w:pos="312"/>
        </w:tabs>
      </w:pPr>
    </w:lvl>
  </w:abstractNum>
  <w:abstractNum w:abstractNumId="5">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7">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9">
    <w:nsid w:val="4C5BCD0C"/>
    <w:multiLevelType w:val="singleLevel"/>
    <w:tmpl w:val="4C5BCD0C"/>
    <w:lvl w:ilvl="0" w:tentative="0">
      <w:start w:val="6"/>
      <w:numFmt w:val="chineseCounting"/>
      <w:suff w:val="space"/>
      <w:lvlText w:val="第%1章"/>
      <w:lvlJc w:val="left"/>
      <w:rPr>
        <w:rFonts w:hint="eastAsia"/>
      </w:rPr>
    </w:lvl>
  </w:abstractNum>
  <w:abstractNum w:abstractNumId="10">
    <w:nsid w:val="507A66DD"/>
    <w:multiLevelType w:val="singleLevel"/>
    <w:tmpl w:val="507A66DD"/>
    <w:lvl w:ilvl="0" w:tentative="0">
      <w:start w:val="5"/>
      <w:numFmt w:val="chineseCounting"/>
      <w:suff w:val="nothing"/>
      <w:lvlText w:val="%1、"/>
      <w:lvlJc w:val="left"/>
      <w:rPr>
        <w:rFonts w:hint="eastAsia"/>
      </w:rPr>
    </w:lvl>
  </w:abstractNum>
  <w:abstractNum w:abstractNumId="11">
    <w:nsid w:val="50FB4E67"/>
    <w:multiLevelType w:val="singleLevel"/>
    <w:tmpl w:val="50FB4E67"/>
    <w:lvl w:ilvl="0" w:tentative="0">
      <w:start w:val="1"/>
      <w:numFmt w:val="decimal"/>
      <w:suff w:val="space"/>
      <w:lvlText w:val="%1."/>
      <w:lvlJc w:val="left"/>
    </w:lvl>
  </w:abstractNum>
  <w:abstractNum w:abstractNumId="12">
    <w:nsid w:val="59215DE2"/>
    <w:multiLevelType w:val="singleLevel"/>
    <w:tmpl w:val="59215DE2"/>
    <w:lvl w:ilvl="0" w:tentative="0">
      <w:start w:val="2"/>
      <w:numFmt w:val="decimal"/>
      <w:suff w:val="nothing"/>
      <w:lvlText w:val="（%1）"/>
      <w:lvlJc w:val="left"/>
    </w:lvl>
  </w:abstractNum>
  <w:abstractNum w:abstractNumId="13">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4">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12"/>
  </w:num>
  <w:num w:numId="5">
    <w:abstractNumId w:val="10"/>
  </w:num>
  <w:num w:numId="6">
    <w:abstractNumId w:val="7"/>
  </w:num>
  <w:num w:numId="7">
    <w:abstractNumId w:val="5"/>
  </w:num>
  <w:num w:numId="8">
    <w:abstractNumId w:val="15"/>
  </w:num>
  <w:num w:numId="9">
    <w:abstractNumId w:val="0"/>
  </w:num>
  <w:num w:numId="10">
    <w:abstractNumId w:val="11"/>
  </w:num>
  <w:num w:numId="11">
    <w:abstractNumId w:val="8"/>
  </w:num>
  <w:num w:numId="12">
    <w:abstractNumId w:val="6"/>
  </w:num>
  <w:num w:numId="13">
    <w:abstractNumId w:val="4"/>
  </w:num>
  <w:num w:numId="14">
    <w:abstractNumId w:val="17"/>
  </w:num>
  <w:num w:numId="15">
    <w:abstractNumId w:val="13"/>
  </w:num>
  <w:num w:numId="16">
    <w:abstractNumId w:val="2"/>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NDYyYmQ1ZDA0NDE2ZWMxMTVjMTBjNjZlNGMxZWM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3D86CBB"/>
    <w:rsid w:val="046F3F65"/>
    <w:rsid w:val="047E7636"/>
    <w:rsid w:val="05830AC6"/>
    <w:rsid w:val="05E163D0"/>
    <w:rsid w:val="06A974F2"/>
    <w:rsid w:val="0744295F"/>
    <w:rsid w:val="075E2523"/>
    <w:rsid w:val="080655EC"/>
    <w:rsid w:val="095B219C"/>
    <w:rsid w:val="09A06388"/>
    <w:rsid w:val="0B89451B"/>
    <w:rsid w:val="0F2B57C3"/>
    <w:rsid w:val="0F3833E7"/>
    <w:rsid w:val="0FEF647A"/>
    <w:rsid w:val="113F716A"/>
    <w:rsid w:val="11A46535"/>
    <w:rsid w:val="12DD6F01"/>
    <w:rsid w:val="13251FF4"/>
    <w:rsid w:val="133438E9"/>
    <w:rsid w:val="14BB18F8"/>
    <w:rsid w:val="15E056F0"/>
    <w:rsid w:val="16FD7F75"/>
    <w:rsid w:val="182D25C2"/>
    <w:rsid w:val="187C40C2"/>
    <w:rsid w:val="19C34D79"/>
    <w:rsid w:val="1D0B2FB0"/>
    <w:rsid w:val="1E1B7543"/>
    <w:rsid w:val="205729C5"/>
    <w:rsid w:val="20B61DE1"/>
    <w:rsid w:val="230949B3"/>
    <w:rsid w:val="239F6B5C"/>
    <w:rsid w:val="24106E72"/>
    <w:rsid w:val="24487A08"/>
    <w:rsid w:val="247858F5"/>
    <w:rsid w:val="262C78E7"/>
    <w:rsid w:val="26A900A8"/>
    <w:rsid w:val="275859A0"/>
    <w:rsid w:val="29833AC2"/>
    <w:rsid w:val="2A557F75"/>
    <w:rsid w:val="2B4C1378"/>
    <w:rsid w:val="2C150838"/>
    <w:rsid w:val="2C3E49FC"/>
    <w:rsid w:val="2D18339C"/>
    <w:rsid w:val="2D8D5C78"/>
    <w:rsid w:val="2EE67D35"/>
    <w:rsid w:val="2F623005"/>
    <w:rsid w:val="32674CE9"/>
    <w:rsid w:val="32BB4225"/>
    <w:rsid w:val="348651FA"/>
    <w:rsid w:val="35294DAE"/>
    <w:rsid w:val="35F76384"/>
    <w:rsid w:val="36865435"/>
    <w:rsid w:val="37743C09"/>
    <w:rsid w:val="37753A04"/>
    <w:rsid w:val="38AA1DD4"/>
    <w:rsid w:val="38E30E42"/>
    <w:rsid w:val="3B273268"/>
    <w:rsid w:val="3C844841"/>
    <w:rsid w:val="3D626DA6"/>
    <w:rsid w:val="3ED82EA8"/>
    <w:rsid w:val="3FB3156E"/>
    <w:rsid w:val="3FF9372A"/>
    <w:rsid w:val="4000052B"/>
    <w:rsid w:val="40624EF6"/>
    <w:rsid w:val="41B77024"/>
    <w:rsid w:val="421D761A"/>
    <w:rsid w:val="437A1489"/>
    <w:rsid w:val="480F755D"/>
    <w:rsid w:val="486B29D8"/>
    <w:rsid w:val="48C4659A"/>
    <w:rsid w:val="494A4D03"/>
    <w:rsid w:val="4A4B30A6"/>
    <w:rsid w:val="4BB057D6"/>
    <w:rsid w:val="4D4B557E"/>
    <w:rsid w:val="4E287B8F"/>
    <w:rsid w:val="4E2B2C17"/>
    <w:rsid w:val="4F7227C9"/>
    <w:rsid w:val="51CA5707"/>
    <w:rsid w:val="52662470"/>
    <w:rsid w:val="52796647"/>
    <w:rsid w:val="52835739"/>
    <w:rsid w:val="528965FF"/>
    <w:rsid w:val="54034D64"/>
    <w:rsid w:val="548605A3"/>
    <w:rsid w:val="55223429"/>
    <w:rsid w:val="58EB2CD9"/>
    <w:rsid w:val="592204BC"/>
    <w:rsid w:val="5D045FFD"/>
    <w:rsid w:val="5DED21E0"/>
    <w:rsid w:val="5E533026"/>
    <w:rsid w:val="5F7F1015"/>
    <w:rsid w:val="603040BD"/>
    <w:rsid w:val="63DA5557"/>
    <w:rsid w:val="66FB3482"/>
    <w:rsid w:val="68921DB9"/>
    <w:rsid w:val="69D81A4D"/>
    <w:rsid w:val="69EE0DB5"/>
    <w:rsid w:val="6A507835"/>
    <w:rsid w:val="6B1E5ABE"/>
    <w:rsid w:val="6B7258C3"/>
    <w:rsid w:val="6CA908B2"/>
    <w:rsid w:val="6D6134B1"/>
    <w:rsid w:val="6F881820"/>
    <w:rsid w:val="6FA3559F"/>
    <w:rsid w:val="70497201"/>
    <w:rsid w:val="7083201C"/>
    <w:rsid w:val="708A7E9A"/>
    <w:rsid w:val="70A95EF1"/>
    <w:rsid w:val="70C67989"/>
    <w:rsid w:val="72367718"/>
    <w:rsid w:val="73C80160"/>
    <w:rsid w:val="73F85F77"/>
    <w:rsid w:val="755469EE"/>
    <w:rsid w:val="76764645"/>
    <w:rsid w:val="77187ACC"/>
    <w:rsid w:val="77813724"/>
    <w:rsid w:val="780A23D9"/>
    <w:rsid w:val="786D4A31"/>
    <w:rsid w:val="788039DC"/>
    <w:rsid w:val="78FA0D3D"/>
    <w:rsid w:val="7A2747BD"/>
    <w:rsid w:val="7A7430CC"/>
    <w:rsid w:val="7B2C15E1"/>
    <w:rsid w:val="7BC4348B"/>
    <w:rsid w:val="7CA33E88"/>
    <w:rsid w:val="7CA61410"/>
    <w:rsid w:val="7D0D1FD1"/>
    <w:rsid w:val="7D806106"/>
    <w:rsid w:val="7E060C3F"/>
    <w:rsid w:val="7E370052"/>
    <w:rsid w:val="7ED11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jc w:val="left"/>
      <w:outlineLvl w:val="0"/>
    </w:pPr>
    <w:rPr>
      <w:b/>
      <w:bCs/>
      <w:kern w:val="0"/>
      <w:sz w:val="24"/>
    </w:rPr>
  </w:style>
  <w:style w:type="paragraph" w:styleId="3">
    <w:name w:val="heading 2"/>
    <w:basedOn w:val="1"/>
    <w:next w:val="1"/>
    <w:qFormat/>
    <w:uiPriority w:val="0"/>
    <w:pPr>
      <w:outlineLvl w:val="1"/>
    </w:pPr>
    <w:rPr>
      <w:rFonts w:ascii="Cambria" w:hAnsi="Cambria" w:cs="宋体"/>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next w:val="5"/>
    <w:qFormat/>
    <w:uiPriority w:val="99"/>
    <w:pPr>
      <w:ind w:firstLine="420" w:firstLineChars="200"/>
    </w:pPr>
  </w:style>
  <w:style w:type="paragraph" w:styleId="5">
    <w:name w:val="Body Text"/>
    <w:basedOn w:val="1"/>
    <w:next w:val="1"/>
    <w:qFormat/>
    <w:uiPriority w:val="0"/>
    <w:pPr>
      <w:spacing w:after="120"/>
    </w:pPr>
  </w:style>
  <w:style w:type="paragraph" w:styleId="6">
    <w:name w:val="annotation text"/>
    <w:basedOn w:val="1"/>
    <w:qFormat/>
    <w:uiPriority w:val="0"/>
    <w:pPr>
      <w:jc w:val="left"/>
    </w:pPr>
    <w:rPr>
      <w:rFonts w:asciiTheme="minorHAnsi" w:hAnsiTheme="minorHAnsi" w:eastAsiaTheme="minorEastAsia" w:cstheme="minorBidi"/>
    </w:rPr>
  </w:style>
  <w:style w:type="paragraph" w:styleId="7">
    <w:name w:val="Body Text Indent"/>
    <w:basedOn w:val="1"/>
    <w:qFormat/>
    <w:uiPriority w:val="0"/>
    <w:pPr>
      <w:spacing w:line="560" w:lineRule="exact"/>
      <w:ind w:left="300"/>
    </w:pPr>
    <w:rPr>
      <w:sz w:val="24"/>
    </w:rPr>
  </w:style>
  <w:style w:type="paragraph" w:styleId="8">
    <w:name w:val="toc 3"/>
    <w:basedOn w:val="1"/>
    <w:next w:val="1"/>
    <w:semiHidden/>
    <w:unhideWhenUsed/>
    <w:qFormat/>
    <w:uiPriority w:val="39"/>
    <w:pPr>
      <w:ind w:left="840" w:leftChars="400"/>
    </w:pPr>
  </w:style>
  <w:style w:type="paragraph" w:styleId="9">
    <w:name w:val="Plain Text"/>
    <w:basedOn w:val="1"/>
    <w:link w:val="24"/>
    <w:semiHidden/>
    <w:unhideWhenUsed/>
    <w:qFormat/>
    <w:uiPriority w:val="99"/>
    <w:rPr>
      <w:rFonts w:ascii="宋体" w:hAnsi="Courier New" w:eastAsia="宋体" w:cs="Times New Roman"/>
      <w:szCs w:val="20"/>
    </w:rPr>
  </w:style>
  <w:style w:type="paragraph" w:styleId="10">
    <w:name w:val="footer"/>
    <w:basedOn w:val="1"/>
    <w:link w:val="23"/>
    <w:semiHidden/>
    <w:unhideWhenUsed/>
    <w:qFormat/>
    <w:uiPriority w:val="99"/>
    <w:pPr>
      <w:tabs>
        <w:tab w:val="center" w:pos="4153"/>
        <w:tab w:val="right" w:pos="8306"/>
      </w:tabs>
      <w:snapToGrid w:val="0"/>
      <w:jc w:val="left"/>
    </w:pPr>
    <w:rPr>
      <w:sz w:val="18"/>
      <w:szCs w:val="18"/>
    </w:rPr>
  </w:style>
  <w:style w:type="paragraph" w:styleId="11">
    <w:name w:val="header"/>
    <w:basedOn w:val="1"/>
    <w:link w:val="2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ind w:left="420" w:leftChars="200"/>
    </w:pPr>
  </w:style>
  <w:style w:type="paragraph" w:styleId="14">
    <w:name w:val="Normal (Web)"/>
    <w:basedOn w:val="1"/>
    <w:semiHidden/>
    <w:unhideWhenUsed/>
    <w:qFormat/>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5">
    <w:name w:val="Body Text First Indent 2"/>
    <w:basedOn w:val="7"/>
    <w:qFormat/>
    <w:uiPriority w:val="0"/>
    <w:pPr>
      <w:ind w:firstLine="420" w:firstLineChars="200"/>
    </w:pPr>
    <w:rPr>
      <w:sz w:val="21"/>
    </w:rPr>
  </w:style>
  <w:style w:type="table" w:styleId="17">
    <w:name w:val="Table Grid"/>
    <w:basedOn w:val="1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9">
    <w:name w:val="page number"/>
    <w:basedOn w:val="18"/>
    <w:qFormat/>
    <w:uiPriority w:val="0"/>
  </w:style>
  <w:style w:type="character" w:styleId="20">
    <w:name w:val="Hyperlink"/>
    <w:qFormat/>
    <w:uiPriority w:val="99"/>
    <w:rPr>
      <w:color w:val="0000FF"/>
      <w:u w:val="single"/>
    </w:rPr>
  </w:style>
  <w:style w:type="paragraph" w:customStyle="1" w:styleId="21">
    <w:name w:val="文档正文"/>
    <w:basedOn w:val="1"/>
    <w:qFormat/>
    <w:uiPriority w:val="99"/>
    <w:pPr>
      <w:adjustRightInd w:val="0"/>
      <w:spacing w:line="480" w:lineRule="atLeast"/>
      <w:ind w:firstLine="567" w:firstLineChars="200"/>
      <w:textAlignment w:val="baseline"/>
    </w:pPr>
    <w:rPr>
      <w:rFonts w:ascii="长城仿宋"/>
      <w:szCs w:val="20"/>
    </w:rPr>
  </w:style>
  <w:style w:type="character" w:customStyle="1" w:styleId="22">
    <w:name w:val="页眉 Char"/>
    <w:basedOn w:val="18"/>
    <w:link w:val="11"/>
    <w:semiHidden/>
    <w:qFormat/>
    <w:uiPriority w:val="99"/>
    <w:rPr>
      <w:sz w:val="18"/>
      <w:szCs w:val="18"/>
    </w:rPr>
  </w:style>
  <w:style w:type="character" w:customStyle="1" w:styleId="23">
    <w:name w:val="页脚 Char"/>
    <w:basedOn w:val="18"/>
    <w:link w:val="10"/>
    <w:semiHidden/>
    <w:qFormat/>
    <w:uiPriority w:val="99"/>
    <w:rPr>
      <w:sz w:val="18"/>
      <w:szCs w:val="18"/>
    </w:rPr>
  </w:style>
  <w:style w:type="character" w:customStyle="1" w:styleId="24">
    <w:name w:val="纯文本 Char"/>
    <w:basedOn w:val="18"/>
    <w:link w:val="9"/>
    <w:semiHidden/>
    <w:qFormat/>
    <w:uiPriority w:val="99"/>
    <w:rPr>
      <w:rFonts w:ascii="宋体" w:hAnsi="Courier New" w:eastAsia="宋体" w:cs="Times New Roman"/>
      <w:szCs w:val="20"/>
    </w:rPr>
  </w:style>
  <w:style w:type="paragraph" w:customStyle="1" w:styleId="25">
    <w:name w:val="列出段落11"/>
    <w:basedOn w:val="1"/>
    <w:qFormat/>
    <w:uiPriority w:val="0"/>
    <w:pPr>
      <w:ind w:firstLine="420" w:firstLineChars="200"/>
    </w:pPr>
  </w:style>
  <w:style w:type="paragraph" w:styleId="26">
    <w:name w:val="List Paragraph"/>
    <w:basedOn w:val="1"/>
    <w:autoRedefine/>
    <w:qFormat/>
    <w:uiPriority w:val="34"/>
    <w:pPr>
      <w:ind w:firstLine="420" w:firstLineChars="200"/>
    </w:pPr>
    <w:rPr>
      <w:rFonts w:ascii="Calibri" w:hAnsi="Calibri"/>
      <w:szCs w:val="22"/>
    </w:rPr>
  </w:style>
  <w:style w:type="character" w:customStyle="1" w:styleId="27">
    <w:name w:val="font11"/>
    <w:basedOn w:val="18"/>
    <w:qFormat/>
    <w:uiPriority w:val="0"/>
    <w:rPr>
      <w:rFonts w:hint="eastAsia" w:ascii="宋体" w:hAnsi="宋体" w:eastAsia="宋体" w:cs="宋体"/>
      <w:color w:val="000000"/>
      <w:sz w:val="24"/>
      <w:szCs w:val="24"/>
      <w:u w:val="none"/>
    </w:rPr>
  </w:style>
  <w:style w:type="character" w:customStyle="1" w:styleId="28">
    <w:name w:val="font41"/>
    <w:basedOn w:val="18"/>
    <w:qFormat/>
    <w:uiPriority w:val="0"/>
    <w:rPr>
      <w:rFonts w:hint="default" w:ascii="Times New Roman" w:hAnsi="Times New Roman" w:cs="Times New Roman"/>
      <w:color w:val="000000"/>
      <w:sz w:val="24"/>
      <w:szCs w:val="24"/>
      <w:u w:val="none"/>
    </w:rPr>
  </w:style>
  <w:style w:type="paragraph" w:customStyle="1" w:styleId="29">
    <w:name w:val="*正文"/>
    <w:basedOn w:val="1"/>
    <w:qFormat/>
    <w:uiPriority w:val="0"/>
    <w:pPr>
      <w:spacing w:line="360" w:lineRule="auto"/>
      <w:ind w:firstLine="200" w:firstLineChars="200"/>
    </w:pPr>
    <w:rPr>
      <w:rFonts w:ascii="宋体" w:hAnsi="宋体"/>
      <w:kern w:val="0"/>
      <w:sz w:val="22"/>
      <w:szCs w:val="24"/>
    </w:rPr>
  </w:style>
  <w:style w:type="paragraph" w:customStyle="1" w:styleId="30">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
    <w:name w:val="_Style 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列出段落1"/>
    <w:basedOn w:val="1"/>
    <w:autoRedefine/>
    <w:qFormat/>
    <w:uiPriority w:val="34"/>
    <w:pPr>
      <w:ind w:firstLine="420" w:firstLineChars="200"/>
    </w:pPr>
  </w:style>
  <w:style w:type="table" w:customStyle="1" w:styleId="33">
    <w:name w:val="网格型1"/>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4">
    <w:name w:val="font21"/>
    <w:basedOn w:val="18"/>
    <w:qFormat/>
    <w:uiPriority w:val="0"/>
    <w:rPr>
      <w:rFonts w:hint="eastAsia" w:ascii="宋体" w:hAnsi="宋体" w:eastAsia="宋体" w:cs="宋体"/>
      <w:color w:val="000000"/>
      <w:sz w:val="22"/>
      <w:szCs w:val="22"/>
      <w:u w:val="none"/>
    </w:rPr>
  </w:style>
  <w:style w:type="character" w:customStyle="1" w:styleId="35">
    <w:name w:val="font71"/>
    <w:basedOn w:val="18"/>
    <w:qFormat/>
    <w:uiPriority w:val="0"/>
    <w:rPr>
      <w:rFonts w:hint="eastAsia" w:ascii="微软雅黑" w:hAnsi="微软雅黑" w:eastAsia="微软雅黑" w:cs="微软雅黑"/>
      <w:color w:val="FF0000"/>
      <w:sz w:val="22"/>
      <w:szCs w:val="22"/>
      <w:u w:val="none"/>
    </w:rPr>
  </w:style>
  <w:style w:type="character" w:customStyle="1" w:styleId="36">
    <w:name w:val="font81"/>
    <w:basedOn w:val="18"/>
    <w:qFormat/>
    <w:uiPriority w:val="0"/>
    <w:rPr>
      <w:rFonts w:hint="eastAsia" w:ascii="宋体" w:hAnsi="宋体" w:eastAsia="宋体" w:cs="宋体"/>
      <w:color w:val="000000"/>
      <w:sz w:val="22"/>
      <w:szCs w:val="22"/>
      <w:u w:val="none"/>
    </w:rPr>
  </w:style>
  <w:style w:type="character" w:customStyle="1" w:styleId="37">
    <w:name w:val="font91"/>
    <w:basedOn w:val="18"/>
    <w:qFormat/>
    <w:uiPriority w:val="0"/>
    <w:rPr>
      <w:rFonts w:hint="default" w:ascii="Times New Roman" w:hAnsi="Times New Roman" w:cs="Times New Roman"/>
      <w:color w:val="FF0000"/>
      <w:sz w:val="22"/>
      <w:szCs w:val="22"/>
      <w:u w:val="none"/>
    </w:rPr>
  </w:style>
  <w:style w:type="character" w:customStyle="1" w:styleId="38">
    <w:name w:val="font101"/>
    <w:basedOn w:val="18"/>
    <w:qFormat/>
    <w:uiPriority w:val="0"/>
    <w:rPr>
      <w:rFonts w:hint="eastAsia" w:ascii="宋体" w:hAnsi="宋体" w:eastAsia="宋体" w:cs="宋体"/>
      <w:color w:val="FF0000"/>
      <w:sz w:val="22"/>
      <w:szCs w:val="22"/>
      <w:u w:val="none"/>
    </w:rPr>
  </w:style>
  <w:style w:type="character" w:customStyle="1" w:styleId="39">
    <w:name w:val="font51"/>
    <w:basedOn w:val="18"/>
    <w:qFormat/>
    <w:uiPriority w:val="0"/>
    <w:rPr>
      <w:rFonts w:hint="default" w:ascii="华文宋体" w:hAnsi="华文宋体" w:eastAsia="华文宋体" w:cs="华文宋体"/>
      <w:color w:val="000000"/>
      <w:sz w:val="22"/>
      <w:szCs w:val="22"/>
      <w:u w:val="none"/>
    </w:rPr>
  </w:style>
  <w:style w:type="character" w:customStyle="1" w:styleId="40">
    <w:name w:val="font121"/>
    <w:basedOn w:val="18"/>
    <w:qFormat/>
    <w:uiPriority w:val="0"/>
    <w:rPr>
      <w:rFonts w:hint="default" w:ascii="华文宋体" w:hAnsi="华文宋体" w:eastAsia="华文宋体" w:cs="华文宋体"/>
      <w:color w:val="FF0000"/>
      <w:sz w:val="22"/>
      <w:szCs w:val="22"/>
      <w:u w:val="none"/>
    </w:rPr>
  </w:style>
  <w:style w:type="character" w:customStyle="1" w:styleId="41">
    <w:name w:val="font111"/>
    <w:basedOn w:val="18"/>
    <w:qFormat/>
    <w:uiPriority w:val="0"/>
    <w:rPr>
      <w:rFonts w:ascii="Arial" w:hAnsi="Arial" w:cs="Arial"/>
      <w:color w:val="000000"/>
      <w:sz w:val="22"/>
      <w:szCs w:val="22"/>
      <w:u w:val="none"/>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样式1 Char Char"/>
    <w:basedOn w:val="1"/>
    <w:qFormat/>
    <w:uiPriority w:val="0"/>
    <w:pPr>
      <w:keepNext w:val="0"/>
      <w:keepLines w:val="0"/>
      <w:widowControl w:val="0"/>
      <w:suppressLineNumbers w:val="0"/>
      <w:spacing w:before="0" w:beforeAutospacing="0" w:after="0" w:afterAutospacing="0" w:line="360" w:lineRule="auto"/>
      <w:ind w:left="0" w:right="0" w:firstLine="516" w:firstLineChars="215"/>
      <w:jc w:val="both"/>
    </w:pPr>
    <w:rPr>
      <w:rFonts w:hint="default" w:ascii="Calibri" w:hAnsi="Calibri" w:eastAsia="宋体" w:cs="Times New Roman"/>
      <w:kern w:val="2"/>
      <w:sz w:val="24"/>
      <w:szCs w:val="24"/>
      <w:lang w:val="en-US" w:eastAsia="zh-CN" w:bidi="ar"/>
    </w:rPr>
  </w:style>
  <w:style w:type="character" w:customStyle="1" w:styleId="44">
    <w:name w:val="font31"/>
    <w:basedOn w:val="18"/>
    <w:qFormat/>
    <w:uiPriority w:val="0"/>
    <w:rPr>
      <w:rFonts w:hint="eastAsia" w:ascii="宋体" w:hAnsi="宋体" w:eastAsia="宋体" w:cs="宋体"/>
      <w:color w:val="FF0000"/>
      <w:sz w:val="22"/>
      <w:szCs w:val="22"/>
      <w:u w:val="none"/>
    </w:rPr>
  </w:style>
  <w:style w:type="character" w:customStyle="1" w:styleId="45">
    <w:name w:val="font61"/>
    <w:basedOn w:val="18"/>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90</Pages>
  <Words>2561</Words>
  <Characters>2568</Characters>
  <Lines>1</Lines>
  <Paragraphs>1</Paragraphs>
  <TotalTime>3</TotalTime>
  <ScaleCrop>false</ScaleCrop>
  <LinksUpToDate>false</LinksUpToDate>
  <CharactersWithSpaces>2659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2025-10-10T08:19:18Z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CF7AE0C0B20E411C97A30BC415A6BF68_13</vt:lpwstr>
  </property>
  <property fmtid="{D5CDD505-2E9C-101B-9397-08002B2CF9AE}" pid="4" name="KSOTemplateDocerSaveRecord">
    <vt:lpwstr>eyJoZGlkIjoiM2EyNDYyYmQ1ZDA0NDE2ZWMxMTVjMTBjNjZlNGMxZWMiLCJ1c2VySWQiOiIxOTQ5NzkyNTQifQ==</vt:lpwstr>
  </property>
</Properties>
</file>