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福田区第二人民医院医疗器械招标文件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1、深圳市福田区第二人民医院对本单位部分医疗</w:t>
      </w:r>
      <w:r>
        <w:rPr>
          <w:rFonts w:hint="eastAsia" w:asciiTheme="minorEastAsia" w:hAnsiTheme="minorEastAsia" w:cstheme="minorEastAsia"/>
          <w:sz w:val="28"/>
          <w:szCs w:val="28"/>
          <w:lang w:val="en-US" w:eastAsia="zh-CN"/>
        </w:rPr>
        <w:t>器械</w:t>
      </w:r>
      <w:r>
        <w:rPr>
          <w:rFonts w:hint="eastAsia" w:asciiTheme="minorEastAsia" w:hAnsiTheme="minorEastAsia" w:cstheme="minorEastAsia"/>
          <w:sz w:val="28"/>
          <w:szCs w:val="28"/>
        </w:rPr>
        <w:t>采购进行</w:t>
      </w:r>
      <w:r>
        <w:rPr>
          <w:rFonts w:hint="eastAsia" w:asciiTheme="minorEastAsia" w:hAnsiTheme="minorEastAsia" w:cstheme="minorEastAsia"/>
          <w:sz w:val="28"/>
          <w:szCs w:val="28"/>
          <w:lang w:val="en-US" w:eastAsia="zh-CN"/>
        </w:rPr>
        <w:t>挂网招标</w:t>
      </w:r>
      <w:r>
        <w:rPr>
          <w:rFonts w:hint="eastAsia" w:asciiTheme="minorEastAsia" w:hAnsiTheme="minorEastAsia" w:cstheme="minorEastAsia"/>
          <w:sz w:val="28"/>
          <w:szCs w:val="28"/>
        </w:rPr>
        <w:t>。欢迎各有医疗器械经营许可权或医疗设备生产许可权的经营企业或生产企业参加投标。</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六</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五</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招标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5D4F8D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14:textFill>
            <w14:solidFill>
              <w14:schemeClr w14:val="tx1"/>
            </w14:solidFill>
          </w14:textFill>
        </w:rPr>
        <w:t>属于国家强制计量检测设备项目需提供有效期内</w:t>
      </w:r>
      <w:r>
        <w:rPr>
          <w:rFonts w:hint="eastAsia" w:asciiTheme="minorEastAsia" w:hAnsiTheme="minorEastAsia" w:cstheme="minorEastAsia"/>
          <w:sz w:val="28"/>
          <w:szCs w:val="28"/>
        </w:rPr>
        <w:t>的第三方检测报告及检测合格证</w:t>
      </w:r>
      <w:r>
        <w:rPr>
          <w:rFonts w:hint="eastAsia" w:asciiTheme="minorEastAsia" w:hAnsiTheme="minorEastAsia" w:cstheme="minorEastAsia"/>
          <w:sz w:val="28"/>
          <w:szCs w:val="28"/>
          <w:lang w:eastAsia="zh-CN"/>
        </w:rPr>
        <w:t>。</w:t>
      </w:r>
    </w:p>
    <w:p w14:paraId="372890E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每家</w:t>
      </w:r>
      <w:r>
        <w:rPr>
          <w:rFonts w:hint="eastAsia" w:asciiTheme="minorEastAsia" w:hAnsiTheme="minorEastAsia" w:cstheme="minorEastAsia"/>
          <w:sz w:val="28"/>
          <w:szCs w:val="28"/>
          <w:lang w:val="en-US" w:eastAsia="zh-CN"/>
        </w:rPr>
        <w:t>应标</w:t>
      </w:r>
      <w:r>
        <w:rPr>
          <w:rFonts w:hint="eastAsia" w:asciiTheme="minorEastAsia" w:hAnsiTheme="minorEastAsia" w:cstheme="minorEastAsia"/>
          <w:sz w:val="28"/>
          <w:szCs w:val="28"/>
        </w:rPr>
        <w:t>公司参与投标的同品名、同规格的品种，不得超过1个。</w:t>
      </w:r>
    </w:p>
    <w:p w14:paraId="710E4FB1">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合同有效期内，如政府调价或市政府统一招标，双方应无条件按上级文件执行，并相应修改合同的有关条款。</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企业参加投标，即表示接受本次招标的各项要求。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招标活动的最终解释权属于深圳市福田区第二人民医院。</w:t>
      </w:r>
    </w:p>
    <w:p w14:paraId="6DB632C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8、评标委员会</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、医院纪检部门等组成。</w:t>
      </w:r>
    </w:p>
    <w:p w14:paraId="4FDB9A1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57A9920B">
      <w:pPr>
        <w:ind w:firstLine="560" w:firstLineChars="200"/>
        <w:jc w:val="left"/>
        <w:outlineLvl w:val="9"/>
        <w:rPr>
          <w:rFonts w:asciiTheme="minorEastAsia" w:hAnsiTheme="minorEastAsia" w:cstheme="minorEastAsia"/>
          <w:sz w:val="28"/>
          <w:szCs w:val="28"/>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07494BF3">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（以上提示内容仅仅一般项提醒，如与实际招标项目要求有不一致，以招标文件为准）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招标公告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招标编号：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投标供应商应如实填写《技术规格偏离表》，评审委员会根据技术需求参数响应情况进行打分，每1项负偏离的，扣2分；扣完为止。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投标供应商应如实填写《技术规格偏离表》，评审委员会根据技术需求参数响应情况进行打分，每1项负偏离的，扣3分；扣完为止。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2.紧急情况相应程度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(1)所投产品的安装售后服务保障、紧急情况响应程度、人员培训措施内容全面，得8分，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(2)所投产品的安装售后服务保障、紧急情况响应程度、人员培训措施评价较为内容全面，得4分，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(3)所投产品的安装售后服务保障、紧急情况响应程度、人员培训措施评价一般，得2分，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提供1项有效业绩的，得1分；以此类推，最高不超过6分。不提供或者不能有效证明的，得0分。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2.合同签订时间为2023年1月1日至投标截止时间前。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投标人提供上述同类项目业绩中，能够提供用户出具的履约评书，且评价为优或满意以上的，每提供1份得1分，本项最高得6分。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采用低价优先法计算，即满足招标文件要求且投标价格最低的投标报价为评标基准价，其价格分为满分。其他投标人的价格分统一按照下列公式计算：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备注：招标文件要求提交的与评价指标体系相关的各类有效资料，投标人如未按要求提交的，该项评分为零分。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5" w:name="_Toc16421"/>
      <w:r>
        <w:rPr>
          <w:rFonts w:hint="eastAsia" w:asciiTheme="majorEastAsia" w:hAnsiTheme="majorEastAsia" w:eastAsiaTheme="majorEastAsia"/>
          <w:sz w:val="32"/>
          <w:szCs w:val="32"/>
          <w:lang w:val="en-US" w:eastAsia="zh-CN"/>
        </w:rPr>
        <w:t>招标公告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rPr>
        <w:t>温热电灸综合治疗仪</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获取招标文件，并于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11</w:t>
      </w:r>
      <w:r>
        <w:rPr>
          <w:rFonts w:hint="eastAsia" w:ascii="宋体" w:hAnsi="宋体"/>
          <w:bCs/>
          <w:szCs w:val="28"/>
          <w:u w:val="single"/>
        </w:rPr>
        <w:t>月</w:t>
      </w:r>
      <w:r>
        <w:rPr>
          <w:rFonts w:hint="eastAsia" w:ascii="宋体" w:hAnsi="宋体"/>
          <w:bCs/>
          <w:szCs w:val="28"/>
          <w:u w:val="single"/>
          <w:lang w:val="en-US" w:eastAsia="zh-CN"/>
        </w:rPr>
        <w:t>5</w:t>
      </w:r>
      <w:r>
        <w:rPr>
          <w:rFonts w:hint="eastAsia" w:ascii="宋体" w:hAnsi="宋体"/>
          <w:bCs/>
          <w:szCs w:val="28"/>
          <w:u w:val="single"/>
        </w:rPr>
        <w:t>日</w:t>
      </w:r>
      <w:r>
        <w:rPr>
          <w:rFonts w:hint="eastAsia" w:ascii="宋体" w:hAnsi="宋体"/>
          <w:bCs/>
          <w:szCs w:val="28"/>
          <w:u w:val="single"/>
          <w:lang w:val="en-US" w:eastAsia="zh-CN"/>
        </w:rPr>
        <w:t>8</w:t>
      </w:r>
      <w:r>
        <w:rPr>
          <w:rFonts w:hint="eastAsia" w:ascii="宋体" w:hAnsi="宋体"/>
          <w:bCs/>
          <w:szCs w:val="28"/>
          <w:u w:val="single"/>
        </w:rPr>
        <w:t>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FTEY-202504-QX009</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项目名称：温热电灸综合治疗仪</w:t>
      </w:r>
    </w:p>
    <w:p w14:paraId="118885C8">
      <w:pPr>
        <w:spacing w:line="360" w:lineRule="auto"/>
        <w:ind w:firstLine="420" w:firstLineChars="200"/>
        <w:rPr>
          <w:rFonts w:hint="eastAsia" w:ascii="宋体" w:hAnsi="宋体"/>
          <w:szCs w:val="21"/>
        </w:rPr>
      </w:pPr>
      <w:r>
        <w:rPr>
          <w:rFonts w:hint="eastAsia" w:ascii="宋体" w:hAnsi="宋体"/>
        </w:rPr>
        <w:t>预算金额：人民币叁万玖仟捌佰元整（¥</w:t>
      </w:r>
      <w:r>
        <w:rPr>
          <w:rFonts w:hint="eastAsia" w:ascii="宋体" w:hAnsi="宋体"/>
          <w:lang w:val="en-US" w:eastAsia="zh-CN"/>
        </w:rPr>
        <w:t>39800</w:t>
      </w:r>
      <w:r>
        <w:rPr>
          <w:rFonts w:hint="eastAsia" w:ascii="宋体" w:hAnsi="宋体"/>
          <w:szCs w:val="21"/>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采购方式：公开招标</w:t>
      </w:r>
    </w:p>
    <w:p w14:paraId="3D8115B5">
      <w:pPr>
        <w:spacing w:line="360" w:lineRule="auto"/>
        <w:ind w:firstLine="420" w:firstLineChars="200"/>
        <w:rPr>
          <w:rFonts w:ascii="宋体" w:hAnsi="宋体"/>
          <w:u w:val="single"/>
        </w:rPr>
      </w:pPr>
      <w:r>
        <w:rPr>
          <w:rFonts w:hint="eastAsia" w:ascii="宋体" w:hAnsi="宋体"/>
        </w:rPr>
        <w:t>采购需求：详见招标文件</w:t>
      </w:r>
    </w:p>
    <w:p w14:paraId="1C2AA89B">
      <w:pPr>
        <w:spacing w:line="360" w:lineRule="auto"/>
        <w:ind w:firstLine="420" w:firstLineChars="200"/>
        <w:rPr>
          <w:rFonts w:ascii="宋体" w:hAnsi="宋体"/>
          <w:u w:val="single"/>
        </w:rPr>
      </w:pPr>
      <w:r>
        <w:rPr>
          <w:rFonts w:hint="eastAsia" w:ascii="宋体" w:hAnsi="宋体"/>
        </w:rPr>
        <w:t>合同履行期限：详见招标文件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不接受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报名时间：2025年10月21日8时00分至2025年10月27日17时00分止。</w:t>
      </w:r>
    </w:p>
    <w:p w14:paraId="1A0158DA">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5</w:t>
      </w:r>
      <w:r>
        <w:rPr>
          <w:rFonts w:hint="eastAsia" w:ascii="宋体" w:hAnsi="宋体"/>
        </w:rPr>
        <w:t>日</w:t>
      </w:r>
      <w:r>
        <w:rPr>
          <w:rFonts w:hint="eastAsia" w:ascii="宋体" w:hAnsi="宋体"/>
          <w:lang w:val="en-US" w:eastAsia="zh-CN"/>
        </w:rPr>
        <w:t>8</w:t>
      </w:r>
      <w:r>
        <w:rPr>
          <w:rFonts w:hint="eastAsia" w:ascii="宋体" w:hAnsi="宋体"/>
          <w:bCs/>
        </w:rPr>
        <w:t>:00至</w:t>
      </w:r>
      <w:r>
        <w:rPr>
          <w:rFonts w:hint="eastAsia" w:ascii="宋体" w:hAnsi="宋体"/>
          <w:bCs/>
          <w:lang w:val="en-US" w:eastAsia="zh-CN"/>
        </w:rPr>
        <w:t>8</w:t>
      </w:r>
      <w:r>
        <w:rPr>
          <w:rFonts w:hint="eastAsia" w:ascii="宋体" w:hAnsi="宋体"/>
          <w:bCs/>
        </w:rPr>
        <w:t>:30（北京时间）；</w:t>
      </w:r>
    </w:p>
    <w:p w14:paraId="1157F1DE">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5</w:t>
      </w:r>
      <w:r>
        <w:rPr>
          <w:rFonts w:hint="eastAsia" w:ascii="宋体" w:hAnsi="宋体"/>
        </w:rPr>
        <w:t>日</w:t>
      </w:r>
      <w:r>
        <w:rPr>
          <w:rFonts w:hint="eastAsia" w:ascii="宋体" w:hAnsi="宋体"/>
          <w:lang w:val="en-US" w:eastAsia="zh-CN"/>
        </w:rPr>
        <w:t>8</w:t>
      </w:r>
      <w:r>
        <w:rPr>
          <w:rFonts w:hint="eastAsia" w:ascii="宋体" w:hAnsi="宋体"/>
          <w:bCs/>
        </w:rPr>
        <w:t>:30（北京时间）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416C132A">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5</w:t>
      </w:r>
      <w:r>
        <w:rPr>
          <w:rFonts w:hint="eastAsia" w:ascii="宋体" w:hAnsi="宋体"/>
        </w:rPr>
        <w:t>日</w:t>
      </w:r>
      <w:r>
        <w:rPr>
          <w:rFonts w:hint="eastAsia" w:ascii="宋体" w:hAnsi="宋体"/>
          <w:lang w:val="en-US" w:eastAsia="zh-CN"/>
        </w:rPr>
        <w:t>8</w:t>
      </w:r>
      <w:r>
        <w:rPr>
          <w:rFonts w:hint="eastAsia" w:ascii="宋体" w:hAnsi="宋体"/>
          <w:bCs/>
        </w:rPr>
        <w:t>:30（北京时间）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投标人有义务在招标活动期间浏览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、对本次招标提出询问，请按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lang w:val="en-US" w:eastAsia="zh-CN"/>
        </w:rPr>
      </w:pP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20</w:t>
      </w:r>
      <w:r>
        <w:rPr>
          <w:rFonts w:hint="eastAsia" w:ascii="宋体" w:hAnsi="宋体"/>
        </w:rPr>
        <w:t>日</w:t>
      </w:r>
      <w:bookmarkEnd w:id="6"/>
      <w:bookmarkEnd w:id="7"/>
      <w:bookmarkEnd w:id="8"/>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2859"/>
        <w:gridCol w:w="1937"/>
        <w:gridCol w:w="193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859"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1937"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93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rPr>
              <w:t>温热电灸综合治疗仪</w:t>
            </w:r>
          </w:p>
        </w:tc>
        <w:tc>
          <w:tcPr>
            <w:tcW w:w="693"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859"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1937"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人民币39800.00元</w:t>
            </w:r>
          </w:p>
        </w:tc>
        <w:tc>
          <w:tcPr>
            <w:tcW w:w="1937"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ascii="宋体" w:hAnsi="宋体" w:eastAsia="宋体"/>
          <w:b/>
          <w:color w:val="auto"/>
          <w:lang w:val="en-US" w:eastAsia="zh-CN"/>
        </w:rPr>
        <w:t>每台</w:t>
      </w:r>
      <w:r>
        <w:rPr>
          <w:rFonts w:hint="eastAsia" w:ascii="宋体" w:hAnsi="宋体" w:eastAsia="宋体"/>
          <w:b/>
          <w:color w:val="auto"/>
          <w:lang w:eastAsia="zh-CN"/>
        </w:rPr>
        <w:t>不低于下表配置）</w:t>
      </w:r>
    </w:p>
    <w:tbl>
      <w:tblPr>
        <w:tblStyle w:val="1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2323"/>
        <w:gridCol w:w="1629"/>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shd w:val="clear" w:color="auto" w:fill="EEECE1" w:themeFill="background2"/>
            <w:vAlign w:val="center"/>
          </w:tcPr>
          <w:p w14:paraId="31685F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323" w:type="dxa"/>
            <w:shd w:val="clear" w:color="auto" w:fill="EEECE1" w:themeFill="background2"/>
            <w:vAlign w:val="center"/>
          </w:tcPr>
          <w:p w14:paraId="69748C28">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1629"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价格</w:t>
            </w:r>
          </w:p>
        </w:tc>
        <w:tc>
          <w:tcPr>
            <w:tcW w:w="922" w:type="dxa"/>
            <w:shd w:val="clear" w:color="auto" w:fill="EEECE1" w:themeFill="background2"/>
            <w:vAlign w:val="center"/>
          </w:tcPr>
          <w:p w14:paraId="4F3D85F1">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323"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主机</w:t>
            </w:r>
          </w:p>
        </w:tc>
        <w:tc>
          <w:tcPr>
            <w:tcW w:w="1629" w:type="dxa"/>
            <w:vAlign w:val="center"/>
          </w:tcPr>
          <w:p w14:paraId="7C850D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人民币39800.00元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核心产品</w:t>
            </w:r>
          </w:p>
        </w:tc>
      </w:tr>
      <w:tr w14:paraId="4024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135AF5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2</w:t>
            </w:r>
          </w:p>
        </w:tc>
        <w:tc>
          <w:tcPr>
            <w:tcW w:w="2323" w:type="dxa"/>
            <w:shd w:val="clear" w:color="auto" w:fill="auto"/>
            <w:vAlign w:val="center"/>
          </w:tcPr>
          <w:p w14:paraId="12E72B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电源线</w:t>
            </w:r>
          </w:p>
        </w:tc>
        <w:tc>
          <w:tcPr>
            <w:tcW w:w="1629" w:type="dxa"/>
            <w:vAlign w:val="center"/>
          </w:tcPr>
          <w:p w14:paraId="60A090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62AA5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22" w:type="dxa"/>
            <w:shd w:val="clear" w:color="auto" w:fill="auto"/>
            <w:vAlign w:val="center"/>
          </w:tcPr>
          <w:p w14:paraId="0FECD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1286" w:type="dxa"/>
            <w:vAlign w:val="center"/>
          </w:tcPr>
          <w:p w14:paraId="44A1B5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BD722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C5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64ED11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3</w:t>
            </w:r>
          </w:p>
        </w:tc>
        <w:tc>
          <w:tcPr>
            <w:tcW w:w="2323" w:type="dxa"/>
            <w:shd w:val="clear" w:color="auto" w:fill="auto"/>
            <w:vAlign w:val="center"/>
          </w:tcPr>
          <w:p w14:paraId="4F18F2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单头艾灸盒</w:t>
            </w:r>
          </w:p>
        </w:tc>
        <w:tc>
          <w:tcPr>
            <w:tcW w:w="1629" w:type="dxa"/>
            <w:vAlign w:val="center"/>
          </w:tcPr>
          <w:p w14:paraId="629E77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4A31F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2" w:type="dxa"/>
            <w:shd w:val="clear" w:color="auto" w:fill="auto"/>
            <w:vAlign w:val="center"/>
          </w:tcPr>
          <w:p w14:paraId="637F8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1286" w:type="dxa"/>
            <w:vAlign w:val="center"/>
          </w:tcPr>
          <w:p w14:paraId="5F3701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1E368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2E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2192BD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4</w:t>
            </w:r>
          </w:p>
        </w:tc>
        <w:tc>
          <w:tcPr>
            <w:tcW w:w="2323" w:type="dxa"/>
            <w:shd w:val="clear" w:color="auto" w:fill="auto"/>
            <w:vAlign w:val="center"/>
          </w:tcPr>
          <w:p w14:paraId="5A2806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艾灸盒组合垫</w:t>
            </w:r>
          </w:p>
        </w:tc>
        <w:tc>
          <w:tcPr>
            <w:tcW w:w="1629" w:type="dxa"/>
            <w:vAlign w:val="center"/>
          </w:tcPr>
          <w:p w14:paraId="312ACA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51523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22" w:type="dxa"/>
            <w:shd w:val="clear" w:color="auto" w:fill="auto"/>
            <w:vAlign w:val="center"/>
          </w:tcPr>
          <w:p w14:paraId="25988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1286" w:type="dxa"/>
            <w:vAlign w:val="center"/>
          </w:tcPr>
          <w:p w14:paraId="68EDF6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1AF56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25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05520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323" w:type="dxa"/>
            <w:shd w:val="clear" w:color="auto" w:fill="auto"/>
            <w:vAlign w:val="center"/>
          </w:tcPr>
          <w:p w14:paraId="0A31FB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隔热垫</w:t>
            </w:r>
          </w:p>
        </w:tc>
        <w:tc>
          <w:tcPr>
            <w:tcW w:w="1629" w:type="dxa"/>
            <w:vAlign w:val="center"/>
          </w:tcPr>
          <w:p w14:paraId="14F4E1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24D78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22" w:type="dxa"/>
            <w:shd w:val="clear" w:color="auto" w:fill="auto"/>
            <w:vAlign w:val="center"/>
          </w:tcPr>
          <w:p w14:paraId="6D56B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w:t>
            </w:r>
          </w:p>
        </w:tc>
        <w:tc>
          <w:tcPr>
            <w:tcW w:w="1286" w:type="dxa"/>
            <w:vAlign w:val="center"/>
          </w:tcPr>
          <w:p w14:paraId="19AA24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8A802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92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57C5C6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23" w:type="dxa"/>
            <w:shd w:val="clear" w:color="auto" w:fill="auto"/>
            <w:vAlign w:val="center"/>
          </w:tcPr>
          <w:p w14:paraId="32FA60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硅胶塞</w:t>
            </w:r>
          </w:p>
        </w:tc>
        <w:tc>
          <w:tcPr>
            <w:tcW w:w="1629" w:type="dxa"/>
            <w:vAlign w:val="center"/>
          </w:tcPr>
          <w:p w14:paraId="1944B6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5B2D7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22" w:type="dxa"/>
            <w:shd w:val="clear" w:color="auto" w:fill="auto"/>
            <w:vAlign w:val="center"/>
          </w:tcPr>
          <w:p w14:paraId="0FCF8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86" w:type="dxa"/>
            <w:vAlign w:val="center"/>
          </w:tcPr>
          <w:p w14:paraId="139CCD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7F0ACE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4DB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5E3B505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323" w:type="dxa"/>
            <w:shd w:val="clear" w:color="auto" w:fill="auto"/>
            <w:vAlign w:val="center"/>
          </w:tcPr>
          <w:p w14:paraId="6FC3AE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电极夹</w:t>
            </w:r>
          </w:p>
        </w:tc>
        <w:tc>
          <w:tcPr>
            <w:tcW w:w="1629" w:type="dxa"/>
            <w:vAlign w:val="center"/>
          </w:tcPr>
          <w:p w14:paraId="279064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64E8D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22" w:type="dxa"/>
            <w:shd w:val="clear" w:color="auto" w:fill="auto"/>
            <w:vAlign w:val="center"/>
          </w:tcPr>
          <w:p w14:paraId="35CB0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86" w:type="dxa"/>
            <w:vAlign w:val="center"/>
          </w:tcPr>
          <w:p w14:paraId="17E0D1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CAE0B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FD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31C8CBA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323" w:type="dxa"/>
            <w:shd w:val="clear" w:color="auto" w:fill="auto"/>
            <w:vAlign w:val="center"/>
          </w:tcPr>
          <w:p w14:paraId="08EA26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连接线</w:t>
            </w:r>
          </w:p>
        </w:tc>
        <w:tc>
          <w:tcPr>
            <w:tcW w:w="1629" w:type="dxa"/>
            <w:vAlign w:val="center"/>
          </w:tcPr>
          <w:p w14:paraId="7D6965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75AA0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22" w:type="dxa"/>
            <w:shd w:val="clear" w:color="auto" w:fill="auto"/>
            <w:vAlign w:val="center"/>
          </w:tcPr>
          <w:p w14:paraId="42375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w:t>
            </w:r>
          </w:p>
        </w:tc>
        <w:tc>
          <w:tcPr>
            <w:tcW w:w="1286" w:type="dxa"/>
            <w:vAlign w:val="center"/>
          </w:tcPr>
          <w:p w14:paraId="4E9FA4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89184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1AE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16B1A0F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323" w:type="dxa"/>
            <w:shd w:val="clear" w:color="auto" w:fill="auto"/>
            <w:vAlign w:val="center"/>
          </w:tcPr>
          <w:p w14:paraId="29481E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吸附杯</w:t>
            </w:r>
          </w:p>
        </w:tc>
        <w:tc>
          <w:tcPr>
            <w:tcW w:w="1629" w:type="dxa"/>
            <w:vAlign w:val="center"/>
          </w:tcPr>
          <w:p w14:paraId="066EBE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73F08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22" w:type="dxa"/>
            <w:shd w:val="clear" w:color="auto" w:fill="auto"/>
            <w:vAlign w:val="center"/>
          </w:tcPr>
          <w:p w14:paraId="77A9B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86" w:type="dxa"/>
            <w:vAlign w:val="center"/>
          </w:tcPr>
          <w:p w14:paraId="704C45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5A830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438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3733676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323" w:type="dxa"/>
            <w:shd w:val="clear" w:color="auto" w:fill="auto"/>
            <w:vAlign w:val="center"/>
          </w:tcPr>
          <w:p w14:paraId="58296F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绑带</w:t>
            </w:r>
          </w:p>
        </w:tc>
        <w:tc>
          <w:tcPr>
            <w:tcW w:w="1629" w:type="dxa"/>
            <w:vAlign w:val="center"/>
          </w:tcPr>
          <w:p w14:paraId="2E244C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30FD1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2" w:type="dxa"/>
            <w:shd w:val="clear" w:color="auto" w:fill="auto"/>
            <w:vAlign w:val="center"/>
          </w:tcPr>
          <w:p w14:paraId="33AAD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1286" w:type="dxa"/>
            <w:vAlign w:val="center"/>
          </w:tcPr>
          <w:p w14:paraId="7B4DAD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80349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326750F1">
      <w:pPr>
        <w:pStyle w:val="26"/>
        <w:ind w:firstLine="422"/>
        <w:rPr>
          <w:rFonts w:hAnsi="宋体"/>
          <w:b/>
          <w:color w:val="auto"/>
        </w:rPr>
      </w:pPr>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rPr>
              <w:t>温热电灸综合治疗仪</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1.柜式一体机型，一键飞梭的操作模式；</w:t>
            </w:r>
          </w:p>
        </w:tc>
        <w:tc>
          <w:tcPr>
            <w:tcW w:w="1152" w:type="dxa"/>
            <w:tcBorders>
              <w:tl2br w:val="nil"/>
              <w:tr2bl w:val="nil"/>
            </w:tcBorders>
            <w:shd w:val="clear" w:color="auto" w:fill="auto"/>
            <w:vAlign w:val="center"/>
          </w:tcPr>
          <w:p w14:paraId="2DFC3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2.具有温热艾灸、温针灸、电针灸、温热电针灸、无创针灸、拔罐疗法六种功能；（需提供产品彩页或技术白皮书佐证）</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3.双通道，艾灸治疗至少包含12路24个灸头，温热电针至少包含4路8个电极，无创针灸至少包含2路4个电极；（需提供产品彩页或技术白皮书佐证）</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4.每个输出通道能够独立启动和停止，输出强度能够独立调节；</w:t>
            </w:r>
          </w:p>
        </w:tc>
        <w:tc>
          <w:tcPr>
            <w:tcW w:w="1152" w:type="dxa"/>
            <w:tcBorders>
              <w:tl2br w:val="nil"/>
              <w:tr2bl w:val="nil"/>
            </w:tcBorders>
            <w:shd w:val="clear" w:color="auto" w:fill="auto"/>
            <w:vAlign w:val="center"/>
          </w:tcPr>
          <w:p w14:paraId="12E2BA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5.灸头具备加热功能，每个灸头独立控温：30～70℃内连续可调，步长1℃，误差≤±3%；（需提供产品彩页或技术白皮书佐证）</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6.治疗温度＞60℃时，有高温输出指示；</w:t>
            </w:r>
          </w:p>
        </w:tc>
        <w:tc>
          <w:tcPr>
            <w:tcW w:w="1152" w:type="dxa"/>
            <w:tcBorders>
              <w:tl2br w:val="nil"/>
              <w:tr2bl w:val="nil"/>
            </w:tcBorders>
            <w:shd w:val="clear" w:color="auto" w:fill="auto"/>
            <w:vAlign w:val="center"/>
          </w:tcPr>
          <w:p w14:paraId="3F7166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7.温热电针具有加热功能，开启15min后温热电极夹的温度为75℃±10%；（需提供产品彩页或技术白皮书佐证）</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67C69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2FCE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494FF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8.有手动停止功能，保障安全；</w:t>
            </w:r>
          </w:p>
        </w:tc>
        <w:tc>
          <w:tcPr>
            <w:tcW w:w="1152" w:type="dxa"/>
            <w:tcBorders>
              <w:tl2br w:val="nil"/>
              <w:tr2bl w:val="nil"/>
            </w:tcBorders>
            <w:shd w:val="clear" w:color="auto" w:fill="auto"/>
            <w:vAlign w:val="center"/>
          </w:tcPr>
          <w:p w14:paraId="69BD53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36B287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8270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4D119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9.治疗时间设置范围：1min～99min，步长 1min，误差≤5%；</w:t>
            </w:r>
          </w:p>
        </w:tc>
        <w:tc>
          <w:tcPr>
            <w:tcW w:w="1152" w:type="dxa"/>
            <w:tcBorders>
              <w:tl2br w:val="nil"/>
              <w:tr2bl w:val="nil"/>
            </w:tcBorders>
            <w:shd w:val="clear" w:color="auto" w:fill="auto"/>
            <w:vAlign w:val="center"/>
          </w:tcPr>
          <w:p w14:paraId="317478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050FB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847E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85C85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10.电疗输出波形至少包含：连续波、疏密波、轻锤波和其他3个按摩波；</w:t>
            </w:r>
          </w:p>
        </w:tc>
        <w:tc>
          <w:tcPr>
            <w:tcW w:w="1152" w:type="dxa"/>
            <w:tcBorders>
              <w:tl2br w:val="nil"/>
              <w:tr2bl w:val="nil"/>
            </w:tcBorders>
            <w:shd w:val="clear" w:color="auto" w:fill="auto"/>
            <w:vAlign w:val="center"/>
          </w:tcPr>
          <w:p w14:paraId="30EF3F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2A4A5A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AA83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44556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11.电疗输出脉冲周期为0.01s～2.00s可调，步长为0.01s；（所投产品涵盖此范围即认定为满足该项技术要求）</w:t>
            </w:r>
          </w:p>
        </w:tc>
        <w:tc>
          <w:tcPr>
            <w:tcW w:w="1152" w:type="dxa"/>
            <w:tcBorders>
              <w:tl2br w:val="nil"/>
              <w:tr2bl w:val="nil"/>
            </w:tcBorders>
            <w:shd w:val="clear" w:color="auto" w:fill="auto"/>
            <w:vAlign w:val="center"/>
          </w:tcPr>
          <w:p w14:paraId="52ED17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2801D5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80B6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6C0E5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12.电疗输出脉冲频率：0.5Hz～100Hz可调；（所投产品涵盖此范围即认定为满足该项技术要求）</w:t>
            </w:r>
          </w:p>
        </w:tc>
        <w:tc>
          <w:tcPr>
            <w:tcW w:w="1152" w:type="dxa"/>
            <w:tcBorders>
              <w:tl2br w:val="nil"/>
              <w:tr2bl w:val="nil"/>
            </w:tcBorders>
            <w:shd w:val="clear" w:color="auto" w:fill="auto"/>
            <w:vAlign w:val="center"/>
          </w:tcPr>
          <w:p w14:paraId="5B6E26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48F230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8F2E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8C9C2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13.无创针灸输出脉冲幅度0～42V可调，误差±10%，显示范围为0～99，无量纲数；脉冲宽度为0.3ms±30%；</w:t>
            </w:r>
          </w:p>
        </w:tc>
        <w:tc>
          <w:tcPr>
            <w:tcW w:w="1152" w:type="dxa"/>
            <w:tcBorders>
              <w:tl2br w:val="nil"/>
              <w:tr2bl w:val="nil"/>
            </w:tcBorders>
            <w:shd w:val="clear" w:color="auto" w:fill="auto"/>
            <w:vAlign w:val="center"/>
          </w:tcPr>
          <w:p w14:paraId="1A11F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455F85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C66A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5995C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14.电针输出脉冲幅度0～30V可调，显示范围为0～99，误差±10%，无量纲数；脉冲宽度为0.3ms±30%；</w:t>
            </w:r>
          </w:p>
        </w:tc>
        <w:tc>
          <w:tcPr>
            <w:tcW w:w="1152" w:type="dxa"/>
            <w:tcBorders>
              <w:tl2br w:val="nil"/>
              <w:tr2bl w:val="nil"/>
            </w:tcBorders>
            <w:shd w:val="clear" w:color="auto" w:fill="auto"/>
            <w:vAlign w:val="center"/>
          </w:tcPr>
          <w:p w14:paraId="1E206E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03A732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19B1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B6A16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15.无创针灸负压输出连续可调，最大负压值30kPa±10%。</w:t>
            </w:r>
          </w:p>
        </w:tc>
        <w:tc>
          <w:tcPr>
            <w:tcW w:w="1152" w:type="dxa"/>
            <w:tcBorders>
              <w:tl2br w:val="nil"/>
              <w:tr2bl w:val="nil"/>
            </w:tcBorders>
            <w:shd w:val="clear" w:color="auto" w:fill="auto"/>
            <w:vAlign w:val="center"/>
          </w:tcPr>
          <w:p w14:paraId="7D9D55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382753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shd w:val="clear" w:color="auto" w:fill="auto"/>
          </w:tcPr>
          <w:p w14:paraId="0E1F4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shd w:val="clear" w:color="auto" w:fill="auto"/>
            <w:vAlign w:val="center"/>
          </w:tcPr>
          <w:p w14:paraId="1EB73F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16.使用年限≥5年；（需提供设备铭牌或技术白皮书佐证）</w:t>
            </w:r>
          </w:p>
        </w:tc>
        <w:tc>
          <w:tcPr>
            <w:tcW w:w="0" w:type="auto"/>
            <w:shd w:val="clear" w:color="auto" w:fill="auto"/>
            <w:vAlign w:val="center"/>
          </w:tcPr>
          <w:p w14:paraId="6CEB1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bl>
    <w:p w14:paraId="32833A19">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7995"/>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5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w:t>
            </w:r>
            <w:bookmarkStart w:id="138" w:name="_GoBack"/>
            <w:bookmarkEnd w:id="138"/>
            <w:r>
              <w:rPr>
                <w:rFonts w:hint="eastAsia" w:ascii="宋体" w:hAnsi="宋体" w:eastAsia="宋体" w:cs="宋体"/>
                <w:i w:val="0"/>
                <w:iCs w:val="0"/>
                <w:color w:val="auto"/>
                <w:kern w:val="0"/>
                <w:sz w:val="21"/>
                <w:szCs w:val="21"/>
                <w:u w:val="none"/>
                <w:lang w:val="en-US" w:eastAsia="zh-CN" w:bidi="ar"/>
              </w:rPr>
              <w:t>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tcPr>
          <w:p w14:paraId="54293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7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48FA3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2742E91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BA9EDC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99DB3D1">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7F5A267B">
      <w:pPr>
        <w:rPr>
          <w:rFonts w:hint="eastAsia" w:asciiTheme="majorEastAsia" w:hAnsiTheme="majorEastAsia" w:eastAsiaTheme="majorEastAsia" w:cstheme="majorEastAsia"/>
          <w:kern w:val="2"/>
          <w:sz w:val="32"/>
          <w:szCs w:val="32"/>
          <w:lang w:val="en-US" w:eastAsia="zh-CN" w:bidi="ar-SA"/>
        </w:rPr>
      </w:pPr>
    </w:p>
    <w:p w14:paraId="65008A69">
      <w:pPr>
        <w:rPr>
          <w:rFonts w:hint="eastAsia" w:asciiTheme="majorEastAsia" w:hAnsiTheme="majorEastAsia" w:eastAsiaTheme="majorEastAsia" w:cstheme="majorEastAsia"/>
          <w:kern w:val="2"/>
          <w:sz w:val="32"/>
          <w:szCs w:val="32"/>
          <w:lang w:val="en-US" w:eastAsia="zh-CN" w:bidi="ar-SA"/>
        </w:rPr>
      </w:pPr>
    </w:p>
    <w:p w14:paraId="5C7900FC">
      <w:pPr>
        <w:rPr>
          <w:rFonts w:hint="eastAsia" w:asciiTheme="majorEastAsia" w:hAnsiTheme="majorEastAsia" w:eastAsiaTheme="majorEastAsia" w:cstheme="majorEastAsia"/>
          <w:kern w:val="2"/>
          <w:sz w:val="32"/>
          <w:szCs w:val="32"/>
          <w:lang w:val="en-US" w:eastAsia="zh-CN" w:bidi="ar-SA"/>
        </w:rPr>
      </w:pPr>
    </w:p>
    <w:p w14:paraId="17D97C0A">
      <w:pPr>
        <w:rPr>
          <w:rFonts w:hint="eastAsia" w:asciiTheme="majorEastAsia" w:hAnsiTheme="majorEastAsia" w:eastAsiaTheme="majorEastAsia" w:cstheme="majorEastAsia"/>
          <w:kern w:val="2"/>
          <w:sz w:val="32"/>
          <w:szCs w:val="32"/>
          <w:lang w:val="en-US" w:eastAsia="zh-CN" w:bidi="ar-SA"/>
        </w:rPr>
      </w:pPr>
    </w:p>
    <w:p w14:paraId="478EAD4A">
      <w:pPr>
        <w:rPr>
          <w:rFonts w:hint="eastAsia" w:asciiTheme="majorEastAsia" w:hAnsiTheme="majorEastAsia" w:eastAsiaTheme="majorEastAsia" w:cstheme="majorEastAsia"/>
          <w:kern w:val="2"/>
          <w:sz w:val="32"/>
          <w:szCs w:val="32"/>
          <w:lang w:val="en-US" w:eastAsia="zh-CN" w:bidi="ar-SA"/>
        </w:rPr>
      </w:pPr>
    </w:p>
    <w:p w14:paraId="00A8EFA2">
      <w:pPr>
        <w:rPr>
          <w:rFonts w:hint="eastAsia" w:asciiTheme="majorEastAsia" w:hAnsiTheme="majorEastAsia" w:eastAsiaTheme="majorEastAsia" w:cstheme="majorEastAsia"/>
          <w:kern w:val="2"/>
          <w:sz w:val="32"/>
          <w:szCs w:val="32"/>
          <w:lang w:val="en-US" w:eastAsia="zh-CN" w:bidi="ar-SA"/>
        </w:rPr>
      </w:pPr>
    </w:p>
    <w:p w14:paraId="5FFA85BF">
      <w:pPr>
        <w:rPr>
          <w:rFonts w:hint="eastAsia" w:asciiTheme="majorEastAsia" w:hAnsiTheme="majorEastAsia" w:eastAsiaTheme="majorEastAsia" w:cstheme="majorEastAsia"/>
          <w:kern w:val="2"/>
          <w:sz w:val="32"/>
          <w:szCs w:val="32"/>
          <w:lang w:val="en-US" w:eastAsia="zh-CN" w:bidi="ar-SA"/>
        </w:rPr>
      </w:pPr>
    </w:p>
    <w:p w14:paraId="2BD76D44">
      <w:pPr>
        <w:rPr>
          <w:rFonts w:hint="eastAsia" w:asciiTheme="majorEastAsia" w:hAnsiTheme="majorEastAsia" w:eastAsiaTheme="majorEastAsia" w:cstheme="majorEastAsia"/>
          <w:kern w:val="2"/>
          <w:sz w:val="32"/>
          <w:szCs w:val="32"/>
          <w:lang w:val="en-US" w:eastAsia="zh-CN" w:bidi="ar-SA"/>
        </w:rPr>
      </w:pPr>
    </w:p>
    <w:p w14:paraId="0C12ED08">
      <w:pPr>
        <w:rPr>
          <w:rFonts w:hint="eastAsia" w:asciiTheme="majorEastAsia" w:hAnsiTheme="majorEastAsia" w:eastAsiaTheme="majorEastAsia" w:cstheme="majorEastAsia"/>
          <w:kern w:val="2"/>
          <w:sz w:val="32"/>
          <w:szCs w:val="32"/>
          <w:lang w:val="en-US" w:eastAsia="zh-CN" w:bidi="ar-SA"/>
        </w:rPr>
      </w:pPr>
    </w:p>
    <w:p w14:paraId="2959CD49">
      <w:pPr>
        <w:rPr>
          <w:rFonts w:hint="eastAsia" w:asciiTheme="majorEastAsia" w:hAnsiTheme="majorEastAsia" w:eastAsiaTheme="majorEastAsia" w:cstheme="majorEastAsia"/>
          <w:kern w:val="2"/>
          <w:sz w:val="32"/>
          <w:szCs w:val="32"/>
          <w:lang w:val="en-US" w:eastAsia="zh-CN" w:bidi="ar-SA"/>
        </w:rPr>
      </w:pPr>
    </w:p>
    <w:p w14:paraId="4B69A60C">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24015563"/>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bookmarkStart w:id="16" w:name="_Toc15975"/>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5AA6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2E0DB8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67E75CE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53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4B3134C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0016FA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703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114EF63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1B512E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018C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5FB2B3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395773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谈判文件未规定允许有替代方案时，对同一项目投标时，同时提供两套或两套以上的投标方案</w:t>
            </w:r>
          </w:p>
        </w:tc>
      </w:tr>
      <w:tr w14:paraId="0B51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04F295E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3A9D57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分项报价或投标总价高于限价，或未按照谈判文件的报价要求进行报价的</w:t>
            </w:r>
          </w:p>
        </w:tc>
      </w:tr>
      <w:tr w14:paraId="6C81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2C771C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123B43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79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5C0200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85AA5E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r>
      <w:tr w14:paraId="07F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460254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206BE28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650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2FD13F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66BB30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r>
      <w:tr w14:paraId="098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24267C1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1DB8397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599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4026D76C">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3ADB2EDB">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6FB9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135A73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38C52F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369ECD0">
      <w:pPr>
        <w:pStyle w:val="32"/>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3FE2B93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检查投标文件的密封情况；经确认无误后，由采购人工作人员当众拆封，宣布投标人名称、投标价格和招标文件规定的需要宣布的其他内容。</w:t>
      </w:r>
    </w:p>
    <w:p w14:paraId="1D2020F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7AC0991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5224829E">
      <w:pPr>
        <w:pStyle w:val="32"/>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3509FA96">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评标委员会依法组建，由5人单数组成。</w:t>
      </w:r>
    </w:p>
    <w:p w14:paraId="78A0413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D550C9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15C13EA">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82D60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03BCF695">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6558117E">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6E7F319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73C401BF">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0FFF602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审查、评价投标文件是否符合招标文件的商务、技术等实质性要求；</w:t>
      </w:r>
    </w:p>
    <w:p w14:paraId="032848C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397EAD7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623C270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65F715F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4E7C51F4">
      <w:pPr>
        <w:pStyle w:val="32"/>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3189A38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03C8DD9D">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22CC722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5F6A3FC9">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按照招标文件规定的方式确定一个参加评审的投标人，招标文件未规定的采取随机抽取方式确定，其他投标无效。</w:t>
      </w:r>
    </w:p>
    <w:p w14:paraId="1A11F764">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按照招标文件规定的方式确定一个投标人获得中标人推荐资格，招标文件未规定的采取随机抽取方式确定，其他同品牌投标人不作为中标候选人。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非单一产品采购项目，采购人应当根据采购项目技术构成、产品价格比重等合理确定核心产品，并在招标文件中载明。多家投标人提供的核心产品品牌相同的，按前两款规定处理。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2"/>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最低价法，是指完全满足招标文件实质性要求，按照报价由低到高的顺序，依据招标文件中规定的数量或者比例推荐候选中标供应商。</w:t>
      </w:r>
    </w:p>
    <w:p w14:paraId="5D19274F">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综合评分法，是指在满足招标文件全部实质性要求的前提下，按照招标文件中规定的各项因素进行综合评审，评审总得分排名前列的投标人，作为推荐的候选中标供应商。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委员会按招标文件中规定的评标方法和标准，对资格性检查和符合性检查合格且报价不超过预算控制金额的投标文件进行商务和技术评审，综合比较与评价。</w:t>
      </w:r>
    </w:p>
    <w:p w14:paraId="52D57BC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4BEC88FB">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71BEEE2A">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投标文件未按招标文件要求签署、盖章的；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不具备招标文件中规定的资格要求的；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报价超过招标文件中规定的预算金额或者最高限价的；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法律、法规和招标文件规定的其他无效情形。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rPr>
        <w:t>招标</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4B96D31C">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若第一次挂网公告中，有效报名的投标单位不满足三家，可二次公告重新挂网招标。若第二次挂网公告中，有效报名的投标单位仍不满足三家，可三次公告重新挂网招标。待三次公告结束后，若该项目已满三家有效投标单位的，评标方法仍为综合评分法，若仅有两家有效投标单位的，评标方法转为竞争性谈判（最低价法），若仅有一家有效投标单位的，评标方法转为单一来源采购。</w:t>
      </w:r>
    </w:p>
    <w:p w14:paraId="6881453D">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 公开招标失败的处理：</w:t>
      </w:r>
    </w:p>
    <w:p w14:paraId="0941C780">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7.1.1.1. 本项目公开招标过程中若由于投标截止后实际递交投标文件的供应商数量不足、经评标委员会评审对招标文件作实质响应的供应商不足等原因造成公开招标失败，可重新组织采购。</w:t>
      </w:r>
    </w:p>
    <w:p w14:paraId="3B8F20F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.1.1.2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对公开招标失败的项目，</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在出具该项目招标失败结论的同时，可以提出重新采购组织形式的建议，以及进一步完善招标文件的资格、技术、商务要求的修改建议。</w:t>
      </w:r>
    </w:p>
    <w:p w14:paraId="72B715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7.1.</w:t>
      </w:r>
      <w:r>
        <w:rPr>
          <w:rFonts w:hint="eastAsia" w:ascii="宋体" w:hAnsi="宋体" w:eastAsiaTheme="minorEastAsia" w:cstheme="minorBidi"/>
          <w:kern w:val="2"/>
          <w:sz w:val="21"/>
          <w:szCs w:val="21"/>
          <w:lang w:val="en-US" w:eastAsia="zh-CN" w:bidi="ar-SA"/>
        </w:rPr>
        <w:t>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公开招标失败的采购项目重新组织公开招标</w:t>
      </w:r>
      <w:r>
        <w:rPr>
          <w:rFonts w:hint="eastAsia" w:ascii="宋体" w:hAnsi="宋体" w:cstheme="minorBidi"/>
          <w:kern w:val="2"/>
          <w:sz w:val="21"/>
          <w:szCs w:val="21"/>
          <w:lang w:val="en-US" w:eastAsia="zh-CN" w:bidi="ar-SA"/>
        </w:rPr>
        <w:t>的</w:t>
      </w:r>
      <w:r>
        <w:rPr>
          <w:rFonts w:hint="eastAsia" w:ascii="宋体" w:hAnsi="宋体" w:eastAsiaTheme="minorEastAsia" w:cstheme="minorBidi"/>
          <w:kern w:val="2"/>
          <w:sz w:val="21"/>
          <w:szCs w:val="21"/>
          <w:lang w:val="en-US" w:eastAsia="zh-CN" w:bidi="ar-SA"/>
        </w:rPr>
        <w:t>，</w:t>
      </w:r>
      <w:r>
        <w:rPr>
          <w:rFonts w:hint="eastAsia" w:ascii="宋体" w:hAnsi="宋体" w:cstheme="minorBidi"/>
          <w:kern w:val="2"/>
          <w:sz w:val="21"/>
          <w:szCs w:val="21"/>
          <w:lang w:val="en-US" w:eastAsia="zh-CN" w:bidi="ar-SA"/>
        </w:rPr>
        <w:t>需</w:t>
      </w:r>
      <w:r>
        <w:rPr>
          <w:rFonts w:hint="eastAsia" w:ascii="宋体" w:hAnsi="宋体" w:eastAsiaTheme="minorEastAsia" w:cstheme="minorBidi"/>
          <w:kern w:val="2"/>
          <w:sz w:val="21"/>
          <w:szCs w:val="21"/>
          <w:lang w:val="en-US" w:eastAsia="zh-CN" w:bidi="ar-SA"/>
        </w:rPr>
        <w:t>要重新按公开招标流程发布招标公告和招标文件、组成</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等组织采购活动。</w:t>
      </w:r>
    </w:p>
    <w:p w14:paraId="514102F3">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.2. 公开招标失败项目转为竞争性谈判方式采购</w:t>
      </w:r>
    </w:p>
    <w:p w14:paraId="643F2D9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7.2.1</w:t>
      </w:r>
      <w:r>
        <w:rPr>
          <w:rFonts w:hint="eastAsia" w:ascii="宋体" w:hAnsi="宋体" w:eastAsiaTheme="minorEastAsia" w:cstheme="minorBidi"/>
          <w:kern w:val="2"/>
          <w:sz w:val="21"/>
          <w:szCs w:val="21"/>
          <w:lang w:val="en-US" w:eastAsia="zh-CN" w:bidi="ar-SA"/>
        </w:rPr>
        <w:t>. 公开招标失败项目转为竞争性谈判方式采购后，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331E2EF0">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7.2.2. 谈判前，谈判小组将对各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6BEF680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3. 参加谈判的供应商和谈判小组成员填写谈判登记表，并交验证明文件（法定代表人证明书、法人授权委托书、被授权的谈判代表身份证原件）。</w:t>
      </w:r>
    </w:p>
    <w:p w14:paraId="02D5CA3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7.2.4. 在谈判中，谈判小组将就以下谈判内容跟供应商进行谈判：</w:t>
      </w:r>
    </w:p>
    <w:p w14:paraId="1412251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1726E21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49BC5F4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5AA0E9B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原招标文件或谈判邀请文件有实质性变动的，谈判小组应当通知所有参加谈判的供应商。</w:t>
      </w:r>
    </w:p>
    <w:p w14:paraId="003AC95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7.2.5. 谈判小组可以用书面形式要求各供应商对其谈判应答文件含义不明确的内容作必要的澄清或者说明，重要问题供应商应以书面形式进行澄清、说明。</w:t>
      </w:r>
    </w:p>
    <w:p w14:paraId="42079DC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6. 允许供应商在谈判结束之前根据谈判小组提出的内容进行澄清、修改或完善，或对项目方案进行相应的调整。</w:t>
      </w:r>
    </w:p>
    <w:p w14:paraId="45F7B66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7.2.7. 供应商对谈判应答文件进行修改，都应形成文字材料，并经供应商谈判授权人签字认可。</w:t>
      </w:r>
    </w:p>
    <w:p w14:paraId="1F0F3DE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7.2.8. 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6C694E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7.2.9. 有下列情形之一的，该供应商的谈判结果作废标处理，具体内容见原招标文件中投标文件初审表的《符合性检查表》部分以及谈判邀请中相应的变动部分。</w:t>
      </w:r>
    </w:p>
    <w:p w14:paraId="4E76A7A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7.2.10. 谈判结束后，谈判小组根据供应商提供的谈判应答文件、谈判过程中产生的相关资料，对供应商谈判应答文件进行评估与比较，提出书面评审意见。</w:t>
      </w:r>
    </w:p>
    <w:p w14:paraId="5BB0857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7.2.11. 谈判小组将对谈判过程进行记录，以存档备查。</w:t>
      </w:r>
    </w:p>
    <w:p w14:paraId="4526AEC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7.2.12. 竞争性谈判采购项目的评标方法要比照最低价法规定执行。如确因实际情况需要采用其他评标方法的，应报经采购人的采购主管部门批准。</w:t>
      </w:r>
    </w:p>
    <w:p w14:paraId="5698CCEC">
      <w:pPr>
        <w:snapToGrid w:val="0"/>
        <w:spacing w:line="360" w:lineRule="auto"/>
        <w:rPr>
          <w:rFonts w:hint="default"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 公开招标失败项目转为单一来源谈判方式采购</w:t>
      </w:r>
    </w:p>
    <w:p w14:paraId="05051A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 公开招标失败项目转为单一来源谈判方式采购后，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转为谈判小组，谈判小组成员由采购单位代表和有关专家共3人以上（含3人）的单数组成；其中专家的人数不得少于成员总数的三分之二；专家可重新抽取也可继续采用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5558F86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7.3.2. 谈判前，谈判小组将对单一来源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4312D3DB">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7.3.3. 参加谈判的供应商和谈判小组成员填写谈判登记表，并交验证明文件（法定代表人证明书、法人授权委托书、被授权的谈判代表身份证原件）。</w:t>
      </w:r>
    </w:p>
    <w:p w14:paraId="22E1B5A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7.3.4. 在谈判中，谈判小组将就以下谈判内容跟供应商进行谈判：</w:t>
      </w:r>
    </w:p>
    <w:p w14:paraId="506C238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5FAF3EE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16DCA70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0C57E8B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原招标文件或谈判邀请文件有实质性变动的，谈判小组应当通知供应商。</w:t>
      </w:r>
    </w:p>
    <w:p w14:paraId="6B2387FA">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7.3.5. 谈判小组可以用书面形式要求供应商对其谈判应答文件含义不明确的内容作必要的澄清或者说明，重要问题供应商应以书面形式进行澄清、说明。</w:t>
      </w:r>
    </w:p>
    <w:p w14:paraId="0009A3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7.3.6. 允许供应商在谈判结束之前根据谈判小组提出的内容进行澄清、修改或完善，或对项目方案进行相应的调整。</w:t>
      </w:r>
    </w:p>
    <w:p w14:paraId="44FAC3A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3.7. 供应商对谈判应答文件进行修改，都应形成文字材料，并经供应商谈判授权人签字认可。</w:t>
      </w:r>
    </w:p>
    <w:p w14:paraId="79BAFCF4">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7.3.8. 谈判小组与单一来源供应商进行谈判。供应商有两次更改机会；供应商应在规定的时间内提出最后更改及书面承诺。</w:t>
      </w:r>
    </w:p>
    <w:p w14:paraId="4C3CFC7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7.3.9. 有下列情形之一的，供应商的谈判结果作废标处理，具体内容见原招标文件中投标文件初审表的《符合性检查表》部分以及谈判邀请中相应的变动部分。</w:t>
      </w:r>
    </w:p>
    <w:p w14:paraId="30D319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7.3.10. 谈判结束后，谈判小组根据供应商提供的谈判应答文件、谈判过程中产生的相关资料，对供应商谈判应答文件进行评估与比较，提出书面评审意见。</w:t>
      </w:r>
    </w:p>
    <w:p w14:paraId="4E726B6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7.3.11. 谈判小组将对谈判过程进行记录，以存档备查。</w:t>
      </w:r>
    </w:p>
    <w:p w14:paraId="7B74605B">
      <w:pPr>
        <w:snapToGrid w:val="0"/>
        <w:spacing w:line="360" w:lineRule="auto"/>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7.3.12. 单一来源谈判采用最低价法。原招标文件若采用最低价法以外的评标方法，转为单一来源后，评标方法改为最低价法。谈判小组对谈判应答文件进行评审和比较，对供应商最终的方案、服务和投资等谈判结果按最低价法进行评审。</w:t>
      </w:r>
    </w:p>
    <w:p w14:paraId="61FF9DAA">
      <w:pPr>
        <w:pStyle w:val="32"/>
        <w:widowControl/>
        <w:numPr>
          <w:ilvl w:val="0"/>
          <w:numId w:val="0"/>
        </w:numPr>
        <w:spacing w:line="360" w:lineRule="auto"/>
        <w:ind w:leftChars="0"/>
        <w:jc w:val="left"/>
        <w:rPr>
          <w:rFonts w:hint="eastAsia" w:asciiTheme="minorEastAsia" w:hAnsiTheme="minorEastAsia"/>
          <w:szCs w:val="21"/>
          <w:lang w:val="en-US" w:eastAsia="zh-CN"/>
        </w:rPr>
      </w:pPr>
      <w:r>
        <w:rPr>
          <w:rFonts w:hint="eastAsia" w:ascii="宋体" w:hAnsi="宋体"/>
          <w:szCs w:val="21"/>
          <w:lang w:val="en-US" w:eastAsia="zh-CN"/>
        </w:rPr>
        <w:t>7.4. 该项目</w:t>
      </w:r>
      <w:r>
        <w:rPr>
          <w:rFonts w:hint="eastAsia" w:asciiTheme="minorEastAsia" w:hAnsiTheme="minorEastAsia" w:eastAsiaTheme="minorEastAsia"/>
          <w:szCs w:val="21"/>
        </w:rPr>
        <w:t>中标供应商数量</w:t>
      </w:r>
      <w:r>
        <w:rPr>
          <w:rFonts w:hint="eastAsia" w:asciiTheme="minorEastAsia" w:hAnsiTheme="minorEastAsia"/>
          <w:szCs w:val="21"/>
          <w:lang w:val="en-US" w:eastAsia="zh-CN"/>
        </w:rPr>
        <w:t>为一家。</w:t>
      </w:r>
    </w:p>
    <w:p w14:paraId="091AE675">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asciiTheme="minorEastAsia" w:hAnsiTheme="minorEastAsia"/>
          <w:szCs w:val="21"/>
          <w:lang w:val="en-US" w:eastAsia="zh-CN"/>
        </w:rPr>
        <w:t xml:space="preserve">7.5. </w:t>
      </w:r>
      <w:r>
        <w:rPr>
          <w:rFonts w:hint="eastAsia" w:cs="Arial" w:asciiTheme="minorEastAsia" w:hAnsiTheme="minorEastAsia" w:eastAsiaTheme="minorEastAsia"/>
          <w:bCs/>
          <w:kern w:val="0"/>
          <w:szCs w:val="21"/>
        </w:rPr>
        <w:t>本项目不安排现场踏勘。</w:t>
      </w:r>
    </w:p>
    <w:p w14:paraId="4C27887E">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Arial" w:asciiTheme="minorEastAsia" w:hAnsiTheme="minorEastAsia"/>
          <w:bCs/>
          <w:kern w:val="0"/>
          <w:szCs w:val="21"/>
          <w:lang w:val="en-US" w:eastAsia="zh-CN"/>
        </w:rPr>
        <w:t xml:space="preserve">7.6. </w:t>
      </w:r>
      <w:r>
        <w:rPr>
          <w:rFonts w:hint="eastAsia" w:cs="Arial" w:asciiTheme="minorEastAsia" w:hAnsiTheme="minorEastAsia" w:eastAsiaTheme="minorEastAsia"/>
          <w:bCs/>
          <w:kern w:val="0"/>
          <w:szCs w:val="21"/>
        </w:rPr>
        <w:t>本项目不安排现场演示。</w:t>
      </w:r>
    </w:p>
    <w:p w14:paraId="013A9618">
      <w:pPr>
        <w:pStyle w:val="32"/>
        <w:widowControl/>
        <w:numPr>
          <w:ilvl w:val="0"/>
          <w:numId w:val="0"/>
        </w:numPr>
        <w:spacing w:line="360" w:lineRule="auto"/>
        <w:ind w:leftChars="0"/>
        <w:jc w:val="left"/>
        <w:rPr>
          <w:rFonts w:hint="eastAsia" w:cs="宋体" w:asciiTheme="minorEastAsia" w:hAnsiTheme="minorEastAsia"/>
          <w:spacing w:val="1"/>
          <w:kern w:val="0"/>
          <w:szCs w:val="21"/>
          <w:lang w:val="en-US" w:eastAsia="zh-CN"/>
        </w:rPr>
      </w:pPr>
      <w:r>
        <w:rPr>
          <w:rFonts w:hint="eastAsia" w:cs="Arial" w:asciiTheme="minorEastAsia" w:hAnsiTheme="minorEastAsia"/>
          <w:bCs/>
          <w:kern w:val="0"/>
          <w:szCs w:val="21"/>
          <w:lang w:val="en-US" w:eastAsia="zh-CN"/>
        </w:rPr>
        <w:t>7.7. 本项目</w:t>
      </w:r>
      <w:r>
        <w:rPr>
          <w:rFonts w:hint="eastAsia" w:cs="宋体" w:asciiTheme="minorEastAsia" w:hAnsiTheme="minorEastAsia" w:eastAsiaTheme="minorEastAsia"/>
          <w:spacing w:val="1"/>
          <w:kern w:val="0"/>
          <w:szCs w:val="21"/>
        </w:rPr>
        <w:t>资金来源</w:t>
      </w:r>
      <w:r>
        <w:rPr>
          <w:rFonts w:hint="eastAsia" w:cs="宋体" w:asciiTheme="minorEastAsia" w:hAnsiTheme="minorEastAsia"/>
          <w:spacing w:val="1"/>
          <w:kern w:val="0"/>
          <w:szCs w:val="21"/>
          <w:lang w:val="en-US" w:eastAsia="zh-CN"/>
        </w:rPr>
        <w:t>为自筹资金。</w:t>
      </w:r>
    </w:p>
    <w:p w14:paraId="0C471FF4">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宋体" w:asciiTheme="minorEastAsia" w:hAnsiTheme="minorEastAsia"/>
          <w:spacing w:val="1"/>
          <w:kern w:val="0"/>
          <w:szCs w:val="21"/>
          <w:lang w:val="en-US" w:eastAsia="zh-CN"/>
        </w:rPr>
        <w:t>7.8. 本</w:t>
      </w:r>
      <w:r>
        <w:rPr>
          <w:rFonts w:hint="eastAsia" w:cs="Arial" w:asciiTheme="minorEastAsia" w:hAnsiTheme="minorEastAsia" w:eastAsiaTheme="minorEastAsia"/>
          <w:bCs/>
          <w:kern w:val="0"/>
          <w:szCs w:val="21"/>
          <w:lang w:val="en-US" w:eastAsia="zh-CN"/>
        </w:rPr>
        <w:t>项目</w:t>
      </w:r>
      <w:r>
        <w:rPr>
          <w:rFonts w:hint="eastAsia" w:cs="Arial" w:asciiTheme="minorEastAsia" w:hAnsiTheme="minorEastAsia" w:eastAsiaTheme="minorEastAsia"/>
          <w:bCs/>
          <w:kern w:val="0"/>
          <w:szCs w:val="21"/>
        </w:rPr>
        <w:t>投标有效期从提交投标文件的截止之日起</w:t>
      </w:r>
      <w:r>
        <w:rPr>
          <w:rFonts w:hint="eastAsia" w:cs="Arial" w:asciiTheme="minorEastAsia" w:hAnsiTheme="minorEastAsia" w:eastAsiaTheme="minorEastAsia"/>
          <w:bCs/>
          <w:kern w:val="0"/>
          <w:szCs w:val="21"/>
          <w:lang w:val="en-US" w:eastAsia="zh-CN"/>
        </w:rPr>
        <w:t>120</w:t>
      </w:r>
      <w:r>
        <w:rPr>
          <w:rFonts w:hint="eastAsia" w:cs="Arial" w:asciiTheme="minorEastAsia" w:hAnsiTheme="minorEastAsia" w:eastAsiaTheme="minorEastAsia"/>
          <w:bCs/>
          <w:kern w:val="0"/>
          <w:szCs w:val="21"/>
        </w:rPr>
        <w:t>日历日内有效。</w:t>
      </w:r>
    </w:p>
    <w:p w14:paraId="36370E08">
      <w:pPr>
        <w:pStyle w:val="32"/>
        <w:widowControl/>
        <w:numPr>
          <w:ilvl w:val="0"/>
          <w:numId w:val="0"/>
        </w:numPr>
        <w:spacing w:line="360" w:lineRule="auto"/>
        <w:ind w:leftChars="0"/>
        <w:jc w:val="left"/>
        <w:rPr>
          <w:rFonts w:hint="default" w:cs="Arial" w:asciiTheme="minorEastAsia" w:hAnsiTheme="minorEastAsia" w:eastAsiaTheme="minorEastAsia"/>
          <w:bCs/>
          <w:kern w:val="0"/>
          <w:szCs w:val="21"/>
          <w:lang w:val="en-US" w:eastAsia="zh-CN"/>
        </w:rPr>
      </w:pPr>
      <w:r>
        <w:rPr>
          <w:rFonts w:hint="eastAsia" w:cs="Arial" w:asciiTheme="minorEastAsia" w:hAnsiTheme="minorEastAsia"/>
          <w:bCs/>
          <w:kern w:val="0"/>
          <w:szCs w:val="21"/>
          <w:lang w:val="en-US" w:eastAsia="zh-CN"/>
        </w:rPr>
        <w:t>7.9. 本项目不允许</w:t>
      </w:r>
      <w:r>
        <w:rPr>
          <w:rFonts w:cs="Arial" w:asciiTheme="minorEastAsia" w:hAnsiTheme="minorEastAsia" w:eastAsiaTheme="minorEastAsia"/>
          <w:bCs/>
          <w:kern w:val="0"/>
          <w:szCs w:val="21"/>
        </w:rPr>
        <w:t>提交备选方案</w:t>
      </w:r>
      <w:r>
        <w:rPr>
          <w:rFonts w:hint="eastAsia" w:cs="Arial" w:asciiTheme="minorEastAsia" w:hAnsiTheme="minorEastAsia"/>
          <w:bCs/>
          <w:kern w:val="0"/>
          <w:szCs w:val="21"/>
          <w:lang w:val="en-US" w:eastAsia="zh-CN"/>
        </w:rPr>
        <w:t>或替代方案。</w:t>
      </w:r>
    </w:p>
    <w:p w14:paraId="3CAB0B6D">
      <w:pPr>
        <w:pStyle w:val="32"/>
        <w:widowControl/>
        <w:numPr>
          <w:ilvl w:val="0"/>
          <w:numId w:val="0"/>
        </w:numPr>
        <w:spacing w:line="360" w:lineRule="auto"/>
        <w:ind w:leftChars="0"/>
        <w:jc w:val="left"/>
        <w:rPr>
          <w:rFonts w:hint="default" w:asciiTheme="minorEastAsia" w:hAnsiTheme="minorEastAsia"/>
          <w:szCs w:val="21"/>
          <w:lang w:val="en-US" w:eastAsia="zh-CN"/>
        </w:rPr>
      </w:pPr>
    </w:p>
    <w:p w14:paraId="1025FF3E">
      <w:pPr>
        <w:rPr>
          <w:rFonts w:ascii="宋体" w:hAnsi="宋体"/>
          <w:szCs w:val="21"/>
        </w:rPr>
      </w:pPr>
      <w:r>
        <w:rPr>
          <w:rFonts w:hint="eastAsia" w:ascii="宋体" w:hAnsi="宋体"/>
          <w:szCs w:val="21"/>
        </w:rPr>
        <w:br w:type="page"/>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bookmarkStart w:id="17" w:name="_Toc435515292"/>
      <w:bookmarkStart w:id="18" w:name="_Toc435514852"/>
      <w:bookmarkStart w:id="19" w:name="_Toc8080"/>
      <w:bookmarkStart w:id="20" w:name="_Toc1246"/>
      <w:bookmarkStart w:id="21" w:name="_Toc14800"/>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3CB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593FFEC">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56ECC894">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4" w:type="dxa"/>
            <w:vAlign w:val="center"/>
          </w:tcPr>
          <w:p w14:paraId="39E51F3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47AF07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123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108B9FF">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0208E076">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7ACCFE82">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通过</w:t>
            </w:r>
          </w:p>
          <w:p w14:paraId="5DC3DC10">
            <w:pPr>
              <w:keepNext w:val="0"/>
              <w:keepLines w:val="0"/>
              <w:suppressLineNumbers w:val="0"/>
              <w:spacing w:before="0" w:beforeAutospacing="0" w:after="0" w:afterAutospacing="0"/>
              <w:ind w:left="36" w:leftChars="17" w:right="0"/>
              <w:jc w:val="left"/>
              <w:rPr>
                <w:rFonts w:hint="eastAsia" w:ascii="宋体" w:hAnsi="宋体" w:eastAsia="宋体" w:cs="宋体"/>
                <w:b/>
                <w:bCs/>
                <w:szCs w:val="21"/>
                <w:highlight w:val="none"/>
              </w:rPr>
            </w:pPr>
            <w:r>
              <w:rPr>
                <w:rFonts w:hint="eastAsia" w:ascii="宋体" w:hAnsi="宋体" w:eastAsia="宋体" w:cs="宋体"/>
                <w:szCs w:val="21"/>
                <w:highlight w:val="none"/>
              </w:rPr>
              <w:t>□不通过</w:t>
            </w:r>
          </w:p>
        </w:tc>
        <w:tc>
          <w:tcPr>
            <w:tcW w:w="1982" w:type="dxa"/>
            <w:vAlign w:val="center"/>
          </w:tcPr>
          <w:p w14:paraId="5B5D55D6">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7FD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4438968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48B940B7">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FE0F9B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3DA1E09">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1982" w:type="dxa"/>
            <w:vAlign w:val="center"/>
          </w:tcPr>
          <w:p w14:paraId="0C693187">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0669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5DBC085">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36430FE0">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0" w:type="dxa"/>
            <w:vAlign w:val="center"/>
          </w:tcPr>
          <w:p w14:paraId="1882E7B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6B0CE3E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4271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4B6F9C66">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17123E6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15643595">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C69864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46247A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ED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EAE879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213D8FB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5DB3C5B8">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01F7F9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F8546C6">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A2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5D16134">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4BBECC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谈判文件未规定允许有替代方案时，对同一项目投标时，同时提供两套或两套以上的投标方案</w:t>
            </w:r>
          </w:p>
        </w:tc>
        <w:tc>
          <w:tcPr>
            <w:tcW w:w="1240" w:type="dxa"/>
            <w:vAlign w:val="center"/>
          </w:tcPr>
          <w:p w14:paraId="7A1ECE8C">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7806385">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5E8C4F59">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6B1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0A89A3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22EE69D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分项报价或投标总价高于限价，或未按照谈判文件的报价要求进行报价的</w:t>
            </w:r>
          </w:p>
        </w:tc>
        <w:tc>
          <w:tcPr>
            <w:tcW w:w="1240" w:type="dxa"/>
            <w:vAlign w:val="center"/>
          </w:tcPr>
          <w:p w14:paraId="120867D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E85AA18">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5BA996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79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A639A5F">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D5139DB">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7E179E5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2F0D542">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CC6E02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08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5DDC7960">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604CD95">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c>
          <w:tcPr>
            <w:tcW w:w="1240" w:type="dxa"/>
            <w:vAlign w:val="center"/>
          </w:tcPr>
          <w:p w14:paraId="1D7EEC76">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1C3E7CF">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F0CE86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C9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72D3DC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610B561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10AE87C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61AC2AE6">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6D0368C4">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D6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2BBB33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14144B0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c>
          <w:tcPr>
            <w:tcW w:w="1240" w:type="dxa"/>
            <w:vAlign w:val="center"/>
          </w:tcPr>
          <w:p w14:paraId="24F79408">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F8475AB">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2935A99">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BE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A65B0D7">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5E048D7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59DEF0EB">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7AEC887">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613D6B8">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464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046827F">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59650854">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4FFCE5E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4D078DE">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22C2C0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9CC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140975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0ED8E5A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5288EE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2C847D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013E76C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请投标人按照招标文件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30875"/>
      <w:bookmarkStart w:id="28" w:name="_Toc2074"/>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rPr>
        <w:t>招标文件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“招标文件中明确的所属行业”</w:t>
      </w:r>
      <w:r>
        <w:rPr>
          <w:rFonts w:hint="eastAsia"/>
          <w:color w:val="auto"/>
        </w:rPr>
        <w:t>下划线处填写采购标的对应的中小企业划分标准所属行业（</w:t>
      </w:r>
      <w:r>
        <w:rPr>
          <w:rFonts w:hint="eastAsia"/>
          <w:b/>
          <w:bCs/>
          <w:color w:val="auto"/>
        </w:rPr>
        <w:t>所属行业可在招标文件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《中小企业声明函》中制造商所属行业应当与招标文件要求的行业相一致，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533FC00">
      <w:pPr>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除招标文件另有规定外，投标文件内不得含有任何对本报价进行价格折扣的说明或资料，否则为无效投标。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招标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275865611"/>
      <w:bookmarkStart w:id="32" w:name="_Toc435514866"/>
      <w:bookmarkStart w:id="33" w:name="_Toc6350"/>
      <w:bookmarkStart w:id="34" w:name="_Toc435515306"/>
      <w:bookmarkStart w:id="35" w:name="_Toc192662843"/>
      <w:bookmarkStart w:id="36" w:name="_Toc2203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投标人需根据招标文件采购数量如实填写投标数量。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435515294"/>
      <w:bookmarkStart w:id="38" w:name="_Toc1762"/>
      <w:bookmarkStart w:id="39" w:name="_Toc24434"/>
      <w:bookmarkStart w:id="40" w:name="_Toc435514854"/>
      <w:bookmarkStart w:id="41" w:name="_Toc20322_WPSOffice_Level1"/>
      <w:bookmarkStart w:id="42" w:name="_Toc27586560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我单位愿意遵守招标文件的各项规定，自愿参加投标，并已清楚招标文件的要求及有关文件规定，并严格按照招标文件的规定履行全部责任和义务。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 xml:space="preserve">如果我单位未对招标文件全部要求作出实质性响应，则完全同意并接受按无效投标处理。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1、投标函中承诺的投标有效期应当不少于招标文件中载明的投标有效期，否则视为无效投标。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35514855"/>
      <w:bookmarkStart w:id="44" w:name="_Toc435515295"/>
      <w:bookmarkStart w:id="45" w:name="_Toc24650"/>
      <w:bookmarkStart w:id="46" w:name="_Toc275865606"/>
      <w:bookmarkStart w:id="47" w:name="_Toc4649"/>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7297"/>
      <w:bookmarkStart w:id="50" w:name="_Toc435515299"/>
      <w:bookmarkStart w:id="51" w:name="_Toc50736477"/>
      <w:bookmarkStart w:id="52" w:name="_Toc24149"/>
      <w:bookmarkStart w:id="53" w:name="_Toc52165081"/>
      <w:bookmarkStart w:id="54" w:name="_Toc50737329"/>
      <w:bookmarkStart w:id="55" w:name="_Toc27672"/>
      <w:bookmarkStart w:id="56" w:name="_Toc435514859"/>
      <w:bookmarkStart w:id="57" w:name="_Toc275865607"/>
      <w:bookmarkStart w:id="58" w:name="_Toc50736476"/>
      <w:bookmarkStart w:id="59" w:name="_Toc52165080"/>
      <w:bookmarkStart w:id="60" w:name="_Toc50737296"/>
      <w:bookmarkStart w:id="61" w:name="_Toc50691034"/>
      <w:bookmarkStart w:id="62" w:name="_Toc50737328"/>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5300"/>
      <w:bookmarkStart w:id="64" w:name="_Toc435514860"/>
      <w:bookmarkStart w:id="65" w:name="_Toc14289"/>
      <w:bookmarkStart w:id="66" w:name="_Toc275865608"/>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126"/>
      <w:bookmarkStart w:id="72" w:name="_Toc25910"/>
      <w:bookmarkStart w:id="73" w:name="_Toc777"/>
      <w:bookmarkStart w:id="74" w:name="_Toc15871"/>
      <w:bookmarkStart w:id="75" w:name="_Toc2305"/>
      <w:bookmarkStart w:id="76" w:name="_Toc11352"/>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要求”，详细填写自身响应情况，而不能不合理照搬照抄招标文件的商务要求，以体现具体响应情况。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、“投标商务响应”一栏必须一一对照“招标商务要求”，详细填写自身响应情况，而不能不合理照搬照抄招标文件的商务要求，以体现具体响应情况。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5318"/>
      <w:bookmarkStart w:id="83" w:name="_Toc435514878"/>
      <w:bookmarkStart w:id="84" w:name="_Toc275865626"/>
      <w:bookmarkStart w:id="85" w:name="_Toc173553195"/>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招标文件要求的其他内容及投标人认为需要加以说明其他内容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11652"/>
      <w:bookmarkStart w:id="92" w:name="_Toc1658"/>
      <w:bookmarkStart w:id="93" w:name="_Toc438223136"/>
      <w:bookmarkStart w:id="94" w:name="_Toc435174933"/>
      <w:bookmarkStart w:id="95" w:name="_Toc435516650"/>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本招标文件适用于本投标邀请中所述采购项目。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本招标文件适用于货物采购项目。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指根据本招标文件模板的要求规范填写，打印输出并盖有单位公章的投标文件原件。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rPr>
        <w:t>招标文件中的标题或题名仅起引导作用，而不应视为对招标文件内容的理解和解释。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服务是指除货物和工程以外的其他政府采购对象，其中包括：投标人须承担的运输、安装、技术支持、培训以及招标文件规定的其它服务。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招标文件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招标文件注意事项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投标人获得招标文件后，应仔细检查招标文件的所有内容，如有残缺应在投标截止时间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在网上发布或书面通知，均作无效处理，不得作为招标文件的组成部分。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eastAsiaTheme="minorEastAsia"/>
          <w:bCs/>
          <w:color w:val="auto"/>
          <w:szCs w:val="21"/>
          <w:highlight w:val="none"/>
        </w:rPr>
        <w:t>招标文件澄清的目的是澄清、解答投标人在查阅招标文件后或现场踏勘中可能提出的与投标有关的疑问或询问。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对招标文件进行澄清或者对招标文件有限制性、倾向性条款提出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对规定时间内收到的对招标文件的澄清或者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根据需要主动对招标文件进行必要的澄清或是根据投标人的要求对招标文件做出澄清，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都将在投标截止日期前以书面形式（包括网站发布方式）答复或发送给所有投标人。答复内容是招标文件的组成部分，对投标人起约束作用。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eastAsiaTheme="minorEastAsia"/>
          <w:bCs/>
          <w:color w:val="auto"/>
          <w:szCs w:val="21"/>
          <w:highlight w:val="none"/>
        </w:rPr>
        <w:t>招标文件发出后，在投标截止日期前任何时候，确需要变更招标内容的，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可主动地或在解答投标人提出的澄清问题时对招标文件进行修改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eastAsiaTheme="minorEastAsia"/>
          <w:bCs/>
          <w:color w:val="auto"/>
          <w:szCs w:val="21"/>
          <w:highlight w:val="none"/>
        </w:rPr>
        <w:t>招标文件的修改均在指定网站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eastAsiaTheme="minorEastAsia"/>
          <w:bCs/>
          <w:color w:val="auto"/>
          <w:szCs w:val="21"/>
          <w:highlight w:val="none"/>
        </w:rPr>
        <w:t>招标文件、招标文件澄清（答疑）纪要、招标文件修改补充通知内容均以书面明确的内容为准。当招标文件、修改补充通知、澄清（答疑）纪要内容相互矛盾时，以最后发出的通知（或纪要）或修改文件为准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22222"/>
      <w:bookmarkStart w:id="106" w:name="_Toc435174935"/>
      <w:bookmarkStart w:id="107" w:name="_Toc435516652"/>
      <w:bookmarkStart w:id="108" w:name="_Toc15510"/>
      <w:bookmarkStart w:id="109" w:name="_Toc438223138"/>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投标文件的构成应符合法律法规及招标文件的要求。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如果因为投标人的投标文件只填写和提供了本招标文件要求的部分内容和附件，或没有提供招标文件中所要求的资料及数据，由此造成的后果和责任由投标人承担。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如招标文件提供了投标文件格式，则投标人提交的投标文件必须毫无例外地使用招标文件所提供的相应格式（表格可以按同样格式扩展）。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按招标文件的要求全部货物及服务内容所需的所有费用，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证明投标标的的合格性和符合招标文件规定的文件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投标人应提交证明文件，证明其拟投标的货物和服务的合格性符合招标文件规定。该证明文件作为投标文件的一部分。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明货物和服务与招标文件的要求相一致的文件，可以是文字资料、图纸和数据。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8223139"/>
      <w:bookmarkStart w:id="120" w:name="_Toc435174936"/>
      <w:bookmarkStart w:id="121" w:name="_Toc435516653"/>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电子文件：是指将按招标文件要求签署、盖章后的正本投标文件扫描成PDF格式后拷贝至无病毒无密码的U盘或光盘。电子文件与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投标文件的正本需打印或用不褪色墨水书写，且招标文件要求签名的由法定代表人或经其正式授权的代表签字或盖章，以及招标文件中明示盖公章处及要求提供的证明材料应盖投标人公章，副本可以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rPr>
        <w:t>招标文件中规定的开标日期和时间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逾期送达或者未按照招标文件要求密封的投标文件，采购人应当拒收。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招标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投标人在投标截止后或在招标文件中规定的投标有效期内不可撤销其投标。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5516655"/>
      <w:bookmarkStart w:id="129" w:name="_Toc6704"/>
      <w:bookmarkStart w:id="130" w:name="_Toc435174938"/>
      <w:bookmarkStart w:id="131" w:name="_Toc20050"/>
      <w:bookmarkStart w:id="132" w:name="_Toc438223141"/>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采购人应当自中标通知书发出之日起十个工作日内，按照招标文件和中标人投标文件的约定，与中标人签订书面合同。所签订的合同不得对招标文件和中标人投标文件作实质性修改。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BC13EC6">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仿宋"/>
          <w:b/>
          <w:bCs w:val="0"/>
          <w:kern w:val="2"/>
          <w:sz w:val="32"/>
          <w:szCs w:val="32"/>
          <w:lang w:val="en-US" w:eastAsia="zh-CN" w:bidi="ar"/>
        </w:rPr>
        <w:t>合同编号：Ftey-sb-202408-0XX</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法定代表人/负责人或授权代表：赵蓉</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地址：深圳市福田区梅林街道中康路27号</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联系电话：0755-83279817</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2024年XX月XX日“XXXX”（招标编号：XXXX）采购项目的结果，按照《中华人民共和国民法典》《中华人民共和国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（1）项目的中标通知书、招标文件、答疑及补充通知；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6.乙方未履行本合同项下的其他义务或违反招标文件的要求或其在投标文件中的相关承诺的，乙方须在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4.招标文件（含澄清或者修改文件）；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73E393E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地址：深圳市福田区梅林街道</w:t>
            </w:r>
          </w:p>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中康路27号</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话：0755-83279817</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开户银行：建行深圳梅林支行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号：44201550900051002164</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一、严格遵守《中华人民共和国招标投标法》、《中华人民共和国政府采购法》等法律法规，决不发生以下行为：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3.与招标人或者其他投标人相互串通投标；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5.中标后与招标人签订背离投标文件及合同实质性内容的私下协议；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6.其他违反招标投标、政府采购等法律法规的行为。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797690-A89D-40C4-8CF0-7F8F4465E2AC}"/>
  </w:font>
  <w:font w:name="黑体">
    <w:panose1 w:val="02010609060101010101"/>
    <w:charset w:val="86"/>
    <w:family w:val="auto"/>
    <w:pitch w:val="default"/>
    <w:sig w:usb0="800002BF" w:usb1="38CF7CFA" w:usb2="00000016" w:usb3="00000000" w:csb0="00040001" w:csb1="00000000"/>
    <w:embedRegular r:id="rId2" w:fontKey="{AC32A141-D490-44A4-84FC-B193D811D64B}"/>
  </w:font>
  <w:font w:name="Courier New">
    <w:panose1 w:val="02070309020205020404"/>
    <w:charset w:val="01"/>
    <w:family w:val="modern"/>
    <w:pitch w:val="default"/>
    <w:sig w:usb0="E0002EFF" w:usb1="C0007843" w:usb2="00000009" w:usb3="00000000" w:csb0="400001FF" w:csb1="FFFF0000"/>
    <w:embedRegular r:id="rId3" w:fontKey="{BD3563EC-D718-410E-82DB-98FBCB8F0F2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B30AB9A-8E06-4AF8-AB72-47054446ED2A}"/>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2E5600B1-F76E-4200-AEB7-5C2C9F3B97B0}"/>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0D716B8A-F834-4D20-8B34-BA01D5AF466F}"/>
  </w:font>
  <w:font w:name="Wingdings 2">
    <w:panose1 w:val="05020102010507070707"/>
    <w:charset w:val="00"/>
    <w:family w:val="auto"/>
    <w:pitch w:val="default"/>
    <w:sig w:usb0="00000000" w:usb1="00000000" w:usb2="00000000" w:usb3="00000000" w:csb0="80000000" w:csb1="00000000"/>
    <w:embedRegular r:id="rId7" w:fontKey="{F99C444D-0D0C-4BD1-87AA-1A80C98CDD70}"/>
  </w:font>
  <w:font w:name="方正仿宋_GBK">
    <w:altName w:val="微软雅黑"/>
    <w:panose1 w:val="00000000000000000000"/>
    <w:charset w:val="86"/>
    <w:family w:val="auto"/>
    <w:pitch w:val="default"/>
    <w:sig w:usb0="00000000" w:usb1="00000000" w:usb2="00000000" w:usb3="00000000" w:csb0="00040000" w:csb1="00000000"/>
    <w:embedRegular r:id="rId8" w:fontKey="{20ECE49F-C766-403E-82B2-C1CAB7ABF0C2}"/>
  </w:font>
  <w:font w:name="ˎ̥">
    <w:altName w:val="Times New Roman"/>
    <w:panose1 w:val="00000000000000000000"/>
    <w:charset w:val="00"/>
    <w:family w:val="roman"/>
    <w:pitch w:val="default"/>
    <w:sig w:usb0="00000000" w:usb1="00000000" w:usb2="00000000" w:usb3="00000000" w:csb0="00040001" w:csb1="00000000"/>
    <w:embedRegular r:id="rId9" w:fontKey="{1B5C009C-2B9A-4D44-BBF6-F08266B947BA}"/>
  </w:font>
  <w:font w:name="方正小标宋简体">
    <w:panose1 w:val="02010600010101010101"/>
    <w:charset w:val="86"/>
    <w:family w:val="auto"/>
    <w:pitch w:val="default"/>
    <w:sig w:usb0="00000001" w:usb1="080E0000" w:usb2="00000000" w:usb3="00000000" w:csb0="00040000" w:csb1="00000000"/>
    <w:embedRegular r:id="rId10" w:fontKey="{76F6AFCC-B59B-4EFB-94A4-D53D96BBA001}"/>
  </w:font>
  <w:font w:name="方正小标宋_GBK">
    <w:panose1 w:val="02000000000000000000"/>
    <w:charset w:val="86"/>
    <w:family w:val="auto"/>
    <w:pitch w:val="default"/>
    <w:sig w:usb0="A00002BF" w:usb1="38CF7CFA" w:usb2="00082016" w:usb3="00000000" w:csb0="00040001" w:csb1="00000000"/>
    <w:embedRegular r:id="rId11" w:fontKey="{0CCD20E8-9E6E-454A-A277-9276ACEF301C}"/>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46F3F65"/>
    <w:rsid w:val="047E7636"/>
    <w:rsid w:val="05830AC6"/>
    <w:rsid w:val="05E163D0"/>
    <w:rsid w:val="06A974F2"/>
    <w:rsid w:val="0744295F"/>
    <w:rsid w:val="075E2523"/>
    <w:rsid w:val="080655EC"/>
    <w:rsid w:val="09A06388"/>
    <w:rsid w:val="0B89451B"/>
    <w:rsid w:val="0F2B57C3"/>
    <w:rsid w:val="0F3833E7"/>
    <w:rsid w:val="0FEF647A"/>
    <w:rsid w:val="113F716A"/>
    <w:rsid w:val="11A46535"/>
    <w:rsid w:val="12DD6F01"/>
    <w:rsid w:val="13251FF4"/>
    <w:rsid w:val="133438E9"/>
    <w:rsid w:val="13F055CF"/>
    <w:rsid w:val="14BB18F8"/>
    <w:rsid w:val="15E056F0"/>
    <w:rsid w:val="16FD7F75"/>
    <w:rsid w:val="182D25C2"/>
    <w:rsid w:val="187C40C2"/>
    <w:rsid w:val="19C34D79"/>
    <w:rsid w:val="1D054F0A"/>
    <w:rsid w:val="1D0B2FB0"/>
    <w:rsid w:val="1E1B7543"/>
    <w:rsid w:val="205729C5"/>
    <w:rsid w:val="20B61DE1"/>
    <w:rsid w:val="230949B3"/>
    <w:rsid w:val="239F6B5C"/>
    <w:rsid w:val="24106E72"/>
    <w:rsid w:val="24487A08"/>
    <w:rsid w:val="262C78E7"/>
    <w:rsid w:val="26A900A8"/>
    <w:rsid w:val="275859A0"/>
    <w:rsid w:val="29833AC2"/>
    <w:rsid w:val="2B4C1378"/>
    <w:rsid w:val="2B944078"/>
    <w:rsid w:val="2C150838"/>
    <w:rsid w:val="2C3E49FC"/>
    <w:rsid w:val="2D18339C"/>
    <w:rsid w:val="2D8D5C78"/>
    <w:rsid w:val="2EDA56D5"/>
    <w:rsid w:val="2EE67D35"/>
    <w:rsid w:val="2F623005"/>
    <w:rsid w:val="31C0486E"/>
    <w:rsid w:val="32674CE9"/>
    <w:rsid w:val="32BB4225"/>
    <w:rsid w:val="348651FA"/>
    <w:rsid w:val="35294DAE"/>
    <w:rsid w:val="35F76384"/>
    <w:rsid w:val="36865435"/>
    <w:rsid w:val="37743C09"/>
    <w:rsid w:val="37753A04"/>
    <w:rsid w:val="38AA1DD4"/>
    <w:rsid w:val="38E30E42"/>
    <w:rsid w:val="3A663179"/>
    <w:rsid w:val="3B273268"/>
    <w:rsid w:val="3C844841"/>
    <w:rsid w:val="3D626DA6"/>
    <w:rsid w:val="3ED82EA8"/>
    <w:rsid w:val="3FB3156E"/>
    <w:rsid w:val="3FF9372A"/>
    <w:rsid w:val="4000052B"/>
    <w:rsid w:val="40624EF6"/>
    <w:rsid w:val="41B77024"/>
    <w:rsid w:val="437A1489"/>
    <w:rsid w:val="480F755D"/>
    <w:rsid w:val="486B29D8"/>
    <w:rsid w:val="48C4659A"/>
    <w:rsid w:val="494A4D03"/>
    <w:rsid w:val="4A4B30A6"/>
    <w:rsid w:val="4B6E11E7"/>
    <w:rsid w:val="4BB057D6"/>
    <w:rsid w:val="4D4B557E"/>
    <w:rsid w:val="4E287B8F"/>
    <w:rsid w:val="4E2B2C17"/>
    <w:rsid w:val="4F7227C9"/>
    <w:rsid w:val="51CA5707"/>
    <w:rsid w:val="52662470"/>
    <w:rsid w:val="52796647"/>
    <w:rsid w:val="52835739"/>
    <w:rsid w:val="528965FF"/>
    <w:rsid w:val="54034D64"/>
    <w:rsid w:val="548605A3"/>
    <w:rsid w:val="55223429"/>
    <w:rsid w:val="569B620B"/>
    <w:rsid w:val="571E156B"/>
    <w:rsid w:val="58BB3F34"/>
    <w:rsid w:val="58EB2CD9"/>
    <w:rsid w:val="592204BC"/>
    <w:rsid w:val="5D045FFD"/>
    <w:rsid w:val="5DED21E0"/>
    <w:rsid w:val="5E533026"/>
    <w:rsid w:val="5F7F1015"/>
    <w:rsid w:val="603040BD"/>
    <w:rsid w:val="63DA5557"/>
    <w:rsid w:val="66FB3482"/>
    <w:rsid w:val="68921DB9"/>
    <w:rsid w:val="69D81A4D"/>
    <w:rsid w:val="69EE0DB5"/>
    <w:rsid w:val="6A507835"/>
    <w:rsid w:val="6B1E5ABE"/>
    <w:rsid w:val="6B55431D"/>
    <w:rsid w:val="6B7258C3"/>
    <w:rsid w:val="6CA908B2"/>
    <w:rsid w:val="6D6134B1"/>
    <w:rsid w:val="6FA3559F"/>
    <w:rsid w:val="70497201"/>
    <w:rsid w:val="7083201C"/>
    <w:rsid w:val="708A7E9A"/>
    <w:rsid w:val="70A95EF1"/>
    <w:rsid w:val="70C67989"/>
    <w:rsid w:val="72367718"/>
    <w:rsid w:val="73C80160"/>
    <w:rsid w:val="73F85F77"/>
    <w:rsid w:val="755469EE"/>
    <w:rsid w:val="76764645"/>
    <w:rsid w:val="77187ACC"/>
    <w:rsid w:val="77813724"/>
    <w:rsid w:val="780A23D9"/>
    <w:rsid w:val="786D4A31"/>
    <w:rsid w:val="788039DC"/>
    <w:rsid w:val="78FA0D3D"/>
    <w:rsid w:val="798677EE"/>
    <w:rsid w:val="7A2747BD"/>
    <w:rsid w:val="7A7430CC"/>
    <w:rsid w:val="7B2C15E1"/>
    <w:rsid w:val="7BC4348B"/>
    <w:rsid w:val="7CA61410"/>
    <w:rsid w:val="7D0D1FD1"/>
    <w:rsid w:val="7D806106"/>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4386</Words>
  <Characters>4446</Characters>
  <Lines>1</Lines>
  <Paragraphs>1</Paragraphs>
  <TotalTime>9</TotalTime>
  <ScaleCrop>false</ScaleCrop>
  <LinksUpToDate>false</LinksUpToDate>
  <CharactersWithSpaces>4811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2025-10-17T01:57:53Z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940E8274950E456189E7A67BC000A492_13</vt:lpwstr>
  </property>
  <property fmtid="{D5CDD505-2E9C-101B-9397-08002B2CF9AE}" pid="4" name="KSOTemplateDocerSaveRecord">
    <vt:lpwstr>eyJoZGlkIjoiM2EyNDYyYmQ1ZDA0NDE2ZWMxMTVjMTBjNjZlNGMxZWMiLCJ1c2VySWQiOiIxOTQ5NzkyNTQifQ==</vt:lpwstr>
  </property>
</Properties>
</file>