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79876">
      <w:pPr>
        <w:rPr>
          <w:rFonts w:hint="eastAsia" w:ascii="仿宋" w:hAnsi="仿宋" w:eastAsia="仿宋" w:cs="仿宋"/>
        </w:rPr>
      </w:pPr>
    </w:p>
    <w:p w14:paraId="282F2E4C">
      <w:pPr>
        <w:tabs>
          <w:tab w:val="left" w:pos="420"/>
          <w:tab w:val="left" w:pos="6660"/>
        </w:tabs>
        <w:spacing w:line="1600" w:lineRule="atLeast"/>
        <w:ind w:right="-512" w:rightChars="-244"/>
        <w:jc w:val="center"/>
        <w:rPr>
          <w:rFonts w:hint="eastAsia" w:ascii="宋体" w:hAnsi="宋体" w:cs="宋体"/>
          <w:b/>
          <w:sz w:val="72"/>
          <w:szCs w:val="72"/>
          <w:highlight w:val="none"/>
        </w:rPr>
      </w:pPr>
      <w:r>
        <w:rPr>
          <w:rFonts w:hint="eastAsia" w:ascii="宋体" w:hAnsi="宋体" w:cs="宋体"/>
          <w:b/>
          <w:sz w:val="72"/>
          <w:szCs w:val="72"/>
          <w:highlight w:val="none"/>
          <w:lang w:eastAsia="zh-CN"/>
        </w:rPr>
        <w:t>深圳市福田区第二人民医院</w:t>
      </w:r>
    </w:p>
    <w:p w14:paraId="52F026B6">
      <w:pPr>
        <w:tabs>
          <w:tab w:val="left" w:pos="420"/>
          <w:tab w:val="left" w:pos="6660"/>
        </w:tabs>
        <w:spacing w:line="1600" w:lineRule="atLeast"/>
        <w:jc w:val="center"/>
        <w:rPr>
          <w:rFonts w:hint="eastAsia" w:ascii="仿宋" w:hAnsi="仿宋" w:eastAsia="仿宋" w:cs="仿宋"/>
          <w:sz w:val="44"/>
        </w:rPr>
      </w:pPr>
      <w:r>
        <w:rPr>
          <w:rFonts w:hint="eastAsia" w:ascii="宋体" w:hAnsi="宋体" w:cs="宋体"/>
          <w:b/>
          <w:sz w:val="84"/>
          <w:szCs w:val="84"/>
          <w:highlight w:val="none"/>
        </w:rPr>
        <w:t>单一来源</w:t>
      </w:r>
      <w:r>
        <w:rPr>
          <w:rFonts w:hint="eastAsia" w:ascii="宋体" w:hAnsi="宋体" w:cs="宋体"/>
          <w:b/>
          <w:sz w:val="84"/>
          <w:szCs w:val="84"/>
          <w:highlight w:val="none"/>
          <w:lang w:val="en-US" w:eastAsia="zh-CN"/>
        </w:rPr>
        <w:t>谈判</w:t>
      </w:r>
      <w:r>
        <w:rPr>
          <w:rFonts w:hint="eastAsia" w:ascii="宋体" w:hAnsi="宋体" w:cs="宋体"/>
          <w:b/>
          <w:sz w:val="84"/>
          <w:szCs w:val="84"/>
          <w:highlight w:val="none"/>
        </w:rPr>
        <w:t>文件</w:t>
      </w:r>
    </w:p>
    <w:p w14:paraId="34849FF9">
      <w:pPr>
        <w:spacing w:line="500" w:lineRule="exact"/>
        <w:ind w:firstLine="301" w:firstLineChars="100"/>
        <w:jc w:val="left"/>
        <w:outlineLvl w:val="0"/>
        <w:rPr>
          <w:rFonts w:hint="eastAsia" w:ascii="宋体" w:hAnsi="宋体" w:eastAsia="宋体" w:cs="宋体"/>
          <w:b/>
          <w:bCs/>
          <w:sz w:val="30"/>
          <w:szCs w:val="30"/>
          <w:highlight w:val="none"/>
        </w:rPr>
      </w:pPr>
    </w:p>
    <w:p w14:paraId="3932F528">
      <w:pPr>
        <w:spacing w:line="500" w:lineRule="exact"/>
        <w:ind w:firstLine="301" w:firstLineChars="100"/>
        <w:jc w:val="left"/>
        <w:outlineLvl w:val="0"/>
        <w:rPr>
          <w:rFonts w:hint="eastAsia" w:ascii="宋体" w:hAnsi="宋体" w:eastAsia="宋体" w:cs="宋体"/>
          <w:b/>
          <w:bCs/>
          <w:sz w:val="30"/>
          <w:szCs w:val="30"/>
          <w:highlight w:val="none"/>
        </w:rPr>
      </w:pPr>
    </w:p>
    <w:p w14:paraId="05BC4B03">
      <w:pPr>
        <w:spacing w:line="500" w:lineRule="exact"/>
        <w:ind w:firstLine="301" w:firstLineChars="100"/>
        <w:jc w:val="left"/>
        <w:outlineLvl w:val="0"/>
        <w:rPr>
          <w:rFonts w:hint="eastAsia" w:ascii="宋体" w:hAnsi="宋体" w:eastAsia="宋体" w:cs="宋体"/>
          <w:b/>
          <w:bCs/>
          <w:sz w:val="30"/>
          <w:szCs w:val="30"/>
          <w:highlight w:val="none"/>
        </w:rPr>
      </w:pPr>
    </w:p>
    <w:p w14:paraId="3BEF486F">
      <w:pPr>
        <w:spacing w:line="500" w:lineRule="exact"/>
        <w:ind w:firstLine="301" w:firstLineChars="100"/>
        <w:jc w:val="left"/>
        <w:outlineLvl w:val="0"/>
        <w:rPr>
          <w:rFonts w:hint="eastAsia" w:ascii="宋体" w:hAnsi="宋体" w:eastAsia="宋体" w:cs="宋体"/>
          <w:b/>
          <w:bCs/>
          <w:sz w:val="30"/>
          <w:szCs w:val="30"/>
          <w:highlight w:val="none"/>
        </w:rPr>
      </w:pPr>
    </w:p>
    <w:p w14:paraId="28882CED">
      <w:pPr>
        <w:spacing w:line="500" w:lineRule="exact"/>
        <w:jc w:val="left"/>
        <w:outlineLvl w:val="0"/>
        <w:rPr>
          <w:rFonts w:ascii="宋体" w:hAnsi="宋体" w:eastAsia="宋体" w:cs="宋体"/>
          <w:b/>
          <w:bCs/>
          <w:sz w:val="30"/>
          <w:szCs w:val="30"/>
          <w:highlight w:val="none"/>
        </w:rPr>
      </w:pPr>
      <w:r>
        <w:rPr>
          <w:rFonts w:hint="eastAsia" w:ascii="宋体" w:hAnsi="宋体" w:eastAsia="宋体" w:cs="宋体"/>
          <w:b/>
          <w:bCs/>
          <w:sz w:val="30"/>
          <w:szCs w:val="30"/>
          <w:highlight w:val="none"/>
        </w:rPr>
        <w:t>项目编号：</w:t>
      </w:r>
      <w:r>
        <w:rPr>
          <w:rFonts w:hint="eastAsia" w:ascii="宋体" w:hAnsi="宋体" w:eastAsia="宋体" w:cs="宋体"/>
          <w:b/>
          <w:bCs/>
          <w:sz w:val="30"/>
          <w:szCs w:val="30"/>
          <w:highlight w:val="none"/>
          <w:lang w:val="en-US" w:eastAsia="zh-CN"/>
        </w:rPr>
        <w:t>FTEY</w:t>
      </w:r>
      <w:r>
        <w:rPr>
          <w:rFonts w:hint="eastAsia" w:ascii="宋体" w:hAnsi="宋体" w:eastAsia="宋体" w:cs="宋体"/>
          <w:b/>
          <w:bCs/>
          <w:sz w:val="30"/>
          <w:szCs w:val="30"/>
          <w:highlight w:val="none"/>
          <w:lang w:val="zh-CN"/>
        </w:rPr>
        <w:t>-</w:t>
      </w:r>
      <w:r>
        <w:rPr>
          <w:rFonts w:hint="eastAsia" w:ascii="宋体" w:hAnsi="宋体" w:cs="宋体"/>
          <w:b/>
          <w:bCs/>
          <w:sz w:val="30"/>
          <w:szCs w:val="30"/>
          <w:highlight w:val="none"/>
          <w:lang w:val="en-US" w:eastAsia="zh-CN"/>
        </w:rPr>
        <w:t>ZXCG-</w:t>
      </w:r>
      <w:r>
        <w:rPr>
          <w:rFonts w:hint="eastAsia" w:ascii="宋体" w:hAnsi="宋体" w:eastAsia="宋体" w:cs="宋体"/>
          <w:b/>
          <w:bCs/>
          <w:sz w:val="30"/>
          <w:szCs w:val="30"/>
          <w:highlight w:val="none"/>
          <w:lang w:val="en-US" w:eastAsia="zh-CN"/>
        </w:rPr>
        <w:t>20250</w:t>
      </w:r>
      <w:r>
        <w:rPr>
          <w:rFonts w:hint="eastAsia" w:ascii="宋体" w:hAnsi="宋体" w:cs="宋体"/>
          <w:b/>
          <w:bCs/>
          <w:sz w:val="30"/>
          <w:szCs w:val="30"/>
          <w:highlight w:val="none"/>
          <w:lang w:val="en-US" w:eastAsia="zh-CN"/>
        </w:rPr>
        <w:t>11</w:t>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DOCVARIABLE  采购编号  \* MERGEFORMAT </w:instrText>
      </w:r>
      <w:r>
        <w:rPr>
          <w:rFonts w:hint="eastAsia" w:ascii="宋体" w:hAnsi="宋体" w:eastAsia="宋体" w:cs="宋体"/>
          <w:b/>
          <w:bCs/>
          <w:sz w:val="30"/>
          <w:szCs w:val="30"/>
          <w:highlight w:val="none"/>
        </w:rPr>
        <w:fldChar w:fldCharType="end"/>
      </w:r>
    </w:p>
    <w:p w14:paraId="7BEED1E4">
      <w:pPr>
        <w:spacing w:line="500" w:lineRule="exact"/>
        <w:ind w:firstLine="602" w:firstLineChars="200"/>
        <w:jc w:val="left"/>
        <w:rPr>
          <w:rFonts w:ascii="宋体" w:hAnsi="宋体" w:eastAsia="宋体" w:cs="宋体"/>
          <w:b/>
          <w:bCs/>
          <w:sz w:val="30"/>
          <w:szCs w:val="30"/>
          <w:highlight w:val="none"/>
        </w:rPr>
      </w:pPr>
    </w:p>
    <w:p w14:paraId="4FAA5362">
      <w:pPr>
        <w:spacing w:line="500" w:lineRule="exact"/>
        <w:jc w:val="left"/>
        <w:rPr>
          <w:rFonts w:hint="eastAsia" w:ascii="宋体" w:hAnsi="宋体" w:eastAsia="宋体" w:cs="宋体"/>
          <w:b/>
          <w:bCs/>
          <w:sz w:val="30"/>
          <w:szCs w:val="30"/>
          <w:highlight w:val="none"/>
          <w:lang w:val="zh-CN" w:eastAsia="zh-CN"/>
        </w:rPr>
      </w:pPr>
      <w:r>
        <w:rPr>
          <w:rFonts w:hint="eastAsia" w:ascii="宋体" w:hAnsi="宋体" w:eastAsia="宋体" w:cs="宋体"/>
          <w:b/>
          <w:bCs/>
          <w:sz w:val="30"/>
          <w:szCs w:val="30"/>
          <w:highlight w:val="none"/>
          <w:lang w:val="zh-CN"/>
        </w:rPr>
        <w:t>项目名称：</w:t>
      </w:r>
      <w:r>
        <w:rPr>
          <w:rFonts w:hint="eastAsia" w:ascii="宋体" w:hAnsi="宋体" w:cs="宋体"/>
          <w:b/>
          <w:bCs/>
          <w:sz w:val="30"/>
          <w:szCs w:val="30"/>
          <w:highlight w:val="none"/>
          <w:lang w:eastAsia="zh-CN"/>
        </w:rPr>
        <w:t>医疗废物集中处置服务项目（第二次招标）</w:t>
      </w:r>
    </w:p>
    <w:p w14:paraId="25C36F80">
      <w:pPr>
        <w:spacing w:line="500" w:lineRule="exact"/>
        <w:ind w:firstLine="301" w:firstLineChars="100"/>
        <w:jc w:val="left"/>
        <w:outlineLvl w:val="0"/>
        <w:rPr>
          <w:rFonts w:hint="eastAsia" w:ascii="宋体" w:hAnsi="宋体" w:eastAsia="宋体" w:cs="宋体"/>
          <w:b/>
          <w:bCs/>
          <w:sz w:val="30"/>
          <w:szCs w:val="30"/>
          <w:highlight w:val="none"/>
        </w:rPr>
      </w:pPr>
    </w:p>
    <w:p w14:paraId="6E610C0D">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项目类型：服务类</w:t>
      </w:r>
    </w:p>
    <w:p w14:paraId="59C1A4DA">
      <w:pPr>
        <w:spacing w:line="500" w:lineRule="exact"/>
        <w:ind w:firstLine="301" w:firstLineChars="100"/>
        <w:jc w:val="left"/>
        <w:rPr>
          <w:rFonts w:hint="eastAsia" w:ascii="宋体" w:hAnsi="宋体" w:eastAsia="宋体" w:cs="宋体"/>
          <w:b/>
          <w:bCs/>
          <w:sz w:val="30"/>
          <w:szCs w:val="30"/>
          <w:highlight w:val="none"/>
        </w:rPr>
      </w:pPr>
    </w:p>
    <w:p w14:paraId="2909C33A">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采购方式：单一来源</w:t>
      </w:r>
    </w:p>
    <w:p w14:paraId="0060BBC4">
      <w:pPr>
        <w:spacing w:line="500" w:lineRule="exact"/>
        <w:ind w:firstLine="301" w:firstLineChars="100"/>
        <w:jc w:val="left"/>
        <w:rPr>
          <w:rFonts w:hint="eastAsia" w:ascii="宋体" w:hAnsi="宋体" w:eastAsia="宋体" w:cs="宋体"/>
          <w:b/>
          <w:bCs/>
          <w:sz w:val="30"/>
          <w:szCs w:val="30"/>
          <w:highlight w:val="none"/>
        </w:rPr>
      </w:pPr>
    </w:p>
    <w:p w14:paraId="37C24CCC">
      <w:pPr>
        <w:spacing w:line="500" w:lineRule="exact"/>
        <w:jc w:val="left"/>
        <w:rPr>
          <w:rFonts w:hint="eastAsia" w:ascii="宋体" w:hAnsi="宋体" w:eastAsia="宋体" w:cs="宋体"/>
          <w:b/>
          <w:bCs/>
          <w:sz w:val="30"/>
          <w:szCs w:val="30"/>
          <w:highlight w:val="none"/>
          <w:lang w:eastAsia="zh-CN"/>
        </w:rPr>
      </w:pPr>
      <w:r>
        <w:rPr>
          <w:rFonts w:hint="eastAsia" w:ascii="宋体" w:hAnsi="宋体" w:eastAsia="宋体" w:cs="宋体"/>
          <w:b/>
          <w:bCs/>
          <w:sz w:val="30"/>
          <w:szCs w:val="30"/>
          <w:highlight w:val="none"/>
        </w:rPr>
        <w:t>货币类型：人民币</w:t>
      </w:r>
    </w:p>
    <w:p w14:paraId="345C021C">
      <w:pPr>
        <w:pStyle w:val="24"/>
        <w:rPr>
          <w:rFonts w:hint="eastAsia"/>
        </w:rPr>
      </w:pPr>
    </w:p>
    <w:p w14:paraId="707A734E">
      <w:pPr>
        <w:pageBreakBefore/>
        <w:jc w:val="center"/>
        <w:outlineLvl w:val="0"/>
        <w:rPr>
          <w:rFonts w:hint="eastAsia" w:ascii="仿宋" w:hAnsi="仿宋" w:eastAsia="仿宋" w:cs="仿宋"/>
          <w:color w:val="000000" w:themeColor="text1"/>
          <w:sz w:val="36"/>
          <w:szCs w:val="36"/>
          <w14:textFill>
            <w14:solidFill>
              <w14:schemeClr w14:val="tx1"/>
            </w14:solidFill>
          </w14:textFill>
        </w:rPr>
      </w:pPr>
      <w:bookmarkStart w:id="0" w:name="_Toc31081"/>
      <w:bookmarkStart w:id="1" w:name="_Toc32071"/>
      <w:r>
        <w:rPr>
          <w:rFonts w:hint="eastAsia" w:ascii="仿宋" w:hAnsi="仿宋" w:eastAsia="仿宋" w:cs="仿宋"/>
          <w:color w:val="000000" w:themeColor="text1"/>
          <w:sz w:val="36"/>
          <w:szCs w:val="36"/>
          <w14:textFill>
            <w14:solidFill>
              <w14:schemeClr w14:val="tx1"/>
            </w14:solidFill>
          </w14:textFill>
        </w:rPr>
        <w:t>特别警示条款</w:t>
      </w:r>
      <w:bookmarkEnd w:id="0"/>
      <w:bookmarkEnd w:id="1"/>
    </w:p>
    <w:p w14:paraId="01DCEEAF">
      <w:pPr>
        <w:spacing w:after="312" w:afterLines="100" w:line="400" w:lineRule="exact"/>
        <w:ind w:firstLine="562" w:firstLineChars="200"/>
        <w:rPr>
          <w:rFonts w:ascii="宋体" w:hAnsi="宋体" w:cs="宋体"/>
          <w:b/>
          <w:bCs/>
          <w:color w:val="FF0000"/>
          <w:sz w:val="28"/>
          <w:szCs w:val="28"/>
          <w:highlight w:val="none"/>
        </w:rPr>
      </w:pPr>
      <w:r>
        <w:rPr>
          <w:rFonts w:hint="eastAsia" w:ascii="宋体" w:hAnsi="宋体" w:cs="宋体"/>
          <w:b/>
          <w:bCs/>
          <w:color w:val="FF0000"/>
          <w:sz w:val="28"/>
          <w:szCs w:val="28"/>
          <w:highlight w:val="none"/>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5BA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520B0F3D">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序号</w:t>
            </w:r>
          </w:p>
        </w:tc>
        <w:tc>
          <w:tcPr>
            <w:tcW w:w="7711" w:type="dxa"/>
            <w:noWrap w:val="0"/>
            <w:vAlign w:val="center"/>
          </w:tcPr>
          <w:p w14:paraId="3ACAF884">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b/>
                <w:bCs/>
                <w:color w:val="FF0000"/>
                <w:sz w:val="30"/>
                <w:szCs w:val="30"/>
                <w:highlight w:val="none"/>
              </w:rPr>
              <w:t>供应商参与投标禁止情形</w:t>
            </w:r>
          </w:p>
        </w:tc>
      </w:tr>
      <w:tr w14:paraId="1EA8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29053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1</w:t>
            </w:r>
          </w:p>
        </w:tc>
        <w:tc>
          <w:tcPr>
            <w:tcW w:w="7711" w:type="dxa"/>
            <w:noWrap w:val="0"/>
            <w:vAlign w:val="center"/>
          </w:tcPr>
          <w:p w14:paraId="45D3790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与其他投标供应商的法定代表人、主要经营负责人、投标授权代表人、项目负责人、主要技术人员为</w:t>
            </w:r>
            <w:r>
              <w:rPr>
                <w:rFonts w:hint="eastAsia" w:ascii="宋体" w:hAnsi="宋体" w:cs="宋体"/>
                <w:b/>
                <w:bCs/>
                <w:color w:val="FF0000"/>
                <w:sz w:val="28"/>
                <w:szCs w:val="28"/>
                <w:highlight w:val="none"/>
              </w:rPr>
              <w:t>同一人、属同一单位或者在同一单位缴纳社会保险</w:t>
            </w:r>
            <w:r>
              <w:rPr>
                <w:rFonts w:hint="eastAsia" w:ascii="宋体" w:hAnsi="宋体" w:cs="宋体"/>
                <w:color w:val="FF0000"/>
                <w:sz w:val="28"/>
                <w:szCs w:val="28"/>
                <w:highlight w:val="none"/>
              </w:rPr>
              <w:t>。</w:t>
            </w:r>
          </w:p>
        </w:tc>
      </w:tr>
      <w:tr w14:paraId="7B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8EB99EB">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2</w:t>
            </w:r>
          </w:p>
        </w:tc>
        <w:tc>
          <w:tcPr>
            <w:tcW w:w="7711" w:type="dxa"/>
            <w:noWrap w:val="0"/>
            <w:vAlign w:val="center"/>
          </w:tcPr>
          <w:p w14:paraId="4C9CF9B4">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参与本项目政府采购活动时，与其他投标供应商存在单位负责人为</w:t>
            </w:r>
            <w:r>
              <w:rPr>
                <w:rFonts w:hint="eastAsia" w:ascii="宋体" w:hAnsi="宋体" w:cs="宋体"/>
                <w:b/>
                <w:bCs/>
                <w:color w:val="FF0000"/>
                <w:sz w:val="28"/>
                <w:szCs w:val="28"/>
                <w:highlight w:val="none"/>
              </w:rPr>
              <w:t>同一人或直接控股、管理关系</w:t>
            </w:r>
            <w:r>
              <w:rPr>
                <w:rFonts w:hint="eastAsia" w:ascii="宋体" w:hAnsi="宋体" w:cs="宋体"/>
                <w:color w:val="FF0000"/>
                <w:sz w:val="28"/>
                <w:szCs w:val="28"/>
                <w:highlight w:val="none"/>
              </w:rPr>
              <w:t>。</w:t>
            </w:r>
          </w:p>
        </w:tc>
      </w:tr>
      <w:tr w14:paraId="08C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41479977">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3</w:t>
            </w:r>
          </w:p>
        </w:tc>
        <w:tc>
          <w:tcPr>
            <w:tcW w:w="7711" w:type="dxa"/>
            <w:noWrap w:val="0"/>
            <w:vAlign w:val="center"/>
          </w:tcPr>
          <w:p w14:paraId="29ABFF0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与其他投标供应商的投标文件或部分投标文件</w:t>
            </w:r>
            <w:r>
              <w:rPr>
                <w:rFonts w:hint="eastAsia" w:ascii="宋体" w:hAnsi="宋体" w:cs="宋体"/>
                <w:b/>
                <w:bCs/>
                <w:color w:val="FF0000"/>
                <w:sz w:val="28"/>
                <w:szCs w:val="28"/>
                <w:highlight w:val="none"/>
              </w:rPr>
              <w:t>相互混装或存在非正常一致</w:t>
            </w:r>
            <w:r>
              <w:rPr>
                <w:rFonts w:hint="eastAsia" w:ascii="宋体" w:hAnsi="宋体" w:cs="宋体"/>
                <w:color w:val="FF0000"/>
                <w:sz w:val="28"/>
                <w:szCs w:val="28"/>
                <w:highlight w:val="none"/>
              </w:rPr>
              <w:t>。</w:t>
            </w:r>
          </w:p>
        </w:tc>
      </w:tr>
      <w:tr w14:paraId="52E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73BE5F35">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4</w:t>
            </w:r>
          </w:p>
        </w:tc>
        <w:tc>
          <w:tcPr>
            <w:tcW w:w="7711" w:type="dxa"/>
            <w:noWrap w:val="0"/>
            <w:vAlign w:val="center"/>
          </w:tcPr>
          <w:p w14:paraId="7B1C061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与其他投标供应商的投标文件由</w:t>
            </w:r>
            <w:r>
              <w:rPr>
                <w:rFonts w:hint="eastAsia" w:ascii="宋体" w:hAnsi="宋体" w:cs="宋体"/>
                <w:b/>
                <w:bCs/>
                <w:color w:val="FF0000"/>
                <w:sz w:val="28"/>
                <w:szCs w:val="28"/>
                <w:highlight w:val="none"/>
              </w:rPr>
              <w:t>同一单位或者同一人编制</w:t>
            </w:r>
            <w:r>
              <w:rPr>
                <w:rFonts w:hint="eastAsia" w:ascii="宋体" w:hAnsi="宋体" w:cs="宋体"/>
                <w:color w:val="FF0000"/>
                <w:sz w:val="28"/>
                <w:szCs w:val="28"/>
                <w:highlight w:val="none"/>
              </w:rPr>
              <w:t>，或者使用</w:t>
            </w:r>
            <w:r>
              <w:rPr>
                <w:rFonts w:hint="eastAsia" w:ascii="宋体" w:hAnsi="宋体" w:cs="宋体"/>
                <w:b/>
                <w:bCs/>
                <w:color w:val="FF0000"/>
                <w:sz w:val="28"/>
                <w:szCs w:val="28"/>
                <w:highlight w:val="none"/>
              </w:rPr>
              <w:t>同一设备编制</w:t>
            </w:r>
            <w:r>
              <w:rPr>
                <w:rFonts w:hint="eastAsia" w:ascii="宋体" w:hAnsi="宋体" w:cs="宋体"/>
                <w:color w:val="FF0000"/>
                <w:sz w:val="28"/>
                <w:szCs w:val="28"/>
                <w:highlight w:val="none"/>
              </w:rPr>
              <w:t>（“文件制作机器码”“文件创建标识码”一致）。</w:t>
            </w:r>
          </w:p>
        </w:tc>
      </w:tr>
      <w:tr w14:paraId="30D8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3F84C7B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5</w:t>
            </w:r>
          </w:p>
        </w:tc>
        <w:tc>
          <w:tcPr>
            <w:tcW w:w="7711" w:type="dxa"/>
            <w:noWrap w:val="0"/>
            <w:vAlign w:val="center"/>
          </w:tcPr>
          <w:p w14:paraId="1DE5DC41">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提供</w:t>
            </w:r>
            <w:r>
              <w:rPr>
                <w:rFonts w:hint="eastAsia" w:ascii="宋体" w:hAnsi="宋体" w:cs="宋体"/>
                <w:b/>
                <w:bCs/>
                <w:color w:val="FF0000"/>
                <w:sz w:val="28"/>
                <w:szCs w:val="28"/>
                <w:highlight w:val="none"/>
              </w:rPr>
              <w:t>未经出具机构核实</w:t>
            </w:r>
            <w:r>
              <w:rPr>
                <w:rFonts w:hint="eastAsia" w:ascii="宋体" w:hAnsi="宋体" w:cs="宋体"/>
                <w:color w:val="FF0000"/>
                <w:sz w:val="28"/>
                <w:szCs w:val="28"/>
                <w:highlight w:val="none"/>
              </w:rPr>
              <w:t>的虚假的检验检测报告、业绩材料、社保缴纳证明、学历学位证书、职称认证证书等材料。</w:t>
            </w:r>
          </w:p>
        </w:tc>
      </w:tr>
      <w:tr w14:paraId="462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791140A1">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6</w:t>
            </w:r>
          </w:p>
        </w:tc>
        <w:tc>
          <w:tcPr>
            <w:tcW w:w="7711" w:type="dxa"/>
            <w:noWrap w:val="0"/>
            <w:vAlign w:val="center"/>
          </w:tcPr>
          <w:p w14:paraId="70EC128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擅自将投标密钥或电子营业执照出借他人使用或未妥善保管。</w:t>
            </w:r>
          </w:p>
        </w:tc>
      </w:tr>
    </w:tbl>
    <w:p w14:paraId="5754AD02">
      <w:pPr>
        <w:pStyle w:val="19"/>
        <w:rPr>
          <w:rFonts w:hint="eastAsia" w:ascii="仿宋" w:hAnsi="仿宋" w:eastAsia="仿宋" w:cs="仿宋"/>
          <w:color w:val="000000" w:themeColor="text1"/>
          <w14:textFill>
            <w14:solidFill>
              <w14:schemeClr w14:val="tx1"/>
            </w14:solidFill>
          </w14:textFill>
        </w:rPr>
      </w:pPr>
    </w:p>
    <w:p w14:paraId="5CDF9186">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49B0195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（一）在采购活动中应当回避而未回避的；</w:t>
      </w:r>
    </w:p>
    <w:p w14:paraId="0E233AC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（二）未按本条例规定签订、履行采购合同，造成严重后果的；</w:t>
      </w:r>
    </w:p>
    <w:p w14:paraId="6D2954B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（三）隐瞒真实情况，提供虚假资料的；</w:t>
      </w:r>
    </w:p>
    <w:p w14:paraId="7F3E407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（四）以非法手段排斥其他供应商参与竞争的；</w:t>
      </w:r>
    </w:p>
    <w:p w14:paraId="013A8DA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（五）与其他采购参加人串通投标的；</w:t>
      </w:r>
    </w:p>
    <w:p w14:paraId="734C7E2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（六）恶意投诉的；</w:t>
      </w:r>
    </w:p>
    <w:p w14:paraId="25B723F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（七）向采购项目相关人行贿或者提供其他不当利益的；</w:t>
      </w:r>
    </w:p>
    <w:p w14:paraId="4137E83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（八）阻碍、抗拒主管部门监督检查的；</w:t>
      </w:r>
    </w:p>
    <w:p w14:paraId="3F2483F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（九）其他违反本条例规定的行为。</w:t>
      </w:r>
    </w:p>
    <w:p w14:paraId="7E9BC00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二、《深圳经济特区政府采购条例实施细则》第七十五条 供应商有下列情形之一的，属于采购条例所称的串通投标行为，按照采购条例第五十七条有关规定处理：</w:t>
      </w:r>
    </w:p>
    <w:p w14:paraId="610395A8">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（一）投标供应商之间相互约定给予未中标的供应商利益补偿。</w:t>
      </w:r>
    </w:p>
    <w:p w14:paraId="16D8549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（二）不同投标供应商的法定代表人、主要经营负责人、项目投标授权代表人、项目负责人、主要技术人员为同一人、属同一单位或者在同一单位缴纳社会保险。</w:t>
      </w:r>
    </w:p>
    <w:p w14:paraId="3589692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（三）不同投标供应商的投标文件由同一单位或者同一人编制，或者由同一人分阶段参与编制的。</w:t>
      </w:r>
    </w:p>
    <w:p w14:paraId="478A2BD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（四）不同投标供应商的投标文件或部分投标文件相互混装。</w:t>
      </w:r>
    </w:p>
    <w:p w14:paraId="075EED8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（五）不同投标供应商的投标文件内容存在非正常一致。</w:t>
      </w:r>
    </w:p>
    <w:p w14:paraId="4912F0D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（六）由同一单位工作人员为两家以上（含两家）供应商进行同一项投标活动的。</w:t>
      </w:r>
    </w:p>
    <w:p w14:paraId="4C312E9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（七）主管部门依照法律、法规认定的其他情形。</w:t>
      </w:r>
    </w:p>
    <w:p w14:paraId="222EDADC">
      <w:pPr>
        <w:snapToGrid w:val="0"/>
        <w:spacing w:line="240" w:lineRule="auto"/>
        <w:ind w:firstLine="470" w:firstLineChars="196"/>
        <w:rPr>
          <w:rFonts w:hint="eastAsia" w:ascii="仿宋" w:hAnsi="仿宋" w:eastAsia="仿宋" w:cs="仿宋"/>
          <w:color w:val="FF0000"/>
          <w:sz w:val="24"/>
        </w:rPr>
      </w:pPr>
    </w:p>
    <w:p w14:paraId="428AFD7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三、《深圳经济特区政府采购条例实施细则》第七十七条 供应商有下列情形之一的，属于隐瞒真实情况，提供虚假资料，按照采购条例第五十七条的有关规定处理：</w:t>
      </w:r>
    </w:p>
    <w:p w14:paraId="2B4A487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（一）通过转让或者租借等方式从其他单位获取资格或者资质证书投标的。</w:t>
      </w:r>
    </w:p>
    <w:p w14:paraId="44714F1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（二）由其他单位或者其他单位负责人在投标供应商编制的投标文件上加盖印章或者签字的。</w:t>
      </w:r>
    </w:p>
    <w:p w14:paraId="45BD78F9">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（三）项目负责人或者主要技术人员不是本单位人员的。</w:t>
      </w:r>
    </w:p>
    <w:p w14:paraId="57335FB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（四）投标保证金不是从投标供应商基本账户转出的。</w:t>
      </w:r>
    </w:p>
    <w:p w14:paraId="5EEE403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（五）其他隐瞒真实情况、提供虚假资料的行为。</w:t>
      </w:r>
    </w:p>
    <w:p w14:paraId="5D1AC24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投标供应商不能提供项目负责人或者主要技术人员的劳动合同、社会保险等劳动关系证明材料的，视为存在前款第（三）项规定的情形。</w:t>
      </w:r>
    </w:p>
    <w:p w14:paraId="1A1372F2">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四、请投标供应商阅读《政府采购违法行为风险知悉确认书》（内容详见“投标文件的格式、附件”中“</w:t>
      </w:r>
      <w:r>
        <w:rPr>
          <w:rFonts w:hint="eastAsia" w:ascii="仿宋" w:hAnsi="仿宋" w:eastAsia="仿宋" w:cs="仿宋"/>
          <w:color w:val="FF0000"/>
          <w:sz w:val="24"/>
          <w:lang w:eastAsia="zh-CN"/>
        </w:rPr>
        <w:t>谈判</w:t>
      </w:r>
      <w:r>
        <w:rPr>
          <w:rFonts w:hint="eastAsia" w:ascii="仿宋" w:hAnsi="仿宋" w:eastAsia="仿宋" w:cs="仿宋"/>
          <w:color w:val="FF0000"/>
          <w:sz w:val="24"/>
        </w:rPr>
        <w:t>文件要求的其他内容及</w:t>
      </w:r>
      <w:r>
        <w:rPr>
          <w:rFonts w:hint="eastAsia" w:ascii="仿宋" w:hAnsi="仿宋" w:eastAsia="仿宋" w:cs="仿宋"/>
          <w:color w:val="FF0000"/>
          <w:sz w:val="24"/>
          <w:lang w:eastAsia="zh-CN"/>
        </w:rPr>
        <w:t>投标人</w:t>
      </w:r>
      <w:r>
        <w:rPr>
          <w:rFonts w:hint="eastAsia" w:ascii="仿宋" w:hAnsi="仿宋" w:eastAsia="仿宋" w:cs="仿宋"/>
          <w:color w:val="FF0000"/>
          <w:sz w:val="24"/>
        </w:rPr>
        <w:t>认为需要加以说明其他内容”），并经各投标供应商负责人或投标授权代表签字并加盖单位公章后，扫描上传至投标文件一并提交。</w:t>
      </w:r>
    </w:p>
    <w:p w14:paraId="32C765D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注：该风险知悉确认书用于对供应商违法行为的警示，不作为供应商资格性审查及符合性审查条件。</w:t>
      </w:r>
    </w:p>
    <w:p w14:paraId="5FE753FE">
      <w:pPr>
        <w:pStyle w:val="19"/>
        <w:rPr>
          <w:rFonts w:hint="eastAsia" w:ascii="仿宋" w:hAnsi="仿宋" w:eastAsia="仿宋" w:cs="仿宋"/>
          <w:color w:val="FF0000"/>
          <w:sz w:val="24"/>
        </w:rPr>
      </w:pPr>
    </w:p>
    <w:p w14:paraId="5CB10BD9">
      <w:pPr>
        <w:rPr>
          <w:rFonts w:hint="eastAsia" w:ascii="仿宋" w:hAnsi="仿宋" w:eastAsia="仿宋" w:cs="仿宋"/>
          <w:color w:val="FF0000"/>
          <w:sz w:val="24"/>
        </w:rPr>
      </w:pPr>
    </w:p>
    <w:p w14:paraId="3DE75F0A">
      <w:pPr>
        <w:pStyle w:val="19"/>
        <w:rPr>
          <w:rFonts w:hint="eastAsia" w:ascii="仿宋" w:hAnsi="仿宋" w:eastAsia="仿宋" w:cs="仿宋"/>
          <w:color w:val="FF0000"/>
          <w:sz w:val="24"/>
        </w:rPr>
      </w:pPr>
    </w:p>
    <w:p w14:paraId="32C0EF1B">
      <w:pPr>
        <w:rPr>
          <w:rFonts w:hint="eastAsia" w:ascii="仿宋" w:hAnsi="仿宋" w:eastAsia="仿宋" w:cs="仿宋"/>
          <w:color w:val="FF0000"/>
          <w:sz w:val="24"/>
        </w:rPr>
      </w:pPr>
    </w:p>
    <w:p w14:paraId="6484DCCB">
      <w:pPr>
        <w:pStyle w:val="19"/>
        <w:rPr>
          <w:rFonts w:hint="eastAsia" w:ascii="仿宋" w:hAnsi="仿宋" w:eastAsia="仿宋" w:cs="仿宋"/>
          <w:color w:val="FF0000"/>
          <w:sz w:val="24"/>
        </w:rPr>
      </w:pPr>
    </w:p>
    <w:p w14:paraId="45D1CA67">
      <w:pPr>
        <w:rPr>
          <w:rFonts w:hint="eastAsia" w:ascii="仿宋" w:hAnsi="仿宋" w:eastAsia="仿宋" w:cs="仿宋"/>
          <w:color w:val="FF0000"/>
          <w:sz w:val="24"/>
        </w:rPr>
      </w:pPr>
    </w:p>
    <w:p w14:paraId="65706664">
      <w:pPr>
        <w:tabs>
          <w:tab w:val="left" w:pos="851"/>
        </w:tabs>
        <w:spacing w:line="480" w:lineRule="auto"/>
        <w:jc w:val="both"/>
        <w:rPr>
          <w:rFonts w:hint="eastAsia" w:ascii="宋体" w:hAnsi="宋体" w:cs="宋体"/>
          <w:b/>
          <w:sz w:val="44"/>
          <w:szCs w:val="44"/>
          <w:highlight w:val="none"/>
        </w:rPr>
      </w:pPr>
    </w:p>
    <w:p w14:paraId="77D9942E">
      <w:pPr>
        <w:tabs>
          <w:tab w:val="left" w:pos="851"/>
        </w:tabs>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温 馨 提 示</w:t>
      </w:r>
    </w:p>
    <w:p w14:paraId="55057451">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一、如无另行说明，投标文件递交时间为</w:t>
      </w:r>
      <w:r>
        <w:rPr>
          <w:rFonts w:hint="eastAsia" w:ascii="宋体" w:hAnsi="宋体" w:cs="宋体"/>
          <w:b/>
          <w:sz w:val="24"/>
          <w:highlight w:val="none"/>
          <w:u w:val="single"/>
        </w:rPr>
        <w:t>投标截止时间之前30分钟</w:t>
      </w:r>
      <w:r>
        <w:rPr>
          <w:rFonts w:hint="eastAsia" w:ascii="宋体" w:hAnsi="宋体" w:cs="宋体"/>
          <w:sz w:val="24"/>
          <w:highlight w:val="none"/>
        </w:rPr>
        <w:t>内。</w:t>
      </w:r>
    </w:p>
    <w:p w14:paraId="62B901B9">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二、为避免因迟到而失去投标资格，请</w:t>
      </w:r>
      <w:r>
        <w:rPr>
          <w:rFonts w:hint="eastAsia" w:ascii="宋体" w:hAnsi="宋体" w:cs="宋体"/>
          <w:b/>
          <w:sz w:val="24"/>
          <w:highlight w:val="none"/>
          <w:u w:val="single"/>
        </w:rPr>
        <w:t>适当提前到达</w:t>
      </w:r>
      <w:r>
        <w:rPr>
          <w:rFonts w:hint="eastAsia" w:ascii="宋体" w:hAnsi="宋体" w:cs="宋体"/>
          <w:sz w:val="24"/>
          <w:highlight w:val="none"/>
        </w:rPr>
        <w:t>。</w:t>
      </w:r>
    </w:p>
    <w:p w14:paraId="05C5952B">
      <w:pPr>
        <w:widowControl/>
        <w:snapToGrid w:val="0"/>
        <w:spacing w:line="280" w:lineRule="exact"/>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、投标文件应按</w:t>
      </w:r>
      <w:r>
        <w:rPr>
          <w:rFonts w:hint="eastAsia" w:ascii="宋体" w:hAnsi="宋体" w:cs="宋体"/>
          <w:sz w:val="24"/>
          <w:highlight w:val="none"/>
          <w:lang w:val="en-US" w:eastAsia="zh-CN"/>
        </w:rPr>
        <w:t>投标文件格式</w:t>
      </w:r>
      <w:r>
        <w:rPr>
          <w:rFonts w:hint="eastAsia" w:ascii="宋体" w:hAnsi="宋体" w:eastAsia="宋体" w:cs="宋体"/>
          <w:sz w:val="24"/>
          <w:highlight w:val="none"/>
        </w:rPr>
        <w:t>《目录》顺序装订成册</w:t>
      </w:r>
      <w:r>
        <w:rPr>
          <w:rFonts w:hint="eastAsia" w:ascii="宋体" w:hAnsi="宋体" w:eastAsia="宋体" w:cs="宋体"/>
          <w:sz w:val="24"/>
          <w:highlight w:val="none"/>
          <w:lang w:eastAsia="zh-CN"/>
        </w:rPr>
        <w:t>，标注页码，</w:t>
      </w:r>
      <w:r>
        <w:rPr>
          <w:rFonts w:hint="eastAsia" w:ascii="宋体" w:hAnsi="宋体" w:eastAsia="宋体" w:cs="宋体"/>
          <w:b/>
          <w:sz w:val="24"/>
          <w:highlight w:val="none"/>
          <w:u w:val="single"/>
          <w:lang w:val="en-US" w:eastAsia="zh-CN"/>
        </w:rPr>
        <w:t>目录页码与对应文本页码须一致。</w:t>
      </w:r>
    </w:p>
    <w:p w14:paraId="292C5BF7">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四</w:t>
      </w:r>
      <w:r>
        <w:rPr>
          <w:rFonts w:hint="eastAsia" w:ascii="宋体" w:hAnsi="宋体" w:cs="宋体"/>
          <w:sz w:val="24"/>
          <w:highlight w:val="none"/>
        </w:rPr>
        <w:t>、请仔细检查投标文件是否已按</w:t>
      </w:r>
      <w:r>
        <w:rPr>
          <w:rFonts w:hint="eastAsia" w:ascii="宋体" w:hAnsi="宋体" w:cs="宋体"/>
          <w:sz w:val="24"/>
          <w:highlight w:val="none"/>
          <w:lang w:eastAsia="zh-CN"/>
        </w:rPr>
        <w:t>谈判</w:t>
      </w:r>
      <w:r>
        <w:rPr>
          <w:rFonts w:hint="eastAsia" w:ascii="宋体" w:hAnsi="宋体" w:cs="宋体"/>
          <w:sz w:val="24"/>
          <w:highlight w:val="none"/>
        </w:rPr>
        <w:t>文件要求</w:t>
      </w:r>
      <w:r>
        <w:rPr>
          <w:rFonts w:hint="eastAsia" w:ascii="宋体" w:hAnsi="宋体" w:cs="宋体"/>
          <w:b/>
          <w:sz w:val="24"/>
          <w:highlight w:val="none"/>
          <w:u w:val="single"/>
        </w:rPr>
        <w:t>盖章、签名及密封</w:t>
      </w:r>
      <w:r>
        <w:rPr>
          <w:rFonts w:hint="eastAsia" w:ascii="宋体" w:hAnsi="宋体" w:cs="宋体"/>
          <w:sz w:val="24"/>
          <w:highlight w:val="none"/>
        </w:rPr>
        <w:t>。</w:t>
      </w:r>
    </w:p>
    <w:p w14:paraId="6B6E6E9C">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五</w:t>
      </w:r>
      <w:r>
        <w:rPr>
          <w:rFonts w:hint="eastAsia" w:ascii="宋体" w:hAnsi="宋体" w:cs="宋体"/>
          <w:sz w:val="24"/>
          <w:highlight w:val="none"/>
        </w:rPr>
        <w:t>、请正确填写《</w:t>
      </w:r>
      <w:r>
        <w:rPr>
          <w:rFonts w:hint="eastAsia" w:ascii="宋体" w:hAnsi="宋体" w:cs="宋体"/>
          <w:sz w:val="24"/>
          <w:highlight w:val="none"/>
          <w:lang w:val="en-US" w:eastAsia="zh-CN"/>
        </w:rPr>
        <w:t>开标</w:t>
      </w:r>
      <w:r>
        <w:rPr>
          <w:rFonts w:hint="eastAsia" w:ascii="宋体" w:hAnsi="宋体" w:cs="宋体"/>
          <w:sz w:val="24"/>
          <w:highlight w:val="none"/>
        </w:rPr>
        <w:t>一览表》，并</w:t>
      </w:r>
      <w:r>
        <w:rPr>
          <w:rFonts w:hint="eastAsia" w:ascii="宋体" w:hAnsi="宋体" w:cs="宋体"/>
          <w:sz w:val="24"/>
          <w:highlight w:val="none"/>
          <w:lang w:val="en-US" w:eastAsia="zh-CN"/>
        </w:rPr>
        <w:t>正确签署盖章</w:t>
      </w:r>
      <w:r>
        <w:rPr>
          <w:rFonts w:hint="eastAsia" w:ascii="宋体" w:hAnsi="宋体" w:cs="宋体"/>
          <w:sz w:val="24"/>
          <w:highlight w:val="none"/>
        </w:rPr>
        <w:t>。</w:t>
      </w:r>
    </w:p>
    <w:p w14:paraId="5849FE92">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六</w:t>
      </w:r>
      <w:r>
        <w:rPr>
          <w:rFonts w:hint="eastAsia" w:ascii="宋体" w:hAnsi="宋体" w:cs="宋体"/>
          <w:sz w:val="24"/>
          <w:highlight w:val="none"/>
        </w:rPr>
        <w:t>、</w:t>
      </w:r>
      <w:r>
        <w:rPr>
          <w:rFonts w:hint="eastAsia" w:ascii="宋体" w:hAnsi="宋体" w:cs="宋体"/>
          <w:sz w:val="24"/>
          <w:highlight w:val="none"/>
          <w:lang w:eastAsia="zh-CN"/>
        </w:rPr>
        <w:t>谈判</w:t>
      </w:r>
      <w:r>
        <w:rPr>
          <w:rFonts w:hint="eastAsia" w:ascii="宋体" w:hAnsi="宋体" w:cs="宋体"/>
          <w:sz w:val="24"/>
          <w:highlight w:val="none"/>
        </w:rPr>
        <w:t>项目内或所投包号内有多项设备或报价内容的，</w:t>
      </w:r>
      <w:r>
        <w:rPr>
          <w:rFonts w:hint="eastAsia" w:ascii="宋体" w:hAnsi="宋体" w:cs="宋体"/>
          <w:b/>
          <w:sz w:val="24"/>
          <w:highlight w:val="none"/>
          <w:u w:val="single"/>
        </w:rPr>
        <w:t>应加总后报总价</w:t>
      </w:r>
      <w:r>
        <w:rPr>
          <w:rFonts w:hint="eastAsia" w:ascii="宋体" w:hAnsi="宋体" w:cs="宋体"/>
          <w:sz w:val="24"/>
          <w:highlight w:val="none"/>
        </w:rPr>
        <w:t>。</w:t>
      </w:r>
    </w:p>
    <w:p w14:paraId="07EF87CD">
      <w:pPr>
        <w:tabs>
          <w:tab w:val="left" w:pos="851"/>
        </w:tabs>
        <w:spacing w:line="480" w:lineRule="auto"/>
        <w:rPr>
          <w:rFonts w:hint="eastAsia" w:ascii="宋体" w:hAnsi="宋体" w:eastAsia="宋体" w:cs="宋体"/>
          <w:sz w:val="24"/>
          <w:highlight w:val="none"/>
        </w:rPr>
      </w:pPr>
      <w:r>
        <w:rPr>
          <w:rFonts w:hint="eastAsia" w:ascii="宋体" w:hAnsi="宋体" w:cs="宋体"/>
          <w:sz w:val="24"/>
          <w:highlight w:val="none"/>
          <w:lang w:val="en-US" w:eastAsia="zh-CN"/>
        </w:rPr>
        <w:t>七</w:t>
      </w:r>
      <w:r>
        <w:rPr>
          <w:rFonts w:hint="eastAsia" w:ascii="宋体" w:hAnsi="宋体" w:eastAsia="宋体" w:cs="宋体"/>
          <w:sz w:val="24"/>
          <w:highlight w:val="none"/>
          <w:lang w:val="en-US" w:eastAsia="zh-CN"/>
        </w:rPr>
        <w:t>、</w:t>
      </w:r>
      <w:r>
        <w:rPr>
          <w:rFonts w:hint="eastAsia" w:ascii="宋体" w:hAnsi="宋体" w:cs="宋体"/>
          <w:sz w:val="24"/>
          <w:highlight w:val="none"/>
          <w:lang w:eastAsia="zh-CN"/>
        </w:rPr>
        <w:t>谈判</w:t>
      </w:r>
      <w:r>
        <w:rPr>
          <w:rFonts w:hint="eastAsia" w:ascii="宋体" w:hAnsi="宋体" w:eastAsia="宋体" w:cs="宋体"/>
          <w:sz w:val="24"/>
          <w:highlight w:val="none"/>
        </w:rPr>
        <w:t>活动的最终解释权属于深圳市福田区第二人民医院。</w:t>
      </w:r>
    </w:p>
    <w:p w14:paraId="3DA4FA99">
      <w:pPr>
        <w:tabs>
          <w:tab w:val="left" w:pos="851"/>
        </w:tabs>
        <w:spacing w:line="480" w:lineRule="auto"/>
        <w:ind w:left="972" w:hanging="972" w:hangingChars="405"/>
        <w:rPr>
          <w:rFonts w:hint="default" w:ascii="宋体" w:hAnsi="宋体" w:eastAsia="宋体" w:cs="宋体"/>
          <w:sz w:val="24"/>
          <w:highlight w:val="none"/>
          <w:lang w:val="en-US" w:eastAsia="zh-CN"/>
        </w:rPr>
      </w:pPr>
    </w:p>
    <w:p w14:paraId="59BDB0F1">
      <w:pPr>
        <w:tabs>
          <w:tab w:val="left" w:pos="851"/>
        </w:tabs>
        <w:spacing w:line="480" w:lineRule="auto"/>
        <w:ind w:left="972" w:hanging="972" w:hangingChars="405"/>
        <w:rPr>
          <w:rFonts w:hint="eastAsia" w:ascii="宋体" w:hAnsi="宋体" w:cs="宋体"/>
          <w:sz w:val="24"/>
          <w:highlight w:val="none"/>
        </w:rPr>
      </w:pPr>
      <w:r>
        <w:rPr>
          <w:rFonts w:hint="eastAsia" w:ascii="宋体" w:hAnsi="宋体" w:cs="宋体"/>
          <w:sz w:val="24"/>
          <w:highlight w:val="none"/>
        </w:rPr>
        <w:t>（以上提示内容仅作一般事项提醒，如与实际</w:t>
      </w:r>
      <w:r>
        <w:rPr>
          <w:rFonts w:hint="eastAsia" w:ascii="宋体" w:hAnsi="宋体" w:cs="宋体"/>
          <w:sz w:val="24"/>
          <w:highlight w:val="none"/>
          <w:lang w:eastAsia="zh-CN"/>
        </w:rPr>
        <w:t>谈判</w:t>
      </w:r>
      <w:r>
        <w:rPr>
          <w:rFonts w:hint="eastAsia" w:ascii="宋体" w:hAnsi="宋体" w:cs="宋体"/>
          <w:sz w:val="24"/>
          <w:highlight w:val="none"/>
        </w:rPr>
        <w:t>项目要求有不一致，以</w:t>
      </w:r>
      <w:r>
        <w:rPr>
          <w:rFonts w:hint="eastAsia" w:ascii="宋体" w:hAnsi="宋体" w:cs="宋体"/>
          <w:sz w:val="24"/>
          <w:highlight w:val="none"/>
          <w:lang w:eastAsia="zh-CN"/>
        </w:rPr>
        <w:t>谈判</w:t>
      </w:r>
      <w:r>
        <w:rPr>
          <w:rFonts w:hint="eastAsia" w:ascii="宋体" w:hAnsi="宋体" w:cs="宋体"/>
          <w:sz w:val="24"/>
          <w:highlight w:val="none"/>
        </w:rPr>
        <w:t>文件为准）</w:t>
      </w:r>
    </w:p>
    <w:p w14:paraId="62394873">
      <w:pPr>
        <w:rPr>
          <w:rFonts w:hint="eastAsia" w:ascii="仿宋" w:hAnsi="仿宋" w:eastAsia="仿宋" w:cs="仿宋"/>
        </w:rPr>
      </w:pPr>
    </w:p>
    <w:p w14:paraId="747227A4">
      <w:pPr>
        <w:rPr>
          <w:rFonts w:hint="eastAsia" w:ascii="仿宋" w:hAnsi="仿宋" w:eastAsia="仿宋" w:cs="仿宋"/>
        </w:rPr>
      </w:pPr>
    </w:p>
    <w:p w14:paraId="6B5BBACC">
      <w:pPr>
        <w:rPr>
          <w:rFonts w:hint="eastAsia" w:ascii="仿宋" w:hAnsi="仿宋" w:eastAsia="仿宋" w:cs="仿宋"/>
        </w:rPr>
      </w:pPr>
    </w:p>
    <w:p w14:paraId="3C9FAFE4">
      <w:pPr>
        <w:rPr>
          <w:rFonts w:hint="eastAsia" w:ascii="仿宋" w:hAnsi="仿宋" w:eastAsia="仿宋" w:cs="仿宋"/>
        </w:rPr>
      </w:pPr>
    </w:p>
    <w:p w14:paraId="4E566367">
      <w:pPr>
        <w:rPr>
          <w:rFonts w:hint="eastAsia" w:ascii="仿宋" w:hAnsi="仿宋" w:eastAsia="仿宋" w:cs="仿宋"/>
        </w:rPr>
      </w:pPr>
    </w:p>
    <w:p w14:paraId="562BB88C">
      <w:pPr>
        <w:rPr>
          <w:rFonts w:hint="eastAsia" w:ascii="仿宋" w:hAnsi="仿宋" w:eastAsia="仿宋" w:cs="仿宋"/>
        </w:rPr>
      </w:pPr>
    </w:p>
    <w:p w14:paraId="7F28A13C">
      <w:pPr>
        <w:rPr>
          <w:rFonts w:hint="eastAsia" w:ascii="仿宋" w:hAnsi="仿宋" w:eastAsia="仿宋" w:cs="仿宋"/>
        </w:rPr>
      </w:pPr>
    </w:p>
    <w:p w14:paraId="3E5F1012">
      <w:pPr>
        <w:rPr>
          <w:rFonts w:hint="eastAsia" w:ascii="仿宋" w:hAnsi="仿宋" w:eastAsia="仿宋" w:cs="仿宋"/>
        </w:rPr>
      </w:pPr>
    </w:p>
    <w:p w14:paraId="7053D06F">
      <w:pPr>
        <w:rPr>
          <w:rFonts w:hint="eastAsia" w:ascii="仿宋" w:hAnsi="仿宋" w:eastAsia="仿宋" w:cs="仿宋"/>
        </w:rPr>
      </w:pPr>
    </w:p>
    <w:p w14:paraId="2754AC37">
      <w:pPr>
        <w:rPr>
          <w:rFonts w:hint="eastAsia" w:ascii="仿宋" w:hAnsi="仿宋" w:eastAsia="仿宋" w:cs="仿宋"/>
        </w:rPr>
      </w:pPr>
    </w:p>
    <w:p w14:paraId="34A683F4">
      <w:pPr>
        <w:rPr>
          <w:rFonts w:hint="eastAsia" w:ascii="仿宋" w:hAnsi="仿宋" w:eastAsia="仿宋" w:cs="仿宋"/>
        </w:rPr>
      </w:pPr>
    </w:p>
    <w:p w14:paraId="669FF9C6">
      <w:pPr>
        <w:rPr>
          <w:rFonts w:hint="eastAsia" w:ascii="仿宋" w:hAnsi="仿宋" w:eastAsia="仿宋" w:cs="仿宋"/>
        </w:rPr>
      </w:pPr>
    </w:p>
    <w:p w14:paraId="502D19CC">
      <w:pPr>
        <w:rPr>
          <w:rFonts w:hint="eastAsia" w:ascii="仿宋" w:hAnsi="仿宋" w:eastAsia="仿宋" w:cs="仿宋"/>
        </w:rPr>
      </w:pPr>
    </w:p>
    <w:p w14:paraId="4142D928">
      <w:pPr>
        <w:rPr>
          <w:rFonts w:hint="eastAsia" w:ascii="仿宋" w:hAnsi="仿宋" w:eastAsia="仿宋" w:cs="仿宋"/>
        </w:rPr>
      </w:pPr>
    </w:p>
    <w:p w14:paraId="1A8C5DF3">
      <w:pPr>
        <w:jc w:val="center"/>
        <w:outlineLvl w:val="0"/>
        <w:rPr>
          <w:rFonts w:hint="eastAsia" w:ascii="宋体" w:hAnsi="宋体" w:cs="宋体"/>
          <w:b/>
          <w:sz w:val="44"/>
          <w:szCs w:val="44"/>
          <w:highlight w:val="none"/>
        </w:rPr>
      </w:pPr>
      <w:bookmarkStart w:id="2" w:name="_Toc533608588"/>
    </w:p>
    <w:p w14:paraId="441CA6A9">
      <w:pPr>
        <w:jc w:val="both"/>
        <w:outlineLvl w:val="0"/>
        <w:rPr>
          <w:rFonts w:hint="eastAsia" w:ascii="宋体" w:hAnsi="宋体" w:cs="宋体"/>
          <w:b/>
          <w:sz w:val="44"/>
          <w:szCs w:val="44"/>
          <w:highlight w:val="none"/>
        </w:rPr>
      </w:pPr>
    </w:p>
    <w:p w14:paraId="53E4EDA1">
      <w:pPr>
        <w:jc w:val="center"/>
        <w:outlineLvl w:val="0"/>
        <w:rPr>
          <w:rFonts w:hint="eastAsia" w:ascii="宋体" w:hAnsi="宋体" w:cs="宋体"/>
          <w:b/>
          <w:sz w:val="44"/>
          <w:szCs w:val="44"/>
          <w:highlight w:val="none"/>
        </w:rPr>
      </w:pPr>
    </w:p>
    <w:p w14:paraId="7A6C63F6">
      <w:pPr>
        <w:jc w:val="center"/>
        <w:outlineLvl w:val="0"/>
        <w:rPr>
          <w:rFonts w:hint="eastAsia" w:ascii="宋体" w:hAnsi="宋体" w:cs="宋体"/>
          <w:b/>
          <w:sz w:val="44"/>
          <w:szCs w:val="44"/>
          <w:highlight w:val="none"/>
        </w:rPr>
      </w:pPr>
    </w:p>
    <w:p w14:paraId="33EBB4D6">
      <w:pPr>
        <w:jc w:val="center"/>
        <w:outlineLvl w:val="0"/>
        <w:rPr>
          <w:rFonts w:hint="eastAsia" w:ascii="宋体" w:hAnsi="宋体" w:cs="宋体"/>
          <w:b/>
          <w:sz w:val="28"/>
          <w:szCs w:val="28"/>
          <w:highlight w:val="none"/>
        </w:rPr>
      </w:pPr>
      <w:r>
        <w:rPr>
          <w:rFonts w:hint="eastAsia" w:ascii="宋体" w:hAnsi="宋体" w:cs="宋体"/>
          <w:b/>
          <w:sz w:val="44"/>
          <w:szCs w:val="44"/>
          <w:highlight w:val="none"/>
        </w:rPr>
        <w:t>目      录</w:t>
      </w:r>
      <w:bookmarkEnd w:id="2"/>
    </w:p>
    <w:p w14:paraId="649AB453">
      <w:pPr>
        <w:jc w:val="center"/>
        <w:rPr>
          <w:rFonts w:hint="eastAsia" w:ascii="宋体" w:hAnsi="宋体" w:cs="宋体"/>
          <w:highlight w:val="none"/>
        </w:rPr>
      </w:pPr>
    </w:p>
    <w:p w14:paraId="6B1B9E70">
      <w:pPr>
        <w:pStyle w:val="31"/>
        <w:tabs>
          <w:tab w:val="right" w:leader="dot" w:pos="9061"/>
        </w:tabs>
        <w:spacing w:line="480" w:lineRule="auto"/>
        <w:rPr>
          <w:rFonts w:hint="eastAsia" w:ascii="宋体" w:hAnsi="宋体" w:cs="宋体"/>
          <w:sz w:val="22"/>
          <w:szCs w:val="22"/>
          <w:highlight w:val="none"/>
        </w:rPr>
      </w:pPr>
      <w:r>
        <w:rPr>
          <w:rFonts w:hint="eastAsia" w:ascii="宋体" w:hAnsi="宋体" w:cs="宋体"/>
          <w:sz w:val="32"/>
          <w:szCs w:val="28"/>
          <w:highlight w:val="none"/>
        </w:rPr>
        <w:fldChar w:fldCharType="begin"/>
      </w:r>
      <w:r>
        <w:rPr>
          <w:rFonts w:hint="eastAsia" w:ascii="宋体" w:hAnsi="宋体" w:cs="宋体"/>
          <w:sz w:val="32"/>
          <w:szCs w:val="28"/>
          <w:highlight w:val="none"/>
        </w:rPr>
        <w:instrText xml:space="preserve"> TOC \o "1-1" \h \z \u </w:instrText>
      </w:r>
      <w:r>
        <w:rPr>
          <w:rFonts w:hint="eastAsia" w:ascii="宋体" w:hAnsi="宋体" w:cs="宋体"/>
          <w:sz w:val="32"/>
          <w:szCs w:val="28"/>
          <w:highlight w:val="none"/>
        </w:rPr>
        <w:fldChar w:fldCharType="separate"/>
      </w:r>
    </w:p>
    <w:p w14:paraId="5164EE70">
      <w:pPr>
        <w:pStyle w:val="31"/>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Style w:val="50"/>
          <w:rFonts w:hint="eastAsia" w:ascii="宋体" w:hAnsi="宋体" w:eastAsia="宋体" w:cs="宋体"/>
          <w:color w:val="auto"/>
          <w:sz w:val="30"/>
          <w:szCs w:val="30"/>
          <w:highlight w:val="none"/>
        </w:rPr>
        <w:fldChar w:fldCharType="begin"/>
      </w:r>
      <w:r>
        <w:rPr>
          <w:rStyle w:val="50"/>
          <w:rFonts w:hint="eastAsia" w:ascii="宋体" w:hAnsi="宋体" w:eastAsia="宋体" w:cs="宋体"/>
          <w:color w:val="auto"/>
          <w:sz w:val="30"/>
          <w:szCs w:val="30"/>
          <w:highlight w:val="none"/>
        </w:rPr>
        <w:instrText xml:space="preserve"> HYPERLINK \l "_Toc533608589" </w:instrText>
      </w:r>
      <w:r>
        <w:rPr>
          <w:rStyle w:val="50"/>
          <w:rFonts w:hint="eastAsia" w:ascii="宋体" w:hAnsi="宋体" w:eastAsia="宋体" w:cs="宋体"/>
          <w:color w:val="auto"/>
          <w:sz w:val="30"/>
          <w:szCs w:val="30"/>
          <w:highlight w:val="none"/>
        </w:rPr>
        <w:fldChar w:fldCharType="separate"/>
      </w:r>
      <w:r>
        <w:rPr>
          <w:rStyle w:val="50"/>
          <w:rFonts w:hint="eastAsia" w:ascii="宋体" w:hAnsi="宋体" w:eastAsia="宋体" w:cs="宋体"/>
          <w:color w:val="auto"/>
          <w:sz w:val="30"/>
          <w:szCs w:val="30"/>
          <w:highlight w:val="none"/>
        </w:rPr>
        <w:t>第一章　采购公告</w:t>
      </w:r>
      <w:r>
        <w:rPr>
          <w:rStyle w:val="50"/>
          <w:rFonts w:hint="eastAsia" w:ascii="宋体" w:hAnsi="宋体" w:eastAsia="宋体" w:cs="宋体"/>
          <w:color w:val="auto"/>
          <w:sz w:val="30"/>
          <w:szCs w:val="30"/>
          <w:highlight w:val="none"/>
        </w:rPr>
        <w:fldChar w:fldCharType="end"/>
      </w:r>
    </w:p>
    <w:p w14:paraId="2FDE8ACB">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"_Toc533608590"</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二章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关键信息</w:t>
      </w:r>
    </w:p>
    <w:p w14:paraId="5CEBB640">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"_Toc533608591"</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三章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采购</w:t>
      </w:r>
      <w:r>
        <w:rPr>
          <w:rStyle w:val="50"/>
          <w:rFonts w:hint="eastAsia" w:ascii="宋体" w:hAnsi="宋体" w:cs="宋体"/>
          <w:color w:val="auto"/>
          <w:sz w:val="30"/>
          <w:szCs w:val="30"/>
          <w:highlight w:val="none"/>
        </w:rPr>
        <w:t>项目</w:t>
      </w:r>
      <w:r>
        <w:rPr>
          <w:rFonts w:hint="eastAsia" w:ascii="宋体" w:hAnsi="宋体" w:cs="宋体"/>
          <w:sz w:val="30"/>
          <w:szCs w:val="30"/>
          <w:highlight w:val="none"/>
          <w:lang w:val="en-US" w:eastAsia="zh-CN"/>
        </w:rPr>
        <w:t>用户</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需求书</w:t>
      </w:r>
    </w:p>
    <w:p w14:paraId="558B78E8">
      <w:pPr>
        <w:pStyle w:val="31"/>
        <w:tabs>
          <w:tab w:val="right" w:leader="dot" w:pos="9061"/>
        </w:tabs>
        <w:spacing w:line="720" w:lineRule="auto"/>
        <w:ind w:firstLine="602" w:firstLineChars="200"/>
        <w:rPr>
          <w:rFonts w:hint="eastAsia" w:ascii="宋体" w:hAnsi="宋体" w:cs="宋体"/>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"_Toc533608592"</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四章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投标（响应）</w:t>
      </w:r>
      <w:r>
        <w:rPr>
          <w:rStyle w:val="50"/>
          <w:rFonts w:hint="eastAsia" w:ascii="宋体" w:hAnsi="宋体" w:cs="宋体"/>
          <w:color w:val="auto"/>
          <w:sz w:val="30"/>
          <w:szCs w:val="30"/>
          <w:highlight w:val="none"/>
        </w:rPr>
        <w:t>文件格式</w:t>
      </w:r>
      <w:r>
        <w:rPr>
          <w:rFonts w:hint="eastAsia" w:ascii="宋体" w:hAnsi="宋体" w:cs="宋体"/>
          <w:sz w:val="30"/>
          <w:szCs w:val="30"/>
          <w:highlight w:val="none"/>
        </w:rPr>
        <w:fldChar w:fldCharType="end"/>
      </w:r>
    </w:p>
    <w:p w14:paraId="2663C2E2">
      <w:pPr>
        <w:pStyle w:val="31"/>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五章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rPr>
        <w:t>合同</w:t>
      </w:r>
      <w:r>
        <w:rPr>
          <w:rStyle w:val="50"/>
          <w:rFonts w:hint="eastAsia" w:ascii="宋体" w:hAnsi="宋体" w:eastAsia="宋体" w:cs="宋体"/>
          <w:color w:val="auto"/>
          <w:sz w:val="30"/>
          <w:szCs w:val="30"/>
          <w:highlight w:val="none"/>
        </w:rPr>
        <w:t>格式</w:t>
      </w:r>
    </w:p>
    <w:p w14:paraId="6691198C">
      <w:pPr>
        <w:pStyle w:val="31"/>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六章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lang w:val="en-US" w:eastAsia="zh-CN"/>
        </w:rPr>
        <w:t>投标人须知</w:t>
      </w:r>
    </w:p>
    <w:p w14:paraId="332387A5">
      <w:pPr>
        <w:rPr>
          <w:rFonts w:hint="eastAsia" w:ascii="仿宋" w:hAnsi="仿宋" w:eastAsia="仿宋" w:cs="仿宋"/>
        </w:rPr>
      </w:pPr>
      <w:r>
        <w:rPr>
          <w:rFonts w:hint="eastAsia" w:ascii="宋体" w:hAnsi="宋体" w:cs="宋体"/>
          <w:sz w:val="32"/>
          <w:szCs w:val="28"/>
          <w:highlight w:val="none"/>
        </w:rPr>
        <w:fldChar w:fldCharType="end"/>
      </w:r>
    </w:p>
    <w:p w14:paraId="6C576101">
      <w:pPr>
        <w:pStyle w:val="3"/>
        <w:pageBreakBefore/>
        <w:spacing w:line="415" w:lineRule="auto"/>
        <w:jc w:val="center"/>
        <w:rPr>
          <w:rFonts w:hint="eastAsia" w:ascii="仿宋" w:hAnsi="仿宋" w:eastAsia="仿宋" w:cs="仿宋"/>
          <w:b/>
          <w:bCs/>
          <w:highlight w:val="none"/>
        </w:rPr>
      </w:pPr>
      <w:bookmarkStart w:id="3" w:name="_Toc6319"/>
      <w:bookmarkStart w:id="4" w:name="_Toc34238554"/>
      <w:bookmarkStart w:id="5" w:name="_Toc26199"/>
      <w:r>
        <w:rPr>
          <w:rFonts w:hint="eastAsia" w:ascii="仿宋" w:hAnsi="仿宋" w:eastAsia="仿宋" w:cs="仿宋"/>
          <w:b/>
          <w:bCs/>
          <w:highlight w:val="none"/>
        </w:rPr>
        <w:t>第一章  采购公告</w:t>
      </w:r>
      <w:bookmarkEnd w:id="3"/>
      <w:bookmarkEnd w:id="4"/>
      <w:bookmarkEnd w:id="5"/>
    </w:p>
    <w:p w14:paraId="72505164">
      <w:pPr>
        <w:adjustRightInd w:val="0"/>
        <w:snapToGrid w:val="0"/>
        <w:spacing w:line="400" w:lineRule="exact"/>
        <w:jc w:val="left"/>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一、项目基本情况</w:t>
      </w:r>
    </w:p>
    <w:p w14:paraId="45648542">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1、项目编号：</w:t>
      </w:r>
      <w:r>
        <w:rPr>
          <w:rFonts w:hint="eastAsia" w:ascii="仿宋" w:hAnsi="仿宋" w:eastAsia="仿宋" w:cs="仿宋"/>
          <w:color w:val="000000" w:themeColor="text1"/>
          <w:sz w:val="24"/>
          <w:highlight w:val="none"/>
          <w:lang w:val="en-US" w:eastAsia="zh-CN"/>
          <w14:textFill>
            <w14:solidFill>
              <w14:schemeClr w14:val="tx1"/>
            </w14:solidFill>
          </w14:textFill>
        </w:rPr>
        <w:t>FTEY-ZXCG-2025011</w:t>
      </w:r>
    </w:p>
    <w:p w14:paraId="1EFD1F3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2、项目名称：</w:t>
      </w:r>
      <w:r>
        <w:rPr>
          <w:rFonts w:hint="eastAsia" w:ascii="仿宋" w:hAnsi="仿宋" w:eastAsia="仿宋" w:cs="仿宋"/>
          <w:color w:val="000000" w:themeColor="text1"/>
          <w:sz w:val="24"/>
          <w:highlight w:val="none"/>
          <w:lang w:val="en-US" w:eastAsia="zh-CN"/>
          <w14:textFill>
            <w14:solidFill>
              <w14:schemeClr w14:val="tx1"/>
            </w14:solidFill>
          </w14:textFill>
        </w:rPr>
        <w:t>医疗废物集中处置服务项目（第二次招标）</w:t>
      </w:r>
    </w:p>
    <w:p w14:paraId="260A9C85">
      <w:pPr>
        <w:adjustRightInd w:val="0"/>
        <w:snapToGrid w:val="0"/>
        <w:spacing w:line="400" w:lineRule="exact"/>
        <w:ind w:firstLine="240" w:firstLineChars="100"/>
        <w:jc w:val="left"/>
        <w:rPr>
          <w:rFonts w:hint="default" w:ascii="宋体" w:hAnsi="宋体" w:eastAsia="宋体" w:cs="宋体"/>
          <w:b w:val="0"/>
          <w:bCs w:val="0"/>
          <w:kern w:val="0"/>
          <w:szCs w:val="21"/>
          <w:highlight w:val="yellow"/>
          <w:u w:val="none"/>
          <w:lang w:val="en-US" w:eastAsia="zh-CN" w:bidi="ar"/>
        </w:rPr>
      </w:pPr>
      <w:r>
        <w:rPr>
          <w:rFonts w:hint="eastAsia" w:ascii="仿宋" w:hAnsi="仿宋" w:eastAsia="仿宋" w:cs="仿宋"/>
          <w:color w:val="000000" w:themeColor="text1"/>
          <w:sz w:val="24"/>
          <w:highlight w:val="none"/>
          <w14:textFill>
            <w14:solidFill>
              <w14:schemeClr w14:val="tx1"/>
            </w14:solidFill>
          </w14:textFill>
        </w:rPr>
        <w:t>3、采购方式：</w:t>
      </w:r>
      <w:r>
        <w:rPr>
          <w:rFonts w:hint="eastAsia" w:ascii="仿宋" w:hAnsi="仿宋" w:eastAsia="仿宋" w:cs="仿宋"/>
          <w:color w:val="000000" w:themeColor="text1"/>
          <w:sz w:val="24"/>
          <w:highlight w:val="none"/>
          <w:lang w:val="en-US" w:eastAsia="zh-CN"/>
          <w14:textFill>
            <w14:solidFill>
              <w14:schemeClr w14:val="tx1"/>
            </w14:solidFill>
          </w14:textFill>
        </w:rPr>
        <w:t>单一来源</w:t>
      </w:r>
      <w:r>
        <w:rPr>
          <w:rFonts w:hint="eastAsia" w:ascii="宋体" w:hAnsi="宋体" w:eastAsia="宋体" w:cs="宋体"/>
          <w:b w:val="0"/>
          <w:bCs w:val="0"/>
          <w:kern w:val="0"/>
          <w:szCs w:val="21"/>
          <w:highlight w:val="none"/>
          <w:u w:val="none"/>
          <w:lang w:val="en-US" w:eastAsia="zh-CN" w:bidi="ar"/>
        </w:rPr>
        <w:t>（《政府采购法》第三十一条：</w:t>
      </w:r>
      <w:r>
        <w:rPr>
          <w:rFonts w:hint="eastAsia"/>
          <w:highlight w:val="none"/>
        </w:rPr>
        <w:t>只能从唯一供应商处采购</w:t>
      </w:r>
      <w:r>
        <w:rPr>
          <w:rFonts w:hint="eastAsia" w:ascii="宋体" w:hAnsi="宋体" w:eastAsia="宋体" w:cs="宋体"/>
          <w:b w:val="0"/>
          <w:bCs w:val="0"/>
          <w:kern w:val="0"/>
          <w:szCs w:val="21"/>
          <w:highlight w:val="none"/>
          <w:u w:val="none"/>
          <w:lang w:val="en-US" w:eastAsia="zh-CN" w:bidi="ar"/>
        </w:rPr>
        <w:t>）</w:t>
      </w:r>
    </w:p>
    <w:p w14:paraId="0FF2C047">
      <w:pPr>
        <w:adjustRightInd w:val="0"/>
        <w:snapToGrid w:val="0"/>
        <w:spacing w:line="400" w:lineRule="exact"/>
        <w:ind w:firstLine="240" w:firstLineChars="100"/>
        <w:rPr>
          <w:rFonts w:hint="eastAsia"/>
          <w:highlight w:val="none"/>
        </w:rPr>
      </w:pPr>
      <w:r>
        <w:rPr>
          <w:rFonts w:hint="eastAsia" w:ascii="仿宋" w:hAnsi="仿宋" w:eastAsia="仿宋" w:cs="仿宋"/>
          <w:color w:val="000000" w:themeColor="text1"/>
          <w:sz w:val="24"/>
          <w:highlight w:val="none"/>
          <w14:textFill>
            <w14:solidFill>
              <w14:schemeClr w14:val="tx1"/>
            </w14:solidFill>
          </w14:textFill>
        </w:rPr>
        <w:t>4、采购需求：</w:t>
      </w:r>
    </w:p>
    <w:tbl>
      <w:tblPr>
        <w:tblStyle w:val="44"/>
        <w:tblW w:w="860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564"/>
        <w:gridCol w:w="2100"/>
        <w:gridCol w:w="586"/>
        <w:gridCol w:w="1554"/>
        <w:gridCol w:w="1473"/>
        <w:gridCol w:w="1432"/>
        <w:gridCol w:w="900"/>
      </w:tblGrid>
      <w:tr w14:paraId="5764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90" w:hRule="atLeast"/>
        </w:trPr>
        <w:tc>
          <w:tcPr>
            <w:tcW w:w="564" w:type="dxa"/>
            <w:noWrap w:val="0"/>
            <w:vAlign w:val="center"/>
          </w:tcPr>
          <w:p w14:paraId="33187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100" w:type="dxa"/>
            <w:noWrap w:val="0"/>
            <w:vAlign w:val="center"/>
          </w:tcPr>
          <w:p w14:paraId="7AB0F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采购内容</w:t>
            </w:r>
          </w:p>
        </w:tc>
        <w:tc>
          <w:tcPr>
            <w:tcW w:w="586" w:type="dxa"/>
            <w:noWrap w:val="0"/>
            <w:vAlign w:val="center"/>
          </w:tcPr>
          <w:p w14:paraId="4E4CF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1554" w:type="dxa"/>
            <w:noWrap w:val="0"/>
            <w:vAlign w:val="center"/>
          </w:tcPr>
          <w:p w14:paraId="6C0C8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预算金额</w:t>
            </w:r>
          </w:p>
          <w:p w14:paraId="2CC66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73" w:type="dxa"/>
            <w:noWrap w:val="0"/>
            <w:vAlign w:val="center"/>
          </w:tcPr>
          <w:p w14:paraId="4BDAE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最高支付上限</w:t>
            </w:r>
          </w:p>
          <w:p w14:paraId="4D6C66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32" w:type="dxa"/>
            <w:noWrap w:val="0"/>
            <w:vAlign w:val="center"/>
          </w:tcPr>
          <w:p w14:paraId="5A83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技术需求或服务要求</w:t>
            </w:r>
          </w:p>
        </w:tc>
        <w:tc>
          <w:tcPr>
            <w:tcW w:w="900" w:type="dxa"/>
            <w:noWrap w:val="0"/>
            <w:vAlign w:val="center"/>
          </w:tcPr>
          <w:p w14:paraId="19F19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14:paraId="214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08" w:hRule="atLeast"/>
        </w:trPr>
        <w:tc>
          <w:tcPr>
            <w:tcW w:w="564" w:type="dxa"/>
            <w:noWrap w:val="0"/>
            <w:vAlign w:val="center"/>
          </w:tcPr>
          <w:p w14:paraId="74465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w:t>
            </w:r>
          </w:p>
        </w:tc>
        <w:tc>
          <w:tcPr>
            <w:tcW w:w="2100" w:type="dxa"/>
            <w:noWrap w:val="0"/>
            <w:vAlign w:val="center"/>
          </w:tcPr>
          <w:p w14:paraId="306115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医疗废物集中处置服务项目（第二次招标）</w:t>
            </w:r>
          </w:p>
        </w:tc>
        <w:tc>
          <w:tcPr>
            <w:tcW w:w="586" w:type="dxa"/>
            <w:noWrap w:val="0"/>
            <w:vAlign w:val="center"/>
          </w:tcPr>
          <w:p w14:paraId="67BB0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1项</w:t>
            </w:r>
          </w:p>
        </w:tc>
        <w:tc>
          <w:tcPr>
            <w:tcW w:w="1554" w:type="dxa"/>
            <w:noWrap w:val="0"/>
            <w:vAlign w:val="center"/>
          </w:tcPr>
          <w:p w14:paraId="3EEE4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91832</w:t>
            </w:r>
          </w:p>
        </w:tc>
        <w:tc>
          <w:tcPr>
            <w:tcW w:w="1473" w:type="dxa"/>
            <w:noWrap w:val="0"/>
            <w:vAlign w:val="center"/>
          </w:tcPr>
          <w:p w14:paraId="4F009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91832</w:t>
            </w:r>
          </w:p>
        </w:tc>
        <w:tc>
          <w:tcPr>
            <w:tcW w:w="1432" w:type="dxa"/>
            <w:noWrap w:val="0"/>
            <w:vAlign w:val="center"/>
          </w:tcPr>
          <w:p w14:paraId="53722E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详见谈判文件用户需求书</w:t>
            </w:r>
          </w:p>
        </w:tc>
        <w:tc>
          <w:tcPr>
            <w:tcW w:w="900" w:type="dxa"/>
            <w:noWrap w:val="0"/>
            <w:vAlign w:val="center"/>
          </w:tcPr>
          <w:p w14:paraId="0201D4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w:t>
            </w:r>
          </w:p>
        </w:tc>
      </w:tr>
    </w:tbl>
    <w:p w14:paraId="69FCB69A">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5、合同履行期限：详见谈判文件用户需求书。</w:t>
      </w:r>
    </w:p>
    <w:p w14:paraId="2A6937D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6、本项目不接受联合体投标。</w:t>
      </w:r>
    </w:p>
    <w:p w14:paraId="3FD97B93">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7、本项目只接受</w:t>
      </w:r>
      <w:r>
        <w:rPr>
          <w:rFonts w:hint="eastAsia" w:ascii="仿宋" w:hAnsi="仿宋" w:eastAsia="仿宋" w:cs="仿宋"/>
          <w:sz w:val="24"/>
          <w:highlight w:val="none"/>
        </w:rPr>
        <w:t>采购人推荐的供应商</w:t>
      </w:r>
      <w:r>
        <w:rPr>
          <w:rFonts w:hint="eastAsia" w:ascii="仿宋" w:hAnsi="仿宋" w:eastAsia="仿宋" w:cs="仿宋"/>
          <w:color w:val="000000" w:themeColor="text1"/>
          <w:sz w:val="24"/>
          <w:highlight w:val="none"/>
          <w:lang w:val="en-US" w:eastAsia="zh-CN"/>
          <w14:textFill>
            <w14:solidFill>
              <w14:schemeClr w14:val="tx1"/>
            </w14:solidFill>
          </w14:textFill>
        </w:rPr>
        <w:t>参与投标。</w:t>
      </w:r>
    </w:p>
    <w:p w14:paraId="633C7003">
      <w:pPr>
        <w:adjustRightInd w:val="0"/>
        <w:snapToGrid w:val="0"/>
        <w:spacing w:line="400" w:lineRule="exact"/>
        <w:jc w:val="left"/>
        <w:rPr>
          <w:rFonts w:hint="eastAsia" w:ascii="仿宋" w:hAnsi="仿宋" w:eastAsia="仿宋" w:cs="仿宋"/>
          <w:b/>
          <w:bCs w:val="0"/>
          <w:color w:val="000000" w:themeColor="text1"/>
          <w:sz w:val="24"/>
          <w:highlight w:val="none"/>
          <w:lang w:val="zh-CN"/>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二</w:t>
      </w:r>
      <w:r>
        <w:rPr>
          <w:rFonts w:hint="eastAsia" w:ascii="仿宋" w:hAnsi="仿宋" w:eastAsia="仿宋" w:cs="仿宋"/>
          <w:b/>
          <w:bCs w:val="0"/>
          <w:color w:val="000000" w:themeColor="text1"/>
          <w:sz w:val="24"/>
          <w:highlight w:val="none"/>
          <w:lang w:val="zh-CN"/>
          <w14:textFill>
            <w14:solidFill>
              <w14:schemeClr w14:val="tx1"/>
            </w14:solidFill>
          </w14:textFill>
        </w:rPr>
        <w:t>、拟定的唯一供应商名称、地址</w:t>
      </w:r>
    </w:p>
    <w:p w14:paraId="549FBB28">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kern w:val="2"/>
          <w:sz w:val="24"/>
          <w:szCs w:val="24"/>
          <w:highlight w:val="none"/>
          <w:lang w:val="zh-CN" w:eastAsia="zh-CN" w:bidi="ar-SA"/>
        </w:rPr>
        <w:t>供应商名称：深圳市益盛环保技术有限公司</w:t>
      </w:r>
    </w:p>
    <w:p w14:paraId="3D6E79F5">
      <w:pPr>
        <w:ind w:left="2159" w:leftChars="228" w:hanging="1680" w:hangingChars="700"/>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w:t>
      </w:r>
      <w:r>
        <w:rPr>
          <w:rFonts w:hint="eastAsia" w:ascii="仿宋" w:hAnsi="仿宋" w:eastAsia="仿宋" w:cs="仿宋"/>
          <w:kern w:val="2"/>
          <w:sz w:val="24"/>
          <w:szCs w:val="24"/>
          <w:highlight w:val="none"/>
          <w:lang w:val="zh-CN" w:eastAsia="zh-CN" w:bidi="ar-SA"/>
        </w:rPr>
        <w:t>供应商地址：深圳市</w:t>
      </w:r>
      <w:r>
        <w:rPr>
          <w:rFonts w:hint="eastAsia" w:ascii="仿宋" w:hAnsi="仿宋" w:eastAsia="仿宋" w:cs="仿宋"/>
          <w:kern w:val="2"/>
          <w:sz w:val="24"/>
          <w:szCs w:val="24"/>
          <w:highlight w:val="none"/>
          <w:lang w:val="en-US" w:eastAsia="zh-CN" w:bidi="ar-SA"/>
        </w:rPr>
        <w:t>福田区梅林街道梅都社区中康路126号卓越梅林中心广场（南区）卓悦汇A1001</w:t>
      </w:r>
    </w:p>
    <w:p w14:paraId="71451A06">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三</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人的资格要求：</w:t>
      </w:r>
    </w:p>
    <w:p w14:paraId="7F09D11C">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auto"/>
          <w:sz w:val="24"/>
          <w:highlight w:val="none"/>
          <w:lang w:val="en-US" w:eastAsia="zh-CN"/>
        </w:rPr>
        <w:t>或其他证明材料复印件加盖公章</w:t>
      </w:r>
      <w:r>
        <w:rPr>
          <w:rFonts w:hint="eastAsia" w:ascii="仿宋" w:hAnsi="仿宋" w:eastAsia="仿宋" w:cs="仿宋"/>
          <w:color w:val="auto"/>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6A99F80">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FB6E0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3.参与本项目政府采购活动时不存在被有关部门禁止参与政府采购活动且在有效期内的情况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参与本项目投标前三年内，在经营活动中没有重大违法记录。</w:t>
      </w:r>
      <w:r>
        <w:rPr>
          <w:rFonts w:hint="eastAsia" w:ascii="仿宋" w:hAnsi="仿宋" w:eastAsia="仿宋" w:cs="仿宋"/>
          <w:color w:val="auto"/>
          <w:sz w:val="24"/>
          <w:highlight w:val="none"/>
        </w:rPr>
        <w:t>（由供应商在《政府采购投标及履约承诺函》中作出声明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EB663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不存在《深圳市财政局政府采购供应商信用信息管理办法》（深财规〔2023〕3 号）列明的严重违法失信行为（由供应商在《</w:t>
      </w:r>
      <w:r>
        <w:rPr>
          <w:rFonts w:hint="eastAsia" w:ascii="仿宋" w:hAnsi="仿宋" w:eastAsia="仿宋" w:cs="仿宋"/>
          <w:color w:val="auto"/>
          <w:sz w:val="24"/>
          <w:highlight w:val="none"/>
          <w:lang w:eastAsia="zh-CN"/>
        </w:rPr>
        <w:t>政府采购投标及履约承诺函</w:t>
      </w:r>
      <w:r>
        <w:rPr>
          <w:rFonts w:hint="eastAsia" w:ascii="仿宋" w:hAnsi="仿宋" w:eastAsia="仿宋" w:cs="仿宋"/>
          <w:color w:val="auto"/>
          <w:sz w:val="24"/>
          <w:highlight w:val="none"/>
        </w:rPr>
        <w:t>》中作出声明）</w:t>
      </w:r>
      <w:r>
        <w:rPr>
          <w:rFonts w:hint="eastAsia" w:ascii="仿宋" w:hAnsi="仿宋" w:eastAsia="仿宋" w:cs="仿宋"/>
          <w:color w:val="auto"/>
          <w:sz w:val="24"/>
          <w:highlight w:val="none"/>
          <w:lang w:eastAsia="zh-CN"/>
        </w:rPr>
        <w:t>；</w:t>
      </w:r>
    </w:p>
    <w:p w14:paraId="6ECA1DD6">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5.未被列入失信被执行人、</w:t>
      </w:r>
      <w:r>
        <w:rPr>
          <w:rFonts w:hint="eastAsia" w:ascii="仿宋" w:hAnsi="仿宋" w:eastAsia="仿宋" w:cs="仿宋"/>
          <w:color w:val="auto"/>
          <w:sz w:val="24"/>
          <w:highlight w:val="none"/>
        </w:rPr>
        <w:t>重大税收违法案件当事人名单</w:t>
      </w:r>
      <w:r>
        <w:rPr>
          <w:rFonts w:hint="eastAsia" w:ascii="仿宋" w:hAnsi="仿宋" w:eastAsia="仿宋" w:cs="仿宋"/>
          <w:color w:val="auto"/>
          <w:sz w:val="24"/>
          <w:highlight w:val="none"/>
          <w:lang w:val="en-US" w:eastAsia="zh-CN"/>
        </w:rPr>
        <w:t>、政府采购严重违法失信行为记录名单</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w:t>
      </w:r>
    </w:p>
    <w:p w14:paraId="3578983E">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p>
    <w:p w14:paraId="255A8A91">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27700F58">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001B967B">
      <w:pPr>
        <w:ind w:firstLine="480" w:firstLineChars="200"/>
        <w:rPr>
          <w:rFonts w:hint="default"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8.投标人具有有效期内的《危险废物经营许可证》，核准经营内容为医疗废物。</w:t>
      </w:r>
    </w:p>
    <w:p w14:paraId="0902717D">
      <w:pPr>
        <w:pStyle w:val="291"/>
        <w:adjustRightInd w:val="0"/>
        <w:snapToGrid w:val="0"/>
        <w:spacing w:line="240" w:lineRule="auto"/>
        <w:ind w:left="0" w:leftChars="0" w:firstLine="480" w:firstLineChars="200"/>
        <w:jc w:val="left"/>
        <w:rPr>
          <w:rFonts w:hint="default" w:ascii="仿宋" w:hAnsi="仿宋" w:eastAsia="仿宋" w:cs="仿宋"/>
          <w:color w:val="auto"/>
          <w:sz w:val="24"/>
          <w:highlight w:val="yellow"/>
          <w:lang w:val="en-US" w:eastAsia="zh-CN"/>
        </w:rPr>
      </w:pPr>
      <w:r>
        <w:rPr>
          <w:rFonts w:hint="eastAsia" w:ascii="仿宋" w:hAnsi="仿宋" w:eastAsia="仿宋" w:cs="仿宋"/>
          <w:color w:val="auto"/>
          <w:sz w:val="24"/>
          <w:highlight w:val="none"/>
          <w:lang w:val="en-US" w:eastAsia="zh-CN"/>
        </w:rPr>
        <w:t>9.本项目是否全部专门面向中小企业采购：</w:t>
      </w:r>
      <w:r>
        <w:rPr>
          <w:rFonts w:hint="eastAsia" w:ascii="仿宋" w:hAnsi="仿宋" w:eastAsia="仿宋" w:cs="仿宋"/>
          <w:color w:val="auto"/>
          <w:sz w:val="24"/>
          <w:highlight w:val="yellow"/>
          <w:lang w:val="en-US" w:eastAsia="zh-CN"/>
        </w:rPr>
        <w:sym w:font="Wingdings" w:char="00FE"/>
      </w:r>
      <w:r>
        <w:rPr>
          <w:rFonts w:hint="eastAsia" w:ascii="仿宋" w:hAnsi="仿宋" w:eastAsia="仿宋" w:cs="仿宋"/>
          <w:color w:val="auto"/>
          <w:sz w:val="24"/>
          <w:highlight w:val="yellow"/>
          <w:lang w:val="en-US" w:eastAsia="zh-CN"/>
        </w:rPr>
        <w:t xml:space="preserve">是   </w:t>
      </w:r>
      <w:r>
        <w:rPr>
          <w:rFonts w:hint="eastAsia" w:ascii="仿宋" w:hAnsi="仿宋" w:eastAsia="仿宋" w:cs="仿宋"/>
          <w:color w:val="auto"/>
          <w:sz w:val="24"/>
          <w:highlight w:val="yellow"/>
          <w:lang w:val="en-US" w:eastAsia="zh-CN"/>
        </w:rPr>
        <w:sym w:font="Wingdings" w:char="00A8"/>
      </w:r>
      <w:r>
        <w:rPr>
          <w:rFonts w:hint="eastAsia" w:ascii="仿宋" w:hAnsi="仿宋" w:eastAsia="仿宋" w:cs="仿宋"/>
          <w:color w:val="auto"/>
          <w:sz w:val="24"/>
          <w:highlight w:val="yellow"/>
          <w:lang w:val="en-US" w:eastAsia="zh-CN"/>
        </w:rPr>
        <w:t>否</w:t>
      </w:r>
    </w:p>
    <w:p w14:paraId="76B071E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w:t>
      </w:r>
      <w:r>
        <w:rPr>
          <w:rFonts w:hint="eastAsia" w:ascii="仿宋" w:hAnsi="仿宋" w:eastAsia="仿宋" w:cs="仿宋"/>
          <w:b/>
          <w:color w:val="000000" w:themeColor="text1"/>
          <w:sz w:val="24"/>
          <w:highlight w:val="none"/>
          <w:lang w:val="en-US" w:eastAsia="zh-CN"/>
          <w14:textFill>
            <w14:solidFill>
              <w14:schemeClr w14:val="tx1"/>
            </w14:solidFill>
          </w14:textFill>
        </w:rPr>
        <w:t>报名及</w:t>
      </w:r>
      <w:r>
        <w:rPr>
          <w:rFonts w:hint="eastAsia" w:ascii="仿宋" w:hAnsi="仿宋" w:eastAsia="仿宋" w:cs="仿宋"/>
          <w:b/>
          <w:color w:val="000000" w:themeColor="text1"/>
          <w:sz w:val="24"/>
          <w:highlight w:val="none"/>
          <w14:textFill>
            <w14:solidFill>
              <w14:schemeClr w14:val="tx1"/>
            </w14:solidFill>
          </w14:textFill>
        </w:rPr>
        <w:t>获取谈判文件</w:t>
      </w:r>
    </w:p>
    <w:p w14:paraId="6C3D0F55">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报名时间：</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2025年10月26日—10月29日下午4:00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4F9DB4F">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报名方式：</w:t>
      </w:r>
      <w:r>
        <w:rPr>
          <w:rFonts w:hint="eastAsia" w:ascii="仿宋" w:hAnsi="仿宋" w:eastAsia="仿宋" w:cs="仿宋"/>
          <w:sz w:val="24"/>
          <w:highlight w:val="none"/>
        </w:rPr>
        <w:t>拟参与</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的供应商须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"mailto:需提交盖章版报名函至987892868@qq.com"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提交盖章版《</w:t>
      </w:r>
      <w:r>
        <w:rPr>
          <w:rFonts w:hint="eastAsia" w:ascii="仿宋" w:hAnsi="仿宋" w:eastAsia="仿宋" w:cs="仿宋"/>
          <w:sz w:val="24"/>
          <w:highlight w:val="none"/>
          <w:lang w:val="en-US" w:eastAsia="zh-CN"/>
        </w:rPr>
        <w:t>报名文件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名称”命名</w:t>
      </w:r>
      <w:r>
        <w:rPr>
          <w:rFonts w:hint="eastAsia" w:ascii="仿宋" w:hAnsi="仿宋" w:eastAsia="仿宋" w:cs="仿宋"/>
          <w:sz w:val="24"/>
          <w:highlight w:val="none"/>
        </w:rPr>
        <w:fldChar w:fldCharType="end"/>
      </w:r>
      <w:r>
        <w:rPr>
          <w:rFonts w:hint="eastAsia" w:ascii="仿宋" w:hAnsi="仿宋" w:eastAsia="仿宋" w:cs="仿宋"/>
          <w:sz w:val="24"/>
          <w:highlight w:val="none"/>
        </w:rPr>
        <w:t>发送至邮箱：</w:t>
      </w:r>
      <w:r>
        <w:rPr>
          <w:rFonts w:hint="eastAsia" w:ascii="仿宋" w:hAnsi="仿宋" w:eastAsia="仿宋" w:cs="仿宋"/>
          <w:sz w:val="24"/>
          <w:highlight w:val="none"/>
          <w:lang w:eastAsia="zh-CN"/>
        </w:rPr>
        <w:t>zbcgb@ft2yy.cn</w:t>
      </w:r>
    </w:p>
    <w:p w14:paraId="363BBF3E">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报名文件及</w:t>
      </w:r>
      <w:r>
        <w:rPr>
          <w:rFonts w:hint="eastAsia" w:ascii="仿宋" w:hAnsi="仿宋" w:eastAsia="仿宋" w:cs="仿宋"/>
          <w:b/>
          <w:color w:val="000000" w:themeColor="text1"/>
          <w:sz w:val="24"/>
          <w:highlight w:val="none"/>
          <w14:textFill>
            <w14:solidFill>
              <w14:schemeClr w14:val="tx1"/>
            </w14:solidFill>
          </w14:textFill>
        </w:rPr>
        <w:t>谈判文件获取</w:t>
      </w:r>
      <w:r>
        <w:rPr>
          <w:rFonts w:hint="eastAsia" w:ascii="仿宋" w:hAnsi="仿宋" w:eastAsia="仿宋" w:cs="仿宋"/>
          <w:b/>
          <w:bCs/>
          <w:sz w:val="24"/>
          <w:highlight w:val="none"/>
          <w:lang w:eastAsia="zh-CN"/>
        </w:rPr>
        <w:t>方式：</w:t>
      </w:r>
      <w:r>
        <w:rPr>
          <w:rFonts w:hint="eastAsia" w:ascii="仿宋" w:hAnsi="仿宋" w:eastAsia="仿宋" w:cs="仿宋"/>
          <w:sz w:val="24"/>
          <w:highlight w:val="none"/>
          <w:lang w:eastAsia="zh-CN"/>
        </w:rPr>
        <w:t>在线下载（</w:t>
      </w:r>
      <w:r>
        <w:rPr>
          <w:rFonts w:hint="eastAsia" w:ascii="仿宋" w:hAnsi="仿宋" w:eastAsia="仿宋" w:cs="仿宋"/>
          <w:sz w:val="24"/>
          <w:highlight w:val="none"/>
          <w:lang w:val="en-US" w:eastAsia="zh-CN"/>
        </w:rPr>
        <w:t>下载采购公告附件</w:t>
      </w:r>
      <w:r>
        <w:rPr>
          <w:rFonts w:hint="eastAsia" w:ascii="仿宋" w:hAnsi="仿宋" w:eastAsia="仿宋" w:cs="仿宋"/>
          <w:sz w:val="24"/>
          <w:highlight w:val="none"/>
          <w:lang w:eastAsia="zh-CN"/>
        </w:rPr>
        <w:t>）。</w:t>
      </w:r>
    </w:p>
    <w:p w14:paraId="19FAEE0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w:t>
      </w:r>
      <w:r>
        <w:rPr>
          <w:rFonts w:hint="eastAsia" w:ascii="仿宋" w:hAnsi="仿宋" w:eastAsia="仿宋" w:cs="仿宋"/>
          <w:b/>
          <w:color w:val="000000" w:themeColor="text1"/>
          <w:sz w:val="24"/>
          <w:highlight w:val="none"/>
          <w:lang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文件截止时间、开标时间和地点</w:t>
      </w:r>
    </w:p>
    <w:p w14:paraId="10E9488B">
      <w:pPr>
        <w:spacing w:line="400" w:lineRule="exact"/>
        <w:ind w:firstLine="482" w:firstLineChars="200"/>
        <w:rPr>
          <w:rFonts w:hint="eastAsia" w:ascii="仿宋" w:hAnsi="仿宋" w:eastAsia="仿宋" w:cs="仿宋"/>
          <w:snapToGrid w:val="0"/>
          <w:sz w:val="24"/>
          <w:highlight w:val="none"/>
          <w:lang w:val="zh-CN"/>
        </w:rPr>
      </w:pPr>
      <w:r>
        <w:rPr>
          <w:rFonts w:hint="eastAsia" w:ascii="仿宋" w:hAnsi="仿宋" w:eastAsia="仿宋" w:cs="仿宋"/>
          <w:b/>
          <w:bCs/>
          <w:snapToGrid w:val="0"/>
          <w:sz w:val="24"/>
          <w:highlight w:val="none"/>
          <w:lang w:val="zh-CN"/>
        </w:rPr>
        <w:t>递交</w:t>
      </w:r>
      <w:r>
        <w:rPr>
          <w:rFonts w:hint="eastAsia" w:ascii="仿宋" w:hAnsi="仿宋" w:eastAsia="仿宋" w:cs="仿宋"/>
          <w:b/>
          <w:bCs/>
          <w:snapToGrid w:val="0"/>
          <w:sz w:val="24"/>
          <w:highlight w:val="none"/>
          <w:lang w:eastAsia="zh-CN"/>
        </w:rPr>
        <w:t>投标</w:t>
      </w:r>
      <w:r>
        <w:rPr>
          <w:rFonts w:hint="eastAsia" w:ascii="仿宋" w:hAnsi="仿宋" w:eastAsia="仿宋" w:cs="仿宋"/>
          <w:b/>
          <w:bCs/>
          <w:snapToGrid w:val="0"/>
          <w:sz w:val="24"/>
          <w:highlight w:val="none"/>
          <w:lang w:val="zh-CN"/>
        </w:rPr>
        <w:t>文件截止时间：</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31</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2：0</w:t>
      </w:r>
      <w:r>
        <w:rPr>
          <w:rFonts w:hint="eastAsia" w:ascii="仿宋" w:hAnsi="仿宋" w:eastAsia="仿宋" w:cs="仿宋"/>
          <w:snapToGrid w:val="0"/>
          <w:sz w:val="24"/>
          <w:highlight w:val="yellow"/>
        </w:rPr>
        <w:t>0至</w:t>
      </w:r>
      <w:r>
        <w:rPr>
          <w:rFonts w:hint="eastAsia" w:ascii="仿宋" w:hAnsi="仿宋" w:eastAsia="仿宋" w:cs="仿宋"/>
          <w:snapToGrid w:val="0"/>
          <w:sz w:val="24"/>
          <w:highlight w:val="yellow"/>
          <w:lang w:val="en-US" w:eastAsia="zh-CN"/>
        </w:rPr>
        <w:t>2</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530EF09">
      <w:pPr>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snapToGrid w:val="0"/>
          <w:sz w:val="24"/>
          <w:highlight w:val="none"/>
          <w:lang w:val="en-US" w:eastAsia="zh-CN"/>
        </w:rPr>
        <w:t>开标时间</w:t>
      </w:r>
      <w:r>
        <w:rPr>
          <w:rFonts w:hint="eastAsia" w:ascii="仿宋" w:hAnsi="仿宋" w:eastAsia="仿宋" w:cs="仿宋"/>
          <w:b/>
          <w:bCs/>
          <w:snapToGrid w:val="0"/>
          <w:sz w:val="24"/>
          <w:highlight w:val="none"/>
          <w:lang w:val="zh-CN"/>
        </w:rPr>
        <w:t>：</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31下午</w:t>
      </w:r>
      <w:r>
        <w:rPr>
          <w:rFonts w:hint="eastAsia" w:ascii="仿宋" w:hAnsi="仿宋" w:eastAsia="仿宋" w:cs="仿宋"/>
          <w:snapToGrid w:val="0"/>
          <w:sz w:val="24"/>
          <w:highlight w:val="yellow"/>
          <w:lang w:val="en-US" w:eastAsia="zh-CN"/>
        </w:rPr>
        <w:t>2：3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color w:val="000000" w:themeColor="text1"/>
          <w:sz w:val="24"/>
          <w:highlight w:val="none"/>
          <w14:textFill>
            <w14:solidFill>
              <w14:schemeClr w14:val="tx1"/>
            </w14:solidFill>
          </w14:textFill>
        </w:rPr>
        <w:t>（北京时间）逾期送达的或者未送达指定地点的投标文件，采购人不予受理。</w:t>
      </w:r>
    </w:p>
    <w:p w14:paraId="01616FE8">
      <w:pPr>
        <w:spacing w:line="400" w:lineRule="exact"/>
        <w:ind w:right="-313" w:rightChars="-149" w:firstLine="482" w:firstLineChars="200"/>
        <w:rPr>
          <w:rFonts w:hint="eastAsia" w:ascii="仿宋" w:hAnsi="仿宋" w:eastAsia="仿宋" w:cs="仿宋"/>
          <w:sz w:val="24"/>
          <w:highlight w:val="none"/>
          <w:lang w:eastAsia="zh-CN"/>
        </w:rPr>
      </w:pPr>
      <w:r>
        <w:rPr>
          <w:rFonts w:hint="eastAsia" w:ascii="仿宋" w:hAnsi="仿宋" w:eastAsia="仿宋" w:cs="仿宋"/>
          <w:b/>
          <w:bCs/>
          <w:snapToGrid w:val="0"/>
          <w:sz w:val="24"/>
          <w:highlight w:val="none"/>
          <w:lang w:val="en-US" w:eastAsia="zh-CN"/>
        </w:rPr>
        <w:t>开标</w:t>
      </w:r>
      <w:r>
        <w:rPr>
          <w:rFonts w:hint="eastAsia" w:ascii="仿宋" w:hAnsi="仿宋" w:eastAsia="仿宋" w:cs="仿宋"/>
          <w:b/>
          <w:bCs/>
          <w:snapToGrid w:val="0"/>
          <w:sz w:val="24"/>
          <w:highlight w:val="none"/>
          <w:lang w:val="zh-CN"/>
        </w:rPr>
        <w:t>地点：</w:t>
      </w:r>
      <w:r>
        <w:rPr>
          <w:rFonts w:hint="eastAsia" w:ascii="仿宋" w:hAnsi="仿宋" w:eastAsia="仿宋" w:cs="仿宋"/>
          <w:sz w:val="24"/>
          <w:highlight w:val="none"/>
        </w:rPr>
        <w:t>深圳市福区第</w:t>
      </w:r>
      <w:r>
        <w:rPr>
          <w:rFonts w:hint="eastAsia" w:ascii="仿宋" w:hAnsi="仿宋" w:eastAsia="仿宋" w:cs="仿宋"/>
          <w:b w:val="0"/>
          <w:bCs w:val="0"/>
          <w:sz w:val="24"/>
          <w:highlight w:val="none"/>
        </w:rPr>
        <w:t>二人</w:t>
      </w:r>
      <w:r>
        <w:rPr>
          <w:rFonts w:hint="eastAsia" w:ascii="仿宋" w:hAnsi="仿宋" w:eastAsia="仿宋" w:cs="仿宋"/>
          <w:sz w:val="24"/>
          <w:highlight w:val="none"/>
        </w:rPr>
        <w:t>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中康院区综合楼A栋5楼招标采购办</w:t>
      </w:r>
      <w:r>
        <w:rPr>
          <w:rFonts w:hint="eastAsia" w:ascii="仿宋" w:hAnsi="仿宋" w:eastAsia="仿宋" w:cs="仿宋"/>
          <w:sz w:val="24"/>
          <w:highlight w:val="none"/>
          <w:lang w:eastAsia="zh-CN"/>
        </w:rPr>
        <w:t>）</w:t>
      </w:r>
    </w:p>
    <w:p w14:paraId="12964E02">
      <w:pPr>
        <w:pStyle w:val="13"/>
        <w:rPr>
          <w:rFonts w:hint="eastAsia"/>
          <w:lang w:eastAsia="zh-CN"/>
        </w:rPr>
      </w:pPr>
      <w:r>
        <w:rPr>
          <w:rFonts w:hint="eastAsia" w:ascii="仿宋" w:hAnsi="仿宋" w:eastAsia="仿宋" w:cs="仿宋"/>
          <w:b/>
          <w:bCs/>
          <w:snapToGrid w:val="0"/>
          <w:kern w:val="2"/>
          <w:sz w:val="24"/>
          <w:szCs w:val="24"/>
          <w:highlight w:val="none"/>
          <w:lang w:val="en-US" w:eastAsia="zh-CN" w:bidi="ar-SA"/>
        </w:rPr>
        <w:t>密封要求：</w:t>
      </w:r>
      <w:r>
        <w:rPr>
          <w:rFonts w:hint="eastAsia" w:ascii="仿宋" w:hAnsi="仿宋" w:eastAsia="仿宋" w:cs="仿宋"/>
          <w:b w:val="0"/>
          <w:bCs w:val="0"/>
          <w:kern w:val="2"/>
          <w:sz w:val="24"/>
          <w:szCs w:val="24"/>
          <w:highlight w:val="none"/>
          <w:lang w:val="en-US" w:eastAsia="zh-CN" w:bidi="ar-SA"/>
        </w:rPr>
        <w:t>密封完好，并在所有封口处加盖单位公章。</w:t>
      </w:r>
    </w:p>
    <w:p w14:paraId="3CA0C31C">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五、公告期限</w:t>
      </w:r>
    </w:p>
    <w:p w14:paraId="1C26D9A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自本公告发布之日起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日。</w:t>
      </w:r>
    </w:p>
    <w:p w14:paraId="6BDEC9E1">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2DFE11EE">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1、澄清及答疑事项：</w:t>
      </w:r>
    </w:p>
    <w:p w14:paraId="4EB48C1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要求采购人对</w:t>
      </w:r>
      <w:r>
        <w:rPr>
          <w:rFonts w:hint="eastAsia" w:ascii="仿宋" w:hAnsi="仿宋" w:eastAsia="仿宋" w:cs="仿宋"/>
          <w:color w:val="000000" w:themeColor="text1"/>
          <w:sz w:val="24"/>
          <w:highlight w:val="none"/>
          <w:lang w:eastAsia="zh-CN"/>
          <w14:textFill>
            <w14:solidFill>
              <w14:schemeClr w14:val="tx1"/>
            </w14:solidFill>
          </w14:textFill>
        </w:rPr>
        <w:t>招标文件</w:t>
      </w:r>
      <w:r>
        <w:rPr>
          <w:rFonts w:hint="eastAsia" w:ascii="仿宋" w:hAnsi="仿宋" w:eastAsia="仿宋" w:cs="仿宋"/>
          <w:color w:val="000000" w:themeColor="text1"/>
          <w:sz w:val="24"/>
          <w:highlight w:val="none"/>
          <w14:textFill>
            <w14:solidFill>
              <w14:schemeClr w14:val="tx1"/>
            </w14:solidFill>
          </w14:textFill>
        </w:rPr>
        <w:t>进行澄清的，</w:t>
      </w:r>
      <w:r>
        <w:rPr>
          <w:rFonts w:hint="eastAsia" w:ascii="仿宋" w:hAnsi="仿宋" w:eastAsia="仿宋" w:cs="仿宋"/>
          <w:color w:val="000000" w:themeColor="text1"/>
          <w:sz w:val="24"/>
          <w:highlight w:val="none"/>
          <w:lang w:val="zh-CN"/>
          <w14:textFill>
            <w14:solidFill>
              <w14:schemeClr w14:val="tx1"/>
            </w14:solidFill>
          </w14:textFill>
        </w:rPr>
        <w:t>请于投标截止日</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val="zh-CN"/>
          <w14:textFill>
            <w14:solidFill>
              <w14:schemeClr w14:val="tx1"/>
            </w14:solidFill>
          </w14:textFill>
        </w:rPr>
        <w:t>日前</w:t>
      </w:r>
      <w:r>
        <w:rPr>
          <w:rFonts w:hint="eastAsia" w:ascii="仿宋" w:hAnsi="仿宋" w:eastAsia="仿宋" w:cs="仿宋"/>
          <w:color w:val="000000" w:themeColor="text1"/>
          <w:sz w:val="24"/>
          <w:highlight w:val="none"/>
          <w14:textFill>
            <w14:solidFill>
              <w14:schemeClr w14:val="tx1"/>
            </w14:solidFill>
          </w14:textFill>
        </w:rPr>
        <w:t>，以书面形式加盖单位公章邮件或送达</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，邮件须电话确认，逾期不予受理。对谈判文件进行澄清或者修改的，</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将以公开发布方式发送给所有潜在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57796BF">
      <w:pPr>
        <w:adjustRightInd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（重要提示：“提出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文件澄清要求”不等同于“对</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文件质疑”，供应商提出的澄清要求内容如出现“质疑”字眼，将予以退回。供应商如认为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文件存在限制性、倾向性、其权益受到损害，应在</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文件公布之日起七个工作日内以书面形式提出质疑。请质疑供应商根据深圳公共资源交易中心网（ https://www.szggzy.com/fwdh/fwdhzfcg/bszn1/content_203163.html ）所发布的质疑指引、质疑函模板填写质疑函并提交质疑材料。质疑材料可以采用现场或邮寄方式提交，采用邮寄方式提交的，交邮时间应在本公告发布之日起七个工作日内。投标人应在法定质疑期内一次性提出针对同一采购程序环节的质疑。质疑材料现场提交、邮寄地址：</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w:t>
      </w:r>
      <w:r>
        <w:rPr>
          <w:rFonts w:hint="eastAsia" w:ascii="仿宋" w:hAnsi="仿宋" w:eastAsia="仿宋" w:cs="仿宋"/>
          <w:color w:val="000000" w:themeColor="text1"/>
          <w:sz w:val="24"/>
          <w:highlight w:val="none"/>
          <w:lang w:val="en-US" w:eastAsia="zh-CN"/>
          <w14:textFill>
            <w14:solidFill>
              <w14:schemeClr w14:val="tx1"/>
            </w14:solidFill>
          </w14:textFill>
        </w:rPr>
        <w:t>栋501室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。质疑咨询电话：0755-</w:t>
      </w:r>
      <w:r>
        <w:rPr>
          <w:rFonts w:hint="eastAsia" w:ascii="仿宋" w:hAnsi="仿宋" w:eastAsia="仿宋" w:cs="仿宋"/>
          <w:color w:val="000000" w:themeColor="text1"/>
          <w:sz w:val="24"/>
          <w:highlight w:val="none"/>
          <w:lang w:val="en-US" w:eastAsia="zh-CN"/>
          <w14:textFill>
            <w14:solidFill>
              <w14:schemeClr w14:val="tx1"/>
            </w14:solidFill>
          </w14:textFill>
        </w:rPr>
        <w:t>83279817</w:t>
      </w:r>
      <w:r>
        <w:rPr>
          <w:rFonts w:hint="eastAsia" w:ascii="仿宋" w:hAnsi="仿宋" w:eastAsia="仿宋" w:cs="仿宋"/>
          <w:color w:val="000000" w:themeColor="text1"/>
          <w:sz w:val="24"/>
          <w:highlight w:val="none"/>
          <w14:textFill>
            <w14:solidFill>
              <w14:schemeClr w14:val="tx1"/>
            </w14:solidFill>
          </w14:textFill>
        </w:rPr>
        <w:t>，质疑材料提交邮箱：</w:t>
      </w:r>
      <w:r>
        <w:rPr>
          <w:rFonts w:hint="eastAsia" w:ascii="仿宋" w:hAnsi="仿宋" w:eastAsia="仿宋" w:cs="仿宋"/>
          <w:color w:val="000000" w:themeColor="text1"/>
          <w:sz w:val="24"/>
          <w:highlight w:val="none"/>
          <w:lang w:eastAsia="zh-CN"/>
          <w14:textFill>
            <w14:solidFill>
              <w14:schemeClr w14:val="tx1"/>
            </w14:solidFill>
          </w14:textFill>
        </w:rPr>
        <w:t>zbcgb@ft2yy.cn</w:t>
      </w:r>
      <w:r>
        <w:rPr>
          <w:rFonts w:hint="eastAsia" w:ascii="仿宋" w:hAnsi="仿宋" w:eastAsia="仿宋" w:cs="仿宋"/>
          <w:color w:val="000000" w:themeColor="text1"/>
          <w:sz w:val="24"/>
          <w:highlight w:val="none"/>
          <w14:textFill>
            <w14:solidFill>
              <w14:schemeClr w14:val="tx1"/>
            </w14:solidFill>
          </w14:textFill>
        </w:rPr>
        <w:t>。根据《深圳经济特区政府采购条例》第四十二条“供应商投诉的事项应当是经过质疑的事项”的规定，未经正式质疑的，将影响供应商行使向财政部门提起投诉的权利。）</w:t>
      </w:r>
    </w:p>
    <w:p w14:paraId="1B3EE826">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2、重要提示：</w:t>
      </w:r>
    </w:p>
    <w:p w14:paraId="6627CD63">
      <w:pPr>
        <w:adjustRightInd w:val="0"/>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有义务在采购活动期间浏览下述“相关项目信息查询网址”网站信息。在相关网站上公布的与本次采购项目有关的信息视为已送达各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，恕不再行电话通知各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F0B5E9C">
      <w:pPr>
        <w:adjustRightInd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七、对本项目提出询问，请按以下方式联系。</w:t>
      </w:r>
    </w:p>
    <w:p w14:paraId="616A892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深圳市福田区第二人民医院</w:t>
      </w:r>
    </w:p>
    <w:p w14:paraId="1221D6B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地    址：深圳市福田区上梅林中康路27、25号</w:t>
      </w:r>
    </w:p>
    <w:p w14:paraId="05225223">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联 系 人：</w:t>
      </w:r>
      <w:r>
        <w:rPr>
          <w:rFonts w:hint="eastAsia" w:ascii="仿宋" w:hAnsi="仿宋" w:eastAsia="仿宋" w:cs="仿宋"/>
          <w:sz w:val="24"/>
          <w:highlight w:val="none"/>
          <w:lang w:val="en-US" w:eastAsia="zh-CN"/>
        </w:rPr>
        <w:t xml:space="preserve">招标采购办   郑老师  </w:t>
      </w:r>
      <w:r>
        <w:rPr>
          <w:rFonts w:hint="eastAsia" w:ascii="仿宋" w:hAnsi="仿宋" w:eastAsia="仿宋" w:cs="仿宋"/>
          <w:sz w:val="24"/>
          <w:highlight w:val="none"/>
          <w:lang w:eastAsia="zh-CN"/>
        </w:rPr>
        <w:t>0755-83279817</w:t>
      </w:r>
    </w:p>
    <w:p w14:paraId="18F9B1D0">
      <w:pPr>
        <w:pStyle w:val="1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采购部门     刘老师 </w:t>
      </w:r>
      <w:r>
        <w:rPr>
          <w:rFonts w:hint="eastAsia" w:ascii="仿宋" w:hAnsi="仿宋" w:eastAsia="仿宋" w:cs="仿宋"/>
          <w:kern w:val="2"/>
          <w:sz w:val="24"/>
          <w:szCs w:val="24"/>
          <w:highlight w:val="none"/>
          <w:lang w:val="en-US" w:eastAsia="zh-CN" w:bidi="ar-SA"/>
        </w:rPr>
        <w:t xml:space="preserve"> 0755-83110237-1999</w:t>
      </w:r>
    </w:p>
    <w:p w14:paraId="3414EC8E">
      <w:pPr>
        <w:pStyle w:val="19"/>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邮箱：</w:t>
      </w:r>
      <w:r>
        <w:rPr>
          <w:rFonts w:hint="eastAsia" w:ascii="仿宋" w:hAnsi="仿宋" w:eastAsia="仿宋" w:cs="仿宋"/>
          <w:color w:val="000000" w:themeColor="text1"/>
          <w:sz w:val="24"/>
          <w:highlight w:val="none"/>
          <w:lang w:eastAsia="zh-CN"/>
          <w14:textFill>
            <w14:solidFill>
              <w14:schemeClr w14:val="tx1"/>
            </w14:solidFill>
          </w14:textFill>
        </w:rPr>
        <w:t>zbcgb@ft2yy.cn</w:t>
      </w:r>
    </w:p>
    <w:p w14:paraId="54C1341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相关项目信息查询网址深圳市福田区第二人民医院官网通知公告</w:t>
      </w:r>
    </w:p>
    <w:p w14:paraId="12F87B5A">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eastAsia="zh-CN"/>
        </w:rPr>
        <w:fldChar w:fldCharType="begin"/>
      </w:r>
      <w:r>
        <w:rPr>
          <w:rFonts w:hint="eastAsia" w:ascii="仿宋" w:hAnsi="仿宋" w:eastAsia="仿宋" w:cs="仿宋"/>
          <w:sz w:val="24"/>
          <w:highlight w:val="none"/>
          <w:lang w:eastAsia="zh-CN"/>
        </w:rPr>
        <w:instrText xml:space="preserve"> HYPERLINK "https://www.ft2yy.cn/ywgk/tzgg/" </w:instrText>
      </w:r>
      <w:r>
        <w:rPr>
          <w:rFonts w:hint="eastAsia" w:ascii="仿宋" w:hAnsi="仿宋" w:eastAsia="仿宋" w:cs="仿宋"/>
          <w:sz w:val="24"/>
          <w:highlight w:val="none"/>
          <w:lang w:eastAsia="zh-CN"/>
        </w:rPr>
        <w:fldChar w:fldCharType="separate"/>
      </w:r>
      <w:r>
        <w:rPr>
          <w:rFonts w:hint="eastAsia" w:ascii="仿宋" w:hAnsi="仿宋" w:eastAsia="仿宋" w:cs="仿宋"/>
          <w:sz w:val="24"/>
          <w:highlight w:val="none"/>
          <w:lang w:eastAsia="zh-CN"/>
        </w:rPr>
        <w:t>https://www.ft2yy.cn/ywgk/tzgg/</w:t>
      </w:r>
      <w:r>
        <w:rPr>
          <w:rFonts w:hint="eastAsia" w:ascii="仿宋" w:hAnsi="仿宋" w:eastAsia="仿宋" w:cs="仿宋"/>
          <w:sz w:val="24"/>
          <w:highlight w:val="none"/>
          <w:lang w:eastAsia="zh-CN"/>
        </w:rPr>
        <w:fldChar w:fldCharType="end"/>
      </w:r>
      <w:r>
        <w:rPr>
          <w:rFonts w:hint="eastAsia" w:ascii="仿宋" w:hAnsi="仿宋" w:eastAsia="仿宋" w:cs="仿宋"/>
          <w:sz w:val="24"/>
          <w:highlight w:val="none"/>
          <w:lang w:eastAsia="zh-CN"/>
        </w:rPr>
        <w:t>）</w:t>
      </w:r>
    </w:p>
    <w:p w14:paraId="7877D537">
      <w:pPr>
        <w:pStyle w:val="19"/>
        <w:rPr>
          <w:rFonts w:hint="eastAsia"/>
        </w:rPr>
      </w:pPr>
    </w:p>
    <w:p w14:paraId="760AB80B">
      <w:pPr>
        <w:pStyle w:val="3"/>
        <w:pageBreakBefore/>
        <w:spacing w:line="415" w:lineRule="auto"/>
        <w:jc w:val="center"/>
        <w:rPr>
          <w:rFonts w:hint="eastAsia" w:ascii="仿宋" w:hAnsi="仿宋" w:eastAsia="仿宋" w:cs="仿宋"/>
          <w:b/>
          <w:bCs/>
        </w:rPr>
      </w:pPr>
      <w:bookmarkStart w:id="6" w:name="_Toc14284"/>
      <w:r>
        <w:rPr>
          <w:rFonts w:hint="eastAsia" w:ascii="仿宋" w:hAnsi="仿宋" w:eastAsia="仿宋" w:cs="仿宋"/>
          <w:b/>
          <w:bCs/>
        </w:rPr>
        <w:t>第二章  关键信息</w:t>
      </w:r>
      <w:bookmarkEnd w:id="6"/>
    </w:p>
    <w:p w14:paraId="612FB107">
      <w:pPr>
        <w:pStyle w:val="4"/>
        <w:jc w:val="center"/>
        <w:rPr>
          <w:rFonts w:hint="eastAsia" w:ascii="仿宋" w:hAnsi="仿宋" w:eastAsia="仿宋" w:cs="仿宋"/>
          <w:sz w:val="28"/>
          <w:szCs w:val="28"/>
        </w:rPr>
      </w:pPr>
      <w:bookmarkStart w:id="7" w:name="_Toc2861"/>
      <w:r>
        <w:rPr>
          <w:rFonts w:hint="eastAsia" w:ascii="仿宋" w:hAnsi="仿宋" w:eastAsia="仿宋" w:cs="仿宋"/>
          <w:sz w:val="28"/>
          <w:szCs w:val="28"/>
        </w:rPr>
        <w:t>表一、投标须知前附表</w:t>
      </w:r>
      <w:bookmarkEnd w:id="7"/>
    </w:p>
    <w:tbl>
      <w:tblPr>
        <w:tblStyle w:val="44"/>
        <w:tblW w:w="764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5455"/>
      </w:tblGrid>
      <w:tr w14:paraId="10546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CF045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项目类型</w:t>
            </w:r>
          </w:p>
        </w:tc>
        <w:tc>
          <w:tcPr>
            <w:tcW w:w="5455" w:type="dxa"/>
            <w:vAlign w:val="center"/>
          </w:tcPr>
          <w:p w14:paraId="7F80C700">
            <w:pPr>
              <w:keepNext w:val="0"/>
              <w:keepLines w:val="0"/>
              <w:suppressLineNumbers w:val="0"/>
              <w:spacing w:before="0" w:beforeAutospacing="0" w:after="0" w:afterAutospacing="0"/>
              <w:ind w:left="0" w:right="0"/>
              <w:rPr>
                <w:rFonts w:hint="default" w:ascii="仿宋" w:hAnsi="仿宋" w:eastAsia="仿宋" w:cs="仿宋"/>
                <w:snapToGrid w:val="0"/>
                <w:kern w:val="0"/>
                <w:sz w:val="24"/>
                <w:lang w:val="en-US"/>
              </w:rPr>
            </w:pPr>
            <w:r>
              <w:rPr>
                <w:rFonts w:hint="eastAsia" w:ascii="仿宋" w:hAnsi="仿宋" w:eastAsia="仿宋" w:cs="仿宋"/>
                <w:snapToGrid w:val="0"/>
                <w:kern w:val="0"/>
                <w:sz w:val="24"/>
                <w:lang w:val="en-US" w:eastAsia="zh-CN"/>
              </w:rPr>
              <w:t>服务类</w:t>
            </w:r>
          </w:p>
        </w:tc>
      </w:tr>
      <w:tr w14:paraId="2D818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0481177">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采购方式</w:t>
            </w:r>
          </w:p>
        </w:tc>
        <w:tc>
          <w:tcPr>
            <w:tcW w:w="5455" w:type="dxa"/>
            <w:vAlign w:val="center"/>
          </w:tcPr>
          <w:p w14:paraId="595FD251">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单一来源</w:t>
            </w:r>
          </w:p>
        </w:tc>
      </w:tr>
      <w:tr w14:paraId="1F942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04E23681">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货币类型</w:t>
            </w:r>
          </w:p>
        </w:tc>
        <w:tc>
          <w:tcPr>
            <w:tcW w:w="5455" w:type="dxa"/>
            <w:vAlign w:val="center"/>
          </w:tcPr>
          <w:p w14:paraId="6117008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人民币</w:t>
            </w:r>
          </w:p>
        </w:tc>
      </w:tr>
      <w:tr w14:paraId="290826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185" w:type="dxa"/>
            <w:vAlign w:val="center"/>
          </w:tcPr>
          <w:p w14:paraId="3B67E7C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支付上限金额</w:t>
            </w:r>
          </w:p>
        </w:tc>
        <w:tc>
          <w:tcPr>
            <w:tcW w:w="5455" w:type="dxa"/>
            <w:vAlign w:val="center"/>
          </w:tcPr>
          <w:p w14:paraId="2D212512">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eastAsia="zh-CN"/>
              </w:rPr>
            </w:pPr>
            <w:r>
              <w:rPr>
                <w:rFonts w:hint="eastAsia" w:ascii="仿宋" w:hAnsi="仿宋" w:eastAsia="仿宋" w:cs="仿宋"/>
                <w:snapToGrid w:val="0"/>
                <w:kern w:val="0"/>
                <w:sz w:val="24"/>
                <w:highlight w:val="none"/>
                <w:lang w:val="en-US" w:eastAsia="zh-CN"/>
              </w:rPr>
              <w:t>91832</w:t>
            </w:r>
            <w:r>
              <w:rPr>
                <w:rFonts w:hint="eastAsia" w:ascii="仿宋" w:hAnsi="仿宋" w:eastAsia="仿宋" w:cs="仿宋"/>
                <w:snapToGrid w:val="0"/>
                <w:kern w:val="0"/>
                <w:sz w:val="24"/>
                <w:highlight w:val="none"/>
                <w:lang w:eastAsia="zh-CN"/>
              </w:rPr>
              <w:t>.00元</w:t>
            </w:r>
          </w:p>
        </w:tc>
      </w:tr>
      <w:tr w14:paraId="6A098D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31280B3B">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最高限价</w:t>
            </w:r>
          </w:p>
        </w:tc>
        <w:tc>
          <w:tcPr>
            <w:tcW w:w="5455" w:type="dxa"/>
            <w:vAlign w:val="center"/>
          </w:tcPr>
          <w:p w14:paraId="4B488A70">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eastAsia="zh-CN"/>
              </w:rPr>
            </w:pPr>
            <w:r>
              <w:rPr>
                <w:rFonts w:hint="eastAsia" w:ascii="仿宋" w:hAnsi="仿宋" w:eastAsia="仿宋" w:cs="仿宋"/>
                <w:snapToGrid w:val="0"/>
                <w:kern w:val="0"/>
                <w:sz w:val="24"/>
                <w:highlight w:val="none"/>
                <w:lang w:val="en-US" w:eastAsia="zh-CN"/>
              </w:rPr>
              <w:t>91832.</w:t>
            </w:r>
            <w:r>
              <w:rPr>
                <w:rFonts w:hint="eastAsia" w:ascii="仿宋" w:hAnsi="仿宋" w:eastAsia="仿宋" w:cs="仿宋"/>
                <w:snapToGrid w:val="0"/>
                <w:kern w:val="0"/>
                <w:sz w:val="24"/>
                <w:highlight w:val="none"/>
                <w:lang w:eastAsia="zh-CN"/>
              </w:rPr>
              <w:t>00元</w:t>
            </w:r>
          </w:p>
        </w:tc>
      </w:tr>
      <w:tr w14:paraId="42704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5D4402DA">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谈判保证金</w:t>
            </w:r>
          </w:p>
        </w:tc>
        <w:tc>
          <w:tcPr>
            <w:tcW w:w="5455" w:type="dxa"/>
            <w:vAlign w:val="center"/>
          </w:tcPr>
          <w:p w14:paraId="644C157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本项目不适用</w:t>
            </w:r>
          </w:p>
        </w:tc>
      </w:tr>
      <w:tr w14:paraId="04434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3C1B289F">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评标方法</w:t>
            </w:r>
          </w:p>
        </w:tc>
        <w:tc>
          <w:tcPr>
            <w:tcW w:w="5455" w:type="dxa"/>
            <w:vAlign w:val="center"/>
          </w:tcPr>
          <w:p w14:paraId="3F216725">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最低价法</w:t>
            </w:r>
          </w:p>
        </w:tc>
      </w:tr>
      <w:tr w14:paraId="71A7B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44CA5AD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供应商的替代方案</w:t>
            </w:r>
          </w:p>
        </w:tc>
        <w:tc>
          <w:tcPr>
            <w:tcW w:w="5455" w:type="dxa"/>
            <w:vAlign w:val="center"/>
          </w:tcPr>
          <w:p w14:paraId="72269C20">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不允许</w:t>
            </w:r>
          </w:p>
        </w:tc>
      </w:tr>
      <w:tr w14:paraId="56D10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85" w:type="dxa"/>
            <w:vAlign w:val="center"/>
          </w:tcPr>
          <w:p w14:paraId="66886D4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谈判有效期</w:t>
            </w:r>
          </w:p>
        </w:tc>
        <w:tc>
          <w:tcPr>
            <w:tcW w:w="5455" w:type="dxa"/>
            <w:vAlign w:val="center"/>
          </w:tcPr>
          <w:p w14:paraId="1D09A604">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en-US" w:eastAsia="zh-CN"/>
              </w:rPr>
              <w:t>90</w:t>
            </w:r>
            <w:r>
              <w:rPr>
                <w:rFonts w:hint="eastAsia" w:ascii="仿宋" w:hAnsi="仿宋" w:eastAsia="仿宋" w:cs="仿宋"/>
                <w:snapToGrid w:val="0"/>
                <w:kern w:val="0"/>
                <w:sz w:val="24"/>
                <w:lang w:val="zh-CN"/>
              </w:rPr>
              <w:t>日</w:t>
            </w:r>
          </w:p>
        </w:tc>
      </w:tr>
      <w:tr w14:paraId="36ED02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185" w:type="dxa"/>
            <w:vAlign w:val="center"/>
          </w:tcPr>
          <w:p w14:paraId="1F2E9A96">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en-US" w:eastAsia="zh-CN"/>
              </w:rPr>
              <w:t>是（否）专门面向中小企业采购</w:t>
            </w:r>
          </w:p>
        </w:tc>
        <w:tc>
          <w:tcPr>
            <w:tcW w:w="5455" w:type="dxa"/>
            <w:vAlign w:val="center"/>
          </w:tcPr>
          <w:p w14:paraId="7338526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eastAsia="zh-CN"/>
              </w:rPr>
            </w:pPr>
            <w:r>
              <w:rPr>
                <w:rFonts w:hint="eastAsia" w:ascii="仿宋" w:hAnsi="仿宋" w:eastAsia="仿宋" w:cs="仿宋"/>
                <w:snapToGrid w:val="0"/>
                <w:kern w:val="0"/>
                <w:sz w:val="24"/>
                <w:highlight w:val="yellow"/>
                <w:lang w:val="en-US" w:eastAsia="zh-CN"/>
              </w:rPr>
              <w:t>是</w:t>
            </w:r>
          </w:p>
        </w:tc>
      </w:tr>
      <w:tr w14:paraId="1441B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2185" w:type="dxa"/>
            <w:vAlign w:val="center"/>
          </w:tcPr>
          <w:p w14:paraId="46AE4A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谈判投标文件份数</w:t>
            </w:r>
          </w:p>
        </w:tc>
        <w:tc>
          <w:tcPr>
            <w:tcW w:w="5455" w:type="dxa"/>
            <w:vAlign w:val="center"/>
          </w:tcPr>
          <w:p w14:paraId="58C2BE09">
            <w:pPr>
              <w:keepNext w:val="0"/>
              <w:keepLines w:val="0"/>
              <w:suppressLineNumbers w:val="0"/>
              <w:spacing w:before="0" w:beforeAutospacing="0" w:after="0" w:afterAutospacing="0"/>
              <w:ind w:left="0" w:right="0"/>
              <w:rPr>
                <w:rFonts w:hint="eastAsia" w:ascii="仿宋" w:hAnsi="仿宋" w:eastAsia="仿宋" w:cs="仿宋"/>
                <w:bCs/>
                <w:sz w:val="24"/>
              </w:rPr>
            </w:pPr>
            <w:r>
              <w:rPr>
                <w:rFonts w:hint="eastAsia" w:ascii="仿宋" w:hAnsi="仿宋" w:eastAsia="仿宋" w:cs="仿宋"/>
                <w:bCs/>
                <w:sz w:val="24"/>
              </w:rPr>
              <w:t>1、纸质</w:t>
            </w:r>
            <w:r>
              <w:rPr>
                <w:rFonts w:hint="eastAsia" w:ascii="仿宋" w:hAnsi="仿宋" w:eastAsia="仿宋" w:cs="仿宋"/>
                <w:bCs/>
                <w:sz w:val="24"/>
                <w:lang w:eastAsia="zh-CN"/>
              </w:rPr>
              <w:t>投标</w:t>
            </w:r>
            <w:r>
              <w:rPr>
                <w:rFonts w:hint="eastAsia" w:ascii="仿宋" w:hAnsi="仿宋" w:eastAsia="仿宋" w:cs="仿宋"/>
                <w:bCs/>
                <w:sz w:val="24"/>
              </w:rPr>
              <w:t>文件（</w:t>
            </w:r>
            <w:r>
              <w:rPr>
                <w:rFonts w:hint="eastAsia" w:ascii="仿宋" w:hAnsi="仿宋" w:eastAsia="仿宋" w:cs="仿宋"/>
                <w:bCs/>
                <w:sz w:val="24"/>
                <w:highlight w:val="yellow"/>
              </w:rPr>
              <w:t>正本一份、副本</w:t>
            </w:r>
            <w:r>
              <w:rPr>
                <w:rFonts w:hint="eastAsia" w:ascii="仿宋" w:hAnsi="仿宋" w:eastAsia="仿宋" w:cs="仿宋"/>
                <w:bCs/>
                <w:sz w:val="24"/>
                <w:highlight w:val="yellow"/>
                <w:lang w:val="en-US" w:eastAsia="zh-CN"/>
              </w:rPr>
              <w:t>五</w:t>
            </w:r>
            <w:r>
              <w:rPr>
                <w:rFonts w:hint="eastAsia" w:ascii="仿宋" w:hAnsi="仿宋" w:eastAsia="仿宋" w:cs="仿宋"/>
                <w:bCs/>
                <w:sz w:val="24"/>
                <w:highlight w:val="yellow"/>
              </w:rPr>
              <w:t>份</w:t>
            </w:r>
            <w:r>
              <w:rPr>
                <w:rFonts w:hint="eastAsia" w:ascii="仿宋" w:hAnsi="仿宋" w:eastAsia="仿宋" w:cs="仿宋"/>
                <w:bCs/>
                <w:sz w:val="24"/>
              </w:rPr>
              <w:t>，正本必须加盖公章，副本允许使用正本的复印件</w:t>
            </w:r>
            <w:r>
              <w:rPr>
                <w:rFonts w:hint="eastAsia" w:ascii="仿宋" w:hAnsi="仿宋" w:eastAsia="仿宋" w:cs="仿宋"/>
                <w:bCs/>
                <w:sz w:val="24"/>
                <w:lang w:val="en-US" w:eastAsia="zh-CN"/>
              </w:rPr>
              <w:t>加盖骑缝章</w:t>
            </w:r>
            <w:r>
              <w:rPr>
                <w:rFonts w:hint="eastAsia" w:ascii="仿宋" w:hAnsi="仿宋" w:eastAsia="仿宋" w:cs="仿宋"/>
                <w:bCs/>
                <w:sz w:val="24"/>
              </w:rPr>
              <w:t>）</w:t>
            </w:r>
            <w:r>
              <w:rPr>
                <w:rFonts w:hint="eastAsia" w:ascii="仿宋" w:hAnsi="仿宋" w:eastAsia="仿宋" w:cs="仿宋"/>
                <w:bCs/>
                <w:sz w:val="24"/>
                <w:lang w:eastAsia="zh-CN"/>
              </w:rPr>
              <w:t>，</w:t>
            </w:r>
            <w:r>
              <w:rPr>
                <w:rFonts w:hint="eastAsia" w:ascii="仿宋" w:hAnsi="仿宋" w:eastAsia="仿宋" w:cs="仿宋"/>
                <w:kern w:val="2"/>
                <w:sz w:val="24"/>
                <w:szCs w:val="24"/>
                <w:highlight w:val="none"/>
                <w:lang w:val="en-US" w:eastAsia="zh-CN" w:bidi="ar-SA"/>
              </w:rPr>
              <w:t>投标文件首页注明正本、副本字样；</w:t>
            </w:r>
            <w:r>
              <w:rPr>
                <w:rFonts w:hint="eastAsia" w:ascii="仿宋" w:hAnsi="仿宋" w:eastAsia="仿宋" w:cs="仿宋"/>
                <w:sz w:val="24"/>
                <w:highlight w:val="none"/>
                <w:lang w:val="en-US" w:eastAsia="zh-CN"/>
              </w:rPr>
              <w:t>按谈判文件要求顺序装订成册，并在密封处加盖公章。</w:t>
            </w:r>
          </w:p>
          <w:p w14:paraId="5EEEBFE8">
            <w:pPr>
              <w:pStyle w:val="19"/>
              <w:keepNext w:val="0"/>
              <w:keepLines w:val="0"/>
              <w:suppressLineNumbers w:val="0"/>
              <w:spacing w:before="0" w:beforeAutospacing="0" w:afterAutospacing="0"/>
              <w:ind w:left="0" w:right="0"/>
              <w:rPr>
                <w:rFonts w:hint="default" w:eastAsia="宋体"/>
                <w:lang w:val="en-US" w:eastAsia="zh-CN"/>
              </w:rPr>
            </w:pPr>
            <w:r>
              <w:rPr>
                <w:rFonts w:hint="eastAsia" w:ascii="仿宋" w:hAnsi="仿宋" w:eastAsia="仿宋" w:cs="仿宋"/>
                <w:bCs/>
                <w:sz w:val="24"/>
                <w:lang w:val="en-US" w:eastAsia="zh-CN"/>
              </w:rPr>
              <w:t>2、</w:t>
            </w:r>
            <w:r>
              <w:rPr>
                <w:rFonts w:hint="eastAsia" w:ascii="仿宋" w:hAnsi="仿宋" w:eastAsia="仿宋" w:cs="仿宋"/>
                <w:bCs/>
                <w:sz w:val="24"/>
                <w:lang w:eastAsia="zh-CN"/>
              </w:rPr>
              <w:t>电子投标文件</w:t>
            </w:r>
            <w:r>
              <w:rPr>
                <w:rFonts w:hint="eastAsia" w:ascii="仿宋" w:hAnsi="仿宋" w:eastAsia="仿宋" w:cs="仿宋"/>
                <w:bCs/>
                <w:sz w:val="24"/>
                <w:lang w:val="en-US" w:eastAsia="zh-CN"/>
              </w:rPr>
              <w:t>U盘</w:t>
            </w:r>
            <w:r>
              <w:rPr>
                <w:rFonts w:hint="eastAsia" w:ascii="仿宋" w:hAnsi="仿宋" w:eastAsia="仿宋" w:cs="仿宋"/>
                <w:bCs/>
                <w:sz w:val="24"/>
                <w:lang w:eastAsia="zh-CN"/>
              </w:rPr>
              <w:t>与“开标一览表”</w:t>
            </w:r>
            <w:r>
              <w:rPr>
                <w:rFonts w:hint="eastAsia" w:ascii="仿宋" w:hAnsi="仿宋" w:eastAsia="仿宋" w:cs="仿宋"/>
                <w:bCs/>
                <w:sz w:val="24"/>
                <w:lang w:val="en-US" w:eastAsia="zh-CN"/>
              </w:rPr>
              <w:t>一起</w:t>
            </w:r>
            <w:r>
              <w:rPr>
                <w:rFonts w:hint="eastAsia" w:ascii="仿宋" w:hAnsi="仿宋" w:eastAsia="仿宋" w:cs="仿宋"/>
                <w:bCs/>
                <w:sz w:val="24"/>
                <w:lang w:eastAsia="zh-CN"/>
              </w:rPr>
              <w:t>装入文</w:t>
            </w:r>
            <w:r>
              <w:rPr>
                <w:rFonts w:hint="eastAsia" w:ascii="仿宋" w:hAnsi="仿宋" w:eastAsia="仿宋" w:cs="仿宋"/>
                <w:bCs/>
                <w:sz w:val="24"/>
                <w:lang w:val="en-US" w:eastAsia="zh-CN"/>
              </w:rPr>
              <w:t>件袋密封密封，并在密封处加盖公章。（提交加盖公章的PDF电子投标文件正本，文件命名为：“项目名称+投标单位名称”拷贝至无病毒无密码的U盘）</w:t>
            </w:r>
          </w:p>
        </w:tc>
      </w:tr>
    </w:tbl>
    <w:p w14:paraId="4D3A452D">
      <w:pPr>
        <w:pStyle w:val="4"/>
        <w:pageBreakBefore/>
        <w:spacing w:line="415" w:lineRule="auto"/>
        <w:jc w:val="center"/>
        <w:rPr>
          <w:rFonts w:hint="eastAsia" w:ascii="仿宋" w:hAnsi="仿宋" w:eastAsia="仿宋" w:cs="仿宋"/>
          <w:sz w:val="28"/>
          <w:szCs w:val="28"/>
        </w:rPr>
      </w:pPr>
      <w:bookmarkStart w:id="8" w:name="bt总则"/>
      <w:bookmarkEnd w:id="8"/>
      <w:bookmarkStart w:id="9" w:name="_Toc17614"/>
      <w:r>
        <w:rPr>
          <w:rFonts w:hint="eastAsia" w:ascii="仿宋" w:hAnsi="仿宋" w:eastAsia="仿宋" w:cs="仿宋"/>
          <w:sz w:val="28"/>
          <w:szCs w:val="28"/>
        </w:rPr>
        <w:t>表二、</w:t>
      </w:r>
      <w:r>
        <w:rPr>
          <w:rFonts w:hint="eastAsia" w:ascii="仿宋" w:hAnsi="仿宋" w:eastAsia="仿宋" w:cs="仿宋"/>
          <w:sz w:val="28"/>
          <w:szCs w:val="28"/>
          <w:lang w:eastAsia="zh-CN"/>
        </w:rPr>
        <w:t>投标</w:t>
      </w:r>
      <w:r>
        <w:rPr>
          <w:rFonts w:hint="eastAsia" w:ascii="仿宋" w:hAnsi="仿宋" w:eastAsia="仿宋" w:cs="仿宋"/>
          <w:sz w:val="28"/>
          <w:szCs w:val="28"/>
        </w:rPr>
        <w:t>文件初审表</w:t>
      </w:r>
      <w:bookmarkEnd w:id="9"/>
    </w:p>
    <w:p w14:paraId="1F5DB2B1">
      <w:pPr>
        <w:jc w:val="center"/>
        <w:rPr>
          <w:rFonts w:hint="eastAsia"/>
        </w:rPr>
      </w:pPr>
      <w:r>
        <w:rPr>
          <w:rFonts w:hint="eastAsia"/>
          <w:b/>
        </w:rPr>
        <w:t>（凡有下列情形之一的，</w:t>
      </w:r>
      <w:r>
        <w:rPr>
          <w:rFonts w:hint="eastAsia"/>
          <w:b/>
          <w:color w:val="FF0000"/>
        </w:rPr>
        <w:t>初审不通过，投标无效</w:t>
      </w:r>
      <w:r>
        <w:rPr>
          <w:rFonts w:hint="eastAsia"/>
          <w:b/>
        </w:rPr>
        <w:t>）</w:t>
      </w:r>
    </w:p>
    <w:tbl>
      <w:tblPr>
        <w:tblStyle w:val="44"/>
        <w:tblW w:w="8437"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51"/>
      </w:tblGrid>
      <w:tr w14:paraId="6871B7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4ED3F845">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资格性检查表</w:t>
            </w:r>
          </w:p>
        </w:tc>
      </w:tr>
      <w:tr w14:paraId="28793F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F2F5C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5C5653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5C675D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3CF11F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p>
        </w:tc>
        <w:tc>
          <w:tcPr>
            <w:tcW w:w="7651" w:type="dxa"/>
            <w:shd w:val="clear" w:color="auto" w:fill="auto"/>
            <w:vAlign w:val="center"/>
          </w:tcPr>
          <w:p w14:paraId="16EBA23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具备资质要求，或提交相应资格证明材料（详见采购公告或采购邀请函中的资质要求，其中未列示的资质要求不得导致投标无效）</w:t>
            </w:r>
          </w:p>
        </w:tc>
      </w:tr>
      <w:tr w14:paraId="6DC7E6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26D95E9">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7651" w:type="dxa"/>
            <w:vAlign w:val="center"/>
          </w:tcPr>
          <w:p w14:paraId="19C3369A">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按采购公告（或采购邀请函）要求完成投标报名的</w:t>
            </w:r>
          </w:p>
        </w:tc>
      </w:tr>
      <w:tr w14:paraId="3F7795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186F9ACA">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符合性检查表</w:t>
            </w:r>
          </w:p>
        </w:tc>
      </w:tr>
      <w:tr w14:paraId="37D866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5D26C07">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8A9A40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68ACAD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95B2AB4">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651" w:type="dxa"/>
            <w:vAlign w:val="center"/>
          </w:tcPr>
          <w:p w14:paraId="7369D2E3">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将一个包中的内容拆开投标</w:t>
            </w:r>
          </w:p>
        </w:tc>
      </w:tr>
      <w:tr w14:paraId="3FA11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D08625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651" w:type="dxa"/>
            <w:vAlign w:val="center"/>
          </w:tcPr>
          <w:p w14:paraId="78DCF49D">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文件按规定密封、签字、盖章</w:t>
            </w:r>
          </w:p>
        </w:tc>
      </w:tr>
      <w:tr w14:paraId="772DF8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EE7E94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7651" w:type="dxa"/>
            <w:vAlign w:val="center"/>
          </w:tcPr>
          <w:p w14:paraId="39012047">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谈判文件未规定允许有替代方案时，对同一项目投标时，</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提供两套或两套以上的投标方案</w:t>
            </w:r>
          </w:p>
        </w:tc>
      </w:tr>
      <w:tr w14:paraId="75C868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03E9C9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7651" w:type="dxa"/>
            <w:vAlign w:val="center"/>
          </w:tcPr>
          <w:p w14:paraId="0E79166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w:t>
            </w:r>
            <w:r>
              <w:rPr>
                <w:rFonts w:hint="eastAsia" w:ascii="仿宋" w:hAnsi="仿宋" w:eastAsia="仿宋" w:cs="仿宋"/>
                <w:color w:val="000000" w:themeColor="text1"/>
                <w:sz w:val="24"/>
                <w:lang w:val="en-US" w:eastAsia="zh-CN"/>
                <w14:textFill>
                  <w14:solidFill>
                    <w14:schemeClr w14:val="tx1"/>
                  </w14:solidFill>
                </w14:textFill>
              </w:rPr>
              <w:t>件要求提供</w:t>
            </w:r>
            <w:r>
              <w:rPr>
                <w:rFonts w:hint="eastAsia" w:ascii="仿宋" w:hAnsi="仿宋" w:eastAsia="仿宋" w:cs="仿宋"/>
                <w:color w:val="000000" w:themeColor="text1"/>
                <w:sz w:val="24"/>
                <w14:textFill>
                  <w14:solidFill>
                    <w14:schemeClr w14:val="tx1"/>
                  </w14:solidFill>
                </w14:textFill>
              </w:rPr>
              <w:t>投标函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法定代表人证明书、或提供有效的法定代表人授权委托书；</w:t>
            </w:r>
          </w:p>
        </w:tc>
      </w:tr>
      <w:tr w14:paraId="779229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8F32DB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7651" w:type="dxa"/>
            <w:vAlign w:val="center"/>
          </w:tcPr>
          <w:p w14:paraId="58F093A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分项报价不得高于最高限价，投标总价不得高于预算，或按照谈判文件的报价要求进行报价的</w:t>
            </w:r>
          </w:p>
        </w:tc>
      </w:tr>
      <w:tr w14:paraId="451F20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4EEFCF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7651" w:type="dxa"/>
            <w:vAlign w:val="center"/>
          </w:tcPr>
          <w:p w14:paraId="088CE393">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6F718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B1CAE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7651" w:type="dxa"/>
            <w:vAlign w:val="center"/>
          </w:tcPr>
          <w:p w14:paraId="7281091E">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采购标的/服务清单/报价等任意一类</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出现有缺漏项或响应不全；</w:t>
            </w:r>
          </w:p>
        </w:tc>
      </w:tr>
      <w:tr w14:paraId="42D7D6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555417F">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7651" w:type="dxa"/>
            <w:vAlign w:val="center"/>
          </w:tcPr>
          <w:p w14:paraId="788ABF32">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所投货物、服务在技术、商务等方面实质性满足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文件要求的（是否实质性满足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文件要求，由评审委员会根据《实质性条款响应情况表》做出评判）</w:t>
            </w:r>
          </w:p>
        </w:tc>
      </w:tr>
      <w:tr w14:paraId="4C9F73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627329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7651" w:type="dxa"/>
            <w:vAlign w:val="center"/>
          </w:tcPr>
          <w:p w14:paraId="492F5CB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投标文件不得附有采购人或采购需求不能接受的条件</w:t>
            </w:r>
          </w:p>
        </w:tc>
      </w:tr>
      <w:tr w14:paraId="3D347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B77EF2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7651" w:type="dxa"/>
            <w:vAlign w:val="center"/>
          </w:tcPr>
          <w:p w14:paraId="6BB278CF">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法律法规规定的其他情形</w:t>
            </w:r>
          </w:p>
        </w:tc>
      </w:tr>
    </w:tbl>
    <w:p w14:paraId="7AC34CAF">
      <w:pPr>
        <w:pStyle w:val="4"/>
        <w:pageBreakBefore/>
        <w:spacing w:line="415" w:lineRule="auto"/>
        <w:jc w:val="center"/>
        <w:rPr>
          <w:rFonts w:hint="eastAsia" w:ascii="仿宋" w:hAnsi="仿宋" w:eastAsia="仿宋" w:cs="仿宋"/>
          <w:sz w:val="28"/>
          <w:szCs w:val="28"/>
          <w:highlight w:val="none"/>
        </w:rPr>
      </w:pPr>
      <w:bookmarkStart w:id="10" w:name="_Toc27339"/>
      <w:r>
        <w:rPr>
          <w:rFonts w:hint="eastAsia" w:ascii="仿宋" w:hAnsi="仿宋" w:eastAsia="仿宋" w:cs="仿宋"/>
          <w:sz w:val="28"/>
          <w:szCs w:val="28"/>
          <w:highlight w:val="none"/>
        </w:rPr>
        <w:t>表三、评标信息</w:t>
      </w:r>
      <w:bookmarkEnd w:id="10"/>
    </w:p>
    <w:p w14:paraId="444B17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谈判采用最低价法，是指以价格因素确定成交候选供应商的评标方法，即在通过资格性及符合性检查且在满足谈判文件实质性要求前提下，按照报价由低到高的顺序，谈判小组推荐最终报价最低的1家供应商作为成交供应商。</w:t>
      </w:r>
    </w:p>
    <w:p w14:paraId="473EE31A">
      <w:pPr>
        <w:adjustRightInd w:val="0"/>
        <w:snapToGrid w:val="0"/>
        <w:spacing w:line="40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617A3617">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w:t>
      </w:r>
      <w:r>
        <w:rPr>
          <w:rFonts w:hint="eastAsia" w:ascii="仿宋" w:hAnsi="仿宋" w:eastAsia="仿宋" w:cs="仿宋"/>
          <w:color w:val="000000" w:themeColor="text1"/>
          <w:sz w:val="24"/>
          <w:highlight w:val="yellow"/>
          <w:lang w:val="en-US" w:eastAsia="zh-CN"/>
          <w14:textFill>
            <w14:solidFill>
              <w14:schemeClr w14:val="tx1"/>
            </w14:solidFill>
          </w14:textFill>
        </w:rPr>
        <w:t>若</w:t>
      </w:r>
      <w:r>
        <w:rPr>
          <w:rFonts w:hint="eastAsia" w:ascii="仿宋" w:hAnsi="仿宋" w:eastAsia="仿宋" w:cs="仿宋"/>
          <w:color w:val="000000" w:themeColor="text1"/>
          <w:sz w:val="24"/>
          <w:highlight w:val="yellow"/>
          <w14:textFill>
            <w14:solidFill>
              <w14:schemeClr w14:val="tx1"/>
            </w14:solidFill>
          </w14:textFill>
        </w:rPr>
        <w:t>为</w:t>
      </w:r>
      <w:r>
        <w:rPr>
          <w:rFonts w:hint="eastAsia" w:ascii="仿宋" w:hAnsi="仿宋" w:eastAsia="仿宋" w:cs="仿宋"/>
          <w:color w:val="000000" w:themeColor="text1"/>
          <w:sz w:val="24"/>
          <w14:textFill>
            <w14:solidFill>
              <w14:schemeClr w14:val="tx1"/>
            </w14:solidFill>
          </w14:textFill>
        </w:rPr>
        <w:t>非专门面向中小企业的项目，用扣除后的价格参与评审，本项目的扣除比例为：</w:t>
      </w:r>
    </w:p>
    <w:p w14:paraId="322C4C13">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1.小型企业、微型企业、监狱企业和残疾人福利性单位均给予</w:t>
      </w:r>
      <w:r>
        <w:rPr>
          <w:rFonts w:hint="eastAsia" w:ascii="仿宋" w:hAnsi="仿宋" w:eastAsia="仿宋" w:cs="仿宋"/>
          <w:b/>
          <w:color w:val="000000" w:themeColor="text1"/>
          <w:sz w:val="24"/>
          <w:highlight w:val="yellow"/>
          <w:u w:val="single"/>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的扣除。</w:t>
      </w:r>
    </w:p>
    <w:p w14:paraId="36AEF5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不适用】接受大中型企业与小微企业组成联合体或者允许大中型企业向一家或者多家小微企业分包的采购项目，对于联合协议或者分包意向协议约定小微企业的合同份额占到合同总金额30%以上的，将对联合体或者大中型企业的报价给予</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%的扣除。</w:t>
      </w:r>
    </w:p>
    <w:p w14:paraId="32757592">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sectPr>
          <w:footerReference r:id="rId4" w:type="first"/>
          <w:footerReference r:id="rId3" w:type="default"/>
          <w:pgSz w:w="11906" w:h="16838"/>
          <w:pgMar w:top="1440" w:right="1486" w:bottom="1440" w:left="1800" w:header="851" w:footer="992" w:gutter="0"/>
          <w:pgNumType w:start="1"/>
          <w:cols w:space="425" w:num="1"/>
          <w:titlePg/>
          <w:docGrid w:type="lines" w:linePitch="312" w:charSpace="0"/>
        </w:sectPr>
      </w:pPr>
      <w:r>
        <w:rPr>
          <w:rFonts w:hint="eastAsia" w:ascii="仿宋" w:hAnsi="仿宋" w:eastAsia="仿宋" w:cs="仿宋"/>
          <w:color w:val="000000" w:themeColor="text1"/>
          <w:sz w:val="24"/>
          <w14:textFill>
            <w14:solidFill>
              <w14:schemeClr w14:val="tx1"/>
            </w14:solidFill>
          </w14:textFill>
        </w:rPr>
        <w:t>3.相关证明文件详见</w:t>
      </w: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文件格式要求，</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同时为小型、微型企业、监狱企业和残疾人福利性单位的，评审中只享受一次价格扣除，不重复进行价格扣除。</w:t>
      </w:r>
    </w:p>
    <w:p w14:paraId="0A506E5D">
      <w:pPr>
        <w:bidi w:val="0"/>
        <w:jc w:val="center"/>
        <w:rPr>
          <w:rFonts w:hint="eastAsia" w:ascii="仿宋" w:hAnsi="仿宋" w:eastAsia="仿宋" w:cs="仿宋"/>
          <w:b/>
          <w:bCs/>
          <w:sz w:val="28"/>
          <w:szCs w:val="28"/>
          <w:lang w:val="en-US" w:eastAsia="zh-CN"/>
        </w:rPr>
      </w:pPr>
      <w:bookmarkStart w:id="11" w:name="_Toc30120"/>
      <w:r>
        <w:rPr>
          <w:rFonts w:hint="eastAsia" w:ascii="仿宋" w:hAnsi="仿宋" w:eastAsia="仿宋" w:cs="仿宋"/>
          <w:b/>
          <w:bCs/>
          <w:sz w:val="28"/>
          <w:szCs w:val="28"/>
        </w:rPr>
        <w:t xml:space="preserve">第三章  </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bookmarkEnd w:id="11"/>
      <w:bookmarkStart w:id="12" w:name="_Toc15940"/>
      <w:bookmarkStart w:id="13" w:name="_Toc99549957"/>
      <w:bookmarkStart w:id="14" w:name="_Toc54943417"/>
      <w:r>
        <w:rPr>
          <w:rFonts w:hint="eastAsia" w:ascii="仿宋" w:hAnsi="仿宋" w:eastAsia="仿宋" w:cs="仿宋"/>
          <w:b/>
          <w:bCs/>
          <w:sz w:val="28"/>
          <w:szCs w:val="28"/>
          <w:lang w:val="en-US" w:eastAsia="zh-CN"/>
        </w:rPr>
        <w:t>书</w:t>
      </w:r>
    </w:p>
    <w:p w14:paraId="68B8F6EB">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注：1.服务要求和商务要求中打“★”号条款为实质性条款，有任何一条负偏离则导致无效投标。</w:t>
      </w:r>
    </w:p>
    <w:p w14:paraId="550FAC4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2.服务要求和商务要求中打“▲”号条款为重要技术参数，但不作为无效投标条款。</w:t>
      </w:r>
    </w:p>
    <w:p w14:paraId="3CAF58D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sz w:val="21"/>
          <w:szCs w:val="21"/>
          <w:lang w:val="en-US" w:eastAsia="zh-CN"/>
        </w:rPr>
      </w:pPr>
      <w:r>
        <w:rPr>
          <w:rFonts w:hint="eastAsia" w:ascii="仿宋" w:hAnsi="仿宋" w:eastAsia="仿宋" w:cs="仿宋"/>
          <w:bCs/>
          <w:color w:val="FF0000"/>
          <w:kern w:val="0"/>
          <w:sz w:val="21"/>
          <w:szCs w:val="21"/>
          <w:lang w:val="en-US" w:eastAsia="zh-CN"/>
        </w:rPr>
        <w:t>3.服务要求和商务要求中要求提供证明材料的，投标文件需提供相应证明材料复印件或扫描件（加盖投标人公章，原件备查）并注明证明材料在投标文件中的具体位置，未按要求提供证明材料或未注明证明材料的具体位置或提供的证明资料显示产品参数信息不符合谈判文件要求的，均视为负偏离；未要求提供相应证明材料的，投标人可以不提供。</w:t>
      </w:r>
    </w:p>
    <w:p w14:paraId="3B4845C9">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4.投标人提供证书或检测报告等证明材料的，颁发证书、出具报告的机构须是合法设立的机构，且具有颁发相应证书或者出具相应报告的资质。</w:t>
      </w:r>
    </w:p>
    <w:p w14:paraId="49C3A0AB">
      <w:pPr>
        <w:pStyle w:val="19"/>
        <w:rPr>
          <w:rFonts w:hint="eastAsia"/>
          <w:color w:val="FF0000"/>
          <w:highlight w:val="none"/>
        </w:rPr>
      </w:pPr>
    </w:p>
    <w:p w14:paraId="186CF72B">
      <w:pPr>
        <w:bidi w:val="0"/>
        <w:rPr>
          <w:rFonts w:hint="eastAsia" w:ascii="仿宋" w:hAnsi="仿宋" w:eastAsia="仿宋" w:cs="仿宋"/>
          <w:b/>
          <w:bCs/>
          <w:color w:val="FF0000"/>
          <w:sz w:val="28"/>
          <w:szCs w:val="28"/>
          <w:highlight w:val="none"/>
        </w:rPr>
      </w:pPr>
      <w:r>
        <w:rPr>
          <w:rFonts w:hint="eastAsia" w:ascii="仿宋" w:hAnsi="仿宋" w:eastAsia="仿宋" w:cs="仿宋"/>
          <w:b/>
          <w:bCs/>
          <w:color w:val="FF0000"/>
          <w:sz w:val="24"/>
          <w:szCs w:val="24"/>
          <w:highlight w:val="none"/>
          <w:lang w:val="en-US" w:eastAsia="zh-CN"/>
        </w:rPr>
        <w:t>一、</w:t>
      </w:r>
      <w:bookmarkEnd w:id="12"/>
      <w:bookmarkEnd w:id="13"/>
      <w:bookmarkEnd w:id="14"/>
      <w:bookmarkStart w:id="15" w:name="_Toc97624961"/>
      <w:bookmarkStart w:id="16" w:name="_Toc54717590"/>
      <w:bookmarkStart w:id="17" w:name="_Toc79062234"/>
      <w:r>
        <w:rPr>
          <w:rFonts w:hint="eastAsia" w:ascii="仿宋" w:hAnsi="仿宋" w:eastAsia="仿宋" w:cs="仿宋"/>
          <w:b/>
          <w:bCs/>
          <w:color w:val="FF0000"/>
          <w:sz w:val="24"/>
          <w:szCs w:val="24"/>
          <w:highlight w:val="none"/>
          <w:lang w:val="en-US" w:eastAsia="zh-CN"/>
        </w:rPr>
        <w:t>采购项目名称及项目预算</w:t>
      </w:r>
      <w:r>
        <w:rPr>
          <w:rFonts w:hint="eastAsia" w:ascii="宋体" w:hAnsi="宋体" w:eastAsia="宋体" w:cs="Times New Roman"/>
          <w:b/>
          <w:bCs/>
          <w:color w:val="FF0000"/>
          <w:szCs w:val="21"/>
          <w:highlight w:val="none"/>
          <w:lang w:val="en-US" w:eastAsia="zh-CN"/>
        </w:rPr>
        <w:t>（</w:t>
      </w:r>
      <w:r>
        <w:rPr>
          <w:rFonts w:hint="eastAsia" w:ascii="宋体" w:hAnsi="宋体" w:eastAsia="宋体" w:cs="宋体"/>
          <w:bCs/>
          <w:color w:val="FF0000"/>
          <w:kern w:val="0"/>
          <w:sz w:val="21"/>
          <w:szCs w:val="21"/>
          <w:highlight w:val="none"/>
          <w:lang w:val="en-US" w:eastAsia="zh-CN"/>
        </w:rPr>
        <w:t>超出项目</w:t>
      </w:r>
      <w:r>
        <w:rPr>
          <w:rFonts w:hint="eastAsia" w:ascii="宋体" w:hAnsi="宋体" w:cs="宋体"/>
          <w:bCs/>
          <w:color w:val="FF0000"/>
          <w:kern w:val="0"/>
          <w:sz w:val="21"/>
          <w:szCs w:val="21"/>
          <w:highlight w:val="none"/>
          <w:lang w:val="en-US" w:eastAsia="zh-CN"/>
        </w:rPr>
        <w:t>预算/</w:t>
      </w:r>
      <w:r>
        <w:rPr>
          <w:rFonts w:hint="eastAsia" w:ascii="宋体" w:hAnsi="宋体" w:eastAsia="宋体" w:cs="宋体"/>
          <w:bCs/>
          <w:color w:val="FF0000"/>
          <w:kern w:val="0"/>
          <w:sz w:val="21"/>
          <w:szCs w:val="21"/>
          <w:highlight w:val="none"/>
          <w:lang w:val="en-US" w:eastAsia="zh-CN"/>
        </w:rPr>
        <w:t>最高限价</w:t>
      </w:r>
      <w:r>
        <w:rPr>
          <w:rFonts w:hint="eastAsia" w:ascii="宋体" w:hAnsi="宋体" w:cs="宋体"/>
          <w:bCs/>
          <w:color w:val="FF0000"/>
          <w:kern w:val="0"/>
          <w:sz w:val="21"/>
          <w:szCs w:val="21"/>
          <w:highlight w:val="none"/>
          <w:lang w:val="en-US" w:eastAsia="zh-CN"/>
        </w:rPr>
        <w:t>（支付上限）</w:t>
      </w:r>
      <w:r>
        <w:rPr>
          <w:rFonts w:hint="eastAsia" w:ascii="宋体" w:hAnsi="宋体" w:eastAsia="宋体" w:cs="宋体"/>
          <w:bCs/>
          <w:color w:val="FF0000"/>
          <w:kern w:val="0"/>
          <w:sz w:val="21"/>
          <w:szCs w:val="21"/>
          <w:highlight w:val="none"/>
          <w:lang w:val="en-US" w:eastAsia="zh-CN"/>
        </w:rPr>
        <w:t>将导致</w:t>
      </w:r>
      <w:r>
        <w:rPr>
          <w:rFonts w:hint="eastAsia" w:ascii="宋体" w:hAnsi="宋体" w:cs="宋体"/>
          <w:bCs/>
          <w:color w:val="FF0000"/>
          <w:kern w:val="0"/>
          <w:sz w:val="21"/>
          <w:szCs w:val="21"/>
          <w:highlight w:val="none"/>
          <w:lang w:val="en-US" w:eastAsia="zh-CN"/>
        </w:rPr>
        <w:t>投标无效</w:t>
      </w:r>
      <w:r>
        <w:rPr>
          <w:rFonts w:hint="eastAsia" w:ascii="宋体" w:hAnsi="宋体" w:eastAsia="宋体" w:cs="Times New Roman"/>
          <w:b/>
          <w:bCs/>
          <w:color w:val="FF0000"/>
          <w:szCs w:val="21"/>
          <w:highlight w:val="none"/>
          <w:lang w:val="en-US" w:eastAsia="zh-CN"/>
        </w:rPr>
        <w:t>）</w:t>
      </w:r>
    </w:p>
    <w:tbl>
      <w:tblPr>
        <w:tblStyle w:val="44"/>
        <w:tblW w:w="52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2180"/>
        <w:gridCol w:w="1837"/>
        <w:gridCol w:w="715"/>
        <w:gridCol w:w="711"/>
        <w:gridCol w:w="1428"/>
        <w:gridCol w:w="1501"/>
      </w:tblGrid>
      <w:tr w14:paraId="36AF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02" w:type="pct"/>
            <w:vAlign w:val="center"/>
          </w:tcPr>
          <w:p w14:paraId="7FD15D2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序号</w:t>
            </w:r>
          </w:p>
        </w:tc>
        <w:tc>
          <w:tcPr>
            <w:tcW w:w="1223" w:type="pct"/>
            <w:vAlign w:val="center"/>
          </w:tcPr>
          <w:p w14:paraId="00390A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项目名称</w:t>
            </w:r>
          </w:p>
        </w:tc>
        <w:tc>
          <w:tcPr>
            <w:tcW w:w="1031" w:type="pct"/>
            <w:vAlign w:val="center"/>
          </w:tcPr>
          <w:p w14:paraId="414D9C4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内容</w:t>
            </w:r>
          </w:p>
        </w:tc>
        <w:tc>
          <w:tcPr>
            <w:tcW w:w="401" w:type="pct"/>
            <w:vAlign w:val="center"/>
          </w:tcPr>
          <w:p w14:paraId="759D50C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数量</w:t>
            </w:r>
          </w:p>
        </w:tc>
        <w:tc>
          <w:tcPr>
            <w:tcW w:w="397" w:type="pct"/>
            <w:vAlign w:val="center"/>
          </w:tcPr>
          <w:p w14:paraId="73D9AC4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单位</w:t>
            </w:r>
          </w:p>
        </w:tc>
        <w:tc>
          <w:tcPr>
            <w:tcW w:w="801" w:type="pct"/>
            <w:vAlign w:val="center"/>
          </w:tcPr>
          <w:p w14:paraId="3CD97C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支付上限</w:t>
            </w:r>
          </w:p>
          <w:p w14:paraId="11B56C7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（元）</w:t>
            </w:r>
          </w:p>
        </w:tc>
        <w:tc>
          <w:tcPr>
            <w:tcW w:w="842" w:type="pct"/>
            <w:vAlign w:val="center"/>
          </w:tcPr>
          <w:p w14:paraId="5ADD94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所属行业</w:t>
            </w:r>
          </w:p>
        </w:tc>
      </w:tr>
      <w:tr w14:paraId="7C4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02" w:type="pct"/>
            <w:vAlign w:val="center"/>
          </w:tcPr>
          <w:p w14:paraId="6650FC84">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rPr>
            </w:pPr>
            <w:r>
              <w:rPr>
                <w:rFonts w:hint="eastAsia" w:ascii="宋体" w:hAnsi="宋体" w:cs="宋体"/>
                <w:bCs/>
                <w:color w:val="FF0000"/>
                <w:sz w:val="24"/>
                <w:highlight w:val="none"/>
              </w:rPr>
              <w:t>1</w:t>
            </w:r>
          </w:p>
        </w:tc>
        <w:tc>
          <w:tcPr>
            <w:tcW w:w="1223" w:type="pct"/>
            <w:vMerge w:val="restart"/>
            <w:vAlign w:val="center"/>
          </w:tcPr>
          <w:p w14:paraId="7E8BE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医疗废物集中处置服务项目（第二次招标）</w:t>
            </w:r>
          </w:p>
        </w:tc>
        <w:tc>
          <w:tcPr>
            <w:tcW w:w="1031" w:type="pct"/>
            <w:vAlign w:val="center"/>
          </w:tcPr>
          <w:p w14:paraId="17C3B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院本部及龙尾院区</w:t>
            </w:r>
          </w:p>
        </w:tc>
        <w:tc>
          <w:tcPr>
            <w:tcW w:w="401" w:type="pct"/>
            <w:vAlign w:val="center"/>
          </w:tcPr>
          <w:p w14:paraId="38358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2</w:t>
            </w:r>
          </w:p>
        </w:tc>
        <w:tc>
          <w:tcPr>
            <w:tcW w:w="397" w:type="pct"/>
            <w:vAlign w:val="center"/>
          </w:tcPr>
          <w:p w14:paraId="158A8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月</w:t>
            </w:r>
          </w:p>
        </w:tc>
        <w:tc>
          <w:tcPr>
            <w:tcW w:w="801" w:type="pct"/>
            <w:vAlign w:val="center"/>
          </w:tcPr>
          <w:p w14:paraId="68571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58232</w:t>
            </w:r>
          </w:p>
        </w:tc>
        <w:tc>
          <w:tcPr>
            <w:tcW w:w="842" w:type="pct"/>
            <w:vMerge w:val="restart"/>
            <w:vAlign w:val="center"/>
          </w:tcPr>
          <w:p w14:paraId="2F48A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其他服务业</w:t>
            </w:r>
          </w:p>
        </w:tc>
      </w:tr>
      <w:tr w14:paraId="15FF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02" w:type="pct"/>
            <w:vAlign w:val="center"/>
          </w:tcPr>
          <w:p w14:paraId="5A17AD39">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宋体" w:hAnsi="宋体" w:eastAsia="宋体" w:cs="宋体"/>
                <w:bCs/>
                <w:color w:val="FF0000"/>
                <w:sz w:val="24"/>
                <w:highlight w:val="none"/>
                <w:lang w:val="en-US" w:eastAsia="zh-CN"/>
              </w:rPr>
            </w:pPr>
            <w:r>
              <w:rPr>
                <w:rFonts w:hint="eastAsia" w:ascii="宋体" w:hAnsi="宋体" w:cs="宋体"/>
                <w:bCs/>
                <w:color w:val="FF0000"/>
                <w:sz w:val="24"/>
                <w:highlight w:val="none"/>
                <w:lang w:val="en-US" w:eastAsia="zh-CN"/>
              </w:rPr>
              <w:t>2</w:t>
            </w:r>
          </w:p>
        </w:tc>
        <w:tc>
          <w:tcPr>
            <w:tcW w:w="1223" w:type="pct"/>
            <w:vMerge w:val="continue"/>
            <w:vAlign w:val="center"/>
          </w:tcPr>
          <w:p w14:paraId="43AC3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p>
        </w:tc>
        <w:tc>
          <w:tcPr>
            <w:tcW w:w="1031" w:type="pct"/>
            <w:vAlign w:val="center"/>
          </w:tcPr>
          <w:p w14:paraId="1271F5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现有</w:t>
            </w:r>
            <w:r>
              <w:rPr>
                <w:rFonts w:hint="eastAsia" w:ascii="仿宋" w:hAnsi="仿宋" w:eastAsia="仿宋" w:cs="仿宋"/>
                <w:bCs/>
                <w:color w:val="FF0000"/>
                <w:sz w:val="24"/>
                <w:highlight w:val="none"/>
                <w:lang w:val="en-US" w:eastAsia="zh-CN"/>
              </w:rPr>
              <w:t>驻所门诊及20家社康</w:t>
            </w:r>
          </w:p>
        </w:tc>
        <w:tc>
          <w:tcPr>
            <w:tcW w:w="401" w:type="pct"/>
            <w:vAlign w:val="center"/>
          </w:tcPr>
          <w:p w14:paraId="2746D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2</w:t>
            </w:r>
          </w:p>
        </w:tc>
        <w:tc>
          <w:tcPr>
            <w:tcW w:w="397" w:type="pct"/>
            <w:vAlign w:val="center"/>
          </w:tcPr>
          <w:p w14:paraId="10709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月</w:t>
            </w:r>
          </w:p>
        </w:tc>
        <w:tc>
          <w:tcPr>
            <w:tcW w:w="801" w:type="pct"/>
            <w:vAlign w:val="center"/>
          </w:tcPr>
          <w:p w14:paraId="02893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33600</w:t>
            </w:r>
          </w:p>
        </w:tc>
        <w:tc>
          <w:tcPr>
            <w:tcW w:w="842" w:type="pct"/>
            <w:vMerge w:val="continue"/>
            <w:vAlign w:val="center"/>
          </w:tcPr>
          <w:p w14:paraId="6322C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p>
        </w:tc>
      </w:tr>
      <w:tr w14:paraId="718F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356" w:type="pct"/>
            <w:gridSpan w:val="5"/>
            <w:vAlign w:val="center"/>
          </w:tcPr>
          <w:p w14:paraId="66EB5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合计</w:t>
            </w:r>
          </w:p>
        </w:tc>
        <w:tc>
          <w:tcPr>
            <w:tcW w:w="801" w:type="pct"/>
            <w:vAlign w:val="center"/>
          </w:tcPr>
          <w:p w14:paraId="369E4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91832</w:t>
            </w:r>
          </w:p>
        </w:tc>
        <w:tc>
          <w:tcPr>
            <w:tcW w:w="842" w:type="pct"/>
            <w:vAlign w:val="center"/>
          </w:tcPr>
          <w:p w14:paraId="6B56AC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p>
        </w:tc>
      </w:tr>
      <w:bookmarkEnd w:id="15"/>
      <w:bookmarkEnd w:id="16"/>
      <w:bookmarkEnd w:id="17"/>
    </w:tbl>
    <w:p w14:paraId="6D5CCEF4">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项目概况</w:t>
      </w:r>
    </w:p>
    <w:p w14:paraId="4CFB8D04">
      <w:pPr>
        <w:pStyle w:val="291"/>
        <w:adjustRightInd w:val="0"/>
        <w:snapToGrid w:val="0"/>
        <w:spacing w:line="240" w:lineRule="auto"/>
        <w:ind w:left="0" w:leftChars="0" w:firstLine="480" w:firstLineChars="200"/>
        <w:jc w:val="left"/>
        <w:rPr>
          <w:rFonts w:hint="default" w:ascii="仿宋" w:hAnsi="仿宋" w:eastAsia="仿宋" w:cs="仿宋"/>
          <w:color w:val="FF0000"/>
          <w:kern w:val="2"/>
          <w:sz w:val="24"/>
          <w:szCs w:val="24"/>
          <w:highlight w:val="none"/>
          <w:lang w:val="en-US" w:eastAsia="zh-CN" w:bidi="ar-SA"/>
        </w:rPr>
      </w:pPr>
      <w:r>
        <w:rPr>
          <w:rFonts w:hint="eastAsia" w:ascii="仿宋" w:hAnsi="仿宋" w:eastAsia="仿宋" w:cs="仿宋"/>
          <w:color w:val="FF0000"/>
          <w:sz w:val="24"/>
          <w:highlight w:val="none"/>
          <w:lang w:val="zh-CN" w:eastAsia="zh-CN"/>
        </w:rPr>
        <w:t>根据《中华人民共和国固体废物污染环境防治法》《医疗废物管理条例》《医疗废物集中处置技术规范》《医疗卫生机构医疗废物管理办法》以及《深圳市医疗废物集中处置管理若干规定》的要求，防止医疗废物污染事故的发生，我院须实现医疗废物集中处置，因此须为我院院本部、龙尾院区、驻所门诊及医院下属各社康（目前共有社康</w:t>
      </w:r>
      <w:r>
        <w:rPr>
          <w:rFonts w:hint="eastAsia" w:ascii="仿宋" w:hAnsi="仿宋" w:eastAsia="仿宋" w:cs="仿宋"/>
          <w:color w:val="FF0000"/>
          <w:sz w:val="24"/>
          <w:highlight w:val="none"/>
          <w:lang w:val="en-US" w:eastAsia="zh-CN"/>
        </w:rPr>
        <w:t>20</w:t>
      </w:r>
      <w:r>
        <w:rPr>
          <w:rFonts w:hint="eastAsia" w:ascii="仿宋" w:hAnsi="仿宋" w:eastAsia="仿宋" w:cs="仿宋"/>
          <w:color w:val="FF0000"/>
          <w:sz w:val="24"/>
          <w:highlight w:val="none"/>
          <w:lang w:val="zh-CN" w:eastAsia="zh-CN"/>
        </w:rPr>
        <w:t>家，本项目采购公告发布时暂未列举的、本项目服务期限内采购人将纳入的下属社康中心自动归属于本项目招标采购范围，在本项目履约期间享有同样服务内容，具体纳入社康数量、地址以实际纳入社康的相应数据、信息为准）采购医疗废物集中处置服务。</w:t>
      </w:r>
    </w:p>
    <w:p w14:paraId="66046B3B">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投标人资格要求</w:t>
      </w:r>
    </w:p>
    <w:p w14:paraId="0690AD91">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1.</w:t>
      </w:r>
      <w:r>
        <w:rPr>
          <w:rFonts w:hint="eastAsia" w:ascii="仿宋" w:hAnsi="仿宋" w:eastAsia="仿宋" w:cs="仿宋"/>
          <w:color w:val="FF0000"/>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FF0000"/>
          <w:sz w:val="24"/>
          <w:highlight w:val="none"/>
          <w:lang w:val="en-US" w:eastAsia="zh-CN"/>
        </w:rPr>
        <w:t>或其他证明材料复印件加盖公章</w:t>
      </w:r>
      <w:r>
        <w:rPr>
          <w:rFonts w:hint="eastAsia" w:ascii="仿宋" w:hAnsi="仿宋" w:eastAsia="仿宋" w:cs="仿宋"/>
          <w:color w:val="FF0000"/>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A989101">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2B834734">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3.参与本项目政府采购活动时不存在被有关部门禁止参与政府采购活动且在有效期内的情况</w:t>
      </w:r>
      <w:r>
        <w:rPr>
          <w:rFonts w:hint="eastAsia" w:ascii="仿宋" w:hAnsi="仿宋" w:eastAsia="仿宋" w:cs="仿宋"/>
          <w:color w:val="FF0000"/>
          <w:sz w:val="24"/>
          <w:highlight w:val="none"/>
          <w:lang w:eastAsia="zh-CN"/>
        </w:rPr>
        <w:t>；</w:t>
      </w:r>
      <w:r>
        <w:rPr>
          <w:rFonts w:hint="eastAsia" w:ascii="仿宋" w:hAnsi="仿宋" w:eastAsia="仿宋" w:cs="仿宋"/>
          <w:color w:val="FF0000"/>
          <w:sz w:val="24"/>
          <w:highlight w:val="none"/>
          <w:lang w:val="zh-CN"/>
        </w:rPr>
        <w:t>参与本项目投标前三年内，在经营活动中没有重大违法记录。</w:t>
      </w:r>
      <w:r>
        <w:rPr>
          <w:rFonts w:hint="eastAsia" w:ascii="仿宋" w:hAnsi="仿宋" w:eastAsia="仿宋" w:cs="仿宋"/>
          <w:color w:val="FF0000"/>
          <w:sz w:val="24"/>
          <w:highlight w:val="none"/>
        </w:rPr>
        <w:t>（由供应商在《政府采购投标及履约承诺函》中作出声明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4BCCCED6">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eastAsia="zh-CN"/>
        </w:rPr>
      </w:pPr>
      <w:r>
        <w:rPr>
          <w:rFonts w:hint="eastAsia" w:ascii="仿宋" w:hAnsi="仿宋" w:eastAsia="仿宋" w:cs="仿宋"/>
          <w:color w:val="FF0000"/>
          <w:sz w:val="24"/>
          <w:highlight w:val="none"/>
          <w:lang w:val="en-US" w:eastAsia="zh-CN"/>
        </w:rPr>
        <w:t>4.</w:t>
      </w:r>
      <w:r>
        <w:rPr>
          <w:rFonts w:hint="eastAsia" w:ascii="仿宋" w:hAnsi="仿宋" w:eastAsia="仿宋" w:cs="仿宋"/>
          <w:color w:val="FF0000"/>
          <w:sz w:val="24"/>
          <w:highlight w:val="none"/>
        </w:rPr>
        <w:t>不存在《深圳市财政局政府采购供应商信用信息管理办法》（深财规〔2023〕3 号）列明的严重违法失信行为（由供应商在《</w:t>
      </w:r>
      <w:r>
        <w:rPr>
          <w:rFonts w:hint="eastAsia" w:ascii="仿宋" w:hAnsi="仿宋" w:eastAsia="仿宋" w:cs="仿宋"/>
          <w:color w:val="FF0000"/>
          <w:sz w:val="24"/>
          <w:highlight w:val="none"/>
          <w:lang w:eastAsia="zh-CN"/>
        </w:rPr>
        <w:t>政府采购投标及履约承诺函</w:t>
      </w:r>
      <w:r>
        <w:rPr>
          <w:rFonts w:hint="eastAsia" w:ascii="仿宋" w:hAnsi="仿宋" w:eastAsia="仿宋" w:cs="仿宋"/>
          <w:color w:val="FF0000"/>
          <w:sz w:val="24"/>
          <w:highlight w:val="none"/>
        </w:rPr>
        <w:t>》中作出声明）</w:t>
      </w:r>
      <w:r>
        <w:rPr>
          <w:rFonts w:hint="eastAsia" w:ascii="仿宋" w:hAnsi="仿宋" w:eastAsia="仿宋" w:cs="仿宋"/>
          <w:color w:val="FF0000"/>
          <w:sz w:val="24"/>
          <w:highlight w:val="none"/>
          <w:lang w:eastAsia="zh-CN"/>
        </w:rPr>
        <w:t>；</w:t>
      </w:r>
    </w:p>
    <w:p w14:paraId="28DBD7FD">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5.未被列入失信被执行人、</w:t>
      </w:r>
      <w:r>
        <w:rPr>
          <w:rFonts w:hint="eastAsia" w:ascii="仿宋" w:hAnsi="仿宋" w:eastAsia="仿宋" w:cs="仿宋"/>
          <w:color w:val="FF0000"/>
          <w:sz w:val="24"/>
          <w:highlight w:val="none"/>
        </w:rPr>
        <w:t>重大税收违法案件当事人名单</w:t>
      </w:r>
      <w:r>
        <w:rPr>
          <w:rFonts w:hint="eastAsia" w:ascii="仿宋" w:hAnsi="仿宋" w:eastAsia="仿宋" w:cs="仿宋"/>
          <w:color w:val="FF0000"/>
          <w:sz w:val="24"/>
          <w:highlight w:val="none"/>
          <w:lang w:val="en-US" w:eastAsia="zh-CN"/>
        </w:rPr>
        <w:t>、政府采购严重违法失信行为记录名单</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w:t>
      </w:r>
    </w:p>
    <w:p w14:paraId="7633842A">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p>
    <w:p w14:paraId="7114D193">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6D8C639A">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7</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28A0E37B">
      <w:pPr>
        <w:ind w:firstLine="480" w:firstLineChars="200"/>
        <w:rPr>
          <w:rFonts w:hint="default"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8.投标人具有有效期内的《危险废物经营许可证》，核准经营内容为医疗废物。</w:t>
      </w:r>
    </w:p>
    <w:p w14:paraId="69A29355">
      <w:pPr>
        <w:pStyle w:val="291"/>
        <w:adjustRightInd w:val="0"/>
        <w:snapToGrid w:val="0"/>
        <w:spacing w:line="240" w:lineRule="auto"/>
        <w:ind w:left="0" w:leftChars="0" w:firstLine="480" w:firstLineChars="200"/>
        <w:jc w:val="left"/>
        <w:rPr>
          <w:rFonts w:hint="default" w:ascii="仿宋" w:hAnsi="仿宋" w:eastAsia="仿宋" w:cs="仿宋"/>
          <w:color w:val="FF0000"/>
          <w:sz w:val="24"/>
          <w:highlight w:val="yellow"/>
          <w:lang w:val="en-US" w:eastAsia="zh-CN"/>
        </w:rPr>
      </w:pPr>
      <w:r>
        <w:rPr>
          <w:rFonts w:hint="eastAsia" w:ascii="仿宋" w:hAnsi="仿宋" w:eastAsia="仿宋" w:cs="仿宋"/>
          <w:color w:val="FF0000"/>
          <w:sz w:val="24"/>
          <w:highlight w:val="none"/>
          <w:lang w:val="en-US" w:eastAsia="zh-CN"/>
        </w:rPr>
        <w:t>9.本项目是否全部专门面向中小企业采购：</w:t>
      </w:r>
      <w:r>
        <w:rPr>
          <w:rFonts w:hint="eastAsia" w:ascii="仿宋" w:hAnsi="仿宋" w:eastAsia="仿宋" w:cs="仿宋"/>
          <w:color w:val="FF0000"/>
          <w:sz w:val="24"/>
          <w:highlight w:val="yellow"/>
          <w:lang w:val="en-US" w:eastAsia="zh-CN"/>
        </w:rPr>
        <w:sym w:font="Wingdings" w:char="00FE"/>
      </w:r>
      <w:r>
        <w:rPr>
          <w:rFonts w:hint="eastAsia" w:ascii="仿宋" w:hAnsi="仿宋" w:eastAsia="仿宋" w:cs="仿宋"/>
          <w:color w:val="FF0000"/>
          <w:sz w:val="24"/>
          <w:highlight w:val="yellow"/>
          <w:lang w:val="en-US" w:eastAsia="zh-CN"/>
        </w:rPr>
        <w:t xml:space="preserve">是   </w:t>
      </w:r>
      <w:r>
        <w:rPr>
          <w:rFonts w:hint="eastAsia" w:ascii="仿宋" w:hAnsi="仿宋" w:eastAsia="仿宋" w:cs="仿宋"/>
          <w:color w:val="FF0000"/>
          <w:sz w:val="24"/>
          <w:highlight w:val="yellow"/>
          <w:lang w:val="en-US" w:eastAsia="zh-CN"/>
        </w:rPr>
        <w:sym w:font="Wingdings" w:char="00A8"/>
      </w:r>
      <w:r>
        <w:rPr>
          <w:rFonts w:hint="eastAsia" w:ascii="仿宋" w:hAnsi="仿宋" w:eastAsia="仿宋" w:cs="仿宋"/>
          <w:color w:val="FF0000"/>
          <w:sz w:val="24"/>
          <w:highlight w:val="yellow"/>
          <w:lang w:val="en-US" w:eastAsia="zh-CN"/>
        </w:rPr>
        <w:t>否</w:t>
      </w:r>
    </w:p>
    <w:p w14:paraId="3CD81F36">
      <w:pPr>
        <w:pStyle w:val="106"/>
        <w:numPr>
          <w:ilvl w:val="0"/>
          <w:numId w:val="0"/>
        </w:numPr>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四、项目服务要求</w:t>
      </w:r>
    </w:p>
    <w:tbl>
      <w:tblPr>
        <w:tblStyle w:val="44"/>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32"/>
        <w:gridCol w:w="7841"/>
      </w:tblGrid>
      <w:tr w14:paraId="587A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69" w:type="dxa"/>
            <w:vAlign w:val="center"/>
          </w:tcPr>
          <w:p w14:paraId="71795E7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bookmarkStart w:id="18" w:name="_Toc99549959"/>
            <w:bookmarkStart w:id="19" w:name="_Toc21855"/>
            <w:r>
              <w:rPr>
                <w:rFonts w:hint="eastAsia" w:ascii="仿宋" w:hAnsi="仿宋" w:eastAsia="仿宋" w:cs="仿宋"/>
                <w:b/>
                <w:bCs w:val="0"/>
                <w:color w:val="FF0000"/>
                <w:sz w:val="24"/>
                <w:szCs w:val="24"/>
                <w:highlight w:val="none"/>
              </w:rPr>
              <w:t>序号</w:t>
            </w:r>
          </w:p>
        </w:tc>
        <w:tc>
          <w:tcPr>
            <w:tcW w:w="732" w:type="dxa"/>
            <w:vAlign w:val="center"/>
          </w:tcPr>
          <w:p w14:paraId="3D5EFB32">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名称</w:t>
            </w:r>
          </w:p>
        </w:tc>
        <w:tc>
          <w:tcPr>
            <w:tcW w:w="7841" w:type="dxa"/>
            <w:vAlign w:val="center"/>
          </w:tcPr>
          <w:p w14:paraId="3EE472B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具体内容</w:t>
            </w:r>
          </w:p>
        </w:tc>
      </w:tr>
      <w:tr w14:paraId="531C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69" w:type="dxa"/>
            <w:vAlign w:val="center"/>
          </w:tcPr>
          <w:p w14:paraId="3AAAD71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732" w:type="dxa"/>
            <w:vAlign w:val="center"/>
          </w:tcPr>
          <w:p w14:paraId="45458879">
            <w:pPr>
              <w:pStyle w:val="13"/>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kern w:val="2"/>
                <w:sz w:val="24"/>
                <w:szCs w:val="24"/>
                <w:highlight w:val="none"/>
                <w:lang w:val="en-US" w:eastAsia="zh-CN" w:bidi="ar-SA"/>
              </w:rPr>
              <w:t>服务范围</w:t>
            </w:r>
          </w:p>
        </w:tc>
        <w:tc>
          <w:tcPr>
            <w:tcW w:w="7841" w:type="dxa"/>
            <w:vAlign w:val="center"/>
          </w:tcPr>
          <w:p w14:paraId="7B6C1A9F">
            <w:pPr>
              <w:keepNext w:val="0"/>
              <w:keepLines w:val="0"/>
              <w:suppressLineNumbers w:val="0"/>
              <w:spacing w:before="0" w:beforeAutospacing="0" w:after="0" w:afterAutospacing="0"/>
              <w:ind w:left="0" w:right="0" w:firstLine="420" w:firstLineChars="20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院院本部、龙尾院区、驻所门诊及医院下属各社康采购医疗废物集中处置服务。地址如下：</w:t>
            </w:r>
          </w:p>
          <w:p w14:paraId="594EBC3E">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院本部位于福田区上梅林中康路25、27号。</w:t>
            </w:r>
          </w:p>
          <w:p w14:paraId="14C5F721">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龙尾院区位于梅林街道龙尾社区梅亭路1号4栋。</w:t>
            </w:r>
          </w:p>
          <w:p w14:paraId="3DE58265">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园岭社康位于福田区园岭街道园岭东路园东花园裙楼第一层32，第二层36-49,116-117。</w:t>
            </w:r>
          </w:p>
          <w:p w14:paraId="02A4595F">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龙尾社康位于福田区下梅林梅亭路2-8号。</w:t>
            </w:r>
          </w:p>
          <w:p w14:paraId="6779FC59">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下梅林社康位于福田区下梅林虹湾花园2栋配套二01、02层02号房。</w:t>
            </w:r>
          </w:p>
          <w:p w14:paraId="2FBAFCD5">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孖岭社康位于福田区梅林路40号民生银行宿舍楼首层。</w:t>
            </w:r>
          </w:p>
          <w:p w14:paraId="7E233D1A">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上梅林社康位于福田区梅林四村梅林阁一层 08 号场地。</w:t>
            </w:r>
          </w:p>
          <w:p w14:paraId="62CBE495">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梅京社康位于福田区下梅林二街西颂德花园第一层商铺114号,第二层222-227号。</w:t>
            </w:r>
          </w:p>
          <w:p w14:paraId="574C9252">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梅亭社康位于福田区梅林街道梅华绅宝花园裙楼C2、C3、D1。</w:t>
            </w:r>
          </w:p>
          <w:p w14:paraId="2F43B195">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新兴社康位于福田区梅林街道梅兴苑4栋商铺15-17号。</w:t>
            </w:r>
          </w:p>
          <w:p w14:paraId="31CB7CF2">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映山社康位于福田区莲塘尾片区栖棠映山花园6号楼6A商业01层04房。</w:t>
            </w:r>
          </w:p>
          <w:p w14:paraId="0C84EB92">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梅山社康位于福田区梅林街道梅林路梅山街1-27号。</w:t>
            </w:r>
          </w:p>
          <w:p w14:paraId="14B25818">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翰岭社康位于福田区彩田北梅东二路2-9号。</w:t>
            </w:r>
          </w:p>
          <w:p w14:paraId="071D1A2D">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新阁社康位于福田区梅林街道林园东路笔架山公馆2栋112号铺。</w:t>
            </w:r>
          </w:p>
          <w:p w14:paraId="2EC4E361">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梅丰社康位于福田区梅林街道深华科技工业园底层102CD号。</w:t>
            </w:r>
          </w:p>
          <w:p w14:paraId="051D59AE">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长城社康位于福田区百花二路百花公寓 3 号楼裙楼 111、120-1 商铺。</w:t>
            </w:r>
          </w:p>
          <w:p w14:paraId="432C7F0A">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福利中心社康位于福田区新沙路56号。</w:t>
            </w:r>
          </w:p>
          <w:p w14:paraId="4EB743D7">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新一代产业园社区健康服务站位于福田区梅林街道中康路136号新一代产业园6栋首层。</w:t>
            </w:r>
          </w:p>
          <w:p w14:paraId="5BA09C96">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南天社区健康服务站位于福田区百花二路百花文化中心L128B、L131。</w:t>
            </w:r>
          </w:p>
          <w:p w14:paraId="6C358F8A">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莲花二村社区健康服务站位于福田区华富街道莲花二村39栋底层1号B101\115\116。</w:t>
            </w:r>
          </w:p>
          <w:p w14:paraId="7C24F3D2">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海连社区健康服务站位于福田区华富街道福中路海连大厦裙楼第1层102-1号</w:t>
            </w:r>
          </w:p>
          <w:p w14:paraId="260E8A13">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八卦岭社区健康服务中心位于福田区八卦路56号。</w:t>
            </w:r>
          </w:p>
          <w:p w14:paraId="3247BC98">
            <w:pPr>
              <w:pStyle w:val="288"/>
              <w:keepNext w:val="0"/>
              <w:keepLines w:val="0"/>
              <w:numPr>
                <w:ilvl w:val="0"/>
                <w:numId w:val="12"/>
              </w:numPr>
              <w:suppressLineNumbers w:val="0"/>
              <w:tabs>
                <w:tab w:val="left" w:pos="426"/>
              </w:tabs>
              <w:adjustRightInd w:val="0"/>
              <w:snapToGrid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驻所门诊位于福田区梅观路8号。</w:t>
            </w:r>
          </w:p>
          <w:p w14:paraId="4A9CFA76">
            <w:pPr>
              <w:pStyle w:val="13"/>
              <w:keepNext w:val="0"/>
              <w:keepLines w:val="0"/>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采购人目前共有社康20家，本项目采购公告发布时暂未列举的、本项目服务期限内采购人将纳入的下属社康中心自动归属于本项目招标采购范围，在本项目履约期间享有同样服务内容，具体纳入社康数量、地址以实际纳入社康的相应数据、信息为准</w:t>
            </w:r>
          </w:p>
        </w:tc>
      </w:tr>
      <w:tr w14:paraId="55D9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4" w:hRule="atLeast"/>
          <w:jc w:val="center"/>
        </w:trPr>
        <w:tc>
          <w:tcPr>
            <w:tcW w:w="769" w:type="dxa"/>
            <w:vAlign w:val="center"/>
          </w:tcPr>
          <w:p w14:paraId="29A43177">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2</w:t>
            </w:r>
          </w:p>
        </w:tc>
        <w:tc>
          <w:tcPr>
            <w:tcW w:w="732" w:type="dxa"/>
            <w:vAlign w:val="center"/>
          </w:tcPr>
          <w:p w14:paraId="0D4E1D05">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服务</w:t>
            </w:r>
            <w:r>
              <w:rPr>
                <w:rFonts w:hint="eastAsia" w:ascii="仿宋" w:hAnsi="仿宋" w:eastAsia="仿宋" w:cs="仿宋"/>
                <w:b/>
                <w:bCs w:val="0"/>
                <w:color w:val="FF0000"/>
                <w:sz w:val="24"/>
                <w:szCs w:val="24"/>
                <w:highlight w:val="none"/>
              </w:rPr>
              <w:t>要求</w:t>
            </w:r>
          </w:p>
        </w:tc>
        <w:tc>
          <w:tcPr>
            <w:tcW w:w="7841" w:type="dxa"/>
            <w:vAlign w:val="center"/>
          </w:tcPr>
          <w:p w14:paraId="34B1145A">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（一）总体服务要求</w:t>
            </w:r>
          </w:p>
          <w:p w14:paraId="3B3A9EB6">
            <w:pPr>
              <w:pStyle w:val="288"/>
              <w:keepNext w:val="0"/>
              <w:keepLines w:val="0"/>
              <w:numPr>
                <w:ilvl w:val="0"/>
                <w:numId w:val="13"/>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本次采购所称的医疗废物是指《医疗废物分类目</w:t>
            </w:r>
          </w:p>
          <w:p w14:paraId="7BB8D58F">
            <w:pPr>
              <w:keepNext w:val="0"/>
              <w:keepLines w:val="0"/>
              <w:suppressLineNumbers w:val="0"/>
              <w:spacing w:before="0" w:beforeAutospacing="0" w:after="0" w:afterAutospacing="0"/>
              <w:ind w:left="0" w:right="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录（2021年版）》的所有内容。</w:t>
            </w:r>
          </w:p>
          <w:p w14:paraId="79F23841">
            <w:pPr>
              <w:pStyle w:val="288"/>
              <w:keepNext w:val="0"/>
              <w:keepLines w:val="0"/>
              <w:numPr>
                <w:ilvl w:val="0"/>
                <w:numId w:val="13"/>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本次采购所指的医疗废物收运、中转、焚烧的标</w:t>
            </w:r>
          </w:p>
          <w:p w14:paraId="10DDC384">
            <w:pPr>
              <w:keepNext w:val="0"/>
              <w:keepLines w:val="0"/>
              <w:suppressLineNumbers w:val="0"/>
              <w:spacing w:before="0" w:beforeAutospacing="0" w:after="0" w:afterAutospacing="0"/>
              <w:ind w:left="0" w:right="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准均需达到《医疗废物管理条例》和《医疗废物集中处置技术规范》的要求。中标供应商需根据《医疗废物管理条例》和《医疗废物集中处置技术规范》对接收的医疗废物进行无害化处理。</w:t>
            </w:r>
          </w:p>
          <w:p w14:paraId="5B87482A">
            <w:pPr>
              <w:pStyle w:val="5"/>
              <w:numPr>
                <w:ilvl w:val="0"/>
                <w:numId w:val="14"/>
              </w:numPr>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包装容器要求</w:t>
            </w:r>
          </w:p>
          <w:p w14:paraId="10AEF620">
            <w:pPr>
              <w:pStyle w:val="288"/>
              <w:keepNext w:val="0"/>
              <w:keepLines w:val="0"/>
              <w:numPr>
                <w:ilvl w:val="0"/>
                <w:numId w:val="0"/>
              </w:numPr>
              <w:suppressLineNumbers w:val="0"/>
              <w:spacing w:before="0" w:beforeAutospacing="0" w:after="0" w:afterAutospacing="0"/>
              <w:ind w:left="0" w:leftChars="0" w:right="0" w:rightChars="0"/>
              <w:rPr>
                <w:rFonts w:hint="eastAsia" w:ascii="仿宋" w:hAnsi="仿宋" w:eastAsia="仿宋" w:cs="仿宋"/>
                <w:b w:val="0"/>
                <w:bCs w:val="0"/>
                <w:color w:val="FF0000"/>
                <w:kern w:val="0"/>
                <w:sz w:val="21"/>
                <w:szCs w:val="21"/>
                <w:highlight w:val="yellow"/>
                <w:lang w:val="en-US" w:eastAsia="zh-CN" w:bidi="ar-SA"/>
              </w:rPr>
            </w:pPr>
            <w:r>
              <w:rPr>
                <w:rFonts w:hint="eastAsia" w:ascii="宋体" w:hAnsi="宋体" w:eastAsia="宋体" w:cs="宋体"/>
                <w:b/>
                <w:bCs/>
                <w:color w:val="FF0000"/>
                <w:kern w:val="0"/>
                <w:sz w:val="21"/>
                <w:szCs w:val="21"/>
                <w:highlight w:val="yellow"/>
                <w:lang w:val="en-US" w:eastAsia="zh-CN" w:bidi="ar"/>
              </w:rPr>
              <w:t>★</w:t>
            </w:r>
            <w:r>
              <w:rPr>
                <w:rFonts w:hint="eastAsia" w:ascii="仿宋" w:hAnsi="仿宋" w:eastAsia="仿宋" w:cs="仿宋"/>
                <w:b w:val="0"/>
                <w:bCs w:val="0"/>
                <w:color w:val="FF0000"/>
                <w:kern w:val="0"/>
                <w:sz w:val="21"/>
                <w:szCs w:val="21"/>
                <w:highlight w:val="yellow"/>
                <w:lang w:val="en-US" w:eastAsia="zh-CN" w:bidi="ar-SA"/>
              </w:rPr>
              <w:t xml:space="preserve">1.周转桶包装要求 </w:t>
            </w:r>
          </w:p>
          <w:p w14:paraId="0806913F">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yellow"/>
                <w:lang w:val="en-US" w:eastAsia="zh-CN" w:bidi="ar-SA"/>
              </w:rPr>
              <w:t>周转桶规格和性能参数应满足《医疗废物专用包装袋、容器和警示标志标准》（HJ 421-2008）要求。</w:t>
            </w:r>
            <w:r>
              <w:rPr>
                <w:rFonts w:hint="eastAsia" w:ascii="仿宋" w:hAnsi="仿宋" w:eastAsia="仿宋" w:cs="仿宋"/>
                <w:b w:val="0"/>
                <w:bCs w:val="0"/>
                <w:color w:val="FF0000"/>
                <w:kern w:val="0"/>
                <w:sz w:val="21"/>
                <w:szCs w:val="21"/>
                <w:highlight w:val="none"/>
                <w:lang w:val="en-US" w:eastAsia="zh-CN" w:bidi="ar-SA"/>
              </w:rPr>
              <w:t xml:space="preserve"> </w:t>
            </w:r>
          </w:p>
          <w:p w14:paraId="3E651599">
            <w:pPr>
              <w:keepNext w:val="0"/>
              <w:keepLines w:val="0"/>
              <w:widowControl/>
              <w:suppressLineNumbers w:val="0"/>
              <w:spacing w:before="0" w:beforeAutospacing="0" w:after="0" w:afterAutospacing="0"/>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宋体" w:hAnsi="宋体" w:eastAsia="宋体" w:cs="宋体"/>
                <w:b/>
                <w:bCs/>
                <w:color w:val="FF0000"/>
                <w:kern w:val="0"/>
                <w:sz w:val="21"/>
                <w:szCs w:val="21"/>
                <w:lang w:val="en-US" w:eastAsia="zh-CN" w:bidi="ar"/>
              </w:rPr>
              <w:t>2.</w:t>
            </w:r>
            <w:r>
              <w:rPr>
                <w:rFonts w:hint="eastAsia" w:ascii="仿宋" w:hAnsi="仿宋" w:eastAsia="仿宋" w:cs="仿宋"/>
                <w:b w:val="0"/>
                <w:bCs w:val="0"/>
                <w:color w:val="FF0000"/>
                <w:kern w:val="0"/>
                <w:sz w:val="21"/>
                <w:szCs w:val="21"/>
                <w:highlight w:val="none"/>
                <w:lang w:val="en-US" w:eastAsia="zh-CN" w:bidi="ar-SA"/>
              </w:rPr>
              <w:t>一次性包装容器要求</w:t>
            </w:r>
          </w:p>
          <w:p w14:paraId="1B347B9C">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一次性包装容器可采用吨袋等进行包装，包装容器应内衬塑料薄膜，确保在正常使用情况下，不出现渗漏、破裂和穿孔。</w:t>
            </w:r>
          </w:p>
          <w:p w14:paraId="5922D481">
            <w:pPr>
              <w:pStyle w:val="288"/>
              <w:keepNext w:val="0"/>
              <w:keepLines w:val="0"/>
              <w:numPr>
                <w:ilvl w:val="0"/>
                <w:numId w:val="0"/>
              </w:numPr>
              <w:suppressLineNumbers w:val="0"/>
              <w:spacing w:before="0" w:beforeAutospacing="0" w:after="0" w:afterAutospacing="0"/>
              <w:ind w:left="0" w:leftChars="0" w:right="0" w:right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3.中转场所更换一次性包装注意事项</w:t>
            </w:r>
          </w:p>
          <w:p w14:paraId="663C2C97">
            <w:pPr>
              <w:pStyle w:val="288"/>
              <w:keepNext w:val="0"/>
              <w:keepLines w:val="0"/>
              <w:numPr>
                <w:ilvl w:val="0"/>
                <w:numId w:val="15"/>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中转场所工作人员更换一次性包装时应按照要求做好个人防护；</w:t>
            </w:r>
          </w:p>
          <w:p w14:paraId="64F9A714">
            <w:pPr>
              <w:pStyle w:val="288"/>
              <w:keepNext w:val="0"/>
              <w:keepLines w:val="0"/>
              <w:numPr>
                <w:ilvl w:val="0"/>
                <w:numId w:val="15"/>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更换包装过程应轻拿轻放，避免破坏医疗废物内包装，更换包装前、后均需对区域进行全面消毒；</w:t>
            </w:r>
          </w:p>
          <w:p w14:paraId="73CA4013">
            <w:pPr>
              <w:pStyle w:val="288"/>
              <w:keepNext w:val="0"/>
              <w:keepLines w:val="0"/>
              <w:numPr>
                <w:ilvl w:val="0"/>
                <w:numId w:val="15"/>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医疗废物包装袋从周转桶取出后，需立即转移至一次性包装容器内，医疗废物包装袋不得落地；</w:t>
            </w:r>
          </w:p>
          <w:p w14:paraId="06F00B56">
            <w:pPr>
              <w:pStyle w:val="288"/>
              <w:keepNext w:val="0"/>
              <w:keepLines w:val="0"/>
              <w:numPr>
                <w:ilvl w:val="0"/>
                <w:numId w:val="15"/>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更换一次性包装容器的医疗废物应尽快运往处置单位焚烧处置。</w:t>
            </w:r>
          </w:p>
          <w:p w14:paraId="619AF807">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（三）医疗废物拉运要求</w:t>
            </w:r>
          </w:p>
          <w:p w14:paraId="7BDB81F7">
            <w:pPr>
              <w:pStyle w:val="288"/>
              <w:keepNext w:val="0"/>
              <w:keepLines w:val="0"/>
              <w:numPr>
                <w:ilvl w:val="0"/>
                <w:numId w:val="16"/>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 xml:space="preserve">医疗废物拉运作业 </w:t>
            </w:r>
          </w:p>
          <w:p w14:paraId="2C8A2299">
            <w:pPr>
              <w:pStyle w:val="288"/>
              <w:keepNext w:val="0"/>
              <w:keepLines w:val="0"/>
              <w:numPr>
                <w:ilvl w:val="0"/>
                <w:numId w:val="17"/>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拉运单位要每日及时清运医疗废物。出车前，拉运人员要穿戴好防护用品。</w:t>
            </w:r>
          </w:p>
          <w:p w14:paraId="04A1EF58">
            <w:pPr>
              <w:pStyle w:val="288"/>
              <w:keepNext w:val="0"/>
              <w:keepLines w:val="0"/>
              <w:numPr>
                <w:ilvl w:val="0"/>
                <w:numId w:val="17"/>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拉运人员要用周转桶拉运医疗废物，拉运全过程禁止打开周转桶盖，禁止压缩和捅破桶内医疗废物收集袋。</w:t>
            </w:r>
          </w:p>
          <w:p w14:paraId="269D879E">
            <w:pPr>
              <w:pStyle w:val="288"/>
              <w:keepNext w:val="0"/>
              <w:keepLines w:val="0"/>
              <w:numPr>
                <w:ilvl w:val="0"/>
                <w:numId w:val="17"/>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拉运人员清理完贮存间内的医疗废物后，要把随车携带的空桶放进贮存间并关好门。</w:t>
            </w:r>
          </w:p>
          <w:p w14:paraId="4012DBAB">
            <w:pPr>
              <w:pStyle w:val="288"/>
              <w:keepNext w:val="0"/>
              <w:keepLines w:val="0"/>
              <w:numPr>
                <w:ilvl w:val="0"/>
                <w:numId w:val="17"/>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每次完成装车后，拉运人员要立即进行手套消毒。手套出现破损时，要用0.3%-0.5%碘伏消毒液或快速手消毒剂对手进行消毒，揉搓1-3分钟，更换新手套。医用防护口罩和一次性防渗透隔离衣等防护用品出现潮湿、破损或污染，也应及时更换。</w:t>
            </w:r>
          </w:p>
          <w:p w14:paraId="1658C600">
            <w:pPr>
              <w:pStyle w:val="288"/>
              <w:keepNext w:val="0"/>
              <w:keepLines w:val="0"/>
              <w:numPr>
                <w:ilvl w:val="0"/>
                <w:numId w:val="16"/>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 xml:space="preserve">医疗废物安全运输 </w:t>
            </w:r>
          </w:p>
          <w:p w14:paraId="5974B55E">
            <w:pPr>
              <w:pStyle w:val="288"/>
              <w:keepNext w:val="0"/>
              <w:keepLines w:val="0"/>
              <w:numPr>
                <w:ilvl w:val="0"/>
                <w:numId w:val="18"/>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拉运车辆须安装 GPS 或北斗定位设施和视频监控设施，拉运单位要做好车辆行驶轨迹和视频监控数据贮存管理，数据要同步发送给各管理部门。</w:t>
            </w:r>
          </w:p>
          <w:p w14:paraId="014F0FDF">
            <w:pPr>
              <w:pStyle w:val="288"/>
              <w:keepNext w:val="0"/>
              <w:keepLines w:val="0"/>
              <w:numPr>
                <w:ilvl w:val="0"/>
                <w:numId w:val="18"/>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拉运车辆上路行驶前，拉运人员要关闭好车厢门，并仔细检查确认关闭情况。运输过程，拉运人员不得随意下车，不得密切接触无关人员。</w:t>
            </w:r>
          </w:p>
          <w:p w14:paraId="3B23DDBE">
            <w:pPr>
              <w:pStyle w:val="288"/>
              <w:keepNext w:val="0"/>
              <w:keepLines w:val="0"/>
              <w:numPr>
                <w:ilvl w:val="0"/>
                <w:numId w:val="18"/>
              </w:numPr>
              <w:suppressLineNumbers w:val="0"/>
              <w:spacing w:before="0" w:beforeAutospacing="0" w:after="0" w:afterAutospacing="0"/>
              <w:ind w:left="0" w:right="0" w:firstLine="42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拉运单位要做好医疗废物及时拉运和安全运输管理，做好收运人员培训教育和疫苗接种，做好收运人员规范穿戴防护用具和规范作业管理。</w:t>
            </w:r>
          </w:p>
          <w:p w14:paraId="7902E799">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（四）医疗废物焚烧处置要求</w:t>
            </w:r>
          </w:p>
          <w:p w14:paraId="444C28B1">
            <w:pPr>
              <w:pStyle w:val="288"/>
              <w:keepNext w:val="0"/>
              <w:keepLines w:val="0"/>
              <w:numPr>
                <w:ilvl w:val="0"/>
                <w:numId w:val="19"/>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拉运车辆抵达处置厂后，工作人员要对拉运车辆、</w:t>
            </w:r>
          </w:p>
          <w:p w14:paraId="328E752B">
            <w:pPr>
              <w:keepNext w:val="0"/>
              <w:keepLines w:val="0"/>
              <w:suppressLineNumbers w:val="0"/>
              <w:spacing w:before="0" w:beforeAutospacing="0" w:after="0" w:afterAutospacing="0"/>
              <w:ind w:left="0" w:right="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拉运人员、驾驶室依次进行消毒，再打开车厢门，对车内周转桶进行消毒，装卸人员方可卸桶。卸完医疗废物后，要先对车厢内部进行消毒，再重新将空桶放入车厢。</w:t>
            </w:r>
          </w:p>
          <w:p w14:paraId="6232BDF7">
            <w:pPr>
              <w:pStyle w:val="288"/>
              <w:keepNext w:val="0"/>
              <w:keepLines w:val="0"/>
              <w:numPr>
                <w:ilvl w:val="0"/>
                <w:numId w:val="19"/>
              </w:numPr>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拉运车辆驶离处置厂前，工作人员要对拉运车辆车轮、车厢门等部位进行消毒。</w:t>
            </w:r>
          </w:p>
          <w:p w14:paraId="5FFD3B7B">
            <w:pPr>
              <w:pStyle w:val="288"/>
              <w:keepNext w:val="0"/>
              <w:keepLines w:val="0"/>
              <w:numPr>
                <w:ilvl w:val="0"/>
                <w:numId w:val="19"/>
              </w:numPr>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车间人员要规范穿戴好防护用品，方可将医疗废物运送到机器人上料线，再通过自动传送设施将医疗废物投放进焚烧炉处置。周转桶倒完医疗废物后，要先送到清洗消毒区，使用自动清洗设备进行清洗消毒，再存放到空桶存放区。</w:t>
            </w:r>
          </w:p>
          <w:p w14:paraId="6DE3C9C5">
            <w:pPr>
              <w:pStyle w:val="288"/>
              <w:keepNext w:val="0"/>
              <w:keepLines w:val="0"/>
              <w:numPr>
                <w:ilvl w:val="0"/>
                <w:numId w:val="19"/>
              </w:numPr>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处置单位要做好医疗废物焚烧处置管理，做好医疗废物及时处置和安全生产，做好处置场所、进出车辆、周转桶、工作人员等消毒防疫。做好处置人员培训教育和疫苗接种。</w:t>
            </w:r>
          </w:p>
          <w:p w14:paraId="73A6282E">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（五）医疗废物中转及焚烧场所场地设置和管理要求</w:t>
            </w:r>
          </w:p>
          <w:p w14:paraId="022B0AE9">
            <w:pPr>
              <w:pStyle w:val="288"/>
              <w:keepNext w:val="0"/>
              <w:keepLines w:val="0"/>
              <w:numPr>
                <w:ilvl w:val="0"/>
                <w:numId w:val="20"/>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场地设置</w:t>
            </w:r>
          </w:p>
          <w:p w14:paraId="23AD7B4C">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医疗废物中转及焚烧场所应按要求在厂区设置医疗废物中转焚烧作业区域、贮存区域、焚烧处置区域、周转桶清洗区域、车辆洗消区域、防护服穿脱区域、办公区域等。</w:t>
            </w:r>
          </w:p>
          <w:p w14:paraId="1B6187D8">
            <w:pPr>
              <w:pStyle w:val="288"/>
              <w:keepNext w:val="0"/>
              <w:keepLines w:val="0"/>
              <w:numPr>
                <w:ilvl w:val="0"/>
                <w:numId w:val="20"/>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管理要求</w:t>
            </w:r>
          </w:p>
          <w:p w14:paraId="1F914C47">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进入中转及焚烧场所工作人员应做好入场登记。外来人员非必要不得进入中转及焚烧场所。确需进入的，需询问其所在单位等情况，落实登记并按照要求做好个人防护（如佩戴口罩等），方可允许其进入。</w:t>
            </w:r>
          </w:p>
          <w:p w14:paraId="530FC8EA">
            <w:pPr>
              <w:pStyle w:val="288"/>
              <w:keepNext w:val="0"/>
              <w:keepLines w:val="0"/>
              <w:numPr>
                <w:ilvl w:val="0"/>
                <w:numId w:val="20"/>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防护要求</w:t>
            </w:r>
          </w:p>
          <w:p w14:paraId="15DCC60B">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作业期间，工作人员应穿戴相应的防护用品。工作人员应避免用手触摸口眼鼻。</w:t>
            </w:r>
          </w:p>
          <w:p w14:paraId="3279B9E9">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（六）消毒要求</w:t>
            </w:r>
          </w:p>
          <w:p w14:paraId="1CFF3265">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消毒原则</w:t>
            </w:r>
          </w:p>
          <w:p w14:paraId="562C859E">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中转及焚烧场所要实行先消毒再作业，收运车辆按照“一车次一消毒”原则，开展“一消毒一记录”，对医疗废物、收运车辆等实施消毒。中转场所应建立消毒工作台账，详细记录消毒工作情况。</w:t>
            </w:r>
          </w:p>
          <w:p w14:paraId="4B417FFA">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车辆消毒</w:t>
            </w:r>
          </w:p>
          <w:p w14:paraId="22AD04E1">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医疗废物、收运车厢内部可采用有效氯含量为1000 mg/L的含氯消毒液进行喷洒消毒。收运车辆门把手、驾驶室可使用有效氯含量浓度为1000 mg/L 的含氯消毒液喷洒消毒，也可使用75%乙醇擦拭消毒。</w:t>
            </w:r>
          </w:p>
          <w:p w14:paraId="6765D2A8">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手卫生措施</w:t>
            </w:r>
          </w:p>
          <w:p w14:paraId="2D14962D">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厂区工作人员均应当加强手卫生措施，可选用含醇速干手消毒剂或醇类复配速干手消毒剂，或直接用75%乙醇进行擦拭消毒；醇类过敏者，可选择季铵盐类等有效的非醇类手消毒剂；</w:t>
            </w:r>
          </w:p>
          <w:p w14:paraId="41F955C2">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yellow"/>
                <w:lang w:val="en-US" w:eastAsia="zh-CN" w:bidi="ar-SA"/>
              </w:rPr>
            </w:pPr>
            <w:r>
              <w:rPr>
                <w:rFonts w:hint="eastAsia" w:ascii="仿宋" w:hAnsi="仿宋" w:eastAsia="仿宋" w:cs="仿宋"/>
                <w:b w:val="0"/>
                <w:bCs w:val="0"/>
                <w:color w:val="FF0000"/>
                <w:kern w:val="0"/>
                <w:sz w:val="21"/>
                <w:szCs w:val="21"/>
                <w:highlight w:val="yellow"/>
                <w:lang w:val="en-US" w:eastAsia="zh-CN" w:bidi="ar-SA"/>
              </w:rPr>
              <w:t>特殊条件下，也可使用3%过氧化氢消毒剂、0.5%碘伏或0.05%含氯消毒剂等擦拭或浸泡双手。有肉眼可见污染物时应当先使用洗手液在流动水下洗手，然后按上述方法消毒。</w:t>
            </w:r>
          </w:p>
          <w:p w14:paraId="5FA415C0">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环境消毒</w:t>
            </w:r>
          </w:p>
          <w:p w14:paraId="67D58641">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每天完成作业后应对场所和设备、设施及时进行清洗消毒。场所由专人使用有效氯为 1000mg/L的含氯消毒剂喷洒墙壁或拖地消毒，每天上下午各一次。</w:t>
            </w:r>
          </w:p>
          <w:p w14:paraId="56E21643">
            <w:pPr>
              <w:pStyle w:val="288"/>
              <w:keepNext w:val="0"/>
              <w:keepLines w:val="0"/>
              <w:numPr>
                <w:ilvl w:val="0"/>
                <w:numId w:val="21"/>
              </w:numPr>
              <w:suppressLineNumbers w:val="0"/>
              <w:spacing w:before="0" w:beforeAutospacing="0" w:after="0" w:afterAutospacing="0"/>
              <w:ind w:right="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纸质材料消毒</w:t>
            </w:r>
          </w:p>
          <w:p w14:paraId="6393C82A">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登记清单等纸质材料可使用高强度紫外线照射消毒。</w:t>
            </w:r>
          </w:p>
          <w:p w14:paraId="6939EDCA">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（七）垃圾处理和环境监测</w:t>
            </w:r>
          </w:p>
          <w:p w14:paraId="43A39898">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医疗废物中转及焚烧场所应定期开展环境和废水采样检测，检测范围包括但不限于卸料区、上料区、上料口、洗手间、中转区、停车区、办公室、地磅、收运车、污水处理间、开关、电梯、门把手。</w:t>
            </w:r>
          </w:p>
          <w:p w14:paraId="17944AA6">
            <w:pPr>
              <w:pStyle w:val="5"/>
              <w:suppressLineNumbers w:val="0"/>
              <w:spacing w:beforeAutospacing="0" w:after="0" w:afterAutospacing="0" w:line="240" w:lineRule="auto"/>
              <w:ind w:left="0" w:right="0"/>
              <w:jc w:val="left"/>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（八）应急处置</w:t>
            </w:r>
          </w:p>
          <w:p w14:paraId="587177F5">
            <w:pPr>
              <w:keepNext w:val="0"/>
              <w:keepLines w:val="0"/>
              <w:suppressLineNumbers w:val="0"/>
              <w:spacing w:before="0" w:beforeAutospacing="0" w:after="0" w:afterAutospacing="0"/>
              <w:ind w:left="0" w:right="0" w:firstLine="411" w:firstLineChars="196"/>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当医疗废物中转及焚烧场所出现突发公共卫生事件，在辖区疾控部门的指导下，对相关场所进行终末消毒，并做好人员管理，落实相应疫情防控要求，中转及焚烧场所经卫生学评价合格后方可重新启用。</w:t>
            </w:r>
          </w:p>
        </w:tc>
      </w:tr>
      <w:tr w14:paraId="2B0E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69" w:type="dxa"/>
            <w:vAlign w:val="center"/>
          </w:tcPr>
          <w:p w14:paraId="12967C6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732" w:type="dxa"/>
            <w:vAlign w:val="center"/>
          </w:tcPr>
          <w:p w14:paraId="4702F4D7">
            <w:pPr>
              <w:keepNext w:val="0"/>
              <w:keepLines w:val="0"/>
              <w:suppressLineNumbers w:val="0"/>
              <w:spacing w:before="0" w:beforeAutospacing="0" w:after="0" w:afterAutospacing="0"/>
              <w:ind w:left="0" w:right="0"/>
              <w:jc w:val="both"/>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成果要求</w:t>
            </w:r>
          </w:p>
          <w:p w14:paraId="108AB087">
            <w:pPr>
              <w:keepNext w:val="0"/>
              <w:keepLines w:val="0"/>
              <w:suppressLineNumbers w:val="0"/>
              <w:spacing w:before="0" w:beforeAutospacing="0" w:after="0" w:afterAutospacing="0"/>
              <w:ind w:left="0" w:right="0"/>
              <w:jc w:val="both"/>
              <w:rPr>
                <w:rFonts w:hint="eastAsia" w:ascii="仿宋" w:hAnsi="仿宋" w:eastAsia="仿宋" w:cs="仿宋"/>
                <w:b/>
                <w:bCs w:val="0"/>
                <w:color w:val="FF0000"/>
                <w:sz w:val="24"/>
                <w:szCs w:val="24"/>
                <w:highlight w:val="none"/>
                <w:lang w:val="en-US" w:eastAsia="zh-CN"/>
              </w:rPr>
            </w:pPr>
          </w:p>
        </w:tc>
        <w:tc>
          <w:tcPr>
            <w:tcW w:w="7841" w:type="dxa"/>
            <w:vAlign w:val="center"/>
          </w:tcPr>
          <w:p w14:paraId="228E2891">
            <w:pPr>
              <w:keepNext w:val="0"/>
              <w:keepLines w:val="0"/>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yellow"/>
                <w:lang w:val="en-US" w:eastAsia="zh-CN" w:bidi="ar-SA"/>
              </w:rPr>
              <w:t>★本项目医疗废物收运、中转、焚烧的标准均需达到《医疗废物管理条例》和《医疗废物集中处 置技术规范》等政策文件的要求。</w:t>
            </w:r>
          </w:p>
        </w:tc>
      </w:tr>
      <w:tr w14:paraId="6EBC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jc w:val="center"/>
        </w:trPr>
        <w:tc>
          <w:tcPr>
            <w:tcW w:w="769" w:type="dxa"/>
            <w:vAlign w:val="center"/>
          </w:tcPr>
          <w:p w14:paraId="26C3F27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732" w:type="dxa"/>
            <w:vAlign w:val="center"/>
          </w:tcPr>
          <w:p w14:paraId="74E81065">
            <w:pPr>
              <w:keepNext w:val="0"/>
              <w:keepLines w:val="0"/>
              <w:suppressLineNumbers w:val="0"/>
              <w:spacing w:before="0" w:beforeAutospacing="0" w:after="0" w:afterAutospacing="0"/>
              <w:ind w:left="0" w:right="0"/>
              <w:jc w:val="both"/>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其他要求</w:t>
            </w:r>
          </w:p>
          <w:p w14:paraId="545412C1">
            <w:pPr>
              <w:keepNext w:val="0"/>
              <w:keepLines w:val="0"/>
              <w:suppressLineNumbers w:val="0"/>
              <w:spacing w:before="0" w:beforeAutospacing="0" w:after="0" w:afterAutospacing="0"/>
              <w:ind w:left="0" w:right="0"/>
              <w:jc w:val="both"/>
              <w:rPr>
                <w:rFonts w:hint="eastAsia" w:ascii="仿宋" w:hAnsi="仿宋" w:eastAsia="仿宋" w:cs="仿宋"/>
                <w:b/>
                <w:bCs w:val="0"/>
                <w:color w:val="FF0000"/>
                <w:sz w:val="24"/>
                <w:szCs w:val="24"/>
                <w:highlight w:val="none"/>
                <w:lang w:val="en-US" w:eastAsia="zh-CN"/>
              </w:rPr>
            </w:pPr>
          </w:p>
        </w:tc>
        <w:tc>
          <w:tcPr>
            <w:tcW w:w="7841" w:type="dxa"/>
            <w:vAlign w:val="center"/>
          </w:tcPr>
          <w:p w14:paraId="739F6790">
            <w:pPr>
              <w:keepNext w:val="0"/>
              <w:keepLines w:val="0"/>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 xml:space="preserve">1. 投标人使用的标准必须是国际公认或国家、或地方政府颁布的同等或更高的标准，如投标人使用的标准低于上述标准,评标委员会将有权不予接受，投标人必须列表将明显的差异详细说明。 </w:t>
            </w:r>
          </w:p>
          <w:p w14:paraId="53D2515D">
            <w:pPr>
              <w:keepNext w:val="0"/>
              <w:keepLines w:val="0"/>
              <w:suppressLineNumbers w:val="0"/>
              <w:spacing w:before="0" w:beforeAutospacing="0" w:after="0" w:afterAutospacing="0"/>
              <w:ind w:left="0" w:leftChars="0" w:right="0" w:firstLine="0" w:firstLineChars="0"/>
              <w:rPr>
                <w:rFonts w:hint="eastAsia" w:ascii="仿宋" w:hAnsi="仿宋" w:eastAsia="仿宋" w:cs="仿宋"/>
                <w:b w:val="0"/>
                <w:bCs w:val="0"/>
                <w:color w:val="FF0000"/>
                <w:kern w:val="0"/>
                <w:sz w:val="21"/>
                <w:szCs w:val="21"/>
                <w:highlight w:val="none"/>
                <w:lang w:val="en-US" w:eastAsia="zh-CN" w:bidi="ar-SA"/>
              </w:rPr>
            </w:pPr>
            <w:r>
              <w:rPr>
                <w:rFonts w:hint="eastAsia" w:ascii="仿宋" w:hAnsi="仿宋" w:eastAsia="仿宋" w:cs="仿宋"/>
                <w:b w:val="0"/>
                <w:bCs w:val="0"/>
                <w:color w:val="FF0000"/>
                <w:kern w:val="0"/>
                <w:sz w:val="21"/>
                <w:szCs w:val="21"/>
                <w:highlight w:val="none"/>
                <w:lang w:val="en-US" w:eastAsia="zh-CN" w:bidi="ar-SA"/>
              </w:rPr>
              <w:t xml:space="preserve">2. 在合同执行期间，中标人须接受采购人及市、区行业主管部门的监管，执行采购人及市、区行业主管部门的对医疗废物收运处置的相关要求。 </w:t>
            </w:r>
          </w:p>
        </w:tc>
      </w:tr>
    </w:tbl>
    <w:p w14:paraId="6D477B49">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rPr>
      </w:pPr>
      <w:r>
        <w:rPr>
          <w:rFonts w:hint="eastAsia" w:ascii="仿宋" w:hAnsi="仿宋" w:eastAsia="仿宋" w:cs="仿宋"/>
          <w:b/>
          <w:bCs/>
          <w:color w:val="FF0000"/>
          <w:sz w:val="24"/>
          <w:szCs w:val="24"/>
          <w:lang w:val="en-US" w:eastAsia="zh-CN"/>
        </w:rPr>
        <w:t>五、项目</w:t>
      </w:r>
      <w:r>
        <w:rPr>
          <w:rFonts w:hint="eastAsia" w:ascii="仿宋" w:hAnsi="仿宋" w:eastAsia="仿宋" w:cs="仿宋"/>
          <w:b/>
          <w:bCs/>
          <w:color w:val="FF0000"/>
          <w:sz w:val="24"/>
          <w:szCs w:val="24"/>
        </w:rPr>
        <w:t>商务要求</w:t>
      </w:r>
      <w:bookmarkEnd w:id="18"/>
      <w:bookmarkEnd w:id="19"/>
    </w:p>
    <w:tbl>
      <w:tblPr>
        <w:tblStyle w:val="44"/>
        <w:tblW w:w="95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2"/>
        <w:gridCol w:w="8123"/>
      </w:tblGrid>
      <w:tr w14:paraId="140F6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00" w:hRule="atLeast"/>
          <w:tblHeader/>
          <w:jc w:val="center"/>
        </w:trPr>
        <w:tc>
          <w:tcPr>
            <w:tcW w:w="1432" w:type="dxa"/>
            <w:tcBorders>
              <w:right w:val="single" w:color="auto" w:sz="4" w:space="0"/>
            </w:tcBorders>
            <w:noWrap w:val="0"/>
            <w:vAlign w:val="top"/>
          </w:tcPr>
          <w:p w14:paraId="79FC094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内容</w:t>
            </w:r>
          </w:p>
        </w:tc>
        <w:tc>
          <w:tcPr>
            <w:tcW w:w="8123" w:type="dxa"/>
            <w:tcBorders>
              <w:left w:val="single" w:color="auto" w:sz="4" w:space="0"/>
            </w:tcBorders>
            <w:noWrap w:val="0"/>
            <w:vAlign w:val="top"/>
          </w:tcPr>
          <w:p w14:paraId="7060C7D5">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具体内容</w:t>
            </w:r>
          </w:p>
        </w:tc>
      </w:tr>
      <w:tr w14:paraId="5B741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BABA00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★服务地点</w:t>
            </w:r>
          </w:p>
        </w:tc>
        <w:tc>
          <w:tcPr>
            <w:tcW w:w="8123" w:type="dxa"/>
            <w:noWrap w:val="0"/>
            <w:vAlign w:val="center"/>
          </w:tcPr>
          <w:p w14:paraId="7F79EB80">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深圳市福田区第二人民医院院本部、龙尾院区、医院下属各社康及驻所门诊。</w:t>
            </w:r>
          </w:p>
        </w:tc>
      </w:tr>
      <w:tr w14:paraId="5BD75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6A19C44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★验收方式</w:t>
            </w:r>
          </w:p>
        </w:tc>
        <w:tc>
          <w:tcPr>
            <w:tcW w:w="8123" w:type="dxa"/>
            <w:noWrap w:val="0"/>
            <w:vAlign w:val="center"/>
          </w:tcPr>
          <w:p w14:paraId="101A941E">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以中标供应商所提供的所有服务达到本项目及国标要求为准。</w:t>
            </w:r>
          </w:p>
        </w:tc>
      </w:tr>
      <w:tr w14:paraId="3EAE1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7A238E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1DF4948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5E3C33B9">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本项目服务费采用包干制，应包括设备费、运营费、运输费、装卸费、保险费、技术培训费、废物处理费、国家规定的各项税费和企业的利润等完成本项目的全部费用。由供应商根据谈判文件所提供的资料自行测算投标报价；一经中标，中标价作为成交供应商与采购人签订的合同金额，合同期限内不做调整。</w:t>
            </w:r>
          </w:p>
          <w:p w14:paraId="11A31C6D">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本项目要求成交供应商提供处置服务的医疗废物是指《医疗废物分类目录（2021年版）》的所有内容，包括：感染性废物、损伤性废物、病理性废物、药物性废物、化学性废物。</w:t>
            </w:r>
          </w:p>
          <w:p w14:paraId="101C46A4">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对于《医疗废物分类名录（2021年版）》中除化学性废物外的其他各项医疗废物的处置服务，供应商应当按《项目详细报价》“（一）常规服务报价表”的格式，对院本部、龙尾院区和社康及驻所门诊分别提供报价，其中：</w:t>
            </w:r>
          </w:p>
          <w:p w14:paraId="2ADBCE19">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①院本部及龙尾院区一并按月报价；</w:t>
            </w:r>
          </w:p>
          <w:p w14:paraId="0F673297">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②社康及驻所门诊一并按月报价；</w:t>
            </w:r>
          </w:p>
          <w:p w14:paraId="6F903DCE">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未按要求提供分项报价的，作应答无效处理。</w:t>
            </w:r>
          </w:p>
          <w:p w14:paraId="55550B45">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（2）对于化学性废物的处置服务，供应商应当按《项目详细报价》“（二）专项服务报价表”的格式，提供单价报价；该报价对院本部、龙尾院区、驻所门诊及各社康均适用。</w:t>
            </w:r>
          </w:p>
          <w:p w14:paraId="0D9C8995">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3.投标供应商的投标总价不得超过项目预算金额91832元，否则作应答无效处理。</w:t>
            </w:r>
          </w:p>
          <w:p w14:paraId="239A5472">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4.投标供应商应当根据本企业的成本自行决定报价，但不得以低于其企业成本的报价应答。</w:t>
            </w:r>
          </w:p>
          <w:p w14:paraId="2E5DDFB2">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5.供应商应充分了解项目的位置、情况、道路及任何其它足以影响应答报价的情况，任何因忽视或误解项目情况而导致的索赔或服务期限延长申请将不获批准。</w:t>
            </w:r>
          </w:p>
          <w:p w14:paraId="0D5FF413">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6.投标供应商的报价，应当是本项目采购范围和谈判文件及合同条款上所列的各项内容中所述的全部，不得以任何理由予以重复。</w:t>
            </w:r>
          </w:p>
          <w:p w14:paraId="5C636DBA">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7.除非采购人通过修改采购文件予以更正，否则，供应商应毫无例外地按投标文件所列的清单中项目和数量填报综合单价或合价。供应商未填综合单价或合价的项目，在实施后，将不得以支付，并视作该项费用已包括在其它有价款的综合单价或合价内。</w:t>
            </w:r>
          </w:p>
          <w:p w14:paraId="42818C89">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8.供应商不得期望通过索赔等方式获取补偿，否则，除可能遭到拒绝外，还可能将被作为不良行为记录在案，并可能影响其以后参加政府采购的项目。各供应商在报价时，应充分考虑报价的风险。</w:t>
            </w:r>
          </w:p>
        </w:tc>
      </w:tr>
      <w:tr w14:paraId="5517E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AA191D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1FA158C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56412C0B">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结算方式：除化学性废物以外的其他各项医疗废物的处置服务，按照中标供应商的中标价按月进行结算；化学性废物的处置服务，按照服务期内实际产生的化学性废物处置量据实结算。最终支付金额（含化学性废物和除化学性废物以外的其他各项医疗废物的处置费用）不超过本项目的预算金额。</w:t>
            </w:r>
          </w:p>
          <w:p w14:paraId="0FF34084">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2、付款方式：按照深圳市福田区财政局以及医院的相关规定执行支付，以双方合同约定为准。</w:t>
            </w:r>
          </w:p>
        </w:tc>
      </w:tr>
      <w:tr w14:paraId="406DF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0D05697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2853F42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483BA284">
            <w:pPr>
              <w:pStyle w:val="81"/>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自合同签订之日起2个月。</w:t>
            </w:r>
          </w:p>
        </w:tc>
      </w:tr>
      <w:tr w14:paraId="669C8F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75642D56">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05E00398">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1.中标后如因中标方原因，造成不能完成规定服务目标或直接造成采购方经济损失的，中标方应给予采购方相应补偿。采购方有权要求中标方限期整改，限期内整改不到位的，采购人有权单方终止合同。 </w:t>
            </w:r>
          </w:p>
          <w:p w14:paraId="1A500B77">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2.因采购方原因，造成重大事故的，由采购方承担责任并负责善后处理。因中标方管 理不善或操作不当等原因造成重大事故的，由中标方承担责任并负责善后处理（产生事 </w:t>
            </w:r>
          </w:p>
          <w:p w14:paraId="744D4962">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故的直接原因，以政府有关部门的鉴定结论为准）。 </w:t>
            </w:r>
          </w:p>
          <w:p w14:paraId="4DFBC50C">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3.如中标方延迟提供或不能提供合法发票，则采购方有权推迟支付款而不承担任何责任。 </w:t>
            </w:r>
          </w:p>
          <w:p w14:paraId="308EE9E5">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 xml:space="preserve">4.因中标方原因，造成医疗废物收运、中转、焚烧处置工作不能达标，所造成的一切 </w:t>
            </w:r>
          </w:p>
          <w:p w14:paraId="0FBD9C17">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直接和间接损失，全由中标方承担，与采购人无关。</w:t>
            </w:r>
          </w:p>
        </w:tc>
      </w:tr>
      <w:tr w14:paraId="103F1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CA8E87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★违约责任</w:t>
            </w:r>
          </w:p>
        </w:tc>
        <w:tc>
          <w:tcPr>
            <w:tcW w:w="8123" w:type="dxa"/>
            <w:noWrap w:val="0"/>
            <w:vAlign w:val="center"/>
          </w:tcPr>
          <w:p w14:paraId="26F993E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中标人在合同履行过程中，不履行或不按照合同约定适格履行均构成违约，采购人有权解除合同，中标人应承担违约责任并赔偿损失；具体违约责任约定详见合同。</w:t>
            </w:r>
          </w:p>
        </w:tc>
      </w:tr>
    </w:tbl>
    <w:p w14:paraId="41D1D787">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rPr>
      </w:pPr>
    </w:p>
    <w:p w14:paraId="3C9ED7BD">
      <w:pPr>
        <w:pStyle w:val="3"/>
        <w:pageBreakBefore/>
        <w:spacing w:line="415" w:lineRule="auto"/>
        <w:jc w:val="center"/>
        <w:rPr>
          <w:rFonts w:hint="eastAsia" w:ascii="仿宋" w:hAnsi="仿宋" w:eastAsia="仿宋" w:cs="仿宋"/>
          <w:b/>
          <w:bCs/>
        </w:rPr>
      </w:pPr>
      <w:bookmarkStart w:id="20" w:name="_Toc21196"/>
      <w:bookmarkStart w:id="21" w:name="合同协议书"/>
      <w:r>
        <w:rPr>
          <w:rFonts w:hint="eastAsia" w:ascii="仿宋" w:hAnsi="仿宋" w:eastAsia="仿宋" w:cs="仿宋"/>
          <w:b/>
          <w:bCs/>
        </w:rPr>
        <w:t>第</w:t>
      </w:r>
      <w:r>
        <w:rPr>
          <w:rFonts w:hint="eastAsia" w:ascii="仿宋" w:hAnsi="仿宋" w:eastAsia="仿宋" w:cs="仿宋"/>
          <w:b/>
          <w:bCs/>
          <w:lang w:val="en-US" w:eastAsia="zh-CN"/>
        </w:rPr>
        <w:t>四</w:t>
      </w:r>
      <w:r>
        <w:rPr>
          <w:rFonts w:hint="eastAsia" w:ascii="仿宋" w:hAnsi="仿宋" w:eastAsia="仿宋" w:cs="仿宋"/>
          <w:b/>
          <w:bCs/>
        </w:rPr>
        <w:t xml:space="preserve">章  </w:t>
      </w:r>
      <w:bookmarkEnd w:id="20"/>
      <w:r>
        <w:rPr>
          <w:rFonts w:hint="eastAsia" w:ascii="仿宋" w:hAnsi="仿宋" w:eastAsia="仿宋" w:cs="仿宋"/>
          <w:b/>
          <w:bCs/>
          <w:lang w:val="en-US" w:eastAsia="zh-CN"/>
        </w:rPr>
        <w:t>投标（响应）</w:t>
      </w:r>
      <w:r>
        <w:rPr>
          <w:rFonts w:hint="eastAsia" w:ascii="仿宋" w:hAnsi="仿宋" w:eastAsia="仿宋" w:cs="仿宋"/>
          <w:b/>
          <w:bCs/>
        </w:rPr>
        <w:t>文件格式</w:t>
      </w:r>
    </w:p>
    <w:p w14:paraId="57828764">
      <w:pPr>
        <w:spacing w:line="360" w:lineRule="auto"/>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特别提醒：</w:t>
      </w:r>
      <w:r>
        <w:rPr>
          <w:rFonts w:hint="eastAsia" w:ascii="仿宋" w:hAnsi="仿宋" w:eastAsia="仿宋" w:cs="仿宋"/>
          <w:bCs/>
          <w:color w:val="000000" w:themeColor="text1"/>
          <w:sz w:val="24"/>
          <w:lang w:eastAsia="zh-CN"/>
          <w14:textFill>
            <w14:solidFill>
              <w14:schemeClr w14:val="tx1"/>
            </w14:solidFill>
          </w14:textFill>
        </w:rPr>
        <w:t>投标人</w:t>
      </w:r>
      <w:r>
        <w:rPr>
          <w:rFonts w:hint="eastAsia" w:ascii="仿宋" w:hAnsi="仿宋" w:eastAsia="仿宋" w:cs="仿宋"/>
          <w:bCs/>
          <w:color w:val="000000" w:themeColor="text1"/>
          <w:sz w:val="24"/>
          <w14:textFill>
            <w14:solidFill>
              <w14:schemeClr w14:val="tx1"/>
            </w14:solidFill>
          </w14:textFill>
        </w:rPr>
        <w:t>在编辑</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文件时，在</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文件目录中属于本节点内容的须在本节点中填写，填写到其他节点或附件的将可能导致投标无效，一切后果由供应商自行承担。</w:t>
      </w:r>
    </w:p>
    <w:p w14:paraId="364429EB">
      <w:pPr>
        <w:spacing w:line="360" w:lineRule="auto"/>
        <w:ind w:firstLine="643" w:firstLineChars="200"/>
        <w:jc w:val="both"/>
        <w:rPr>
          <w:rFonts w:hint="eastAsia" w:ascii="仿宋" w:hAnsi="仿宋" w:eastAsia="仿宋" w:cs="仿宋"/>
          <w:b/>
          <w:sz w:val="32"/>
          <w:szCs w:val="32"/>
        </w:rPr>
      </w:pPr>
    </w:p>
    <w:p w14:paraId="6A3AA92A">
      <w:pPr>
        <w:spacing w:line="360" w:lineRule="auto"/>
        <w:ind w:firstLine="643" w:firstLineChars="200"/>
        <w:jc w:val="center"/>
        <w:rPr>
          <w:rFonts w:hint="eastAsia" w:ascii="仿宋" w:hAnsi="仿宋" w:eastAsia="仿宋" w:cs="仿宋"/>
          <w:b/>
          <w:sz w:val="32"/>
          <w:szCs w:val="32"/>
        </w:rPr>
      </w:pPr>
      <w:r>
        <w:rPr>
          <w:rFonts w:hint="eastAsia" w:ascii="仿宋" w:hAnsi="仿宋" w:eastAsia="仿宋" w:cs="仿宋"/>
          <w:b/>
          <w:sz w:val="32"/>
          <w:szCs w:val="32"/>
        </w:rPr>
        <w:t>密封袋封条格式</w:t>
      </w:r>
    </w:p>
    <w:p w14:paraId="774C6C52">
      <w:pPr>
        <w:spacing w:line="360" w:lineRule="auto"/>
        <w:jc w:val="both"/>
        <w:rPr>
          <w:rFonts w:hint="eastAsia" w:ascii="仿宋" w:hAnsi="仿宋" w:eastAsia="仿宋" w:cs="仿宋"/>
          <w:b/>
          <w:bCs/>
          <w:sz w:val="28"/>
          <w:szCs w:val="28"/>
        </w:rPr>
      </w:pPr>
    </w:p>
    <w:p w14:paraId="019F0BC2">
      <w:pPr>
        <w:pStyle w:val="19"/>
        <w:spacing w:line="360" w:lineRule="auto"/>
        <w:jc w:val="center"/>
        <w:rPr>
          <w:rFonts w:hint="eastAsia" w:ascii="黑体" w:eastAsia="黑体" w:hAnsiTheme="minorHAnsi" w:cstheme="minorBidi"/>
          <w:b/>
          <w:sz w:val="72"/>
          <w:szCs w:val="72"/>
        </w:rPr>
      </w:pPr>
      <w:bookmarkStart w:id="22" w:name="_Toc100247590"/>
      <w:bookmarkStart w:id="23" w:name="_Toc90287690"/>
      <w:bookmarkStart w:id="24" w:name="_Toc15064"/>
      <w:r>
        <w:rPr>
          <w:rFonts w:hint="eastAsia" w:ascii="黑体" w:eastAsia="黑体" w:hAnsiTheme="minorHAnsi" w:cstheme="minorBidi"/>
          <w:b/>
          <w:sz w:val="72"/>
          <w:szCs w:val="72"/>
          <w:lang w:eastAsia="zh-CN"/>
        </w:rPr>
        <w:t>投标</w:t>
      </w:r>
      <w:r>
        <w:rPr>
          <w:rFonts w:hint="eastAsia" w:ascii="黑体" w:eastAsia="黑体" w:hAnsiTheme="minorHAnsi" w:cstheme="minorBidi"/>
          <w:b/>
          <w:sz w:val="72"/>
          <w:szCs w:val="72"/>
        </w:rPr>
        <w:t>文件</w:t>
      </w:r>
      <w:bookmarkEnd w:id="22"/>
      <w:bookmarkEnd w:id="23"/>
      <w:bookmarkEnd w:id="24"/>
    </w:p>
    <w:p w14:paraId="056E2451">
      <w:pPr>
        <w:pStyle w:val="19"/>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19"/>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6176C634">
      <w:pPr>
        <w:spacing w:line="360" w:lineRule="auto"/>
        <w:jc w:val="both"/>
        <w:rPr>
          <w:rFonts w:hint="eastAsia" w:ascii="仿宋" w:hAnsi="仿宋" w:eastAsia="仿宋" w:cs="仿宋"/>
          <w:b/>
          <w:bCs/>
          <w:sz w:val="28"/>
          <w:szCs w:val="28"/>
        </w:rPr>
      </w:pPr>
    </w:p>
    <w:p w14:paraId="156F5D9E">
      <w:pPr>
        <w:spacing w:line="360" w:lineRule="auto"/>
        <w:ind w:left="1405" w:hanging="1405" w:hangingChars="500"/>
        <w:jc w:val="left"/>
        <w:rPr>
          <w:rFonts w:hint="default" w:ascii="仿宋" w:hAnsi="仿宋" w:eastAsia="仿宋" w:cs="仿宋"/>
          <w:b/>
          <w:bCs/>
          <w:sz w:val="28"/>
          <w:szCs w:val="28"/>
          <w:lang w:val="en-US"/>
        </w:rPr>
      </w:pPr>
      <w:r>
        <w:rPr>
          <w:rFonts w:hint="eastAsia" w:ascii="仿宋" w:hAnsi="仿宋" w:eastAsia="仿宋" w:cs="仿宋"/>
          <w:b/>
          <w:bCs/>
          <w:sz w:val="28"/>
          <w:szCs w:val="28"/>
        </w:rPr>
        <w:t>项目名称：</w:t>
      </w:r>
    </w:p>
    <w:p w14:paraId="796170C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项目编号：</w:t>
      </w:r>
    </w:p>
    <w:p w14:paraId="5021916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lang w:eastAsia="zh-CN"/>
        </w:rPr>
        <w:t>投标单位</w:t>
      </w:r>
      <w:r>
        <w:rPr>
          <w:rFonts w:hint="eastAsia" w:ascii="仿宋" w:hAnsi="仿宋" w:eastAsia="仿宋" w:cs="仿宋"/>
          <w:b/>
          <w:bCs/>
          <w:sz w:val="28"/>
          <w:szCs w:val="28"/>
        </w:rPr>
        <w:t>：</w:t>
      </w:r>
      <w:r>
        <w:rPr>
          <w:rFonts w:hint="eastAsia" w:ascii="仿宋" w:hAnsi="仿宋" w:eastAsia="仿宋" w:cs="仿宋"/>
          <w:b/>
          <w:bCs/>
          <w:color w:val="FF0000"/>
          <w:sz w:val="28"/>
          <w:szCs w:val="28"/>
          <w:u w:val="single"/>
        </w:rPr>
        <w:t>（</w:t>
      </w:r>
      <w:r>
        <w:rPr>
          <w:rFonts w:hint="eastAsia" w:ascii="仿宋" w:hAnsi="仿宋" w:eastAsia="仿宋" w:cs="仿宋"/>
          <w:b/>
          <w:bCs/>
          <w:color w:val="FF0000"/>
          <w:sz w:val="28"/>
          <w:szCs w:val="28"/>
          <w:u w:val="single"/>
          <w:lang w:val="en-US" w:eastAsia="zh-CN"/>
        </w:rPr>
        <w:t>与公章名称一致并</w:t>
      </w:r>
      <w:r>
        <w:rPr>
          <w:rFonts w:hint="eastAsia" w:ascii="仿宋" w:hAnsi="仿宋" w:eastAsia="仿宋" w:cs="仿宋"/>
          <w:b/>
          <w:bCs/>
          <w:color w:val="FF0000"/>
          <w:sz w:val="28"/>
          <w:szCs w:val="28"/>
          <w:u w:val="single"/>
        </w:rPr>
        <w:t>加盖公章）</w:t>
      </w:r>
    </w:p>
    <w:p w14:paraId="1D63618D">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单位地址：</w:t>
      </w:r>
    </w:p>
    <w:p w14:paraId="5B7E8813">
      <w:pPr>
        <w:spacing w:line="360" w:lineRule="auto"/>
        <w:jc w:val="left"/>
        <w:rPr>
          <w:rFonts w:hint="eastAsia" w:ascii="仿宋" w:hAnsi="仿宋" w:eastAsia="仿宋" w:cs="仿宋"/>
          <w:b/>
          <w:bCs/>
          <w:sz w:val="28"/>
          <w:szCs w:val="28"/>
          <w:u w:val="single"/>
        </w:rPr>
      </w:pPr>
      <w:r>
        <w:rPr>
          <w:rFonts w:hint="eastAsia" w:ascii="仿宋" w:hAnsi="仿宋" w:eastAsia="仿宋" w:cs="仿宋"/>
          <w:b/>
          <w:bCs/>
          <w:sz w:val="28"/>
          <w:szCs w:val="28"/>
        </w:rPr>
        <w:t>法定代表人/被授权人：</w:t>
      </w:r>
    </w:p>
    <w:p w14:paraId="496383A0">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联系电话：</w:t>
      </w:r>
    </w:p>
    <w:p w14:paraId="70A7402E">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日</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时</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分之前不得启封。】</w:t>
      </w:r>
    </w:p>
    <w:p w14:paraId="35521E9C">
      <w:pPr>
        <w:spacing w:line="360" w:lineRule="auto"/>
        <w:rPr>
          <w:rFonts w:hint="eastAsia" w:ascii="仿宋" w:hAnsi="仿宋" w:eastAsia="仿宋" w:cs="仿宋"/>
          <w:bCs/>
          <w:sz w:val="28"/>
          <w:szCs w:val="28"/>
        </w:rPr>
      </w:pPr>
      <w:r>
        <w:rPr>
          <w:rFonts w:hint="eastAsia" w:ascii="仿宋" w:hAnsi="仿宋" w:eastAsia="仿宋" w:cs="仿宋"/>
          <w:bCs/>
          <w:sz w:val="28"/>
          <w:szCs w:val="28"/>
        </w:rPr>
        <w:t>备注：本封条应粘贴在</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文件（正本/副本）</w:t>
      </w:r>
      <w:r>
        <w:rPr>
          <w:rFonts w:ascii="宋体" w:hAnsi="宋体" w:cs="Arial"/>
          <w:bCs/>
          <w:sz w:val="28"/>
          <w:szCs w:val="28"/>
        </w:rPr>
        <w:t>/</w:t>
      </w:r>
      <w:r>
        <w:rPr>
          <w:rFonts w:hint="eastAsia" w:ascii="宋体" w:hAnsi="宋体" w:cs="Arial"/>
          <w:bCs/>
          <w:sz w:val="28"/>
          <w:szCs w:val="28"/>
        </w:rPr>
        <w:t>开标一览表</w:t>
      </w:r>
      <w:r>
        <w:rPr>
          <w:rFonts w:hint="eastAsia" w:ascii="仿宋" w:hAnsi="仿宋" w:eastAsia="仿宋" w:cs="仿宋"/>
          <w:bCs/>
          <w:sz w:val="28"/>
          <w:szCs w:val="28"/>
        </w:rPr>
        <w:t>的密封袋封面。</w:t>
      </w:r>
    </w:p>
    <w:p w14:paraId="4466CC5A">
      <w:pPr>
        <w:pStyle w:val="5"/>
        <w:pageBreakBefore/>
        <w:spacing w:line="377" w:lineRule="auto"/>
        <w:jc w:val="center"/>
        <w:rPr>
          <w:rFonts w:hint="eastAsia" w:ascii="仿宋" w:hAnsi="仿宋" w:eastAsia="仿宋" w:cs="仿宋"/>
          <w:b/>
          <w:bCs w:val="0"/>
        </w:rPr>
      </w:pPr>
      <w:r>
        <w:rPr>
          <w:rFonts w:hint="eastAsia" w:ascii="仿宋" w:hAnsi="仿宋" w:eastAsia="仿宋" w:cs="仿宋"/>
          <w:b/>
          <w:bCs w:val="0"/>
          <w:sz w:val="36"/>
        </w:rPr>
        <w:t>目  录</w:t>
      </w:r>
    </w:p>
    <w:p w14:paraId="7B885296">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p>
    <w:p w14:paraId="617CD804">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一、投标</w:t>
      </w:r>
      <w:r>
        <w:rPr>
          <w:rFonts w:hint="eastAsia" w:ascii="仿宋" w:hAnsi="仿宋" w:eastAsia="仿宋" w:cs="仿宋"/>
          <w:bCs/>
          <w:snapToGrid w:val="0"/>
          <w:color w:val="000000" w:themeColor="text1"/>
          <w:kern w:val="0"/>
          <w:sz w:val="28"/>
          <w:lang w:val="en-US" w:eastAsia="zh-CN"/>
          <w14:textFill>
            <w14:solidFill>
              <w14:schemeClr w14:val="tx1"/>
            </w14:solidFill>
          </w14:textFill>
        </w:rPr>
        <w:t>响应</w:t>
      </w:r>
      <w:r>
        <w:rPr>
          <w:rFonts w:hint="eastAsia" w:ascii="仿宋" w:hAnsi="仿宋" w:eastAsia="仿宋" w:cs="仿宋"/>
          <w:bCs/>
          <w:snapToGrid w:val="0"/>
          <w:color w:val="000000" w:themeColor="text1"/>
          <w:kern w:val="0"/>
          <w:sz w:val="28"/>
          <w14:textFill>
            <w14:solidFill>
              <w14:schemeClr w14:val="tx1"/>
            </w14:solidFill>
          </w14:textFill>
        </w:rPr>
        <w:t>函</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BF2D61D">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二、自查表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9FFF7F">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三、</w:t>
      </w:r>
      <w:r>
        <w:rPr>
          <w:rFonts w:hint="eastAsia" w:ascii="仿宋" w:hAnsi="仿宋" w:eastAsia="仿宋" w:cs="仿宋"/>
          <w:bCs/>
          <w:snapToGrid w:val="0"/>
          <w:color w:val="000000" w:themeColor="text1"/>
          <w:kern w:val="0"/>
          <w:sz w:val="28"/>
          <w:lang w:val="en-US" w:eastAsia="zh-CN"/>
          <w14:textFill>
            <w14:solidFill>
              <w14:schemeClr w14:val="tx1"/>
            </w14:solidFill>
          </w14:textFill>
        </w:rPr>
        <w:t>开标</w:t>
      </w:r>
      <w:r>
        <w:rPr>
          <w:rFonts w:hint="eastAsia" w:ascii="仿宋" w:hAnsi="仿宋" w:eastAsia="仿宋" w:cs="仿宋"/>
          <w:bCs/>
          <w:snapToGrid w:val="0"/>
          <w:color w:val="000000" w:themeColor="text1"/>
          <w:kern w:val="0"/>
          <w:sz w:val="28"/>
          <w14:textFill>
            <w14:solidFill>
              <w14:schemeClr w14:val="tx1"/>
            </w14:solidFill>
          </w14:textFill>
        </w:rPr>
        <w:t>一览表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4A8196E2">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四、</w:t>
      </w:r>
      <w:r>
        <w:rPr>
          <w:rFonts w:hint="eastAsia" w:ascii="仿宋" w:hAnsi="仿宋" w:eastAsia="仿宋" w:cs="仿宋"/>
          <w:bCs/>
          <w:snapToGrid w:val="0"/>
          <w:color w:val="000000" w:themeColor="text1"/>
          <w:kern w:val="0"/>
          <w:sz w:val="28"/>
          <w:lang w:val="en-US" w:eastAsia="zh-CN"/>
          <w14:textFill>
            <w14:solidFill>
              <w14:schemeClr w14:val="tx1"/>
            </w14:solidFill>
          </w14:textFill>
        </w:rPr>
        <w:t>投标人资格及投标承诺函-----------------------</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D2432EC">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五</w:t>
      </w:r>
      <w:r>
        <w:rPr>
          <w:rFonts w:hint="eastAsia" w:ascii="仿宋" w:hAnsi="仿宋" w:eastAsia="仿宋" w:cs="仿宋"/>
          <w:bCs/>
          <w:snapToGrid w:val="0"/>
          <w:color w:val="000000" w:themeColor="text1"/>
          <w:kern w:val="0"/>
          <w:sz w:val="28"/>
          <w:lang w:val="en-US" w:eastAsia="zh-CN"/>
          <w14:textFill>
            <w14:solidFill>
              <w14:schemeClr w14:val="tx1"/>
            </w14:solidFill>
          </w14:textFill>
        </w:rPr>
        <w:t>、法定代表人/负责人证明书----------------------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246ABE6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六、法定代表人/负责人授权委托书------------------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3016C738">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七、供应商情况介绍</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E81A97">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八、</w:t>
      </w:r>
      <w:r>
        <w:rPr>
          <w:rFonts w:hint="eastAsia" w:ascii="仿宋" w:hAnsi="仿宋" w:eastAsia="仿宋" w:cs="仿宋"/>
          <w:bCs/>
          <w:snapToGrid w:val="0"/>
          <w:color w:val="000000" w:themeColor="text1"/>
          <w:kern w:val="0"/>
          <w:sz w:val="28"/>
          <w:lang w:val="en-US" w:eastAsia="zh-CN"/>
          <w14:textFill>
            <w14:solidFill>
              <w14:schemeClr w14:val="tx1"/>
            </w14:solidFill>
          </w14:textFill>
        </w:rPr>
        <w:t>用户需求书条款响应一览表---------------------</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1B12E9E">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九、</w:t>
      </w:r>
      <w:bookmarkStart w:id="25" w:name="_Toc16147"/>
      <w:r>
        <w:rPr>
          <w:rFonts w:hint="eastAsia" w:ascii="仿宋" w:hAnsi="仿宋" w:eastAsia="仿宋" w:cs="仿宋"/>
          <w:bCs/>
          <w:snapToGrid w:val="0"/>
          <w:color w:val="000000" w:themeColor="text1"/>
          <w:kern w:val="0"/>
          <w:sz w:val="28"/>
          <w14:textFill>
            <w14:solidFill>
              <w14:schemeClr w14:val="tx1"/>
            </w14:solidFill>
          </w14:textFill>
        </w:rPr>
        <w:t>采购违法行为风险知悉确认书</w:t>
      </w:r>
      <w:bookmarkEnd w:id="25"/>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0B44E9E">
      <w:pPr>
        <w:spacing w:line="360" w:lineRule="auto"/>
        <w:rPr>
          <w:rFonts w:hint="eastAsia" w:ascii="仿宋" w:hAnsi="仿宋" w:eastAsia="仿宋" w:cs="仿宋"/>
          <w:b/>
          <w:bCs w:val="0"/>
          <w:sz w:val="36"/>
          <w:lang w:val="en-US" w:eastAsia="zh-CN"/>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w:t>
      </w:r>
      <w:r>
        <w:rPr>
          <w:rFonts w:hint="eastAsia" w:ascii="仿宋" w:hAnsi="仿宋" w:eastAsia="仿宋" w:cs="仿宋"/>
          <w:bCs/>
          <w:snapToGrid w:val="0"/>
          <w:color w:val="000000" w:themeColor="text1"/>
          <w:kern w:val="0"/>
          <w:sz w:val="28"/>
          <w14:textFill>
            <w14:solidFill>
              <w14:schemeClr w14:val="tx1"/>
            </w14:solidFill>
          </w14:textFill>
        </w:rPr>
        <w:t>谈判文件要求的其他内容及</w:t>
      </w:r>
      <w:r>
        <w:rPr>
          <w:rFonts w:hint="eastAsia" w:ascii="仿宋" w:hAnsi="仿宋" w:eastAsia="仿宋" w:cs="仿宋"/>
          <w:bCs/>
          <w:snapToGrid w:val="0"/>
          <w:color w:val="000000" w:themeColor="text1"/>
          <w:kern w:val="0"/>
          <w:sz w:val="28"/>
          <w:lang w:eastAsia="zh-CN"/>
          <w14:textFill>
            <w14:solidFill>
              <w14:schemeClr w14:val="tx1"/>
            </w14:solidFill>
          </w14:textFill>
        </w:rPr>
        <w:t>投标人</w:t>
      </w:r>
      <w:r>
        <w:rPr>
          <w:rFonts w:hint="eastAsia" w:ascii="仿宋" w:hAnsi="仿宋" w:eastAsia="仿宋" w:cs="仿宋"/>
          <w:bCs/>
          <w:snapToGrid w:val="0"/>
          <w:color w:val="000000" w:themeColor="text1"/>
          <w:kern w:val="0"/>
          <w:sz w:val="28"/>
          <w14:textFill>
            <w14:solidFill>
              <w14:schemeClr w14:val="tx1"/>
            </w14:solidFill>
          </w14:textFill>
        </w:rPr>
        <w:t>认为需要加以说明其他内容</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15B41967">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p>
    <w:p w14:paraId="3ADC0534">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rPr>
        <w:t>注：</w:t>
      </w:r>
      <w:r>
        <w:rPr>
          <w:rFonts w:hint="eastAsia" w:ascii="宋体" w:hAnsi="宋体" w:eastAsia="宋体" w:cs="宋体"/>
          <w:bCs/>
          <w:color w:val="FF0000"/>
          <w:kern w:val="0"/>
          <w:sz w:val="18"/>
          <w:szCs w:val="18"/>
          <w:highlight w:val="none"/>
          <w:lang w:val="en-US" w:eastAsia="zh-CN"/>
        </w:rPr>
        <w:t>1.</w:t>
      </w:r>
      <w:r>
        <w:rPr>
          <w:rFonts w:hint="eastAsia" w:ascii="宋体" w:hAnsi="宋体" w:eastAsia="宋体" w:cs="宋体"/>
          <w:bCs/>
          <w:color w:val="FF0000"/>
          <w:kern w:val="0"/>
          <w:sz w:val="18"/>
          <w:szCs w:val="18"/>
          <w:highlight w:val="none"/>
        </w:rPr>
        <w:t>若以上材料未能全面提供以至影响评标结果，投标人自负全责</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若严重缺项</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漏项，</w:t>
      </w:r>
      <w:r>
        <w:rPr>
          <w:rFonts w:hint="eastAsia" w:ascii="宋体" w:hAnsi="宋体" w:cs="宋体"/>
          <w:bCs/>
          <w:color w:val="FF0000"/>
          <w:kern w:val="0"/>
          <w:sz w:val="18"/>
          <w:szCs w:val="18"/>
          <w:highlight w:val="none"/>
          <w:lang w:eastAsia="zh-CN"/>
        </w:rPr>
        <w:t>将导致投标无效</w:t>
      </w:r>
      <w:r>
        <w:rPr>
          <w:rFonts w:hint="eastAsia" w:ascii="宋体" w:hAnsi="宋体" w:eastAsia="宋体" w:cs="宋体"/>
          <w:bCs/>
          <w:color w:val="FF0000"/>
          <w:kern w:val="0"/>
          <w:sz w:val="18"/>
          <w:szCs w:val="18"/>
          <w:highlight w:val="none"/>
        </w:rPr>
        <w:t>。</w:t>
      </w:r>
    </w:p>
    <w:p w14:paraId="7BD9A78F">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rPr>
        <w:t>2.</w:t>
      </w:r>
      <w:r>
        <w:rPr>
          <w:rFonts w:hint="eastAsia" w:ascii="宋体" w:hAnsi="宋体" w:eastAsia="宋体" w:cs="宋体"/>
          <w:bCs/>
          <w:color w:val="FF0000"/>
          <w:kern w:val="0"/>
          <w:sz w:val="18"/>
          <w:szCs w:val="18"/>
          <w:highlight w:val="none"/>
        </w:rPr>
        <w:t>投标</w:t>
      </w:r>
      <w:r>
        <w:rPr>
          <w:rFonts w:hint="eastAsia" w:ascii="宋体" w:hAnsi="宋体" w:eastAsia="宋体" w:cs="宋体"/>
          <w:bCs/>
          <w:color w:val="FF0000"/>
          <w:kern w:val="0"/>
          <w:sz w:val="18"/>
          <w:szCs w:val="18"/>
          <w:highlight w:val="none"/>
          <w:lang w:eastAsia="zh-CN"/>
        </w:rPr>
        <w:t>文件</w:t>
      </w:r>
      <w:r>
        <w:rPr>
          <w:rFonts w:hint="eastAsia" w:ascii="宋体" w:hAnsi="宋体" w:eastAsia="宋体" w:cs="宋体"/>
          <w:bCs/>
          <w:color w:val="FF0000"/>
          <w:kern w:val="0"/>
          <w:sz w:val="18"/>
          <w:szCs w:val="18"/>
          <w:highlight w:val="none"/>
        </w:rPr>
        <w:t>正本</w:t>
      </w:r>
      <w:r>
        <w:rPr>
          <w:rFonts w:hint="eastAsia" w:ascii="宋体" w:hAnsi="宋体" w:eastAsia="宋体" w:cs="宋体"/>
          <w:bCs/>
          <w:color w:val="FF0000"/>
          <w:kern w:val="0"/>
          <w:sz w:val="18"/>
          <w:szCs w:val="18"/>
          <w:highlight w:val="none"/>
          <w:lang w:eastAsia="zh-CN"/>
        </w:rPr>
        <w:t>、副本</w:t>
      </w:r>
      <w:r>
        <w:rPr>
          <w:rFonts w:hint="eastAsia" w:ascii="宋体" w:hAnsi="宋体" w:eastAsia="宋体" w:cs="宋体"/>
          <w:bCs/>
          <w:color w:val="FF0000"/>
          <w:kern w:val="0"/>
          <w:sz w:val="18"/>
          <w:szCs w:val="18"/>
          <w:highlight w:val="none"/>
        </w:rPr>
        <w:t>的每一页都应</w:t>
      </w:r>
      <w:r>
        <w:rPr>
          <w:rFonts w:hint="eastAsia" w:ascii="宋体" w:hAnsi="宋体" w:eastAsia="宋体" w:cs="宋体"/>
          <w:bCs/>
          <w:color w:val="FF0000"/>
          <w:kern w:val="0"/>
          <w:sz w:val="18"/>
          <w:szCs w:val="18"/>
          <w:highlight w:val="none"/>
          <w:lang w:eastAsia="zh-CN"/>
        </w:rPr>
        <w:t>加盖（投标单位）公章，</w:t>
      </w:r>
      <w:r>
        <w:rPr>
          <w:rFonts w:hint="eastAsia" w:ascii="宋体" w:hAnsi="宋体" w:eastAsia="宋体" w:cs="宋体"/>
          <w:bCs/>
          <w:color w:val="FF0000"/>
          <w:kern w:val="0"/>
          <w:sz w:val="18"/>
          <w:szCs w:val="18"/>
          <w:highlight w:val="none"/>
          <w:lang w:val="en-US" w:eastAsia="zh-CN"/>
        </w:rPr>
        <w:t>副本加盖骑缝章。</w:t>
      </w:r>
      <w:r>
        <w:rPr>
          <w:rFonts w:hint="eastAsia" w:ascii="宋体" w:hAnsi="宋体" w:eastAsia="宋体" w:cs="宋体"/>
          <w:bCs/>
          <w:color w:val="FF0000"/>
          <w:kern w:val="0"/>
          <w:sz w:val="18"/>
          <w:szCs w:val="18"/>
          <w:highlight w:val="none"/>
        </w:rPr>
        <w:t>每份投标书须由投标人法人或其授权代表正确签署。</w:t>
      </w:r>
    </w:p>
    <w:p w14:paraId="5F32765A">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bCs/>
          <w:color w:val="FF0000"/>
          <w:kern w:val="0"/>
          <w:sz w:val="18"/>
          <w:szCs w:val="18"/>
          <w:highlight w:val="none"/>
          <w:lang w:val="en-US"/>
        </w:rPr>
        <w:t>3.</w:t>
      </w:r>
      <w:r>
        <w:rPr>
          <w:rFonts w:hint="eastAsia" w:ascii="宋体" w:hAnsi="宋体" w:eastAsia="宋体" w:cs="宋体"/>
          <w:bCs/>
          <w:color w:val="FF0000"/>
          <w:kern w:val="0"/>
          <w:sz w:val="18"/>
          <w:szCs w:val="18"/>
          <w:highlight w:val="none"/>
        </w:rPr>
        <w:t>投标文件请按以上《目录》顺序</w:t>
      </w:r>
      <w:r>
        <w:rPr>
          <w:rFonts w:hint="eastAsia" w:ascii="宋体" w:hAnsi="宋体" w:eastAsia="宋体" w:cs="宋体"/>
          <w:b/>
          <w:bCs w:val="0"/>
          <w:color w:val="FF0000"/>
          <w:kern w:val="0"/>
          <w:sz w:val="18"/>
          <w:szCs w:val="18"/>
          <w:highlight w:val="yellow"/>
        </w:rPr>
        <w:t>装订成册</w:t>
      </w:r>
      <w:r>
        <w:rPr>
          <w:rFonts w:hint="eastAsia" w:ascii="宋体" w:hAnsi="宋体" w:eastAsia="宋体" w:cs="宋体"/>
          <w:bCs/>
          <w:color w:val="FF0000"/>
          <w:kern w:val="0"/>
          <w:sz w:val="18"/>
          <w:szCs w:val="18"/>
          <w:highlight w:val="none"/>
          <w:lang w:eastAsia="zh-CN"/>
        </w:rPr>
        <w:t>，标注页码，</w:t>
      </w:r>
      <w:r>
        <w:rPr>
          <w:rFonts w:hint="eastAsia" w:ascii="宋体" w:hAnsi="宋体" w:eastAsia="宋体" w:cs="宋体"/>
          <w:bCs/>
          <w:color w:val="FF0000"/>
          <w:kern w:val="0"/>
          <w:sz w:val="18"/>
          <w:szCs w:val="18"/>
          <w:highlight w:val="none"/>
          <w:lang w:val="en-US" w:eastAsia="zh-CN"/>
        </w:rPr>
        <w:t>目录页码与对应文本页码须一致。</w:t>
      </w:r>
    </w:p>
    <w:p w14:paraId="14C943EA">
      <w:pPr>
        <w:pStyle w:val="4"/>
        <w:spacing w:before="120" w:after="120"/>
        <w:jc w:val="center"/>
        <w:rPr>
          <w:rFonts w:hint="eastAsia" w:ascii="仿宋" w:hAnsi="仿宋" w:eastAsia="仿宋" w:cs="仿宋"/>
          <w:b/>
          <w:bCs w:val="0"/>
          <w:sz w:val="36"/>
          <w:lang w:val="en-US" w:eastAsia="zh-CN"/>
        </w:rPr>
      </w:pPr>
    </w:p>
    <w:p w14:paraId="2CBE0105">
      <w:pPr>
        <w:pStyle w:val="4"/>
        <w:spacing w:before="120" w:after="120"/>
        <w:jc w:val="center"/>
        <w:rPr>
          <w:rFonts w:hint="eastAsia" w:ascii="仿宋" w:hAnsi="仿宋" w:eastAsia="仿宋" w:cs="仿宋"/>
          <w:b/>
          <w:bCs w:val="0"/>
          <w:sz w:val="36"/>
          <w:lang w:val="en-US" w:eastAsia="zh-CN"/>
        </w:rPr>
      </w:pPr>
    </w:p>
    <w:p w14:paraId="236B37CE">
      <w:pPr>
        <w:pStyle w:val="4"/>
        <w:spacing w:before="120" w:after="120"/>
        <w:jc w:val="center"/>
        <w:rPr>
          <w:rFonts w:hint="eastAsia" w:ascii="仿宋" w:hAnsi="仿宋" w:eastAsia="仿宋" w:cs="仿宋"/>
          <w:b/>
          <w:bCs w:val="0"/>
          <w:sz w:val="36"/>
          <w:lang w:val="en-US" w:eastAsia="zh-CN"/>
        </w:rPr>
      </w:pPr>
    </w:p>
    <w:p w14:paraId="077D47D9">
      <w:pPr>
        <w:pStyle w:val="4"/>
        <w:spacing w:before="120" w:after="120"/>
        <w:jc w:val="center"/>
        <w:rPr>
          <w:rFonts w:hint="eastAsia" w:ascii="仿宋" w:hAnsi="仿宋" w:eastAsia="仿宋" w:cs="仿宋"/>
          <w:b/>
          <w:bCs w:val="0"/>
          <w:sz w:val="36"/>
          <w:lang w:val="en-US" w:eastAsia="zh-CN"/>
        </w:rPr>
      </w:pPr>
    </w:p>
    <w:p w14:paraId="5C584FA5">
      <w:pPr>
        <w:pStyle w:val="5"/>
        <w:pageBreakBefore/>
        <w:spacing w:before="0" w:line="377" w:lineRule="auto"/>
        <w:jc w:val="center"/>
        <w:rPr>
          <w:rFonts w:hint="eastAsia" w:ascii="仿宋" w:hAnsi="仿宋" w:eastAsia="仿宋" w:cs="仿宋"/>
          <w:color w:val="FF0000"/>
          <w:sz w:val="28"/>
          <w:szCs w:val="28"/>
        </w:rPr>
      </w:pPr>
      <w:r>
        <w:rPr>
          <w:rFonts w:hint="eastAsia" w:ascii="仿宋" w:hAnsi="仿宋" w:eastAsia="仿宋" w:cs="仿宋"/>
          <w:b/>
          <w:bCs w:val="0"/>
          <w:sz w:val="36"/>
          <w:lang w:val="en-US" w:eastAsia="zh-CN"/>
        </w:rPr>
        <w:t>一、投标响应函</w:t>
      </w:r>
    </w:p>
    <w:p w14:paraId="7F9F4DE5">
      <w:pPr>
        <w:adjustRightInd w:val="0"/>
        <w:snapToGrid w:val="0"/>
        <w:spacing w:line="276" w:lineRule="auto"/>
        <w:rPr>
          <w:rFonts w:hint="eastAsia" w:ascii="仿宋" w:hAnsi="仿宋" w:eastAsia="仿宋" w:cs="仿宋"/>
          <w:b/>
          <w:bCs/>
          <w:sz w:val="28"/>
          <w:szCs w:val="28"/>
        </w:rPr>
      </w:pPr>
      <w:r>
        <w:rPr>
          <w:rFonts w:hint="eastAsia" w:ascii="仿宋" w:hAnsi="仿宋" w:eastAsia="仿宋" w:cs="仿宋"/>
          <w:b/>
          <w:bCs/>
          <w:sz w:val="28"/>
          <w:szCs w:val="28"/>
        </w:rPr>
        <w:t>致：深圳市福田区第二人民医院</w:t>
      </w:r>
    </w:p>
    <w:p w14:paraId="2ADC902E">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依据贵方组织采购的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)项目，我方代表（姓名）</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经正式授权并代表（投标人名称）</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提交下述</w:t>
      </w:r>
      <w:r>
        <w:rPr>
          <w:rFonts w:hint="eastAsia" w:ascii="仿宋" w:hAnsi="仿宋" w:eastAsia="仿宋" w:cs="仿宋"/>
          <w:color w:val="000000" w:themeColor="text1"/>
          <w:sz w:val="24"/>
          <w:lang w:val="en-US" w:eastAsia="zh-CN"/>
          <w14:textFill>
            <w14:solidFill>
              <w14:schemeClr w14:val="tx1"/>
            </w14:solidFill>
          </w14:textFill>
        </w:rPr>
        <w:t>投标（响应）</w:t>
      </w:r>
      <w:r>
        <w:rPr>
          <w:rFonts w:hint="eastAsia" w:ascii="仿宋" w:hAnsi="仿宋" w:eastAsia="仿宋" w:cs="仿宋"/>
          <w:color w:val="000000" w:themeColor="text1"/>
          <w:sz w:val="24"/>
          <w14:textFill>
            <w14:solidFill>
              <w14:schemeClr w14:val="tx1"/>
            </w14:solidFill>
          </w14:textFill>
        </w:rPr>
        <w:t>文件正本</w:t>
      </w:r>
      <w:r>
        <w:rPr>
          <w:rFonts w:hint="eastAsia" w:ascii="仿宋" w:hAnsi="仿宋" w:eastAsia="仿宋" w:cs="仿宋"/>
          <w:color w:val="000000" w:themeColor="text1"/>
          <w:sz w:val="24"/>
          <w:u w:val="single"/>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份，副本</w:t>
      </w:r>
      <w:r>
        <w:rPr>
          <w:rFonts w:hint="eastAsia" w:ascii="仿宋" w:hAnsi="仿宋" w:eastAsia="仿宋" w:cs="仿宋"/>
          <w:color w:val="000000" w:themeColor="text1"/>
          <w:sz w:val="24"/>
          <w:u w:val="single"/>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份。</w:t>
      </w:r>
    </w:p>
    <w:p w14:paraId="5B19D0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自查表；</w:t>
      </w:r>
    </w:p>
    <w:p w14:paraId="19A517A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资格性</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符合性</w:t>
      </w:r>
      <w:r>
        <w:rPr>
          <w:rFonts w:hint="eastAsia" w:ascii="仿宋" w:hAnsi="仿宋" w:eastAsia="仿宋" w:cs="仿宋"/>
          <w:color w:val="000000" w:themeColor="text1"/>
          <w:sz w:val="24"/>
          <w14:textFill>
            <w14:solidFill>
              <w14:schemeClr w14:val="tx1"/>
            </w14:solidFill>
          </w14:textFill>
        </w:rPr>
        <w:t>文件；</w:t>
      </w:r>
    </w:p>
    <w:p w14:paraId="56E7460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价格部分；</w:t>
      </w:r>
    </w:p>
    <w:p w14:paraId="54BF93BB">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 技术</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部分；</w:t>
      </w:r>
    </w:p>
    <w:p w14:paraId="3115F9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 商务部分；</w:t>
      </w:r>
    </w:p>
    <w:p w14:paraId="43E0868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6．声明、投标人诚信承诺函及其他相关承诺函；</w:t>
      </w:r>
    </w:p>
    <w:p w14:paraId="7201643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在此，我方声明如下：</w:t>
      </w:r>
    </w:p>
    <w:p w14:paraId="4F63C5BA">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1.同意并接受招标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文件的各项要求，遵守招标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文件中的各项规定，按招标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文件的要求提供报价。</w:t>
      </w:r>
    </w:p>
    <w:p w14:paraId="42C67515">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2.投标有效期为递交投标/响应文件之日起90天，中标人投标有效期延至合同验收之日。</w:t>
      </w:r>
    </w:p>
    <w:p w14:paraId="37D348C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3.我方已经详细地阅读了全部招标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文件及其附件，包括澄清及参考文件(如果有的话)。我方已完全清晰理解招标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文件的要求，不存在任何含糊不清和误解之处，同意放弃对这些文件所提出的异议和质疑的权利。</w:t>
      </w:r>
    </w:p>
    <w:p w14:paraId="40E950DF">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我</w:t>
      </w:r>
      <w:r>
        <w:rPr>
          <w:rFonts w:hint="eastAsia" w:ascii="仿宋" w:hAnsi="仿宋" w:eastAsia="仿宋" w:cs="仿宋"/>
          <w:color w:val="000000" w:themeColor="text1"/>
          <w:sz w:val="24"/>
          <w:lang w:val="en-US" w:eastAsia="zh-CN"/>
          <w14:textFill>
            <w14:solidFill>
              <w14:schemeClr w14:val="tx1"/>
            </w14:solidFill>
          </w14:textFill>
        </w:rPr>
        <w:t>方</w:t>
      </w:r>
      <w:r>
        <w:rPr>
          <w:rFonts w:hint="eastAsia" w:ascii="仿宋" w:hAnsi="仿宋" w:eastAsia="仿宋" w:cs="仿宋"/>
          <w:color w:val="000000" w:themeColor="text1"/>
          <w:sz w:val="24"/>
          <w14:textFill>
            <w14:solidFill>
              <w14:schemeClr w14:val="tx1"/>
            </w14:solidFill>
          </w14:textFill>
        </w:rPr>
        <w:t>承诺按谈判文件要求提供本国产品/服务。</w:t>
      </w:r>
    </w:p>
    <w:p w14:paraId="4842F4A3">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.我方已毫无保留地向贵方提供一切所需的证明材料。</w:t>
      </w:r>
    </w:p>
    <w:p w14:paraId="0DDCEF4C">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.我方承诺在本次投标响应中提供的一切文件，无论是原件还是复印件均为真实和准确的，绝无任何虚假、伪造和夸大的成份，否则，愿承担相应的后果和法律责任。</w:t>
      </w:r>
    </w:p>
    <w:p w14:paraId="5932DF4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.我方完全服从和尊重评委会所作的评定结果，同时清楚理解到报价最低并非意味着必定获得中标资格。</w:t>
      </w:r>
    </w:p>
    <w:p w14:paraId="04A2B344">
      <w:pPr>
        <w:ind w:firstLine="480" w:firstLineChars="200"/>
        <w:rPr>
          <w:rFonts w:hint="eastAsia"/>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如我方在开标后规定的投标有效期内撤回投标或在中标后放弃中标，愿意接受主管部门的处理处罚。</w:t>
      </w:r>
    </w:p>
    <w:p w14:paraId="0B3F566F">
      <w:pPr>
        <w:adjustRightInd w:val="0"/>
        <w:snapToGrid w:val="0"/>
        <w:spacing w:line="276" w:lineRule="auto"/>
        <w:rPr>
          <w:rFonts w:hint="eastAsia" w:ascii="仿宋" w:hAnsi="仿宋" w:eastAsia="仿宋" w:cs="仿宋"/>
          <w:sz w:val="24"/>
          <w:szCs w:val="24"/>
          <w:lang w:val="en-US" w:eastAsia="zh-CN"/>
        </w:rPr>
      </w:pPr>
    </w:p>
    <w:p w14:paraId="082D0EDB">
      <w:pPr>
        <w:adjustRightInd w:val="0"/>
        <w:snapToGrid w:val="0"/>
        <w:spacing w:line="276" w:lineRule="auto"/>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投标单位：</w:t>
      </w:r>
      <w:r>
        <w:rPr>
          <w:rFonts w:hint="eastAsia" w:ascii="仿宋" w:hAnsi="仿宋" w:eastAsia="仿宋" w:cs="仿宋"/>
          <w:sz w:val="24"/>
          <w:szCs w:val="24"/>
          <w:u w:val="single"/>
          <w:lang w:val="en-US" w:eastAsia="zh-CN"/>
        </w:rPr>
        <w:t xml:space="preserve">              </w:t>
      </w:r>
    </w:p>
    <w:p w14:paraId="685DBDA2">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63F1B7B1">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授权委托人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5E2945D1">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F298E92">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lang w:val="en-US" w:eastAsia="zh-CN"/>
        </w:rPr>
        <w:t>联系</w:t>
      </w:r>
      <w:r>
        <w:rPr>
          <w:rFonts w:hint="eastAsia" w:ascii="仿宋" w:hAnsi="仿宋" w:eastAsia="仿宋" w:cs="仿宋"/>
          <w:sz w:val="24"/>
          <w:szCs w:val="24"/>
        </w:rPr>
        <w:t xml:space="preserve">电话：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2F49335">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电子邮箱：</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5F47EC7B">
      <w:pPr>
        <w:keepNext w:val="0"/>
        <w:keepLines w:val="0"/>
        <w:pageBreakBefore w:val="0"/>
        <w:widowControl w:val="0"/>
        <w:kinsoku/>
        <w:wordWrap/>
        <w:overflowPunct/>
        <w:topLinePunct w:val="0"/>
        <w:autoSpaceDE/>
        <w:autoSpaceDN/>
        <w:bidi w:val="0"/>
        <w:adjustRightInd/>
        <w:snapToGrid/>
        <w:spacing w:line="240" w:lineRule="exact"/>
        <w:ind w:firstLine="1200" w:firstLineChars="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D13EE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28E2322A">
      <w:pPr>
        <w:keepNext w:val="0"/>
        <w:keepLines w:val="0"/>
        <w:pageBreakBefore w:val="0"/>
        <w:widowControl w:val="0"/>
        <w:kinsoku/>
        <w:wordWrap/>
        <w:overflowPunct/>
        <w:topLinePunct w:val="0"/>
        <w:autoSpaceDE/>
        <w:autoSpaceDN/>
        <w:bidi w:val="0"/>
        <w:adjustRightInd/>
        <w:snapToGrid/>
        <w:spacing w:line="240" w:lineRule="exact"/>
        <w:ind w:firstLine="3600" w:firstLineChars="1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270061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1322D1E9">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6A71C083">
      <w:pPr>
        <w:rPr>
          <w:rFonts w:ascii="宋体" w:hAnsi="宋体" w:cs="宋体"/>
          <w:color w:val="auto"/>
          <w:highlight w:val="yellow"/>
        </w:rPr>
      </w:pPr>
      <w:r>
        <w:rPr>
          <w:rFonts w:hint="eastAsia" w:ascii="宋体" w:hAnsi="宋体" w:cs="宋体"/>
          <w:color w:val="auto"/>
          <w:highlight w:val="yellow"/>
        </w:rPr>
        <w:t>备注：响应供应商必须根据上述</w:t>
      </w:r>
      <w:r>
        <w:rPr>
          <w:rFonts w:hint="eastAsia" w:ascii="宋体" w:hAnsi="宋体" w:cs="宋体"/>
          <w:color w:val="auto"/>
          <w:highlight w:val="yellow"/>
          <w:lang w:val="en-US" w:eastAsia="zh-CN"/>
        </w:rPr>
        <w:t>响应</w:t>
      </w:r>
      <w:r>
        <w:rPr>
          <w:rFonts w:hint="eastAsia" w:ascii="宋体" w:hAnsi="宋体" w:cs="宋体"/>
          <w:color w:val="auto"/>
          <w:highlight w:val="yellow"/>
        </w:rPr>
        <w:t>函格式内容填写，否则作投标无效处理。</w:t>
      </w:r>
    </w:p>
    <w:p w14:paraId="491A687C">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p>
    <w:p w14:paraId="1AAB81D9">
      <w:pPr>
        <w:spacing w:line="360" w:lineRule="auto"/>
        <w:jc w:val="center"/>
        <w:rPr>
          <w:rFonts w:hint="eastAsia" w:ascii="仿宋" w:hAnsi="仿宋" w:eastAsia="仿宋" w:cs="仿宋"/>
          <w:b/>
          <w:bCs w:val="0"/>
          <w:sz w:val="36"/>
          <w:highlight w:val="none"/>
          <w:lang w:val="en-US" w:eastAsia="zh-CN"/>
        </w:rPr>
      </w:pPr>
      <w:r>
        <w:rPr>
          <w:rFonts w:hint="eastAsia" w:ascii="仿宋" w:hAnsi="仿宋" w:eastAsia="仿宋" w:cs="仿宋"/>
          <w:b/>
          <w:bCs w:val="0"/>
          <w:sz w:val="36"/>
          <w:highlight w:val="none"/>
          <w:lang w:val="en-US" w:eastAsia="zh-CN"/>
        </w:rPr>
        <w:t>二、自查表</w:t>
      </w:r>
    </w:p>
    <w:tbl>
      <w:tblPr>
        <w:tblStyle w:val="44"/>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506"/>
        <w:gridCol w:w="1241"/>
        <w:gridCol w:w="2008"/>
      </w:tblGrid>
      <w:tr w14:paraId="4CD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10440" w:type="dxa"/>
            <w:gridSpan w:val="4"/>
            <w:vAlign w:val="center"/>
          </w:tcPr>
          <w:p w14:paraId="22C42154">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lang w:val="en-US" w:eastAsia="zh-CN"/>
              </w:rPr>
            </w:pPr>
            <w:r>
              <w:rPr>
                <w:rFonts w:hint="eastAsia" w:asciiTheme="majorEastAsia" w:hAnsiTheme="majorEastAsia" w:eastAsiaTheme="majorEastAsia" w:cstheme="majorEastAsia"/>
                <w:b/>
                <w:bCs/>
                <w:sz w:val="21"/>
                <w:szCs w:val="21"/>
                <w:highlight w:val="none"/>
                <w:lang w:val="en-US" w:eastAsia="zh-CN"/>
              </w:rPr>
              <w:t>资格性审查表</w:t>
            </w:r>
          </w:p>
        </w:tc>
      </w:tr>
      <w:tr w14:paraId="3EC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85" w:type="dxa"/>
            <w:vAlign w:val="center"/>
          </w:tcPr>
          <w:p w14:paraId="5B0A3358">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lang w:eastAsia="zh-CN"/>
              </w:rPr>
            </w:pPr>
            <w:r>
              <w:rPr>
                <w:rFonts w:hint="eastAsia" w:asciiTheme="majorEastAsia" w:hAnsiTheme="majorEastAsia" w:eastAsiaTheme="majorEastAsia" w:cstheme="majorEastAsia"/>
                <w:b/>
                <w:bCs/>
                <w:sz w:val="21"/>
                <w:szCs w:val="21"/>
                <w:highlight w:val="none"/>
                <w:lang w:val="en-US" w:eastAsia="zh-CN"/>
              </w:rPr>
              <w:t>序号</w:t>
            </w:r>
          </w:p>
        </w:tc>
        <w:tc>
          <w:tcPr>
            <w:tcW w:w="6506" w:type="dxa"/>
            <w:vAlign w:val="center"/>
          </w:tcPr>
          <w:p w14:paraId="518E8064">
            <w:pPr>
              <w:keepNext w:val="0"/>
              <w:keepLines w:val="0"/>
              <w:suppressLineNumbers w:val="0"/>
              <w:spacing w:before="0" w:beforeAutospacing="0" w:after="0" w:afterAutospacing="0"/>
              <w:ind w:left="0" w:right="0" w:firstLine="19" w:firstLineChars="9"/>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lang w:val="en-US" w:eastAsia="zh-CN"/>
              </w:rPr>
              <w:t>谈判</w:t>
            </w:r>
            <w:r>
              <w:rPr>
                <w:rFonts w:hint="eastAsia" w:asciiTheme="majorEastAsia" w:hAnsiTheme="majorEastAsia" w:eastAsiaTheme="majorEastAsia" w:cstheme="majorEastAsia"/>
                <w:b/>
                <w:bCs/>
                <w:sz w:val="21"/>
                <w:szCs w:val="21"/>
                <w:highlight w:val="none"/>
              </w:rPr>
              <w:t>文件要求</w:t>
            </w:r>
          </w:p>
        </w:tc>
        <w:tc>
          <w:tcPr>
            <w:tcW w:w="1241" w:type="dxa"/>
            <w:vAlign w:val="center"/>
          </w:tcPr>
          <w:p w14:paraId="6A55FF14">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自查结论</w:t>
            </w:r>
          </w:p>
        </w:tc>
        <w:tc>
          <w:tcPr>
            <w:tcW w:w="2008" w:type="dxa"/>
            <w:vAlign w:val="center"/>
          </w:tcPr>
          <w:p w14:paraId="20093C31">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证明资料</w:t>
            </w:r>
          </w:p>
        </w:tc>
      </w:tr>
      <w:tr w14:paraId="69D5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20F297D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vAlign w:val="center"/>
          </w:tcPr>
          <w:p w14:paraId="1D065B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具备资质要求，或提交相应资格证明材料（详见采购公告或采购邀请函中的资质要求，其中未列示的资质要求不得导致投标无效）</w:t>
            </w:r>
          </w:p>
        </w:tc>
        <w:tc>
          <w:tcPr>
            <w:tcW w:w="1241" w:type="dxa"/>
            <w:vAlign w:val="center"/>
          </w:tcPr>
          <w:p w14:paraId="7B62743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F1FE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416376B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520C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62B9D0C1">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vAlign w:val="center"/>
          </w:tcPr>
          <w:p w14:paraId="0BD1BBB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按采购公告（或采购邀请函）要求完成投标报名的</w:t>
            </w:r>
          </w:p>
        </w:tc>
        <w:tc>
          <w:tcPr>
            <w:tcW w:w="1241" w:type="dxa"/>
            <w:vAlign w:val="center"/>
          </w:tcPr>
          <w:p w14:paraId="2A43A78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5950F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00B095F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0F52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440" w:type="dxa"/>
            <w:gridSpan w:val="4"/>
            <w:vAlign w:val="center"/>
          </w:tcPr>
          <w:p w14:paraId="1D60F15D">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sz w:val="21"/>
                <w:szCs w:val="21"/>
                <w:highlight w:val="none"/>
                <w:lang w:val="en-US" w:eastAsia="zh-CN"/>
              </w:rPr>
              <w:t>符合性审查表</w:t>
            </w:r>
          </w:p>
        </w:tc>
      </w:tr>
      <w:tr w14:paraId="271A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20F4867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shd w:val="clear" w:color="auto" w:fill="auto"/>
            <w:vAlign w:val="center"/>
          </w:tcPr>
          <w:p w14:paraId="17B2230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将一个包中的内容拆开投标</w:t>
            </w:r>
          </w:p>
        </w:tc>
        <w:tc>
          <w:tcPr>
            <w:tcW w:w="1241" w:type="dxa"/>
            <w:vAlign w:val="center"/>
          </w:tcPr>
          <w:p w14:paraId="7E56A54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4D2718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4EB4AC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C0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DA7040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shd w:val="clear" w:color="auto" w:fill="auto"/>
            <w:vAlign w:val="center"/>
          </w:tcPr>
          <w:p w14:paraId="4886BD6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投标</w:t>
            </w:r>
            <w:r>
              <w:rPr>
                <w:rFonts w:hint="eastAsia" w:asciiTheme="majorEastAsia" w:hAnsiTheme="majorEastAsia" w:eastAsiaTheme="majorEastAsia" w:cstheme="majorEastAsia"/>
                <w:sz w:val="21"/>
                <w:szCs w:val="21"/>
              </w:rPr>
              <w:t>文件按规定密封、签字、盖章</w:t>
            </w:r>
          </w:p>
        </w:tc>
        <w:tc>
          <w:tcPr>
            <w:tcW w:w="1241" w:type="dxa"/>
            <w:vAlign w:val="center"/>
          </w:tcPr>
          <w:p w14:paraId="3F4FF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65DB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2F46C1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78B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E624A37">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3</w:t>
            </w:r>
          </w:p>
        </w:tc>
        <w:tc>
          <w:tcPr>
            <w:tcW w:w="6506" w:type="dxa"/>
            <w:shd w:val="clear" w:color="auto" w:fill="auto"/>
            <w:vAlign w:val="center"/>
          </w:tcPr>
          <w:p w14:paraId="087DE8B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谈判文件未规定允许有替代方案时，对同一项目投标时，</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提供两套或两套以上的投标方案</w:t>
            </w:r>
          </w:p>
        </w:tc>
        <w:tc>
          <w:tcPr>
            <w:tcW w:w="1241" w:type="dxa"/>
            <w:vAlign w:val="center"/>
          </w:tcPr>
          <w:p w14:paraId="6DB4E40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AFC32D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580B10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91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357FC4D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4</w:t>
            </w:r>
          </w:p>
        </w:tc>
        <w:tc>
          <w:tcPr>
            <w:tcW w:w="6506" w:type="dxa"/>
            <w:shd w:val="clear" w:color="auto" w:fill="auto"/>
            <w:vAlign w:val="center"/>
          </w:tcPr>
          <w:p w14:paraId="209FB5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按照</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w:t>
            </w:r>
            <w:r>
              <w:rPr>
                <w:rFonts w:hint="eastAsia" w:asciiTheme="majorEastAsia" w:hAnsiTheme="majorEastAsia" w:eastAsiaTheme="majorEastAsia" w:cstheme="majorEastAsia"/>
                <w:sz w:val="21"/>
                <w:szCs w:val="21"/>
                <w:lang w:val="en-US" w:eastAsia="zh-CN"/>
              </w:rPr>
              <w:t>件要求提供</w:t>
            </w:r>
            <w:r>
              <w:rPr>
                <w:rFonts w:hint="eastAsia" w:asciiTheme="majorEastAsia" w:hAnsiTheme="majorEastAsia" w:eastAsiaTheme="majorEastAsia" w:cstheme="majorEastAsia"/>
                <w:sz w:val="21"/>
                <w:szCs w:val="21"/>
              </w:rPr>
              <w:t>投标函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法定代表人证明书、或提供有效的法定代表人授权委托书；</w:t>
            </w:r>
          </w:p>
        </w:tc>
        <w:tc>
          <w:tcPr>
            <w:tcW w:w="1241" w:type="dxa"/>
            <w:vAlign w:val="center"/>
          </w:tcPr>
          <w:p w14:paraId="57EED7D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2417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02E4F27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D9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1433D64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5</w:t>
            </w:r>
          </w:p>
        </w:tc>
        <w:tc>
          <w:tcPr>
            <w:tcW w:w="6506" w:type="dxa"/>
            <w:shd w:val="clear" w:color="auto" w:fill="auto"/>
            <w:vAlign w:val="center"/>
          </w:tcPr>
          <w:p w14:paraId="646FCC5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分项报价不得高于最高限价，投标总价不得高于预算，或按照谈判文件的报价要求进行报价的</w:t>
            </w:r>
          </w:p>
        </w:tc>
        <w:tc>
          <w:tcPr>
            <w:tcW w:w="1241" w:type="dxa"/>
            <w:vAlign w:val="center"/>
          </w:tcPr>
          <w:p w14:paraId="1008D99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BE0478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1068D5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378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85" w:type="dxa"/>
            <w:shd w:val="clear" w:color="auto" w:fill="auto"/>
            <w:vAlign w:val="center"/>
          </w:tcPr>
          <w:p w14:paraId="09BDB2D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6</w:t>
            </w:r>
          </w:p>
        </w:tc>
        <w:tc>
          <w:tcPr>
            <w:tcW w:w="6506" w:type="dxa"/>
            <w:shd w:val="clear" w:color="auto" w:fill="auto"/>
            <w:vAlign w:val="center"/>
          </w:tcPr>
          <w:p w14:paraId="7B9D0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1241" w:type="dxa"/>
            <w:vAlign w:val="center"/>
          </w:tcPr>
          <w:p w14:paraId="3B1E8D4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662A0D2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56624B0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20A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4CE8C22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7</w:t>
            </w:r>
          </w:p>
        </w:tc>
        <w:tc>
          <w:tcPr>
            <w:tcW w:w="6506" w:type="dxa"/>
            <w:shd w:val="clear" w:color="auto" w:fill="auto"/>
            <w:vAlign w:val="center"/>
          </w:tcPr>
          <w:p w14:paraId="12A31D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采购标的/服务清单/报价等任意一类</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出现有缺漏项或响应不全；</w:t>
            </w:r>
          </w:p>
        </w:tc>
        <w:tc>
          <w:tcPr>
            <w:tcW w:w="1241" w:type="dxa"/>
            <w:vAlign w:val="center"/>
          </w:tcPr>
          <w:p w14:paraId="03B3DC6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459E4A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2CC3F91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708D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5" w:type="dxa"/>
            <w:shd w:val="clear" w:color="auto" w:fill="auto"/>
            <w:vAlign w:val="center"/>
          </w:tcPr>
          <w:p w14:paraId="263AAD8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8</w:t>
            </w:r>
          </w:p>
        </w:tc>
        <w:tc>
          <w:tcPr>
            <w:tcW w:w="6506" w:type="dxa"/>
            <w:shd w:val="clear" w:color="auto" w:fill="auto"/>
            <w:vAlign w:val="center"/>
          </w:tcPr>
          <w:p w14:paraId="0025FCF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所投货物、服务在技术、商务等方面实质性满足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文件要求的（是否实质性满足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文件要求，由评审委员会根据《实质性条款响应情况表》做出评判）</w:t>
            </w:r>
          </w:p>
        </w:tc>
        <w:tc>
          <w:tcPr>
            <w:tcW w:w="1241" w:type="dxa"/>
            <w:vAlign w:val="center"/>
          </w:tcPr>
          <w:p w14:paraId="783F69C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15599D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65C881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5E2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79655EDC">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9</w:t>
            </w:r>
          </w:p>
        </w:tc>
        <w:tc>
          <w:tcPr>
            <w:tcW w:w="6506" w:type="dxa"/>
            <w:shd w:val="clear" w:color="auto" w:fill="auto"/>
            <w:vAlign w:val="center"/>
          </w:tcPr>
          <w:p w14:paraId="2EB479B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投标文件不得附有采购人或采购需求不能接受的条件</w:t>
            </w:r>
          </w:p>
        </w:tc>
        <w:tc>
          <w:tcPr>
            <w:tcW w:w="1241" w:type="dxa"/>
            <w:vAlign w:val="center"/>
          </w:tcPr>
          <w:p w14:paraId="42ADF54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3ED9BD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8EFE6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3E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5" w:type="dxa"/>
            <w:shd w:val="clear" w:color="auto" w:fill="auto"/>
            <w:vAlign w:val="center"/>
          </w:tcPr>
          <w:p w14:paraId="1025FC9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0</w:t>
            </w:r>
          </w:p>
        </w:tc>
        <w:tc>
          <w:tcPr>
            <w:tcW w:w="6506" w:type="dxa"/>
            <w:shd w:val="clear" w:color="auto" w:fill="auto"/>
            <w:vAlign w:val="center"/>
          </w:tcPr>
          <w:p w14:paraId="4C1C6E0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法律法规规定的其他情形</w:t>
            </w:r>
          </w:p>
        </w:tc>
        <w:tc>
          <w:tcPr>
            <w:tcW w:w="1241" w:type="dxa"/>
            <w:vAlign w:val="center"/>
          </w:tcPr>
          <w:p w14:paraId="5829C6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9DD0B4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397BA38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bl>
    <w:p w14:paraId="39FB7727">
      <w:pPr>
        <w:adjustRightInd w:val="0"/>
        <w:snapToGrid w:val="0"/>
        <w:spacing w:line="360" w:lineRule="auto"/>
        <w:ind w:left="-1079" w:leftChars="-514" w:firstLine="39" w:firstLineChars="22"/>
        <w:jc w:val="left"/>
        <w:outlineLvl w:val="9"/>
        <w:rPr>
          <w:rStyle w:val="47"/>
          <w:rFonts w:hint="eastAsia" w:ascii="Times New Roman" w:hAnsi="Times New Roman" w:eastAsia="宋体" w:cs="Times New Roman"/>
          <w:b w:val="0"/>
          <w:bCs w:val="0"/>
          <w:color w:val="FF0000"/>
          <w:sz w:val="18"/>
          <w:szCs w:val="18"/>
        </w:rPr>
      </w:pPr>
      <w:r>
        <w:rPr>
          <w:rStyle w:val="47"/>
          <w:rFonts w:hint="eastAsia" w:ascii="Times New Roman" w:hAnsi="Times New Roman" w:eastAsia="宋体" w:cs="Times New Roman"/>
          <w:b w:val="0"/>
          <w:bCs w:val="0"/>
          <w:color w:val="FF0000"/>
          <w:sz w:val="18"/>
          <w:szCs w:val="18"/>
        </w:rPr>
        <w:t>说明：</w:t>
      </w:r>
      <w:r>
        <w:rPr>
          <w:rStyle w:val="47"/>
          <w:rFonts w:hint="eastAsia" w:ascii="Times New Roman" w:hAnsi="Times New Roman" w:eastAsia="宋体" w:cs="Times New Roman"/>
          <w:b w:val="0"/>
          <w:bCs w:val="0"/>
          <w:color w:val="FF0000"/>
          <w:sz w:val="18"/>
          <w:szCs w:val="18"/>
          <w:lang w:val="en-US" w:eastAsia="zh-CN"/>
        </w:rPr>
        <w:t>请在</w:t>
      </w:r>
      <w:r>
        <w:rPr>
          <w:rStyle w:val="47"/>
          <w:rFonts w:ascii="Times New Roman" w:hAnsi="Times New Roman" w:eastAsia="宋体" w:cs="Times New Roman"/>
          <w:b w:val="0"/>
          <w:bCs w:val="0"/>
          <w:color w:val="FF0000"/>
          <w:sz w:val="18"/>
          <w:szCs w:val="18"/>
        </w:rPr>
        <w:t>自查结论</w:t>
      </w:r>
      <w:r>
        <w:rPr>
          <w:rStyle w:val="47"/>
          <w:rFonts w:hint="eastAsia" w:ascii="Times New Roman" w:hAnsi="Times New Roman" w:eastAsia="宋体" w:cs="Times New Roman"/>
          <w:b w:val="0"/>
          <w:bCs w:val="0"/>
          <w:color w:val="FF0000"/>
          <w:sz w:val="18"/>
          <w:szCs w:val="18"/>
        </w:rPr>
        <w:t>表格中“</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rPr>
        <w:t>”</w:t>
      </w:r>
      <w:r>
        <w:rPr>
          <w:rStyle w:val="47"/>
          <w:rFonts w:hint="eastAsia" w:ascii="Times New Roman" w:hAnsi="Times New Roman" w:eastAsia="宋体" w:cs="Times New Roman"/>
          <w:b w:val="0"/>
          <w:bCs w:val="0"/>
          <w:color w:val="FF0000"/>
          <w:sz w:val="18"/>
          <w:szCs w:val="18"/>
          <w:lang w:eastAsia="zh-CN"/>
        </w:rPr>
        <w:t>或“不</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lang w:eastAsia="zh-CN"/>
        </w:rPr>
        <w:t>”中：☑</w:t>
      </w:r>
      <w:r>
        <w:rPr>
          <w:rStyle w:val="47"/>
          <w:rFonts w:hint="eastAsia" w:ascii="Times New Roman" w:hAnsi="Times New Roman" w:eastAsia="宋体" w:cs="Times New Roman"/>
          <w:b w:val="0"/>
          <w:bCs w:val="0"/>
          <w:color w:val="FF0000"/>
          <w:sz w:val="18"/>
          <w:szCs w:val="18"/>
          <w:lang w:val="en-US" w:eastAsia="zh-CN"/>
        </w:rPr>
        <w:t>,</w:t>
      </w:r>
      <w:r>
        <w:rPr>
          <w:rStyle w:val="47"/>
          <w:rFonts w:hint="eastAsia" w:ascii="Times New Roman" w:hAnsi="Times New Roman" w:eastAsia="宋体" w:cs="Times New Roman"/>
          <w:b w:val="0"/>
          <w:bCs w:val="0"/>
          <w:color w:val="FF0000"/>
          <w:sz w:val="18"/>
          <w:szCs w:val="18"/>
        </w:rPr>
        <w:t>投标人必须严格按照《</w:t>
      </w:r>
      <w:r>
        <w:rPr>
          <w:rStyle w:val="47"/>
          <w:rFonts w:hint="eastAsia" w:ascii="Times New Roman" w:hAnsi="Times New Roman" w:eastAsia="宋体" w:cs="Times New Roman"/>
          <w:b w:val="0"/>
          <w:bCs w:val="0"/>
          <w:color w:val="FF0000"/>
          <w:sz w:val="18"/>
          <w:szCs w:val="18"/>
          <w:lang w:val="en-US" w:eastAsia="zh-CN"/>
        </w:rPr>
        <w:t>资格性、符合性自查表》</w:t>
      </w:r>
      <w:r>
        <w:rPr>
          <w:rStyle w:val="47"/>
          <w:rFonts w:hint="eastAsia" w:ascii="Times New Roman" w:hAnsi="Times New Roman" w:eastAsia="宋体" w:cs="Times New Roman"/>
          <w:b w:val="0"/>
          <w:bCs w:val="0"/>
          <w:color w:val="FF0000"/>
          <w:sz w:val="18"/>
          <w:szCs w:val="18"/>
        </w:rPr>
        <w:t>的评审内容的要求如实提供证明材料并应加盖投标人公章,对缺漏或不</w:t>
      </w:r>
      <w:r>
        <w:rPr>
          <w:rStyle w:val="47"/>
          <w:rFonts w:hint="eastAsia" w:ascii="Times New Roman" w:hAnsi="Times New Roman" w:eastAsia="宋体" w:cs="Times New Roman"/>
          <w:b w:val="0"/>
          <w:bCs w:val="0"/>
          <w:color w:val="FF0000"/>
          <w:sz w:val="18"/>
          <w:szCs w:val="18"/>
          <w:lang w:val="en-US" w:eastAsia="zh-CN"/>
        </w:rPr>
        <w:t>符合</w:t>
      </w:r>
      <w:r>
        <w:rPr>
          <w:rStyle w:val="47"/>
          <w:rFonts w:hint="eastAsia" w:ascii="Times New Roman" w:hAnsi="Times New Roman" w:eastAsia="宋体" w:cs="Times New Roman"/>
          <w:b w:val="0"/>
          <w:bCs w:val="0"/>
          <w:color w:val="FF0000"/>
          <w:sz w:val="18"/>
          <w:szCs w:val="18"/>
        </w:rPr>
        <w:t>项</w:t>
      </w:r>
      <w:r>
        <w:rPr>
          <w:rStyle w:val="47"/>
          <w:rFonts w:hint="eastAsia" w:ascii="Times New Roman" w:hAnsi="Times New Roman" w:eastAsia="宋体" w:cs="Times New Roman"/>
          <w:b w:val="0"/>
          <w:bCs w:val="0"/>
          <w:color w:val="FF0000"/>
          <w:sz w:val="18"/>
          <w:szCs w:val="18"/>
          <w:lang w:eastAsia="zh-CN"/>
        </w:rPr>
        <w:t>、</w:t>
      </w:r>
      <w:r>
        <w:rPr>
          <w:rStyle w:val="47"/>
          <w:rFonts w:hint="eastAsia" w:ascii="Times New Roman" w:hAnsi="Times New Roman" w:eastAsia="宋体" w:cs="Times New Roman"/>
          <w:b w:val="0"/>
          <w:bCs w:val="0"/>
          <w:color w:val="FF0000"/>
          <w:sz w:val="18"/>
          <w:szCs w:val="18"/>
          <w:lang w:val="en-US" w:eastAsia="zh-CN"/>
        </w:rPr>
        <w:t>不通过</w:t>
      </w:r>
      <w:r>
        <w:rPr>
          <w:rStyle w:val="47"/>
          <w:rFonts w:hint="eastAsia" w:ascii="Times New Roman" w:hAnsi="Times New Roman" w:eastAsia="宋体" w:cs="Times New Roman"/>
          <w:b w:val="0"/>
          <w:bCs w:val="0"/>
          <w:color w:val="FF0000"/>
          <w:sz w:val="18"/>
          <w:szCs w:val="18"/>
        </w:rPr>
        <w:t>将直接导致无效投标。</w:t>
      </w:r>
    </w:p>
    <w:p w14:paraId="7187EDB0">
      <w:pPr>
        <w:pStyle w:val="5"/>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三</w:t>
      </w:r>
      <w:r>
        <w:rPr>
          <w:rFonts w:hint="eastAsia" w:ascii="仿宋" w:hAnsi="仿宋" w:eastAsia="仿宋" w:cs="仿宋"/>
          <w:b/>
          <w:bCs w:val="0"/>
          <w:sz w:val="36"/>
        </w:rPr>
        <w:t>、</w:t>
      </w:r>
      <w:r>
        <w:rPr>
          <w:rFonts w:hint="eastAsia" w:ascii="仿宋" w:hAnsi="仿宋" w:eastAsia="仿宋" w:cs="仿宋"/>
          <w:b/>
          <w:bCs w:val="0"/>
          <w:sz w:val="36"/>
          <w:lang w:val="en-US" w:eastAsia="zh-CN"/>
        </w:rPr>
        <w:t>开标</w:t>
      </w:r>
      <w:r>
        <w:rPr>
          <w:rFonts w:hint="eastAsia" w:ascii="仿宋" w:hAnsi="仿宋" w:eastAsia="仿宋" w:cs="仿宋"/>
          <w:b/>
          <w:bCs w:val="0"/>
          <w:sz w:val="36"/>
        </w:rPr>
        <w:t>一览表</w:t>
      </w:r>
    </w:p>
    <w:p w14:paraId="7836C5BE">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（一）总价报价表</w:t>
      </w:r>
    </w:p>
    <w:p w14:paraId="3EAA84FA">
      <w:pPr>
        <w:jc w:val="right"/>
        <w:rPr>
          <w:rFonts w:hint="eastAsia" w:ascii="仿宋" w:hAnsi="仿宋" w:eastAsia="仿宋" w:cs="仿宋"/>
          <w:snapToGrid w:val="0"/>
          <w:kern w:val="0"/>
          <w:sz w:val="24"/>
          <w:szCs w:val="32"/>
        </w:rPr>
      </w:pPr>
      <w:r>
        <w:rPr>
          <w:rFonts w:hint="eastAsia" w:ascii="仿宋" w:hAnsi="仿宋" w:eastAsia="仿宋" w:cs="仿宋"/>
          <w:snapToGrid w:val="0"/>
          <w:kern w:val="0"/>
          <w:sz w:val="24"/>
          <w:szCs w:val="32"/>
        </w:rPr>
        <w:t>货币单位：人民币元</w:t>
      </w:r>
    </w:p>
    <w:p w14:paraId="2CED0F41">
      <w:pPr>
        <w:rPr>
          <w:rFonts w:hint="eastAsia" w:ascii="仿宋" w:hAnsi="仿宋" w:eastAsia="仿宋" w:cs="仿宋"/>
          <w:snapToGrid w:val="0"/>
          <w:kern w:val="0"/>
          <w:sz w:val="24"/>
        </w:rPr>
      </w:pPr>
    </w:p>
    <w:tbl>
      <w:tblPr>
        <w:tblStyle w:val="44"/>
        <w:tblW w:w="4971"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3167"/>
        <w:gridCol w:w="2100"/>
        <w:gridCol w:w="2145"/>
      </w:tblGrid>
      <w:tr w14:paraId="040975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26" w:type="pct"/>
            <w:vAlign w:val="center"/>
          </w:tcPr>
          <w:p w14:paraId="03A580CD">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序号</w:t>
            </w:r>
          </w:p>
        </w:tc>
        <w:tc>
          <w:tcPr>
            <w:tcW w:w="1868" w:type="pct"/>
            <w:vAlign w:val="center"/>
          </w:tcPr>
          <w:p w14:paraId="4C711383">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项目名称</w:t>
            </w:r>
          </w:p>
        </w:tc>
        <w:tc>
          <w:tcPr>
            <w:tcW w:w="1239" w:type="pct"/>
            <w:vAlign w:val="center"/>
          </w:tcPr>
          <w:p w14:paraId="55C06DBA">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投标总价（元）</w:t>
            </w:r>
          </w:p>
        </w:tc>
        <w:tc>
          <w:tcPr>
            <w:tcW w:w="1265" w:type="pct"/>
            <w:vAlign w:val="center"/>
          </w:tcPr>
          <w:p w14:paraId="29D72634">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备注</w:t>
            </w:r>
          </w:p>
        </w:tc>
      </w:tr>
      <w:tr w14:paraId="108251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26" w:type="pct"/>
            <w:vAlign w:val="center"/>
          </w:tcPr>
          <w:p w14:paraId="03630CD4">
            <w:pPr>
              <w:keepNext w:val="0"/>
              <w:keepLines w:val="0"/>
              <w:widowControl/>
              <w:suppressLineNumbers w:val="0"/>
              <w:spacing w:before="0" w:beforeLines="0" w:beforeAutospacing="0" w:after="0" w:afterLines="0" w:afterAutospacing="0"/>
              <w:ind w:left="0" w:right="0"/>
              <w:jc w:val="center"/>
              <w:textAlignment w:val="center"/>
              <w:rPr>
                <w:rFonts w:hint="eastAsia" w:ascii="仿宋" w:hAnsi="仿宋" w:eastAsia="仿宋" w:cs="宋体"/>
                <w:color w:val="000000"/>
                <w:kern w:val="0"/>
                <w:sz w:val="24"/>
                <w:szCs w:val="24"/>
                <w:lang w:val="en-US" w:eastAsia="zh-CN" w:bidi="ar-SA"/>
              </w:rPr>
            </w:pPr>
            <w:r>
              <w:rPr>
                <w:rFonts w:hint="eastAsia" w:ascii="仿宋" w:hAnsi="仿宋" w:eastAsia="仿宋" w:cs="仿宋"/>
                <w:color w:val="000000"/>
                <w:kern w:val="0"/>
                <w:sz w:val="22"/>
                <w:szCs w:val="22"/>
                <w:lang w:bidi="ar"/>
              </w:rPr>
              <w:t>1</w:t>
            </w:r>
          </w:p>
        </w:tc>
        <w:tc>
          <w:tcPr>
            <w:tcW w:w="1868" w:type="pct"/>
            <w:vAlign w:val="center"/>
          </w:tcPr>
          <w:p w14:paraId="51D118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宋体"/>
                <w:color w:val="000000"/>
                <w:kern w:val="0"/>
                <w:sz w:val="24"/>
                <w:szCs w:val="24"/>
                <w:lang w:val="en-US" w:eastAsia="zh-CN" w:bidi="ar-SA"/>
              </w:rPr>
            </w:pPr>
          </w:p>
        </w:tc>
        <w:tc>
          <w:tcPr>
            <w:tcW w:w="1239" w:type="pct"/>
            <w:vAlign w:val="center"/>
          </w:tcPr>
          <w:p w14:paraId="5EC2D174">
            <w:pPr>
              <w:keepNext w:val="0"/>
              <w:keepLines w:val="0"/>
              <w:suppressLineNumbers w:val="0"/>
              <w:spacing w:before="0" w:beforeAutospacing="0" w:after="0" w:afterAutospacing="0"/>
              <w:ind w:left="0" w:right="0"/>
              <w:rPr>
                <w:rFonts w:hint="default"/>
                <w:snapToGrid w:val="0"/>
                <w:kern w:val="0"/>
              </w:rPr>
            </w:pPr>
            <w:r>
              <w:rPr>
                <w:rFonts w:hint="eastAsia"/>
                <w:snapToGrid w:val="0"/>
                <w:kern w:val="0"/>
              </w:rPr>
              <w:t>大写：</w:t>
            </w:r>
          </w:p>
          <w:p w14:paraId="4BB83A1C">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i w:val="0"/>
                <w:iCs w:val="0"/>
                <w:color w:val="000000"/>
                <w:kern w:val="0"/>
                <w:sz w:val="22"/>
                <w:szCs w:val="22"/>
                <w:lang w:val="en-US" w:eastAsia="zh-CN" w:bidi="ar"/>
              </w:rPr>
            </w:pPr>
            <w:r>
              <w:rPr>
                <w:rFonts w:hint="eastAsia"/>
                <w:snapToGrid w:val="0"/>
                <w:kern w:val="0"/>
              </w:rPr>
              <w:t>小写：</w:t>
            </w:r>
          </w:p>
        </w:tc>
        <w:tc>
          <w:tcPr>
            <w:tcW w:w="1265" w:type="pct"/>
            <w:vAlign w:val="center"/>
          </w:tcPr>
          <w:p w14:paraId="3097CC75">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000000"/>
                <w:kern w:val="0"/>
                <w:sz w:val="22"/>
                <w:szCs w:val="22"/>
                <w:lang w:val="en-US" w:eastAsia="zh-CN" w:bidi="ar"/>
              </w:rPr>
            </w:pPr>
            <w:r>
              <w:rPr>
                <w:rFonts w:hint="eastAsia" w:ascii="宋体" w:hAnsi="宋体" w:eastAsia="宋体" w:cs="宋体"/>
                <w:color w:val="000000"/>
                <w:kern w:val="0"/>
                <w:sz w:val="20"/>
                <w:szCs w:val="20"/>
                <w:lang w:val="en-US" w:eastAsia="zh-CN" w:bidi="ar"/>
              </w:rPr>
              <w:t>与《开标一览表》一致，总价=常规服务报价表</w:t>
            </w:r>
            <w:r>
              <w:rPr>
                <w:rFonts w:hint="eastAsia" w:ascii="宋体" w:hAnsi="宋体" w:cs="宋体"/>
                <w:color w:val="000000"/>
                <w:kern w:val="0"/>
                <w:sz w:val="20"/>
                <w:szCs w:val="20"/>
                <w:lang w:val="en-US" w:eastAsia="zh-CN" w:bidi="ar"/>
              </w:rPr>
              <w:t>合计</w:t>
            </w:r>
          </w:p>
        </w:tc>
      </w:tr>
    </w:tbl>
    <w:p w14:paraId="0E7768EB">
      <w:pPr>
        <w:jc w:val="left"/>
        <w:rPr>
          <w:rFonts w:ascii="仿宋" w:hAnsi="仿宋" w:eastAsia="仿宋" w:cs="仿宋"/>
          <w:color w:val="000000" w:themeColor="text1"/>
          <w:sz w:val="24"/>
          <w14:textFill>
            <w14:solidFill>
              <w14:schemeClr w14:val="tx1"/>
            </w14:solidFill>
          </w14:textFill>
        </w:rPr>
      </w:pPr>
      <w:bookmarkStart w:id="26" w:name="_Toc124"/>
    </w:p>
    <w:p w14:paraId="25B58166">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报价</w:t>
      </w:r>
      <w:r>
        <w:rPr>
          <w:rFonts w:hint="eastAsia" w:ascii="宋体" w:hAnsi="宋体" w:cs="宋体"/>
          <w:b/>
          <w:bCs/>
          <w:color w:val="000000"/>
          <w:kern w:val="0"/>
          <w:sz w:val="24"/>
          <w:szCs w:val="24"/>
          <w:lang w:val="en-US" w:eastAsia="zh-CN" w:bidi="ar"/>
        </w:rPr>
        <w:t>明细表</w:t>
      </w:r>
    </w:p>
    <w:p w14:paraId="300EE43C">
      <w:pPr>
        <w:spacing w:line="360" w:lineRule="auto"/>
        <w:rPr>
          <w:rFonts w:hint="eastAsia" w:ascii="宋体" w:hAnsi="宋体" w:cs="宋体"/>
          <w:szCs w:val="21"/>
        </w:rPr>
      </w:pPr>
    </w:p>
    <w:tbl>
      <w:tblPr>
        <w:tblStyle w:val="45"/>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780"/>
        <w:gridCol w:w="671"/>
        <w:gridCol w:w="671"/>
        <w:gridCol w:w="1486"/>
        <w:gridCol w:w="1175"/>
        <w:gridCol w:w="858"/>
      </w:tblGrid>
      <w:tr w14:paraId="536C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3" w:type="dxa"/>
            <w:vAlign w:val="center"/>
          </w:tcPr>
          <w:p w14:paraId="181465F4">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b/>
                <w:bCs/>
                <w:color w:val="000000"/>
                <w:kern w:val="0"/>
                <w:sz w:val="20"/>
                <w:szCs w:val="20"/>
                <w:lang w:val="en-US" w:eastAsia="zh-CN" w:bidi="ar"/>
              </w:rPr>
              <w:t>序号</w:t>
            </w:r>
          </w:p>
        </w:tc>
        <w:tc>
          <w:tcPr>
            <w:tcW w:w="2780" w:type="dxa"/>
            <w:vAlign w:val="center"/>
          </w:tcPr>
          <w:p w14:paraId="5B85F611">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b/>
                <w:bCs/>
                <w:color w:val="000000"/>
                <w:kern w:val="0"/>
                <w:sz w:val="20"/>
                <w:szCs w:val="20"/>
                <w:lang w:val="en-US" w:eastAsia="zh-CN" w:bidi="ar"/>
              </w:rPr>
              <w:t>报价内容</w:t>
            </w:r>
          </w:p>
        </w:tc>
        <w:tc>
          <w:tcPr>
            <w:tcW w:w="671" w:type="dxa"/>
            <w:vAlign w:val="center"/>
          </w:tcPr>
          <w:p w14:paraId="3B749BC3">
            <w:pPr>
              <w:pStyle w:val="19"/>
              <w:keepNext w:val="0"/>
              <w:keepLines w:val="0"/>
              <w:suppressLineNumbers w:val="0"/>
              <w:spacing w:before="0" w:beforeAutospacing="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数量</w:t>
            </w:r>
          </w:p>
        </w:tc>
        <w:tc>
          <w:tcPr>
            <w:tcW w:w="671" w:type="dxa"/>
            <w:vAlign w:val="center"/>
          </w:tcPr>
          <w:p w14:paraId="3C0F5F05">
            <w:pPr>
              <w:pStyle w:val="19"/>
              <w:keepNext w:val="0"/>
              <w:keepLines w:val="0"/>
              <w:suppressLineNumbers w:val="0"/>
              <w:spacing w:before="0" w:beforeAutospacing="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单位</w:t>
            </w:r>
          </w:p>
        </w:tc>
        <w:tc>
          <w:tcPr>
            <w:tcW w:w="1486" w:type="dxa"/>
            <w:vAlign w:val="center"/>
          </w:tcPr>
          <w:p w14:paraId="32E0349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单价</w:t>
            </w:r>
          </w:p>
          <w:p w14:paraId="3E7B720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（月/元）</w:t>
            </w:r>
          </w:p>
        </w:tc>
        <w:tc>
          <w:tcPr>
            <w:tcW w:w="1175" w:type="dxa"/>
            <w:vAlign w:val="center"/>
          </w:tcPr>
          <w:p w14:paraId="4B381094">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小计</w:t>
            </w:r>
          </w:p>
          <w:p w14:paraId="178021B0">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b/>
                <w:bCs/>
                <w:color w:val="000000"/>
                <w:kern w:val="0"/>
                <w:sz w:val="20"/>
                <w:szCs w:val="20"/>
                <w:lang w:val="en-US" w:eastAsia="zh-CN" w:bidi="ar"/>
              </w:rPr>
              <w:t>（元）</w:t>
            </w:r>
          </w:p>
        </w:tc>
        <w:tc>
          <w:tcPr>
            <w:tcW w:w="858" w:type="dxa"/>
            <w:vAlign w:val="center"/>
          </w:tcPr>
          <w:p w14:paraId="16DC6645">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b/>
                <w:bCs/>
                <w:color w:val="000000"/>
                <w:kern w:val="0"/>
                <w:sz w:val="20"/>
                <w:szCs w:val="20"/>
                <w:lang w:val="en-US" w:eastAsia="zh-CN" w:bidi="ar"/>
              </w:rPr>
              <w:t>备注</w:t>
            </w:r>
          </w:p>
        </w:tc>
      </w:tr>
      <w:tr w14:paraId="4221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53" w:type="dxa"/>
            <w:vAlign w:val="center"/>
          </w:tcPr>
          <w:p w14:paraId="307166B6">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r>
              <w:rPr>
                <w:rFonts w:hint="eastAsia"/>
                <w:sz w:val="24"/>
                <w:szCs w:val="24"/>
                <w:highlight w:val="none"/>
                <w:vertAlign w:val="baseline"/>
                <w:lang w:val="en-US" w:eastAsia="zh-CN"/>
              </w:rPr>
              <w:t>1</w:t>
            </w:r>
          </w:p>
        </w:tc>
        <w:tc>
          <w:tcPr>
            <w:tcW w:w="2780" w:type="dxa"/>
            <w:vAlign w:val="center"/>
          </w:tcPr>
          <w:p w14:paraId="79FF712D">
            <w:pPr>
              <w:keepNext w:val="0"/>
              <w:keepLines w:val="0"/>
              <w:widowControl/>
              <w:suppressLineNumbers w:val="0"/>
              <w:spacing w:before="0" w:beforeAutospacing="0" w:after="0" w:afterAutospacing="0"/>
              <w:ind w:left="0" w:right="0"/>
              <w:jc w:val="center"/>
              <w:rPr>
                <w:rFonts w:hint="eastAsia"/>
                <w:sz w:val="24"/>
                <w:szCs w:val="24"/>
                <w:highlight w:val="none"/>
                <w:vertAlign w:val="baseline"/>
              </w:rPr>
            </w:pPr>
            <w:r>
              <w:rPr>
                <w:rFonts w:hint="eastAsia" w:ascii="宋体" w:hAnsi="宋体" w:eastAsia="宋体" w:cs="宋体"/>
                <w:color w:val="000000"/>
                <w:kern w:val="0"/>
                <w:sz w:val="21"/>
                <w:szCs w:val="21"/>
                <w:lang w:val="en-US" w:eastAsia="zh-CN" w:bidi="ar"/>
              </w:rPr>
              <w:t>院本部</w:t>
            </w:r>
            <w:r>
              <w:rPr>
                <w:rFonts w:hint="eastAsia" w:ascii="宋体" w:hAnsi="宋体" w:cs="宋体"/>
                <w:color w:val="000000"/>
                <w:kern w:val="0"/>
                <w:sz w:val="21"/>
                <w:szCs w:val="21"/>
                <w:lang w:val="en-US" w:eastAsia="zh-CN" w:bidi="ar"/>
              </w:rPr>
              <w:t>及</w:t>
            </w:r>
            <w:r>
              <w:rPr>
                <w:rFonts w:hint="eastAsia" w:ascii="宋体" w:hAnsi="宋体" w:eastAsia="宋体" w:cs="宋体"/>
                <w:color w:val="000000"/>
                <w:kern w:val="0"/>
                <w:sz w:val="21"/>
                <w:szCs w:val="21"/>
                <w:lang w:val="en-US" w:eastAsia="zh-CN" w:bidi="ar"/>
              </w:rPr>
              <w:t>龙尾院区</w:t>
            </w:r>
          </w:p>
        </w:tc>
        <w:tc>
          <w:tcPr>
            <w:tcW w:w="671" w:type="dxa"/>
            <w:vMerge w:val="restart"/>
            <w:vAlign w:val="center"/>
          </w:tcPr>
          <w:p w14:paraId="10BB8042">
            <w:pPr>
              <w:pStyle w:val="19"/>
              <w:keepNext w:val="0"/>
              <w:keepLines w:val="0"/>
              <w:suppressLineNumbers w:val="0"/>
              <w:spacing w:before="0" w:beforeAutospacing="0" w:afterAutospacing="0"/>
              <w:ind w:left="0" w:right="0"/>
              <w:jc w:val="center"/>
              <w:rPr>
                <w:rFonts w:hint="eastAsia"/>
                <w:sz w:val="24"/>
                <w:szCs w:val="24"/>
                <w:highlight w:val="none"/>
                <w:vertAlign w:val="baseline"/>
                <w:lang w:val="en-US" w:eastAsia="zh-CN"/>
              </w:rPr>
            </w:pPr>
            <w:r>
              <w:rPr>
                <w:rFonts w:hint="eastAsia"/>
                <w:sz w:val="24"/>
                <w:szCs w:val="24"/>
                <w:highlight w:val="none"/>
                <w:vertAlign w:val="baseline"/>
                <w:lang w:val="en-US" w:eastAsia="zh-CN"/>
              </w:rPr>
              <w:t>2</w:t>
            </w:r>
          </w:p>
        </w:tc>
        <w:tc>
          <w:tcPr>
            <w:tcW w:w="671" w:type="dxa"/>
            <w:vMerge w:val="restart"/>
            <w:vAlign w:val="center"/>
          </w:tcPr>
          <w:p w14:paraId="7A0B1179">
            <w:pPr>
              <w:pStyle w:val="19"/>
              <w:keepNext w:val="0"/>
              <w:keepLines w:val="0"/>
              <w:suppressLineNumbers w:val="0"/>
              <w:spacing w:before="0" w:beforeAutospacing="0" w:afterAutospacing="0"/>
              <w:ind w:left="0" w:right="0"/>
              <w:jc w:val="center"/>
              <w:rPr>
                <w:rFonts w:hint="default" w:eastAsia="宋体"/>
                <w:sz w:val="24"/>
                <w:szCs w:val="24"/>
                <w:highlight w:val="none"/>
                <w:vertAlign w:val="baseline"/>
                <w:lang w:val="en-US" w:eastAsia="zh-CN"/>
              </w:rPr>
            </w:pPr>
            <w:r>
              <w:rPr>
                <w:rFonts w:hint="eastAsia"/>
                <w:sz w:val="24"/>
                <w:szCs w:val="24"/>
                <w:highlight w:val="none"/>
                <w:vertAlign w:val="baseline"/>
                <w:lang w:val="en-US" w:eastAsia="zh-CN"/>
              </w:rPr>
              <w:t>月</w:t>
            </w:r>
          </w:p>
        </w:tc>
        <w:tc>
          <w:tcPr>
            <w:tcW w:w="1486" w:type="dxa"/>
            <w:vAlign w:val="center"/>
          </w:tcPr>
          <w:p w14:paraId="00342112">
            <w:pPr>
              <w:pStyle w:val="19"/>
              <w:keepNext w:val="0"/>
              <w:keepLines w:val="0"/>
              <w:suppressLineNumbers w:val="0"/>
              <w:spacing w:before="0" w:beforeAutospacing="0" w:afterAutospacing="0"/>
              <w:ind w:left="0" w:leftChars="0" w:right="0" w:rightChars="0"/>
              <w:jc w:val="center"/>
              <w:rPr>
                <w:rFonts w:hint="eastAsia"/>
                <w:sz w:val="24"/>
                <w:szCs w:val="24"/>
                <w:highlight w:val="none"/>
                <w:vertAlign w:val="baseline"/>
              </w:rPr>
            </w:pPr>
          </w:p>
        </w:tc>
        <w:tc>
          <w:tcPr>
            <w:tcW w:w="1175" w:type="dxa"/>
            <w:vAlign w:val="center"/>
          </w:tcPr>
          <w:p w14:paraId="58A95D6D">
            <w:pPr>
              <w:pStyle w:val="19"/>
              <w:keepNext w:val="0"/>
              <w:keepLines w:val="0"/>
              <w:suppressLineNumbers w:val="0"/>
              <w:spacing w:before="0" w:beforeAutospacing="0" w:afterAutospacing="0"/>
              <w:ind w:left="0" w:right="0"/>
              <w:jc w:val="center"/>
              <w:rPr>
                <w:rFonts w:hint="eastAsia"/>
                <w:sz w:val="24"/>
                <w:szCs w:val="24"/>
                <w:highlight w:val="none"/>
                <w:vertAlign w:val="baseline"/>
              </w:rPr>
            </w:pPr>
          </w:p>
        </w:tc>
        <w:tc>
          <w:tcPr>
            <w:tcW w:w="858" w:type="dxa"/>
          </w:tcPr>
          <w:p w14:paraId="0C8F33A9">
            <w:pPr>
              <w:pStyle w:val="19"/>
              <w:keepNext w:val="0"/>
              <w:keepLines w:val="0"/>
              <w:suppressLineNumbers w:val="0"/>
              <w:spacing w:before="0" w:beforeAutospacing="0" w:afterAutospacing="0"/>
              <w:ind w:left="0" w:right="0"/>
              <w:rPr>
                <w:rFonts w:hint="eastAsia"/>
                <w:sz w:val="24"/>
                <w:szCs w:val="24"/>
                <w:highlight w:val="none"/>
                <w:vertAlign w:val="baseline"/>
              </w:rPr>
            </w:pPr>
          </w:p>
        </w:tc>
      </w:tr>
      <w:tr w14:paraId="0B9A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rPr>
        <w:tc>
          <w:tcPr>
            <w:tcW w:w="853" w:type="dxa"/>
            <w:vAlign w:val="center"/>
          </w:tcPr>
          <w:p w14:paraId="5C0E9322">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r>
              <w:rPr>
                <w:rFonts w:hint="eastAsia"/>
                <w:sz w:val="24"/>
                <w:szCs w:val="24"/>
                <w:highlight w:val="none"/>
                <w:vertAlign w:val="baseline"/>
                <w:lang w:val="en-US" w:eastAsia="zh-CN"/>
              </w:rPr>
              <w:t>2</w:t>
            </w:r>
          </w:p>
        </w:tc>
        <w:tc>
          <w:tcPr>
            <w:tcW w:w="2780" w:type="dxa"/>
            <w:vAlign w:val="center"/>
          </w:tcPr>
          <w:p w14:paraId="284C6C86">
            <w:pPr>
              <w:pStyle w:val="19"/>
              <w:keepNext w:val="0"/>
              <w:keepLines w:val="0"/>
              <w:suppressLineNumbers w:val="0"/>
              <w:spacing w:before="0" w:beforeAutospacing="0" w:afterAutospacing="0"/>
              <w:ind w:left="0" w:right="0"/>
              <w:jc w:val="center"/>
              <w:rPr>
                <w:rFonts w:hint="eastAsia"/>
                <w:sz w:val="24"/>
                <w:szCs w:val="24"/>
                <w:highlight w:val="none"/>
                <w:vertAlign w:val="baseline"/>
              </w:rPr>
            </w:pPr>
            <w:r>
              <w:rPr>
                <w:rFonts w:hint="eastAsia" w:ascii="宋体" w:hAnsi="宋体" w:cs="宋体"/>
                <w:color w:val="000000"/>
                <w:kern w:val="0"/>
                <w:sz w:val="21"/>
                <w:szCs w:val="21"/>
                <w:lang w:val="en-US" w:eastAsia="zh-CN" w:bidi="ar"/>
              </w:rPr>
              <w:t>现有</w:t>
            </w:r>
            <w:r>
              <w:rPr>
                <w:rFonts w:hint="eastAsia" w:ascii="宋体" w:hAnsi="宋体" w:eastAsia="宋体" w:cs="宋体"/>
                <w:color w:val="000000"/>
                <w:kern w:val="0"/>
                <w:sz w:val="21"/>
                <w:szCs w:val="21"/>
                <w:lang w:val="en-US" w:eastAsia="zh-CN" w:bidi="ar"/>
              </w:rPr>
              <w:t>20家社康及驻所门诊</w:t>
            </w:r>
          </w:p>
        </w:tc>
        <w:tc>
          <w:tcPr>
            <w:tcW w:w="671" w:type="dxa"/>
            <w:vMerge w:val="continue"/>
            <w:vAlign w:val="center"/>
          </w:tcPr>
          <w:p w14:paraId="640C5A71">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p>
        </w:tc>
        <w:tc>
          <w:tcPr>
            <w:tcW w:w="671" w:type="dxa"/>
            <w:vMerge w:val="continue"/>
            <w:vAlign w:val="center"/>
          </w:tcPr>
          <w:p w14:paraId="05A6CAD8">
            <w:pPr>
              <w:pStyle w:val="19"/>
              <w:keepNext w:val="0"/>
              <w:keepLines w:val="0"/>
              <w:suppressLineNumbers w:val="0"/>
              <w:spacing w:before="0" w:beforeAutospacing="0" w:afterAutospacing="0"/>
              <w:ind w:left="0" w:right="0"/>
              <w:jc w:val="center"/>
              <w:rPr>
                <w:rFonts w:hint="eastAsia" w:eastAsia="宋体"/>
                <w:sz w:val="24"/>
                <w:szCs w:val="24"/>
                <w:highlight w:val="none"/>
                <w:vertAlign w:val="baseline"/>
                <w:lang w:val="en-US" w:eastAsia="zh-CN"/>
              </w:rPr>
            </w:pPr>
          </w:p>
        </w:tc>
        <w:tc>
          <w:tcPr>
            <w:tcW w:w="1486" w:type="dxa"/>
            <w:vAlign w:val="center"/>
          </w:tcPr>
          <w:p w14:paraId="3D44D50F">
            <w:pPr>
              <w:pStyle w:val="19"/>
              <w:keepNext w:val="0"/>
              <w:keepLines w:val="0"/>
              <w:suppressLineNumbers w:val="0"/>
              <w:spacing w:before="0" w:beforeAutospacing="0" w:afterAutospacing="0"/>
              <w:ind w:left="0" w:leftChars="0" w:right="0" w:rightChars="0"/>
              <w:jc w:val="center"/>
              <w:rPr>
                <w:rFonts w:hint="eastAsia"/>
                <w:sz w:val="24"/>
                <w:szCs w:val="24"/>
                <w:highlight w:val="none"/>
                <w:vertAlign w:val="baseline"/>
              </w:rPr>
            </w:pPr>
          </w:p>
        </w:tc>
        <w:tc>
          <w:tcPr>
            <w:tcW w:w="1175" w:type="dxa"/>
            <w:vAlign w:val="center"/>
          </w:tcPr>
          <w:p w14:paraId="5C37C670">
            <w:pPr>
              <w:pStyle w:val="19"/>
              <w:keepNext w:val="0"/>
              <w:keepLines w:val="0"/>
              <w:suppressLineNumbers w:val="0"/>
              <w:spacing w:before="0" w:beforeAutospacing="0" w:afterAutospacing="0"/>
              <w:ind w:left="0" w:right="0"/>
              <w:jc w:val="center"/>
              <w:rPr>
                <w:rFonts w:hint="eastAsia"/>
                <w:sz w:val="24"/>
                <w:szCs w:val="24"/>
                <w:highlight w:val="none"/>
                <w:vertAlign w:val="baseline"/>
              </w:rPr>
            </w:pPr>
          </w:p>
        </w:tc>
        <w:tc>
          <w:tcPr>
            <w:tcW w:w="858" w:type="dxa"/>
          </w:tcPr>
          <w:p w14:paraId="33598609">
            <w:pPr>
              <w:pStyle w:val="19"/>
              <w:keepNext w:val="0"/>
              <w:keepLines w:val="0"/>
              <w:suppressLineNumbers w:val="0"/>
              <w:spacing w:before="0" w:beforeAutospacing="0" w:afterAutospacing="0"/>
              <w:ind w:left="0" w:right="0"/>
              <w:rPr>
                <w:rFonts w:hint="eastAsia"/>
                <w:sz w:val="24"/>
                <w:szCs w:val="24"/>
                <w:highlight w:val="none"/>
                <w:vertAlign w:val="baseline"/>
              </w:rPr>
            </w:pPr>
          </w:p>
        </w:tc>
      </w:tr>
      <w:tr w14:paraId="35DD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461" w:type="dxa"/>
            <w:gridSpan w:val="5"/>
            <w:vAlign w:val="center"/>
          </w:tcPr>
          <w:p w14:paraId="1291F48B">
            <w:pPr>
              <w:pStyle w:val="19"/>
              <w:keepNext w:val="0"/>
              <w:keepLines w:val="0"/>
              <w:suppressLineNumbers w:val="0"/>
              <w:spacing w:before="0" w:beforeAutospacing="0" w:afterAutospacing="0"/>
              <w:ind w:left="0" w:leftChars="0" w:right="0" w:rightChars="0"/>
              <w:jc w:val="right"/>
              <w:rPr>
                <w:rFonts w:hint="eastAsia" w:eastAsia="宋体"/>
                <w:sz w:val="24"/>
                <w:szCs w:val="24"/>
                <w:highlight w:val="none"/>
                <w:vertAlign w:val="baseline"/>
                <w:lang w:val="en-US" w:eastAsia="zh-CN"/>
              </w:rPr>
            </w:pPr>
            <w:r>
              <w:rPr>
                <w:rFonts w:hint="eastAsia" w:ascii="宋体" w:hAnsi="宋体" w:eastAsia="宋体" w:cs="宋体"/>
                <w:b/>
                <w:bCs/>
                <w:color w:val="000000"/>
                <w:kern w:val="0"/>
                <w:sz w:val="20"/>
                <w:szCs w:val="20"/>
                <w:lang w:val="en-US" w:eastAsia="zh-CN" w:bidi="ar"/>
              </w:rPr>
              <w:t>合计</w:t>
            </w:r>
            <w:r>
              <w:rPr>
                <w:rFonts w:hint="eastAsia" w:ascii="宋体" w:hAnsi="宋体" w:cs="宋体"/>
                <w:b/>
                <w:bCs/>
                <w:color w:val="000000"/>
                <w:kern w:val="0"/>
                <w:sz w:val="20"/>
                <w:szCs w:val="20"/>
                <w:lang w:val="en-US" w:eastAsia="zh-CN" w:bidi="ar"/>
              </w:rPr>
              <w:t>（元</w:t>
            </w:r>
            <w:r>
              <w:rPr>
                <w:rFonts w:hint="eastAsia" w:ascii="宋体" w:hAnsi="宋体" w:eastAsia="宋体" w:cs="宋体"/>
                <w:b/>
                <w:bCs/>
                <w:color w:val="000000"/>
                <w:kern w:val="0"/>
                <w:sz w:val="20"/>
                <w:szCs w:val="20"/>
                <w:lang w:val="en-US" w:eastAsia="zh-CN" w:bidi="ar"/>
              </w:rPr>
              <w:t>）</w:t>
            </w:r>
          </w:p>
        </w:tc>
        <w:tc>
          <w:tcPr>
            <w:tcW w:w="1175" w:type="dxa"/>
            <w:vAlign w:val="center"/>
          </w:tcPr>
          <w:p w14:paraId="17C7A5A1">
            <w:pPr>
              <w:pStyle w:val="19"/>
              <w:keepNext w:val="0"/>
              <w:keepLines w:val="0"/>
              <w:suppressLineNumbers w:val="0"/>
              <w:spacing w:before="0" w:beforeAutospacing="0" w:afterAutospacing="0"/>
              <w:ind w:left="0" w:right="0"/>
              <w:jc w:val="center"/>
              <w:rPr>
                <w:rFonts w:hint="eastAsia"/>
                <w:sz w:val="24"/>
                <w:szCs w:val="24"/>
                <w:highlight w:val="none"/>
                <w:vertAlign w:val="baseline"/>
              </w:rPr>
            </w:pPr>
          </w:p>
        </w:tc>
        <w:tc>
          <w:tcPr>
            <w:tcW w:w="858" w:type="dxa"/>
          </w:tcPr>
          <w:p w14:paraId="172CA3BD">
            <w:pPr>
              <w:pStyle w:val="19"/>
              <w:keepNext w:val="0"/>
              <w:keepLines w:val="0"/>
              <w:suppressLineNumbers w:val="0"/>
              <w:spacing w:before="0" w:beforeAutospacing="0" w:afterAutospacing="0"/>
              <w:ind w:left="0" w:right="0"/>
              <w:rPr>
                <w:rFonts w:hint="eastAsia"/>
                <w:sz w:val="24"/>
                <w:szCs w:val="24"/>
                <w:highlight w:val="none"/>
                <w:vertAlign w:val="baseline"/>
              </w:rPr>
            </w:pPr>
          </w:p>
        </w:tc>
      </w:tr>
    </w:tbl>
    <w:p w14:paraId="06FDE77E">
      <w:pPr>
        <w:spacing w:line="276" w:lineRule="auto"/>
        <w:rPr>
          <w:rFonts w:hint="eastAsia" w:ascii="仿宋" w:hAnsi="仿宋" w:eastAsia="仿宋" w:cs="仿宋"/>
          <w:snapToGrid w:val="0"/>
          <w:color w:val="000000" w:themeColor="text1"/>
          <w:kern w:val="0"/>
          <w:sz w:val="24"/>
          <w14:textFill>
            <w14:solidFill>
              <w14:schemeClr w14:val="tx1"/>
            </w14:solidFill>
          </w14:textFill>
        </w:rPr>
      </w:pPr>
    </w:p>
    <w:p w14:paraId="3553F3EA">
      <w:pPr>
        <w:spacing w:line="276" w:lineRule="auto"/>
        <w:rPr>
          <w:rFonts w:ascii="仿宋" w:hAnsi="仿宋" w:eastAsia="仿宋" w:cs="仿宋"/>
          <w:snapToGrid w:val="0"/>
          <w:color w:val="000000" w:themeColor="text1"/>
          <w:kern w:val="0"/>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t>注：</w:t>
      </w:r>
    </w:p>
    <w:p w14:paraId="1637E3B0">
      <w:pPr>
        <w:spacing w:line="276"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1.</w:t>
      </w:r>
      <w:r>
        <w:rPr>
          <w:rFonts w:hint="eastAsia" w:ascii="仿宋" w:hAnsi="仿宋" w:eastAsia="仿宋" w:cs="仿宋"/>
          <w:snapToGrid w:val="0"/>
          <w:kern w:val="0"/>
          <w:sz w:val="24"/>
        </w:rPr>
        <w:t>价格应按</w:t>
      </w:r>
      <w:r>
        <w:rPr>
          <w:rFonts w:hint="eastAsia" w:ascii="仿宋" w:hAnsi="仿宋" w:eastAsia="仿宋" w:cs="仿宋"/>
          <w:snapToGrid w:val="0"/>
          <w:kern w:val="0"/>
          <w:sz w:val="24"/>
          <w:lang w:val="en-US" w:eastAsia="zh-CN"/>
        </w:rPr>
        <w:t>谈判</w:t>
      </w:r>
      <w:r>
        <w:rPr>
          <w:rFonts w:hint="eastAsia" w:ascii="仿宋" w:hAnsi="仿宋" w:eastAsia="仿宋" w:cs="仿宋"/>
          <w:snapToGrid w:val="0"/>
          <w:kern w:val="0"/>
          <w:sz w:val="24"/>
        </w:rPr>
        <w:t>文件中规定的货币单位（人民币元）</w:t>
      </w:r>
      <w:r>
        <w:rPr>
          <w:rFonts w:hint="eastAsia" w:ascii="仿宋" w:hAnsi="仿宋" w:eastAsia="仿宋" w:cs="仿宋"/>
          <w:snapToGrid w:val="0"/>
          <w:kern w:val="0"/>
          <w:sz w:val="24"/>
          <w:lang w:val="en-US" w:eastAsia="zh-CN"/>
        </w:rPr>
        <w:t>大小写均</w:t>
      </w:r>
      <w:r>
        <w:rPr>
          <w:rFonts w:hint="eastAsia" w:ascii="仿宋" w:hAnsi="仿宋" w:eastAsia="仿宋" w:cs="仿宋"/>
          <w:snapToGrid w:val="0"/>
          <w:kern w:val="0"/>
          <w:sz w:val="24"/>
        </w:rPr>
        <w:t>填写。</w:t>
      </w:r>
    </w:p>
    <w:p w14:paraId="2D790BBA">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总计价应等于《开标一览表》中的投标总价。若总计价与《开标一览表》总价不一致，以开标一览表总价为准</w:t>
      </w:r>
      <w:r>
        <w:rPr>
          <w:rFonts w:hint="eastAsia" w:ascii="仿宋" w:hAnsi="仿宋" w:eastAsia="仿宋" w:cs="仿宋"/>
          <w:snapToGrid w:val="0"/>
          <w:kern w:val="0"/>
          <w:sz w:val="24"/>
          <w:lang w:eastAsia="zh-CN"/>
        </w:rPr>
        <w:t>。</w:t>
      </w:r>
    </w:p>
    <w:p w14:paraId="09E1FA6E">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3.</w:t>
      </w:r>
      <w:r>
        <w:rPr>
          <w:rFonts w:hint="eastAsia" w:ascii="仿宋" w:hAnsi="仿宋" w:eastAsia="仿宋" w:cs="仿宋"/>
          <w:snapToGrid w:val="0"/>
          <w:kern w:val="0"/>
          <w:sz w:val="24"/>
        </w:rPr>
        <w:t>单价金额小数点或者百分比有明显错位的，以开标一览表的总价为准，并修改单价；</w:t>
      </w:r>
    </w:p>
    <w:p w14:paraId="4BD42419">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4.</w:t>
      </w:r>
      <w:r>
        <w:rPr>
          <w:rFonts w:hint="eastAsia" w:ascii="仿宋" w:hAnsi="仿宋" w:eastAsia="仿宋" w:cs="仿宋"/>
          <w:snapToGrid w:val="0"/>
          <w:kern w:val="0"/>
          <w:sz w:val="24"/>
        </w:rPr>
        <w:t>总价金额与按单价汇总金额不一致的，以单价金额计算结果为准；</w:t>
      </w:r>
    </w:p>
    <w:p w14:paraId="24719E37">
      <w:pPr>
        <w:spacing w:line="276"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5</w:t>
      </w:r>
      <w:r>
        <w:rPr>
          <w:rFonts w:hint="eastAsia" w:ascii="仿宋" w:hAnsi="仿宋" w:eastAsia="仿宋" w:cs="仿宋"/>
          <w:snapToGrid w:val="0"/>
          <w:kern w:val="0"/>
          <w:sz w:val="24"/>
        </w:rPr>
        <w:t>、投标人如果需要对报价或其它内容加以说明，可在备注栏填写。</w:t>
      </w:r>
    </w:p>
    <w:p w14:paraId="33FAD433">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6</w:t>
      </w:r>
      <w:r>
        <w:rPr>
          <w:rFonts w:hint="eastAsia" w:ascii="仿宋" w:hAnsi="仿宋" w:eastAsia="仿宋" w:cs="仿宋"/>
          <w:snapToGrid w:val="0"/>
          <w:kern w:val="0"/>
          <w:sz w:val="24"/>
        </w:rPr>
        <w:t>、《开标一览表》作为开标时唱标的依据，除按格式要求放入投标文件中外，</w:t>
      </w:r>
      <w:r>
        <w:rPr>
          <w:rFonts w:hint="eastAsia" w:ascii="仿宋" w:hAnsi="仿宋" w:eastAsia="仿宋" w:cs="仿宋"/>
          <w:b/>
          <w:bCs/>
          <w:snapToGrid w:val="0"/>
          <w:color w:val="FF0000"/>
          <w:kern w:val="0"/>
          <w:sz w:val="24"/>
        </w:rPr>
        <w:t>还应另行单独密封提交一份</w:t>
      </w:r>
      <w:r>
        <w:rPr>
          <w:rFonts w:hint="eastAsia" w:ascii="仿宋" w:hAnsi="仿宋" w:eastAsia="仿宋" w:cs="仿宋"/>
          <w:snapToGrid w:val="0"/>
          <w:kern w:val="0"/>
          <w:sz w:val="24"/>
        </w:rPr>
        <w:t>，</w:t>
      </w:r>
      <w:r>
        <w:rPr>
          <w:rFonts w:hint="eastAsia" w:ascii="仿宋" w:hAnsi="仿宋" w:eastAsia="仿宋" w:cs="仿宋"/>
          <w:snapToGrid w:val="0"/>
          <w:kern w:val="0"/>
          <w:sz w:val="24"/>
          <w:highlight w:val="yellow"/>
        </w:rPr>
        <w:t>在封口密封处加盖公章（或密封封口处粘贴封条并加盖投标单位公章）</w:t>
      </w:r>
      <w:r>
        <w:rPr>
          <w:rFonts w:hint="eastAsia" w:ascii="仿宋" w:hAnsi="仿宋" w:eastAsia="仿宋" w:cs="仿宋"/>
          <w:snapToGrid w:val="0"/>
          <w:kern w:val="0"/>
          <w:sz w:val="24"/>
        </w:rPr>
        <w:t>，并在信封上标明“开标一览表”字样。</w:t>
      </w:r>
    </w:p>
    <w:p w14:paraId="46D1A5A2">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7</w:t>
      </w:r>
      <w:r>
        <w:rPr>
          <w:rFonts w:hint="eastAsia" w:ascii="仿宋" w:hAnsi="仿宋" w:eastAsia="仿宋" w:cs="仿宋"/>
          <w:snapToGrid w:val="0"/>
          <w:kern w:val="0"/>
          <w:sz w:val="24"/>
        </w:rPr>
        <w:t>、《开标一览表》一经公布</w:t>
      </w:r>
      <w:r>
        <w:rPr>
          <w:rFonts w:hint="eastAsia" w:ascii="仿宋" w:hAnsi="仿宋" w:eastAsia="仿宋" w:cs="仿宋"/>
          <w:snapToGrid w:val="0"/>
          <w:kern w:val="0"/>
          <w:sz w:val="24"/>
          <w:lang w:eastAsia="zh-CN"/>
        </w:rPr>
        <w:t>，</w:t>
      </w:r>
      <w:r>
        <w:rPr>
          <w:rFonts w:hint="eastAsia" w:ascii="仿宋" w:hAnsi="仿宋" w:eastAsia="仿宋" w:cs="仿宋"/>
          <w:snapToGrid w:val="0"/>
          <w:kern w:val="0"/>
          <w:sz w:val="24"/>
        </w:rPr>
        <w:t>不得更改，如有错误</w:t>
      </w:r>
      <w:r>
        <w:rPr>
          <w:rFonts w:hint="eastAsia" w:ascii="仿宋" w:hAnsi="仿宋" w:eastAsia="仿宋" w:cs="仿宋"/>
          <w:snapToGrid w:val="0"/>
          <w:kern w:val="0"/>
          <w:sz w:val="24"/>
          <w:lang w:val="en-US" w:eastAsia="zh-CN"/>
        </w:rPr>
        <w:t>或</w:t>
      </w:r>
      <w:r>
        <w:rPr>
          <w:rFonts w:hint="eastAsia" w:ascii="仿宋" w:hAnsi="仿宋" w:eastAsia="仿宋" w:cs="仿宋"/>
          <w:snapToGrid w:val="0"/>
          <w:kern w:val="0"/>
          <w:sz w:val="24"/>
        </w:rPr>
        <w:t>未按</w:t>
      </w:r>
      <w:r>
        <w:rPr>
          <w:rFonts w:hint="eastAsia" w:ascii="仿宋" w:hAnsi="仿宋" w:eastAsia="仿宋" w:cs="仿宋"/>
          <w:snapToGrid w:val="0"/>
          <w:kern w:val="0"/>
          <w:sz w:val="24"/>
          <w:lang w:val="en-US" w:eastAsia="zh-CN"/>
        </w:rPr>
        <w:t>谈判</w:t>
      </w:r>
      <w:r>
        <w:rPr>
          <w:rFonts w:hint="eastAsia" w:ascii="仿宋" w:hAnsi="仿宋" w:eastAsia="仿宋" w:cs="仿宋"/>
          <w:snapToGrid w:val="0"/>
          <w:kern w:val="0"/>
          <w:sz w:val="24"/>
        </w:rPr>
        <w:t>文件规定签字、盖章，将导致废标。</w:t>
      </w:r>
    </w:p>
    <w:p w14:paraId="277CF324">
      <w:pPr>
        <w:spacing w:line="276" w:lineRule="auto"/>
        <w:ind w:firstLine="482" w:firstLineChars="200"/>
        <w:rPr>
          <w:rFonts w:hint="eastAsia" w:ascii="仿宋" w:hAnsi="仿宋" w:eastAsia="仿宋" w:cs="仿宋"/>
          <w:b/>
          <w:bCs/>
          <w:snapToGrid w:val="0"/>
          <w:color w:val="FF0000"/>
          <w:kern w:val="0"/>
          <w:sz w:val="24"/>
          <w:lang w:val="en-US" w:eastAsia="zh-CN"/>
        </w:rPr>
      </w:pPr>
      <w:r>
        <w:rPr>
          <w:rFonts w:hint="eastAsia" w:ascii="仿宋" w:hAnsi="仿宋" w:eastAsia="仿宋" w:cs="仿宋"/>
          <w:b/>
          <w:bCs/>
          <w:snapToGrid w:val="0"/>
          <w:color w:val="FF0000"/>
          <w:kern w:val="0"/>
          <w:sz w:val="24"/>
          <w:lang w:val="en-US" w:eastAsia="zh-CN"/>
        </w:rPr>
        <w:t>8.</w:t>
      </w:r>
      <w:r>
        <w:rPr>
          <w:rFonts w:hint="eastAsia" w:ascii="仿宋" w:hAnsi="仿宋" w:eastAsia="仿宋" w:cs="仿宋"/>
          <w:b/>
          <w:bCs/>
          <w:snapToGrid w:val="0"/>
          <w:color w:val="FF0000"/>
          <w:kern w:val="0"/>
          <w:sz w:val="24"/>
          <w:highlight w:val="yellow"/>
          <w:lang w:val="en-US" w:eastAsia="zh-CN"/>
        </w:rPr>
        <w:t>本项目预算金额（即支付上限）为91832元，其中院本部及龙尾院区支付上限58232元，驻所门诊及现有20家社康支付上限33600元</w:t>
      </w:r>
      <w:r>
        <w:rPr>
          <w:rFonts w:hint="eastAsia" w:ascii="仿宋" w:hAnsi="仿宋" w:eastAsia="仿宋" w:cs="仿宋"/>
          <w:b/>
          <w:bCs/>
          <w:snapToGrid w:val="0"/>
          <w:color w:val="FF0000"/>
          <w:kern w:val="0"/>
          <w:sz w:val="24"/>
          <w:lang w:val="en-US" w:eastAsia="zh-CN"/>
        </w:rPr>
        <w:t>。供应商投标总价（即系统“开标一览表”填报的“投标总价”）应为本项目的年度支付上限，供应商投标文件中“报价明细表”视为供应商第一轮报价；在现场谈判中，供应商仍需按照本报价格式提供报价，并以最终一轮的报价情况作为签订合同的依据。</w:t>
      </w:r>
    </w:p>
    <w:p w14:paraId="7735F334">
      <w:pPr>
        <w:pStyle w:val="19"/>
        <w:rPr>
          <w:rFonts w:hint="default" w:eastAsia="宋体"/>
          <w:sz w:val="24"/>
          <w:szCs w:val="24"/>
          <w:highlight w:val="none"/>
          <w:lang w:val="en-US" w:eastAsia="zh-CN"/>
        </w:rPr>
      </w:pPr>
    </w:p>
    <w:p w14:paraId="2236B775">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C2B9503">
      <w:pPr>
        <w:jc w:val="center"/>
        <w:rPr>
          <w:rFonts w:ascii="仿宋" w:hAnsi="仿宋" w:eastAsia="仿宋" w:cs="仿宋"/>
          <w:color w:val="000000" w:themeColor="text1"/>
          <w:sz w:val="24"/>
          <w14:textFill>
            <w14:solidFill>
              <w14:schemeClr w14:val="tx1"/>
            </w14:solidFill>
          </w14:textFill>
        </w:rPr>
      </w:pPr>
    </w:p>
    <w:p w14:paraId="0210C703">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7CA79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618283D4">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3E9C75FC">
      <w:pPr>
        <w:numPr>
          <w:ilvl w:val="0"/>
          <w:numId w:val="0"/>
        </w:numPr>
        <w:bidi w:val="0"/>
        <w:jc w:val="center"/>
        <w:rPr>
          <w:rFonts w:hint="eastAsia" w:ascii="仿宋" w:hAnsi="仿宋" w:eastAsia="仿宋" w:cs="仿宋"/>
          <w:b/>
          <w:bCs w:val="0"/>
          <w:sz w:val="36"/>
          <w:lang w:val="en-US" w:eastAsia="zh-CN"/>
        </w:rPr>
      </w:pPr>
    </w:p>
    <w:p w14:paraId="6998C8E1">
      <w:pPr>
        <w:numPr>
          <w:ilvl w:val="0"/>
          <w:numId w:val="0"/>
        </w:numPr>
        <w:bidi w:val="0"/>
        <w:jc w:val="center"/>
        <w:rPr>
          <w:rFonts w:hint="eastAsia" w:ascii="仿宋" w:hAnsi="仿宋" w:eastAsia="仿宋" w:cs="仿宋"/>
          <w:b/>
          <w:bCs w:val="0"/>
          <w:sz w:val="36"/>
          <w:lang w:val="en-US" w:eastAsia="zh-CN"/>
        </w:rPr>
      </w:pPr>
    </w:p>
    <w:p w14:paraId="283F88F6">
      <w:pPr>
        <w:numPr>
          <w:ilvl w:val="0"/>
          <w:numId w:val="0"/>
        </w:numPr>
        <w:bidi w:val="0"/>
        <w:jc w:val="center"/>
        <w:rPr>
          <w:rFonts w:hint="eastAsia" w:ascii="仿宋" w:hAnsi="仿宋" w:eastAsia="仿宋" w:cs="仿宋"/>
          <w:b/>
          <w:bCs w:val="0"/>
          <w:sz w:val="36"/>
          <w:lang w:val="en-US" w:eastAsia="zh-CN"/>
        </w:rPr>
      </w:pPr>
    </w:p>
    <w:p w14:paraId="1D584DCD">
      <w:pPr>
        <w:numPr>
          <w:ilvl w:val="0"/>
          <w:numId w:val="0"/>
        </w:numPr>
        <w:bidi w:val="0"/>
        <w:jc w:val="center"/>
        <w:rPr>
          <w:rFonts w:hint="eastAsia" w:ascii="仿宋" w:hAnsi="仿宋" w:eastAsia="仿宋" w:cs="仿宋"/>
          <w:b/>
          <w:bCs w:val="0"/>
          <w:sz w:val="36"/>
          <w:lang w:val="en-US" w:eastAsia="zh-CN"/>
        </w:rPr>
      </w:pPr>
    </w:p>
    <w:p w14:paraId="1DDE241D">
      <w:pPr>
        <w:numPr>
          <w:ilvl w:val="0"/>
          <w:numId w:val="0"/>
        </w:numPr>
        <w:bidi w:val="0"/>
        <w:jc w:val="center"/>
        <w:rPr>
          <w:rFonts w:hint="eastAsia" w:ascii="仿宋" w:hAnsi="仿宋" w:eastAsia="仿宋" w:cs="仿宋"/>
          <w:b/>
          <w:bCs w:val="0"/>
          <w:sz w:val="36"/>
          <w:lang w:val="en-US" w:eastAsia="zh-CN"/>
        </w:rPr>
      </w:pPr>
    </w:p>
    <w:p w14:paraId="763BECAB">
      <w:pPr>
        <w:numPr>
          <w:ilvl w:val="0"/>
          <w:numId w:val="0"/>
        </w:numPr>
        <w:bidi w:val="0"/>
        <w:jc w:val="center"/>
        <w:rPr>
          <w:rFonts w:hint="eastAsia" w:ascii="仿宋" w:hAnsi="仿宋" w:eastAsia="仿宋" w:cs="仿宋"/>
          <w:b/>
          <w:bCs w:val="0"/>
          <w:sz w:val="36"/>
          <w:lang w:val="en-US" w:eastAsia="zh-CN"/>
        </w:rPr>
      </w:pPr>
    </w:p>
    <w:p w14:paraId="350D28B0">
      <w:pPr>
        <w:numPr>
          <w:ilvl w:val="0"/>
          <w:numId w:val="0"/>
        </w:numPr>
        <w:bidi w:val="0"/>
        <w:jc w:val="center"/>
        <w:rPr>
          <w:rFonts w:hint="eastAsia" w:ascii="仿宋" w:hAnsi="仿宋" w:eastAsia="仿宋" w:cs="仿宋"/>
          <w:b/>
          <w:bCs w:val="0"/>
          <w:sz w:val="36"/>
          <w:lang w:val="en-US" w:eastAsia="zh-CN"/>
        </w:rPr>
      </w:pPr>
    </w:p>
    <w:p w14:paraId="4C9D80D8">
      <w:pPr>
        <w:numPr>
          <w:ilvl w:val="0"/>
          <w:numId w:val="0"/>
        </w:numPr>
        <w:bidi w:val="0"/>
        <w:jc w:val="center"/>
        <w:rPr>
          <w:rFonts w:hint="eastAsia" w:ascii="仿宋" w:hAnsi="仿宋" w:eastAsia="仿宋" w:cs="仿宋"/>
          <w:b/>
          <w:bCs w:val="0"/>
          <w:sz w:val="36"/>
          <w:lang w:val="en-US" w:eastAsia="zh-CN"/>
        </w:rPr>
      </w:pPr>
    </w:p>
    <w:p w14:paraId="0A858F79">
      <w:pPr>
        <w:numPr>
          <w:ilvl w:val="0"/>
          <w:numId w:val="0"/>
        </w:numPr>
        <w:bidi w:val="0"/>
        <w:jc w:val="center"/>
        <w:rPr>
          <w:rFonts w:hint="eastAsia" w:ascii="仿宋" w:hAnsi="仿宋" w:eastAsia="仿宋" w:cs="仿宋"/>
          <w:b/>
          <w:bCs w:val="0"/>
          <w:sz w:val="36"/>
          <w:lang w:val="en-US" w:eastAsia="zh-CN"/>
        </w:rPr>
      </w:pPr>
    </w:p>
    <w:p w14:paraId="4BE9A9A9">
      <w:pPr>
        <w:numPr>
          <w:ilvl w:val="0"/>
          <w:numId w:val="0"/>
        </w:numPr>
        <w:bidi w:val="0"/>
        <w:jc w:val="center"/>
        <w:rPr>
          <w:rFonts w:hint="eastAsia" w:ascii="仿宋" w:hAnsi="仿宋" w:eastAsia="仿宋" w:cs="仿宋"/>
          <w:b/>
          <w:bCs w:val="0"/>
          <w:sz w:val="36"/>
          <w:lang w:val="en-US" w:eastAsia="zh-CN"/>
        </w:rPr>
      </w:pPr>
    </w:p>
    <w:p w14:paraId="71FC1880">
      <w:pPr>
        <w:numPr>
          <w:ilvl w:val="0"/>
          <w:numId w:val="0"/>
        </w:numPr>
        <w:bidi w:val="0"/>
        <w:jc w:val="center"/>
        <w:rPr>
          <w:rFonts w:hint="eastAsia" w:ascii="仿宋" w:hAnsi="仿宋" w:eastAsia="仿宋" w:cs="仿宋"/>
          <w:b/>
          <w:bCs w:val="0"/>
          <w:sz w:val="36"/>
          <w:lang w:val="en-US" w:eastAsia="zh-CN"/>
        </w:rPr>
      </w:pPr>
    </w:p>
    <w:p w14:paraId="24B10296">
      <w:pPr>
        <w:numPr>
          <w:ilvl w:val="0"/>
          <w:numId w:val="0"/>
        </w:numPr>
        <w:bidi w:val="0"/>
        <w:jc w:val="center"/>
        <w:rPr>
          <w:rFonts w:hint="eastAsia" w:ascii="仿宋" w:hAnsi="仿宋" w:eastAsia="仿宋" w:cs="仿宋"/>
          <w:b/>
          <w:bCs w:val="0"/>
          <w:sz w:val="36"/>
          <w:lang w:val="en-US" w:eastAsia="zh-CN"/>
        </w:rPr>
      </w:pPr>
    </w:p>
    <w:p w14:paraId="399651AB">
      <w:pPr>
        <w:numPr>
          <w:ilvl w:val="0"/>
          <w:numId w:val="0"/>
        </w:numPr>
        <w:bidi w:val="0"/>
        <w:jc w:val="center"/>
        <w:rPr>
          <w:rFonts w:hint="eastAsia" w:ascii="仿宋" w:hAnsi="仿宋" w:eastAsia="仿宋" w:cs="仿宋"/>
          <w:b/>
          <w:bCs w:val="0"/>
          <w:sz w:val="36"/>
          <w:lang w:val="en-US" w:eastAsia="zh-CN"/>
        </w:rPr>
      </w:pPr>
    </w:p>
    <w:p w14:paraId="2D6E7168">
      <w:pPr>
        <w:numPr>
          <w:ilvl w:val="0"/>
          <w:numId w:val="0"/>
        </w:numPr>
        <w:bidi w:val="0"/>
        <w:jc w:val="center"/>
        <w:rPr>
          <w:rFonts w:hint="eastAsia" w:ascii="仿宋" w:hAnsi="仿宋" w:eastAsia="仿宋" w:cs="仿宋"/>
          <w:b/>
          <w:bCs w:val="0"/>
          <w:sz w:val="36"/>
          <w:lang w:val="en-US" w:eastAsia="zh-CN"/>
        </w:rPr>
      </w:pPr>
    </w:p>
    <w:p w14:paraId="44E21D37">
      <w:pPr>
        <w:numPr>
          <w:ilvl w:val="0"/>
          <w:numId w:val="0"/>
        </w:numPr>
        <w:bidi w:val="0"/>
        <w:jc w:val="center"/>
        <w:rPr>
          <w:rFonts w:hint="eastAsia" w:ascii="仿宋" w:hAnsi="仿宋" w:eastAsia="仿宋" w:cs="仿宋"/>
          <w:b/>
          <w:bCs w:val="0"/>
          <w:sz w:val="36"/>
          <w:lang w:val="en-US" w:eastAsia="zh-CN"/>
        </w:rPr>
      </w:pPr>
    </w:p>
    <w:p w14:paraId="6BD3492A">
      <w:pPr>
        <w:numPr>
          <w:ilvl w:val="0"/>
          <w:numId w:val="0"/>
        </w:numPr>
        <w:bidi w:val="0"/>
        <w:jc w:val="center"/>
        <w:rPr>
          <w:rFonts w:hint="eastAsia" w:ascii="仿宋" w:hAnsi="仿宋" w:eastAsia="仿宋" w:cs="仿宋"/>
          <w:b/>
          <w:bCs w:val="0"/>
          <w:sz w:val="36"/>
          <w:lang w:val="en-US" w:eastAsia="zh-CN"/>
        </w:rPr>
      </w:pPr>
    </w:p>
    <w:p w14:paraId="77836398">
      <w:pPr>
        <w:numPr>
          <w:ilvl w:val="0"/>
          <w:numId w:val="0"/>
        </w:numPr>
        <w:bidi w:val="0"/>
        <w:jc w:val="center"/>
        <w:rPr>
          <w:rFonts w:hint="eastAsia" w:ascii="仿宋" w:hAnsi="仿宋" w:eastAsia="仿宋" w:cs="仿宋"/>
          <w:b/>
          <w:bCs w:val="0"/>
          <w:kern w:val="2"/>
          <w:sz w:val="32"/>
          <w:szCs w:val="32"/>
          <w:lang w:val="en-US" w:eastAsia="zh-CN" w:bidi="ar-SA"/>
        </w:rPr>
      </w:pPr>
      <w:bookmarkStart w:id="86" w:name="_GoBack"/>
      <w:bookmarkEnd w:id="86"/>
      <w:r>
        <w:rPr>
          <w:rFonts w:hint="eastAsia" w:ascii="仿宋" w:hAnsi="仿宋" w:eastAsia="仿宋" w:cs="仿宋"/>
          <w:b/>
          <w:bCs w:val="0"/>
          <w:sz w:val="36"/>
          <w:lang w:val="en-US" w:eastAsia="zh-CN"/>
        </w:rPr>
        <w:t>四</w:t>
      </w:r>
      <w:r>
        <w:rPr>
          <w:rFonts w:hint="eastAsia" w:ascii="仿宋" w:hAnsi="仿宋" w:eastAsia="仿宋" w:cs="仿宋"/>
          <w:b/>
          <w:bCs w:val="0"/>
          <w:sz w:val="36"/>
        </w:rPr>
        <w:t>、</w:t>
      </w:r>
      <w:bookmarkEnd w:id="26"/>
      <w:r>
        <w:rPr>
          <w:rFonts w:hint="eastAsia" w:ascii="仿宋" w:hAnsi="仿宋" w:eastAsia="仿宋" w:cs="仿宋"/>
          <w:b/>
          <w:bCs w:val="0"/>
          <w:kern w:val="2"/>
          <w:sz w:val="32"/>
          <w:szCs w:val="32"/>
          <w:lang w:val="en-US" w:eastAsia="zh-CN" w:bidi="ar-SA"/>
        </w:rPr>
        <w:t>投标人资格及投标承诺函</w:t>
      </w:r>
    </w:p>
    <w:p w14:paraId="092F1762">
      <w:pPr>
        <w:bidi w:val="0"/>
        <w:rPr>
          <w:rFonts w:hint="eastAsia"/>
        </w:rPr>
      </w:pPr>
    </w:p>
    <w:p w14:paraId="4C901F5D">
      <w:pPr>
        <w:numPr>
          <w:ilvl w:val="0"/>
          <w:numId w:val="0"/>
        </w:numPr>
        <w:ind w:leftChars="0"/>
        <w:rPr>
          <w:rFonts w:hint="eastAsia" w:ascii="仿宋" w:hAnsi="仿宋" w:eastAsia="仿宋" w:cs="仿宋"/>
          <w:b/>
          <w:color w:val="FF0000"/>
          <w:sz w:val="24"/>
        </w:rPr>
      </w:pPr>
      <w:r>
        <w:rPr>
          <w:rFonts w:hint="eastAsia" w:ascii="仿宋" w:hAnsi="仿宋" w:eastAsia="仿宋" w:cs="仿宋"/>
          <w:b/>
          <w:color w:val="FF0000"/>
          <w:sz w:val="24"/>
        </w:rPr>
        <w:t>注：按本谈判文件第一章采购公告（或采购邀请函）“</w:t>
      </w:r>
      <w:r>
        <w:rPr>
          <w:rFonts w:hint="eastAsia" w:ascii="仿宋" w:hAnsi="仿宋" w:eastAsia="仿宋" w:cs="仿宋"/>
          <w:b/>
          <w:color w:val="FF0000"/>
          <w:sz w:val="24"/>
          <w:lang w:val="en-US" w:eastAsia="zh-CN"/>
        </w:rPr>
        <w:t>投标人</w:t>
      </w:r>
      <w:r>
        <w:rPr>
          <w:rFonts w:hint="eastAsia" w:ascii="仿宋" w:hAnsi="仿宋" w:eastAsia="仿宋" w:cs="仿宋"/>
          <w:b/>
          <w:color w:val="FF0000"/>
          <w:sz w:val="24"/>
        </w:rPr>
        <w:t>的资格要求”提供相关的资质证明。</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文件中未提供相关证明的，或提供不完整、不</w:t>
      </w:r>
      <w:r>
        <w:rPr>
          <w:rFonts w:hint="eastAsia" w:ascii="仿宋" w:hAnsi="仿宋" w:eastAsia="仿宋" w:cs="仿宋"/>
          <w:b/>
          <w:color w:val="FF0000"/>
          <w:sz w:val="24"/>
          <w:lang w:val="en-US" w:eastAsia="zh-CN"/>
        </w:rPr>
        <w:t>符合</w:t>
      </w:r>
      <w:r>
        <w:rPr>
          <w:rFonts w:hint="eastAsia" w:ascii="仿宋" w:hAnsi="仿宋" w:eastAsia="仿宋" w:cs="仿宋"/>
          <w:b/>
          <w:color w:val="FF0000"/>
          <w:sz w:val="24"/>
        </w:rPr>
        <w:t>要求的，</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文件将按无效投标处理。</w:t>
      </w:r>
    </w:p>
    <w:p w14:paraId="1D2167DF">
      <w:pPr>
        <w:numPr>
          <w:ilvl w:val="0"/>
          <w:numId w:val="0"/>
        </w:numPr>
        <w:ind w:leftChars="0"/>
        <w:jc w:val="center"/>
        <w:rPr>
          <w:rFonts w:hint="eastAsia"/>
        </w:rPr>
      </w:pP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供应商一览表</w:t>
      </w:r>
    </w:p>
    <w:tbl>
      <w:tblPr>
        <w:tblStyle w:val="4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917"/>
        <w:gridCol w:w="3860"/>
        <w:gridCol w:w="1875"/>
      </w:tblGrid>
      <w:tr w14:paraId="496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Align w:val="center"/>
          </w:tcPr>
          <w:p w14:paraId="0291BA0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917" w:type="dxa"/>
            <w:vAlign w:val="center"/>
          </w:tcPr>
          <w:p w14:paraId="791161A2">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  目</w:t>
            </w:r>
          </w:p>
        </w:tc>
        <w:tc>
          <w:tcPr>
            <w:tcW w:w="3860" w:type="dxa"/>
            <w:vAlign w:val="center"/>
          </w:tcPr>
          <w:p w14:paraId="70B0C52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内容及说明</w:t>
            </w:r>
          </w:p>
        </w:tc>
        <w:tc>
          <w:tcPr>
            <w:tcW w:w="1875" w:type="dxa"/>
            <w:vAlign w:val="center"/>
          </w:tcPr>
          <w:p w14:paraId="534F1B2D">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证明文件页码</w:t>
            </w:r>
          </w:p>
        </w:tc>
      </w:tr>
      <w:tr w14:paraId="324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72E40C5D">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p>
        </w:tc>
        <w:tc>
          <w:tcPr>
            <w:tcW w:w="1917" w:type="dxa"/>
            <w:vAlign w:val="center"/>
          </w:tcPr>
          <w:p w14:paraId="498ABDC4">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营业执照/事业单位法人证书或其他证明材料</w:t>
            </w:r>
          </w:p>
        </w:tc>
        <w:tc>
          <w:tcPr>
            <w:tcW w:w="3860" w:type="dxa"/>
            <w:vAlign w:val="center"/>
          </w:tcPr>
          <w:p w14:paraId="10D866E8">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restart"/>
            <w:vAlign w:val="center"/>
          </w:tcPr>
          <w:p w14:paraId="27696023">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9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6EDF0FC">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101E70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1.注册年度及注册编号</w:t>
            </w:r>
          </w:p>
        </w:tc>
        <w:tc>
          <w:tcPr>
            <w:tcW w:w="3860" w:type="dxa"/>
            <w:vAlign w:val="center"/>
          </w:tcPr>
          <w:p w14:paraId="61CB949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D8FE79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101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2B529A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06C76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2.注册资金</w:t>
            </w:r>
          </w:p>
          <w:p w14:paraId="4DDAF8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3860" w:type="dxa"/>
            <w:vAlign w:val="center"/>
          </w:tcPr>
          <w:p w14:paraId="423D2E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74969B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4E1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61CAEAC8">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4009CA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3.经营场所：</w:t>
            </w:r>
          </w:p>
        </w:tc>
        <w:tc>
          <w:tcPr>
            <w:tcW w:w="3860" w:type="dxa"/>
            <w:vAlign w:val="center"/>
          </w:tcPr>
          <w:p w14:paraId="264011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AA5B0F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0F32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3678BEE">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75423D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4.有效期：</w:t>
            </w:r>
          </w:p>
        </w:tc>
        <w:tc>
          <w:tcPr>
            <w:tcW w:w="3860" w:type="dxa"/>
            <w:vAlign w:val="center"/>
          </w:tcPr>
          <w:p w14:paraId="0170664B">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875" w:type="dxa"/>
            <w:vMerge w:val="continue"/>
            <w:vAlign w:val="center"/>
          </w:tcPr>
          <w:p w14:paraId="4C53342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28C5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0F937714">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p>
        </w:tc>
        <w:tc>
          <w:tcPr>
            <w:tcW w:w="1917" w:type="dxa"/>
            <w:vAlign w:val="center"/>
          </w:tcPr>
          <w:p w14:paraId="467AA80F">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其他资格（质）</w:t>
            </w:r>
          </w:p>
          <w:p w14:paraId="71F3B59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证书</w:t>
            </w:r>
          </w:p>
        </w:tc>
        <w:tc>
          <w:tcPr>
            <w:tcW w:w="3860" w:type="dxa"/>
            <w:vAlign w:val="center"/>
          </w:tcPr>
          <w:p w14:paraId="58D07F1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（可按表格格式扩展）</w:t>
            </w:r>
          </w:p>
        </w:tc>
        <w:tc>
          <w:tcPr>
            <w:tcW w:w="1875" w:type="dxa"/>
            <w:vMerge w:val="restart"/>
            <w:vAlign w:val="center"/>
          </w:tcPr>
          <w:p w14:paraId="0484AEB5">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4D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18AC7DB3">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73AAAB9">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1.证书名称</w:t>
            </w:r>
          </w:p>
        </w:tc>
        <w:tc>
          <w:tcPr>
            <w:tcW w:w="3860" w:type="dxa"/>
            <w:vAlign w:val="center"/>
          </w:tcPr>
          <w:p w14:paraId="2D8A6EB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34EC9FCB">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35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971503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B6FBE6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2.批准单位</w:t>
            </w:r>
          </w:p>
        </w:tc>
        <w:tc>
          <w:tcPr>
            <w:tcW w:w="3860" w:type="dxa"/>
            <w:vAlign w:val="center"/>
          </w:tcPr>
          <w:p w14:paraId="1A23AED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5EDC89A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D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9CC211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EAEFF5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3.等级</w:t>
            </w:r>
          </w:p>
        </w:tc>
        <w:tc>
          <w:tcPr>
            <w:tcW w:w="3860" w:type="dxa"/>
            <w:vAlign w:val="center"/>
          </w:tcPr>
          <w:p w14:paraId="418EB34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2EB1D6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2B3F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551C1A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A4E430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4.批准时间及编号</w:t>
            </w:r>
          </w:p>
        </w:tc>
        <w:tc>
          <w:tcPr>
            <w:tcW w:w="3860" w:type="dxa"/>
            <w:vAlign w:val="center"/>
          </w:tcPr>
          <w:p w14:paraId="76F83AE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478049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3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758D16B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514206D">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5.有效期</w:t>
            </w:r>
          </w:p>
        </w:tc>
        <w:tc>
          <w:tcPr>
            <w:tcW w:w="3860" w:type="dxa"/>
            <w:vAlign w:val="center"/>
          </w:tcPr>
          <w:p w14:paraId="61C46815">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65D4F5FA">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bl>
    <w:p w14:paraId="3FC5C76C">
      <w:pPr>
        <w:bidi w:val="0"/>
        <w:rPr>
          <w:rFonts w:hint="eastAsia"/>
        </w:rPr>
      </w:pPr>
    </w:p>
    <w:p w14:paraId="6BD2053A">
      <w:pPr>
        <w:bidi w:val="0"/>
        <w:rPr>
          <w:rFonts w:hint="eastAsia"/>
        </w:rPr>
      </w:pPr>
    </w:p>
    <w:p w14:paraId="5292F53C">
      <w:pPr>
        <w:numPr>
          <w:ilvl w:val="0"/>
          <w:numId w:val="0"/>
        </w:numPr>
        <w:ind w:leftChars="0"/>
        <w:jc w:val="center"/>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w:t>
      </w:r>
      <w:r>
        <w:rPr>
          <w:rFonts w:hint="eastAsia" w:ascii="仿宋" w:hAnsi="仿宋" w:eastAsia="仿宋" w:cs="仿宋"/>
          <w:b/>
          <w:color w:val="000000"/>
          <w:sz w:val="28"/>
          <w:szCs w:val="28"/>
          <w:highlight w:val="none"/>
        </w:rPr>
        <w:t>供应商资格证明文件</w:t>
      </w:r>
    </w:p>
    <w:p w14:paraId="64EE14E1">
      <w:pPr>
        <w:keepNext w:val="0"/>
        <w:keepLines w:val="0"/>
        <w:pageBreakBefore w:val="0"/>
        <w:widowControl w:val="0"/>
        <w:kinsoku/>
        <w:wordWrap/>
        <w:overflowPunct/>
        <w:topLinePunct w:val="0"/>
        <w:autoSpaceDE/>
        <w:autoSpaceDN/>
        <w:bidi w:val="0"/>
        <w:adjustRightInd/>
        <w:snapToGrid w:val="0"/>
        <w:textAlignment w:val="auto"/>
        <w:outlineLvl w:val="9"/>
        <w:rPr>
          <w:rFonts w:ascii="仿宋" w:hAnsi="仿宋" w:eastAsia="仿宋" w:cs="仿宋"/>
          <w:bCs/>
          <w:color w:val="000000"/>
          <w:szCs w:val="21"/>
          <w:highlight w:val="none"/>
        </w:rPr>
      </w:pPr>
      <w:bookmarkStart w:id="27" w:name="_Toc10265"/>
      <w:bookmarkStart w:id="28" w:name="_Toc5975"/>
      <w:bookmarkStart w:id="29" w:name="_Toc6707"/>
      <w:r>
        <w:rPr>
          <w:rFonts w:hint="eastAsia" w:ascii="仿宋" w:hAnsi="仿宋" w:eastAsia="仿宋" w:cs="仿宋"/>
          <w:bCs/>
          <w:color w:val="000000"/>
          <w:szCs w:val="21"/>
          <w:highlight w:val="none"/>
        </w:rPr>
        <w:t>投标人资格要求的证明文件：</w:t>
      </w:r>
      <w:bookmarkEnd w:id="27"/>
      <w:bookmarkEnd w:id="28"/>
      <w:bookmarkEnd w:id="29"/>
    </w:p>
    <w:p w14:paraId="0E88A5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66202A5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2</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诚信</w:t>
      </w:r>
      <w:r>
        <w:rPr>
          <w:rFonts w:hint="eastAsia" w:ascii="仿宋" w:hAnsi="仿宋" w:eastAsia="仿宋" w:cs="仿宋"/>
          <w:bCs/>
          <w:color w:val="000000"/>
          <w:szCs w:val="21"/>
          <w:highlight w:val="none"/>
        </w:rPr>
        <w:t>查询记录网络截图</w:t>
      </w:r>
    </w:p>
    <w:p w14:paraId="64183669"/>
    <w:p w14:paraId="0E0F2D80">
      <w:pPr>
        <w:jc w:val="center"/>
        <w:rPr>
          <w:rFonts w:hint="eastAsia" w:ascii="宋体" w:hAnsi="宋体"/>
          <w:b/>
          <w:bCs w:val="0"/>
          <w:szCs w:val="21"/>
        </w:rPr>
      </w:pPr>
      <w:r>
        <w:rPr>
          <w:rFonts w:hint="eastAsia" w:ascii="宋体" w:hAnsi="宋体"/>
          <w:b/>
          <w:bCs w:val="0"/>
          <w:szCs w:val="21"/>
        </w:rPr>
        <w:t>信用信息查询记录网络截图</w:t>
      </w:r>
    </w:p>
    <w:p w14:paraId="35BB40BE">
      <w:pPr>
        <w:rPr>
          <w:rFonts w:hint="eastAsia" w:eastAsia="宋体"/>
          <w:lang w:eastAsia="zh-CN"/>
        </w:rPr>
      </w:pPr>
      <w:r>
        <w:t>查询路径</w:t>
      </w:r>
      <w:r>
        <w:rPr>
          <w:rFonts w:hint="eastAsia"/>
        </w:rPr>
        <w:t>：“</w:t>
      </w:r>
      <w:r>
        <w:rPr>
          <w:rFonts w:hint="eastAsia" w:ascii="宋体" w:hAnsi="宋体" w:cs="宋体"/>
          <w:bCs/>
          <w:kern w:val="0"/>
          <w:szCs w:val="21"/>
        </w:rPr>
        <w:t>信用中国”网（</w:t>
      </w:r>
      <w:r>
        <w:fldChar w:fldCharType="begin"/>
      </w:r>
      <w:r>
        <w:instrText xml:space="preserve"> HYPERLINK "http://www.creditchina.gov.cn" </w:instrText>
      </w:r>
      <w:r>
        <w:fldChar w:fldCharType="separate"/>
      </w:r>
      <w:r>
        <w:rPr>
          <w:rFonts w:hint="eastAsia" w:ascii="宋体" w:hAnsi="宋体" w:cs="宋体"/>
          <w:bCs/>
          <w:kern w:val="0"/>
          <w:szCs w:val="21"/>
        </w:rPr>
        <w:t>www.creditchina.gov.cn</w:t>
      </w:r>
      <w:r>
        <w:rPr>
          <w:rFonts w:hint="eastAsia" w:ascii="宋体" w:hAnsi="宋体" w:cs="宋体"/>
          <w:bCs/>
          <w:kern w:val="0"/>
          <w:szCs w:val="21"/>
        </w:rPr>
        <w:fldChar w:fldCharType="end"/>
      </w:r>
      <w:r>
        <w:rPr>
          <w:rFonts w:hint="eastAsia" w:ascii="宋体" w:hAnsi="宋体" w:cs="宋体"/>
          <w:bCs/>
          <w:kern w:val="0"/>
          <w:szCs w:val="21"/>
        </w:rPr>
        <w:t>）</w:t>
      </w:r>
      <w:r>
        <w:t>首页—</w:t>
      </w:r>
      <w:r>
        <w:rPr>
          <w:rFonts w:hint="eastAsia"/>
        </w:rPr>
        <w:t>点击</w:t>
      </w:r>
      <w:r>
        <w:rPr>
          <w:rFonts w:hint="eastAsia"/>
          <w:highlight w:val="yellow"/>
        </w:rPr>
        <w:t>“信用服务”中相应模块</w:t>
      </w:r>
      <w:r>
        <w:t>—</w:t>
      </w:r>
      <w:r>
        <w:rPr>
          <w:rFonts w:hint="eastAsia"/>
        </w:rPr>
        <w:t xml:space="preserve">输入企业名称 </w:t>
      </w:r>
      <w:r>
        <w:t>—</w:t>
      </w:r>
      <w:r>
        <w:rPr>
          <w:rFonts w:hint="eastAsia"/>
        </w:rPr>
        <w:t xml:space="preserve"> 查找</w:t>
      </w:r>
      <w:r>
        <w:rPr>
          <w:rFonts w:hint="eastAsia"/>
          <w:lang w:eastAsia="zh-CN"/>
        </w:rPr>
        <w:t>后截图</w:t>
      </w:r>
    </w:p>
    <w:p w14:paraId="3B0491EC">
      <w:pPr>
        <w:spacing w:after="60"/>
        <w:jc w:val="left"/>
        <w:rPr>
          <w:rFonts w:ascii="宋体" w:hAnsi="宋体"/>
          <w:color w:val="FF0000"/>
          <w:sz w:val="18"/>
          <w:szCs w:val="18"/>
        </w:rPr>
      </w:pPr>
      <w:r>
        <w:rPr>
          <w:rFonts w:hint="eastAsia" w:ascii="宋体" w:hAnsi="宋体"/>
          <w:color w:val="FF0000"/>
          <w:sz w:val="18"/>
          <w:szCs w:val="18"/>
        </w:rPr>
        <w:t>（注：投标人至少提供以下</w:t>
      </w:r>
      <w:r>
        <w:rPr>
          <w:rFonts w:hint="eastAsia" w:ascii="宋体" w:hAnsi="宋体"/>
          <w:color w:val="FF0000"/>
          <w:sz w:val="18"/>
          <w:szCs w:val="18"/>
          <w:highlight w:val="yellow"/>
        </w:rPr>
        <w:t>三个截图</w:t>
      </w:r>
      <w:r>
        <w:rPr>
          <w:rFonts w:hint="eastAsia" w:ascii="宋体" w:hAnsi="宋体"/>
          <w:color w:val="FF0000"/>
          <w:sz w:val="18"/>
          <w:szCs w:val="18"/>
        </w:rPr>
        <w:t>）</w:t>
      </w:r>
    </w:p>
    <w:p w14:paraId="4F010F14">
      <w:pPr>
        <w:spacing w:after="60"/>
        <w:jc w:val="left"/>
        <w:rPr>
          <w:rFonts w:hint="eastAsia" w:ascii="宋体" w:hAnsi="宋体" w:eastAsia="宋体"/>
          <w:b/>
          <w:bCs/>
          <w:szCs w:val="21"/>
          <w:lang w:val="en-US" w:eastAsia="zh-CN"/>
        </w:rPr>
      </w:pPr>
      <w:r>
        <w:rPr>
          <w:rFonts w:hint="eastAsia" w:ascii="宋体" w:hAnsi="宋体"/>
          <w:b/>
          <w:bCs/>
          <w:color w:val="FF0000"/>
          <w:sz w:val="18"/>
          <w:szCs w:val="18"/>
        </w:rPr>
        <w:t>1.失信被执行人</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0F0A1A86">
      <w:pPr>
        <w:spacing w:after="60"/>
        <w:jc w:val="left"/>
        <w:rPr>
          <w:rFonts w:ascii="宋体" w:hAnsi="宋体"/>
          <w:b/>
          <w:bCs/>
          <w:color w:val="FF0000"/>
          <w:sz w:val="18"/>
          <w:szCs w:val="18"/>
        </w:rPr>
      </w:pPr>
      <w:r>
        <w:drawing>
          <wp:inline distT="0" distB="0" distL="114300" distR="114300">
            <wp:extent cx="5411470" cy="1666240"/>
            <wp:effectExtent l="0" t="0" r="1778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411470" cy="1666240"/>
                    </a:xfrm>
                    <a:prstGeom prst="rect">
                      <a:avLst/>
                    </a:prstGeom>
                    <a:noFill/>
                    <a:ln>
                      <a:noFill/>
                    </a:ln>
                  </pic:spPr>
                </pic:pic>
              </a:graphicData>
            </a:graphic>
          </wp:inline>
        </w:drawing>
      </w:r>
    </w:p>
    <w:p w14:paraId="421D3875">
      <w:pPr>
        <w:spacing w:after="60"/>
        <w:jc w:val="left"/>
        <w:rPr>
          <w:rFonts w:ascii="宋体" w:hAnsi="宋体"/>
          <w:b/>
          <w:bCs/>
          <w:color w:val="FF0000"/>
          <w:sz w:val="18"/>
          <w:szCs w:val="18"/>
        </w:rPr>
      </w:pPr>
      <w:r>
        <w:rPr>
          <w:rFonts w:hint="eastAsia" w:ascii="宋体" w:hAnsi="宋体"/>
          <w:b/>
          <w:bCs/>
          <w:color w:val="FF0000"/>
          <w:sz w:val="18"/>
          <w:szCs w:val="18"/>
        </w:rPr>
        <w:t>2.重大税收违法失信主体</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27316AA8">
      <w:pPr>
        <w:spacing w:after="60"/>
        <w:jc w:val="left"/>
        <w:rPr>
          <w:rFonts w:ascii="宋体" w:hAnsi="宋体"/>
          <w:b/>
          <w:bCs/>
          <w:color w:val="FF0000"/>
          <w:sz w:val="18"/>
          <w:szCs w:val="18"/>
        </w:rPr>
      </w:pPr>
      <w:r>
        <w:drawing>
          <wp:inline distT="0" distB="0" distL="114300" distR="114300">
            <wp:extent cx="5547995" cy="1817370"/>
            <wp:effectExtent l="0" t="0" r="1460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547995" cy="1817370"/>
                    </a:xfrm>
                    <a:prstGeom prst="rect">
                      <a:avLst/>
                    </a:prstGeom>
                    <a:noFill/>
                    <a:ln>
                      <a:noFill/>
                    </a:ln>
                  </pic:spPr>
                </pic:pic>
              </a:graphicData>
            </a:graphic>
          </wp:inline>
        </w:drawing>
      </w:r>
    </w:p>
    <w:p w14:paraId="5BB1D2D6">
      <w:pPr>
        <w:spacing w:after="60"/>
        <w:jc w:val="left"/>
        <w:rPr>
          <w:rFonts w:ascii="宋体" w:hAnsi="宋体"/>
          <w:b/>
          <w:bCs/>
          <w:szCs w:val="21"/>
        </w:rPr>
      </w:pPr>
      <w:r>
        <w:rPr>
          <w:rFonts w:hint="eastAsia" w:ascii="宋体" w:hAnsi="宋体"/>
          <w:b/>
          <w:bCs/>
          <w:color w:val="FF0000"/>
          <w:sz w:val="18"/>
          <w:szCs w:val="18"/>
        </w:rPr>
        <w:t>3.政府采购严重违法失信行为记录名单</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68F6BB92">
      <w:pPr>
        <w:spacing w:after="60"/>
        <w:jc w:val="center"/>
        <w:rPr>
          <w:rFonts w:ascii="宋体" w:hAnsi="宋体"/>
          <w:b/>
          <w:bCs/>
          <w:szCs w:val="21"/>
        </w:rPr>
      </w:pPr>
      <w:r>
        <w:drawing>
          <wp:inline distT="0" distB="0" distL="114300" distR="114300">
            <wp:extent cx="5598795" cy="1707515"/>
            <wp:effectExtent l="0" t="0" r="1905" b="698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598795" cy="1707515"/>
                    </a:xfrm>
                    <a:prstGeom prst="rect">
                      <a:avLst/>
                    </a:prstGeom>
                    <a:noFill/>
                    <a:ln>
                      <a:noFill/>
                    </a:ln>
                  </pic:spPr>
                </pic:pic>
              </a:graphicData>
            </a:graphic>
          </wp:inline>
        </w:drawing>
      </w:r>
    </w:p>
    <w:p w14:paraId="3156BCD5">
      <w:pPr>
        <w:spacing w:after="60"/>
        <w:jc w:val="center"/>
        <w:rPr>
          <w:rFonts w:ascii="宋体" w:hAnsi="宋体"/>
          <w:b/>
          <w:bCs/>
          <w:szCs w:val="21"/>
        </w:rPr>
      </w:pPr>
    </w:p>
    <w:p w14:paraId="03A75217">
      <w:pPr>
        <w:spacing w:after="60"/>
        <w:jc w:val="center"/>
        <w:rPr>
          <w:rFonts w:ascii="宋体" w:hAnsi="宋体"/>
          <w:b/>
          <w:bCs/>
          <w:szCs w:val="21"/>
        </w:rPr>
      </w:pPr>
    </w:p>
    <w:p w14:paraId="0E684117">
      <w:pPr>
        <w:ind w:firstLine="840" w:firstLineChars="350"/>
        <w:rPr>
          <w:sz w:val="24"/>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2732DF2">
      <w:pPr>
        <w:adjustRightInd w:val="0"/>
        <w:snapToGrid w:val="0"/>
        <w:spacing w:line="360" w:lineRule="auto"/>
        <w:jc w:val="center"/>
        <w:rPr>
          <w:rFonts w:ascii="Arial" w:hAnsi="Arial" w:cs="Arial"/>
          <w:szCs w:val="21"/>
        </w:rPr>
      </w:pPr>
    </w:p>
    <w:p w14:paraId="67F78831">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注：投标单位必须按要求提供自己单位的信用信息查询记录网络截图件</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40A4AF5C">
      <w:pPr>
        <w:pStyle w:val="145"/>
        <w:rPr>
          <w:rFonts w:hint="eastAsia"/>
          <w:lang w:eastAsia="zh-CN"/>
        </w:rPr>
      </w:pPr>
    </w:p>
    <w:p w14:paraId="2B84C2C3">
      <w:pPr>
        <w:jc w:val="center"/>
        <w:rPr>
          <w:rFonts w:ascii="宋体" w:hAnsi="宋体"/>
          <w:b/>
          <w:bCs w:val="0"/>
          <w:szCs w:val="21"/>
        </w:rPr>
      </w:pPr>
      <w:r>
        <w:rPr>
          <w:rFonts w:hint="eastAsia" w:ascii="宋体" w:hAnsi="宋体"/>
          <w:b/>
          <w:bCs w:val="0"/>
          <w:szCs w:val="21"/>
        </w:rPr>
        <w:t xml:space="preserve">中国政府采购网（www.ccgp.gov.cn）查询 </w:t>
      </w:r>
    </w:p>
    <w:p w14:paraId="05C38A47">
      <w:pPr>
        <w:rPr>
          <w:rFonts w:hint="eastAsia"/>
          <w:lang w:eastAsia="zh-CN"/>
        </w:rPr>
      </w:pPr>
      <w:r>
        <w:t>查询路径</w:t>
      </w:r>
      <w:r>
        <w:rPr>
          <w:rFonts w:hint="eastAsia"/>
        </w:rPr>
        <w:t>：</w:t>
      </w:r>
      <w:r>
        <w:t>首页—</w:t>
      </w:r>
      <w:r>
        <w:rPr>
          <w:rFonts w:hint="eastAsia"/>
        </w:rPr>
        <w:t>点击“政府</w:t>
      </w:r>
      <w:r>
        <w:t>采购严重违法失信行为记录名单</w:t>
      </w:r>
      <w:r>
        <w:rPr>
          <w:rFonts w:hint="eastAsia"/>
        </w:rPr>
        <w:t>”</w:t>
      </w:r>
      <w:r>
        <w:t>—</w:t>
      </w:r>
      <w:r>
        <w:rPr>
          <w:rFonts w:hint="eastAsia"/>
        </w:rPr>
        <w:t xml:space="preserve">输入企业名称 </w:t>
      </w:r>
      <w:r>
        <w:t>—</w:t>
      </w:r>
      <w:r>
        <w:rPr>
          <w:rFonts w:hint="eastAsia"/>
        </w:rPr>
        <w:t xml:space="preserve"> 查找</w:t>
      </w:r>
      <w:r>
        <w:rPr>
          <w:rFonts w:hint="eastAsia"/>
          <w:lang w:eastAsia="zh-CN"/>
        </w:rPr>
        <w:t>后截图</w:t>
      </w:r>
    </w:p>
    <w:p w14:paraId="5F7C92A9">
      <w:pPr>
        <w:spacing w:afterLines="25" w:line="300" w:lineRule="auto"/>
        <w:ind w:left="420"/>
        <w:rPr>
          <w:b/>
          <w:color w:val="000000"/>
          <w:sz w:val="28"/>
          <w:szCs w:val="28"/>
        </w:rPr>
      </w:pPr>
      <w:r>
        <w:drawing>
          <wp:inline distT="0" distB="0" distL="114300" distR="114300">
            <wp:extent cx="5481955" cy="3654425"/>
            <wp:effectExtent l="0" t="0" r="444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481955" cy="3654425"/>
                    </a:xfrm>
                    <a:prstGeom prst="rect">
                      <a:avLst/>
                    </a:prstGeom>
                    <a:noFill/>
                    <a:ln>
                      <a:noFill/>
                    </a:ln>
                  </pic:spPr>
                </pic:pic>
              </a:graphicData>
            </a:graphic>
          </wp:inline>
        </w:drawing>
      </w:r>
    </w:p>
    <w:p w14:paraId="5D96D2EF">
      <w:pPr>
        <w:jc w:val="center"/>
        <w:rPr>
          <w:rFonts w:hint="eastAsia" w:ascii="宋体" w:hAnsi="宋体"/>
          <w:b/>
          <w:bCs w:val="0"/>
          <w:szCs w:val="21"/>
          <w:lang w:val="en-US" w:eastAsia="zh-CN"/>
        </w:rPr>
      </w:pPr>
    </w:p>
    <w:p w14:paraId="0E3B5A39">
      <w:pPr>
        <w:jc w:val="center"/>
        <w:rPr>
          <w:rFonts w:hint="eastAsia" w:ascii="宋体" w:hAnsi="宋体"/>
          <w:b/>
          <w:bCs w:val="0"/>
          <w:szCs w:val="21"/>
        </w:rPr>
      </w:pPr>
      <w:r>
        <w:rPr>
          <w:rFonts w:hint="eastAsia" w:ascii="宋体" w:hAnsi="宋体"/>
          <w:b/>
          <w:bCs w:val="0"/>
          <w:szCs w:val="21"/>
          <w:lang w:val="en-US" w:eastAsia="zh-CN"/>
        </w:rPr>
        <w:t>深圳市财政局（</w:t>
      </w:r>
      <w:r>
        <w:rPr>
          <w:rFonts w:hint="eastAsia" w:ascii="宋体" w:hAnsi="宋体"/>
          <w:b/>
          <w:bCs w:val="0"/>
          <w:szCs w:val="21"/>
        </w:rPr>
        <w:t>http://zfcg.sz.gov.cn/cgjg/cxda/index.html</w:t>
      </w:r>
      <w:r>
        <w:rPr>
          <w:rFonts w:hint="eastAsia" w:ascii="宋体" w:hAnsi="宋体"/>
          <w:b/>
          <w:bCs w:val="0"/>
          <w:szCs w:val="21"/>
          <w:lang w:val="en-US" w:eastAsia="zh-CN"/>
        </w:rPr>
        <w:t>）</w:t>
      </w:r>
      <w:r>
        <w:rPr>
          <w:rFonts w:hint="eastAsia" w:ascii="宋体" w:hAnsi="宋体"/>
          <w:b/>
          <w:bCs w:val="0"/>
          <w:szCs w:val="21"/>
        </w:rPr>
        <w:t>查询</w:t>
      </w:r>
    </w:p>
    <w:p w14:paraId="2FE618F0">
      <w:pPr>
        <w:adjustRightInd w:val="0"/>
        <w:snapToGrid w:val="0"/>
        <w:spacing w:line="360" w:lineRule="auto"/>
        <w:jc w:val="left"/>
      </w:pPr>
      <w:r>
        <w:rPr>
          <w:rFonts w:hint="eastAsia" w:ascii="宋体" w:hAnsi="宋体"/>
          <w:b/>
          <w:bCs/>
          <w:color w:val="FF0000"/>
          <w:sz w:val="18"/>
          <w:szCs w:val="18"/>
          <w:lang w:val="en-US" w:eastAsia="zh-CN"/>
        </w:rPr>
        <w:t>诚信档案</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p>
    <w:p w14:paraId="2BA431B4">
      <w:pPr>
        <w:adjustRightInd w:val="0"/>
        <w:snapToGrid w:val="0"/>
        <w:spacing w:line="360" w:lineRule="auto"/>
        <w:jc w:val="center"/>
        <w:rPr>
          <w:rFonts w:hint="eastAsia" w:ascii="Arial" w:hAnsi="Arial" w:cs="Arial"/>
          <w:b/>
          <w:bCs/>
          <w:szCs w:val="21"/>
        </w:rPr>
      </w:pPr>
      <w:r>
        <w:drawing>
          <wp:inline distT="0" distB="0" distL="114300" distR="114300">
            <wp:extent cx="3760470" cy="255079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b="11832"/>
                    <a:stretch>
                      <a:fillRect/>
                    </a:stretch>
                  </pic:blipFill>
                  <pic:spPr>
                    <a:xfrm>
                      <a:off x="0" y="0"/>
                      <a:ext cx="3760470" cy="2550795"/>
                    </a:xfrm>
                    <a:prstGeom prst="rect">
                      <a:avLst/>
                    </a:prstGeom>
                    <a:noFill/>
                    <a:ln>
                      <a:noFill/>
                    </a:ln>
                  </pic:spPr>
                </pic:pic>
              </a:graphicData>
            </a:graphic>
          </wp:inline>
        </w:drawing>
      </w:r>
    </w:p>
    <w:p w14:paraId="6181A663">
      <w:pPr>
        <w:ind w:firstLine="840" w:firstLineChars="350"/>
        <w:rPr>
          <w:rFonts w:hint="eastAsia" w:ascii="Arial" w:hAnsi="Arial" w:cs="Arial"/>
          <w:b/>
          <w:bCs/>
          <w:szCs w:val="21"/>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746D250">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w:t>
      </w:r>
      <w:r>
        <w:rPr>
          <w:rFonts w:hint="eastAsia" w:ascii="Arial" w:hAnsi="Arial" w:cs="Arial"/>
          <w:b/>
          <w:bCs/>
          <w:szCs w:val="21"/>
          <w:lang w:eastAsia="zh-CN"/>
        </w:rPr>
        <w:t>查询记录</w:t>
      </w:r>
      <w:r>
        <w:rPr>
          <w:rFonts w:hint="eastAsia" w:ascii="Arial" w:hAnsi="Arial" w:cs="Arial"/>
          <w:b/>
          <w:bCs/>
          <w:szCs w:val="21"/>
        </w:rPr>
        <w:t>的网络截图件</w:t>
      </w:r>
      <w:r>
        <w:rPr>
          <w:rFonts w:hint="eastAsia" w:ascii="宋体" w:hAnsi="宋体" w:eastAsia="宋体" w:cs="宋体"/>
          <w:bCs/>
          <w:color w:val="FF0000"/>
          <w:sz w:val="21"/>
          <w:szCs w:val="21"/>
          <w:highlight w:val="none"/>
          <w:lang w:val="en-US" w:eastAsia="zh-CN"/>
        </w:rPr>
        <w:t>（</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025B0164">
      <w:pPr>
        <w:bidi w:val="0"/>
        <w:rPr>
          <w:rFonts w:hint="eastAsia"/>
          <w:lang w:val="en-US" w:eastAsia="zh-CN"/>
        </w:rPr>
      </w:pPr>
    </w:p>
    <w:p w14:paraId="11339541">
      <w:pPr>
        <w:bidi w:val="0"/>
        <w:rPr>
          <w:rFonts w:hint="eastAsia"/>
          <w:lang w:val="en-US" w:eastAsia="zh-CN"/>
        </w:rPr>
      </w:pPr>
    </w:p>
    <w:p w14:paraId="6595F84D">
      <w:pPr>
        <w:bidi w:val="0"/>
        <w:rPr>
          <w:rFonts w:hint="eastAsia"/>
          <w:lang w:val="en-US" w:eastAsia="zh-CN"/>
        </w:rPr>
      </w:pPr>
    </w:p>
    <w:p w14:paraId="035E22B4">
      <w:pPr>
        <w:bidi w:val="0"/>
        <w:rPr>
          <w:rFonts w:hint="eastAsia"/>
          <w:lang w:val="en-US" w:eastAsia="zh-CN"/>
        </w:rPr>
      </w:pPr>
    </w:p>
    <w:p w14:paraId="6DFFCC02">
      <w:pPr>
        <w:bidi w:val="0"/>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（一）政府采购投标及履约承诺函</w:t>
      </w:r>
    </w:p>
    <w:p w14:paraId="20BDB92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我单位承诺：</w:t>
      </w:r>
    </w:p>
    <w:p w14:paraId="5A8D38BE">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1.我单位参与本项目所投标（响应）的货物、工程或服务，不存在侵犯知识产权的情况；已知悉并同意中标（成交）结果信息公示（公开）的内容。</w:t>
      </w:r>
    </w:p>
    <w:p w14:paraId="45F8612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2.我单位参与该项目投标，不采用联合体投标</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不采用进口产品参与响应</w:t>
      </w:r>
      <w:r>
        <w:rPr>
          <w:rFonts w:hint="eastAsia" w:ascii="仿宋" w:hAnsi="仿宋" w:eastAsia="仿宋" w:cs="仿宋"/>
          <w:color w:val="000000"/>
          <w:sz w:val="24"/>
        </w:rPr>
        <w:t>。</w:t>
      </w:r>
    </w:p>
    <w:p w14:paraId="51E62770">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3.我单位参与本项目政府采购活动时不存在被有关部门禁止参与政府采购活动且在有效期内的情况。</w:t>
      </w:r>
    </w:p>
    <w:p w14:paraId="6626D2F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4.我单位具备《中华人民共和国政府采购法》第二十二条的条件。</w:t>
      </w:r>
    </w:p>
    <w:p w14:paraId="6034D921">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5.我单位未被列入失信被执行人、重大税收违法失信主体、政府采购严重违法失信行为记录名单；不存在《深圳市财政局政府采购供应商信用信息管理办法》（深财规〔2023〕3号）列明的严重违法失信行为。</w:t>
      </w:r>
    </w:p>
    <w:p w14:paraId="64D0F14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33E3EE4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7.我单位不存在“单位负责人为同一人或者存在直接控股、管理关系的不同供应商，参加同一合同项下的政府采购活动”的情形。</w:t>
      </w:r>
    </w:p>
    <w:p w14:paraId="05C66BD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8.我单位如果中标，做到守信，不偷工减料，依照本项目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文件需求内容、签署的采购合同及本单位在投标中所作的一切承诺履约。我单位对本项目的报价负责，中标后将严格按照本项目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文件需求、签署的采购合同及我单位在投标中所作的全部承诺履行。</w:t>
      </w:r>
    </w:p>
    <w:p w14:paraId="115354AA">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9.我单位清楚，若以“报价太低而无法履约”为理由放弃本项目中标资格时，愿意接受主管部门的处理处罚。若我单位中标本项目，我单位的报价明显低于其他通过符合性审查</w:t>
      </w:r>
      <w:r>
        <w:rPr>
          <w:rFonts w:hint="eastAsia" w:ascii="仿宋" w:hAnsi="仿宋" w:eastAsia="仿宋" w:cs="仿宋"/>
          <w:color w:val="000000"/>
          <w:sz w:val="24"/>
          <w:lang w:eastAsia="zh-CN"/>
        </w:rPr>
        <w:t>投标人</w:t>
      </w:r>
      <w:r>
        <w:rPr>
          <w:rFonts w:hint="eastAsia" w:ascii="仿宋" w:hAnsi="仿宋" w:eastAsia="仿宋" w:cs="仿宋"/>
          <w:color w:val="000000"/>
          <w:sz w:val="24"/>
        </w:rPr>
        <w:t>的报价时，我单位清楚，本项目将成为重点监管、重点验收项目，我单位将按时保质保量完成，并全力配合有关监管、验收工作；若我单位未按上述要求履约，我单位愿意接受主管部门的处理处罚。</w:t>
      </w:r>
    </w:p>
    <w:p w14:paraId="55A9B316">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7FEEC9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11.我单位承诺中标后项目不转包，未经采购人同意不进行分包。</w:t>
      </w:r>
    </w:p>
    <w:p w14:paraId="0D2D5E2D">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FFD2FDF">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13.我单位保证，若所投货物涉及《财政部生态环境部关于印发节能产品政府采购品目清单的通知》（财库〔2019〕19号）列明的政府采购强制产品，则所投该产品符合节能产品的认证要求。</w:t>
      </w:r>
    </w:p>
    <w:p w14:paraId="79255C5B">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14. 我单位承诺未为本项目提供整体设计、规范编制或者管理、监理、检测等服务。</w:t>
      </w:r>
    </w:p>
    <w:p w14:paraId="52888493">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15.我单位承诺，参与本项目投标前三年内，未受过环境监测行政主管部门行政处罚或未有被政府相关部门（如质检部门等）、媒体通报弄虚作假等情形。</w:t>
      </w:r>
    </w:p>
    <w:p w14:paraId="37F6D2CC">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以上承诺，如有违反，愿依照国家相关法律法规处理，并承担由此给采购人带来的损失。</w:t>
      </w:r>
    </w:p>
    <w:p w14:paraId="7EA9137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2847DC2">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E0AD08C">
      <w:pPr>
        <w:ind w:firstLine="1680" w:firstLineChars="7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03B69485">
      <w:pPr>
        <w:jc w:val="left"/>
        <w:rPr>
          <w:rFonts w:hint="eastAsia" w:ascii="仿宋" w:hAnsi="仿宋" w:eastAsia="仿宋" w:cs="仿宋"/>
          <w:color w:val="000000" w:themeColor="text1"/>
          <w:sz w:val="24"/>
          <w14:textFill>
            <w14:solidFill>
              <w14:schemeClr w14:val="tx1"/>
            </w14:solidFill>
          </w14:textFill>
        </w:rPr>
      </w:pPr>
    </w:p>
    <w:p w14:paraId="393E22C5">
      <w:pPr>
        <w:ind w:firstLine="4320" w:firstLineChars="18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DCF215E">
      <w:pPr>
        <w:jc w:val="left"/>
        <w:rPr>
          <w:rFonts w:hint="eastAsia" w:ascii="仿宋" w:hAnsi="仿宋" w:eastAsia="仿宋" w:cs="仿宋"/>
          <w:color w:val="000000" w:themeColor="text1"/>
          <w:sz w:val="24"/>
          <w14:textFill>
            <w14:solidFill>
              <w14:schemeClr w14:val="tx1"/>
            </w14:solidFill>
          </w14:textFill>
        </w:rPr>
      </w:pPr>
    </w:p>
    <w:p w14:paraId="1455CC49">
      <w:pPr>
        <w:spacing w:after="124" w:afterLines="40" w:line="280" w:lineRule="exact"/>
        <w:ind w:firstLine="4560" w:firstLineChars="1900"/>
        <w:jc w:val="left"/>
        <w:rPr>
          <w:rFonts w:hint="eastAsia" w:ascii="仿宋" w:hAnsi="仿宋" w:eastAsia="仿宋" w:cs="仿宋"/>
          <w:color w:val="000000"/>
          <w:sz w:val="24"/>
        </w:rPr>
      </w:pPr>
      <w:r>
        <w:rPr>
          <w:rFonts w:hint="eastAsia" w:ascii="仿宋" w:hAnsi="仿宋" w:eastAsia="仿宋" w:cs="仿宋"/>
          <w:color w:val="000000"/>
          <w:sz w:val="24"/>
        </w:rPr>
        <w:t>日期：    年  月  日</w:t>
      </w:r>
    </w:p>
    <w:p w14:paraId="3CDF5A0A">
      <w:pPr>
        <w:spacing w:after="124" w:afterLines="40" w:line="280" w:lineRule="exact"/>
        <w:ind w:firstLine="3600" w:firstLineChars="1500"/>
        <w:jc w:val="left"/>
        <w:rPr>
          <w:rFonts w:hint="eastAsia" w:ascii="仿宋" w:hAnsi="仿宋" w:eastAsia="仿宋" w:cs="仿宋"/>
          <w:color w:val="000000"/>
          <w:sz w:val="24"/>
        </w:rPr>
      </w:pPr>
    </w:p>
    <w:p w14:paraId="12367385">
      <w:pPr>
        <w:spacing w:after="124" w:afterLines="40" w:line="280" w:lineRule="exact"/>
        <w:ind w:firstLine="3600" w:firstLineChars="1500"/>
        <w:jc w:val="left"/>
        <w:rPr>
          <w:rFonts w:hint="eastAsia" w:ascii="仿宋" w:hAnsi="仿宋" w:eastAsia="仿宋" w:cs="仿宋"/>
          <w:color w:val="000000"/>
          <w:sz w:val="24"/>
        </w:rPr>
      </w:pPr>
    </w:p>
    <w:p w14:paraId="10DF405F">
      <w:pPr>
        <w:rPr>
          <w:rFonts w:hint="eastAsia" w:ascii="仿宋" w:hAnsi="仿宋" w:eastAsia="仿宋" w:cs="仿宋"/>
        </w:rPr>
      </w:pPr>
      <w:r>
        <w:rPr>
          <w:rFonts w:hint="eastAsia" w:ascii="仿宋" w:hAnsi="仿宋" w:eastAsia="仿宋" w:cs="仿宋"/>
        </w:rPr>
        <w:br w:type="page"/>
      </w:r>
    </w:p>
    <w:p w14:paraId="2D360A47">
      <w:pPr>
        <w:pStyle w:val="6"/>
        <w:pageBreakBefore/>
        <w:spacing w:line="377" w:lineRule="auto"/>
        <w:jc w:val="center"/>
        <w:rPr>
          <w:rFonts w:hint="eastAsia" w:ascii="仿宋" w:hAnsi="仿宋" w:eastAsia="仿宋" w:cs="仿宋"/>
          <w:lang w:val="en-US" w:eastAsia="zh-CN"/>
        </w:rPr>
      </w:pPr>
      <w:r>
        <w:rPr>
          <w:rFonts w:hint="eastAsia" w:ascii="仿宋" w:hAnsi="仿宋" w:eastAsia="仿宋" w:cs="仿宋"/>
          <w:lang w:val="en-US" w:eastAsia="zh-CN"/>
        </w:rPr>
        <w:t>（二）诚信承诺函</w:t>
      </w:r>
    </w:p>
    <w:p w14:paraId="14BF3049">
      <w:pPr>
        <w:jc w:val="left"/>
        <w:rPr>
          <w:rFonts w:ascii="仿宋" w:hAnsi="仿宋" w:eastAsia="仿宋" w:cs="仿宋"/>
          <w:color w:val="000000"/>
          <w:sz w:val="24"/>
        </w:rPr>
      </w:pPr>
    </w:p>
    <w:p w14:paraId="7E2B29E2">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我公司承诺近三年在采购</w:t>
      </w:r>
      <w:r>
        <w:rPr>
          <w:rFonts w:hint="eastAsia" w:ascii="仿宋" w:hAnsi="仿宋" w:eastAsia="仿宋" w:cs="仿宋"/>
          <w:color w:val="000000"/>
          <w:sz w:val="24"/>
          <w:lang w:eastAsia="zh-CN"/>
        </w:rPr>
        <w:t>谈判</w:t>
      </w:r>
      <w:r>
        <w:rPr>
          <w:rFonts w:hint="eastAsia" w:ascii="仿宋" w:hAnsi="仿宋" w:eastAsia="仿宋" w:cs="仿宋"/>
          <w:color w:val="000000"/>
          <w:sz w:val="24"/>
        </w:rPr>
        <w:t>投标活动中，不存在以下情形：</w:t>
      </w:r>
    </w:p>
    <w:p w14:paraId="3EC5CDF0">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（一）被纪检监察部门立案调查，违法违规事实成立的；</w:t>
      </w:r>
    </w:p>
    <w:p w14:paraId="1FFF5E2F">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（二）未按本条例规定签订、履行采购合同，造成严重后果的；</w:t>
      </w:r>
    </w:p>
    <w:p w14:paraId="154F3B1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（三）隐瞒真实情况，提供虚假资料的；</w:t>
      </w:r>
    </w:p>
    <w:p w14:paraId="443DB60E">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（四）以非法手段排斥其他供应商参与竞争的；</w:t>
      </w:r>
    </w:p>
    <w:p w14:paraId="1254EFD3">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（五）与其他采购参加人串通投标的；</w:t>
      </w:r>
    </w:p>
    <w:p w14:paraId="44C7BBB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（六）在采购活动中应当回避而未回避的； </w:t>
      </w:r>
    </w:p>
    <w:p w14:paraId="5238D43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（七）恶意投诉的；</w:t>
      </w:r>
    </w:p>
    <w:p w14:paraId="4CA8D63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（八）向采购项目相关人行贿或者提供其他不当利益的； </w:t>
      </w:r>
    </w:p>
    <w:p w14:paraId="3AC56B96">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（九）阻碍、抗拒主管部门监督检查的；</w:t>
      </w:r>
    </w:p>
    <w:p w14:paraId="74F18322">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（十）履约检查不合格或者评价为差的；</w:t>
      </w:r>
    </w:p>
    <w:p w14:paraId="7582D994">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（十一）主管部门认定的其他情形。</w:t>
      </w:r>
    </w:p>
    <w:p w14:paraId="1BA7CA4E">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14:paraId="2595F6DC">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特此承诺。</w:t>
      </w:r>
    </w:p>
    <w:p w14:paraId="417C160F">
      <w:pPr>
        <w:spacing w:line="400" w:lineRule="exact"/>
        <w:jc w:val="right"/>
        <w:rPr>
          <w:rFonts w:ascii="仿宋" w:hAnsi="仿宋" w:eastAsia="仿宋" w:cs="仿宋"/>
          <w:color w:val="000000"/>
          <w:sz w:val="24"/>
        </w:rPr>
      </w:pPr>
    </w:p>
    <w:p w14:paraId="70F969F9">
      <w:pPr>
        <w:spacing w:line="400" w:lineRule="exact"/>
        <w:jc w:val="right"/>
        <w:rPr>
          <w:rFonts w:ascii="仿宋" w:hAnsi="仿宋" w:eastAsia="仿宋" w:cs="仿宋"/>
          <w:color w:val="000000"/>
          <w:sz w:val="24"/>
        </w:rPr>
      </w:pPr>
    </w:p>
    <w:p w14:paraId="656B565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ADDB6D4">
      <w:pPr>
        <w:jc w:val="left"/>
        <w:rPr>
          <w:rFonts w:hint="eastAsia" w:ascii="仿宋" w:hAnsi="仿宋" w:eastAsia="仿宋" w:cs="仿宋"/>
          <w:color w:val="000000" w:themeColor="text1"/>
          <w:sz w:val="24"/>
          <w14:textFill>
            <w14:solidFill>
              <w14:schemeClr w14:val="tx1"/>
            </w14:solidFill>
          </w14:textFill>
        </w:rPr>
      </w:pPr>
    </w:p>
    <w:p w14:paraId="6C6274F9">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9A87A25">
      <w:pPr>
        <w:jc w:val="left"/>
        <w:rPr>
          <w:rFonts w:hint="eastAsia" w:ascii="仿宋" w:hAnsi="仿宋" w:eastAsia="仿宋" w:cs="仿宋"/>
          <w:color w:val="000000" w:themeColor="text1"/>
          <w:sz w:val="24"/>
          <w14:textFill>
            <w14:solidFill>
              <w14:schemeClr w14:val="tx1"/>
            </w14:solidFill>
          </w14:textFill>
        </w:rPr>
      </w:pPr>
    </w:p>
    <w:p w14:paraId="5B61B863">
      <w:pPr>
        <w:spacing w:line="400" w:lineRule="exact"/>
        <w:jc w:val="left"/>
        <w:rPr>
          <w:rFonts w:ascii="仿宋" w:hAnsi="仿宋" w:eastAsia="仿宋" w:cs="仿宋"/>
          <w:color w:val="000000"/>
          <w:sz w:val="24"/>
        </w:rPr>
      </w:pPr>
    </w:p>
    <w:p w14:paraId="5DFE4C0F">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日期：    年  月  日</w:t>
      </w:r>
    </w:p>
    <w:p w14:paraId="4759988B">
      <w:pPr>
        <w:spacing w:line="400" w:lineRule="exact"/>
        <w:ind w:firstLine="3600" w:firstLineChars="1500"/>
        <w:jc w:val="left"/>
        <w:rPr>
          <w:rFonts w:hint="eastAsia" w:ascii="仿宋" w:hAnsi="仿宋" w:eastAsia="仿宋" w:cs="仿宋"/>
          <w:color w:val="000000"/>
          <w:sz w:val="24"/>
        </w:rPr>
      </w:pPr>
    </w:p>
    <w:p w14:paraId="394C5B8E">
      <w:pPr>
        <w:keepNext/>
        <w:keepLines/>
        <w:pageBreakBefore/>
        <w:widowControl w:val="0"/>
        <w:spacing w:before="280" w:after="290" w:line="377" w:lineRule="auto"/>
        <w:jc w:val="center"/>
        <w:outlineLvl w:val="4"/>
        <w:rPr>
          <w:rFonts w:hint="eastAsia" w:ascii="黑体" w:hAnsi="黑体" w:eastAsia="黑体" w:cs="方正小标宋简体"/>
          <w:b w:val="0"/>
          <w:bCs w:val="0"/>
          <w:kern w:val="2"/>
          <w:sz w:val="28"/>
          <w:szCs w:val="28"/>
          <w:lang w:val="en-US" w:eastAsia="zh-CN" w:bidi="ar-SA"/>
        </w:rPr>
      </w:pPr>
      <w:r>
        <w:rPr>
          <w:rFonts w:hint="eastAsia" w:ascii="黑体" w:hAnsi="黑体" w:eastAsia="黑体" w:cs="方正小标宋简体"/>
          <w:b w:val="0"/>
          <w:bCs w:val="0"/>
          <w:kern w:val="2"/>
          <w:sz w:val="28"/>
          <w:szCs w:val="28"/>
          <w:lang w:val="en-US" w:eastAsia="zh-CN" w:bidi="ar-SA"/>
        </w:rPr>
        <w:t>（三）投标承诺函</w:t>
      </w:r>
    </w:p>
    <w:p w14:paraId="4186318E">
      <w:pPr>
        <w:bidi w:val="0"/>
        <w:jc w:val="both"/>
        <w:rPr>
          <w:rFonts w:hint="eastAsia" w:ascii="宋体" w:hAnsi="宋体"/>
          <w:b/>
          <w:bCs/>
          <w:color w:val="FF0000"/>
          <w:szCs w:val="21"/>
        </w:rPr>
      </w:pPr>
      <w:r>
        <w:rPr>
          <w:rFonts w:hint="eastAsia" w:ascii="宋体" w:hAnsi="宋体"/>
          <w:b/>
          <w:color w:val="FF0000"/>
          <w:szCs w:val="21"/>
        </w:rPr>
        <w:t>特别说明：</w:t>
      </w:r>
      <w:r>
        <w:rPr>
          <w:rFonts w:hint="eastAsia" w:ascii="宋体" w:hAnsi="宋体"/>
          <w:b/>
          <w:bCs/>
          <w:color w:val="FF0000"/>
          <w:szCs w:val="21"/>
        </w:rPr>
        <w:t>供应商提供《中小企业声明函》内容不实的，属于</w:t>
      </w:r>
      <w:r>
        <w:rPr>
          <w:rFonts w:ascii="宋体" w:hAnsi="宋体"/>
          <w:b/>
          <w:bCs/>
          <w:color w:val="FF0000"/>
          <w:szCs w:val="21"/>
        </w:rPr>
        <w:t>“</w:t>
      </w:r>
      <w:r>
        <w:rPr>
          <w:rFonts w:hint="eastAsia" w:ascii="宋体" w:hAnsi="宋体"/>
          <w:b/>
          <w:bCs/>
          <w:color w:val="FF0000"/>
          <w:szCs w:val="21"/>
        </w:rPr>
        <w:t>隐瞒真实情况，提供虚假资料的</w:t>
      </w:r>
      <w:r>
        <w:rPr>
          <w:rFonts w:ascii="宋体" w:hAnsi="宋体"/>
          <w:b/>
          <w:bCs/>
          <w:color w:val="FF0000"/>
          <w:szCs w:val="21"/>
        </w:rPr>
        <w:t>”</w:t>
      </w:r>
      <w:r>
        <w:rPr>
          <w:rFonts w:hint="eastAsia" w:ascii="宋体" w:hAnsi="宋体"/>
          <w:b/>
          <w:bCs/>
          <w:color w:val="FF0000"/>
          <w:szCs w:val="21"/>
        </w:rPr>
        <w:t>情形，依照《深圳经济特区政府采购条例》的有关规定追究相应责任。</w:t>
      </w:r>
    </w:p>
    <w:p w14:paraId="51EBDEA8">
      <w:pPr>
        <w:bidi w:val="0"/>
        <w:jc w:val="both"/>
        <w:rPr>
          <w:rFonts w:hint="eastAsia"/>
          <w:b/>
          <w:bCs/>
          <w:sz w:val="24"/>
          <w:szCs w:val="24"/>
        </w:rPr>
      </w:pPr>
      <w:r>
        <w:rPr>
          <w:rFonts w:hint="eastAsia"/>
          <w:b/>
          <w:bCs/>
          <w:sz w:val="24"/>
          <w:szCs w:val="24"/>
        </w:rPr>
        <w:t>中小企业声明函及残疾人福利性单位声明函（或省级以上监狱管理局、戒毒管理局（含新疆生产建设兵团）出具的属于监狱企业的证明文件）</w:t>
      </w:r>
    </w:p>
    <w:p w14:paraId="6BC71A32">
      <w:pPr>
        <w:spacing w:line="360" w:lineRule="auto"/>
        <w:ind w:firstLine="422" w:firstLineChars="200"/>
        <w:rPr>
          <w:rFonts w:ascii="宋体" w:hAnsi="宋体"/>
          <w:b/>
          <w:bCs/>
          <w:color w:val="FF0000"/>
          <w:szCs w:val="21"/>
        </w:rPr>
      </w:pPr>
    </w:p>
    <w:p w14:paraId="79CD4940">
      <w:pPr>
        <w:jc w:val="center"/>
        <w:rPr>
          <w:rFonts w:hint="eastAsia" w:ascii="仿宋" w:hAnsi="仿宋" w:eastAsia="仿宋" w:cs="仿宋"/>
          <w:b/>
          <w:color w:val="000000"/>
          <w:sz w:val="24"/>
        </w:rPr>
      </w:pPr>
    </w:p>
    <w:p w14:paraId="3BB8020F">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（1）中小企业声明函(服务）</w:t>
      </w:r>
      <w:r>
        <w:rPr>
          <w:rFonts w:hint="eastAsia" w:asciiTheme="majorEastAsia" w:hAnsiTheme="majorEastAsia" w:eastAsiaTheme="majorEastAsia"/>
          <w:sz w:val="30"/>
          <w:szCs w:val="30"/>
          <w:highlight w:val="yellow"/>
        </w:rPr>
        <w:t>（如有）</w:t>
      </w:r>
    </w:p>
    <w:p w14:paraId="47D89842">
      <w:pPr>
        <w:spacing w:line="260" w:lineRule="auto"/>
        <w:ind w:firstLine="480" w:firstLineChars="200"/>
        <w:jc w:val="left"/>
        <w:rPr>
          <w:rFonts w:hint="eastAsia" w:ascii="仿宋" w:hAnsi="仿宋" w:eastAsia="仿宋" w:cs="仿宋"/>
          <w:color w:val="000000"/>
          <w:sz w:val="24"/>
        </w:rPr>
      </w:pPr>
    </w:p>
    <w:p w14:paraId="464C3EF7">
      <w:pPr>
        <w:spacing w:line="260" w:lineRule="auto"/>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本公司郑重声明，根据《政府采购促进中小企业发展管理办法》（财库﹝2020﹞46 号）的规定，本公司参加</w:t>
      </w:r>
      <w:r>
        <w:rPr>
          <w:rFonts w:hint="eastAsia" w:ascii="仿宋" w:hAnsi="仿宋" w:eastAsia="仿宋" w:cs="仿宋"/>
          <w:color w:val="000000"/>
          <w:sz w:val="24"/>
          <w:lang w:val="en-US" w:eastAsia="zh-CN"/>
        </w:rPr>
        <w:t>深圳市福田区第二人民医院的</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采购活动，服务全部由符合政策要求的中小企业承接。本企业的具体情况如下：</w:t>
      </w:r>
    </w:p>
    <w:p w14:paraId="63841343">
      <w:pPr>
        <w:numPr>
          <w:ilvl w:val="0"/>
          <w:numId w:val="0"/>
        </w:numPr>
        <w:spacing w:line="2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lang w:val="en-US" w:eastAsia="zh-CN"/>
        </w:rPr>
        <w:t>本项目</w:t>
      </w:r>
      <w:r>
        <w:rPr>
          <w:rFonts w:hint="eastAsia" w:ascii="仿宋" w:hAnsi="仿宋" w:eastAsia="仿宋" w:cs="仿宋"/>
          <w:color w:val="000000"/>
          <w:sz w:val="24"/>
        </w:rPr>
        <w:t>属于</w:t>
      </w:r>
      <w:r>
        <w:rPr>
          <w:rFonts w:hint="eastAsia" w:ascii="仿宋" w:hAnsi="仿宋" w:eastAsia="仿宋" w:cs="仿宋"/>
          <w:color w:val="FF0000"/>
          <w:sz w:val="24"/>
          <w:u w:val="single"/>
          <w:lang w:val="en-US" w:eastAsia="zh-CN"/>
        </w:rPr>
        <w:t>（须与采购项目用户需求书中所属行业一致）</w:t>
      </w:r>
      <w:r>
        <w:rPr>
          <w:rFonts w:hint="eastAsia" w:ascii="仿宋" w:hAnsi="仿宋" w:eastAsia="仿宋" w:cs="仿宋"/>
          <w:color w:val="000000"/>
          <w:sz w:val="24"/>
        </w:rPr>
        <w:t>； 承建（承接）企业为</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，从业人员</w:t>
      </w:r>
      <w:r>
        <w:rPr>
          <w:rFonts w:hint="eastAsia" w:ascii="仿宋" w:hAnsi="仿宋" w:eastAsia="仿宋" w:cs="仿宋"/>
          <w:color w:val="FF0000"/>
          <w:sz w:val="24"/>
          <w:u w:val="single"/>
        </w:rPr>
        <w:t xml:space="preserve">   </w:t>
      </w:r>
      <w:r>
        <w:rPr>
          <w:rFonts w:hint="eastAsia" w:ascii="仿宋" w:hAnsi="仿宋" w:eastAsia="仿宋" w:cs="仿宋"/>
          <w:b/>
          <w:bCs/>
          <w:color w:val="FF0000"/>
          <w:sz w:val="24"/>
          <w:u w:val="single"/>
        </w:rPr>
        <w:t xml:space="preserve">从业人员数量  </w:t>
      </w:r>
      <w:r>
        <w:rPr>
          <w:rFonts w:hint="eastAsia" w:ascii="仿宋" w:hAnsi="仿宋" w:eastAsia="仿宋" w:cs="仿宋"/>
          <w:color w:val="FF0000"/>
          <w:sz w:val="24"/>
          <w:u w:val="single"/>
        </w:rPr>
        <w:t xml:space="preserve"> </w:t>
      </w:r>
      <w:r>
        <w:rPr>
          <w:rFonts w:hint="eastAsia" w:ascii="仿宋" w:hAnsi="仿宋" w:eastAsia="仿宋" w:cs="仿宋"/>
          <w:color w:val="000000"/>
          <w:sz w:val="24"/>
        </w:rPr>
        <w:t>人，营业收入为</w:t>
      </w:r>
      <w:r>
        <w:rPr>
          <w:rFonts w:hint="eastAsia" w:ascii="仿宋" w:hAnsi="仿宋" w:eastAsia="仿宋" w:cs="仿宋"/>
          <w:b/>
          <w:bCs/>
          <w:color w:val="FF0000"/>
          <w:sz w:val="24"/>
          <w:u w:val="single"/>
        </w:rPr>
        <w:t xml:space="preserve">  营业收入   </w:t>
      </w:r>
      <w:r>
        <w:rPr>
          <w:rFonts w:hint="eastAsia" w:ascii="仿宋" w:hAnsi="仿宋" w:eastAsia="仿宋" w:cs="仿宋"/>
          <w:color w:val="000000"/>
          <w:sz w:val="24"/>
        </w:rPr>
        <w:t>万元，资产总额为</w:t>
      </w:r>
      <w:r>
        <w:rPr>
          <w:rFonts w:hint="eastAsia" w:ascii="仿宋" w:hAnsi="仿宋" w:eastAsia="仿宋" w:cs="仿宋"/>
          <w:b/>
          <w:bCs/>
          <w:color w:val="FF0000"/>
          <w:sz w:val="24"/>
          <w:u w:val="single"/>
        </w:rPr>
        <w:t xml:space="preserve">   资产总额   </w:t>
      </w:r>
      <w:r>
        <w:rPr>
          <w:rFonts w:hint="eastAsia" w:ascii="仿宋" w:hAnsi="仿宋" w:eastAsia="仿宋" w:cs="仿宋"/>
          <w:color w:val="000000"/>
          <w:sz w:val="24"/>
        </w:rPr>
        <w:t>万元，属于</w:t>
      </w:r>
      <w:r>
        <w:rPr>
          <w:rFonts w:hint="eastAsia" w:ascii="仿宋" w:hAnsi="仿宋" w:eastAsia="仿宋" w:cs="仿宋"/>
          <w:color w:val="000000"/>
          <w:sz w:val="24"/>
          <w:u w:val="single"/>
        </w:rPr>
        <w:t xml:space="preserve">  </w:t>
      </w:r>
      <w:r>
        <w:rPr>
          <w:rFonts w:hint="eastAsia" w:ascii="仿宋" w:hAnsi="仿宋" w:eastAsia="仿宋" w:cs="仿宋"/>
          <w:b/>
          <w:bCs/>
          <w:color w:val="FF0000"/>
          <w:sz w:val="24"/>
          <w:u w:val="single"/>
        </w:rPr>
        <w:t>三选一：（请选择填写：中型企业、 小型企业、微型企业）</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05871099">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以上企业，不属于大企业的分支机构，不存在控股股东为大企业的情形，也不存在与大企业的负责人为同一人的情形。 </w:t>
      </w:r>
    </w:p>
    <w:p w14:paraId="1003B40E">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本公司已知悉《政府采购促进中小企业发展管理办法》（财库〔2020〕46 号）、《中小企业划型标准规定》（工信部联企〔2011〕300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本企业对上述声明内容的真实性负责。如有虚假，将依法承担相应责任。</w:t>
      </w:r>
    </w:p>
    <w:p w14:paraId="212ADFAC">
      <w:pPr>
        <w:ind w:firstLine="480" w:firstLineChars="200"/>
        <w:rPr>
          <w:rFonts w:hint="eastAsia" w:ascii="仿宋" w:hAnsi="仿宋" w:eastAsia="仿宋" w:cs="仿宋"/>
          <w:color w:val="000000"/>
          <w:sz w:val="24"/>
        </w:rPr>
      </w:pPr>
    </w:p>
    <w:p w14:paraId="13759B59">
      <w:pPr>
        <w:ind w:firstLine="480" w:firstLineChars="200"/>
        <w:rPr>
          <w:rFonts w:hint="eastAsia" w:ascii="仿宋" w:hAnsi="仿宋" w:eastAsia="仿宋" w:cs="仿宋"/>
          <w:color w:val="000000"/>
          <w:sz w:val="24"/>
        </w:rPr>
      </w:pPr>
    </w:p>
    <w:p w14:paraId="2C4A8AC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70519200">
      <w:pPr>
        <w:jc w:val="left"/>
        <w:rPr>
          <w:rFonts w:hint="eastAsia" w:ascii="仿宋" w:hAnsi="仿宋" w:eastAsia="仿宋" w:cs="仿宋"/>
          <w:color w:val="000000"/>
          <w:sz w:val="24"/>
        </w:rPr>
      </w:pPr>
    </w:p>
    <w:p w14:paraId="49ACF177">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52605A7C">
      <w:pPr>
        <w:jc w:val="left"/>
        <w:rPr>
          <w:rFonts w:hint="eastAsia" w:ascii="仿宋" w:hAnsi="仿宋" w:eastAsia="仿宋" w:cs="仿宋"/>
          <w:color w:val="000000"/>
          <w:sz w:val="24"/>
        </w:rPr>
      </w:pPr>
    </w:p>
    <w:p w14:paraId="7F2CF0DC">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27F5B366">
      <w:pPr>
        <w:rPr>
          <w:rFonts w:hint="eastAsia" w:ascii="仿宋" w:hAnsi="仿宋" w:eastAsia="仿宋" w:cs="仿宋"/>
          <w:b/>
          <w:bCs/>
          <w:color w:val="000000"/>
          <w:sz w:val="24"/>
        </w:rPr>
      </w:pPr>
    </w:p>
    <w:p w14:paraId="21CF2121">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（2）残疾人福利性单位声明函</w:t>
      </w:r>
      <w:r>
        <w:rPr>
          <w:rFonts w:hint="eastAsia" w:ascii="仿宋" w:hAnsi="仿宋" w:eastAsia="仿宋" w:cs="仿宋"/>
          <w:b/>
          <w:color w:val="000000"/>
          <w:sz w:val="24"/>
          <w:highlight w:val="yellow"/>
        </w:rPr>
        <w:t>（仅限残疾人福利性单位</w:t>
      </w:r>
      <w:r>
        <w:rPr>
          <w:rFonts w:hint="eastAsia" w:ascii="仿宋" w:hAnsi="仿宋" w:eastAsia="仿宋" w:cs="仿宋"/>
          <w:b/>
          <w:color w:val="000000"/>
          <w:sz w:val="24"/>
          <w:highlight w:val="yellow"/>
          <w:lang w:val="en-US" w:eastAsia="zh-CN"/>
        </w:rPr>
        <w:t>)</w:t>
      </w:r>
    </w:p>
    <w:p w14:paraId="7C15A0C7">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sz w:val="24"/>
          <w:lang w:val="en-US" w:eastAsia="zh-CN"/>
        </w:rPr>
        <w:t>深圳市福田区第二人民医院的</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项目采购活动提供本单位制造的货物（由本单位承担工程/提供服务），或者提供其他残疾人福利性单位制造的货物（不包括使用非残疾人福利性单位注册商标的货物）。</w:t>
      </w:r>
    </w:p>
    <w:p w14:paraId="2D48DF63">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本单位知悉《关于促进残疾人就业政府采购政策的通知》（财库〔2017〕141 号）的规定，承诺提供的声明函内容是真实的，如提供声明函内容不实，则依法追究相关法律责任。本单位对上述声明的真实性负责。如有虚假，将依法承担相应责任。</w:t>
      </w:r>
    </w:p>
    <w:p w14:paraId="51CCEFC2">
      <w:pPr>
        <w:ind w:firstLine="480" w:firstLineChars="200"/>
        <w:rPr>
          <w:rFonts w:hint="eastAsia" w:ascii="仿宋" w:hAnsi="仿宋" w:eastAsia="仿宋" w:cs="仿宋"/>
          <w:color w:val="000000"/>
          <w:sz w:val="24"/>
        </w:rPr>
      </w:pPr>
    </w:p>
    <w:p w14:paraId="4E109658">
      <w:pPr>
        <w:ind w:firstLine="480" w:firstLineChars="200"/>
        <w:rPr>
          <w:rFonts w:hint="eastAsia" w:ascii="仿宋" w:hAnsi="仿宋" w:eastAsia="仿宋" w:cs="仿宋"/>
          <w:color w:val="000000"/>
          <w:sz w:val="24"/>
        </w:rPr>
      </w:pPr>
    </w:p>
    <w:p w14:paraId="653593F9">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32B7ACF">
      <w:pPr>
        <w:jc w:val="left"/>
        <w:rPr>
          <w:rFonts w:hint="eastAsia" w:ascii="仿宋" w:hAnsi="仿宋" w:eastAsia="仿宋" w:cs="仿宋"/>
          <w:color w:val="000000"/>
          <w:sz w:val="24"/>
        </w:rPr>
      </w:pPr>
    </w:p>
    <w:p w14:paraId="549CB78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6904CA59">
      <w:pPr>
        <w:jc w:val="left"/>
        <w:rPr>
          <w:rFonts w:hint="eastAsia" w:ascii="仿宋" w:hAnsi="仿宋" w:eastAsia="仿宋" w:cs="仿宋"/>
          <w:color w:val="000000"/>
          <w:sz w:val="24"/>
        </w:rPr>
      </w:pPr>
    </w:p>
    <w:p w14:paraId="36ABA7A9">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5D0F95FC">
      <w:pPr>
        <w:wordWrap w:val="0"/>
        <w:ind w:right="420"/>
        <w:rPr>
          <w:rFonts w:hint="eastAsia" w:ascii="仿宋" w:hAnsi="仿宋" w:eastAsia="仿宋" w:cs="仿宋"/>
          <w:color w:val="000000"/>
          <w:sz w:val="24"/>
        </w:rPr>
      </w:pPr>
    </w:p>
    <w:p w14:paraId="35ECAE32">
      <w:pPr>
        <w:ind w:firstLine="480" w:firstLineChars="200"/>
        <w:jc w:val="right"/>
        <w:rPr>
          <w:rFonts w:hint="eastAsia" w:ascii="仿宋" w:hAnsi="仿宋" w:eastAsia="仿宋" w:cs="仿宋"/>
          <w:color w:val="000000"/>
          <w:sz w:val="24"/>
        </w:rPr>
      </w:pPr>
    </w:p>
    <w:p w14:paraId="5F75733E">
      <w:pPr>
        <w:jc w:val="center"/>
        <w:rPr>
          <w:rFonts w:hint="eastAsia" w:ascii="仿宋" w:hAnsi="仿宋" w:eastAsia="仿宋" w:cs="仿宋"/>
          <w:b/>
          <w:color w:val="000000"/>
          <w:sz w:val="24"/>
          <w:highlight w:val="yellow"/>
          <w:lang w:eastAsia="zh-CN"/>
        </w:rPr>
      </w:pPr>
      <w:r>
        <w:rPr>
          <w:rFonts w:hint="eastAsia" w:ascii="仿宋" w:hAnsi="仿宋" w:eastAsia="仿宋" w:cs="仿宋"/>
          <w:b/>
          <w:color w:val="000000"/>
          <w:sz w:val="24"/>
          <w:lang w:val="en-US" w:eastAsia="zh-CN"/>
        </w:rPr>
        <w:t>（3）监狱企业声明函【监狱企业如需享受优惠政策，还须另行提供省级以上监狱管理局、戒毒管理局（含新疆生产建设兵团）出具的监狱企业证明文件】</w:t>
      </w:r>
      <w:r>
        <w:rPr>
          <w:rFonts w:hint="eastAsia" w:ascii="仿宋" w:hAnsi="仿宋" w:eastAsia="仿宋" w:cs="仿宋"/>
          <w:b/>
          <w:color w:val="000000"/>
          <w:sz w:val="24"/>
          <w:highlight w:val="yellow"/>
          <w:lang w:eastAsia="zh-CN"/>
        </w:rPr>
        <w:t>（</w:t>
      </w:r>
      <w:r>
        <w:rPr>
          <w:rFonts w:hint="eastAsia" w:ascii="仿宋" w:hAnsi="仿宋" w:eastAsia="仿宋" w:cs="仿宋"/>
          <w:b/>
          <w:color w:val="000000"/>
          <w:sz w:val="24"/>
          <w:highlight w:val="yellow"/>
        </w:rPr>
        <w:t>如投标人不属于监狱企业无须提供</w:t>
      </w:r>
      <w:r>
        <w:rPr>
          <w:rFonts w:hint="eastAsia" w:ascii="仿宋" w:hAnsi="仿宋" w:eastAsia="仿宋" w:cs="仿宋"/>
          <w:b/>
          <w:color w:val="000000"/>
          <w:sz w:val="24"/>
          <w:highlight w:val="yellow"/>
          <w:lang w:eastAsia="zh-CN"/>
        </w:rPr>
        <w:t>）</w:t>
      </w:r>
    </w:p>
    <w:p w14:paraId="6CD91D54">
      <w:pPr>
        <w:jc w:val="center"/>
        <w:rPr>
          <w:rFonts w:hint="eastAsia" w:ascii="仿宋" w:hAnsi="仿宋" w:eastAsia="仿宋" w:cs="仿宋"/>
          <w:b/>
          <w:color w:val="000000"/>
          <w:sz w:val="24"/>
        </w:rPr>
      </w:pPr>
    </w:p>
    <w:p w14:paraId="73F835F3">
      <w:pPr>
        <w:numPr>
          <w:ilvl w:val="0"/>
          <w:numId w:val="22"/>
        </w:numPr>
        <w:ind w:firstLine="480" w:firstLineChars="200"/>
        <w:rPr>
          <w:rFonts w:hint="eastAsia" w:ascii="仿宋" w:hAnsi="仿宋" w:eastAsia="仿宋" w:cs="仿宋"/>
          <w:color w:val="000000"/>
          <w:sz w:val="24"/>
          <w:lang w:val="en-US" w:eastAsia="zh-CN"/>
        </w:rPr>
      </w:pPr>
      <w:r>
        <w:rPr>
          <w:rFonts w:hint="eastAsia" w:ascii="仿宋" w:hAnsi="仿宋" w:eastAsia="仿宋" w:cs="仿宋"/>
          <w:color w:val="000000"/>
          <w:sz w:val="24"/>
        </w:rPr>
        <w:t>本单位郑重声明，根据《财政部司法部关于政府采购支持监狱企业发展有关问题的通知》（财库〔2014〕68号）的规定，</w:t>
      </w:r>
      <w:r>
        <w:rPr>
          <w:rFonts w:hint="eastAsia" w:ascii="仿宋" w:hAnsi="仿宋" w:eastAsia="仿宋" w:cs="仿宋"/>
          <w:color w:val="000000"/>
          <w:sz w:val="24"/>
          <w:lang w:val="en-US" w:eastAsia="zh-CN"/>
        </w:rPr>
        <w:t>本单位参加深圳市福田区第二人民医院的</w:t>
      </w:r>
      <w:r>
        <w:rPr>
          <w:rFonts w:hint="eastAsia" w:ascii="仿宋" w:hAnsi="仿宋" w:eastAsia="仿宋" w:cs="仿宋"/>
          <w:color w:val="FF0000"/>
          <w:sz w:val="24"/>
          <w:u w:val="single"/>
          <w:lang w:val="en-US" w:eastAsia="zh-CN"/>
        </w:rPr>
        <w:t>（项目名称）</w:t>
      </w:r>
      <w:r>
        <w:rPr>
          <w:rFonts w:hint="eastAsia" w:ascii="仿宋" w:hAnsi="仿宋" w:eastAsia="仿宋" w:cs="仿宋"/>
          <w:color w:val="000000"/>
          <w:sz w:val="24"/>
          <w:lang w:val="en-US" w:eastAsia="zh-CN"/>
        </w:rPr>
        <w:t>采购活动，服务全部由符合政策要求的监狱企业承接。相关监狱企业的具体情况如下：</w:t>
      </w:r>
    </w:p>
    <w:p w14:paraId="66E4A686">
      <w:pPr>
        <w:numPr>
          <w:ilvl w:val="0"/>
          <w:numId w:val="22"/>
        </w:numPr>
        <w:ind w:firstLine="480" w:firstLineChars="200"/>
        <w:rPr>
          <w:rFonts w:hint="eastAsia" w:ascii="仿宋" w:hAnsi="仿宋" w:eastAsia="仿宋" w:cs="仿宋"/>
          <w:color w:val="000000"/>
          <w:sz w:val="24"/>
          <w:lang w:val="en-US" w:eastAsia="zh-CN"/>
        </w:rPr>
      </w:pPr>
      <w:r>
        <w:rPr>
          <w:rFonts w:hint="eastAsia" w:ascii="仿宋" w:hAnsi="仿宋" w:eastAsia="仿宋" w:cs="仿宋"/>
          <w:color w:val="FF0000"/>
          <w:sz w:val="24"/>
          <w:u w:val="single"/>
          <w:lang w:val="en-US" w:eastAsia="zh-CN"/>
        </w:rPr>
        <w:t>（标的名称）</w:t>
      </w:r>
      <w:r>
        <w:rPr>
          <w:rFonts w:hint="eastAsia" w:ascii="仿宋" w:hAnsi="仿宋" w:eastAsia="仿宋" w:cs="仿宋"/>
          <w:color w:val="000000"/>
          <w:sz w:val="24"/>
          <w:lang w:val="en-US" w:eastAsia="zh-CN"/>
        </w:rPr>
        <w:t>，承接单位为</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lang w:val="en-US" w:eastAsia="zh-CN"/>
        </w:rPr>
        <w:t>，属于监狱企业；</w:t>
      </w:r>
    </w:p>
    <w:p w14:paraId="39C59236">
      <w:pPr>
        <w:numPr>
          <w:ilvl w:val="0"/>
          <w:numId w:val="22"/>
        </w:num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14:paraId="320F5496">
      <w:pPr>
        <w:numPr>
          <w:ilvl w:val="0"/>
          <w:numId w:val="22"/>
        </w:numPr>
        <w:ind w:firstLine="480" w:firstLineChars="200"/>
        <w:rPr>
          <w:rFonts w:hint="eastAsia" w:ascii="仿宋" w:hAnsi="仿宋" w:eastAsia="仿宋" w:cs="仿宋"/>
          <w:color w:val="000000"/>
          <w:sz w:val="24"/>
        </w:rPr>
      </w:pPr>
      <w:r>
        <w:rPr>
          <w:rFonts w:hint="eastAsia" w:ascii="仿宋" w:hAnsi="仿宋" w:eastAsia="仿宋" w:cs="仿宋"/>
          <w:color w:val="000000"/>
          <w:sz w:val="24"/>
        </w:rPr>
        <w:t>附：省级以上监狱管理局、戒毒管理局（含新疆生产建设兵团）出具的监狱企业证明文件。</w:t>
      </w:r>
    </w:p>
    <w:p w14:paraId="14D1B3B4">
      <w:pPr>
        <w:ind w:firstLine="480" w:firstLineChars="200"/>
        <w:rPr>
          <w:rFonts w:hint="eastAsia" w:ascii="仿宋" w:hAnsi="仿宋" w:eastAsia="仿宋" w:cs="仿宋"/>
          <w:color w:val="000000"/>
          <w:sz w:val="24"/>
        </w:rPr>
      </w:pPr>
    </w:p>
    <w:p w14:paraId="6C05430A">
      <w:pPr>
        <w:ind w:firstLine="480" w:firstLineChars="200"/>
        <w:rPr>
          <w:rFonts w:hint="eastAsia" w:ascii="仿宋" w:hAnsi="仿宋" w:eastAsia="仿宋" w:cs="仿宋"/>
          <w:color w:val="000000"/>
          <w:sz w:val="24"/>
        </w:rPr>
      </w:pPr>
    </w:p>
    <w:p w14:paraId="6BAB00E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44E2AAA">
      <w:pPr>
        <w:jc w:val="left"/>
        <w:rPr>
          <w:rFonts w:hint="eastAsia" w:ascii="仿宋" w:hAnsi="仿宋" w:eastAsia="仿宋" w:cs="仿宋"/>
          <w:color w:val="000000"/>
          <w:sz w:val="24"/>
        </w:rPr>
      </w:pPr>
    </w:p>
    <w:p w14:paraId="03D1493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1DD3E915">
      <w:pPr>
        <w:jc w:val="left"/>
        <w:rPr>
          <w:rFonts w:hint="eastAsia" w:ascii="仿宋" w:hAnsi="仿宋" w:eastAsia="仿宋" w:cs="仿宋"/>
          <w:color w:val="000000"/>
          <w:sz w:val="24"/>
        </w:rPr>
      </w:pPr>
    </w:p>
    <w:p w14:paraId="02743163">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7AEC8AEF">
      <w:pPr>
        <w:keepNext/>
        <w:keepLines/>
        <w:spacing w:line="416" w:lineRule="auto"/>
        <w:jc w:val="center"/>
        <w:rPr>
          <w:rFonts w:hint="eastAsia" w:ascii="仿宋" w:hAnsi="仿宋" w:eastAsia="仿宋" w:cs="仿宋"/>
        </w:rPr>
      </w:pPr>
      <w:r>
        <w:rPr>
          <w:rFonts w:hint="eastAsia" w:ascii="仿宋" w:hAnsi="仿宋" w:eastAsia="仿宋" w:cs="仿宋"/>
          <w:sz w:val="24"/>
        </w:rPr>
        <w:t xml:space="preserve"> </w:t>
      </w:r>
    </w:p>
    <w:p w14:paraId="1D7AFDE9">
      <w:pPr>
        <w:wordWrap w:val="0"/>
        <w:spacing w:line="276" w:lineRule="auto"/>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2E08A83F">
      <w:pPr>
        <w:numPr>
          <w:ilvl w:val="0"/>
          <w:numId w:val="0"/>
        </w:numPr>
        <w:jc w:val="left"/>
        <w:rPr>
          <w:rFonts w:hint="eastAsia" w:ascii="仿宋" w:hAnsi="仿宋" w:eastAsia="仿宋" w:cs="仿宋"/>
          <w:b/>
          <w:color w:val="000000"/>
          <w:sz w:val="24"/>
        </w:rPr>
      </w:pPr>
      <w:bookmarkStart w:id="30" w:name="_Toc21134"/>
    </w:p>
    <w:p w14:paraId="165A04A7">
      <w:pPr>
        <w:numPr>
          <w:ilvl w:val="0"/>
          <w:numId w:val="0"/>
        </w:numPr>
        <w:jc w:val="left"/>
        <w:rPr>
          <w:rFonts w:hint="eastAsia" w:ascii="仿宋" w:hAnsi="仿宋" w:eastAsia="仿宋" w:cs="仿宋"/>
          <w:b/>
          <w:color w:val="000000"/>
          <w:sz w:val="24"/>
        </w:rPr>
      </w:pPr>
    </w:p>
    <w:p w14:paraId="355DD02F">
      <w:pPr>
        <w:numPr>
          <w:ilvl w:val="0"/>
          <w:numId w:val="23"/>
        </w:numPr>
        <w:jc w:val="left"/>
        <w:rPr>
          <w:rFonts w:hint="eastAsia" w:ascii="仿宋" w:hAnsi="仿宋" w:eastAsia="仿宋" w:cs="仿宋"/>
          <w:b/>
          <w:color w:val="000000"/>
          <w:sz w:val="24"/>
        </w:rPr>
      </w:pPr>
      <w:r>
        <w:rPr>
          <w:rFonts w:hint="eastAsia" w:ascii="仿宋" w:hAnsi="仿宋" w:eastAsia="仿宋" w:cs="仿宋"/>
          <w:b/>
          <w:color w:val="000000"/>
          <w:sz w:val="24"/>
        </w:rPr>
        <w:t>政策功能情况</w:t>
      </w:r>
      <w:r>
        <w:rPr>
          <w:rFonts w:hint="eastAsia" w:ascii="仿宋" w:hAnsi="仿宋" w:eastAsia="仿宋" w:cs="仿宋"/>
          <w:b/>
          <w:color w:val="000000"/>
          <w:sz w:val="24"/>
          <w:highlight w:val="yellow"/>
        </w:rPr>
        <w:t>（如有）</w:t>
      </w:r>
      <w:bookmarkEnd w:id="30"/>
    </w:p>
    <w:tbl>
      <w:tblPr>
        <w:tblStyle w:val="44"/>
        <w:tblW w:w="93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984"/>
        <w:gridCol w:w="1323"/>
        <w:gridCol w:w="2514"/>
        <w:gridCol w:w="940"/>
        <w:gridCol w:w="1642"/>
      </w:tblGrid>
      <w:tr w14:paraId="3AF7B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A50D035">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类别</w:t>
            </w:r>
          </w:p>
        </w:tc>
        <w:tc>
          <w:tcPr>
            <w:tcW w:w="1984" w:type="dxa"/>
            <w:tcBorders>
              <w:top w:val="single" w:color="auto" w:sz="4" w:space="0"/>
              <w:left w:val="single" w:color="auto" w:sz="4" w:space="0"/>
              <w:bottom w:val="single" w:color="auto" w:sz="4" w:space="0"/>
              <w:right w:val="single" w:color="auto" w:sz="4" w:space="0"/>
            </w:tcBorders>
            <w:vAlign w:val="center"/>
          </w:tcPr>
          <w:p w14:paraId="4E525D1F">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投标产品</w:t>
            </w:r>
          </w:p>
          <w:p w14:paraId="455792E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（规格型号）</w:t>
            </w:r>
          </w:p>
        </w:tc>
        <w:tc>
          <w:tcPr>
            <w:tcW w:w="1323" w:type="dxa"/>
            <w:tcBorders>
              <w:top w:val="single" w:color="auto" w:sz="4" w:space="0"/>
              <w:left w:val="single" w:color="auto" w:sz="4" w:space="0"/>
              <w:bottom w:val="single" w:color="auto" w:sz="4" w:space="0"/>
              <w:right w:val="single" w:color="auto" w:sz="4" w:space="0"/>
            </w:tcBorders>
            <w:vAlign w:val="center"/>
          </w:tcPr>
          <w:p w14:paraId="58ED069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制造商</w:t>
            </w:r>
          </w:p>
        </w:tc>
        <w:tc>
          <w:tcPr>
            <w:tcW w:w="2514" w:type="dxa"/>
            <w:tcBorders>
              <w:top w:val="single" w:color="auto" w:sz="4" w:space="0"/>
              <w:left w:val="single" w:color="auto" w:sz="4" w:space="0"/>
              <w:bottom w:val="single" w:color="auto" w:sz="4" w:space="0"/>
              <w:right w:val="single" w:color="auto" w:sz="4" w:space="0"/>
            </w:tcBorders>
            <w:vAlign w:val="center"/>
          </w:tcPr>
          <w:p w14:paraId="6CA9AEC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认证证书号</w:t>
            </w:r>
          </w:p>
        </w:tc>
        <w:tc>
          <w:tcPr>
            <w:tcW w:w="940" w:type="dxa"/>
            <w:tcBorders>
              <w:top w:val="single" w:color="auto" w:sz="4" w:space="0"/>
              <w:left w:val="single" w:color="auto" w:sz="4" w:space="0"/>
              <w:bottom w:val="single" w:color="auto" w:sz="4" w:space="0"/>
              <w:right w:val="single" w:color="auto" w:sz="4" w:space="0"/>
            </w:tcBorders>
            <w:vAlign w:val="center"/>
          </w:tcPr>
          <w:p w14:paraId="2CCBD7D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w:t>
            </w:r>
          </w:p>
        </w:tc>
        <w:tc>
          <w:tcPr>
            <w:tcW w:w="1642" w:type="dxa"/>
            <w:tcBorders>
              <w:top w:val="single" w:color="auto" w:sz="4" w:space="0"/>
              <w:left w:val="single" w:color="auto" w:sz="4" w:space="0"/>
              <w:bottom w:val="single" w:color="auto" w:sz="4" w:space="0"/>
              <w:right w:val="single" w:color="auto" w:sz="4" w:space="0"/>
            </w:tcBorders>
            <w:vAlign w:val="center"/>
          </w:tcPr>
          <w:p w14:paraId="0B4770CE">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金额占总报价比重（累计 %）</w:t>
            </w:r>
          </w:p>
        </w:tc>
      </w:tr>
      <w:tr w14:paraId="5851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B7CC1B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节能产品</w:t>
            </w:r>
          </w:p>
        </w:tc>
        <w:tc>
          <w:tcPr>
            <w:tcW w:w="1984" w:type="dxa"/>
            <w:tcBorders>
              <w:top w:val="single" w:color="auto" w:sz="4" w:space="0"/>
              <w:left w:val="single" w:color="auto" w:sz="4" w:space="0"/>
              <w:bottom w:val="single" w:color="auto" w:sz="4" w:space="0"/>
              <w:right w:val="single" w:color="auto" w:sz="4" w:space="0"/>
            </w:tcBorders>
            <w:vAlign w:val="center"/>
          </w:tcPr>
          <w:p w14:paraId="09B8CF4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A7E0B2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EABDCE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0C3C8E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8B2925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5D8E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4E46CD2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330B055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102FB73E">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3A90804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32AAC2F7">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208CC715">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5C77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5DBEFFF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74A2784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47A27B8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04A0F9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916C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1A4ABB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环保标志产品</w:t>
            </w:r>
          </w:p>
        </w:tc>
        <w:tc>
          <w:tcPr>
            <w:tcW w:w="1984" w:type="dxa"/>
            <w:tcBorders>
              <w:top w:val="single" w:color="auto" w:sz="4" w:space="0"/>
              <w:left w:val="single" w:color="auto" w:sz="4" w:space="0"/>
              <w:bottom w:val="single" w:color="auto" w:sz="4" w:space="0"/>
              <w:right w:val="single" w:color="auto" w:sz="4" w:space="0"/>
            </w:tcBorders>
            <w:vAlign w:val="center"/>
          </w:tcPr>
          <w:p w14:paraId="1EBBFDF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2F1ED8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1E1A1A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D71827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C3E60C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69FC1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86613D3">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6F26BDE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33E2035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348E720">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05AF21A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596E306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425C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15C538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431A16F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35B0F7B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63495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73F8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1643569">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说明</w:t>
            </w:r>
          </w:p>
        </w:tc>
        <w:tc>
          <w:tcPr>
            <w:tcW w:w="8403" w:type="dxa"/>
            <w:gridSpan w:val="5"/>
            <w:tcBorders>
              <w:top w:val="single" w:color="auto" w:sz="4" w:space="0"/>
              <w:left w:val="single" w:color="auto" w:sz="4" w:space="0"/>
              <w:bottom w:val="single" w:color="auto" w:sz="4" w:space="0"/>
              <w:right w:val="single" w:color="auto" w:sz="4" w:space="0"/>
            </w:tcBorders>
            <w:vAlign w:val="center"/>
          </w:tcPr>
          <w:p w14:paraId="42CCD82F">
            <w:pPr>
              <w:keepNext w:val="0"/>
              <w:keepLines w:val="0"/>
              <w:suppressLineNumbers w:val="0"/>
              <w:tabs>
                <w:tab w:val="left" w:pos="1260"/>
              </w:tabs>
              <w:spacing w:before="0" w:beforeAutospacing="0" w:after="0" w:afterAutospacing="0"/>
              <w:ind w:left="0" w:right="0"/>
              <w:rPr>
                <w:rFonts w:hint="default" w:asciiTheme="minorEastAsia" w:hAnsiTheme="minorEastAsia" w:eastAsiaTheme="minorEastAsia"/>
                <w:szCs w:val="21"/>
                <w:lang w:val="en-GB"/>
              </w:rPr>
            </w:pPr>
          </w:p>
        </w:tc>
      </w:tr>
    </w:tbl>
    <w:p w14:paraId="4B2745A3">
      <w:pPr>
        <w:autoSpaceDE w:val="0"/>
        <w:autoSpaceDN w:val="0"/>
        <w:adjustRightInd w:val="0"/>
        <w:jc w:val="left"/>
        <w:rPr>
          <w:rFonts w:asciiTheme="minorEastAsia" w:hAnsiTheme="minorEastAsia" w:eastAsiaTheme="minorEastAsia"/>
          <w:szCs w:val="21"/>
          <w:lang w:val="en-GB"/>
        </w:rPr>
      </w:pPr>
    </w:p>
    <w:p w14:paraId="32093D52">
      <w:pPr>
        <w:tabs>
          <w:tab w:val="left" w:pos="360"/>
          <w:tab w:val="left" w:pos="993"/>
        </w:tabs>
        <w:adjustRightInd w:val="0"/>
        <w:snapToGrid w:val="0"/>
        <w:spacing w:line="360" w:lineRule="auto"/>
        <w:ind w:left="424" w:leftChars="-68" w:hanging="567" w:hangingChars="270"/>
        <w:jc w:val="left"/>
        <w:rPr>
          <w:rFonts w:asciiTheme="minorEastAsia" w:hAnsiTheme="minorEastAsia" w:eastAsiaTheme="minorEastAsia"/>
          <w:szCs w:val="21"/>
          <w:lang w:val="en-GB"/>
        </w:rPr>
      </w:pPr>
      <w:r>
        <w:rPr>
          <w:rFonts w:hint="eastAsia" w:asciiTheme="minorEastAsia" w:hAnsiTheme="minorEastAsia" w:eastAsiaTheme="minorEastAsia"/>
          <w:szCs w:val="21"/>
          <w:lang w:val="en-GB"/>
        </w:rPr>
        <w:t>说明</w:t>
      </w:r>
    </w:p>
    <w:p w14:paraId="02FCF805">
      <w:pPr>
        <w:numPr>
          <w:ilvl w:val="1"/>
          <w:numId w:val="24"/>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节能产品须填写认证证书编号，并提供投标产品的节能产品认证证书复印件，加盖投标人公章。</w:t>
      </w:r>
    </w:p>
    <w:p w14:paraId="395A0C56">
      <w:pPr>
        <w:numPr>
          <w:ilvl w:val="1"/>
          <w:numId w:val="24"/>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环保标志产品须填写认证证书编号，并提供投标产品的环保标志产品认证证书复印件，加盖投标人公章。</w:t>
      </w:r>
    </w:p>
    <w:p w14:paraId="7EAD727D">
      <w:pPr>
        <w:ind w:firstLine="480" w:firstLineChars="200"/>
        <w:rPr>
          <w:rFonts w:hint="eastAsia" w:ascii="仿宋" w:hAnsi="仿宋" w:eastAsia="仿宋" w:cs="仿宋"/>
          <w:color w:val="000000"/>
          <w:sz w:val="24"/>
        </w:rPr>
      </w:pPr>
    </w:p>
    <w:p w14:paraId="6876BAE5">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65D01D8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3B75FA94">
      <w:pPr>
        <w:jc w:val="left"/>
        <w:rPr>
          <w:rFonts w:hint="eastAsia" w:ascii="仿宋" w:hAnsi="仿宋" w:eastAsia="仿宋" w:cs="仿宋"/>
          <w:color w:val="000000" w:themeColor="text1"/>
          <w:sz w:val="24"/>
          <w14:textFill>
            <w14:solidFill>
              <w14:schemeClr w14:val="tx1"/>
            </w14:solidFill>
          </w14:textFill>
        </w:rPr>
      </w:pPr>
    </w:p>
    <w:p w14:paraId="2D6F708F">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11904F17">
      <w:pPr>
        <w:jc w:val="left"/>
        <w:rPr>
          <w:rFonts w:hint="eastAsia" w:ascii="仿宋" w:hAnsi="仿宋" w:eastAsia="仿宋" w:cs="仿宋"/>
          <w:color w:val="000000" w:themeColor="text1"/>
          <w:sz w:val="24"/>
          <w14:textFill>
            <w14:solidFill>
              <w14:schemeClr w14:val="tx1"/>
            </w14:solidFill>
          </w14:textFill>
        </w:rPr>
      </w:pPr>
    </w:p>
    <w:p w14:paraId="21266C45">
      <w:pPr>
        <w:jc w:val="left"/>
        <w:rPr>
          <w:rFonts w:hint="eastAsia" w:ascii="仿宋" w:hAnsi="仿宋" w:eastAsia="仿宋" w:cs="仿宋"/>
          <w:color w:val="000000"/>
          <w:sz w:val="24"/>
        </w:rPr>
      </w:pPr>
    </w:p>
    <w:p w14:paraId="00109C97">
      <w:pPr>
        <w:jc w:val="right"/>
        <w:rPr>
          <w:rFonts w:hint="eastAsia" w:ascii="仿宋" w:hAnsi="仿宋" w:eastAsia="仿宋" w:cs="仿宋"/>
          <w:b w:val="0"/>
          <w:sz w:val="36"/>
        </w:rPr>
      </w:pPr>
      <w:r>
        <w:rPr>
          <w:rFonts w:hint="eastAsia" w:ascii="仿宋" w:hAnsi="仿宋" w:eastAsia="仿宋" w:cs="仿宋"/>
          <w:color w:val="000000"/>
          <w:sz w:val="24"/>
        </w:rPr>
        <w:t>日期：    年  月  日</w:t>
      </w:r>
    </w:p>
    <w:p w14:paraId="7BA50B36">
      <w:pPr>
        <w:spacing w:line="500" w:lineRule="exact"/>
        <w:rPr>
          <w:rFonts w:asciiTheme="minorEastAsia" w:hAnsiTheme="minorEastAsia" w:eastAsiaTheme="minorEastAsia"/>
          <w:spacing w:val="4"/>
          <w:szCs w:val="21"/>
        </w:rPr>
      </w:pPr>
    </w:p>
    <w:p w14:paraId="201880A0">
      <w:pPr>
        <w:numPr>
          <w:ilvl w:val="0"/>
          <w:numId w:val="0"/>
        </w:numPr>
        <w:bidi w:val="0"/>
        <w:jc w:val="center"/>
        <w:rPr>
          <w:rFonts w:hint="eastAsia" w:ascii="仿宋" w:hAnsi="仿宋" w:eastAsia="仿宋" w:cs="仿宋"/>
          <w:b/>
          <w:bCs w:val="0"/>
          <w:kern w:val="2"/>
          <w:sz w:val="36"/>
          <w:szCs w:val="28"/>
          <w:lang w:val="en-US" w:eastAsia="zh-CN" w:bidi="ar-SA"/>
        </w:rPr>
      </w:pPr>
    </w:p>
    <w:p w14:paraId="38036AA2">
      <w:pPr>
        <w:spacing w:line="360" w:lineRule="auto"/>
        <w:ind w:firstLine="420" w:firstLineChars="200"/>
        <w:rPr>
          <w:rFonts w:ascii="宋体" w:hAnsi="宋体" w:cs="宋体"/>
          <w:color w:val="auto"/>
          <w:highlight w:val="none"/>
        </w:rPr>
      </w:pPr>
    </w:p>
    <w:p w14:paraId="440032E3">
      <w:pPr>
        <w:numPr>
          <w:ilvl w:val="0"/>
          <w:numId w:val="0"/>
        </w:numPr>
        <w:bidi w:val="0"/>
        <w:jc w:val="center"/>
        <w:rPr>
          <w:rFonts w:hint="eastAsia" w:ascii="仿宋" w:hAnsi="仿宋" w:eastAsia="仿宋" w:cs="仿宋"/>
          <w:b/>
          <w:bCs w:val="0"/>
          <w:kern w:val="2"/>
          <w:sz w:val="36"/>
          <w:szCs w:val="28"/>
          <w:lang w:val="en-US" w:eastAsia="zh-CN" w:bidi="ar-SA"/>
        </w:rPr>
      </w:pPr>
    </w:p>
    <w:p w14:paraId="4C974E7B">
      <w:pPr>
        <w:numPr>
          <w:ilvl w:val="0"/>
          <w:numId w:val="0"/>
        </w:numPr>
        <w:bidi w:val="0"/>
        <w:jc w:val="center"/>
        <w:rPr>
          <w:rFonts w:hint="eastAsia" w:ascii="仿宋" w:hAnsi="仿宋" w:eastAsia="仿宋" w:cs="仿宋"/>
          <w:b/>
          <w:bCs w:val="0"/>
          <w:kern w:val="2"/>
          <w:sz w:val="36"/>
          <w:szCs w:val="28"/>
          <w:lang w:val="en-US" w:eastAsia="zh-CN" w:bidi="ar-SA"/>
        </w:rPr>
      </w:pPr>
    </w:p>
    <w:p w14:paraId="20E72B83">
      <w:pPr>
        <w:numPr>
          <w:ilvl w:val="0"/>
          <w:numId w:val="0"/>
        </w:numPr>
        <w:bidi w:val="0"/>
        <w:jc w:val="center"/>
        <w:rPr>
          <w:rFonts w:hint="eastAsia" w:ascii="仿宋" w:hAnsi="仿宋" w:eastAsia="仿宋" w:cs="仿宋"/>
          <w:b/>
          <w:bCs w:val="0"/>
          <w:kern w:val="2"/>
          <w:sz w:val="36"/>
          <w:szCs w:val="28"/>
          <w:lang w:val="en-US" w:eastAsia="zh-CN" w:bidi="ar-SA"/>
        </w:rPr>
      </w:pPr>
    </w:p>
    <w:p w14:paraId="26502CCC">
      <w:pPr>
        <w:numPr>
          <w:ilvl w:val="0"/>
          <w:numId w:val="0"/>
        </w:numPr>
        <w:bidi w:val="0"/>
        <w:jc w:val="center"/>
        <w:rPr>
          <w:rFonts w:hint="eastAsia" w:ascii="仿宋" w:hAnsi="仿宋" w:eastAsia="仿宋" w:cs="仿宋"/>
          <w:b/>
          <w:bCs w:val="0"/>
          <w:kern w:val="2"/>
          <w:sz w:val="36"/>
          <w:szCs w:val="28"/>
          <w:lang w:val="en-US" w:eastAsia="zh-CN" w:bidi="ar-SA"/>
        </w:rPr>
      </w:pPr>
    </w:p>
    <w:p w14:paraId="26FB7FF1">
      <w:pPr>
        <w:numPr>
          <w:ilvl w:val="0"/>
          <w:numId w:val="0"/>
        </w:numPr>
        <w:bidi w:val="0"/>
        <w:jc w:val="center"/>
        <w:rPr>
          <w:rFonts w:hint="eastAsia" w:ascii="仿宋" w:hAnsi="仿宋" w:eastAsia="仿宋" w:cs="仿宋"/>
          <w:b/>
          <w:bCs w:val="0"/>
          <w:kern w:val="2"/>
          <w:sz w:val="36"/>
          <w:szCs w:val="28"/>
          <w:lang w:val="en-US" w:eastAsia="zh-CN" w:bidi="ar-SA"/>
        </w:rPr>
      </w:pPr>
    </w:p>
    <w:p w14:paraId="4F2A8F51">
      <w:pPr>
        <w:numPr>
          <w:ilvl w:val="0"/>
          <w:numId w:val="0"/>
        </w:numPr>
        <w:bidi w:val="0"/>
        <w:jc w:val="center"/>
        <w:rPr>
          <w:rFonts w:hint="eastAsia" w:ascii="仿宋" w:hAnsi="仿宋" w:eastAsia="仿宋" w:cs="仿宋"/>
          <w:b/>
          <w:bCs w:val="0"/>
          <w:kern w:val="2"/>
          <w:sz w:val="36"/>
          <w:szCs w:val="28"/>
          <w:lang w:val="en-US" w:eastAsia="zh-CN" w:bidi="ar-SA"/>
        </w:rPr>
      </w:pPr>
    </w:p>
    <w:p w14:paraId="43352471">
      <w:pPr>
        <w:numPr>
          <w:ilvl w:val="0"/>
          <w:numId w:val="0"/>
        </w:numPr>
        <w:bidi w:val="0"/>
        <w:jc w:val="both"/>
        <w:rPr>
          <w:rFonts w:hint="eastAsia" w:ascii="仿宋" w:hAnsi="仿宋" w:eastAsia="仿宋" w:cs="仿宋"/>
          <w:b/>
          <w:bCs w:val="0"/>
          <w:kern w:val="2"/>
          <w:sz w:val="36"/>
          <w:szCs w:val="28"/>
          <w:lang w:val="en-US" w:eastAsia="zh-CN" w:bidi="ar-SA"/>
        </w:rPr>
      </w:pPr>
    </w:p>
    <w:p w14:paraId="6B356EBC">
      <w:pPr>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五、法定代表人/负责人证明书</w:t>
      </w:r>
    </w:p>
    <w:p w14:paraId="6BF82376">
      <w:pPr>
        <w:numPr>
          <w:ilvl w:val="0"/>
          <w:numId w:val="0"/>
        </w:numPr>
        <w:bidi w:val="0"/>
        <w:jc w:val="center"/>
        <w:rPr>
          <w:rFonts w:hint="eastAsia" w:ascii="宋体" w:hAnsi="宋体" w:eastAsia="仿宋" w:cs="宋体"/>
          <w:b/>
          <w:sz w:val="24"/>
          <w:highlight w:val="none"/>
          <w:lang w:val="en-US" w:eastAsia="zh-CN"/>
        </w:rPr>
      </w:pPr>
    </w:p>
    <w:p w14:paraId="242F3CEA">
      <w:pPr>
        <w:spacing w:line="480" w:lineRule="auto"/>
        <w:ind w:firstLine="420" w:firstLineChars="200"/>
        <w:rPr>
          <w:rFonts w:hint="eastAsia" w:ascii="仿宋" w:hAnsi="仿宋" w:eastAsia="仿宋" w:cs="仿宋"/>
          <w:lang w:eastAsia="zh-CN"/>
        </w:rPr>
      </w:pPr>
      <w:r>
        <w:rPr>
          <w:rFonts w:hint="eastAsia" w:ascii="仿宋" w:hAnsi="仿宋" w:eastAsia="仿宋" w:cs="仿宋"/>
          <w:lang w:eastAsia="zh-CN"/>
        </w:rPr>
        <w:t>法定代表人姓名：</w:t>
      </w:r>
      <w:r>
        <w:rPr>
          <w:rFonts w:hint="eastAsia" w:ascii="仿宋" w:hAnsi="仿宋" w:eastAsia="仿宋" w:cs="仿宋"/>
          <w:u w:val="single"/>
          <w:lang w:eastAsia="zh-CN"/>
        </w:rPr>
        <w:t xml:space="preserve">              </w:t>
      </w:r>
      <w:r>
        <w:rPr>
          <w:rFonts w:hint="eastAsia" w:ascii="仿宋" w:hAnsi="仿宋" w:eastAsia="仿宋" w:cs="仿宋"/>
          <w:lang w:eastAsia="zh-CN"/>
        </w:rPr>
        <w:t>，现任我单位</w:t>
      </w:r>
      <w:r>
        <w:rPr>
          <w:rFonts w:hint="eastAsia" w:ascii="仿宋" w:hAnsi="仿宋" w:eastAsia="仿宋" w:cs="仿宋"/>
          <w:u w:val="single"/>
          <w:lang w:eastAsia="zh-CN"/>
        </w:rPr>
        <w:t xml:space="preserve">         </w:t>
      </w:r>
      <w:r>
        <w:rPr>
          <w:rFonts w:hint="eastAsia" w:ascii="仿宋" w:hAnsi="仿宋" w:eastAsia="仿宋" w:cs="仿宋"/>
          <w:lang w:eastAsia="zh-CN"/>
        </w:rPr>
        <w:t>职务，为法定代表人（负责人），特此证明。</w:t>
      </w:r>
    </w:p>
    <w:p w14:paraId="4E27C27D">
      <w:pPr>
        <w:spacing w:line="360" w:lineRule="auto"/>
        <w:ind w:firstLine="420" w:firstLineChars="200"/>
        <w:rPr>
          <w:rFonts w:hint="eastAsia" w:ascii="仿宋" w:hAnsi="仿宋" w:eastAsia="仿宋" w:cs="仿宋"/>
        </w:rPr>
      </w:pPr>
      <w:r>
        <w:rPr>
          <w:rFonts w:hint="eastAsia" w:ascii="仿宋" w:hAnsi="仿宋" w:eastAsia="仿宋" w:cs="仿宋"/>
        </w:rPr>
        <w:t>本证明书自签发之日起生效，有效期与本公司投标文件中标注的投标有效期相同。</w:t>
      </w:r>
    </w:p>
    <w:p w14:paraId="546A37F9">
      <w:pPr>
        <w:spacing w:line="480" w:lineRule="auto"/>
        <w:ind w:firstLine="422" w:firstLineChars="200"/>
        <w:rPr>
          <w:rFonts w:ascii="宋体" w:hAnsi="宋体"/>
        </w:rPr>
      </w:pPr>
      <w:r>
        <w:rPr>
          <w:rFonts w:hint="eastAsia" w:ascii="宋体" w:hAnsi="宋体"/>
          <w:b/>
          <w:bCs/>
        </w:rPr>
        <w:t>签发日期：</w:t>
      </w:r>
      <w:r>
        <w:rPr>
          <w:rFonts w:hint="eastAsia" w:ascii="宋体" w:hAnsi="宋体"/>
          <w:b/>
          <w:bCs/>
          <w:u w:val="single"/>
        </w:rPr>
        <w:t xml:space="preserve">     </w:t>
      </w:r>
      <w:r>
        <w:rPr>
          <w:rFonts w:hint="eastAsia" w:ascii="宋体" w:hAnsi="宋体"/>
          <w:b/>
          <w:bCs/>
        </w:rPr>
        <w:t>年</w:t>
      </w:r>
      <w:r>
        <w:rPr>
          <w:rFonts w:hint="eastAsia" w:ascii="宋体" w:hAnsi="宋体"/>
          <w:b/>
          <w:bCs/>
          <w:u w:val="single"/>
        </w:rPr>
        <w:t xml:space="preserve">   </w:t>
      </w:r>
      <w:r>
        <w:rPr>
          <w:rFonts w:hint="eastAsia" w:ascii="宋体" w:hAnsi="宋体"/>
          <w:b/>
          <w:bCs/>
        </w:rPr>
        <w:t>月</w:t>
      </w:r>
      <w:r>
        <w:rPr>
          <w:rFonts w:hint="eastAsia" w:ascii="宋体" w:hAnsi="宋体"/>
          <w:b/>
          <w:bCs/>
          <w:u w:val="single"/>
        </w:rPr>
        <w:t xml:space="preserve">   </w:t>
      </w:r>
      <w:r>
        <w:rPr>
          <w:rFonts w:hint="eastAsia" w:ascii="宋体" w:hAnsi="宋体"/>
          <w:b/>
          <w:bCs/>
        </w:rPr>
        <w:t>日</w:t>
      </w:r>
      <w:r>
        <w:rPr>
          <w:rFonts w:ascii="宋体" w:hAnsi="宋体"/>
          <w:b/>
          <w:bCs/>
        </w:rPr>
        <w:t xml:space="preserve"> </w:t>
      </w:r>
      <w:r>
        <w:rPr>
          <w:rFonts w:ascii="宋体" w:hAnsi="宋体"/>
        </w:rPr>
        <w:t xml:space="preserve">          </w:t>
      </w:r>
    </w:p>
    <w:p w14:paraId="685EFB1F">
      <w:pPr>
        <w:spacing w:line="360" w:lineRule="auto"/>
        <w:ind w:firstLine="422" w:firstLineChars="2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832CBDB">
      <w:pPr>
        <w:ind w:firstLine="240" w:firstLineChars="100"/>
        <w:rPr>
          <w:rFonts w:hint="eastAsia" w:ascii="仿宋" w:hAnsi="仿宋" w:eastAsia="仿宋" w:cs="仿宋"/>
          <w:sz w:val="24"/>
          <w:highlight w:val="none"/>
        </w:rPr>
      </w:pPr>
    </w:p>
    <w:p w14:paraId="60840351">
      <w:pPr>
        <w:rPr>
          <w:rFonts w:hint="eastAsia" w:ascii="仿宋" w:hAnsi="仿宋" w:eastAsia="仿宋" w:cs="仿宋"/>
          <w:sz w:val="24"/>
          <w:highlight w:val="none"/>
        </w:rPr>
      </w:pPr>
      <w:r>
        <w:rPr>
          <w:rFonts w:hint="eastAsia" w:ascii="仿宋" w:hAnsi="仿宋" w:eastAsia="仿宋" w:cs="仿宋"/>
          <w:sz w:val="24"/>
          <w:highlight w:val="none"/>
        </w:rPr>
        <w:t>说明：1.法定代表人为企业事业单位、国家机关、社会团体的主要行政负责人。</w:t>
      </w:r>
    </w:p>
    <w:p w14:paraId="2BF1442D">
      <w:pPr>
        <w:rPr>
          <w:rFonts w:hint="eastAsia" w:ascii="仿宋" w:hAnsi="仿宋" w:eastAsia="仿宋" w:cs="仿宋"/>
          <w:sz w:val="24"/>
          <w:highlight w:val="none"/>
        </w:rPr>
      </w:pPr>
      <w:r>
        <w:rPr>
          <w:rFonts w:hint="eastAsia" w:ascii="仿宋" w:hAnsi="仿宋" w:eastAsia="仿宋" w:cs="仿宋"/>
          <w:sz w:val="24"/>
          <w:highlight w:val="none"/>
        </w:rPr>
        <w:t xml:space="preserve">      2.内容必须填写真实、清楚、涂改无效，不得转让、买卖。</w:t>
      </w:r>
    </w:p>
    <w:tbl>
      <w:tblPr>
        <w:tblStyle w:val="44"/>
        <w:tblW w:w="942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14:paraId="422E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420" w:type="dxa"/>
            <w:noWrap w:val="0"/>
            <w:vAlign w:val="center"/>
          </w:tcPr>
          <w:p w14:paraId="7EA00835">
            <w:pPr>
              <w:keepNext w:val="0"/>
              <w:keepLines w:val="0"/>
              <w:suppressLineNumbers w:val="0"/>
              <w:spacing w:before="0" w:beforeAutospacing="0" w:after="0" w:afterAutospacing="0"/>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粘贴法定代表人身份证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07A25DE3">
      <w:pPr>
        <w:snapToGrid w:val="0"/>
        <w:ind w:firstLine="420" w:firstLineChars="200"/>
        <w:jc w:val="center"/>
        <w:rPr>
          <w:rFonts w:hint="eastAsia" w:ascii="仿宋" w:hAnsi="仿宋" w:eastAsia="仿宋" w:cs="仿宋"/>
        </w:rPr>
      </w:pPr>
    </w:p>
    <w:p w14:paraId="26112131">
      <w:pPr>
        <w:jc w:val="center"/>
        <w:rPr>
          <w:rFonts w:hint="default"/>
          <w:b/>
          <w:bCs/>
          <w:sz w:val="24"/>
          <w:szCs w:val="24"/>
          <w:lang w:val="en-US" w:eastAsia="zh-CN"/>
        </w:rPr>
      </w:pPr>
    </w:p>
    <w:p w14:paraId="1A482574">
      <w:pPr>
        <w:jc w:val="center"/>
        <w:rPr>
          <w:rFonts w:hint="default"/>
          <w:b/>
          <w:bCs/>
          <w:sz w:val="24"/>
          <w:szCs w:val="24"/>
          <w:lang w:val="en-US" w:eastAsia="zh-CN"/>
        </w:rPr>
      </w:pPr>
    </w:p>
    <w:p w14:paraId="1702E1C5">
      <w:pPr>
        <w:jc w:val="center"/>
        <w:rPr>
          <w:rFonts w:hint="default"/>
          <w:b/>
          <w:bCs/>
          <w:sz w:val="24"/>
          <w:szCs w:val="24"/>
          <w:lang w:val="en-US" w:eastAsia="zh-CN"/>
        </w:rPr>
      </w:pPr>
    </w:p>
    <w:p w14:paraId="249AD617">
      <w:pPr>
        <w:jc w:val="center"/>
        <w:rPr>
          <w:rFonts w:hint="eastAsia" w:ascii="宋体" w:hAnsi="宋体" w:cs="宋体"/>
          <w:b/>
          <w:sz w:val="28"/>
          <w:szCs w:val="28"/>
          <w:highlight w:val="non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rPr>
        <w:br w:type="page"/>
      </w:r>
      <w:r>
        <w:rPr>
          <w:rFonts w:hint="eastAsia" w:ascii="仿宋" w:hAnsi="仿宋" w:eastAsia="仿宋" w:cs="仿宋"/>
          <w:b/>
          <w:bCs w:val="0"/>
          <w:kern w:val="2"/>
          <w:sz w:val="36"/>
          <w:szCs w:val="28"/>
          <w:lang w:val="en-US" w:eastAsia="zh-CN" w:bidi="ar-SA"/>
        </w:rPr>
        <w:t>六、法定代表人/负责人授权委托书</w:t>
      </w:r>
    </w:p>
    <w:p w14:paraId="270142BD">
      <w:pPr>
        <w:rPr>
          <w:rFonts w:hint="eastAsia" w:ascii="宋体" w:hAnsi="宋体" w:cs="宋体"/>
          <w:sz w:val="24"/>
          <w:highlight w:val="none"/>
        </w:rPr>
      </w:pPr>
    </w:p>
    <w:p w14:paraId="26A80EB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w:t>
      </w:r>
      <w:r>
        <w:rPr>
          <w:rFonts w:hint="eastAsia" w:ascii="仿宋" w:hAnsi="仿宋" w:eastAsia="仿宋" w:cs="仿宋"/>
          <w:szCs w:val="21"/>
        </w:rPr>
        <w:t>(法定代表人姓名)系</w:t>
      </w:r>
      <w:r>
        <w:rPr>
          <w:rFonts w:hint="eastAsia" w:ascii="仿宋" w:hAnsi="仿宋" w:eastAsia="仿宋" w:cs="仿宋"/>
          <w:szCs w:val="21"/>
          <w:u w:val="single"/>
        </w:rPr>
        <w:t xml:space="preserve">             </w:t>
      </w:r>
      <w:r>
        <w:rPr>
          <w:rFonts w:hint="eastAsia" w:ascii="仿宋" w:hAnsi="仿宋" w:eastAsia="仿宋" w:cs="仿宋"/>
          <w:szCs w:val="21"/>
        </w:rPr>
        <w:t>(投标</w:t>
      </w:r>
      <w:r>
        <w:rPr>
          <w:rFonts w:hint="eastAsia" w:ascii="仿宋" w:hAnsi="仿宋" w:eastAsia="仿宋" w:cs="仿宋"/>
          <w:szCs w:val="21"/>
          <w:lang w:eastAsia="zh-CN"/>
        </w:rPr>
        <w:t>单位</w:t>
      </w:r>
      <w:r>
        <w:rPr>
          <w:rFonts w:hint="eastAsia" w:ascii="仿宋" w:hAnsi="仿宋" w:eastAsia="仿宋" w:cs="仿宋"/>
          <w:szCs w:val="21"/>
        </w:rPr>
        <w:t>名称)的法定代表人,现授权委托我公司的</w:t>
      </w:r>
      <w:r>
        <w:rPr>
          <w:rFonts w:hint="eastAsia" w:ascii="仿宋" w:hAnsi="仿宋" w:eastAsia="仿宋" w:cs="仿宋"/>
          <w:szCs w:val="21"/>
          <w:u w:val="single"/>
        </w:rPr>
        <w:t xml:space="preserve">            </w:t>
      </w:r>
      <w:r>
        <w:rPr>
          <w:rFonts w:hint="eastAsia" w:ascii="仿宋" w:hAnsi="仿宋" w:eastAsia="仿宋" w:cs="仿宋"/>
          <w:szCs w:val="21"/>
        </w:rPr>
        <w:t>(姓名)为我公司的投标</w:t>
      </w:r>
      <w:r>
        <w:rPr>
          <w:rFonts w:hint="eastAsia" w:ascii="仿宋" w:hAnsi="仿宋" w:eastAsia="仿宋" w:cs="仿宋"/>
          <w:szCs w:val="21"/>
          <w:lang w:eastAsia="zh-CN"/>
        </w:rPr>
        <w:t>授权</w:t>
      </w:r>
      <w:r>
        <w:rPr>
          <w:rFonts w:hint="eastAsia" w:ascii="仿宋" w:hAnsi="仿宋" w:eastAsia="仿宋" w:cs="仿宋"/>
          <w:szCs w:val="21"/>
        </w:rPr>
        <w:t>代表,代表我公司签署本项目的投标文件､参与项目投标､澄清投标文件和处理与该项目有关的一切事务｡在此过程中所签署的一切文件及处理与该项目有关的一切事务,我均予以承认｡</w:t>
      </w:r>
    </w:p>
    <w:p w14:paraId="6E79A18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授权书有效期内被授权人签署的所有文件不因授权的撤销而失效｡被授权人无转委托权｡</w:t>
      </w:r>
    </w:p>
    <w:p w14:paraId="2E4427E5">
      <w:pPr>
        <w:spacing w:line="360" w:lineRule="auto"/>
        <w:ind w:firstLine="420" w:firstLineChars="200"/>
        <w:rPr>
          <w:rFonts w:hint="eastAsia" w:ascii="仿宋" w:hAnsi="仿宋" w:eastAsia="仿宋" w:cs="仿宋"/>
          <w:szCs w:val="21"/>
        </w:rPr>
      </w:pPr>
      <w:r>
        <w:rPr>
          <w:rFonts w:hint="eastAsia" w:ascii="仿宋" w:hAnsi="仿宋" w:eastAsia="仿宋" w:cs="仿宋"/>
        </w:rPr>
        <w:t>本授权书自盖章之日起生效，特此声明。</w:t>
      </w:r>
    </w:p>
    <w:p w14:paraId="5AC7BB58">
      <w:pPr>
        <w:spacing w:line="300" w:lineRule="auto"/>
        <w:rPr>
          <w:rFonts w:hint="eastAsia" w:ascii="仿宋" w:hAnsi="仿宋" w:eastAsia="仿宋" w:cs="仿宋"/>
          <w:szCs w:val="21"/>
        </w:rPr>
      </w:pPr>
    </w:p>
    <w:p w14:paraId="6F42B058">
      <w:pPr>
        <w:spacing w:line="360" w:lineRule="auto"/>
        <w:ind w:left="3360" w:leftChars="1600"/>
        <w:rPr>
          <w:rFonts w:hint="eastAsia" w:ascii="仿宋" w:hAnsi="仿宋" w:eastAsia="仿宋" w:cs="仿宋"/>
          <w:szCs w:val="21"/>
          <w:u w:val="single"/>
        </w:rPr>
      </w:pPr>
      <w:r>
        <w:rPr>
          <w:rFonts w:hint="eastAsia" w:ascii="仿宋" w:hAnsi="仿宋" w:eastAsia="仿宋" w:cs="仿宋"/>
          <w:szCs w:val="21"/>
          <w:highlight w:val="none"/>
          <w:lang w:val="en-US" w:eastAsia="zh-CN"/>
        </w:rPr>
        <w:t>投标授权代表人</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性别:</w:t>
      </w:r>
      <w:r>
        <w:rPr>
          <w:rFonts w:hint="eastAsia" w:ascii="仿宋" w:hAnsi="仿宋" w:eastAsia="仿宋" w:cs="仿宋"/>
          <w:szCs w:val="21"/>
          <w:u w:val="single"/>
        </w:rPr>
        <w:t xml:space="preserve">           </w:t>
      </w:r>
    </w:p>
    <w:p w14:paraId="19DA07C3">
      <w:pPr>
        <w:spacing w:line="360" w:lineRule="auto"/>
        <w:ind w:left="3360" w:leftChars="1600"/>
        <w:rPr>
          <w:rFonts w:ascii="Arial" w:hAnsi="Arial"/>
          <w:szCs w:val="21"/>
        </w:rPr>
      </w:pPr>
      <w:r>
        <w:rPr>
          <w:rFonts w:hint="eastAsia" w:ascii="仿宋" w:hAnsi="仿宋" w:eastAsia="仿宋" w:cs="仿宋"/>
        </w:rPr>
        <w:t>职务</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Arial" w:hAnsi="Arial"/>
          <w:szCs w:val="21"/>
          <w:u w:val="single"/>
          <w:lang w:val="en-US" w:eastAsia="zh-CN"/>
        </w:rPr>
        <w:t xml:space="preserve">        </w:t>
      </w:r>
      <w:r>
        <w:rPr>
          <w:rFonts w:ascii="Arial" w:hAnsi="Arial"/>
          <w:szCs w:val="21"/>
          <w:u w:val="single"/>
        </w:rPr>
        <w:t xml:space="preserve">    </w:t>
      </w:r>
      <w:r>
        <w:rPr>
          <w:rFonts w:hint="eastAsia" w:ascii="Arial" w:hAnsi="Arial"/>
          <w:szCs w:val="21"/>
          <w:u w:val="single"/>
          <w:lang w:val="en-US" w:eastAsia="zh-CN"/>
        </w:rPr>
        <w:t xml:space="preserve">    </w:t>
      </w:r>
      <w:r>
        <w:rPr>
          <w:rFonts w:ascii="Arial" w:hAnsi="Arial"/>
          <w:szCs w:val="21"/>
          <w:u w:val="single"/>
        </w:rPr>
        <w:t xml:space="preserve">       </w:t>
      </w:r>
    </w:p>
    <w:p w14:paraId="0157DC01">
      <w:pPr>
        <w:spacing w:line="360" w:lineRule="auto"/>
        <w:ind w:left="3360" w:leftChars="1600"/>
        <w:rPr>
          <w:rFonts w:ascii="Arial" w:hAnsi="Arial"/>
          <w:szCs w:val="21"/>
        </w:rPr>
      </w:pPr>
    </w:p>
    <w:p w14:paraId="570D1601">
      <w:pPr>
        <w:spacing w:line="360" w:lineRule="auto"/>
        <w:ind w:left="3360" w:leftChars="1600"/>
        <w:rPr>
          <w:rFonts w:hint="eastAsia" w:ascii="Arial" w:hAnsi="Arial"/>
          <w:b/>
          <w:bCs/>
          <w:szCs w:val="21"/>
        </w:rPr>
      </w:pPr>
      <w:r>
        <w:rPr>
          <w:rFonts w:hint="eastAsia" w:ascii="Arial" w:hAnsi="Arial"/>
          <w:b/>
          <w:bCs/>
          <w:szCs w:val="21"/>
        </w:rPr>
        <w:t>授权委托日期:</w:t>
      </w:r>
      <w:r>
        <w:rPr>
          <w:rFonts w:ascii="Arial" w:hAnsi="Arial"/>
          <w:b/>
          <w:bCs/>
          <w:szCs w:val="21"/>
          <w:u w:val="single"/>
        </w:rPr>
        <w:t xml:space="preserve">         </w:t>
      </w:r>
      <w:r>
        <w:rPr>
          <w:rFonts w:hint="eastAsia" w:ascii="Arial" w:hAnsi="Arial"/>
          <w:b/>
          <w:bCs/>
          <w:szCs w:val="21"/>
        </w:rPr>
        <w:t>年</w:t>
      </w:r>
      <w:r>
        <w:rPr>
          <w:rFonts w:ascii="Arial" w:hAnsi="Arial"/>
          <w:b/>
          <w:bCs/>
          <w:szCs w:val="21"/>
          <w:u w:val="single"/>
        </w:rPr>
        <w:t xml:space="preserve">      </w:t>
      </w:r>
      <w:r>
        <w:rPr>
          <w:rFonts w:hint="eastAsia" w:ascii="Arial" w:hAnsi="Arial"/>
          <w:b/>
          <w:bCs/>
          <w:szCs w:val="21"/>
        </w:rPr>
        <w:t>月</w:t>
      </w:r>
      <w:r>
        <w:rPr>
          <w:rFonts w:ascii="Arial" w:hAnsi="Arial"/>
          <w:b/>
          <w:bCs/>
          <w:szCs w:val="21"/>
        </w:rPr>
        <w:t xml:space="preserve"> </w:t>
      </w:r>
      <w:r>
        <w:rPr>
          <w:rFonts w:ascii="Arial" w:hAnsi="Arial"/>
          <w:b/>
          <w:bCs/>
          <w:szCs w:val="21"/>
          <w:u w:val="single"/>
        </w:rPr>
        <w:t xml:space="preserve">      </w:t>
      </w:r>
      <w:r>
        <w:rPr>
          <w:rFonts w:hint="eastAsia" w:ascii="Arial" w:hAnsi="Arial"/>
          <w:b/>
          <w:bCs/>
          <w:szCs w:val="21"/>
        </w:rPr>
        <w:t>日</w:t>
      </w:r>
    </w:p>
    <w:p w14:paraId="7B07234E">
      <w:pPr>
        <w:spacing w:line="360" w:lineRule="auto"/>
        <w:ind w:firstLine="3373" w:firstLineChars="16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C4B36A8">
      <w:pPr>
        <w:ind w:left="1"/>
        <w:rPr>
          <w:rFonts w:hint="eastAsia" w:ascii="仿宋" w:hAnsi="仿宋" w:eastAsia="仿宋" w:cs="仿宋"/>
          <w:sz w:val="18"/>
          <w:szCs w:val="18"/>
          <w:highlight w:val="none"/>
        </w:rPr>
      </w:pPr>
      <w:r>
        <w:rPr>
          <w:rFonts w:hint="eastAsia" w:ascii="仿宋" w:hAnsi="仿宋" w:eastAsia="仿宋" w:cs="仿宋"/>
          <w:sz w:val="18"/>
          <w:szCs w:val="18"/>
          <w:highlight w:val="none"/>
        </w:rPr>
        <w:t>说明：</w:t>
      </w:r>
    </w:p>
    <w:p w14:paraId="5B344EA3">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1</w:t>
      </w:r>
      <w:r>
        <w:rPr>
          <w:rFonts w:hint="eastAsia" w:ascii="仿宋" w:hAnsi="仿宋" w:eastAsia="仿宋" w:cs="仿宋"/>
          <w:sz w:val="18"/>
          <w:szCs w:val="18"/>
          <w:highlight w:val="none"/>
        </w:rPr>
        <w:t>.内容必须填写真实、清楚、涂改无效，不得转让、买卖。</w:t>
      </w:r>
    </w:p>
    <w:p w14:paraId="0C3AAA31">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2</w:t>
      </w:r>
      <w:r>
        <w:rPr>
          <w:rFonts w:hint="eastAsia" w:ascii="仿宋" w:hAnsi="仿宋" w:eastAsia="仿宋" w:cs="仿宋"/>
          <w:sz w:val="18"/>
          <w:szCs w:val="18"/>
          <w:highlight w:val="none"/>
        </w:rPr>
        <w:t>.授权权限：全权代表本公司参与上述采购项目的投标响应，负责提供与签署确认一切文书资料，以及向贵方递交的任何补充承诺。</w:t>
      </w:r>
    </w:p>
    <w:p w14:paraId="2B85F0F5">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3</w:t>
      </w:r>
      <w:r>
        <w:rPr>
          <w:rFonts w:hint="eastAsia" w:ascii="仿宋" w:hAnsi="仿宋" w:eastAsia="仿宋" w:cs="仿宋"/>
          <w:sz w:val="18"/>
          <w:szCs w:val="18"/>
          <w:highlight w:val="none"/>
        </w:rPr>
        <w:t>.有效期限：与本公司投标文件中标注的投标有效期相同，自本单位盖公章之日起生效。</w:t>
      </w:r>
    </w:p>
    <w:p w14:paraId="343D109A">
      <w:pPr>
        <w:ind w:left="1"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4</w:t>
      </w:r>
      <w:r>
        <w:rPr>
          <w:rFonts w:hint="eastAsia" w:ascii="仿宋" w:hAnsi="仿宋" w:eastAsia="仿宋" w:cs="仿宋"/>
          <w:sz w:val="18"/>
          <w:szCs w:val="18"/>
          <w:highlight w:val="none"/>
        </w:rPr>
        <w:t>.投标签字代表为法定代表人，则本表不适用。</w:t>
      </w:r>
    </w:p>
    <w:p w14:paraId="4EF222EF">
      <w:pPr>
        <w:ind w:left="1" w:firstLine="537" w:firstLineChars="224"/>
        <w:rPr>
          <w:rFonts w:hint="eastAsia" w:ascii="宋体" w:hAnsi="宋体" w:cs="宋体"/>
          <w:sz w:val="24"/>
          <w:highlight w:val="none"/>
        </w:rPr>
      </w:pPr>
    </w:p>
    <w:tbl>
      <w:tblPr>
        <w:tblStyle w:val="4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7713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287" w:type="dxa"/>
            <w:noWrap w:val="0"/>
            <w:vAlign w:val="center"/>
          </w:tcPr>
          <w:p w14:paraId="29E56881">
            <w:pPr>
              <w:keepNext w:val="0"/>
              <w:keepLines w:val="0"/>
              <w:suppressLineNumbers w:val="0"/>
              <w:spacing w:before="0" w:beforeAutospacing="0" w:after="0" w:afterAutospacing="0" w:line="360" w:lineRule="auto"/>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粘贴代理人身份证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537BF1A4">
      <w:pPr>
        <w:rPr>
          <w:rFonts w:hint="eastAsia" w:ascii="宋体" w:hAnsi="宋体" w:cs="宋体"/>
          <w:sz w:val="28"/>
          <w:szCs w:val="28"/>
          <w:highlight w:val="none"/>
          <w:u w:val="singl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宋体" w:hAnsi="宋体" w:cs="宋体"/>
          <w:sz w:val="28"/>
          <w:szCs w:val="28"/>
          <w:highlight w:val="none"/>
          <w:u w:val="single"/>
        </w:rPr>
        <w:br w:type="page"/>
      </w:r>
    </w:p>
    <w:p w14:paraId="36BB026A">
      <w:pPr>
        <w:pStyle w:val="5"/>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七</w:t>
      </w:r>
      <w:r>
        <w:rPr>
          <w:rFonts w:hint="eastAsia" w:ascii="仿宋" w:hAnsi="仿宋" w:eastAsia="仿宋" w:cs="仿宋"/>
          <w:b/>
          <w:bCs w:val="0"/>
          <w:sz w:val="36"/>
        </w:rPr>
        <w:t>、供应商情况介绍</w:t>
      </w:r>
    </w:p>
    <w:p w14:paraId="022C72DC">
      <w:p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供应商基本情况表</w:t>
      </w:r>
    </w:p>
    <w:p w14:paraId="5C8CAD4B">
      <w:pPr>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填表单位（</w:t>
      </w:r>
      <w:r>
        <w:rPr>
          <w:rFonts w:hint="eastAsia" w:ascii="仿宋" w:hAnsi="仿宋" w:eastAsia="仿宋" w:cs="仿宋"/>
          <w:b/>
          <w:bCs/>
          <w:color w:val="FF0000"/>
          <w:sz w:val="21"/>
          <w:szCs w:val="21"/>
        </w:rPr>
        <w:t>加盖单位公章</w:t>
      </w:r>
      <w:r>
        <w:rPr>
          <w:rFonts w:hint="eastAsia" w:ascii="仿宋" w:hAnsi="仿宋" w:eastAsia="仿宋" w:cs="仿宋"/>
          <w:sz w:val="21"/>
          <w:szCs w:val="21"/>
        </w:rPr>
        <w:t>）：</w:t>
      </w:r>
    </w:p>
    <w:p w14:paraId="3EAD1D77">
      <w:pPr>
        <w:adjustRightInd w:val="0"/>
        <w:snapToGrid w:val="0"/>
        <w:jc w:val="left"/>
        <w:rPr>
          <w:rFonts w:hint="default"/>
          <w:lang w:val="en-US" w:eastAsia="zh-CN"/>
        </w:rPr>
      </w:pPr>
      <w:r>
        <w:rPr>
          <w:rFonts w:hint="eastAsia" w:ascii="仿宋" w:hAnsi="仿宋" w:eastAsia="仿宋" w:cs="仿宋"/>
          <w:sz w:val="21"/>
          <w:szCs w:val="21"/>
        </w:rPr>
        <w:t>填表日期：        年     月      日</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617"/>
        <w:gridCol w:w="1469"/>
        <w:gridCol w:w="927"/>
        <w:gridCol w:w="721"/>
        <w:gridCol w:w="1305"/>
        <w:gridCol w:w="1399"/>
        <w:gridCol w:w="1424"/>
      </w:tblGrid>
      <w:tr w14:paraId="444A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gridSpan w:val="2"/>
            <w:noWrap w:val="0"/>
            <w:vAlign w:val="center"/>
          </w:tcPr>
          <w:p w14:paraId="718037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w:t>
            </w:r>
          </w:p>
        </w:tc>
        <w:tc>
          <w:tcPr>
            <w:tcW w:w="1406" w:type="pct"/>
            <w:gridSpan w:val="2"/>
            <w:noWrap w:val="0"/>
            <w:vAlign w:val="center"/>
          </w:tcPr>
          <w:p w14:paraId="0B2809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67EC4DA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供应商统一社会信用代码</w:t>
            </w:r>
          </w:p>
        </w:tc>
        <w:tc>
          <w:tcPr>
            <w:tcW w:w="1656" w:type="pct"/>
            <w:gridSpan w:val="2"/>
            <w:noWrap w:val="0"/>
            <w:vAlign w:val="center"/>
          </w:tcPr>
          <w:p w14:paraId="04370D6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18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185BBFC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投标（响应）供应商相关人员情况</w:t>
            </w:r>
          </w:p>
        </w:tc>
      </w:tr>
      <w:tr w14:paraId="12CE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bottom w:val="single" w:color="auto" w:sz="4" w:space="0"/>
            </w:tcBorders>
            <w:noWrap w:val="0"/>
            <w:vAlign w:val="center"/>
          </w:tcPr>
          <w:p w14:paraId="419833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bottom w:val="single" w:color="auto" w:sz="4" w:space="0"/>
            </w:tcBorders>
            <w:noWrap w:val="0"/>
            <w:vAlign w:val="center"/>
          </w:tcPr>
          <w:p w14:paraId="7375247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职务</w:t>
            </w:r>
          </w:p>
        </w:tc>
        <w:tc>
          <w:tcPr>
            <w:tcW w:w="544" w:type="pct"/>
            <w:tcBorders>
              <w:bottom w:val="single" w:color="auto" w:sz="4" w:space="0"/>
            </w:tcBorders>
            <w:noWrap w:val="0"/>
            <w:vAlign w:val="center"/>
          </w:tcPr>
          <w:p w14:paraId="0779F98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姓名</w:t>
            </w:r>
          </w:p>
        </w:tc>
        <w:tc>
          <w:tcPr>
            <w:tcW w:w="1189" w:type="pct"/>
            <w:gridSpan w:val="2"/>
            <w:tcBorders>
              <w:bottom w:val="single" w:color="auto" w:sz="4" w:space="0"/>
            </w:tcBorders>
            <w:noWrap w:val="0"/>
            <w:vAlign w:val="center"/>
          </w:tcPr>
          <w:p w14:paraId="7C67171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身份证号码</w:t>
            </w:r>
          </w:p>
        </w:tc>
        <w:tc>
          <w:tcPr>
            <w:tcW w:w="821" w:type="pct"/>
            <w:tcBorders>
              <w:bottom w:val="single" w:color="auto" w:sz="4" w:space="0"/>
            </w:tcBorders>
            <w:noWrap w:val="0"/>
            <w:vAlign w:val="center"/>
          </w:tcPr>
          <w:p w14:paraId="585B97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劳动合同</w:t>
            </w:r>
          </w:p>
          <w:p w14:paraId="37C4F24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关系单位</w:t>
            </w:r>
          </w:p>
        </w:tc>
        <w:tc>
          <w:tcPr>
            <w:tcW w:w="835" w:type="pct"/>
            <w:tcBorders>
              <w:bottom w:val="single" w:color="auto" w:sz="4" w:space="0"/>
            </w:tcBorders>
            <w:noWrap w:val="0"/>
            <w:vAlign w:val="center"/>
          </w:tcPr>
          <w:p w14:paraId="4739C90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缴纳社会</w:t>
            </w:r>
          </w:p>
          <w:p w14:paraId="6078761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保险单位</w:t>
            </w:r>
          </w:p>
        </w:tc>
      </w:tr>
      <w:tr w14:paraId="2A7A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86E147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3458507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法定代表人（或单位负责人或执行事务合伙人）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6700E3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07BD5D6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5B94A7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72B682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0C0B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157BBDE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113A5C3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color w:val="FF0000"/>
                <w:szCs w:val="21"/>
                <w:lang w:val="en-US" w:eastAsia="zh-CN"/>
              </w:rPr>
            </w:pPr>
            <w:r>
              <w:rPr>
                <w:rFonts w:hint="eastAsia" w:ascii="仿宋" w:hAnsi="仿宋" w:eastAsia="仿宋" w:cs="仿宋"/>
                <w:b w:val="0"/>
                <w:bCs/>
                <w:color w:val="auto"/>
                <w:szCs w:val="21"/>
                <w:lang w:val="en-US" w:eastAsia="zh-CN"/>
              </w:rPr>
              <w:t>主要经营负责人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18D8329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4002776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61EC71D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548F7AB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7AB2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0CDD31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97049B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项目投标授权代表人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502E698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51BB739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10B2CF0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48CB2FA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04A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tcBorders>
            <w:noWrap w:val="0"/>
            <w:vAlign w:val="center"/>
          </w:tcPr>
          <w:p w14:paraId="5CB260D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w:t>
            </w:r>
          </w:p>
        </w:tc>
        <w:tc>
          <w:tcPr>
            <w:tcW w:w="1224" w:type="pct"/>
            <w:gridSpan w:val="2"/>
            <w:tcBorders>
              <w:top w:val="single" w:color="auto" w:sz="4" w:space="0"/>
            </w:tcBorders>
            <w:noWrap w:val="0"/>
            <w:vAlign w:val="center"/>
          </w:tcPr>
          <w:p w14:paraId="1EDA3E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项目负责人</w:t>
            </w:r>
          </w:p>
        </w:tc>
        <w:tc>
          <w:tcPr>
            <w:tcW w:w="544" w:type="pct"/>
            <w:tcBorders>
              <w:top w:val="single" w:color="auto" w:sz="4" w:space="0"/>
            </w:tcBorders>
            <w:noWrap w:val="0"/>
            <w:vAlign w:val="center"/>
          </w:tcPr>
          <w:p w14:paraId="62E4B1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tcBorders>
            <w:noWrap w:val="0"/>
            <w:vAlign w:val="center"/>
          </w:tcPr>
          <w:p w14:paraId="574A1C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tcBorders>
            <w:noWrap w:val="0"/>
            <w:vAlign w:val="center"/>
          </w:tcPr>
          <w:p w14:paraId="3CC7623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tcBorders>
            <w:noWrap w:val="0"/>
            <w:vAlign w:val="center"/>
          </w:tcPr>
          <w:p w14:paraId="099CDB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5D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772ACE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w:t>
            </w:r>
          </w:p>
        </w:tc>
        <w:tc>
          <w:tcPr>
            <w:tcW w:w="1224" w:type="pct"/>
            <w:gridSpan w:val="2"/>
            <w:noWrap w:val="0"/>
            <w:vAlign w:val="center"/>
          </w:tcPr>
          <w:p w14:paraId="015DA4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主要技术人员</w:t>
            </w:r>
          </w:p>
        </w:tc>
        <w:tc>
          <w:tcPr>
            <w:tcW w:w="544" w:type="pct"/>
            <w:noWrap w:val="0"/>
            <w:vAlign w:val="center"/>
          </w:tcPr>
          <w:p w14:paraId="4FA15E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7BDFE9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070919B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58CF0C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B84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D2098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w:t>
            </w:r>
          </w:p>
        </w:tc>
        <w:tc>
          <w:tcPr>
            <w:tcW w:w="1224" w:type="pct"/>
            <w:gridSpan w:val="2"/>
            <w:noWrap w:val="0"/>
            <w:vAlign w:val="center"/>
          </w:tcPr>
          <w:p w14:paraId="7D9819F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投标文件编制人员</w:t>
            </w:r>
          </w:p>
        </w:tc>
        <w:tc>
          <w:tcPr>
            <w:tcW w:w="544" w:type="pct"/>
            <w:noWrap w:val="0"/>
            <w:vAlign w:val="center"/>
          </w:tcPr>
          <w:p w14:paraId="3ACA21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47CF7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4BDCF8A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6C1C752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8AD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04A4BC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说明：</w:t>
            </w:r>
          </w:p>
          <w:p w14:paraId="06AD88C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1.同一职务有多人担任（如主要技术人员）或同一人担任多个职务的，应分行填写。</w:t>
            </w:r>
          </w:p>
          <w:p w14:paraId="042884A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2.上述项目负责人、主要技术人员必须为供应商本单位人员。</w:t>
            </w:r>
          </w:p>
          <w:p w14:paraId="26B7B3F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lang w:val="en-US" w:eastAsia="zh-CN"/>
              </w:rPr>
            </w:pPr>
            <w:r>
              <w:rPr>
                <w:rFonts w:hint="eastAsia" w:ascii="仿宋" w:hAnsi="仿宋" w:eastAsia="仿宋" w:cs="仿宋"/>
                <w:b w:val="0"/>
                <w:bCs/>
                <w:color w:val="auto"/>
                <w:sz w:val="21"/>
                <w:szCs w:val="21"/>
                <w:lang w:val="en-US" w:eastAsia="zh-CN"/>
              </w:rPr>
              <w:t>3.</w:t>
            </w:r>
            <w:r>
              <w:rPr>
                <w:rFonts w:hint="default" w:ascii="仿宋" w:hAnsi="仿宋" w:eastAsia="仿宋" w:cs="仿宋"/>
                <w:b w:val="0"/>
                <w:bCs/>
                <w:color w:val="auto"/>
                <w:sz w:val="21"/>
                <w:szCs w:val="21"/>
                <w:lang w:val="en-US" w:eastAsia="zh-CN"/>
              </w:rPr>
              <w:t>依据《</w:t>
            </w:r>
            <w:r>
              <w:rPr>
                <w:rFonts w:hint="eastAsia" w:ascii="仿宋" w:hAnsi="仿宋" w:eastAsia="仿宋" w:cs="仿宋"/>
                <w:b w:val="0"/>
                <w:bCs/>
                <w:color w:val="auto"/>
                <w:sz w:val="21"/>
                <w:szCs w:val="21"/>
                <w:lang w:val="en-US" w:eastAsia="zh-CN"/>
              </w:rPr>
              <w:t>中华人民共和国民法典</w:t>
            </w:r>
            <w:r>
              <w:rPr>
                <w:rFonts w:hint="default" w:ascii="仿宋" w:hAnsi="仿宋" w:eastAsia="仿宋" w:cs="仿宋"/>
                <w:b w:val="0"/>
                <w:bCs/>
                <w:color w:val="auto"/>
                <w:sz w:val="21"/>
                <w:szCs w:val="21"/>
                <w:lang w:val="en-US" w:eastAsia="zh-CN"/>
              </w:rPr>
              <w:t>》第504条规定，上述单位负责人，是指非法人组织（如个体工商户、分支机构）的负责人，即对外代表该组织的自然人。</w:t>
            </w:r>
          </w:p>
        </w:tc>
      </w:tr>
      <w:tr w14:paraId="21D1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2BBD1D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投标（响应）供应商关联关系情况</w:t>
            </w:r>
          </w:p>
        </w:tc>
      </w:tr>
      <w:tr w14:paraId="56BB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66EA5A4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284D05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关联关系类型</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2E10050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关联主体名称</w:t>
            </w: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6CF627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备注</w:t>
            </w:r>
          </w:p>
        </w:tc>
      </w:tr>
      <w:tr w14:paraId="7B7D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9E33A2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64574F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控股股东</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11FA919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4271E2F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20B5649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2.如股东为法人或其他组织的,请填写法人或组织的全称及统一社会信用代码;如股东为自然人的，请填写姓名及身份证号;</w:t>
            </w:r>
          </w:p>
        </w:tc>
      </w:tr>
      <w:tr w14:paraId="618A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4A67EF5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4013F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管理关系</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571B1FB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340549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指对投标（响应）供应商不具有出资持股关系，但对其存在管理关系的主体。</w:t>
            </w:r>
          </w:p>
        </w:tc>
      </w:tr>
      <w:tr w14:paraId="2B7B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0A93AB0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说明：</w:t>
            </w:r>
          </w:p>
          <w:p w14:paraId="4D063B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1.同一关联关系类型有多个主体的，应分行填写。</w:t>
            </w:r>
          </w:p>
          <w:p w14:paraId="5222D28C">
            <w:pPr>
              <w:pStyle w:val="13"/>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b/>
                <w:color w:val="auto"/>
                <w:kern w:val="2"/>
                <w:sz w:val="21"/>
                <w:szCs w:val="21"/>
                <w:lang w:val="en-US" w:eastAsia="zh-CN" w:bidi="ar-SA"/>
              </w:rPr>
              <w:t>2.上述规定的控股、管理关系仅限于直接控股、直接管理关系，不包括间接的控股或管理关系。</w:t>
            </w:r>
          </w:p>
        </w:tc>
      </w:tr>
    </w:tbl>
    <w:p w14:paraId="63BFB47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072B63E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社保证明材料：</w:t>
      </w:r>
    </w:p>
    <w:p w14:paraId="05612C4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r>
        <w:rPr>
          <w:rFonts w:hint="eastAsia" w:ascii="仿宋" w:hAnsi="仿宋" w:eastAsia="仿宋" w:cs="仿宋"/>
          <w:b/>
          <w:bCs w:val="0"/>
          <w:color w:val="FF0000"/>
          <w:sz w:val="21"/>
          <w:szCs w:val="21"/>
          <w:lang w:val="en-US" w:eastAsia="zh-CN"/>
        </w:rPr>
        <w:t>法定代表人</w:t>
      </w:r>
      <w:r>
        <w:rPr>
          <w:rFonts w:hint="eastAsia" w:ascii="仿宋" w:hAnsi="仿宋" w:eastAsia="仿宋" w:cs="仿宋"/>
          <w:b w:val="0"/>
          <w:bCs/>
          <w:color w:val="auto"/>
          <w:sz w:val="21"/>
          <w:szCs w:val="21"/>
          <w:lang w:val="en-US" w:eastAsia="zh-CN"/>
        </w:rPr>
        <w:t>（单位负责人或执行事务合伙人）</w:t>
      </w:r>
    </w:p>
    <w:p w14:paraId="4799234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4065D04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B900EA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8463A7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（2）主要经营负责人</w:t>
      </w:r>
    </w:p>
    <w:p w14:paraId="58EA340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2861FC1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CEA41A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E18F99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（3）投标授权代表人</w:t>
      </w:r>
    </w:p>
    <w:p w14:paraId="5BDFA61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06AEBA6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2124410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477637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（4）项目负责人</w:t>
      </w:r>
    </w:p>
    <w:p w14:paraId="068DD33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2285F8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6D3D7E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68E362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（5）主要技术人员</w:t>
      </w:r>
    </w:p>
    <w:p w14:paraId="6A4EB10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93F5D6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1364F45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BD7A9D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（6）投标文件编制人员</w:t>
      </w:r>
    </w:p>
    <w:p w14:paraId="4C916DB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63C7EF3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20E40F45">
      <w:pPr>
        <w:pStyle w:val="13"/>
        <w:keepNext w:val="0"/>
        <w:keepLines w:val="0"/>
        <w:pageBreakBefore w:val="0"/>
        <w:widowControl/>
        <w:kinsoku/>
        <w:wordWrap/>
        <w:overflowPunct/>
        <w:topLinePunct w:val="0"/>
        <w:autoSpaceDE/>
        <w:autoSpaceDN/>
        <w:bidi w:val="0"/>
        <w:adjustRightInd/>
        <w:textAlignment w:val="auto"/>
        <w:outlineLvl w:val="9"/>
        <w:rPr>
          <w:rFonts w:hint="eastAsia" w:ascii="仿宋" w:hAnsi="仿宋" w:eastAsia="仿宋" w:cs="仿宋"/>
          <w:color w:val="auto"/>
          <w:sz w:val="21"/>
          <w:szCs w:val="21"/>
          <w:lang w:val="en-US" w:eastAsia="zh-CN"/>
        </w:rPr>
      </w:pPr>
    </w:p>
    <w:p w14:paraId="2643176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注：</w:t>
      </w:r>
    </w:p>
    <w:p w14:paraId="1B85D6D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1.如开标前近一个月的社保材料因社保部门原因暂时无法取得，则可以往前顺延一个月。其中项目负责人及主要技术人员社保证明须由供应商缴纳。</w:t>
      </w:r>
    </w:p>
    <w:p w14:paraId="6ADFF35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2.供应商的项目投标授权代表人与法定代表人为同一人的，则须提供法定代表人的社保证明；本项目未安排项目负责人的，则无须提供项目负责人的社保证明。</w:t>
      </w:r>
    </w:p>
    <w:p w14:paraId="72E69ED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3.如无法按上述要求提供人员社会保险证明材料的，提交以下材料亦视为</w:t>
      </w:r>
      <w:r>
        <w:rPr>
          <w:rFonts w:hint="eastAsia" w:ascii="仿宋" w:hAnsi="仿宋" w:eastAsia="仿宋" w:cs="仿宋"/>
          <w:color w:val="000000"/>
          <w:sz w:val="24"/>
          <w:lang w:val="en-US" w:eastAsia="zh-CN"/>
        </w:rPr>
        <w:t>符合</w:t>
      </w:r>
      <w:r>
        <w:rPr>
          <w:rFonts w:hint="eastAsia" w:ascii="仿宋" w:hAnsi="仿宋" w:eastAsia="仿宋" w:cs="仿宋"/>
          <w:b w:val="0"/>
          <w:bCs/>
          <w:color w:val="auto"/>
          <w:sz w:val="21"/>
          <w:szCs w:val="21"/>
          <w:lang w:val="en-US" w:eastAsia="zh-CN"/>
        </w:rPr>
        <w:t>：</w:t>
      </w:r>
    </w:p>
    <w:p w14:paraId="3EB1D42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①若供应商为</w:t>
      </w:r>
      <w:r>
        <w:rPr>
          <w:rFonts w:hint="eastAsia" w:ascii="仿宋" w:hAnsi="仿宋" w:eastAsia="仿宋" w:cs="仿宋"/>
          <w:b/>
          <w:bCs w:val="0"/>
          <w:color w:val="auto"/>
          <w:sz w:val="21"/>
          <w:szCs w:val="21"/>
          <w:lang w:val="en-US" w:eastAsia="zh-CN"/>
        </w:rPr>
        <w:t>新成立企业</w:t>
      </w:r>
      <w:r>
        <w:rPr>
          <w:rFonts w:hint="eastAsia" w:ascii="仿宋" w:hAnsi="仿宋" w:eastAsia="仿宋" w:cs="仿宋"/>
          <w:b w:val="0"/>
          <w:bCs/>
          <w:color w:val="auto"/>
          <w:sz w:val="21"/>
          <w:szCs w:val="21"/>
          <w:lang w:val="en-US" w:eastAsia="zh-CN"/>
        </w:rPr>
        <w:t>且成立时间不足一个月，</w:t>
      </w:r>
      <w:r>
        <w:rPr>
          <w:rFonts w:hint="eastAsia" w:ascii="仿宋" w:hAnsi="仿宋" w:eastAsia="仿宋" w:cs="仿宋"/>
          <w:b/>
          <w:bCs w:val="0"/>
          <w:color w:val="auto"/>
          <w:sz w:val="21"/>
          <w:szCs w:val="21"/>
          <w:lang w:val="en-US" w:eastAsia="zh-CN"/>
        </w:rPr>
        <w:t>提供加盖投标人公章的情况说明或者证明材料。</w:t>
      </w:r>
    </w:p>
    <w:p w14:paraId="2DF6E55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②若为</w:t>
      </w:r>
      <w:r>
        <w:rPr>
          <w:rFonts w:hint="eastAsia" w:ascii="仿宋" w:hAnsi="仿宋" w:eastAsia="仿宋" w:cs="仿宋"/>
          <w:b/>
          <w:bCs w:val="0"/>
          <w:color w:val="auto"/>
          <w:sz w:val="21"/>
          <w:szCs w:val="21"/>
          <w:lang w:val="en-US" w:eastAsia="zh-CN"/>
        </w:rPr>
        <w:t>退休人员</w:t>
      </w:r>
      <w:r>
        <w:rPr>
          <w:rFonts w:hint="eastAsia" w:ascii="仿宋" w:hAnsi="仿宋" w:eastAsia="仿宋" w:cs="仿宋"/>
          <w:b w:val="0"/>
          <w:bCs/>
          <w:color w:val="auto"/>
          <w:sz w:val="21"/>
          <w:szCs w:val="21"/>
          <w:lang w:val="en-US" w:eastAsia="zh-CN"/>
        </w:rPr>
        <w:t>，提供</w:t>
      </w:r>
      <w:r>
        <w:rPr>
          <w:rFonts w:hint="eastAsia" w:ascii="仿宋" w:hAnsi="仿宋" w:eastAsia="仿宋" w:cs="仿宋"/>
          <w:b/>
          <w:bCs w:val="0"/>
          <w:color w:val="auto"/>
          <w:sz w:val="21"/>
          <w:szCs w:val="21"/>
          <w:lang w:val="en-US" w:eastAsia="zh-CN"/>
        </w:rPr>
        <w:t>退休证明</w:t>
      </w:r>
      <w:r>
        <w:rPr>
          <w:rFonts w:hint="eastAsia" w:ascii="仿宋" w:hAnsi="仿宋" w:eastAsia="仿宋" w:cs="仿宋"/>
          <w:b w:val="0"/>
          <w:bCs/>
          <w:color w:val="auto"/>
          <w:sz w:val="21"/>
          <w:szCs w:val="21"/>
          <w:lang w:val="en-US" w:eastAsia="zh-CN"/>
        </w:rPr>
        <w:t>。</w:t>
      </w:r>
    </w:p>
    <w:p w14:paraId="7792768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③</w:t>
      </w:r>
      <w:r>
        <w:rPr>
          <w:rFonts w:hint="eastAsia" w:ascii="仿宋" w:hAnsi="仿宋" w:eastAsia="仿宋" w:cs="仿宋"/>
          <w:b/>
          <w:bCs w:val="0"/>
          <w:color w:val="auto"/>
          <w:sz w:val="21"/>
          <w:szCs w:val="21"/>
          <w:lang w:val="en-US" w:eastAsia="zh-CN"/>
        </w:rPr>
        <w:t>如依法不需要缴纳社会保险的，应提供相应文件证明</w:t>
      </w:r>
      <w:r>
        <w:rPr>
          <w:rFonts w:hint="eastAsia" w:ascii="仿宋" w:hAnsi="仿宋" w:eastAsia="仿宋" w:cs="仿宋"/>
          <w:b w:val="0"/>
          <w:bCs/>
          <w:color w:val="auto"/>
          <w:sz w:val="21"/>
          <w:szCs w:val="21"/>
          <w:lang w:val="en-US" w:eastAsia="zh-CN"/>
        </w:rPr>
        <w:t>。</w:t>
      </w:r>
    </w:p>
    <w:p w14:paraId="39534A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④若因为社保部门原因无法提供的，需提供劳动合同及社保部门官方通知证明(或官网公告截图)。</w:t>
      </w:r>
    </w:p>
    <w:p w14:paraId="730801B0">
      <w:pPr>
        <w:jc w:val="left"/>
        <w:rPr>
          <w:rFonts w:hint="eastAsia" w:ascii="仿宋" w:hAnsi="仿宋" w:eastAsia="仿宋" w:cs="仿宋"/>
          <w:color w:val="auto"/>
          <w:sz w:val="21"/>
          <w:szCs w:val="21"/>
          <w:highlight w:val="none"/>
          <w:lang w:eastAsia="zh-CN"/>
        </w:rPr>
      </w:pPr>
    </w:p>
    <w:p w14:paraId="624BB9E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49FF542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01018C3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219F312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股权关系情况承诺函</w:t>
      </w:r>
    </w:p>
    <w:p w14:paraId="7C1D7D4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致：深圳市福田区第二人民医院</w:t>
      </w:r>
    </w:p>
    <w:p w14:paraId="6D89414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79677ED">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我公司承诺所填的股权关系情况真实、准确、完整。</w:t>
      </w:r>
    </w:p>
    <w:p w14:paraId="3D12832B">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6B2DAE7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特此承诺！</w:t>
      </w:r>
    </w:p>
    <w:p w14:paraId="4A809F4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2F7ABDB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 xml:space="preserve">                                供应商名称</w:t>
      </w:r>
      <w:r>
        <w:rPr>
          <w:rFonts w:hint="eastAsia" w:ascii="仿宋" w:hAnsi="仿宋" w:eastAsia="仿宋" w:cs="仿宋"/>
          <w:b/>
          <w:bCs w:val="0"/>
          <w:color w:val="FF0000"/>
          <w:sz w:val="21"/>
          <w:szCs w:val="21"/>
          <w:lang w:val="en-US" w:eastAsia="zh-CN"/>
        </w:rPr>
        <w:t>（加盖公章）</w:t>
      </w:r>
      <w:r>
        <w:rPr>
          <w:rFonts w:hint="eastAsia" w:ascii="仿宋" w:hAnsi="仿宋" w:eastAsia="仿宋" w:cs="仿宋"/>
          <w:b w:val="0"/>
          <w:bCs/>
          <w:color w:val="auto"/>
          <w:sz w:val="21"/>
          <w:szCs w:val="21"/>
          <w:lang w:val="en-US" w:eastAsia="zh-CN"/>
        </w:rPr>
        <w:t xml:space="preserve">： </w:t>
      </w:r>
    </w:p>
    <w:p w14:paraId="1E68CBBA">
      <w:pPr>
        <w:keepNext w:val="0"/>
        <w:keepLines w:val="0"/>
        <w:pageBreakBefore w:val="0"/>
        <w:widowControl/>
        <w:numPr>
          <w:ilvl w:val="0"/>
          <w:numId w:val="0"/>
        </w:numPr>
        <w:kinsoku/>
        <w:wordWrap/>
        <w:overflowPunct/>
        <w:topLinePunct w:val="0"/>
        <w:autoSpaceDE/>
        <w:autoSpaceDN/>
        <w:bidi w:val="0"/>
        <w:adjustRightInd/>
        <w:snapToGrid w:val="0"/>
        <w:ind w:firstLine="3360" w:firstLineChars="16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日  期：       年    月   日</w:t>
      </w:r>
    </w:p>
    <w:p w14:paraId="3700AFE2">
      <w:pPr>
        <w:tabs>
          <w:tab w:val="left" w:pos="540"/>
        </w:tabs>
        <w:jc w:val="center"/>
        <w:rPr>
          <w:rFonts w:hint="eastAsia" w:ascii="仿宋" w:hAnsi="仿宋" w:eastAsia="仿宋" w:cs="仿宋"/>
          <w:b/>
          <w:bCs/>
          <w:kern w:val="2"/>
          <w:sz w:val="28"/>
          <w:szCs w:val="28"/>
          <w:lang w:val="en-US" w:eastAsia="zh-CN" w:bidi="ar-SA"/>
        </w:rPr>
      </w:pPr>
    </w:p>
    <w:p w14:paraId="518D0ACE">
      <w:pPr>
        <w:jc w:val="center"/>
        <w:rPr>
          <w:rFonts w:ascii="仿宋" w:hAnsi="仿宋" w:eastAsia="仿宋" w:cs="Times New Roman"/>
          <w:sz w:val="24"/>
        </w:rPr>
      </w:pPr>
    </w:p>
    <w:p w14:paraId="2045C6A5">
      <w:pPr>
        <w:jc w:val="center"/>
        <w:rPr>
          <w:rFonts w:ascii="仿宋" w:hAnsi="仿宋" w:eastAsia="仿宋" w:cs="Times New Roman"/>
          <w:sz w:val="24"/>
        </w:rPr>
      </w:pPr>
    </w:p>
    <w:p w14:paraId="560FE8E0">
      <w:pPr>
        <w:jc w:val="center"/>
        <w:rPr>
          <w:rFonts w:ascii="仿宋" w:hAnsi="仿宋" w:eastAsia="仿宋" w:cs="Times New Roman"/>
          <w:sz w:val="24"/>
        </w:rPr>
      </w:pPr>
    </w:p>
    <w:p w14:paraId="1D987A8F">
      <w:pPr>
        <w:rPr>
          <w:rFonts w:ascii="Times New Roman" w:hAnsi="Times New Roman" w:eastAsia="宋体" w:cs="Times New Roman"/>
          <w:b/>
          <w:sz w:val="24"/>
        </w:rPr>
      </w:pPr>
    </w:p>
    <w:p w14:paraId="2EED9F4C">
      <w:pPr>
        <w:tabs>
          <w:tab w:val="left" w:pos="540"/>
        </w:tabs>
        <w:jc w:val="center"/>
        <w:rPr>
          <w:rFonts w:hint="eastAsia" w:ascii="仿宋" w:hAnsi="仿宋" w:eastAsia="仿宋" w:cs="仿宋"/>
          <w:b/>
          <w:bCs/>
          <w:kern w:val="2"/>
          <w:sz w:val="28"/>
          <w:szCs w:val="28"/>
          <w:lang w:val="en-US" w:eastAsia="zh-CN" w:bidi="ar-SA"/>
        </w:rPr>
      </w:pPr>
    </w:p>
    <w:p w14:paraId="38682F14">
      <w:pPr>
        <w:tabs>
          <w:tab w:val="left" w:pos="540"/>
        </w:tabs>
        <w:jc w:val="center"/>
        <w:rPr>
          <w:rFonts w:hint="eastAsia" w:ascii="仿宋" w:hAnsi="仿宋" w:eastAsia="仿宋" w:cs="仿宋"/>
          <w:b/>
          <w:bCs/>
          <w:kern w:val="2"/>
          <w:sz w:val="28"/>
          <w:szCs w:val="28"/>
          <w:lang w:val="en-US" w:eastAsia="zh-CN" w:bidi="ar-SA"/>
        </w:rPr>
      </w:pPr>
    </w:p>
    <w:p w14:paraId="506D3E04">
      <w:pPr>
        <w:tabs>
          <w:tab w:val="left" w:pos="540"/>
        </w:tabs>
        <w:jc w:val="center"/>
        <w:rPr>
          <w:rFonts w:hint="eastAsia" w:ascii="仿宋" w:hAnsi="仿宋" w:eastAsia="仿宋" w:cs="仿宋"/>
          <w:b/>
          <w:bCs/>
          <w:kern w:val="2"/>
          <w:sz w:val="28"/>
          <w:szCs w:val="28"/>
          <w:lang w:val="en-US" w:eastAsia="zh-CN" w:bidi="ar-SA"/>
        </w:rPr>
      </w:pPr>
    </w:p>
    <w:p w14:paraId="58A26E6B">
      <w:pPr>
        <w:tabs>
          <w:tab w:val="left" w:pos="540"/>
        </w:tabs>
        <w:jc w:val="center"/>
        <w:rPr>
          <w:rFonts w:hint="eastAsia" w:ascii="仿宋" w:hAnsi="仿宋" w:eastAsia="仿宋" w:cs="仿宋"/>
          <w:b/>
          <w:bCs/>
          <w:kern w:val="2"/>
          <w:sz w:val="28"/>
          <w:szCs w:val="28"/>
          <w:lang w:val="en-US" w:eastAsia="zh-CN" w:bidi="ar-SA"/>
        </w:rPr>
      </w:pPr>
    </w:p>
    <w:p w14:paraId="1D7A17CC">
      <w:pPr>
        <w:tabs>
          <w:tab w:val="left" w:pos="540"/>
        </w:tabs>
        <w:jc w:val="center"/>
        <w:rPr>
          <w:rFonts w:hint="eastAsia" w:ascii="仿宋" w:hAnsi="仿宋" w:eastAsia="仿宋" w:cs="仿宋"/>
          <w:b/>
          <w:bCs/>
          <w:kern w:val="2"/>
          <w:sz w:val="28"/>
          <w:szCs w:val="28"/>
          <w:lang w:val="en-US" w:eastAsia="zh-CN" w:bidi="ar-SA"/>
        </w:rPr>
      </w:pPr>
    </w:p>
    <w:p w14:paraId="3A85B66A">
      <w:pPr>
        <w:tabs>
          <w:tab w:val="left" w:pos="540"/>
        </w:tabs>
        <w:jc w:val="center"/>
        <w:rPr>
          <w:rFonts w:hint="eastAsia" w:ascii="仿宋" w:hAnsi="仿宋" w:eastAsia="仿宋" w:cs="仿宋"/>
          <w:b/>
          <w:bCs/>
          <w:kern w:val="2"/>
          <w:sz w:val="28"/>
          <w:szCs w:val="28"/>
          <w:lang w:val="en-US" w:eastAsia="zh-CN" w:bidi="ar-SA"/>
        </w:rPr>
      </w:pPr>
    </w:p>
    <w:p w14:paraId="576F78E9">
      <w:pPr>
        <w:tabs>
          <w:tab w:val="left" w:pos="540"/>
        </w:tabs>
        <w:jc w:val="center"/>
        <w:rPr>
          <w:rFonts w:hint="eastAsia" w:ascii="仿宋" w:hAnsi="仿宋" w:eastAsia="仿宋" w:cs="仿宋"/>
          <w:b/>
          <w:bCs/>
          <w:kern w:val="2"/>
          <w:sz w:val="28"/>
          <w:szCs w:val="28"/>
          <w:lang w:val="en-US" w:eastAsia="zh-CN" w:bidi="ar-SA"/>
        </w:rPr>
      </w:pPr>
    </w:p>
    <w:p w14:paraId="4B2E7996">
      <w:pPr>
        <w:tabs>
          <w:tab w:val="left" w:pos="540"/>
        </w:tabs>
        <w:jc w:val="center"/>
        <w:rPr>
          <w:rFonts w:hint="eastAsia" w:ascii="仿宋" w:hAnsi="仿宋" w:eastAsia="仿宋" w:cs="仿宋"/>
          <w:b/>
          <w:bCs/>
          <w:kern w:val="2"/>
          <w:sz w:val="28"/>
          <w:szCs w:val="28"/>
          <w:lang w:val="en-US" w:eastAsia="zh-CN" w:bidi="ar-SA"/>
        </w:rPr>
      </w:pPr>
    </w:p>
    <w:p w14:paraId="48DC3ECB">
      <w:pPr>
        <w:tabs>
          <w:tab w:val="left" w:pos="540"/>
        </w:tabs>
        <w:jc w:val="center"/>
        <w:rPr>
          <w:rFonts w:hint="eastAsia" w:ascii="仿宋" w:hAnsi="仿宋" w:eastAsia="仿宋" w:cs="仿宋"/>
          <w:b/>
          <w:bCs/>
          <w:kern w:val="2"/>
          <w:sz w:val="28"/>
          <w:szCs w:val="28"/>
          <w:lang w:val="en-US" w:eastAsia="zh-CN" w:bidi="ar-SA"/>
        </w:rPr>
      </w:pPr>
    </w:p>
    <w:p w14:paraId="49BD4C12">
      <w:pPr>
        <w:tabs>
          <w:tab w:val="left" w:pos="540"/>
        </w:tabs>
        <w:jc w:val="center"/>
        <w:rPr>
          <w:rFonts w:hint="eastAsia" w:ascii="仿宋" w:hAnsi="仿宋" w:eastAsia="仿宋" w:cs="仿宋"/>
          <w:b/>
          <w:bCs/>
          <w:kern w:val="2"/>
          <w:sz w:val="28"/>
          <w:szCs w:val="28"/>
          <w:lang w:val="en-US" w:eastAsia="zh-CN" w:bidi="ar-SA"/>
        </w:rPr>
      </w:pPr>
    </w:p>
    <w:p w14:paraId="7DA22290">
      <w:pPr>
        <w:tabs>
          <w:tab w:val="left" w:pos="540"/>
        </w:tabs>
        <w:jc w:val="center"/>
        <w:rPr>
          <w:rFonts w:hint="eastAsia" w:ascii="仿宋" w:hAnsi="仿宋" w:eastAsia="仿宋" w:cs="仿宋"/>
          <w:b/>
          <w:bCs/>
          <w:kern w:val="2"/>
          <w:sz w:val="28"/>
          <w:szCs w:val="28"/>
          <w:lang w:val="en-US" w:eastAsia="zh-CN" w:bidi="ar-SA"/>
        </w:rPr>
      </w:pPr>
    </w:p>
    <w:p w14:paraId="32ABFD16">
      <w:pPr>
        <w:tabs>
          <w:tab w:val="left" w:pos="540"/>
        </w:tabs>
        <w:jc w:val="center"/>
        <w:rPr>
          <w:rFonts w:hint="eastAsia" w:ascii="仿宋" w:hAnsi="仿宋" w:eastAsia="仿宋" w:cs="仿宋"/>
          <w:b/>
          <w:bCs/>
          <w:kern w:val="2"/>
          <w:sz w:val="28"/>
          <w:szCs w:val="28"/>
          <w:lang w:val="en-US" w:eastAsia="zh-CN" w:bidi="ar-SA"/>
        </w:rPr>
      </w:pPr>
    </w:p>
    <w:p w14:paraId="72927BF7">
      <w:pPr>
        <w:tabs>
          <w:tab w:val="left" w:pos="540"/>
        </w:tabs>
        <w:jc w:val="center"/>
        <w:rPr>
          <w:rFonts w:hint="eastAsia" w:ascii="仿宋" w:hAnsi="仿宋" w:eastAsia="仿宋" w:cs="仿宋"/>
          <w:b/>
          <w:bCs/>
          <w:kern w:val="2"/>
          <w:sz w:val="28"/>
          <w:szCs w:val="28"/>
          <w:lang w:val="en-US" w:eastAsia="zh-CN" w:bidi="ar-SA"/>
        </w:rPr>
      </w:pPr>
    </w:p>
    <w:p w14:paraId="333B44CD">
      <w:pPr>
        <w:tabs>
          <w:tab w:val="left" w:pos="540"/>
        </w:tabs>
        <w:jc w:val="center"/>
        <w:rPr>
          <w:rFonts w:hint="eastAsia" w:ascii="仿宋" w:hAnsi="仿宋" w:eastAsia="仿宋" w:cs="仿宋"/>
          <w:b/>
          <w:bCs/>
          <w:kern w:val="2"/>
          <w:sz w:val="28"/>
          <w:szCs w:val="28"/>
          <w:lang w:val="en-US" w:eastAsia="zh-CN" w:bidi="ar-SA"/>
        </w:rPr>
      </w:pPr>
    </w:p>
    <w:p w14:paraId="603EFE68">
      <w:pPr>
        <w:pStyle w:val="5"/>
        <w:pageBreakBefore/>
        <w:numPr>
          <w:ilvl w:val="0"/>
          <w:numId w:val="0"/>
        </w:numPr>
        <w:spacing w:before="0" w:line="377" w:lineRule="auto"/>
        <w:jc w:val="cente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t>八、用户需求书条款响应一览表</w:t>
      </w:r>
    </w:p>
    <w:p w14:paraId="0A6DE19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31" w:name="_Hlk72092634"/>
      <w:bookmarkStart w:id="32" w:name="_Toc29009"/>
      <w:bookmarkStart w:id="33" w:name="_Toc2009"/>
      <w:r>
        <w:rPr>
          <w:rFonts w:hint="eastAsia" w:ascii="仿宋" w:hAnsi="仿宋" w:eastAsia="仿宋" w:cs="仿宋"/>
          <w:b/>
          <w:bCs/>
          <w:sz w:val="30"/>
          <w:szCs w:val="30"/>
          <w:lang w:val="en-US" w:eastAsia="zh-CN"/>
        </w:rPr>
        <w:t>（一）实质性条款响应情况表</w:t>
      </w:r>
      <w:bookmarkEnd w:id="31"/>
      <w:bookmarkEnd w:id="32"/>
      <w:bookmarkEnd w:id="33"/>
    </w:p>
    <w:tbl>
      <w:tblPr>
        <w:tblStyle w:val="44"/>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4293"/>
        <w:gridCol w:w="1645"/>
        <w:gridCol w:w="1550"/>
        <w:gridCol w:w="1391"/>
      </w:tblGrid>
      <w:tr w14:paraId="231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62" w:type="dxa"/>
            <w:vAlign w:val="center"/>
          </w:tcPr>
          <w:p w14:paraId="055D6EA4">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bookmarkStart w:id="34" w:name="_Hlk72092651"/>
            <w:r>
              <w:rPr>
                <w:rFonts w:hint="eastAsia" w:ascii="仿宋" w:hAnsi="仿宋" w:eastAsia="仿宋" w:cs="仿宋"/>
                <w:sz w:val="24"/>
                <w:lang w:val="en-US" w:eastAsia="zh-CN"/>
              </w:rPr>
              <w:t>内容</w:t>
            </w:r>
          </w:p>
        </w:tc>
        <w:tc>
          <w:tcPr>
            <w:tcW w:w="4293" w:type="dxa"/>
            <w:vAlign w:val="center"/>
          </w:tcPr>
          <w:p w14:paraId="4FE97B64">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实质性条款具体内容</w:t>
            </w:r>
          </w:p>
        </w:tc>
        <w:tc>
          <w:tcPr>
            <w:tcW w:w="1645" w:type="dxa"/>
            <w:vAlign w:val="center"/>
          </w:tcPr>
          <w:p w14:paraId="2352ED73">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投标</w:t>
            </w:r>
            <w:r>
              <w:rPr>
                <w:rFonts w:hint="eastAsia" w:ascii="仿宋" w:hAnsi="仿宋" w:eastAsia="仿宋" w:cs="仿宋"/>
                <w:sz w:val="24"/>
                <w:lang w:val="en-US" w:eastAsia="zh-CN"/>
              </w:rPr>
              <w:t>文件</w:t>
            </w:r>
            <w:r>
              <w:rPr>
                <w:rFonts w:hint="eastAsia" w:ascii="仿宋" w:hAnsi="仿宋" w:eastAsia="仿宋" w:cs="仿宋"/>
                <w:sz w:val="24"/>
              </w:rPr>
              <w:t>响应</w:t>
            </w:r>
          </w:p>
        </w:tc>
        <w:tc>
          <w:tcPr>
            <w:tcW w:w="1550" w:type="dxa"/>
            <w:vAlign w:val="center"/>
          </w:tcPr>
          <w:p w14:paraId="25D3E7EF">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413575F7">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391" w:type="dxa"/>
            <w:vAlign w:val="center"/>
          </w:tcPr>
          <w:p w14:paraId="12752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431A6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eastAsia="zh-CN"/>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bookmarkEnd w:id="34"/>
      <w:tr w14:paraId="2DB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7D7D3A4">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r>
              <w:rPr>
                <w:rFonts w:hint="eastAsia" w:ascii="仿宋" w:hAnsi="仿宋" w:eastAsia="仿宋" w:cs="仿宋"/>
                <w:b/>
                <w:bCs w:val="0"/>
                <w:color w:val="FF0000"/>
                <w:sz w:val="24"/>
                <w:szCs w:val="24"/>
                <w:highlight w:val="none"/>
                <w:lang w:val="en-US" w:eastAsia="zh-CN"/>
              </w:rPr>
              <w:t>★服务地点</w:t>
            </w:r>
          </w:p>
        </w:tc>
        <w:tc>
          <w:tcPr>
            <w:tcW w:w="4293" w:type="dxa"/>
            <w:shd w:val="clear" w:color="auto" w:fill="auto"/>
            <w:vAlign w:val="center"/>
          </w:tcPr>
          <w:p w14:paraId="7C150C62">
            <w:pPr>
              <w:keepNext w:val="0"/>
              <w:keepLines w:val="0"/>
              <w:suppressLineNumbers w:val="0"/>
              <w:spacing w:before="0" w:beforeAutospacing="0" w:after="0" w:afterAutospacing="0"/>
              <w:ind w:left="0" w:right="0"/>
              <w:jc w:val="left"/>
              <w:rPr>
                <w:rFonts w:hint="eastAsia" w:ascii="仿宋" w:hAnsi="仿宋" w:eastAsia="仿宋" w:cs="仿宋"/>
                <w:sz w:val="24"/>
                <w:lang w:val="en-US" w:eastAsia="zh-CN"/>
              </w:rPr>
            </w:pPr>
            <w:r>
              <w:rPr>
                <w:rFonts w:hint="eastAsia" w:ascii="仿宋" w:hAnsi="仿宋" w:eastAsia="仿宋" w:cs="仿宋"/>
                <w:sz w:val="24"/>
                <w:lang w:val="en-US" w:eastAsia="zh-CN"/>
              </w:rPr>
              <w:t>深圳市福田区第二人民医院院本部、龙尾院区、医院下属各社康及驻所门诊。</w:t>
            </w:r>
          </w:p>
        </w:tc>
        <w:tc>
          <w:tcPr>
            <w:tcW w:w="1645" w:type="dxa"/>
          </w:tcPr>
          <w:p w14:paraId="62F0B62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56618C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050B8A7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739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8A0BEE5">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r>
              <w:rPr>
                <w:rFonts w:hint="eastAsia" w:ascii="仿宋" w:hAnsi="仿宋" w:eastAsia="仿宋" w:cs="仿宋"/>
                <w:b/>
                <w:bCs w:val="0"/>
                <w:color w:val="FF0000"/>
                <w:sz w:val="24"/>
                <w:szCs w:val="24"/>
                <w:highlight w:val="none"/>
                <w:lang w:val="en-US" w:eastAsia="zh-CN"/>
              </w:rPr>
              <w:t>★验收方式</w:t>
            </w:r>
          </w:p>
        </w:tc>
        <w:tc>
          <w:tcPr>
            <w:tcW w:w="4293" w:type="dxa"/>
            <w:shd w:val="clear" w:color="auto" w:fill="auto"/>
            <w:vAlign w:val="center"/>
          </w:tcPr>
          <w:p w14:paraId="70C2F726">
            <w:pPr>
              <w:pStyle w:val="19"/>
              <w:keepNext w:val="0"/>
              <w:keepLines w:val="0"/>
              <w:suppressLineNumbers w:val="0"/>
              <w:spacing w:before="0" w:beforeAutospacing="0" w:afterAutospacing="0"/>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以中标供应商所提供的所有服务达到本项目及国标要求为准。</w:t>
            </w:r>
          </w:p>
        </w:tc>
        <w:tc>
          <w:tcPr>
            <w:tcW w:w="1645" w:type="dxa"/>
          </w:tcPr>
          <w:p w14:paraId="288FE96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A02A6C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B89907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55C5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5110B7D9">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5A0B79A7">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color="auto" w:fill="auto"/>
            <w:vAlign w:val="center"/>
          </w:tcPr>
          <w:p w14:paraId="0BACD19B">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本项目服务费采用包干制，应包括设备费、运营费、运输费、装卸费、保险费、技术培训费、废物处理费、国家规定的各项税费和企业的利润等完成本项目的全部费用。由供应商根据谈判文件所提供的资料自行测算投标报价；一经中标，中标价作为成交供应商与采购人签订的合同金额，合同期限内不做调整。</w:t>
            </w:r>
          </w:p>
          <w:p w14:paraId="4EDA75F9">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本项目要求成交供应商提供处置服务的医疗废物是指《医疗废物分类目录（2021年版）》的所有内容，包括：感染性废物、损伤性废物、病理性废物、药物性废物、化学性废物。</w:t>
            </w:r>
          </w:p>
          <w:p w14:paraId="3567629E">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对于《医疗废物分类名录（2021年版）》中除化学性废物外的其他各项医疗废物的处置服务，供应商应当按《项目详细报价》“（一）常规服务报价表”的格式，对院本部、龙尾院区和社康及驻所门诊分别提供报价，其中：</w:t>
            </w:r>
          </w:p>
          <w:p w14:paraId="1BF6B034">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①院本部及龙尾院区一并按月报价；</w:t>
            </w:r>
          </w:p>
          <w:p w14:paraId="120939E2">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②社康及驻所门诊一并按月报价；</w:t>
            </w:r>
          </w:p>
          <w:p w14:paraId="1468B16B">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未按要求提供分项报价的，作应答无效处理。</w:t>
            </w:r>
          </w:p>
          <w:p w14:paraId="29D34CB0">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（2）对于化学性废物的处置服务，供应商应当按《项目详细报价》“（二）专项服务报价表”的格式，提供单价报价；该报价对院本部、龙尾院区、驻所门诊及各社康均适用。</w:t>
            </w:r>
          </w:p>
          <w:p w14:paraId="32D33CA7">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3.投标供应商的投标总价不得超过项目预算金额91832元，否则作应答无效处理。</w:t>
            </w:r>
          </w:p>
          <w:p w14:paraId="1F4889ED">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4.投标供应商应当根据本企业的成本自行决定报价，但不得以低于其企业成本的报价应答。</w:t>
            </w:r>
          </w:p>
          <w:p w14:paraId="10169A97">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5.供应商应充分了解项目的位置、情况、道路及任何其它足以影响应答报价的情况，任何因忽视或误解项目情况而导致的索赔或服务期限延长申请将不获批准。</w:t>
            </w:r>
          </w:p>
          <w:p w14:paraId="3FA15D76">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6.投标供应商的报价，应当是本项目采购范围和谈判文件及合同条款上所列的各项内容中所述的全部，不得以任何理由予以重复。</w:t>
            </w:r>
          </w:p>
          <w:p w14:paraId="53D8C0B5">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除非采购人通过修改采购文件予以更正，否则，供应商应毫无例外地按投标文件所列的清单中项目和数量填报综合单价或合价。供应商未填综合单价或合价的项目，在实施后，将不得以支付，并视作该项费用已包括在其它有价款的综合单价或合价内。</w:t>
            </w:r>
          </w:p>
          <w:p w14:paraId="66CCBC12">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8.供应商不得期望通过索赔等方式获取补偿，否则，除可能遭到拒绝外，还可能将被作为不良行为记录在案，并可能影响其以后参加政府采购的项目。各供应商在报价时，应充分考虑报价的风险。</w:t>
            </w:r>
          </w:p>
        </w:tc>
        <w:tc>
          <w:tcPr>
            <w:tcW w:w="1645" w:type="dxa"/>
          </w:tcPr>
          <w:p w14:paraId="5FC9EEE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45D07F5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11DE75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46E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573F23C8">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0B79050E">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color="auto" w:fill="auto"/>
            <w:vAlign w:val="center"/>
          </w:tcPr>
          <w:p w14:paraId="707B2625">
            <w:pPr>
              <w:keepNext w:val="0"/>
              <w:keepLines w:val="0"/>
              <w:suppressLineNumbers w:val="0"/>
              <w:spacing w:before="0" w:beforeAutospacing="0" w:after="0" w:afterAutospacing="0"/>
              <w:ind w:left="0" w:right="0"/>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结算方式：除化学性废物以外的其他各项医疗废物的处置服务，按照中标供应商的中标价按月进行结算；化学性废物的处置服务，按照服务期内实际产生的化学性废物处置量据实结算。最终支付金额（含化学性废物和除化学性废物以外的其他各项医疗废物的处置费用）不超过本项目的预算金额。</w:t>
            </w:r>
          </w:p>
          <w:p w14:paraId="15DBB3F5">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2、付款方式：按照深圳市福田区财政局以及医院的相关规定执行支付，以双方合同约定为准。</w:t>
            </w:r>
          </w:p>
        </w:tc>
        <w:tc>
          <w:tcPr>
            <w:tcW w:w="1645" w:type="dxa"/>
          </w:tcPr>
          <w:p w14:paraId="4D00177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6296BEF">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847585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26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1985A7C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59D8E4D4">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color="auto" w:fill="auto"/>
            <w:vAlign w:val="center"/>
          </w:tcPr>
          <w:p w14:paraId="70E8823E">
            <w:pPr>
              <w:pStyle w:val="81"/>
              <w:keepNext w:val="0"/>
              <w:keepLines w:val="0"/>
              <w:suppressLineNumbers w:val="0"/>
              <w:spacing w:before="0" w:beforeAutospacing="0" w:after="0" w:afterAutospacing="0"/>
              <w:ind w:left="0" w:leftChars="0" w:right="0" w:righ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自合同签订之日起2个月。</w:t>
            </w:r>
          </w:p>
        </w:tc>
        <w:tc>
          <w:tcPr>
            <w:tcW w:w="1645" w:type="dxa"/>
          </w:tcPr>
          <w:p w14:paraId="3AF8AA2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033F2F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26E926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24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5F250797">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其他</w:t>
            </w:r>
          </w:p>
        </w:tc>
        <w:tc>
          <w:tcPr>
            <w:tcW w:w="4293" w:type="dxa"/>
            <w:shd w:val="clear" w:color="auto" w:fill="auto"/>
            <w:vAlign w:val="center"/>
          </w:tcPr>
          <w:p w14:paraId="0E0D60AC">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1.中标后如因中标方原因，造成不能完成规定服务目标或直接造成采购方经济损失的，中标方应给予采购方相应补偿。采购方有权要求中标方限期整改，限期内整改不到位的，采购人有权单方终止合同。 </w:t>
            </w:r>
          </w:p>
          <w:p w14:paraId="3AED1E6D">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2.因采购方原因，造成重大事故的，由采购方承担责任并负责善后处理。因中标方管 理不善或操作不当等原因造成重大事故的，由中标方承担责任并负责善后处理（产生事 </w:t>
            </w:r>
          </w:p>
          <w:p w14:paraId="0257FDBC">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故的直接原因，以政府有关部门的鉴定结论为准）。 </w:t>
            </w:r>
          </w:p>
          <w:p w14:paraId="32705332">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3.如中标方延迟提供或不能提供合法发票，则采购方有权推迟支付款而不承担任何责任。 </w:t>
            </w:r>
          </w:p>
          <w:p w14:paraId="41310315">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4.因中标方原因，造成医疗废物收运、中转、焚烧处置工作不能达标，所造成的一切 </w:t>
            </w:r>
          </w:p>
          <w:p w14:paraId="1DDD6799">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直接和间接损失，全由中标方承担，与采购人无关。</w:t>
            </w:r>
          </w:p>
        </w:tc>
        <w:tc>
          <w:tcPr>
            <w:tcW w:w="1645" w:type="dxa"/>
          </w:tcPr>
          <w:p w14:paraId="47979850">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82D33A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58AA38D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1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6F0C068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r>
              <w:rPr>
                <w:rFonts w:hint="eastAsia" w:ascii="仿宋" w:hAnsi="仿宋" w:eastAsia="仿宋" w:cs="仿宋"/>
                <w:b/>
                <w:bCs w:val="0"/>
                <w:color w:val="FF0000"/>
                <w:sz w:val="24"/>
                <w:szCs w:val="24"/>
                <w:highlight w:val="none"/>
                <w:lang w:val="en-US" w:eastAsia="zh-CN"/>
              </w:rPr>
              <w:t>★违约责任</w:t>
            </w:r>
          </w:p>
        </w:tc>
        <w:tc>
          <w:tcPr>
            <w:tcW w:w="4293" w:type="dxa"/>
            <w:shd w:val="clear" w:color="auto" w:fill="auto"/>
            <w:vAlign w:val="center"/>
          </w:tcPr>
          <w:p w14:paraId="44BA4E96">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中标人在合同履行过程中，不履行或不按照合同约定适格履行均构成违约，采购人有权解除合同，中标人应承担违约责任并赔偿损失；具体违约责任约定详见合同。</w:t>
            </w:r>
          </w:p>
        </w:tc>
        <w:tc>
          <w:tcPr>
            <w:tcW w:w="1645" w:type="dxa"/>
          </w:tcPr>
          <w:p w14:paraId="7AFD5B3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1051A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04ADDA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6411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00A651E1">
            <w:pPr>
              <w:keepNext w:val="0"/>
              <w:keepLines w:val="0"/>
              <w:suppressLineNumbers w:val="0"/>
              <w:spacing w:before="0" w:beforeAutospacing="0" w:after="0" w:afterAutospacing="0"/>
              <w:ind w:left="0" w:leftChars="0" w:right="0" w:rightChars="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服务要求</w:t>
            </w:r>
          </w:p>
        </w:tc>
        <w:tc>
          <w:tcPr>
            <w:tcW w:w="4293" w:type="dxa"/>
            <w:shd w:val="clear" w:color="auto" w:fill="auto"/>
            <w:vAlign w:val="center"/>
          </w:tcPr>
          <w:p w14:paraId="2FB69E37">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2"/>
                <w:sz w:val="24"/>
                <w:szCs w:val="24"/>
                <w:lang w:val="en-US" w:eastAsia="zh-CN" w:bidi="ar-SA"/>
              </w:rPr>
              <w:t>★1.</w:t>
            </w:r>
            <w:r>
              <w:rPr>
                <w:rFonts w:hint="eastAsia" w:ascii="仿宋" w:hAnsi="仿宋" w:eastAsia="仿宋" w:cs="仿宋"/>
                <w:b w:val="0"/>
                <w:bCs w:val="0"/>
                <w:color w:val="FF0000"/>
                <w:kern w:val="0"/>
                <w:sz w:val="21"/>
                <w:szCs w:val="21"/>
                <w:highlight w:val="none"/>
                <w:lang w:val="en-US" w:eastAsia="zh-CN" w:bidi="ar-SA"/>
              </w:rPr>
              <w:t>周转桶包装要求：</w:t>
            </w:r>
            <w:r>
              <w:rPr>
                <w:rFonts w:hint="eastAsia" w:ascii="仿宋" w:hAnsi="仿宋" w:eastAsia="仿宋" w:cs="仿宋"/>
                <w:kern w:val="2"/>
                <w:sz w:val="24"/>
                <w:szCs w:val="24"/>
                <w:lang w:val="en-US" w:eastAsia="zh-CN" w:bidi="ar-SA"/>
              </w:rPr>
              <w:t>周转桶包装要求周转桶规格和性能参数应满足《医疗废物专用包装袋、容器和警示标志标准》（HJ 421-2008）要求。</w:t>
            </w:r>
          </w:p>
        </w:tc>
        <w:tc>
          <w:tcPr>
            <w:tcW w:w="1645" w:type="dxa"/>
          </w:tcPr>
          <w:p w14:paraId="73A986B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1E8157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D0A4989">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34F8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6B3A37AC">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成果要求</w:t>
            </w:r>
          </w:p>
          <w:p w14:paraId="35127340">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val="en-US" w:eastAsia="zh-CN"/>
              </w:rPr>
            </w:pPr>
          </w:p>
        </w:tc>
        <w:tc>
          <w:tcPr>
            <w:tcW w:w="4293" w:type="dxa"/>
            <w:shd w:val="clear" w:color="auto" w:fill="auto"/>
            <w:vAlign w:val="center"/>
          </w:tcPr>
          <w:p w14:paraId="2D9EDDC1">
            <w:pPr>
              <w:keepNext w:val="0"/>
              <w:keepLines w:val="0"/>
              <w:suppressLineNumbers w:val="0"/>
              <w:spacing w:before="0" w:beforeAutospacing="0" w:after="0" w:afterAutospacing="0"/>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2"/>
                <w:sz w:val="24"/>
                <w:szCs w:val="24"/>
                <w:lang w:val="en-US" w:eastAsia="zh-CN" w:bidi="ar-SA"/>
              </w:rPr>
              <w:t>★</w:t>
            </w:r>
            <w:r>
              <w:rPr>
                <w:rFonts w:hint="eastAsia" w:ascii="仿宋" w:hAnsi="仿宋" w:eastAsia="仿宋" w:cs="仿宋"/>
                <w:kern w:val="2"/>
                <w:sz w:val="24"/>
                <w:szCs w:val="24"/>
                <w:lang w:val="en-US" w:eastAsia="zh-CN" w:bidi="ar-SA"/>
              </w:rPr>
              <w:t>本项目医疗废物收运、中转、焚烧的标准均需达到《医疗废物管理条例》和《医疗废物集中处置技术规范》等政策文件的要求。</w:t>
            </w:r>
          </w:p>
        </w:tc>
        <w:tc>
          <w:tcPr>
            <w:tcW w:w="1645" w:type="dxa"/>
          </w:tcPr>
          <w:p w14:paraId="08C485B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CEED08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432159F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bl>
    <w:p w14:paraId="58C0BC5D">
      <w:pPr>
        <w:numPr>
          <w:ilvl w:val="0"/>
          <w:numId w:val="0"/>
        </w:numPr>
        <w:bidi w:val="0"/>
        <w:jc w:val="center"/>
        <w:rPr>
          <w:rFonts w:hint="eastAsia" w:ascii="仿宋" w:hAnsi="仿宋" w:eastAsia="仿宋" w:cs="仿宋"/>
          <w:b/>
          <w:bCs/>
          <w:sz w:val="30"/>
          <w:szCs w:val="30"/>
          <w:lang w:val="en-US" w:eastAsia="zh-CN"/>
        </w:rPr>
      </w:pPr>
    </w:p>
    <w:p w14:paraId="1AA439D4">
      <w:pPr>
        <w:numPr>
          <w:ilvl w:val="0"/>
          <w:numId w:val="0"/>
        </w:numPr>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服务要求</w:t>
      </w:r>
      <w:r>
        <w:rPr>
          <w:rFonts w:hint="eastAsia" w:ascii="仿宋" w:hAnsi="仿宋" w:eastAsia="仿宋" w:cs="仿宋"/>
          <w:b/>
          <w:bCs/>
          <w:sz w:val="32"/>
          <w:szCs w:val="32"/>
        </w:rPr>
        <w:t>偏离表</w:t>
      </w:r>
    </w:p>
    <w:p w14:paraId="77A32426">
      <w:pPr>
        <w:pStyle w:val="24"/>
        <w:rPr>
          <w:rFonts w:hint="eastAsia" w:ascii="仿宋" w:hAnsi="仿宋" w:eastAsia="仿宋" w:cs="仿宋"/>
          <w:sz w:val="24"/>
          <w:highlight w:val="yellow"/>
        </w:rPr>
      </w:pPr>
      <w:r>
        <w:rPr>
          <w:rFonts w:hint="eastAsia" w:ascii="仿宋" w:hAnsi="仿宋" w:eastAsia="仿宋" w:cs="仿宋"/>
          <w:highlight w:val="yellow"/>
        </w:rPr>
        <w:t>投标人必须对应</w:t>
      </w:r>
      <w:r>
        <w:rPr>
          <w:rFonts w:hint="eastAsia" w:ascii="仿宋" w:hAnsi="仿宋" w:eastAsia="仿宋" w:cs="仿宋"/>
          <w:sz w:val="24"/>
          <w:highlight w:val="yellow"/>
        </w:rPr>
        <w:t>谈判文件</w:t>
      </w:r>
      <w:r>
        <w:rPr>
          <w:rFonts w:hint="eastAsia" w:ascii="仿宋" w:hAnsi="仿宋" w:eastAsia="仿宋" w:cs="仿宋"/>
          <w:b/>
          <w:bCs/>
          <w:highlight w:val="yellow"/>
          <w:lang w:val="en-US" w:eastAsia="zh-CN"/>
        </w:rPr>
        <w:t>“</w:t>
      </w:r>
      <w:r>
        <w:rPr>
          <w:rFonts w:hint="eastAsia" w:ascii="仿宋" w:hAnsi="仿宋" w:eastAsia="仿宋" w:cs="仿宋"/>
          <w:sz w:val="24"/>
          <w:highlight w:val="yellow"/>
        </w:rPr>
        <w:t>第三章</w:t>
      </w:r>
      <w:r>
        <w:rPr>
          <w:rFonts w:hint="eastAsia" w:ascii="仿宋" w:hAnsi="仿宋" w:eastAsia="仿宋" w:cs="仿宋"/>
          <w:sz w:val="24"/>
          <w:highlight w:val="yellow"/>
          <w:lang w:val="en-US" w:eastAsia="zh-CN"/>
        </w:rPr>
        <w:t xml:space="preserve"> </w:t>
      </w:r>
      <w:r>
        <w:rPr>
          <w:rFonts w:hint="eastAsia" w:ascii="仿宋" w:hAnsi="仿宋" w:eastAsia="仿宋" w:cs="仿宋"/>
          <w:b/>
          <w:bCs/>
          <w:highlight w:val="yellow"/>
          <w:lang w:val="en-US" w:eastAsia="zh-CN"/>
        </w:rPr>
        <w:t>采购项目用户需求书-</w:t>
      </w:r>
      <w:r>
        <w:rPr>
          <w:rFonts w:hint="eastAsia" w:ascii="仿宋" w:hAnsi="仿宋" w:eastAsia="仿宋" w:cs="仿宋"/>
          <w:b/>
          <w:bCs/>
          <w:sz w:val="21"/>
          <w:szCs w:val="21"/>
          <w:highlight w:val="yellow"/>
          <w:lang w:val="en-US" w:eastAsia="zh-CN"/>
        </w:rPr>
        <w:t>四</w:t>
      </w:r>
      <w:r>
        <w:rPr>
          <w:rFonts w:hint="eastAsia" w:ascii="仿宋" w:hAnsi="仿宋" w:eastAsia="仿宋" w:cs="仿宋"/>
          <w:b/>
          <w:bCs/>
          <w:sz w:val="21"/>
          <w:szCs w:val="21"/>
          <w:highlight w:val="yellow"/>
        </w:rPr>
        <w:t>、</w:t>
      </w:r>
      <w:r>
        <w:rPr>
          <w:rFonts w:hint="eastAsia" w:ascii="仿宋" w:hAnsi="仿宋" w:eastAsia="仿宋" w:cs="仿宋"/>
          <w:b/>
          <w:bCs/>
          <w:sz w:val="21"/>
          <w:szCs w:val="21"/>
          <w:highlight w:val="yellow"/>
          <w:lang w:val="en-US" w:eastAsia="zh-CN"/>
        </w:rPr>
        <w:t>项目</w:t>
      </w:r>
      <w:r>
        <w:rPr>
          <w:rFonts w:hint="eastAsia" w:ascii="仿宋" w:hAnsi="仿宋" w:eastAsia="仿宋" w:cs="仿宋"/>
          <w:b/>
          <w:bCs/>
          <w:sz w:val="21"/>
          <w:szCs w:val="21"/>
          <w:highlight w:val="yellow"/>
        </w:rPr>
        <w:t>服务要求</w:t>
      </w:r>
      <w:r>
        <w:rPr>
          <w:rFonts w:hint="eastAsia" w:ascii="仿宋" w:hAnsi="仿宋" w:eastAsia="仿宋" w:cs="仿宋"/>
          <w:b/>
          <w:bCs/>
          <w:sz w:val="24"/>
          <w:highlight w:val="yellow"/>
        </w:rPr>
        <w:t>”</w:t>
      </w:r>
      <w:r>
        <w:rPr>
          <w:rFonts w:hint="eastAsia" w:ascii="仿宋" w:hAnsi="仿宋" w:eastAsia="仿宋" w:cs="仿宋"/>
          <w:sz w:val="24"/>
          <w:highlight w:val="yellow"/>
        </w:rPr>
        <w:t>的条款逐条应答并按要求填写下表。</w:t>
      </w:r>
    </w:p>
    <w:p w14:paraId="2A8BA35B">
      <w:pPr>
        <w:rPr>
          <w:rFonts w:hint="eastAsia" w:ascii="仿宋" w:hAnsi="仿宋" w:eastAsia="仿宋" w:cs="仿宋"/>
          <w:b/>
          <w:sz w:val="24"/>
        </w:rPr>
      </w:pPr>
    </w:p>
    <w:p w14:paraId="0C2DA9EB">
      <w:pPr>
        <w:rPr>
          <w:rFonts w:hint="eastAsia" w:ascii="仿宋" w:hAnsi="仿宋" w:eastAsia="仿宋" w:cs="仿宋"/>
          <w:b/>
          <w:sz w:val="24"/>
        </w:rPr>
      </w:pPr>
      <w:r>
        <w:rPr>
          <w:rFonts w:hint="eastAsia" w:ascii="仿宋" w:hAnsi="仿宋" w:eastAsia="仿宋" w:cs="仿宋"/>
          <w:b/>
          <w:sz w:val="24"/>
        </w:rPr>
        <w:t>根据谈判文件要求，我单位承诺响应如下：</w:t>
      </w:r>
    </w:p>
    <w:tbl>
      <w:tblPr>
        <w:tblStyle w:val="44"/>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22"/>
        <w:gridCol w:w="2610"/>
        <w:gridCol w:w="1975"/>
        <w:gridCol w:w="1627"/>
      </w:tblGrid>
      <w:tr w14:paraId="7D8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35" w:type="dxa"/>
            <w:vAlign w:val="center"/>
          </w:tcPr>
          <w:p w14:paraId="49FB06DA">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内容</w:t>
            </w:r>
          </w:p>
        </w:tc>
        <w:tc>
          <w:tcPr>
            <w:tcW w:w="1722" w:type="dxa"/>
            <w:vAlign w:val="center"/>
          </w:tcPr>
          <w:p w14:paraId="686C2B89">
            <w:pPr>
              <w:keepNext w:val="0"/>
              <w:keepLines w:val="0"/>
              <w:suppressLineNumbers w:val="0"/>
              <w:spacing w:before="0" w:beforeAutospacing="0" w:after="0" w:afterAutospacing="0"/>
              <w:ind w:left="0" w:right="0"/>
              <w:jc w:val="center"/>
              <w:rPr>
                <w:rFonts w:hint="eastAsia" w:ascii="仿宋" w:hAnsi="仿宋" w:eastAsia="仿宋" w:cs="仿宋"/>
                <w:b/>
                <w:color w:val="auto"/>
                <w:lang w:eastAsia="zh-CN"/>
              </w:rPr>
            </w:pPr>
            <w:r>
              <w:rPr>
                <w:rFonts w:hint="eastAsia" w:ascii="仿宋" w:hAnsi="仿宋" w:eastAsia="仿宋" w:cs="仿宋"/>
                <w:b/>
                <w:color w:val="auto"/>
                <w:lang w:eastAsia="zh-CN"/>
              </w:rPr>
              <w:t>谈判服务要求</w:t>
            </w:r>
          </w:p>
          <w:p w14:paraId="0955989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lang w:eastAsia="zh-CN"/>
              </w:rPr>
              <w:t>此栏</w:t>
            </w:r>
            <w:r>
              <w:rPr>
                <w:rFonts w:hint="eastAsia" w:ascii="仿宋" w:hAnsi="仿宋" w:eastAsia="仿宋" w:cs="仿宋"/>
                <w:bCs/>
                <w:color w:val="auto"/>
              </w:rPr>
              <w:t>应按</w:t>
            </w:r>
            <w:r>
              <w:rPr>
                <w:rFonts w:hint="eastAsia" w:ascii="仿宋" w:hAnsi="仿宋" w:eastAsia="仿宋" w:cs="仿宋"/>
                <w:bCs/>
                <w:color w:val="auto"/>
                <w:lang w:eastAsia="zh-CN"/>
              </w:rPr>
              <w:t>：</w:t>
            </w:r>
            <w:r>
              <w:rPr>
                <w:rFonts w:hint="eastAsia" w:ascii="仿宋" w:hAnsi="仿宋" w:eastAsia="仿宋" w:cs="仿宋"/>
                <w:bCs/>
                <w:color w:val="auto"/>
                <w:lang w:val="en-US" w:eastAsia="zh-CN"/>
              </w:rPr>
              <w:t>四</w:t>
            </w:r>
            <w:r>
              <w:rPr>
                <w:rFonts w:hint="eastAsia" w:ascii="仿宋" w:hAnsi="仿宋" w:eastAsia="仿宋" w:cs="仿宋"/>
                <w:bCs/>
                <w:color w:val="auto"/>
                <w:lang w:eastAsia="zh-CN"/>
              </w:rPr>
              <w:t>、</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中“</w:t>
            </w:r>
            <w:r>
              <w:rPr>
                <w:rFonts w:hint="eastAsia" w:ascii="仿宋" w:hAnsi="仿宋" w:eastAsia="仿宋" w:cs="仿宋"/>
                <w:b/>
                <w:color w:val="auto"/>
                <w:lang w:val="en-US" w:eastAsia="zh-CN"/>
              </w:rPr>
              <w:t>项目</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”内容</w:t>
            </w:r>
            <w:r>
              <w:rPr>
                <w:rFonts w:hint="eastAsia" w:ascii="仿宋" w:hAnsi="仿宋" w:eastAsia="仿宋" w:cs="仿宋"/>
                <w:bCs/>
                <w:color w:val="auto"/>
                <w:highlight w:val="yellow"/>
                <w:lang w:eastAsia="zh-CN"/>
              </w:rPr>
              <w:t>逐条</w:t>
            </w:r>
            <w:r>
              <w:rPr>
                <w:rFonts w:hint="eastAsia" w:ascii="仿宋" w:hAnsi="仿宋" w:eastAsia="仿宋" w:cs="仿宋"/>
                <w:bCs/>
                <w:color w:val="auto"/>
                <w:lang w:eastAsia="zh-CN"/>
              </w:rPr>
              <w:t>复制填写，不得删减和漏项）</w:t>
            </w:r>
          </w:p>
        </w:tc>
        <w:tc>
          <w:tcPr>
            <w:tcW w:w="2610" w:type="dxa"/>
            <w:vAlign w:val="center"/>
          </w:tcPr>
          <w:p w14:paraId="0649E78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文件响应</w:t>
            </w:r>
          </w:p>
          <w:p w14:paraId="3B899F2A">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rPr>
              <w:t>(投标人应按投标货物</w:t>
            </w:r>
            <w:r>
              <w:rPr>
                <w:rFonts w:hint="eastAsia" w:ascii="仿宋" w:hAnsi="仿宋" w:eastAsia="仿宋" w:cs="仿宋"/>
                <w:bCs/>
                <w:color w:val="auto"/>
                <w:lang w:eastAsia="zh-CN"/>
              </w:rPr>
              <w:t>或服务</w:t>
            </w:r>
            <w:r>
              <w:rPr>
                <w:rFonts w:hint="eastAsia" w:ascii="仿宋" w:hAnsi="仿宋" w:eastAsia="仿宋" w:cs="仿宋"/>
                <w:bCs/>
                <w:color w:val="auto"/>
              </w:rPr>
              <w:t>实际数据如实填写</w:t>
            </w:r>
            <w:r>
              <w:rPr>
                <w:rFonts w:hint="eastAsia" w:ascii="仿宋" w:hAnsi="仿宋" w:eastAsia="仿宋" w:cs="仿宋"/>
                <w:bCs/>
                <w:color w:val="auto"/>
                <w:lang w:eastAsia="zh-CN"/>
              </w:rPr>
              <w:t>）</w:t>
            </w:r>
          </w:p>
        </w:tc>
        <w:tc>
          <w:tcPr>
            <w:tcW w:w="1975" w:type="dxa"/>
            <w:vAlign w:val="center"/>
          </w:tcPr>
          <w:p w14:paraId="1789FBA1">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3B77E186">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627" w:type="dxa"/>
            <w:vAlign w:val="center"/>
          </w:tcPr>
          <w:p w14:paraId="4C681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370BC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tr w14:paraId="5D7B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593CF15E">
            <w:pPr>
              <w:keepNext w:val="0"/>
              <w:keepLines w:val="0"/>
              <w:suppressLineNumbers w:val="0"/>
              <w:spacing w:before="0" w:beforeAutospacing="0" w:after="0" w:afterAutospacing="0"/>
              <w:ind w:left="0" w:right="0"/>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服务范围</w:t>
            </w:r>
          </w:p>
          <w:p w14:paraId="3BB07C0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79613F2C">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48018C19">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584D5FC">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8AD5AD6">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1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0B69309D">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6955668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00FCA75D">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3FB2EBBB">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0454F53">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B41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67FEB96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1722" w:type="dxa"/>
            <w:vAlign w:val="center"/>
          </w:tcPr>
          <w:p w14:paraId="0983138D">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78C6129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10424867">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22AC8A7">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64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5FA84F48">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p>
        </w:tc>
        <w:tc>
          <w:tcPr>
            <w:tcW w:w="1722" w:type="dxa"/>
            <w:vAlign w:val="center"/>
          </w:tcPr>
          <w:p w14:paraId="0E6AEAC2">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69A08186">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4BCC5BA">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815978B">
            <w:pPr>
              <w:keepNext w:val="0"/>
              <w:keepLines w:val="0"/>
              <w:suppressLineNumbers w:val="0"/>
              <w:spacing w:before="0" w:beforeAutospacing="0" w:after="0" w:afterAutospacing="0"/>
              <w:ind w:left="0" w:right="0"/>
              <w:jc w:val="center"/>
              <w:rPr>
                <w:rFonts w:hint="eastAsia" w:ascii="仿宋" w:hAnsi="仿宋" w:eastAsia="仿宋" w:cs="仿宋"/>
                <w:sz w:val="24"/>
              </w:rPr>
            </w:pPr>
          </w:p>
        </w:tc>
      </w:tr>
    </w:tbl>
    <w:p w14:paraId="55AAB54D">
      <w:pPr>
        <w:spacing w:line="360" w:lineRule="auto"/>
        <w:ind w:firstLine="480" w:firstLineChars="200"/>
        <w:rPr>
          <w:rFonts w:hint="eastAsia" w:ascii="仿宋" w:hAnsi="仿宋" w:eastAsia="仿宋" w:cs="仿宋"/>
          <w:sz w:val="24"/>
        </w:rPr>
      </w:pPr>
      <w:r>
        <w:rPr>
          <w:rFonts w:hint="eastAsia" w:ascii="仿宋" w:hAnsi="仿宋" w:eastAsia="仿宋" w:cs="仿宋"/>
          <w:sz w:val="24"/>
          <w:highlight w:val="yellow"/>
        </w:rPr>
        <w:t>填写说明：</w:t>
      </w:r>
      <w:r>
        <w:rPr>
          <w:rFonts w:hint="eastAsia" w:ascii="仿宋" w:hAnsi="仿宋" w:eastAsia="仿宋" w:cs="仿宋"/>
          <w:sz w:val="24"/>
        </w:rPr>
        <w:t>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w:t>
      </w:r>
      <w:r>
        <w:rPr>
          <w:rFonts w:hint="eastAsia" w:ascii="仿宋" w:hAnsi="仿宋" w:eastAsia="仿宋" w:cs="仿宋"/>
          <w:sz w:val="24"/>
          <w:lang w:eastAsia="zh-CN"/>
        </w:rPr>
        <w:t>谈判</w:t>
      </w:r>
      <w:r>
        <w:rPr>
          <w:rFonts w:hint="eastAsia" w:ascii="仿宋" w:hAnsi="仿宋" w:eastAsia="仿宋" w:cs="仿宋"/>
          <w:sz w:val="24"/>
        </w:rPr>
        <w:t>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w:t>
      </w:r>
    </w:p>
    <w:p w14:paraId="137535BA">
      <w:pPr>
        <w:spacing w:line="360" w:lineRule="auto"/>
        <w:ind w:firstLine="480" w:firstLineChars="200"/>
        <w:rPr>
          <w:rFonts w:hint="eastAsia" w:ascii="仿宋" w:hAnsi="仿宋" w:eastAsia="仿宋" w:cs="仿宋"/>
          <w:sz w:val="24"/>
        </w:rPr>
      </w:pPr>
    </w:p>
    <w:p w14:paraId="2D7CFDE7">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5EA9658B">
      <w:pPr>
        <w:ind w:firstLine="480" w:firstLineChars="200"/>
        <w:rPr>
          <w:rFonts w:hint="eastAsia" w:ascii="仿宋" w:hAnsi="仿宋" w:eastAsia="仿宋" w:cs="仿宋"/>
          <w:sz w:val="24"/>
        </w:rPr>
      </w:pPr>
    </w:p>
    <w:p w14:paraId="54609AF7">
      <w:pPr>
        <w:spacing w:line="360" w:lineRule="auto"/>
        <w:rPr>
          <w:rFonts w:hint="eastAsia" w:ascii="仿宋" w:hAnsi="仿宋" w:eastAsia="仿宋" w:cs="仿宋"/>
          <w:b/>
          <w:bCs/>
          <w:color w:val="000000" w:themeColor="text1"/>
          <w:sz w:val="24"/>
          <w14:textFill>
            <w14:solidFill>
              <w14:schemeClr w14:val="tx1"/>
            </w14:solidFill>
          </w14:textFill>
        </w:rPr>
      </w:pPr>
    </w:p>
    <w:p w14:paraId="28D7A2F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9153FE7">
      <w:pPr>
        <w:jc w:val="left"/>
        <w:rPr>
          <w:rFonts w:hint="eastAsia" w:ascii="仿宋" w:hAnsi="仿宋" w:eastAsia="仿宋" w:cs="仿宋"/>
          <w:color w:val="000000" w:themeColor="text1"/>
          <w:sz w:val="24"/>
          <w14:textFill>
            <w14:solidFill>
              <w14:schemeClr w14:val="tx1"/>
            </w14:solidFill>
          </w14:textFill>
        </w:rPr>
      </w:pPr>
    </w:p>
    <w:p w14:paraId="75D939C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219AA939">
      <w:pPr>
        <w:jc w:val="left"/>
        <w:rPr>
          <w:rFonts w:hint="eastAsia" w:ascii="仿宋" w:hAnsi="仿宋" w:eastAsia="仿宋" w:cs="仿宋"/>
          <w:color w:val="000000" w:themeColor="text1"/>
          <w:sz w:val="24"/>
          <w14:textFill>
            <w14:solidFill>
              <w14:schemeClr w14:val="tx1"/>
            </w14:solidFill>
          </w14:textFill>
        </w:rPr>
      </w:pPr>
    </w:p>
    <w:p w14:paraId="75F8192F">
      <w:pPr>
        <w:jc w:val="right"/>
        <w:rPr>
          <w:rFonts w:hint="eastAsia"/>
          <w:lang w:val="en-US" w:eastAsia="zh-CN"/>
        </w:rPr>
      </w:pPr>
      <w:r>
        <w:rPr>
          <w:rFonts w:hint="eastAsia" w:ascii="仿宋" w:hAnsi="仿宋" w:eastAsia="仿宋" w:cs="仿宋"/>
          <w:color w:val="000000" w:themeColor="text1"/>
          <w:sz w:val="24"/>
          <w14:textFill>
            <w14:solidFill>
              <w14:schemeClr w14:val="tx1"/>
            </w14:solidFill>
          </w14:textFill>
        </w:rPr>
        <w:t>日期：    年  月  日</w:t>
      </w:r>
    </w:p>
    <w:p w14:paraId="04D1F7B7">
      <w:pPr>
        <w:numPr>
          <w:ilvl w:val="0"/>
          <w:numId w:val="25"/>
        </w:num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同类项目业绩介绍</w:t>
      </w:r>
    </w:p>
    <w:tbl>
      <w:tblPr>
        <w:tblStyle w:val="44"/>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1332"/>
        <w:gridCol w:w="742"/>
        <w:gridCol w:w="1547"/>
      </w:tblGrid>
      <w:tr w14:paraId="09F8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top"/>
          </w:tcPr>
          <w:p w14:paraId="59140E5C">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序号</w:t>
            </w:r>
          </w:p>
        </w:tc>
        <w:tc>
          <w:tcPr>
            <w:tcW w:w="1236" w:type="dxa"/>
            <w:noWrap w:val="0"/>
            <w:vAlign w:val="center"/>
          </w:tcPr>
          <w:p w14:paraId="2E5CF911">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项目名称</w:t>
            </w:r>
          </w:p>
        </w:tc>
        <w:tc>
          <w:tcPr>
            <w:tcW w:w="1078" w:type="dxa"/>
            <w:noWrap w:val="0"/>
            <w:vAlign w:val="center"/>
          </w:tcPr>
          <w:p w14:paraId="4AB6896A">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lang w:eastAsia="zh-CN"/>
              </w:rPr>
              <w:t>采购</w:t>
            </w:r>
            <w:r>
              <w:rPr>
                <w:rFonts w:hint="eastAsia" w:ascii="宋体" w:hAnsi="宋体"/>
                <w:color w:val="000000"/>
                <w:szCs w:val="21"/>
              </w:rPr>
              <w:t>单位</w:t>
            </w:r>
          </w:p>
        </w:tc>
        <w:tc>
          <w:tcPr>
            <w:tcW w:w="796" w:type="dxa"/>
            <w:noWrap w:val="0"/>
            <w:vAlign w:val="center"/>
          </w:tcPr>
          <w:p w14:paraId="4E00D59E">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时间</w:t>
            </w:r>
          </w:p>
        </w:tc>
        <w:tc>
          <w:tcPr>
            <w:tcW w:w="1500" w:type="dxa"/>
            <w:noWrap w:val="0"/>
            <w:vAlign w:val="center"/>
          </w:tcPr>
          <w:p w14:paraId="30B57836">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规模（金额）</w:t>
            </w:r>
          </w:p>
        </w:tc>
        <w:tc>
          <w:tcPr>
            <w:tcW w:w="1332" w:type="dxa"/>
            <w:noWrap w:val="0"/>
            <w:vAlign w:val="center"/>
          </w:tcPr>
          <w:p w14:paraId="415239DD">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完成时间</w:t>
            </w:r>
          </w:p>
        </w:tc>
        <w:tc>
          <w:tcPr>
            <w:tcW w:w="742" w:type="dxa"/>
            <w:noWrap w:val="0"/>
            <w:vAlign w:val="center"/>
          </w:tcPr>
          <w:p w14:paraId="5F4B9432">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rPr>
              <w:t>联系</w:t>
            </w:r>
            <w:r>
              <w:rPr>
                <w:rFonts w:hint="eastAsia" w:ascii="宋体" w:hAnsi="宋体"/>
                <w:color w:val="000000"/>
                <w:szCs w:val="21"/>
                <w:lang w:eastAsia="zh-CN"/>
              </w:rPr>
              <w:t>方式</w:t>
            </w:r>
          </w:p>
        </w:tc>
        <w:tc>
          <w:tcPr>
            <w:tcW w:w="1547" w:type="dxa"/>
            <w:noWrap w:val="0"/>
            <w:vAlign w:val="center"/>
          </w:tcPr>
          <w:p w14:paraId="4867FCCD">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lang w:eastAsia="zh-CN"/>
              </w:rPr>
              <w:t>证明文件页码</w:t>
            </w:r>
          </w:p>
        </w:tc>
      </w:tr>
      <w:tr w14:paraId="15BA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CB1607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1</w:t>
            </w:r>
          </w:p>
        </w:tc>
        <w:tc>
          <w:tcPr>
            <w:tcW w:w="1236" w:type="dxa"/>
            <w:noWrap w:val="0"/>
            <w:vAlign w:val="top"/>
          </w:tcPr>
          <w:p w14:paraId="44EFB1CB">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92069CC">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360297F">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6E3F8D5B">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193DC62C">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B21AA12">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455BBFB">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0C5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352AA14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2</w:t>
            </w:r>
          </w:p>
        </w:tc>
        <w:tc>
          <w:tcPr>
            <w:tcW w:w="1236" w:type="dxa"/>
            <w:noWrap w:val="0"/>
            <w:vAlign w:val="top"/>
          </w:tcPr>
          <w:p w14:paraId="61B46A7C">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6CC18355">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56C2587A">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B1855A1">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39EE5F7">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A497A7E">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2584C6ED">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05CB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1C7930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w:t>
            </w:r>
          </w:p>
        </w:tc>
        <w:tc>
          <w:tcPr>
            <w:tcW w:w="1236" w:type="dxa"/>
            <w:noWrap w:val="0"/>
            <w:vAlign w:val="top"/>
          </w:tcPr>
          <w:p w14:paraId="71C8D967">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1703E509">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EF97459">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3D2B533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06BB595">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11C0B6D9">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3077ED80">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CEA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7DED1998">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302A1089">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7D8666C1">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B47D08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2FF7CDF">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D03F0F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D86E333">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155C7B61">
            <w:pPr>
              <w:keepNext w:val="0"/>
              <w:keepLines w:val="0"/>
              <w:suppressLineNumbers w:val="0"/>
              <w:spacing w:before="0" w:beforeAutospacing="0" w:after="60" w:afterAutospacing="0"/>
              <w:ind w:left="0" w:right="0"/>
              <w:rPr>
                <w:rFonts w:hint="eastAsia" w:ascii="宋体" w:hAnsi="宋体"/>
                <w:color w:val="000000"/>
                <w:szCs w:val="21"/>
              </w:rPr>
            </w:pPr>
          </w:p>
        </w:tc>
      </w:tr>
      <w:tr w14:paraId="5CD5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51F43C95">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06478E83">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31C9238E">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8C1287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7BB1730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104B26B">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59BDC216">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42C44023">
            <w:pPr>
              <w:keepNext w:val="0"/>
              <w:keepLines w:val="0"/>
              <w:suppressLineNumbers w:val="0"/>
              <w:spacing w:before="0" w:beforeAutospacing="0" w:after="60" w:afterAutospacing="0"/>
              <w:ind w:left="0" w:right="0"/>
              <w:rPr>
                <w:rFonts w:hint="eastAsia" w:ascii="宋体" w:hAnsi="宋体"/>
                <w:color w:val="000000"/>
                <w:szCs w:val="21"/>
              </w:rPr>
            </w:pPr>
          </w:p>
        </w:tc>
      </w:tr>
    </w:tbl>
    <w:p w14:paraId="54CDABDD">
      <w:pPr>
        <w:tabs>
          <w:tab w:val="left" w:pos="540"/>
        </w:tabs>
        <w:ind w:left="0" w:leftChars="-200" w:hanging="420" w:hangingChars="200"/>
        <w:jc w:val="left"/>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GB" w:eastAsia="zh-CN" w:bidi="ar-SA"/>
        </w:rPr>
        <w:t>注：</w:t>
      </w:r>
      <w:r>
        <w:rPr>
          <w:rFonts w:hint="eastAsia" w:ascii="宋体" w:hAnsi="宋体" w:eastAsia="宋体" w:cs="仿宋"/>
          <w:color w:val="FF0000"/>
          <w:kern w:val="2"/>
          <w:sz w:val="21"/>
          <w:szCs w:val="21"/>
          <w:lang w:val="en-US" w:eastAsia="zh-CN" w:bidi="ar-SA"/>
        </w:rPr>
        <w:t>1.</w:t>
      </w:r>
      <w:r>
        <w:rPr>
          <w:rFonts w:hint="eastAsia" w:ascii="宋体" w:hAnsi="宋体" w:eastAsia="宋体" w:cs="仿宋"/>
          <w:color w:val="FF0000"/>
          <w:kern w:val="2"/>
          <w:sz w:val="21"/>
          <w:szCs w:val="21"/>
          <w:lang w:val="en-GB" w:eastAsia="zh-CN" w:bidi="ar-SA"/>
        </w:rPr>
        <w:t>业绩是以投标人名义完成的项目。</w:t>
      </w:r>
    </w:p>
    <w:p w14:paraId="74A594C7">
      <w:pPr>
        <w:pStyle w:val="24"/>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US" w:eastAsia="zh-CN" w:bidi="ar-SA"/>
        </w:rPr>
        <w:t>2.须提供合同关键页（需体现合同签订日期）复印件或扫描件加盖投标人公章，原件备查。</w:t>
      </w:r>
    </w:p>
    <w:p w14:paraId="752F19A7">
      <w:pPr>
        <w:tabs>
          <w:tab w:val="left" w:pos="540"/>
        </w:tabs>
        <w:jc w:val="center"/>
        <w:rPr>
          <w:rFonts w:hint="eastAsia" w:ascii="仿宋" w:hAnsi="仿宋" w:eastAsia="仿宋" w:cs="仿宋"/>
          <w:b/>
          <w:bCs/>
          <w:kern w:val="2"/>
          <w:sz w:val="28"/>
          <w:szCs w:val="28"/>
          <w:lang w:val="en-US" w:eastAsia="zh-CN" w:bidi="ar-SA"/>
        </w:rPr>
      </w:pPr>
    </w:p>
    <w:p w14:paraId="5928C5A0">
      <w:pPr>
        <w:keepNext w:val="0"/>
        <w:keepLines w:val="0"/>
        <w:pageBreakBefore w:val="0"/>
        <w:widowControl w:val="0"/>
        <w:numPr>
          <w:ilvl w:val="0"/>
          <w:numId w:val="25"/>
        </w:numPr>
        <w:kinsoku/>
        <w:wordWrap/>
        <w:overflowPunct/>
        <w:topLinePunct w:val="0"/>
        <w:autoSpaceDE/>
        <w:autoSpaceDN/>
        <w:bidi w:val="0"/>
        <w:adjustRightInd/>
        <w:snapToGrid w:val="0"/>
        <w:ind w:left="0" w:leftChars="0" w:firstLine="0" w:firstLineChars="0"/>
        <w:jc w:val="center"/>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拟安排的项目团队成员情况</w:t>
      </w:r>
    </w:p>
    <w:p w14:paraId="2277AB2F">
      <w:pPr>
        <w:keepNext w:val="0"/>
        <w:keepLines w:val="0"/>
        <w:pageBreakBefore w:val="0"/>
        <w:widowControl w:val="0"/>
        <w:numPr>
          <w:ilvl w:val="0"/>
          <w:numId w:val="0"/>
        </w:numPr>
        <w:kinsoku/>
        <w:wordWrap/>
        <w:overflowPunct/>
        <w:topLinePunct w:val="0"/>
        <w:autoSpaceDE/>
        <w:autoSpaceDN/>
        <w:bidi w:val="0"/>
        <w:adjustRightInd/>
        <w:snapToGrid w:val="0"/>
        <w:ind w:leftChars="0"/>
        <w:jc w:val="center"/>
        <w:textAlignment w:val="auto"/>
        <w:outlineLvl w:val="9"/>
        <w:rPr>
          <w:rFonts w:hint="eastAsia" w:ascii="仿宋" w:hAnsi="仿宋" w:eastAsia="仿宋" w:cs="仿宋"/>
          <w:lang w:eastAsia="zh-CN"/>
        </w:rPr>
      </w:pPr>
      <w:r>
        <w:rPr>
          <w:rFonts w:hint="eastAsia" w:ascii="仿宋" w:hAnsi="仿宋" w:eastAsia="仿宋" w:cs="仿宋"/>
          <w:lang w:val="en-US" w:eastAsia="zh-CN"/>
        </w:rPr>
        <w:t>（</w:t>
      </w:r>
      <w:r>
        <w:rPr>
          <w:rFonts w:hint="eastAsia" w:ascii="仿宋" w:hAnsi="仿宋" w:eastAsia="仿宋" w:cs="仿宋"/>
          <w:lang w:eastAsia="zh-CN"/>
        </w:rPr>
        <w:t>参考格式，投标人可根据谈判文件要求和自身实际情况修改）</w:t>
      </w:r>
    </w:p>
    <w:p w14:paraId="72136BC7">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仿宋" w:hAnsi="仿宋" w:eastAsia="仿宋" w:cs="仿宋"/>
          <w:b/>
          <w:color w:val="000000"/>
          <w:szCs w:val="21"/>
        </w:rPr>
      </w:pPr>
    </w:p>
    <w:p w14:paraId="362E56E7">
      <w:pPr>
        <w:snapToGrid w:val="0"/>
        <w:outlineLvl w:val="2"/>
        <w:rPr>
          <w:rFonts w:ascii="仿宋" w:hAnsi="仿宋" w:eastAsia="仿宋" w:cs="仿宋"/>
        </w:rPr>
      </w:pPr>
      <w:bookmarkStart w:id="35" w:name="_Toc17839"/>
      <w:bookmarkStart w:id="36" w:name="_Toc14386"/>
      <w:bookmarkStart w:id="37" w:name="_Toc32740"/>
      <w:bookmarkStart w:id="38" w:name="_Toc2620"/>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1</w:t>
      </w:r>
      <w:r>
        <w:rPr>
          <w:rFonts w:hint="eastAsia" w:ascii="仿宋" w:hAnsi="仿宋" w:eastAsia="仿宋" w:cs="仿宋"/>
          <w:b/>
          <w:color w:val="000000"/>
          <w:szCs w:val="21"/>
        </w:rPr>
        <w:t>）</w:t>
      </w:r>
      <w:bookmarkEnd w:id="35"/>
      <w:bookmarkEnd w:id="36"/>
      <w:bookmarkEnd w:id="37"/>
      <w:r>
        <w:rPr>
          <w:rFonts w:hint="eastAsia" w:ascii="仿宋" w:hAnsi="仿宋" w:eastAsia="仿宋" w:cs="仿宋"/>
          <w:b/>
          <w:color w:val="000000"/>
          <w:szCs w:val="21"/>
        </w:rPr>
        <w:t>拟派本项目负责人（1人）</w:t>
      </w:r>
      <w:bookmarkEnd w:id="38"/>
    </w:p>
    <w:tbl>
      <w:tblPr>
        <w:tblStyle w:val="4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75"/>
        <w:gridCol w:w="2064"/>
        <w:gridCol w:w="1084"/>
        <w:gridCol w:w="1400"/>
        <w:gridCol w:w="361"/>
        <w:gridCol w:w="1118"/>
        <w:gridCol w:w="464"/>
        <w:gridCol w:w="1084"/>
      </w:tblGrid>
      <w:tr w14:paraId="0884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01DA38C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姓名</w:t>
            </w:r>
          </w:p>
        </w:tc>
        <w:tc>
          <w:tcPr>
            <w:tcW w:w="2339" w:type="dxa"/>
            <w:gridSpan w:val="2"/>
            <w:noWrap w:val="0"/>
            <w:vAlign w:val="center"/>
          </w:tcPr>
          <w:p w14:paraId="3DD7ADC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2677B0B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性别</w:t>
            </w:r>
          </w:p>
        </w:tc>
        <w:tc>
          <w:tcPr>
            <w:tcW w:w="1761" w:type="dxa"/>
            <w:gridSpan w:val="2"/>
            <w:noWrap w:val="0"/>
            <w:vAlign w:val="center"/>
          </w:tcPr>
          <w:p w14:paraId="57500AB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1B436F5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年龄</w:t>
            </w:r>
          </w:p>
        </w:tc>
        <w:tc>
          <w:tcPr>
            <w:tcW w:w="1548" w:type="dxa"/>
            <w:gridSpan w:val="2"/>
            <w:noWrap w:val="0"/>
            <w:vAlign w:val="center"/>
          </w:tcPr>
          <w:p w14:paraId="46C2EF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6543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410F9CEA">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职务</w:t>
            </w:r>
          </w:p>
        </w:tc>
        <w:tc>
          <w:tcPr>
            <w:tcW w:w="2339" w:type="dxa"/>
            <w:gridSpan w:val="2"/>
            <w:noWrap w:val="0"/>
            <w:vAlign w:val="center"/>
          </w:tcPr>
          <w:p w14:paraId="7949288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D97D05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职称</w:t>
            </w:r>
          </w:p>
        </w:tc>
        <w:tc>
          <w:tcPr>
            <w:tcW w:w="1761" w:type="dxa"/>
            <w:gridSpan w:val="2"/>
            <w:noWrap w:val="0"/>
            <w:vAlign w:val="center"/>
          </w:tcPr>
          <w:p w14:paraId="6CB9DD6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5CE49D9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学历</w:t>
            </w:r>
          </w:p>
        </w:tc>
        <w:tc>
          <w:tcPr>
            <w:tcW w:w="1548" w:type="dxa"/>
            <w:gridSpan w:val="2"/>
            <w:noWrap w:val="0"/>
            <w:vAlign w:val="center"/>
          </w:tcPr>
          <w:p w14:paraId="339F5BA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5D1E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14DFB2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参加工作时间</w:t>
            </w:r>
          </w:p>
        </w:tc>
        <w:tc>
          <w:tcPr>
            <w:tcW w:w="3423" w:type="dxa"/>
            <w:gridSpan w:val="3"/>
            <w:noWrap w:val="0"/>
            <w:vAlign w:val="center"/>
          </w:tcPr>
          <w:p w14:paraId="7DBBA7A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879" w:type="dxa"/>
            <w:gridSpan w:val="3"/>
            <w:noWrap w:val="0"/>
            <w:vAlign w:val="center"/>
          </w:tcPr>
          <w:p w14:paraId="602432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从事项目经理/</w:t>
            </w:r>
          </w:p>
          <w:p w14:paraId="67BFB272">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项目负责人年限</w:t>
            </w:r>
          </w:p>
        </w:tc>
        <w:tc>
          <w:tcPr>
            <w:tcW w:w="1548" w:type="dxa"/>
            <w:gridSpan w:val="2"/>
            <w:noWrap w:val="0"/>
            <w:vAlign w:val="center"/>
          </w:tcPr>
          <w:p w14:paraId="29E5915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0B37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gridSpan w:val="3"/>
            <w:noWrap w:val="0"/>
            <w:vAlign w:val="center"/>
          </w:tcPr>
          <w:p w14:paraId="6795982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资格证书编号</w:t>
            </w:r>
          </w:p>
        </w:tc>
        <w:tc>
          <w:tcPr>
            <w:tcW w:w="5511" w:type="dxa"/>
            <w:gridSpan w:val="6"/>
            <w:noWrap w:val="0"/>
            <w:vAlign w:val="center"/>
          </w:tcPr>
          <w:p w14:paraId="135520E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2C34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0" w:type="dxa"/>
            <w:gridSpan w:val="9"/>
            <w:noWrap w:val="0"/>
            <w:vAlign w:val="center"/>
          </w:tcPr>
          <w:p w14:paraId="4E29869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highlight w:val="none"/>
              </w:rPr>
              <w:t>在</w:t>
            </w:r>
            <w:r>
              <w:rPr>
                <w:rFonts w:hint="eastAsia" w:ascii="仿宋" w:hAnsi="仿宋" w:eastAsia="仿宋" w:cs="仿宋"/>
                <w:sz w:val="20"/>
                <w:szCs w:val="20"/>
                <w:highlight w:val="none"/>
                <w:lang w:eastAsia="zh-CN"/>
              </w:rPr>
              <w:t>办</w:t>
            </w:r>
            <w:r>
              <w:rPr>
                <w:rFonts w:hint="eastAsia" w:ascii="仿宋" w:hAnsi="仿宋" w:eastAsia="仿宋" w:cs="仿宋"/>
                <w:sz w:val="20"/>
                <w:szCs w:val="20"/>
                <w:highlight w:val="none"/>
              </w:rPr>
              <w:t>和已完成项目情况</w:t>
            </w:r>
          </w:p>
        </w:tc>
      </w:tr>
      <w:tr w14:paraId="74F4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noWrap w:val="0"/>
            <w:vAlign w:val="center"/>
          </w:tcPr>
          <w:p w14:paraId="78490569">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lang w:eastAsia="zh-CN"/>
              </w:rPr>
              <w:t>委托</w:t>
            </w:r>
            <w:r>
              <w:rPr>
                <w:rFonts w:hint="eastAsia" w:ascii="仿宋" w:hAnsi="仿宋" w:eastAsia="仿宋" w:cs="仿宋"/>
                <w:sz w:val="20"/>
                <w:szCs w:val="20"/>
              </w:rPr>
              <w:t>单位</w:t>
            </w:r>
          </w:p>
        </w:tc>
        <w:tc>
          <w:tcPr>
            <w:tcW w:w="2064" w:type="dxa"/>
            <w:noWrap w:val="0"/>
            <w:vAlign w:val="center"/>
          </w:tcPr>
          <w:p w14:paraId="43C34A7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项目名称</w:t>
            </w:r>
          </w:p>
        </w:tc>
        <w:tc>
          <w:tcPr>
            <w:tcW w:w="1084" w:type="dxa"/>
            <w:noWrap w:val="0"/>
            <w:vAlign w:val="center"/>
          </w:tcPr>
          <w:p w14:paraId="4C8F372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规模</w:t>
            </w:r>
          </w:p>
        </w:tc>
        <w:tc>
          <w:tcPr>
            <w:tcW w:w="1400" w:type="dxa"/>
            <w:noWrap w:val="0"/>
            <w:vAlign w:val="center"/>
          </w:tcPr>
          <w:p w14:paraId="11157337">
            <w:pPr>
              <w:keepNext w:val="0"/>
              <w:keepLines w:val="0"/>
              <w:suppressLineNumbers w:val="0"/>
              <w:spacing w:before="20" w:beforeAutospacing="0" w:after="2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起止时间</w:t>
            </w:r>
          </w:p>
        </w:tc>
        <w:tc>
          <w:tcPr>
            <w:tcW w:w="1943" w:type="dxa"/>
            <w:gridSpan w:val="3"/>
            <w:noWrap w:val="0"/>
            <w:vAlign w:val="center"/>
          </w:tcPr>
          <w:p w14:paraId="2149D0C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状态（</w:t>
            </w:r>
            <w:r>
              <w:rPr>
                <w:rFonts w:hint="eastAsia" w:ascii="仿宋" w:hAnsi="仿宋" w:eastAsia="仿宋" w:cs="仿宋"/>
                <w:sz w:val="20"/>
                <w:szCs w:val="20"/>
                <w:lang w:eastAsia="zh-CN"/>
              </w:rPr>
              <w:t>在办</w:t>
            </w:r>
            <w:r>
              <w:rPr>
                <w:rFonts w:hint="eastAsia" w:ascii="仿宋" w:hAnsi="仿宋" w:eastAsia="仿宋" w:cs="仿宋"/>
                <w:sz w:val="20"/>
                <w:szCs w:val="20"/>
              </w:rPr>
              <w:t>或</w:t>
            </w:r>
            <w:r>
              <w:rPr>
                <w:rFonts w:hint="eastAsia" w:ascii="仿宋" w:hAnsi="仿宋" w:eastAsia="仿宋" w:cs="仿宋"/>
                <w:sz w:val="20"/>
                <w:szCs w:val="20"/>
                <w:lang w:eastAsia="zh-CN"/>
              </w:rPr>
              <w:t>完成</w:t>
            </w:r>
            <w:r>
              <w:rPr>
                <w:rFonts w:hint="eastAsia" w:ascii="仿宋" w:hAnsi="仿宋" w:eastAsia="仿宋" w:cs="仿宋"/>
                <w:sz w:val="20"/>
                <w:szCs w:val="20"/>
              </w:rPr>
              <w:t>）</w:t>
            </w:r>
          </w:p>
        </w:tc>
        <w:tc>
          <w:tcPr>
            <w:tcW w:w="1084" w:type="dxa"/>
            <w:noWrap w:val="0"/>
            <w:vAlign w:val="center"/>
          </w:tcPr>
          <w:p w14:paraId="687CBA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备注</w:t>
            </w:r>
          </w:p>
        </w:tc>
      </w:tr>
      <w:tr w14:paraId="5243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85" w:type="dxa"/>
            <w:gridSpan w:val="2"/>
            <w:noWrap w:val="0"/>
            <w:vAlign w:val="center"/>
          </w:tcPr>
          <w:p w14:paraId="56CCB96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064" w:type="dxa"/>
            <w:noWrap w:val="0"/>
            <w:vAlign w:val="center"/>
          </w:tcPr>
          <w:p w14:paraId="070EF07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BE26E3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400" w:type="dxa"/>
            <w:noWrap w:val="0"/>
            <w:vAlign w:val="center"/>
          </w:tcPr>
          <w:p w14:paraId="19A156E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943" w:type="dxa"/>
            <w:gridSpan w:val="3"/>
            <w:noWrap w:val="0"/>
            <w:vAlign w:val="center"/>
          </w:tcPr>
          <w:p w14:paraId="7C565D7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72E13F54">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bl>
    <w:p w14:paraId="50C5AE96">
      <w:pPr>
        <w:rPr>
          <w:rFonts w:ascii="仿宋" w:hAnsi="仿宋" w:eastAsia="仿宋" w:cs="仿宋"/>
        </w:rPr>
      </w:pPr>
    </w:p>
    <w:p w14:paraId="49180645">
      <w:pPr>
        <w:snapToGrid w:val="0"/>
        <w:outlineLvl w:val="2"/>
        <w:rPr>
          <w:rFonts w:ascii="仿宋" w:hAnsi="仿宋" w:eastAsia="仿宋" w:cs="仿宋"/>
        </w:rPr>
      </w:pPr>
      <w:bookmarkStart w:id="39" w:name="_Toc21997"/>
      <w:bookmarkStart w:id="40" w:name="_Toc13763"/>
      <w:bookmarkStart w:id="41" w:name="_Toc13984"/>
      <w:bookmarkStart w:id="42" w:name="_Toc23475"/>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2</w:t>
      </w:r>
      <w:r>
        <w:rPr>
          <w:rFonts w:hint="eastAsia" w:ascii="仿宋" w:hAnsi="仿宋" w:eastAsia="仿宋" w:cs="仿宋"/>
          <w:b/>
          <w:color w:val="000000"/>
          <w:szCs w:val="21"/>
        </w:rPr>
        <w:t>）</w:t>
      </w:r>
      <w:bookmarkEnd w:id="39"/>
      <w:bookmarkEnd w:id="40"/>
      <w:bookmarkEnd w:id="41"/>
      <w:r>
        <w:rPr>
          <w:rFonts w:hint="eastAsia" w:ascii="仿宋" w:hAnsi="仿宋" w:eastAsia="仿宋" w:cs="仿宋"/>
          <w:b/>
          <w:color w:val="000000"/>
          <w:szCs w:val="21"/>
        </w:rPr>
        <w:t>拟派本项目服务团队（不含项目负责人）</w:t>
      </w:r>
      <w:bookmarkEnd w:id="42"/>
    </w:p>
    <w:p w14:paraId="655132B5">
      <w:pPr>
        <w:keepNext w:val="0"/>
        <w:keepLines w:val="0"/>
        <w:pageBreakBefore w:val="0"/>
        <w:widowControl w:val="0"/>
        <w:kinsoku/>
        <w:wordWrap/>
        <w:overflowPunct/>
        <w:topLinePunct w:val="0"/>
        <w:autoSpaceDE/>
        <w:autoSpaceDN/>
        <w:bidi w:val="0"/>
        <w:adjustRightInd/>
        <w:snapToGrid/>
        <w:spacing w:after="60"/>
        <w:jc w:val="center"/>
        <w:textAlignment w:val="auto"/>
        <w:outlineLvl w:val="9"/>
        <w:rPr>
          <w:rFonts w:ascii="宋体" w:hAnsi="宋体" w:eastAsia="宋体" w:cs="仿宋"/>
          <w:b/>
          <w:sz w:val="21"/>
          <w:szCs w:val="21"/>
        </w:rPr>
      </w:pPr>
      <w:bookmarkStart w:id="43" w:name="_Toc18505"/>
      <w:bookmarkStart w:id="44" w:name="_Toc17314"/>
      <w:r>
        <w:rPr>
          <w:rFonts w:hint="eastAsia" w:ascii="宋体" w:hAnsi="宋体" w:eastAsia="宋体" w:cs="仿宋"/>
          <w:b/>
          <w:sz w:val="21"/>
          <w:szCs w:val="21"/>
        </w:rPr>
        <w:t>拟派团队成员清单</w:t>
      </w:r>
      <w:bookmarkEnd w:id="43"/>
      <w:bookmarkEnd w:id="44"/>
    </w:p>
    <w:tbl>
      <w:tblPr>
        <w:tblStyle w:val="45"/>
        <w:tblW w:w="5488" w:type="pct"/>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15"/>
        <w:gridCol w:w="996"/>
        <w:gridCol w:w="1041"/>
        <w:gridCol w:w="994"/>
        <w:gridCol w:w="1706"/>
        <w:gridCol w:w="1807"/>
        <w:gridCol w:w="1080"/>
      </w:tblGrid>
      <w:tr w14:paraId="7F50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4E419B42">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序号</w:t>
            </w:r>
          </w:p>
        </w:tc>
        <w:tc>
          <w:tcPr>
            <w:tcW w:w="542" w:type="pct"/>
            <w:noWrap w:val="0"/>
            <w:vAlign w:val="center"/>
          </w:tcPr>
          <w:p w14:paraId="241BC87B">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姓名</w:t>
            </w:r>
          </w:p>
        </w:tc>
        <w:tc>
          <w:tcPr>
            <w:tcW w:w="532" w:type="pct"/>
            <w:noWrap w:val="0"/>
            <w:vAlign w:val="center"/>
          </w:tcPr>
          <w:p w14:paraId="2A7A201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岗位</w:t>
            </w:r>
          </w:p>
        </w:tc>
        <w:tc>
          <w:tcPr>
            <w:tcW w:w="556" w:type="pct"/>
            <w:noWrap w:val="0"/>
            <w:vAlign w:val="center"/>
          </w:tcPr>
          <w:p w14:paraId="7B51F4D5">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职务</w:t>
            </w:r>
          </w:p>
        </w:tc>
        <w:tc>
          <w:tcPr>
            <w:tcW w:w="531" w:type="pct"/>
            <w:noWrap w:val="0"/>
            <w:vAlign w:val="center"/>
          </w:tcPr>
          <w:p w14:paraId="6326F16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学历</w:t>
            </w:r>
          </w:p>
        </w:tc>
        <w:tc>
          <w:tcPr>
            <w:tcW w:w="911" w:type="pct"/>
            <w:noWrap w:val="0"/>
            <w:vAlign w:val="center"/>
          </w:tcPr>
          <w:p w14:paraId="6A1572B0">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资质证书情况</w:t>
            </w:r>
          </w:p>
        </w:tc>
        <w:tc>
          <w:tcPr>
            <w:tcW w:w="965" w:type="pct"/>
            <w:noWrap w:val="0"/>
            <w:vAlign w:val="center"/>
          </w:tcPr>
          <w:p w14:paraId="7577B01E">
            <w:pPr>
              <w:keepNext w:val="0"/>
              <w:keepLines w:val="0"/>
              <w:suppressLineNumbers w:val="0"/>
              <w:spacing w:before="0" w:beforeAutospacing="0" w:after="0" w:afterAutospacing="0"/>
              <w:ind w:left="0" w:right="0"/>
              <w:jc w:val="center"/>
              <w:rPr>
                <w:rFonts w:hint="eastAsia" w:ascii="仿宋" w:hAnsi="仿宋" w:eastAsia="仿宋" w:cs="仿宋"/>
              </w:rPr>
            </w:pPr>
            <w:r>
              <w:rPr>
                <w:rFonts w:hint="eastAsia" w:ascii="仿宋" w:hAnsi="仿宋" w:eastAsia="仿宋" w:cs="仿宋"/>
              </w:rPr>
              <w:t>经验年限</w:t>
            </w:r>
          </w:p>
        </w:tc>
        <w:tc>
          <w:tcPr>
            <w:tcW w:w="577" w:type="pct"/>
            <w:noWrap w:val="0"/>
            <w:vAlign w:val="center"/>
          </w:tcPr>
          <w:p w14:paraId="25525B0D">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备注</w:t>
            </w:r>
          </w:p>
        </w:tc>
      </w:tr>
      <w:tr w14:paraId="4950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5C118296">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350AFA2E">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399B6CE1">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69B2C427">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482F37F2">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A6CC3FB">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369AB9F4">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639D1BF8">
            <w:pPr>
              <w:keepNext w:val="0"/>
              <w:keepLines w:val="0"/>
              <w:suppressLineNumbers w:val="0"/>
              <w:spacing w:before="0" w:beforeAutospacing="0" w:after="0" w:afterAutospacing="0"/>
              <w:ind w:left="0" w:right="0"/>
              <w:rPr>
                <w:rFonts w:hint="default" w:ascii="仿宋" w:hAnsi="仿宋" w:eastAsia="仿宋" w:cs="仿宋"/>
              </w:rPr>
            </w:pPr>
          </w:p>
        </w:tc>
      </w:tr>
      <w:tr w14:paraId="3CC3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2F64D59C">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055AF917">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64EED1A4">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B781AFE">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072558B8">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4B0A4675">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16C75C7B">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4072BEB0">
            <w:pPr>
              <w:keepNext w:val="0"/>
              <w:keepLines w:val="0"/>
              <w:suppressLineNumbers w:val="0"/>
              <w:spacing w:before="0" w:beforeAutospacing="0" w:after="0" w:afterAutospacing="0"/>
              <w:ind w:left="0" w:right="0"/>
              <w:rPr>
                <w:rFonts w:hint="default" w:ascii="仿宋" w:hAnsi="仿宋" w:eastAsia="仿宋" w:cs="仿宋"/>
              </w:rPr>
            </w:pPr>
          </w:p>
        </w:tc>
      </w:tr>
      <w:tr w14:paraId="7B09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13C6C9C2">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7AD73376">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51D393CD">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34FAADD">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1162C620">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667FA9D">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683D0A53">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2C675BAB">
            <w:pPr>
              <w:keepNext w:val="0"/>
              <w:keepLines w:val="0"/>
              <w:suppressLineNumbers w:val="0"/>
              <w:spacing w:before="0" w:beforeAutospacing="0" w:after="0" w:afterAutospacing="0"/>
              <w:ind w:left="0" w:right="0"/>
              <w:rPr>
                <w:rFonts w:hint="default" w:ascii="仿宋" w:hAnsi="仿宋" w:eastAsia="仿宋" w:cs="仿宋"/>
              </w:rPr>
            </w:pPr>
          </w:p>
        </w:tc>
      </w:tr>
    </w:tbl>
    <w:p w14:paraId="17F4BCBD">
      <w:pPr>
        <w:tabs>
          <w:tab w:val="left" w:pos="170"/>
        </w:tabs>
        <w:autoSpaceDE w:val="0"/>
        <w:autoSpaceDN w:val="0"/>
        <w:adjustRightInd w:val="0"/>
        <w:spacing w:line="360" w:lineRule="auto"/>
        <w:ind w:left="0" w:leftChars="-95" w:hanging="199" w:hangingChars="95"/>
        <w:rPr>
          <w:rFonts w:ascii="宋体" w:hAnsi="宋体"/>
          <w:color w:val="FF0000"/>
          <w:szCs w:val="21"/>
          <w:lang w:val="zh-CN"/>
        </w:rPr>
      </w:pPr>
      <w:r>
        <w:rPr>
          <w:rFonts w:hint="eastAsia" w:ascii="宋体" w:hAnsi="宋体"/>
          <w:color w:val="FF0000"/>
          <w:szCs w:val="21"/>
          <w:lang w:val="en-US" w:eastAsia="zh-CN"/>
        </w:rPr>
        <w:t>注：</w:t>
      </w:r>
      <w:r>
        <w:rPr>
          <w:rFonts w:hint="eastAsia" w:ascii="宋体" w:hAnsi="宋体"/>
          <w:color w:val="FF0000"/>
          <w:szCs w:val="21"/>
          <w:lang w:val="zh-CN"/>
        </w:rPr>
        <w:t>1、填写时，如本表格不适合投标单位的实际情况，可根据本表格格式自行划表填写。</w:t>
      </w:r>
    </w:p>
    <w:p w14:paraId="2646BDE6">
      <w:pPr>
        <w:tabs>
          <w:tab w:val="left" w:pos="170"/>
        </w:tabs>
        <w:autoSpaceDE w:val="0"/>
        <w:autoSpaceDN w:val="0"/>
        <w:adjustRightInd w:val="0"/>
        <w:spacing w:line="360" w:lineRule="auto"/>
        <w:ind w:firstLine="210" w:firstLineChars="100"/>
        <w:rPr>
          <w:rFonts w:ascii="宋体" w:hAnsi="宋体"/>
          <w:color w:val="FF0000"/>
          <w:szCs w:val="21"/>
          <w:lang w:val="zh-CN"/>
        </w:rPr>
      </w:pPr>
      <w:r>
        <w:rPr>
          <w:rFonts w:hint="eastAsia" w:ascii="宋体" w:hAnsi="宋体"/>
          <w:color w:val="FF0000"/>
          <w:szCs w:val="21"/>
          <w:lang w:val="zh-CN"/>
        </w:rPr>
        <w:t>2、有关人员简历及资格证书及其它证明材料（复印件或扫描件加盖公章）需附在本表后。</w:t>
      </w:r>
    </w:p>
    <w:p w14:paraId="172F3C81">
      <w:pPr>
        <w:tabs>
          <w:tab w:val="left" w:pos="170"/>
        </w:tabs>
        <w:autoSpaceDE w:val="0"/>
        <w:autoSpaceDN w:val="0"/>
        <w:adjustRightInd w:val="0"/>
        <w:spacing w:line="360" w:lineRule="auto"/>
        <w:ind w:firstLine="210" w:firstLineChars="100"/>
        <w:rPr>
          <w:rFonts w:cs="Courier New"/>
          <w:snapToGrid w:val="0"/>
          <w:color w:val="FF0000"/>
          <w:szCs w:val="18"/>
        </w:rPr>
      </w:pPr>
      <w:r>
        <w:rPr>
          <w:rFonts w:hint="eastAsia" w:ascii="宋体" w:hAnsi="宋体"/>
          <w:color w:val="FF0000"/>
          <w:szCs w:val="21"/>
          <w:lang w:val="zh-CN"/>
        </w:rPr>
        <w:t>3、本表格所要求填写的人员是指投标单位将安排在此项目的具体人员。</w:t>
      </w:r>
    </w:p>
    <w:p w14:paraId="3C38010F">
      <w:pPr>
        <w:pStyle w:val="24"/>
        <w:jc w:val="center"/>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（四）项目实施方案</w:t>
      </w:r>
    </w:p>
    <w:p w14:paraId="1245701E">
      <w:pPr>
        <w:bidi w:val="0"/>
        <w:jc w:val="center"/>
        <w:rPr>
          <w:rFonts w:hint="default"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w:t>
      </w:r>
    </w:p>
    <w:p w14:paraId="6C80E08D">
      <w:pPr>
        <w:bidi w:val="0"/>
        <w:jc w:val="center"/>
        <w:rPr>
          <w:rFonts w:hint="eastAsia" w:ascii="仿宋" w:hAnsi="仿宋" w:eastAsia="仿宋" w:cs="仿宋"/>
          <w:b/>
          <w:bCs w:val="0"/>
          <w:kern w:val="2"/>
          <w:sz w:val="36"/>
          <w:szCs w:val="28"/>
          <w:lang w:val="en-US" w:eastAsia="zh-CN" w:bidi="ar-SA"/>
        </w:rPr>
      </w:pPr>
    </w:p>
    <w:p w14:paraId="1327F4E7">
      <w:pPr>
        <w:bidi w:val="0"/>
        <w:jc w:val="center"/>
        <w:rPr>
          <w:rFonts w:hint="eastAsia" w:ascii="仿宋" w:hAnsi="仿宋" w:eastAsia="仿宋" w:cs="仿宋"/>
          <w:b/>
          <w:bCs w:val="0"/>
          <w:kern w:val="2"/>
          <w:sz w:val="36"/>
          <w:szCs w:val="28"/>
          <w:lang w:val="en-US" w:eastAsia="zh-CN" w:bidi="ar-SA"/>
        </w:rPr>
      </w:pPr>
    </w:p>
    <w:p w14:paraId="6E2D5BE1">
      <w:pPr>
        <w:bidi w:val="0"/>
        <w:jc w:val="center"/>
        <w:rPr>
          <w:rFonts w:hint="eastAsia" w:ascii="仿宋" w:hAnsi="仿宋" w:eastAsia="仿宋" w:cs="仿宋"/>
          <w:b/>
          <w:bCs w:val="0"/>
          <w:kern w:val="2"/>
          <w:sz w:val="36"/>
          <w:szCs w:val="28"/>
          <w:lang w:val="en-US" w:eastAsia="zh-CN" w:bidi="ar-SA"/>
        </w:rPr>
      </w:pPr>
    </w:p>
    <w:p w14:paraId="18D3C69A">
      <w:pPr>
        <w:bidi w:val="0"/>
        <w:jc w:val="center"/>
        <w:rPr>
          <w:rFonts w:hint="eastAsia" w:ascii="仿宋" w:hAnsi="仿宋" w:eastAsia="仿宋" w:cs="仿宋"/>
          <w:b/>
          <w:bCs w:val="0"/>
          <w:kern w:val="2"/>
          <w:sz w:val="36"/>
          <w:szCs w:val="28"/>
          <w:lang w:val="en-US" w:eastAsia="zh-CN" w:bidi="ar-SA"/>
        </w:rPr>
      </w:pPr>
    </w:p>
    <w:p w14:paraId="7B155EA4">
      <w:pPr>
        <w:bidi w:val="0"/>
        <w:jc w:val="center"/>
        <w:rPr>
          <w:rFonts w:hint="eastAsia" w:ascii="仿宋" w:hAnsi="仿宋" w:eastAsia="仿宋" w:cs="仿宋"/>
          <w:b/>
          <w:bCs w:val="0"/>
          <w:kern w:val="2"/>
          <w:sz w:val="36"/>
          <w:szCs w:val="28"/>
          <w:lang w:val="en-US" w:eastAsia="zh-CN" w:bidi="ar-SA"/>
        </w:rPr>
      </w:pPr>
    </w:p>
    <w:p w14:paraId="1F596B0B">
      <w:pPr>
        <w:bidi w:val="0"/>
        <w:jc w:val="center"/>
        <w:rPr>
          <w:rFonts w:hint="eastAsia" w:ascii="仿宋" w:hAnsi="仿宋" w:eastAsia="仿宋" w:cs="仿宋"/>
          <w:b/>
          <w:bCs w:val="0"/>
          <w:kern w:val="2"/>
          <w:sz w:val="36"/>
          <w:szCs w:val="28"/>
          <w:lang w:val="en-US" w:eastAsia="zh-CN" w:bidi="ar-SA"/>
        </w:rPr>
      </w:pPr>
    </w:p>
    <w:p w14:paraId="2B3FBDCB">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九、</w:t>
      </w:r>
      <w:bookmarkEnd w:id="21"/>
      <w:r>
        <w:rPr>
          <w:rFonts w:hint="eastAsia" w:ascii="仿宋" w:hAnsi="仿宋" w:eastAsia="仿宋" w:cs="仿宋"/>
          <w:b/>
          <w:bCs w:val="0"/>
          <w:kern w:val="2"/>
          <w:sz w:val="36"/>
          <w:szCs w:val="28"/>
          <w:lang w:val="en-US" w:eastAsia="zh-CN" w:bidi="ar-SA"/>
        </w:rPr>
        <w:t>采购违法行为风险知悉确认书</w:t>
      </w:r>
    </w:p>
    <w:p w14:paraId="7AAE05B9">
      <w:pPr>
        <w:keepNext/>
        <w:keepLines/>
        <w:spacing w:before="280" w:after="290" w:line="376" w:lineRule="auto"/>
        <w:outlineLvl w:val="4"/>
        <w:rPr>
          <w:rFonts w:hint="eastAsia" w:ascii="仿宋" w:hAnsi="仿宋" w:eastAsia="仿宋" w:cs="仿宋"/>
          <w:b/>
          <w:bCs/>
          <w:sz w:val="24"/>
        </w:rPr>
      </w:pPr>
      <w:r>
        <w:rPr>
          <w:rFonts w:hint="eastAsia" w:ascii="仿宋" w:hAnsi="仿宋" w:eastAsia="仿宋" w:cs="仿宋"/>
          <w:b/>
          <w:bCs/>
          <w:sz w:val="24"/>
        </w:rPr>
        <w:t>（一）政府采购违法行为风险知悉确认书</w:t>
      </w:r>
    </w:p>
    <w:p w14:paraId="7DE2485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本公司在投标前已充分知悉以下情形为参与政府采购活动时的重大风险事项，并承诺已对下述风险提示事项重点排查，做到严谨、诚信、依法依规参与政府采购活动。</w:t>
      </w:r>
    </w:p>
    <w:p w14:paraId="5434862B">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一、本公司已充分知悉“隐瞒真实情况，提供虚假资料”的法定情形，相关情形包括但不限于：</w:t>
      </w:r>
    </w:p>
    <w:p w14:paraId="36B429DE">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（一）通过转让或者租借等方式从其他单位获取资格或者资质证书投标的。</w:t>
      </w:r>
    </w:p>
    <w:p w14:paraId="2F0E3DE8">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（二）由其他单位或者其他单位负责人在投标供应商编制的投标文件上加盖印章或者签字的。</w:t>
      </w:r>
    </w:p>
    <w:p w14:paraId="1E7541E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（三）项目负责人或者主要技术人员不是本单位人员的。</w:t>
      </w:r>
    </w:p>
    <w:p w14:paraId="604D07F9">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（四）投标保证金不是从投标供应商基本账户转出的。</w:t>
      </w:r>
    </w:p>
    <w:p w14:paraId="017C0F5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（五）其他隐瞒真实情况、提供虚假资料的行为。</w:t>
      </w:r>
    </w:p>
    <w:p w14:paraId="4DC8EB02">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二、本公司已充分知悉“与其他采购参加人串通投标”的法定情形，相关情形包括但不限于：</w:t>
      </w:r>
    </w:p>
    <w:p w14:paraId="23884873">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（一）投标供应商之间相互约定给予未中标的供应商利益补偿。</w:t>
      </w:r>
    </w:p>
    <w:p w14:paraId="63C2754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（二）不同投标供应商的法定代表人、主要经营负责人、项目投标授权代表人、项目负责人、主要技术人员为同一人、属同一单位或者在同一单位缴纳社会保险。</w:t>
      </w:r>
    </w:p>
    <w:p w14:paraId="6417BD8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（三）不同投标供应商的投标文件由同一单位或者同一人编制，或者由同一人分阶段参与编制的。</w:t>
      </w:r>
    </w:p>
    <w:p w14:paraId="76B2EDF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（四）不同投标供应商的投标文件或部分投标文件相互混装。</w:t>
      </w:r>
    </w:p>
    <w:p w14:paraId="4B25BBD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（五）不同投标供应商的投标文件内容存在非正常一致。</w:t>
      </w:r>
    </w:p>
    <w:p w14:paraId="0A43E337">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（六）由同一单位工作人员为两家以上（含两家）供应商进行同一项投标活动的。</w:t>
      </w:r>
    </w:p>
    <w:p w14:paraId="27B84E7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（七）不同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的投标报价呈规律性差异。</w:t>
      </w:r>
    </w:p>
    <w:p w14:paraId="3296835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（八）不同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的投标保证金从同一单位或者个人的账户转出。</w:t>
      </w:r>
    </w:p>
    <w:p w14:paraId="60046754">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（九）主管部门依照法律、法规认定的其他情形。</w:t>
      </w:r>
    </w:p>
    <w:p w14:paraId="03C3B80A">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三、本公司已充分知悉下列情形所对应的法律风险，并在投标前已对相关风险事项进行排查。</w:t>
      </w:r>
    </w:p>
    <w:p w14:paraId="6B9B8FF0">
      <w:pPr>
        <w:autoSpaceDE w:val="0"/>
        <w:autoSpaceDN w:val="0"/>
        <w:spacing w:line="276" w:lineRule="auto"/>
        <w:ind w:firstLine="464" w:firstLineChars="200"/>
        <w:rPr>
          <w:rFonts w:hint="eastAsia" w:ascii="仿宋" w:hAnsi="仿宋" w:eastAsia="仿宋" w:cs="仿宋"/>
          <w:b/>
          <w:bCs/>
          <w:spacing w:val="-4"/>
          <w:kern w:val="0"/>
          <w:sz w:val="24"/>
        </w:rPr>
      </w:pPr>
      <w:r>
        <w:rPr>
          <w:rFonts w:hint="eastAsia" w:ascii="仿宋" w:hAnsi="仿宋" w:eastAsia="仿宋" w:cs="仿宋"/>
          <w:spacing w:val="-4"/>
          <w:kern w:val="0"/>
          <w:sz w:val="24"/>
        </w:rPr>
        <w:t>（一）对于从其他主体获取的投标资料，供应商应审慎核查，确保投标资料的真实性。</w:t>
      </w:r>
      <w:r>
        <w:rPr>
          <w:rFonts w:hint="eastAsia" w:ascii="仿宋" w:hAnsi="仿宋" w:eastAsia="仿宋" w:cs="仿宋"/>
          <w:b/>
          <w:bCs/>
          <w:spacing w:val="-4"/>
          <w:kern w:val="0"/>
          <w:sz w:val="24"/>
        </w:rPr>
        <w:t>如主管部门查实投标文件中存在虚假资料的，无论相关资料是否由第三方或本公司员工提供，均不影响主管部门对供应商存在“隐瞒真实情况，提供虚假资料”违法行为的认定。</w:t>
      </w:r>
    </w:p>
    <w:p w14:paraId="595679C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909FFB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（三）对于涉及安全生产、特种作业、抢险救灾、防疫等政府采购项目，供应商实施提供虚假资料、串通投标等违法行为的，主管部门将依法从严处理。</w:t>
      </w:r>
    </w:p>
    <w:p w14:paraId="1322573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48FFD8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E2DB39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AFDE0FB">
      <w:pPr>
        <w:autoSpaceDE w:val="0"/>
        <w:autoSpaceDN w:val="0"/>
        <w:spacing w:line="276"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四、本公司已充分知悉政府采购违法、违规行为的法律后果。</w:t>
      </w:r>
    </w:p>
    <w:p w14:paraId="6EE34EF4">
      <w:pPr>
        <w:autoSpaceDE w:val="0"/>
        <w:autoSpaceDN w:val="0"/>
        <w:spacing w:line="276" w:lineRule="auto"/>
        <w:ind w:firstLine="464" w:firstLineChars="200"/>
        <w:jc w:val="left"/>
        <w:rPr>
          <w:rFonts w:hint="eastAsia" w:ascii="仿宋" w:hAnsi="仿宋" w:eastAsia="仿宋" w:cs="仿宋"/>
          <w:b/>
          <w:bCs/>
          <w:spacing w:val="-4"/>
          <w:kern w:val="0"/>
          <w:sz w:val="24"/>
        </w:rPr>
      </w:pPr>
      <w:r>
        <w:rPr>
          <w:rFonts w:hint="eastAsia" w:ascii="仿宋" w:hAnsi="仿宋" w:eastAsia="仿宋" w:cs="仿宋"/>
          <w:spacing w:val="-4"/>
          <w:kern w:val="0"/>
          <w:sz w:val="24"/>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仿宋" w:hAnsi="仿宋" w:eastAsia="仿宋" w:cs="仿宋"/>
          <w:b/>
          <w:bCs/>
          <w:spacing w:val="-4"/>
          <w:kern w:val="0"/>
          <w:sz w:val="24"/>
        </w:rPr>
        <w:t>以下文字请投标供应商抄写并确认：“本公司已仔细阅读《政府采购违法行为风险知悉确认书》，充分知悉违法行为的法律后果，并承诺将严谨、诚信、依法依规参与政府采购活动”。</w:t>
      </w:r>
    </w:p>
    <w:tbl>
      <w:tblPr>
        <w:tblStyle w:val="45"/>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80232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62AA700">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6C96EC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DE93CEA">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74E45E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42E2FE9">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35BE13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A2D60E">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bl>
    <w:p w14:paraId="048E5237">
      <w:pPr>
        <w:autoSpaceDE w:val="0"/>
        <w:autoSpaceDN w:val="0"/>
        <w:spacing w:line="276" w:lineRule="auto"/>
        <w:ind w:firstLine="466" w:firstLineChars="200"/>
        <w:jc w:val="left"/>
        <w:rPr>
          <w:rFonts w:hint="eastAsia" w:ascii="仿宋" w:hAnsi="仿宋" w:eastAsia="仿宋" w:cs="仿宋"/>
          <w:b/>
          <w:bCs/>
          <w:color w:val="FF0000"/>
          <w:spacing w:val="-4"/>
          <w:kern w:val="0"/>
          <w:sz w:val="24"/>
        </w:rPr>
      </w:pPr>
      <w:r>
        <w:rPr>
          <w:rFonts w:hint="eastAsia" w:ascii="仿宋" w:hAnsi="仿宋" w:eastAsia="仿宋" w:cs="仿宋"/>
          <w:b/>
          <w:bCs/>
          <w:color w:val="FF0000"/>
          <w:spacing w:val="-4"/>
          <w:kern w:val="0"/>
          <w:sz w:val="24"/>
        </w:rPr>
        <w:t>注：1.政府采购违法行为风险知悉确认书不作为资格性审查及符合性审查条件。</w:t>
      </w:r>
    </w:p>
    <w:p w14:paraId="2A56A751">
      <w:pPr>
        <w:autoSpaceDE w:val="0"/>
        <w:autoSpaceDN w:val="0"/>
        <w:spacing w:line="276" w:lineRule="auto"/>
        <w:ind w:firstLine="466" w:firstLineChars="200"/>
        <w:jc w:val="left"/>
        <w:rPr>
          <w:rFonts w:hint="eastAsia" w:ascii="仿宋" w:hAnsi="仿宋" w:eastAsia="仿宋" w:cs="仿宋"/>
          <w:color w:val="FF0000"/>
          <w:spacing w:val="-4"/>
          <w:kern w:val="0"/>
          <w:sz w:val="24"/>
        </w:rPr>
      </w:pPr>
      <w:r>
        <w:rPr>
          <w:rFonts w:hint="eastAsia" w:ascii="仿宋" w:hAnsi="仿宋" w:eastAsia="仿宋" w:cs="仿宋"/>
          <w:b/>
          <w:bCs/>
          <w:color w:val="FF0000"/>
          <w:spacing w:val="-4"/>
          <w:kern w:val="0"/>
          <w:sz w:val="24"/>
        </w:rPr>
        <w:t>2.投标供应商负责人或投标授权代表签字并加盖单位公章后，同投标文件一并提交。</w:t>
      </w:r>
    </w:p>
    <w:p w14:paraId="7BC3B83F">
      <w:pPr>
        <w:ind w:firstLine="2160" w:firstLineChars="900"/>
        <w:jc w:val="left"/>
        <w:rPr>
          <w:rFonts w:hint="eastAsia" w:ascii="仿宋" w:hAnsi="仿宋" w:eastAsia="仿宋" w:cs="仿宋"/>
          <w:color w:val="000000" w:themeColor="text1"/>
          <w:sz w:val="24"/>
          <w14:textFill>
            <w14:solidFill>
              <w14:schemeClr w14:val="tx1"/>
            </w14:solidFill>
          </w14:textFill>
        </w:rPr>
      </w:pPr>
    </w:p>
    <w:p w14:paraId="40F7FB44">
      <w:pPr>
        <w:ind w:firstLine="2160" w:firstLineChars="9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08AAC49">
      <w:pPr>
        <w:jc w:val="left"/>
        <w:rPr>
          <w:rFonts w:hint="eastAsia" w:ascii="仿宋" w:hAnsi="仿宋" w:eastAsia="仿宋" w:cs="仿宋"/>
          <w:color w:val="000000" w:themeColor="text1"/>
          <w:sz w:val="24"/>
          <w14:textFill>
            <w14:solidFill>
              <w14:schemeClr w14:val="tx1"/>
            </w14:solidFill>
          </w14:textFill>
        </w:rPr>
      </w:pPr>
    </w:p>
    <w:p w14:paraId="2ED2FD1B">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18E74A">
      <w:pPr>
        <w:jc w:val="left"/>
        <w:rPr>
          <w:rFonts w:hint="eastAsia" w:ascii="仿宋" w:hAnsi="仿宋" w:eastAsia="仿宋" w:cs="仿宋"/>
          <w:color w:val="000000" w:themeColor="text1"/>
          <w:sz w:val="24"/>
          <w14:textFill>
            <w14:solidFill>
              <w14:schemeClr w14:val="tx1"/>
            </w14:solidFill>
          </w14:textFill>
        </w:rPr>
      </w:pPr>
    </w:p>
    <w:p w14:paraId="094C4E2E">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5D595C42">
      <w:pPr>
        <w:wordWrap w:val="0"/>
        <w:autoSpaceDE w:val="0"/>
        <w:autoSpaceDN w:val="0"/>
        <w:spacing w:line="276" w:lineRule="auto"/>
        <w:ind w:firstLine="464" w:firstLineChars="200"/>
        <w:jc w:val="right"/>
        <w:rPr>
          <w:rFonts w:hint="eastAsia" w:ascii="仿宋" w:hAnsi="仿宋" w:eastAsia="仿宋" w:cs="仿宋"/>
          <w:kern w:val="0"/>
          <w:sz w:val="24"/>
        </w:rPr>
      </w:pPr>
      <w:r>
        <w:rPr>
          <w:rFonts w:hint="eastAsia" w:ascii="仿宋" w:hAnsi="仿宋" w:eastAsia="仿宋" w:cs="仿宋"/>
          <w:spacing w:val="-4"/>
          <w:kern w:val="0"/>
          <w:sz w:val="24"/>
        </w:rPr>
        <w:t xml:space="preserve"> </w:t>
      </w:r>
    </w:p>
    <w:p w14:paraId="155CD30A">
      <w:pPr>
        <w:spacing w:line="276" w:lineRule="auto"/>
        <w:rPr>
          <w:rFonts w:hint="eastAsia" w:ascii="仿宋" w:hAnsi="仿宋" w:eastAsia="仿宋" w:cs="仿宋"/>
          <w:b/>
          <w:bCs/>
          <w:sz w:val="24"/>
        </w:rPr>
      </w:pPr>
    </w:p>
    <w:p w14:paraId="710BF5CE">
      <w:pP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br w:type="page"/>
      </w:r>
    </w:p>
    <w:p w14:paraId="261AE4C2">
      <w:pPr>
        <w:pStyle w:val="5"/>
        <w:pageBreakBefore/>
        <w:spacing w:before="0" w:line="377" w:lineRule="auto"/>
        <w:jc w:val="both"/>
        <w:rPr>
          <w:rFonts w:hint="eastAsia" w:ascii="仿宋" w:hAnsi="仿宋" w:eastAsia="仿宋" w:cs="仿宋"/>
          <w:b/>
          <w:bCs w:val="0"/>
          <w:sz w:val="36"/>
          <w:lang w:val="en-US" w:eastAsia="zh-CN"/>
        </w:rPr>
        <w:sectPr>
          <w:headerReference r:id="rId5" w:type="default"/>
          <w:footerReference r:id="rId6" w:type="default"/>
          <w:pgSz w:w="11906" w:h="16838"/>
          <w:pgMar w:top="1440" w:right="1800" w:bottom="1440" w:left="1800" w:header="851" w:footer="992" w:gutter="0"/>
          <w:cols w:space="425" w:num="1"/>
          <w:titlePg/>
          <w:docGrid w:type="lines" w:linePitch="312" w:charSpace="0"/>
        </w:sectPr>
      </w:pPr>
    </w:p>
    <w:p w14:paraId="6C579EC9">
      <w:pPr>
        <w:pStyle w:val="5"/>
        <w:pageBreakBefore/>
        <w:spacing w:before="0" w:line="377" w:lineRule="auto"/>
        <w:jc w:val="both"/>
        <w:rPr>
          <w:rFonts w:hint="eastAsia" w:ascii="仿宋" w:hAnsi="仿宋" w:eastAsia="仿宋" w:cs="仿宋"/>
          <w:b/>
          <w:bCs w:val="0"/>
          <w:sz w:val="36"/>
        </w:rPr>
      </w:pPr>
      <w:r>
        <w:rPr>
          <w:rFonts w:hint="eastAsia" w:ascii="仿宋" w:hAnsi="仿宋" w:eastAsia="仿宋" w:cs="仿宋"/>
          <w:b/>
          <w:bCs w:val="0"/>
          <w:sz w:val="36"/>
          <w:lang w:val="en-US" w:eastAsia="zh-CN"/>
        </w:rPr>
        <w:t>十</w:t>
      </w:r>
      <w:r>
        <w:rPr>
          <w:rFonts w:hint="eastAsia" w:ascii="仿宋" w:hAnsi="仿宋" w:eastAsia="仿宋" w:cs="仿宋"/>
          <w:b/>
          <w:bCs w:val="0"/>
          <w:sz w:val="36"/>
        </w:rPr>
        <w:t>、谈判文件要求的其他内容及</w:t>
      </w:r>
      <w:r>
        <w:rPr>
          <w:rFonts w:hint="eastAsia" w:ascii="仿宋" w:hAnsi="仿宋" w:eastAsia="仿宋" w:cs="仿宋"/>
          <w:b/>
          <w:bCs w:val="0"/>
          <w:sz w:val="36"/>
          <w:lang w:eastAsia="zh-CN"/>
        </w:rPr>
        <w:t>投标人</w:t>
      </w:r>
      <w:r>
        <w:rPr>
          <w:rFonts w:hint="eastAsia" w:ascii="仿宋" w:hAnsi="仿宋" w:eastAsia="仿宋" w:cs="仿宋"/>
          <w:b/>
          <w:bCs w:val="0"/>
          <w:sz w:val="36"/>
        </w:rPr>
        <w:t>认为需要加以说明其他内容</w:t>
      </w:r>
    </w:p>
    <w:p w14:paraId="3113A788">
      <w:pPr>
        <w:spacing w:line="276" w:lineRule="auto"/>
        <w:jc w:val="center"/>
        <w:rPr>
          <w:rFonts w:hint="eastAsia" w:ascii="仿宋" w:hAnsi="仿宋" w:eastAsia="仿宋" w:cs="仿宋"/>
          <w:sz w:val="24"/>
        </w:rPr>
      </w:pPr>
      <w:r>
        <w:rPr>
          <w:rFonts w:hint="eastAsia" w:ascii="仿宋" w:hAnsi="仿宋" w:eastAsia="仿宋" w:cs="仿宋"/>
          <w:sz w:val="24"/>
        </w:rPr>
        <w:t>（格式自定）</w:t>
      </w:r>
    </w:p>
    <w:p w14:paraId="64833E88">
      <w:pPr>
        <w:pStyle w:val="19"/>
        <w:jc w:val="left"/>
        <w:rPr>
          <w:rFonts w:hint="eastAsia" w:ascii="仿宋" w:hAnsi="仿宋" w:eastAsia="仿宋" w:cs="仿宋"/>
        </w:rPr>
      </w:pPr>
    </w:p>
    <w:p w14:paraId="38D08560">
      <w:pPr>
        <w:rPr>
          <w:rFonts w:hint="eastAsia" w:ascii="仿宋" w:hAnsi="仿宋" w:eastAsia="仿宋" w:cs="仿宋"/>
        </w:rPr>
      </w:pPr>
    </w:p>
    <w:p w14:paraId="08C4EBAE">
      <w:pPr>
        <w:spacing w:line="240" w:lineRule="atLeast"/>
        <w:rPr>
          <w:rFonts w:hint="eastAsia" w:ascii="仿宋" w:hAnsi="仿宋" w:eastAsia="仿宋" w:cs="仿宋"/>
          <w:szCs w:val="21"/>
        </w:rPr>
      </w:pPr>
    </w:p>
    <w:p w14:paraId="69370855">
      <w:pPr>
        <w:spacing w:line="240" w:lineRule="atLeast"/>
        <w:rPr>
          <w:rFonts w:hint="eastAsia" w:ascii="仿宋" w:hAnsi="仿宋" w:eastAsia="仿宋" w:cs="仿宋"/>
          <w:szCs w:val="21"/>
        </w:rPr>
      </w:pPr>
    </w:p>
    <w:p w14:paraId="4FCF1EA5">
      <w:pPr>
        <w:spacing w:line="240" w:lineRule="atLeast"/>
        <w:rPr>
          <w:rFonts w:hint="eastAsia" w:ascii="仿宋" w:hAnsi="仿宋" w:eastAsia="仿宋" w:cs="仿宋"/>
          <w:szCs w:val="21"/>
        </w:rPr>
      </w:pPr>
    </w:p>
    <w:p w14:paraId="71E686E8">
      <w:pPr>
        <w:spacing w:line="240" w:lineRule="atLeast"/>
        <w:rPr>
          <w:rFonts w:hint="eastAsia" w:ascii="仿宋" w:hAnsi="仿宋" w:eastAsia="仿宋" w:cs="仿宋"/>
          <w:szCs w:val="21"/>
        </w:rPr>
      </w:pPr>
    </w:p>
    <w:p w14:paraId="526A30A3">
      <w:pPr>
        <w:spacing w:line="240" w:lineRule="atLeast"/>
        <w:rPr>
          <w:rFonts w:hint="eastAsia" w:ascii="仿宋" w:hAnsi="仿宋" w:eastAsia="仿宋" w:cs="仿宋"/>
          <w:szCs w:val="21"/>
        </w:rPr>
      </w:pPr>
    </w:p>
    <w:p w14:paraId="228AED85">
      <w:pPr>
        <w:spacing w:line="240" w:lineRule="atLeast"/>
        <w:rPr>
          <w:rFonts w:hint="eastAsia" w:ascii="仿宋" w:hAnsi="仿宋" w:eastAsia="仿宋" w:cs="仿宋"/>
          <w:szCs w:val="21"/>
        </w:rPr>
      </w:pPr>
    </w:p>
    <w:p w14:paraId="1B4B022F">
      <w:pPr>
        <w:spacing w:line="240" w:lineRule="atLeast"/>
        <w:rPr>
          <w:rFonts w:hint="eastAsia" w:ascii="仿宋" w:hAnsi="仿宋" w:eastAsia="仿宋" w:cs="仿宋"/>
          <w:szCs w:val="21"/>
        </w:rPr>
      </w:pPr>
    </w:p>
    <w:p w14:paraId="37D5577C">
      <w:pPr>
        <w:spacing w:line="240" w:lineRule="atLeast"/>
        <w:rPr>
          <w:rFonts w:hint="eastAsia" w:ascii="仿宋" w:hAnsi="仿宋" w:eastAsia="仿宋" w:cs="仿宋"/>
          <w:szCs w:val="21"/>
        </w:rPr>
      </w:pPr>
    </w:p>
    <w:p w14:paraId="5D220E58">
      <w:pPr>
        <w:spacing w:line="240" w:lineRule="atLeast"/>
        <w:rPr>
          <w:rFonts w:hint="eastAsia" w:ascii="仿宋" w:hAnsi="仿宋" w:eastAsia="仿宋" w:cs="仿宋"/>
          <w:szCs w:val="21"/>
        </w:rPr>
      </w:pPr>
    </w:p>
    <w:p w14:paraId="552488CE">
      <w:pPr>
        <w:spacing w:line="240" w:lineRule="atLeast"/>
        <w:rPr>
          <w:rFonts w:hint="eastAsia" w:ascii="仿宋" w:hAnsi="仿宋" w:eastAsia="仿宋" w:cs="仿宋"/>
          <w:szCs w:val="21"/>
        </w:rPr>
      </w:pPr>
    </w:p>
    <w:p w14:paraId="3AA971E0">
      <w:pPr>
        <w:spacing w:line="240" w:lineRule="atLeast"/>
        <w:rPr>
          <w:rFonts w:hint="eastAsia" w:ascii="仿宋" w:hAnsi="仿宋" w:eastAsia="仿宋" w:cs="仿宋"/>
          <w:szCs w:val="21"/>
        </w:rPr>
      </w:pPr>
    </w:p>
    <w:p w14:paraId="21244838">
      <w:pPr>
        <w:spacing w:line="240" w:lineRule="atLeast"/>
        <w:rPr>
          <w:rFonts w:hint="eastAsia" w:ascii="仿宋" w:hAnsi="仿宋" w:eastAsia="仿宋" w:cs="仿宋"/>
          <w:szCs w:val="21"/>
        </w:rPr>
      </w:pPr>
    </w:p>
    <w:p w14:paraId="1A177399">
      <w:pPr>
        <w:spacing w:line="240" w:lineRule="atLeast"/>
        <w:rPr>
          <w:rFonts w:hint="eastAsia" w:ascii="仿宋" w:hAnsi="仿宋" w:eastAsia="仿宋" w:cs="仿宋"/>
          <w:szCs w:val="21"/>
        </w:rPr>
      </w:pPr>
    </w:p>
    <w:p w14:paraId="13756BD5">
      <w:pPr>
        <w:spacing w:line="240" w:lineRule="atLeast"/>
        <w:rPr>
          <w:rFonts w:hint="eastAsia" w:ascii="仿宋" w:hAnsi="仿宋" w:eastAsia="仿宋" w:cs="仿宋"/>
          <w:szCs w:val="21"/>
        </w:rPr>
      </w:pPr>
    </w:p>
    <w:p w14:paraId="1B002A25">
      <w:pPr>
        <w:spacing w:line="240" w:lineRule="atLeast"/>
        <w:rPr>
          <w:rFonts w:hint="eastAsia" w:ascii="仿宋" w:hAnsi="仿宋" w:eastAsia="仿宋" w:cs="仿宋"/>
          <w:szCs w:val="21"/>
        </w:rPr>
      </w:pPr>
    </w:p>
    <w:p w14:paraId="0D6D89C9">
      <w:pPr>
        <w:spacing w:line="240" w:lineRule="atLeast"/>
        <w:rPr>
          <w:rFonts w:hint="eastAsia" w:ascii="仿宋" w:hAnsi="仿宋" w:eastAsia="仿宋" w:cs="仿宋"/>
          <w:szCs w:val="21"/>
        </w:rPr>
      </w:pPr>
    </w:p>
    <w:p w14:paraId="28373023">
      <w:pPr>
        <w:spacing w:line="240" w:lineRule="atLeast"/>
        <w:rPr>
          <w:rFonts w:hint="eastAsia" w:ascii="仿宋" w:hAnsi="仿宋" w:eastAsia="仿宋" w:cs="仿宋"/>
          <w:szCs w:val="21"/>
        </w:rPr>
      </w:pPr>
    </w:p>
    <w:p w14:paraId="7533E19A">
      <w:pPr>
        <w:spacing w:line="240" w:lineRule="atLeast"/>
        <w:rPr>
          <w:rFonts w:hint="eastAsia" w:ascii="仿宋" w:hAnsi="仿宋" w:eastAsia="仿宋" w:cs="仿宋"/>
          <w:szCs w:val="21"/>
        </w:rPr>
      </w:pPr>
    </w:p>
    <w:p w14:paraId="6DB0A240">
      <w:pPr>
        <w:spacing w:line="240" w:lineRule="atLeast"/>
        <w:rPr>
          <w:rFonts w:hint="eastAsia" w:ascii="仿宋" w:hAnsi="仿宋" w:eastAsia="仿宋" w:cs="仿宋"/>
          <w:szCs w:val="21"/>
        </w:rPr>
      </w:pPr>
    </w:p>
    <w:p w14:paraId="12933C89">
      <w:pPr>
        <w:spacing w:line="240" w:lineRule="atLeast"/>
        <w:rPr>
          <w:rFonts w:hint="eastAsia" w:ascii="仿宋" w:hAnsi="仿宋" w:eastAsia="仿宋" w:cs="仿宋"/>
          <w:szCs w:val="21"/>
        </w:rPr>
      </w:pPr>
    </w:p>
    <w:p w14:paraId="31320182">
      <w:pPr>
        <w:spacing w:line="240" w:lineRule="atLeast"/>
        <w:rPr>
          <w:rFonts w:hint="eastAsia" w:ascii="仿宋" w:hAnsi="仿宋" w:eastAsia="仿宋" w:cs="仿宋"/>
          <w:szCs w:val="21"/>
        </w:rPr>
      </w:pPr>
    </w:p>
    <w:p w14:paraId="6EE297BD">
      <w:pPr>
        <w:spacing w:line="240" w:lineRule="atLeast"/>
        <w:rPr>
          <w:rFonts w:hint="eastAsia" w:ascii="仿宋" w:hAnsi="仿宋" w:eastAsia="仿宋" w:cs="仿宋"/>
          <w:szCs w:val="21"/>
        </w:rPr>
      </w:pPr>
    </w:p>
    <w:p w14:paraId="515C2B07">
      <w:pPr>
        <w:spacing w:line="240" w:lineRule="atLeast"/>
        <w:rPr>
          <w:rFonts w:hint="eastAsia" w:ascii="仿宋" w:hAnsi="仿宋" w:eastAsia="仿宋" w:cs="仿宋"/>
          <w:szCs w:val="21"/>
        </w:rPr>
      </w:pPr>
    </w:p>
    <w:p w14:paraId="3FD86057">
      <w:pPr>
        <w:spacing w:line="240" w:lineRule="atLeast"/>
        <w:rPr>
          <w:rFonts w:hint="eastAsia" w:ascii="仿宋" w:hAnsi="仿宋" w:eastAsia="仿宋" w:cs="仿宋"/>
          <w:szCs w:val="21"/>
        </w:rPr>
      </w:pPr>
    </w:p>
    <w:p w14:paraId="64EF6606">
      <w:pPr>
        <w:spacing w:line="240" w:lineRule="atLeast"/>
        <w:rPr>
          <w:rFonts w:hint="eastAsia" w:ascii="仿宋" w:hAnsi="仿宋" w:eastAsia="仿宋" w:cs="仿宋"/>
          <w:szCs w:val="21"/>
        </w:rPr>
      </w:pPr>
    </w:p>
    <w:p w14:paraId="4D396C09">
      <w:pPr>
        <w:spacing w:line="240" w:lineRule="atLeast"/>
        <w:rPr>
          <w:rFonts w:hint="eastAsia" w:ascii="仿宋" w:hAnsi="仿宋" w:eastAsia="仿宋" w:cs="仿宋"/>
          <w:szCs w:val="21"/>
        </w:rPr>
      </w:pPr>
    </w:p>
    <w:p w14:paraId="6F231463">
      <w:pPr>
        <w:spacing w:line="240" w:lineRule="atLeast"/>
        <w:rPr>
          <w:rFonts w:hint="eastAsia" w:ascii="仿宋" w:hAnsi="仿宋" w:eastAsia="仿宋" w:cs="仿宋"/>
          <w:szCs w:val="21"/>
        </w:rPr>
      </w:pPr>
    </w:p>
    <w:p w14:paraId="39C8C1E0">
      <w:pPr>
        <w:spacing w:line="240" w:lineRule="atLeast"/>
        <w:rPr>
          <w:rFonts w:hint="eastAsia" w:ascii="仿宋" w:hAnsi="仿宋" w:eastAsia="仿宋" w:cs="仿宋"/>
          <w:szCs w:val="21"/>
        </w:rPr>
      </w:pPr>
    </w:p>
    <w:p w14:paraId="29C82509">
      <w:pPr>
        <w:spacing w:line="240" w:lineRule="atLeast"/>
        <w:rPr>
          <w:rFonts w:hint="eastAsia" w:ascii="仿宋" w:hAnsi="仿宋" w:eastAsia="仿宋" w:cs="仿宋"/>
          <w:szCs w:val="21"/>
        </w:rPr>
      </w:pPr>
    </w:p>
    <w:p w14:paraId="50B26A86">
      <w:pPr>
        <w:spacing w:line="240" w:lineRule="atLeast"/>
        <w:rPr>
          <w:rFonts w:hint="eastAsia" w:ascii="仿宋" w:hAnsi="仿宋" w:eastAsia="仿宋" w:cs="仿宋"/>
          <w:szCs w:val="21"/>
        </w:rPr>
      </w:pPr>
    </w:p>
    <w:p w14:paraId="1A0FC90B">
      <w:pPr>
        <w:spacing w:line="240" w:lineRule="atLeast"/>
        <w:rPr>
          <w:rFonts w:hint="eastAsia" w:ascii="仿宋" w:hAnsi="仿宋" w:eastAsia="仿宋" w:cs="仿宋"/>
          <w:szCs w:val="21"/>
        </w:rPr>
      </w:pPr>
    </w:p>
    <w:p w14:paraId="0CAFE979">
      <w:pPr>
        <w:spacing w:line="240" w:lineRule="atLeast"/>
        <w:rPr>
          <w:rFonts w:hint="eastAsia" w:ascii="仿宋" w:hAnsi="仿宋" w:eastAsia="仿宋" w:cs="仿宋"/>
          <w:szCs w:val="21"/>
        </w:rPr>
      </w:pPr>
    </w:p>
    <w:p w14:paraId="3506D757">
      <w:pPr>
        <w:spacing w:line="240" w:lineRule="atLeast"/>
        <w:rPr>
          <w:rFonts w:hint="eastAsia" w:ascii="仿宋" w:hAnsi="仿宋" w:eastAsia="仿宋" w:cs="仿宋"/>
          <w:szCs w:val="21"/>
        </w:rPr>
      </w:pPr>
    </w:p>
    <w:p w14:paraId="6888F91D">
      <w:pPr>
        <w:spacing w:line="240" w:lineRule="atLeast"/>
        <w:rPr>
          <w:rFonts w:hint="eastAsia" w:ascii="仿宋" w:hAnsi="仿宋" w:eastAsia="仿宋" w:cs="仿宋"/>
          <w:szCs w:val="21"/>
        </w:rPr>
      </w:pPr>
    </w:p>
    <w:p w14:paraId="2D33D933">
      <w:pPr>
        <w:spacing w:line="240" w:lineRule="atLeast"/>
        <w:rPr>
          <w:rFonts w:hint="eastAsia" w:ascii="仿宋" w:hAnsi="仿宋" w:eastAsia="仿宋" w:cs="仿宋"/>
          <w:szCs w:val="21"/>
        </w:rPr>
      </w:pPr>
    </w:p>
    <w:p w14:paraId="7F98EA67">
      <w:pPr>
        <w:spacing w:line="240" w:lineRule="atLeast"/>
        <w:rPr>
          <w:rFonts w:hint="eastAsia" w:ascii="仿宋" w:hAnsi="仿宋" w:eastAsia="仿宋" w:cs="仿宋"/>
          <w:szCs w:val="21"/>
        </w:rPr>
      </w:pPr>
    </w:p>
    <w:p w14:paraId="017928F3">
      <w:pPr>
        <w:bidi w:val="0"/>
        <w:jc w:val="center"/>
        <w:rPr>
          <w:rFonts w:hint="eastAsia"/>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  合同条款及格式</w:t>
      </w:r>
    </w:p>
    <w:p w14:paraId="16D49632">
      <w:pPr>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highlight w:val="yellow"/>
        </w:rPr>
        <w:t>注：本合同样本仅供参考，具体条款内容由采购</w:t>
      </w:r>
      <w:r>
        <w:rPr>
          <w:rFonts w:hint="eastAsia" w:ascii="仿宋" w:hAnsi="仿宋" w:eastAsia="仿宋" w:cs="仿宋"/>
          <w:sz w:val="24"/>
          <w:highlight w:val="yellow"/>
          <w:lang w:val="en-US" w:eastAsia="zh-CN"/>
        </w:rPr>
        <w:t>部门</w:t>
      </w:r>
      <w:r>
        <w:rPr>
          <w:rFonts w:hint="eastAsia" w:ascii="仿宋" w:hAnsi="仿宋" w:eastAsia="仿宋" w:cs="仿宋"/>
          <w:sz w:val="24"/>
          <w:highlight w:val="yellow"/>
        </w:rPr>
        <w:t>和中标单位协商确定。</w:t>
      </w:r>
    </w:p>
    <w:p w14:paraId="7BED58D5">
      <w:pPr>
        <w:snapToGrid w:val="0"/>
        <w:spacing w:line="360" w:lineRule="auto"/>
        <w:ind w:firstLine="470" w:firstLineChars="196"/>
        <w:rPr>
          <w:rFonts w:hint="eastAsia" w:ascii="仿宋" w:hAnsi="仿宋" w:eastAsia="仿宋" w:cs="仿宋"/>
          <w:sz w:val="24"/>
        </w:rPr>
      </w:pPr>
    </w:p>
    <w:p w14:paraId="33B6FEAC">
      <w:pPr>
        <w:tabs>
          <w:tab w:val="left" w:pos="720"/>
        </w:tabs>
        <w:spacing w:line="360" w:lineRule="auto"/>
        <w:jc w:val="center"/>
        <w:rPr>
          <w:rFonts w:hint="default" w:ascii="宋体" w:hAnsi="宋体" w:eastAsia="宋体" w:cs="宋体"/>
          <w:b/>
          <w:sz w:val="52"/>
          <w:szCs w:val="52"/>
          <w:highlight w:val="none"/>
          <w:lang w:val="en-US" w:eastAsia="zh-CN"/>
        </w:rPr>
      </w:pPr>
      <w:r>
        <w:rPr>
          <w:rFonts w:hint="eastAsia" w:ascii="宋体" w:hAnsi="宋体" w:eastAsia="宋体" w:cs="宋体"/>
          <w:b/>
          <w:sz w:val="52"/>
          <w:szCs w:val="52"/>
          <w:highlight w:val="none"/>
          <w:lang w:eastAsia="zh-CN"/>
        </w:rPr>
        <w:t>深圳市福田区第二人民</w:t>
      </w:r>
      <w:r>
        <w:rPr>
          <w:rFonts w:hint="eastAsia" w:ascii="宋体" w:hAnsi="宋体" w:eastAsia="宋体" w:cs="宋体"/>
          <w:b/>
          <w:sz w:val="52"/>
          <w:szCs w:val="52"/>
          <w:highlight w:val="none"/>
          <w:lang w:val="en-US" w:eastAsia="zh-CN"/>
        </w:rPr>
        <w:t>医院</w:t>
      </w:r>
    </w:p>
    <w:p w14:paraId="2E92EAD8">
      <w:pPr>
        <w:jc w:val="center"/>
        <w:rPr>
          <w:rFonts w:hint="eastAsia" w:ascii="宋体" w:hAnsi="宋体" w:eastAsia="宋体" w:cs="宋体"/>
          <w:b/>
          <w:sz w:val="52"/>
          <w:szCs w:val="20"/>
          <w:highlight w:val="none"/>
        </w:rPr>
      </w:pPr>
    </w:p>
    <w:p w14:paraId="148941FA">
      <w:pPr>
        <w:tabs>
          <w:tab w:val="left" w:pos="720"/>
        </w:tabs>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合同书</w:t>
      </w:r>
    </w:p>
    <w:p w14:paraId="09BCBEAC">
      <w:pPr>
        <w:tabs>
          <w:tab w:val="left" w:pos="720"/>
        </w:tabs>
        <w:spacing w:line="360" w:lineRule="auto"/>
        <w:ind w:firstLine="964" w:firstLineChars="300"/>
        <w:rPr>
          <w:rFonts w:hint="eastAsia" w:ascii="宋体" w:hAnsi="宋体" w:eastAsia="宋体" w:cs="宋体"/>
          <w:b/>
          <w:sz w:val="32"/>
          <w:szCs w:val="20"/>
          <w:highlight w:val="none"/>
        </w:rPr>
      </w:pPr>
    </w:p>
    <w:p w14:paraId="317D0079">
      <w:pPr>
        <w:tabs>
          <w:tab w:val="left" w:pos="720"/>
        </w:tabs>
        <w:spacing w:line="360" w:lineRule="auto"/>
        <w:ind w:firstLine="964" w:firstLineChars="300"/>
        <w:rPr>
          <w:rFonts w:hint="eastAsia" w:ascii="宋体" w:hAnsi="宋体" w:eastAsia="宋体" w:cs="宋体"/>
          <w:b/>
          <w:sz w:val="32"/>
          <w:szCs w:val="20"/>
          <w:highlight w:val="none"/>
        </w:rPr>
      </w:pPr>
    </w:p>
    <w:p w14:paraId="137FD6CE">
      <w:pPr>
        <w:tabs>
          <w:tab w:val="left" w:pos="720"/>
        </w:tabs>
        <w:spacing w:line="360" w:lineRule="auto"/>
        <w:ind w:left="2879" w:leftChars="300" w:hanging="2249" w:hangingChars="700"/>
        <w:rPr>
          <w:rFonts w:hint="eastAsia" w:ascii="宋体" w:hAnsi="宋体" w:eastAsia="宋体" w:cs="宋体"/>
          <w:b/>
          <w:sz w:val="32"/>
          <w:szCs w:val="20"/>
          <w:highlight w:val="none"/>
        </w:rPr>
      </w:pPr>
      <w:r>
        <w:rPr>
          <w:rFonts w:hint="eastAsia" w:ascii="宋体" w:hAnsi="宋体" w:eastAsia="宋体" w:cs="宋体"/>
          <w:b/>
          <w:sz w:val="32"/>
          <w:szCs w:val="20"/>
          <w:highlight w:val="none"/>
        </w:rPr>
        <w:t>项目编号：</w:t>
      </w:r>
      <w:r>
        <w:rPr>
          <w:rFonts w:hint="eastAsia" w:ascii="宋体" w:hAnsi="宋体" w:eastAsia="宋体" w:cs="宋体"/>
          <w:b/>
          <w:color w:val="FF0000"/>
          <w:sz w:val="32"/>
          <w:szCs w:val="20"/>
          <w:highlight w:val="none"/>
          <w:u w:val="single"/>
        </w:rPr>
        <w:t xml:space="preserve">                                  </w:t>
      </w:r>
    </w:p>
    <w:p w14:paraId="51BFB18B">
      <w:pPr>
        <w:tabs>
          <w:tab w:val="left" w:pos="720"/>
        </w:tabs>
        <w:spacing w:line="360" w:lineRule="auto"/>
        <w:ind w:left="2879" w:leftChars="300" w:hanging="2249" w:hangingChars="700"/>
        <w:rPr>
          <w:rFonts w:hint="eastAsia" w:ascii="宋体" w:hAnsi="宋体" w:eastAsia="宋体" w:cs="宋体"/>
          <w:b/>
          <w:sz w:val="32"/>
          <w:szCs w:val="20"/>
          <w:highlight w:val="none"/>
          <w:u w:val="single"/>
        </w:rPr>
      </w:pPr>
      <w:r>
        <w:rPr>
          <w:rFonts w:hint="eastAsia" w:ascii="宋体" w:hAnsi="宋体" w:eastAsia="宋体" w:cs="宋体"/>
          <w:b/>
          <w:sz w:val="32"/>
          <w:szCs w:val="20"/>
          <w:highlight w:val="none"/>
        </w:rPr>
        <w:t>项目名称：</w:t>
      </w:r>
      <w:r>
        <w:rPr>
          <w:rFonts w:hint="eastAsia" w:ascii="宋体" w:hAnsi="宋体" w:eastAsia="宋体" w:cs="宋体"/>
          <w:b/>
          <w:color w:val="FF0000"/>
          <w:sz w:val="32"/>
          <w:szCs w:val="20"/>
          <w:highlight w:val="none"/>
          <w:u w:val="single"/>
        </w:rPr>
        <w:t xml:space="preserve">                                  </w:t>
      </w:r>
    </w:p>
    <w:p w14:paraId="3AF9F568">
      <w:pPr>
        <w:tabs>
          <w:tab w:val="left" w:pos="720"/>
        </w:tabs>
        <w:spacing w:line="360" w:lineRule="auto"/>
        <w:ind w:firstLine="964" w:firstLineChars="300"/>
        <w:rPr>
          <w:rFonts w:hint="eastAsia" w:ascii="宋体" w:hAnsi="宋体" w:eastAsia="宋体" w:cs="宋体"/>
          <w:b/>
          <w:sz w:val="32"/>
          <w:szCs w:val="20"/>
          <w:highlight w:val="none"/>
        </w:rPr>
      </w:pPr>
    </w:p>
    <w:p w14:paraId="5266FE0A">
      <w:pPr>
        <w:tabs>
          <w:tab w:val="left" w:pos="720"/>
        </w:tabs>
        <w:spacing w:line="360" w:lineRule="auto"/>
        <w:ind w:firstLine="960" w:firstLineChars="300"/>
        <w:rPr>
          <w:rFonts w:hint="eastAsia" w:ascii="宋体" w:hAnsi="宋体" w:eastAsia="宋体" w:cs="宋体"/>
          <w:sz w:val="32"/>
          <w:szCs w:val="20"/>
          <w:highlight w:val="none"/>
        </w:rPr>
      </w:pPr>
    </w:p>
    <w:tbl>
      <w:tblPr>
        <w:tblStyle w:val="44"/>
        <w:tblW w:w="6469" w:type="dxa"/>
        <w:jc w:val="center"/>
        <w:tblLayout w:type="fixed"/>
        <w:tblCellMar>
          <w:top w:w="0" w:type="dxa"/>
          <w:left w:w="108" w:type="dxa"/>
          <w:bottom w:w="0" w:type="dxa"/>
          <w:right w:w="108" w:type="dxa"/>
        </w:tblCellMar>
      </w:tblPr>
      <w:tblGrid>
        <w:gridCol w:w="2221"/>
        <w:gridCol w:w="4248"/>
      </w:tblGrid>
      <w:tr w14:paraId="4C59C0B1">
        <w:tblPrEx>
          <w:tblCellMar>
            <w:top w:w="0" w:type="dxa"/>
            <w:left w:w="108" w:type="dxa"/>
            <w:bottom w:w="0" w:type="dxa"/>
            <w:right w:w="108" w:type="dxa"/>
          </w:tblCellMar>
        </w:tblPrEx>
        <w:trPr>
          <w:trHeight w:val="510" w:hRule="atLeast"/>
          <w:jc w:val="center"/>
        </w:trPr>
        <w:tc>
          <w:tcPr>
            <w:tcW w:w="2221" w:type="dxa"/>
            <w:noWrap w:val="0"/>
            <w:vAlign w:val="center"/>
          </w:tcPr>
          <w:p w14:paraId="03BD2E74">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甲    方：</w:t>
            </w:r>
          </w:p>
        </w:tc>
        <w:tc>
          <w:tcPr>
            <w:tcW w:w="4248" w:type="dxa"/>
            <w:noWrap w:val="0"/>
            <w:vAlign w:val="center"/>
          </w:tcPr>
          <w:p w14:paraId="28E7D1B1">
            <w:pPr>
              <w:keepNext w:val="0"/>
              <w:keepLines w:val="0"/>
              <w:suppressLineNumbers w:val="0"/>
              <w:spacing w:before="0" w:beforeAutospacing="0" w:after="0" w:afterAutospacing="0"/>
              <w:ind w:left="0" w:right="0"/>
              <w:rPr>
                <w:rFonts w:hint="default" w:ascii="宋体" w:hAnsi="宋体" w:eastAsia="宋体" w:cs="宋体"/>
                <w:b/>
                <w:sz w:val="28"/>
                <w:szCs w:val="28"/>
                <w:highlight w:val="none"/>
                <w:lang w:val="en-US" w:eastAsia="zh-CN"/>
              </w:rPr>
            </w:pPr>
            <w:r>
              <w:rPr>
                <w:rFonts w:hint="eastAsia" w:ascii="宋体" w:hAnsi="宋体" w:eastAsia="宋体" w:cs="宋体"/>
                <w:b/>
                <w:sz w:val="28"/>
                <w:szCs w:val="28"/>
                <w:highlight w:val="none"/>
                <w:lang w:eastAsia="zh-CN"/>
              </w:rPr>
              <w:t>深圳市福田区第二人民</w:t>
            </w:r>
            <w:r>
              <w:rPr>
                <w:rFonts w:hint="eastAsia" w:ascii="宋体" w:hAnsi="宋体" w:eastAsia="宋体" w:cs="宋体"/>
                <w:b/>
                <w:sz w:val="28"/>
                <w:szCs w:val="28"/>
                <w:highlight w:val="none"/>
                <w:lang w:val="en-US" w:eastAsia="zh-CN"/>
              </w:rPr>
              <w:t>医院</w:t>
            </w:r>
          </w:p>
        </w:tc>
      </w:tr>
      <w:tr w14:paraId="33FA596B">
        <w:tblPrEx>
          <w:tblCellMar>
            <w:top w:w="0" w:type="dxa"/>
            <w:left w:w="108" w:type="dxa"/>
            <w:bottom w:w="0" w:type="dxa"/>
            <w:right w:w="108" w:type="dxa"/>
          </w:tblCellMar>
        </w:tblPrEx>
        <w:trPr>
          <w:trHeight w:val="510" w:hRule="atLeast"/>
          <w:jc w:val="center"/>
        </w:trPr>
        <w:tc>
          <w:tcPr>
            <w:tcW w:w="2221" w:type="dxa"/>
            <w:noWrap w:val="0"/>
            <w:vAlign w:val="center"/>
          </w:tcPr>
          <w:p w14:paraId="517568CF">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乙    方：</w:t>
            </w:r>
          </w:p>
        </w:tc>
        <w:tc>
          <w:tcPr>
            <w:tcW w:w="4248" w:type="dxa"/>
            <w:noWrap w:val="0"/>
            <w:vAlign w:val="center"/>
          </w:tcPr>
          <w:p w14:paraId="7B948DF2">
            <w:pPr>
              <w:keepNext w:val="0"/>
              <w:keepLines w:val="0"/>
              <w:suppressLineNumbers w:val="0"/>
              <w:spacing w:before="0" w:beforeAutospacing="0" w:after="0" w:afterAutospacing="0"/>
              <w:ind w:left="0" w:right="0"/>
              <w:rPr>
                <w:rFonts w:hint="eastAsia" w:ascii="宋体" w:hAnsi="宋体" w:eastAsia="宋体" w:cs="宋体"/>
                <w:b/>
                <w:sz w:val="28"/>
                <w:szCs w:val="28"/>
                <w:highlight w:val="none"/>
              </w:rPr>
            </w:pPr>
            <w:r>
              <w:rPr>
                <w:rFonts w:hint="eastAsia" w:ascii="宋体" w:hAnsi="宋体" w:eastAsia="宋体" w:cs="宋体"/>
                <w:b/>
                <w:color w:val="FF0000"/>
                <w:sz w:val="28"/>
                <w:szCs w:val="28"/>
                <w:highlight w:val="none"/>
              </w:rPr>
              <w:t>XXX公司</w:t>
            </w:r>
          </w:p>
        </w:tc>
      </w:tr>
      <w:tr w14:paraId="44AAF3FF">
        <w:tblPrEx>
          <w:tblCellMar>
            <w:top w:w="0" w:type="dxa"/>
            <w:left w:w="108" w:type="dxa"/>
            <w:bottom w:w="0" w:type="dxa"/>
            <w:right w:w="108" w:type="dxa"/>
          </w:tblCellMar>
        </w:tblPrEx>
        <w:trPr>
          <w:trHeight w:val="674" w:hRule="atLeast"/>
          <w:jc w:val="center"/>
        </w:trPr>
        <w:tc>
          <w:tcPr>
            <w:tcW w:w="2221" w:type="dxa"/>
            <w:noWrap w:val="0"/>
            <w:vAlign w:val="center"/>
          </w:tcPr>
          <w:p w14:paraId="516ED1B1">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p>
        </w:tc>
        <w:tc>
          <w:tcPr>
            <w:tcW w:w="4248" w:type="dxa"/>
            <w:noWrap w:val="0"/>
            <w:vAlign w:val="center"/>
          </w:tcPr>
          <w:p w14:paraId="2B207DFC">
            <w:pPr>
              <w:keepNext w:val="0"/>
              <w:keepLines w:val="0"/>
              <w:suppressLineNumbers w:val="0"/>
              <w:spacing w:before="0" w:beforeAutospacing="0" w:after="0" w:afterAutospacing="0"/>
              <w:ind w:left="0" w:right="0"/>
              <w:rPr>
                <w:rFonts w:hint="eastAsia" w:ascii="宋体" w:hAnsi="宋体" w:eastAsia="宋体" w:cs="宋体"/>
                <w:b/>
                <w:color w:val="FF0000"/>
                <w:sz w:val="28"/>
                <w:szCs w:val="28"/>
                <w:highlight w:val="none"/>
              </w:rPr>
            </w:pPr>
          </w:p>
        </w:tc>
      </w:tr>
    </w:tbl>
    <w:p w14:paraId="59EE467C">
      <w:pPr>
        <w:tabs>
          <w:tab w:val="left" w:pos="720"/>
        </w:tabs>
        <w:spacing w:line="360" w:lineRule="auto"/>
        <w:ind w:firstLine="960" w:firstLineChars="300"/>
        <w:rPr>
          <w:rFonts w:hint="eastAsia" w:ascii="宋体" w:hAnsi="宋体" w:eastAsia="宋体" w:cs="宋体"/>
          <w:sz w:val="32"/>
          <w:szCs w:val="20"/>
          <w:highlight w:val="none"/>
        </w:rPr>
      </w:pPr>
    </w:p>
    <w:p w14:paraId="155488F3">
      <w:pPr>
        <w:tabs>
          <w:tab w:val="left" w:pos="720"/>
        </w:tabs>
        <w:outlineLvl w:val="0"/>
        <w:rPr>
          <w:rFonts w:hint="eastAsia" w:ascii="仿宋" w:hAnsi="仿宋" w:eastAsia="仿宋" w:cs="仿宋"/>
          <w:b/>
          <w:sz w:val="24"/>
          <w:szCs w:val="24"/>
          <w:highlight w:val="none"/>
        </w:rPr>
      </w:pPr>
    </w:p>
    <w:p w14:paraId="01AE24D3">
      <w:pPr>
        <w:tabs>
          <w:tab w:val="left" w:pos="72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w:t>
      </w:r>
      <w:r>
        <w:rPr>
          <w:rFonts w:hint="eastAsia" w:ascii="仿宋" w:hAnsi="仿宋" w:eastAsia="仿宋" w:cs="仿宋"/>
          <w:b/>
          <w:sz w:val="24"/>
          <w:szCs w:val="24"/>
          <w:highlight w:val="none"/>
          <w:u w:val="single"/>
        </w:rPr>
        <w:t xml:space="preserve">                 </w:t>
      </w:r>
    </w:p>
    <w:p w14:paraId="795ED0C6">
      <w:pPr>
        <w:rPr>
          <w:rFonts w:hint="eastAsia" w:ascii="仿宋" w:hAnsi="仿宋" w:eastAsia="仿宋" w:cs="仿宋"/>
          <w:sz w:val="24"/>
          <w:szCs w:val="24"/>
          <w:highlight w:val="none"/>
        </w:rPr>
      </w:pPr>
      <w:r>
        <w:rPr>
          <w:rFonts w:hint="eastAsia" w:ascii="仿宋" w:hAnsi="仿宋" w:eastAsia="仿宋" w:cs="仿宋"/>
          <w:sz w:val="24"/>
          <w:szCs w:val="24"/>
          <w:highlight w:val="none"/>
        </w:rPr>
        <w:t>电    话：           　           地  址：</w:t>
      </w:r>
    </w:p>
    <w:p w14:paraId="55E5B7EF">
      <w:pPr>
        <w:rPr>
          <w:rFonts w:hint="eastAsia" w:ascii="仿宋" w:hAnsi="仿宋" w:eastAsia="仿宋" w:cs="仿宋"/>
          <w:b/>
          <w:sz w:val="24"/>
          <w:szCs w:val="24"/>
          <w:highlight w:val="none"/>
          <w:u w:val="single"/>
        </w:rPr>
      </w:pPr>
      <w:r>
        <w:rPr>
          <w:rFonts w:hint="eastAsia" w:ascii="仿宋" w:hAnsi="仿宋" w:eastAsia="仿宋" w:cs="仿宋"/>
          <w:b/>
          <w:sz w:val="24"/>
          <w:szCs w:val="24"/>
          <w:highlight w:val="none"/>
        </w:rPr>
        <w:t>乙    方：</w:t>
      </w:r>
      <w:r>
        <w:rPr>
          <w:rFonts w:hint="eastAsia" w:ascii="仿宋" w:hAnsi="仿宋" w:eastAsia="仿宋" w:cs="仿宋"/>
          <w:b/>
          <w:sz w:val="24"/>
          <w:szCs w:val="24"/>
          <w:highlight w:val="none"/>
          <w:u w:val="single"/>
        </w:rPr>
        <w:t xml:space="preserve">                  </w:t>
      </w:r>
    </w:p>
    <w:p w14:paraId="5D83ADA1">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电    话：                        地  址：   </w:t>
      </w:r>
    </w:p>
    <w:p w14:paraId="0E28B015">
      <w:pPr>
        <w:wordWrap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项目名称：                                   采购编号：  </w:t>
      </w:r>
    </w:p>
    <w:p w14:paraId="7302ABE9">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根据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项目的采购结果，按照《中华人民共和国政府采购法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中华人民共和国民法典》的规定，</w:t>
      </w:r>
      <w:r>
        <w:rPr>
          <w:rFonts w:hint="eastAsia" w:ascii="仿宋" w:hAnsi="仿宋" w:eastAsia="仿宋" w:cs="仿宋"/>
          <w:kern w:val="28"/>
          <w:sz w:val="24"/>
          <w:szCs w:val="24"/>
          <w:highlight w:val="none"/>
        </w:rPr>
        <w:t>经双方协商，</w:t>
      </w:r>
      <w:r>
        <w:rPr>
          <w:rFonts w:hint="eastAsia" w:ascii="仿宋" w:hAnsi="仿宋" w:eastAsia="仿宋" w:cs="仿宋"/>
          <w:sz w:val="24"/>
          <w:szCs w:val="24"/>
          <w:highlight w:val="none"/>
        </w:rPr>
        <w:t>本着平等互利和诚实信用的原则，</w:t>
      </w:r>
      <w:r>
        <w:rPr>
          <w:rFonts w:hint="eastAsia" w:ascii="仿宋" w:hAnsi="仿宋" w:eastAsia="仿宋" w:cs="仿宋"/>
          <w:kern w:val="28"/>
          <w:sz w:val="24"/>
          <w:szCs w:val="24"/>
          <w:highlight w:val="none"/>
        </w:rPr>
        <w:t>一致同意签订本合同如下</w:t>
      </w:r>
      <w:r>
        <w:rPr>
          <w:rFonts w:hint="eastAsia" w:ascii="仿宋" w:hAnsi="仿宋" w:eastAsia="仿宋" w:cs="仿宋"/>
          <w:sz w:val="24"/>
          <w:szCs w:val="24"/>
          <w:highlight w:val="none"/>
        </w:rPr>
        <w:t>。</w:t>
      </w:r>
    </w:p>
    <w:p w14:paraId="74AC6643">
      <w:pPr>
        <w:widowControl w:val="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b/>
          <w:kern w:val="2"/>
          <w:sz w:val="24"/>
          <w:szCs w:val="24"/>
          <w:highlight w:val="none"/>
          <w:lang w:val="en-US" w:eastAsia="zh-CN" w:bidi="ar-SA"/>
        </w:rPr>
        <w:t>一、合同金额：</w:t>
      </w:r>
      <w:r>
        <w:rPr>
          <w:rFonts w:hint="eastAsia" w:ascii="仿宋" w:hAnsi="仿宋" w:eastAsia="仿宋" w:cs="仿宋"/>
          <w:kern w:val="2"/>
          <w:sz w:val="24"/>
          <w:szCs w:val="24"/>
          <w:highlight w:val="none"/>
          <w:lang w:val="en-US" w:eastAsia="zh-CN" w:bidi="ar-SA"/>
        </w:rPr>
        <w:t>（大写）：</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元整（￥</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元）人民币。</w:t>
      </w:r>
    </w:p>
    <w:p w14:paraId="04372CF8">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二、服务范围</w:t>
      </w:r>
    </w:p>
    <w:p w14:paraId="08C86074">
      <w:pPr>
        <w:rPr>
          <w:rFonts w:hint="eastAsia" w:ascii="仿宋" w:hAnsi="仿宋" w:eastAsia="仿宋" w:cs="仿宋"/>
          <w:sz w:val="24"/>
          <w:szCs w:val="24"/>
          <w:highlight w:val="none"/>
        </w:rPr>
      </w:pPr>
      <w:r>
        <w:rPr>
          <w:rFonts w:hint="eastAsia" w:ascii="仿宋" w:hAnsi="仿宋" w:eastAsia="仿宋" w:cs="仿宋"/>
          <w:sz w:val="24"/>
          <w:szCs w:val="24"/>
          <w:highlight w:val="none"/>
        </w:rPr>
        <w:t>　　甲方聘请乙方提供以下服务：</w:t>
      </w:r>
    </w:p>
    <w:p w14:paraId="6DD7376B">
      <w:pPr>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　　1．本合同项下的服务指</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14:paraId="3B977143">
      <w:pPr>
        <w:rPr>
          <w:rFonts w:hint="eastAsia" w:ascii="仿宋" w:hAnsi="仿宋" w:eastAsia="仿宋" w:cs="仿宋"/>
          <w:sz w:val="24"/>
          <w:szCs w:val="24"/>
          <w:highlight w:val="none"/>
        </w:rPr>
      </w:pPr>
      <w:r>
        <w:rPr>
          <w:rFonts w:hint="eastAsia" w:ascii="仿宋" w:hAnsi="仿宋" w:eastAsia="仿宋" w:cs="仿宋"/>
          <w:sz w:val="24"/>
          <w:szCs w:val="24"/>
          <w:highlight w:val="none"/>
        </w:rPr>
        <w:t>　　2．......</w:t>
      </w:r>
    </w:p>
    <w:p w14:paraId="0F0226CE">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p>
    <w:p w14:paraId="5D545F00">
      <w:pPr>
        <w:rPr>
          <w:rFonts w:hint="eastAsia" w:ascii="仿宋" w:hAnsi="仿宋" w:eastAsia="仿宋" w:cs="仿宋"/>
          <w:b/>
          <w:sz w:val="24"/>
          <w:szCs w:val="24"/>
          <w:highlight w:val="none"/>
        </w:rPr>
      </w:pPr>
      <w:r>
        <w:rPr>
          <w:rFonts w:hint="eastAsia" w:ascii="仿宋" w:hAnsi="仿宋" w:eastAsia="仿宋" w:cs="仿宋"/>
          <w:b/>
          <w:sz w:val="24"/>
          <w:szCs w:val="24"/>
          <w:highlight w:val="none"/>
        </w:rPr>
        <w:t>三、甲方乙方的权利和义务</w:t>
      </w:r>
    </w:p>
    <w:p w14:paraId="51EF0DBB">
      <w:pPr>
        <w:rPr>
          <w:rFonts w:hint="eastAsia" w:ascii="仿宋" w:hAnsi="仿宋" w:eastAsia="仿宋" w:cs="仿宋"/>
          <w:sz w:val="24"/>
          <w:szCs w:val="24"/>
          <w:highlight w:val="none"/>
        </w:rPr>
      </w:pPr>
      <w:r>
        <w:rPr>
          <w:rFonts w:hint="eastAsia" w:ascii="仿宋" w:hAnsi="仿宋" w:eastAsia="仿宋" w:cs="仿宋"/>
          <w:sz w:val="24"/>
          <w:szCs w:val="24"/>
          <w:highlight w:val="none"/>
        </w:rPr>
        <w:t>　　（一） 甲方的权利和义务</w:t>
      </w:r>
    </w:p>
    <w:p w14:paraId="474CBBCE">
      <w:pPr>
        <w:rPr>
          <w:rFonts w:hint="eastAsia" w:ascii="仿宋" w:hAnsi="仿宋" w:eastAsia="仿宋" w:cs="仿宋"/>
          <w:sz w:val="24"/>
          <w:szCs w:val="24"/>
          <w:highlight w:val="none"/>
        </w:rPr>
      </w:pPr>
      <w:r>
        <w:rPr>
          <w:rFonts w:hint="eastAsia" w:ascii="仿宋" w:hAnsi="仿宋" w:eastAsia="仿宋" w:cs="仿宋"/>
          <w:sz w:val="24"/>
          <w:szCs w:val="24"/>
          <w:highlight w:val="none"/>
        </w:rPr>
        <w:t>　　（二） 乙方的权利和义务</w:t>
      </w:r>
    </w:p>
    <w:p w14:paraId="08B079EF">
      <w:pPr>
        <w:rPr>
          <w:rFonts w:hint="eastAsia" w:ascii="仿宋" w:hAnsi="仿宋" w:eastAsia="仿宋" w:cs="仿宋"/>
          <w:sz w:val="24"/>
          <w:szCs w:val="24"/>
          <w:highlight w:val="none"/>
        </w:rPr>
      </w:pPr>
      <w:r>
        <w:rPr>
          <w:rFonts w:hint="eastAsia" w:ascii="仿宋" w:hAnsi="仿宋" w:eastAsia="仿宋" w:cs="仿宋"/>
          <w:b/>
          <w:sz w:val="24"/>
          <w:szCs w:val="24"/>
          <w:highlight w:val="none"/>
        </w:rPr>
        <w:t>四、服务期间（项目完成期限）：</w:t>
      </w:r>
      <w:r>
        <w:rPr>
          <w:rFonts w:hint="eastAsia" w:ascii="仿宋" w:hAnsi="仿宋" w:eastAsia="仿宋" w:cs="仿宋"/>
          <w:sz w:val="24"/>
          <w:szCs w:val="24"/>
          <w:highlight w:val="none"/>
          <w:lang w:val="en-US" w:eastAsia="zh-CN"/>
        </w:rPr>
        <w:t>合同签订日起至项目验收完成</w:t>
      </w:r>
      <w:r>
        <w:rPr>
          <w:rFonts w:hint="eastAsia" w:ascii="仿宋" w:hAnsi="仿宋" w:eastAsia="仿宋" w:cs="仿宋"/>
          <w:sz w:val="24"/>
          <w:szCs w:val="24"/>
          <w:highlight w:val="none"/>
        </w:rPr>
        <w:t>。</w:t>
      </w:r>
    </w:p>
    <w:p w14:paraId="14A46095">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五、付款方式：</w:t>
      </w:r>
    </w:p>
    <w:p w14:paraId="633B8D6F">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乙方指定收款账号如下：</w:t>
      </w:r>
    </w:p>
    <w:p w14:paraId="3B1FB68E">
      <w:pPr>
        <w:rPr>
          <w:rFonts w:hint="eastAsia" w:ascii="仿宋" w:hAnsi="仿宋" w:eastAsia="仿宋" w:cs="仿宋"/>
          <w:sz w:val="24"/>
          <w:szCs w:val="24"/>
          <w:highlight w:val="none"/>
        </w:rPr>
      </w:pPr>
      <w:r>
        <w:rPr>
          <w:rFonts w:hint="eastAsia" w:ascii="仿宋" w:hAnsi="仿宋" w:eastAsia="仿宋" w:cs="仿宋"/>
          <w:sz w:val="24"/>
          <w:szCs w:val="24"/>
          <w:highlight w:val="none"/>
        </w:rPr>
        <w:t>开户名称：</w:t>
      </w:r>
    </w:p>
    <w:p w14:paraId="660F25E3">
      <w:pP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银行账号</w:t>
      </w:r>
      <w:r>
        <w:rPr>
          <w:rFonts w:hint="eastAsia" w:ascii="仿宋" w:hAnsi="仿宋" w:eastAsia="仿宋" w:cs="仿宋"/>
          <w:sz w:val="24"/>
          <w:szCs w:val="24"/>
          <w:highlight w:val="none"/>
        </w:rPr>
        <w:t>：</w:t>
      </w:r>
    </w:p>
    <w:p w14:paraId="7F81B943">
      <w:pPr>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开 户 行：</w:t>
      </w:r>
    </w:p>
    <w:p w14:paraId="071407C2">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（注：乙方于此承诺，若因乙方提供的付款、收款账户错误导致甲方付款不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lang w:val="en-US" w:eastAsia="zh-CN"/>
        </w:rPr>
        <w:t>合同约定或甲方所付款项被第三人接收的，该责任由乙方全部承担。乙方应积极采取补救措施，由此给甲乙双方造成的损失由乙方承担。同时，在本合同履行期间内乙方保证上述所载之乙方银行账户不变。）</w:t>
      </w:r>
    </w:p>
    <w:p w14:paraId="7EC334B0">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六、知识产权产权归属：</w:t>
      </w:r>
    </w:p>
    <w:p w14:paraId="693DC4A9">
      <w:pPr>
        <w:tabs>
          <w:tab w:val="left" w:pos="900"/>
        </w:tabs>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rPr>
        <w:t>七、保密：</w:t>
      </w:r>
      <w:r>
        <w:rPr>
          <w:rFonts w:hint="eastAsia" w:ascii="仿宋" w:hAnsi="仿宋" w:eastAsia="仿宋" w:cs="仿宋"/>
          <w:b w:val="0"/>
          <w:bCs/>
          <w:sz w:val="24"/>
          <w:szCs w:val="24"/>
          <w:highlight w:val="none"/>
          <w:lang w:val="en-US" w:eastAsia="zh-CN"/>
        </w:rPr>
        <w:t>见保密协议。</w:t>
      </w:r>
    </w:p>
    <w:p w14:paraId="6E25024B">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八、违约责任与赔偿损失</w:t>
      </w:r>
    </w:p>
    <w:p w14:paraId="720BE53C">
      <w:pPr>
        <w:tabs>
          <w:tab w:val="left" w:pos="900"/>
        </w:tabs>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 乙方提供的服务不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rPr>
        <w:t>采购文件、报价文件或本合同规定的，甲方有权拒收，并且乙方须向甲方方支付本合同总价5%的违约金。</w:t>
      </w:r>
    </w:p>
    <w:p w14:paraId="36624662">
      <w:pPr>
        <w:tabs>
          <w:tab w:val="left" w:pos="720"/>
          <w:tab w:val="left" w:pos="900"/>
        </w:tabs>
        <w:ind w:right="21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 乙方未能按本合同规定的交货时间提供服务，从逾期之日起每日按本合同总价3‰的数额向甲方支付违约金；逾期半个月以上的，甲方有权终止合同，由此造成的甲方经济损失由乙方承担。</w:t>
      </w:r>
    </w:p>
    <w:p w14:paraId="2DB6AA07">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 甲方无正当理由拒收接受服务，到期拒付服务款项的，甲方向乙方偿付本合同</w:t>
      </w:r>
      <w:r>
        <w:rPr>
          <w:rFonts w:hint="eastAsia" w:ascii="仿宋" w:hAnsi="仿宋" w:eastAsia="仿宋" w:cs="仿宋"/>
          <w:sz w:val="24"/>
          <w:szCs w:val="24"/>
          <w:highlight w:val="none"/>
          <w:lang w:eastAsia="zh-CN"/>
        </w:rPr>
        <w:t>总额</w:t>
      </w:r>
      <w:r>
        <w:rPr>
          <w:rFonts w:hint="eastAsia" w:ascii="仿宋" w:hAnsi="仿宋" w:eastAsia="仿宋" w:cs="仿宋"/>
          <w:sz w:val="24"/>
          <w:szCs w:val="24"/>
          <w:highlight w:val="none"/>
        </w:rPr>
        <w:t>的5%的违约金。</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逾期付款，则每日按本合同总价的3‰向乙方偿付违约金。</w:t>
      </w:r>
    </w:p>
    <w:p w14:paraId="5F2F81AE">
      <w:pPr>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4) 其它违约责任按《中华人民共和国</w:t>
      </w:r>
      <w:r>
        <w:rPr>
          <w:rFonts w:hint="eastAsia" w:ascii="仿宋" w:hAnsi="仿宋" w:eastAsia="仿宋" w:cs="仿宋"/>
          <w:bCs/>
          <w:sz w:val="24"/>
          <w:szCs w:val="24"/>
          <w:highlight w:val="none"/>
          <w:lang w:val="en-US" w:eastAsia="zh-CN"/>
        </w:rPr>
        <w:t>民法典</w:t>
      </w:r>
      <w:r>
        <w:rPr>
          <w:rFonts w:hint="eastAsia" w:ascii="仿宋" w:hAnsi="仿宋" w:eastAsia="仿宋" w:cs="仿宋"/>
          <w:bCs/>
          <w:sz w:val="24"/>
          <w:szCs w:val="24"/>
          <w:highlight w:val="none"/>
        </w:rPr>
        <w:t>》处理。</w:t>
      </w:r>
    </w:p>
    <w:p w14:paraId="695BC427">
      <w:pPr>
        <w:rPr>
          <w:rFonts w:hint="eastAsia" w:ascii="仿宋" w:hAnsi="仿宋" w:eastAsia="仿宋" w:cs="仿宋"/>
          <w:b/>
          <w:sz w:val="24"/>
          <w:szCs w:val="24"/>
          <w:highlight w:val="none"/>
        </w:rPr>
      </w:pPr>
      <w:r>
        <w:rPr>
          <w:rFonts w:hint="eastAsia" w:ascii="仿宋" w:hAnsi="仿宋" w:eastAsia="仿宋" w:cs="仿宋"/>
          <w:b/>
          <w:sz w:val="24"/>
          <w:szCs w:val="24"/>
          <w:highlight w:val="none"/>
        </w:rPr>
        <w:t>九、争端的解决</w:t>
      </w:r>
    </w:p>
    <w:p w14:paraId="2EE02DAB">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1)合同执行过程中发生的任何争议，如双方不能通过友好协商解决，按相关法律法规处理。</w:t>
      </w:r>
    </w:p>
    <w:p w14:paraId="48136886">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十、不可抗力：</w:t>
      </w:r>
    </w:p>
    <w:p w14:paraId="2ADEAE1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2D54EF6">
      <w:pPr>
        <w:rPr>
          <w:rFonts w:hint="eastAsia" w:ascii="仿宋" w:hAnsi="仿宋" w:eastAsia="仿宋" w:cs="仿宋"/>
          <w:sz w:val="24"/>
          <w:szCs w:val="24"/>
          <w:highlight w:val="none"/>
        </w:rPr>
      </w:pPr>
      <w:r>
        <w:rPr>
          <w:rFonts w:hint="eastAsia" w:ascii="仿宋" w:hAnsi="仿宋" w:eastAsia="仿宋" w:cs="仿宋"/>
          <w:b/>
          <w:sz w:val="24"/>
          <w:szCs w:val="24"/>
          <w:highlight w:val="none"/>
        </w:rPr>
        <w:t>十一、税费：</w:t>
      </w:r>
      <w:r>
        <w:rPr>
          <w:rFonts w:hint="eastAsia" w:ascii="仿宋" w:hAnsi="仿宋" w:eastAsia="仿宋" w:cs="仿宋"/>
          <w:sz w:val="24"/>
          <w:szCs w:val="24"/>
          <w:highlight w:val="none"/>
        </w:rPr>
        <w:t>在中国境内、外发生的与本合同执行有关的一切税费均由乙方负担。</w:t>
      </w:r>
    </w:p>
    <w:p w14:paraId="452E3C04">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十二、其它</w:t>
      </w:r>
    </w:p>
    <w:p w14:paraId="3E77CBA8">
      <w:pPr>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1) 本合同所有附件、采购文件、投标文件、中标通知书均为合同的有效组成部分，与本合同具有同等法律效力。</w:t>
      </w:r>
    </w:p>
    <w:p w14:paraId="24341A6A">
      <w:pPr>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2) </w:t>
      </w:r>
      <w:r>
        <w:rPr>
          <w:rFonts w:hint="eastAsia" w:ascii="仿宋" w:hAnsi="仿宋" w:eastAsia="仿宋" w:cs="仿宋"/>
          <w:sz w:val="24"/>
          <w:szCs w:val="24"/>
          <w:highlight w:val="none"/>
        </w:rPr>
        <w:t>在执行本合同的过程中，所有经双方签署确认的文件（包括会议纪要、补充协议、往来信函）即成为本合同的有效组成部分。</w:t>
      </w:r>
    </w:p>
    <w:p w14:paraId="5FE0D2F6">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 如一方地址、电话、传真号码有变更，应在变更当日内书面通知对方，否则，应承担相应责任。 </w:t>
      </w:r>
    </w:p>
    <w:p w14:paraId="6E5895B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 除甲方事先书面同意外，乙方不得部分或全部转让其应履行的合同项下的义务。</w:t>
      </w:r>
    </w:p>
    <w:p w14:paraId="16EA9CBC">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十二、合同生效：</w:t>
      </w:r>
    </w:p>
    <w:p w14:paraId="06723EAC">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1）本合同在甲乙双方法人代表或其授权代表签字盖章后生效。</w:t>
      </w:r>
    </w:p>
    <w:p w14:paraId="40003CF8">
      <w:pPr>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2）合同一式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w:t>
      </w:r>
      <w:r>
        <w:rPr>
          <w:rFonts w:hint="eastAsia" w:ascii="仿宋" w:hAnsi="仿宋" w:eastAsia="仿宋" w:cs="仿宋"/>
          <w:sz w:val="24"/>
          <w:szCs w:val="24"/>
          <w:highlight w:val="none"/>
          <w:lang w:eastAsia="zh-CN"/>
        </w:rPr>
        <w:t>。</w:t>
      </w:r>
    </w:p>
    <w:p w14:paraId="4EB5CA7D">
      <w:pPr>
        <w:pStyle w:val="19"/>
        <w:rPr>
          <w:rFonts w:hint="eastAsia" w:ascii="仿宋" w:hAnsi="仿宋" w:eastAsia="仿宋" w:cs="仿宋"/>
          <w:sz w:val="24"/>
          <w:szCs w:val="24"/>
          <w:highlight w:val="none"/>
          <w:lang w:eastAsia="zh-CN"/>
        </w:rPr>
      </w:pPr>
    </w:p>
    <w:p w14:paraId="1624CEFE">
      <w:pPr>
        <w:rPr>
          <w:rFonts w:hint="eastAsia" w:ascii="仿宋" w:hAnsi="仿宋" w:eastAsia="仿宋" w:cs="仿宋"/>
          <w:sz w:val="24"/>
          <w:szCs w:val="24"/>
          <w:highlight w:val="none"/>
          <w:lang w:eastAsia="zh-CN"/>
        </w:rPr>
      </w:pPr>
    </w:p>
    <w:p w14:paraId="3BB29CB0">
      <w:pPr>
        <w:rPr>
          <w:rFonts w:hint="eastAsia" w:ascii="仿宋" w:hAnsi="仿宋" w:eastAsia="仿宋" w:cs="仿宋"/>
          <w:b/>
          <w:sz w:val="24"/>
          <w:szCs w:val="24"/>
          <w:highlight w:val="none"/>
        </w:rPr>
      </w:pPr>
      <w:r>
        <w:rPr>
          <w:rFonts w:hint="eastAsia" w:ascii="仿宋" w:hAnsi="仿宋" w:eastAsia="仿宋" w:cs="仿宋"/>
          <w:b/>
          <w:sz w:val="24"/>
          <w:szCs w:val="24"/>
          <w:highlight w:val="none"/>
        </w:rPr>
        <w:t>甲方（盖章）：                       乙方（盖章）：</w:t>
      </w:r>
    </w:p>
    <w:p w14:paraId="79674F74">
      <w:pPr>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p>
    <w:p w14:paraId="7015DDAD">
      <w:pPr>
        <w:rPr>
          <w:rFonts w:hint="eastAsia" w:ascii="仿宋" w:hAnsi="仿宋" w:eastAsia="仿宋" w:cs="仿宋"/>
          <w:sz w:val="24"/>
          <w:szCs w:val="24"/>
          <w:highlight w:val="none"/>
        </w:rPr>
      </w:pPr>
    </w:p>
    <w:p w14:paraId="26C5C68B">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签订</w:t>
      </w:r>
      <w:r>
        <w:rPr>
          <w:rFonts w:hint="eastAsia" w:ascii="仿宋" w:hAnsi="仿宋" w:eastAsia="仿宋" w:cs="仿宋"/>
          <w:sz w:val="24"/>
          <w:szCs w:val="24"/>
          <w:highlight w:val="none"/>
        </w:rPr>
        <w:t xml:space="preserve">日期：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年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日     </w:t>
      </w:r>
      <w:r>
        <w:rPr>
          <w:rFonts w:hint="eastAsia" w:ascii="仿宋" w:hAnsi="仿宋" w:eastAsia="仿宋" w:cs="仿宋"/>
          <w:sz w:val="24"/>
          <w:szCs w:val="24"/>
          <w:highlight w:val="none"/>
          <w:lang w:val="en-US" w:eastAsia="zh-CN"/>
        </w:rPr>
        <w:t xml:space="preserve">        签订</w:t>
      </w:r>
      <w:r>
        <w:rPr>
          <w:rFonts w:hint="eastAsia" w:ascii="仿宋" w:hAnsi="仿宋" w:eastAsia="仿宋" w:cs="仿宋"/>
          <w:sz w:val="24"/>
          <w:szCs w:val="24"/>
          <w:highlight w:val="none"/>
        </w:rPr>
        <w:t>日期：   年   月   日</w:t>
      </w:r>
    </w:p>
    <w:p w14:paraId="45A3031A">
      <w:pPr>
        <w:autoSpaceDE w:val="0"/>
        <w:autoSpaceDN w:val="0"/>
        <w:adjustRightInd w:val="0"/>
        <w:snapToGrid w:val="0"/>
        <w:spacing w:line="360" w:lineRule="auto"/>
        <w:ind w:right="32"/>
        <w:rPr>
          <w:rFonts w:hint="eastAsia" w:ascii="仿宋" w:hAnsi="仿宋" w:eastAsia="仿宋" w:cs="仿宋"/>
          <w:sz w:val="24"/>
          <w:szCs w:val="24"/>
          <w:highlight w:val="none"/>
        </w:rPr>
      </w:pPr>
    </w:p>
    <w:p w14:paraId="78EAD71F">
      <w:pPr>
        <w:spacing w:line="240" w:lineRule="atLeast"/>
        <w:rPr>
          <w:rFonts w:hint="eastAsia" w:ascii="仿宋" w:hAnsi="仿宋" w:eastAsia="仿宋" w:cs="仿宋"/>
          <w:szCs w:val="21"/>
        </w:rPr>
      </w:pPr>
    </w:p>
    <w:p w14:paraId="4B3B0E2F">
      <w:pPr>
        <w:spacing w:line="240" w:lineRule="atLeast"/>
        <w:rPr>
          <w:rFonts w:hint="eastAsia" w:ascii="仿宋" w:hAnsi="仿宋" w:eastAsia="仿宋" w:cs="仿宋"/>
          <w:szCs w:val="21"/>
        </w:rPr>
      </w:pPr>
    </w:p>
    <w:p w14:paraId="583FCF60">
      <w:pPr>
        <w:spacing w:line="240" w:lineRule="atLeast"/>
        <w:rPr>
          <w:rFonts w:hint="eastAsia" w:ascii="仿宋" w:hAnsi="仿宋" w:eastAsia="仿宋" w:cs="仿宋"/>
          <w:szCs w:val="21"/>
        </w:rPr>
      </w:pPr>
    </w:p>
    <w:p w14:paraId="61615F7F">
      <w:pPr>
        <w:bidi w:val="0"/>
        <w:jc w:val="center"/>
        <w:rPr>
          <w:rFonts w:hint="eastAsia" w:ascii="Times New Roman" w:hAnsi="Times New Roman" w:eastAsia="宋体" w:cs="Times New Roman"/>
          <w:b/>
          <w:bCs/>
          <w:sz w:val="32"/>
          <w:szCs w:val="32"/>
          <w:lang w:val="en-US" w:eastAsia="zh-CN"/>
        </w:rPr>
      </w:pPr>
      <w:bookmarkStart w:id="45" w:name="_Toc23054"/>
    </w:p>
    <w:p w14:paraId="15CA4601">
      <w:pPr>
        <w:bidi w:val="0"/>
        <w:jc w:val="center"/>
        <w:rPr>
          <w:rFonts w:hint="eastAsia" w:ascii="Times New Roman" w:hAnsi="Times New Roman" w:eastAsia="宋体" w:cs="Times New Roman"/>
          <w:b/>
          <w:bCs/>
          <w:sz w:val="32"/>
          <w:szCs w:val="32"/>
          <w:lang w:val="en-US" w:eastAsia="zh-CN"/>
        </w:rPr>
      </w:pPr>
    </w:p>
    <w:p w14:paraId="66396479">
      <w:pPr>
        <w:bidi w:val="0"/>
        <w:jc w:val="center"/>
        <w:rPr>
          <w:rFonts w:hint="eastAsia" w:ascii="Times New Roman" w:hAnsi="Times New Roman" w:eastAsia="宋体" w:cs="Times New Roman"/>
          <w:b/>
          <w:bCs/>
          <w:sz w:val="32"/>
          <w:szCs w:val="32"/>
          <w:lang w:val="en-US" w:eastAsia="zh-CN"/>
        </w:rPr>
      </w:pPr>
    </w:p>
    <w:p w14:paraId="231F64C1">
      <w:pPr>
        <w:bidi w:val="0"/>
        <w:jc w:val="center"/>
        <w:rPr>
          <w:rFonts w:hint="eastAsia" w:ascii="Times New Roman" w:hAnsi="Times New Roman" w:eastAsia="宋体" w:cs="Times New Roman"/>
          <w:b/>
          <w:bCs/>
          <w:sz w:val="32"/>
          <w:szCs w:val="32"/>
          <w:lang w:val="en-US" w:eastAsia="zh-CN"/>
        </w:rPr>
      </w:pPr>
    </w:p>
    <w:p w14:paraId="6C5318CD">
      <w:pPr>
        <w:bidi w:val="0"/>
        <w:jc w:val="center"/>
        <w:rPr>
          <w:rFonts w:hint="eastAsia" w:ascii="Times New Roman" w:hAnsi="Times New Roman" w:eastAsia="宋体" w:cs="Times New Roman"/>
          <w:b/>
          <w:bCs/>
          <w:sz w:val="32"/>
          <w:szCs w:val="32"/>
          <w:lang w:val="en-US" w:eastAsia="zh-CN"/>
        </w:rPr>
      </w:pPr>
    </w:p>
    <w:p w14:paraId="4870DAB0">
      <w:pPr>
        <w:bidi w:val="0"/>
        <w:jc w:val="center"/>
        <w:rPr>
          <w:rFonts w:hint="eastAsia" w:ascii="Times New Roman" w:hAnsi="Times New Roman" w:eastAsia="宋体" w:cs="Times New Roman"/>
          <w:b/>
          <w:bCs/>
          <w:sz w:val="32"/>
          <w:szCs w:val="32"/>
          <w:lang w:val="en-US" w:eastAsia="zh-CN"/>
        </w:rPr>
      </w:pPr>
    </w:p>
    <w:p w14:paraId="3E0A9D84">
      <w:pPr>
        <w:bidi w:val="0"/>
        <w:jc w:val="center"/>
        <w:rPr>
          <w:rFonts w:hint="eastAsia" w:ascii="Times New Roman" w:hAnsi="Times New Roman" w:eastAsia="宋体" w:cs="Times New Roman"/>
          <w:b/>
          <w:bCs/>
          <w:sz w:val="32"/>
          <w:szCs w:val="32"/>
          <w:lang w:val="en-US" w:eastAsia="zh-CN"/>
        </w:rPr>
      </w:pPr>
    </w:p>
    <w:p w14:paraId="347E2E27">
      <w:pPr>
        <w:bidi w:val="0"/>
        <w:jc w:val="center"/>
        <w:rPr>
          <w:rFonts w:hint="eastAsia" w:ascii="Times New Roman" w:hAnsi="Times New Roman" w:eastAsia="宋体" w:cs="Times New Roman"/>
          <w:b/>
          <w:bCs/>
          <w:sz w:val="32"/>
          <w:szCs w:val="32"/>
          <w:lang w:val="en-US" w:eastAsia="zh-CN"/>
        </w:rPr>
      </w:pPr>
    </w:p>
    <w:p w14:paraId="39388C8B">
      <w:pPr>
        <w:bidi w:val="0"/>
        <w:jc w:val="center"/>
        <w:rPr>
          <w:rFonts w:hint="eastAsia" w:ascii="Times New Roman" w:hAnsi="Times New Roman" w:eastAsia="宋体" w:cs="Times New Roman"/>
          <w:b/>
          <w:bCs/>
          <w:sz w:val="32"/>
          <w:szCs w:val="32"/>
          <w:lang w:val="en-US" w:eastAsia="zh-CN"/>
        </w:rPr>
      </w:pPr>
    </w:p>
    <w:p w14:paraId="4D59191F">
      <w:pPr>
        <w:bidi w:val="0"/>
        <w:jc w:val="center"/>
        <w:rPr>
          <w:rFonts w:hint="eastAsia" w:ascii="Times New Roman" w:hAnsi="Times New Roman" w:eastAsia="宋体" w:cs="Times New Roman"/>
          <w:b/>
          <w:bCs/>
          <w:sz w:val="32"/>
          <w:szCs w:val="32"/>
          <w:lang w:val="en-US" w:eastAsia="zh-CN"/>
        </w:rPr>
      </w:pPr>
    </w:p>
    <w:p w14:paraId="3213E410">
      <w:pPr>
        <w:bidi w:val="0"/>
        <w:jc w:val="center"/>
        <w:rPr>
          <w:rFonts w:hint="eastAsia" w:ascii="Times New Roman" w:hAnsi="Times New Roman" w:eastAsia="宋体" w:cs="Times New Roman"/>
          <w:b/>
          <w:bCs/>
          <w:sz w:val="32"/>
          <w:szCs w:val="32"/>
          <w:lang w:val="en-US" w:eastAsia="zh-CN"/>
        </w:rPr>
      </w:pPr>
    </w:p>
    <w:p w14:paraId="5E3D2638">
      <w:pPr>
        <w:bidi w:val="0"/>
        <w:jc w:val="center"/>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第六章  投标人须知</w:t>
      </w:r>
    </w:p>
    <w:p w14:paraId="6C6C625E">
      <w:pPr>
        <w:numPr>
          <w:ilvl w:val="0"/>
          <w:numId w:val="26"/>
        </w:numPr>
        <w:autoSpaceDE w:val="0"/>
        <w:autoSpaceDN w:val="0"/>
        <w:adjustRightInd w:val="0"/>
        <w:snapToGrid w:val="0"/>
        <w:spacing w:line="360" w:lineRule="auto"/>
        <w:outlineLvl w:val="1"/>
        <w:rPr>
          <w:rFonts w:ascii="宋体" w:hAnsi="宋体"/>
          <w:b/>
          <w:bCs/>
          <w:szCs w:val="21"/>
        </w:rPr>
      </w:pPr>
      <w:r>
        <w:rPr>
          <w:rFonts w:hint="eastAsia" w:ascii="宋体" w:hAnsi="宋体"/>
          <w:b/>
          <w:bCs/>
          <w:szCs w:val="21"/>
        </w:rPr>
        <w:t>适用范围</w:t>
      </w:r>
      <w:bookmarkEnd w:id="45"/>
    </w:p>
    <w:p w14:paraId="5425D084">
      <w:pPr>
        <w:numPr>
          <w:ilvl w:val="1"/>
          <w:numId w:val="26"/>
        </w:numPr>
        <w:autoSpaceDE w:val="0"/>
        <w:autoSpaceDN w:val="0"/>
        <w:adjustRightInd w:val="0"/>
        <w:snapToGrid w:val="0"/>
        <w:spacing w:line="360" w:lineRule="auto"/>
        <w:jc w:val="left"/>
        <w:outlineLvl w:val="2"/>
        <w:rPr>
          <w:rFonts w:ascii="宋体" w:hAnsi="宋体"/>
          <w:b/>
          <w:bCs/>
          <w:szCs w:val="21"/>
        </w:rPr>
      </w:pPr>
      <w:r>
        <w:rPr>
          <w:rFonts w:hint="eastAsia" w:ascii="宋体" w:hAnsi="宋体"/>
          <w:szCs w:val="21"/>
        </w:rPr>
        <w:t>本</w:t>
      </w:r>
      <w:r>
        <w:rPr>
          <w:rFonts w:hint="eastAsia" w:ascii="宋体" w:hAnsi="宋体"/>
          <w:szCs w:val="21"/>
          <w:lang w:val="en-US" w:eastAsia="zh-CN"/>
        </w:rPr>
        <w:t>谈判</w:t>
      </w:r>
      <w:r>
        <w:rPr>
          <w:rFonts w:hint="eastAsia" w:ascii="宋体" w:hAnsi="宋体"/>
          <w:szCs w:val="21"/>
        </w:rPr>
        <w:t>文件适用于本投标邀请中所述采购项目。</w:t>
      </w:r>
    </w:p>
    <w:p w14:paraId="7B029138">
      <w:pPr>
        <w:numPr>
          <w:ilvl w:val="0"/>
          <w:numId w:val="26"/>
        </w:numPr>
        <w:autoSpaceDE w:val="0"/>
        <w:autoSpaceDN w:val="0"/>
        <w:adjustRightInd w:val="0"/>
        <w:snapToGrid w:val="0"/>
        <w:spacing w:line="360" w:lineRule="auto"/>
        <w:ind w:left="449" w:hanging="449" w:hangingChars="213"/>
        <w:outlineLvl w:val="1"/>
        <w:rPr>
          <w:rFonts w:ascii="宋体" w:hAnsi="宋体"/>
          <w:b/>
          <w:bCs/>
          <w:strike/>
          <w:szCs w:val="21"/>
        </w:rPr>
      </w:pPr>
      <w:bookmarkStart w:id="46" w:name="_Toc28379"/>
      <w:r>
        <w:rPr>
          <w:rFonts w:hint="eastAsia" w:ascii="宋体" w:hAnsi="宋体"/>
          <w:b/>
          <w:szCs w:val="21"/>
        </w:rPr>
        <w:t>定义</w:t>
      </w:r>
      <w:bookmarkEnd w:id="46"/>
    </w:p>
    <w:p w14:paraId="293D86D5">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采购人指各级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3ECABCB9">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供应商是指向采购人提供货物、工程或者服务的法人、其他组织或者自然人。</w:t>
      </w:r>
    </w:p>
    <w:p w14:paraId="10EFBBBE">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投标人是指响应</w:t>
      </w:r>
      <w:r>
        <w:rPr>
          <w:rFonts w:hint="eastAsia" w:ascii="宋体" w:hAnsi="宋体"/>
          <w:szCs w:val="21"/>
          <w:lang w:val="en-US" w:eastAsia="zh-CN"/>
        </w:rPr>
        <w:t>谈判</w:t>
      </w:r>
      <w:r>
        <w:rPr>
          <w:rFonts w:hint="eastAsia" w:ascii="宋体" w:hAnsi="宋体"/>
          <w:szCs w:val="21"/>
        </w:rPr>
        <w:t>、参加投标竞争的法人、其他组织或者自然人。</w:t>
      </w:r>
    </w:p>
    <w:p w14:paraId="03F60D92">
      <w:pPr>
        <w:numPr>
          <w:ilvl w:val="1"/>
          <w:numId w:val="26"/>
        </w:numPr>
        <w:autoSpaceDE w:val="0"/>
        <w:autoSpaceDN w:val="0"/>
        <w:adjustRightInd w:val="0"/>
        <w:snapToGrid w:val="0"/>
        <w:spacing w:line="360" w:lineRule="auto"/>
        <w:outlineLvl w:val="2"/>
        <w:rPr>
          <w:rFonts w:ascii="宋体" w:hAnsi="宋体"/>
          <w:szCs w:val="21"/>
        </w:rPr>
      </w:pPr>
      <w:r>
        <w:rPr>
          <w:rFonts w:hint="eastAsia" w:ascii="宋体" w:hAnsi="宋体"/>
          <w:szCs w:val="21"/>
        </w:rPr>
        <w:t>中标人是指经法定程序确定并授予合同的投标人。</w:t>
      </w:r>
    </w:p>
    <w:p w14:paraId="08E94636">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47" w:name="_Toc4681"/>
      <w:r>
        <w:rPr>
          <w:rFonts w:hint="eastAsia" w:ascii="宋体" w:hAnsi="宋体"/>
          <w:b/>
          <w:bCs/>
          <w:szCs w:val="21"/>
        </w:rPr>
        <w:t>合格的货物和服务</w:t>
      </w:r>
      <w:bookmarkEnd w:id="47"/>
    </w:p>
    <w:p w14:paraId="6CA79C08">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szCs w:val="21"/>
        </w:rPr>
        <w:t>“货物”是指投标人制造或组织符合</w:t>
      </w:r>
      <w:r>
        <w:rPr>
          <w:rFonts w:hint="eastAsia" w:ascii="宋体" w:hAnsi="宋体"/>
          <w:szCs w:val="21"/>
          <w:lang w:eastAsia="zh-CN"/>
        </w:rPr>
        <w:t>谈判</w:t>
      </w:r>
      <w:r>
        <w:rPr>
          <w:rFonts w:hint="eastAsia" w:ascii="宋体" w:hAnsi="宋体"/>
          <w:szCs w:val="21"/>
        </w:rPr>
        <w:t>文件要求的货物等。投标的货物必须是其合法生产、合法来源的符合国家有关标准要求的货物，并满足</w:t>
      </w:r>
      <w:r>
        <w:rPr>
          <w:rFonts w:hint="eastAsia" w:ascii="宋体" w:hAnsi="宋体"/>
          <w:szCs w:val="21"/>
          <w:lang w:eastAsia="zh-CN"/>
        </w:rPr>
        <w:t>谈判</w:t>
      </w:r>
      <w:r>
        <w:rPr>
          <w:rFonts w:hint="eastAsia" w:ascii="宋体" w:hAnsi="宋体"/>
          <w:szCs w:val="21"/>
        </w:rPr>
        <w:t>文件规定的规格、参数、质量、价格、有效期、售后服务等要求。</w:t>
      </w:r>
    </w:p>
    <w:p w14:paraId="26B52F2E">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谈判</w:t>
      </w:r>
      <w:r>
        <w:rPr>
          <w:rFonts w:hint="eastAsia" w:ascii="宋体" w:hAnsi="宋体"/>
          <w:szCs w:val="21"/>
        </w:rPr>
        <w:t>文件规定的其它服务。</w:t>
      </w:r>
    </w:p>
    <w:p w14:paraId="03AB9CC5">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7CB46EEB">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45BD45A2">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48" w:name="_Toc27847"/>
      <w:r>
        <w:rPr>
          <w:rFonts w:hint="eastAsia" w:ascii="宋体" w:hAnsi="宋体"/>
          <w:b/>
          <w:bCs/>
          <w:szCs w:val="21"/>
        </w:rPr>
        <w:t>其他</w:t>
      </w:r>
      <w:bookmarkEnd w:id="48"/>
    </w:p>
    <w:p w14:paraId="20835FFD">
      <w:pPr>
        <w:numPr>
          <w:ilvl w:val="1"/>
          <w:numId w:val="26"/>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18D56482">
      <w:pPr>
        <w:numPr>
          <w:ilvl w:val="1"/>
          <w:numId w:val="26"/>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供应商（投标人）向我司咨询的有关项目事项，一切以法律法规的规定和本公司书面答复为准，其他一切形式均为个人意见，不代表本公司的意见。</w:t>
      </w:r>
    </w:p>
    <w:p w14:paraId="50953B09">
      <w:pPr>
        <w:numPr>
          <w:ilvl w:val="1"/>
          <w:numId w:val="26"/>
        </w:numPr>
        <w:adjustRightInd w:val="0"/>
        <w:snapToGrid w:val="0"/>
        <w:spacing w:line="360" w:lineRule="auto"/>
        <w:rPr>
          <w:rFonts w:cs="宋体" w:asciiTheme="minorEastAsia" w:hAnsiTheme="minorEastAsia" w:eastAsiaTheme="minorEastAsia"/>
          <w:bCs/>
          <w:color w:val="auto"/>
          <w:szCs w:val="21"/>
          <w:highlight w:val="none"/>
        </w:rPr>
      </w:pPr>
      <w:bookmarkStart w:id="49" w:name="_Hlk21592778"/>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50" w:name="_Hlk21591509"/>
      <w:r>
        <w:rPr>
          <w:rFonts w:hint="eastAsia" w:asciiTheme="minorEastAsia" w:hAnsiTheme="minorEastAsia" w:eastAsiaTheme="minorEastAsia"/>
          <w:color w:val="auto"/>
          <w:szCs w:val="21"/>
          <w:highlight w:val="none"/>
        </w:rPr>
        <w:t>供应商限制参与政府采购</w:t>
      </w:r>
      <w:bookmarkEnd w:id="50"/>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49"/>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w:t>
      </w:r>
    </w:p>
    <w:p w14:paraId="71E88C04">
      <w:pPr>
        <w:pStyle w:val="3"/>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51" w:name="_Toc435516652"/>
      <w:bookmarkStart w:id="52" w:name="_Toc435174935"/>
      <w:bookmarkStart w:id="53" w:name="_Toc15267"/>
      <w:bookmarkStart w:id="54" w:name="_Toc15510"/>
      <w:bookmarkStart w:id="55" w:name="_Toc438223138"/>
      <w:bookmarkStart w:id="56" w:name="_Toc22222"/>
      <w:r>
        <w:rPr>
          <w:rFonts w:hint="eastAsia" w:asciiTheme="majorEastAsia" w:hAnsiTheme="majorEastAsia" w:eastAsiaTheme="majorEastAsia"/>
          <w:sz w:val="30"/>
          <w:szCs w:val="30"/>
          <w:lang w:eastAsia="zh-TW"/>
        </w:rPr>
        <w:t>投标文件的编制</w:t>
      </w:r>
      <w:bookmarkEnd w:id="51"/>
      <w:bookmarkEnd w:id="52"/>
      <w:bookmarkEnd w:id="53"/>
      <w:bookmarkEnd w:id="54"/>
      <w:bookmarkEnd w:id="55"/>
      <w:bookmarkEnd w:id="56"/>
    </w:p>
    <w:p w14:paraId="5EBD4F7D">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57" w:name="_Toc27317"/>
      <w:r>
        <w:rPr>
          <w:rFonts w:hint="eastAsia" w:ascii="宋体" w:hAnsi="宋体"/>
          <w:b/>
          <w:bCs/>
          <w:szCs w:val="21"/>
        </w:rPr>
        <w:t>投标的语言</w:t>
      </w:r>
      <w:bookmarkEnd w:id="57"/>
    </w:p>
    <w:p w14:paraId="60E51897">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5EB2D7D4">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58" w:name="_Toc2446"/>
      <w:r>
        <w:rPr>
          <w:rFonts w:hint="eastAsia" w:ascii="宋体" w:hAnsi="宋体"/>
          <w:b/>
          <w:bCs/>
          <w:szCs w:val="21"/>
        </w:rPr>
        <w:t>投标文件的构成</w:t>
      </w:r>
      <w:bookmarkEnd w:id="58"/>
    </w:p>
    <w:p w14:paraId="57D603E8">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投标人编写的投标文件应包括资格性文件、符合性文件、技术文件、商务文件等，编排顺序参见投标文件格式。</w:t>
      </w:r>
    </w:p>
    <w:p w14:paraId="219B7BC5">
      <w:pPr>
        <w:numPr>
          <w:ilvl w:val="1"/>
          <w:numId w:val="26"/>
        </w:numPr>
        <w:autoSpaceDE w:val="0"/>
        <w:autoSpaceDN w:val="0"/>
        <w:adjustRightInd w:val="0"/>
        <w:snapToGrid w:val="0"/>
        <w:spacing w:line="360" w:lineRule="auto"/>
        <w:outlineLvl w:val="2"/>
        <w:rPr>
          <w:rFonts w:ascii="宋体" w:hAnsi="宋体" w:cs="宋体"/>
          <w:szCs w:val="21"/>
        </w:rPr>
      </w:pPr>
      <w:r>
        <w:rPr>
          <w:rFonts w:hint="eastAsia" w:ascii="宋体" w:hAnsi="宋体" w:cs="宋体"/>
          <w:szCs w:val="21"/>
        </w:rPr>
        <w:t>投标文件的构成应符合法律法规及</w:t>
      </w:r>
      <w:r>
        <w:rPr>
          <w:rFonts w:hint="eastAsia" w:ascii="宋体" w:hAnsi="宋体" w:cs="宋体"/>
          <w:szCs w:val="21"/>
          <w:lang w:eastAsia="zh-CN"/>
        </w:rPr>
        <w:t>谈判</w:t>
      </w:r>
      <w:r>
        <w:rPr>
          <w:rFonts w:hint="eastAsia" w:ascii="宋体" w:hAnsi="宋体" w:cs="宋体"/>
          <w:szCs w:val="21"/>
        </w:rPr>
        <w:t>文件的要求。</w:t>
      </w:r>
    </w:p>
    <w:p w14:paraId="0F86CEF7">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59" w:name="_Toc11091"/>
      <w:r>
        <w:rPr>
          <w:rFonts w:hint="eastAsia" w:ascii="宋体" w:hAnsi="宋体"/>
          <w:b/>
          <w:bCs/>
          <w:szCs w:val="21"/>
        </w:rPr>
        <w:t>投标文件的编写</w:t>
      </w:r>
      <w:bookmarkEnd w:id="59"/>
    </w:p>
    <w:p w14:paraId="3AA1BCA5">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投标人对</w:t>
      </w:r>
      <w:r>
        <w:rPr>
          <w:rFonts w:hint="eastAsia" w:ascii="宋体" w:hAnsi="宋体" w:cs="宋体"/>
          <w:szCs w:val="21"/>
          <w:lang w:eastAsia="zh-CN"/>
        </w:rPr>
        <w:t>谈判</w:t>
      </w:r>
      <w:r>
        <w:rPr>
          <w:rFonts w:hint="eastAsia" w:ascii="宋体" w:hAnsi="宋体" w:cs="宋体"/>
          <w:szCs w:val="21"/>
        </w:rPr>
        <w:t>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2476390D">
      <w:pPr>
        <w:numPr>
          <w:ilvl w:val="1"/>
          <w:numId w:val="26"/>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1EC5433C">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如果因为投标人的投标文件只填写和提供了本</w:t>
      </w:r>
      <w:r>
        <w:rPr>
          <w:rFonts w:hint="eastAsia" w:ascii="宋体" w:hAnsi="宋体" w:cs="宋体"/>
          <w:szCs w:val="21"/>
          <w:lang w:eastAsia="zh-CN"/>
        </w:rPr>
        <w:t>谈判</w:t>
      </w:r>
      <w:r>
        <w:rPr>
          <w:rFonts w:hint="eastAsia" w:ascii="宋体" w:hAnsi="宋体" w:cs="宋体"/>
          <w:szCs w:val="21"/>
        </w:rPr>
        <w:t>文件要求的部分内容和附件，或没有提供</w:t>
      </w:r>
      <w:r>
        <w:rPr>
          <w:rFonts w:hint="eastAsia" w:ascii="宋体" w:hAnsi="宋体" w:cs="宋体"/>
          <w:szCs w:val="21"/>
          <w:lang w:eastAsia="zh-CN"/>
        </w:rPr>
        <w:t>谈判</w:t>
      </w:r>
      <w:r>
        <w:rPr>
          <w:rFonts w:hint="eastAsia" w:ascii="宋体" w:hAnsi="宋体" w:cs="宋体"/>
          <w:szCs w:val="21"/>
        </w:rPr>
        <w:t>文件中所要求的资料及数据，由此造成的后果和责任由投标人承担。</w:t>
      </w:r>
    </w:p>
    <w:p w14:paraId="274B42DA">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投标人应认真阅读、并充分理解</w:t>
      </w:r>
      <w:r>
        <w:rPr>
          <w:rFonts w:hint="eastAsia" w:ascii="宋体" w:hAnsi="宋体" w:cs="宋体"/>
          <w:szCs w:val="21"/>
          <w:lang w:eastAsia="zh-CN"/>
        </w:rPr>
        <w:t>谈判</w:t>
      </w:r>
      <w:r>
        <w:rPr>
          <w:rFonts w:hint="eastAsia" w:ascii="宋体" w:hAnsi="宋体" w:cs="宋体"/>
          <w:szCs w:val="21"/>
        </w:rPr>
        <w:t>文件的全部内容（包括所有的补充、修改内容重要事项、格式、条款和技术规范、参数及要求等）。投标人没有按照</w:t>
      </w:r>
      <w:r>
        <w:rPr>
          <w:rFonts w:hint="eastAsia" w:ascii="宋体" w:hAnsi="宋体" w:cs="宋体"/>
          <w:szCs w:val="21"/>
          <w:lang w:eastAsia="zh-CN"/>
        </w:rPr>
        <w:t>谈判</w:t>
      </w:r>
      <w:r>
        <w:rPr>
          <w:rFonts w:hint="eastAsia" w:ascii="宋体" w:hAnsi="宋体" w:cs="宋体"/>
          <w:szCs w:val="21"/>
        </w:rPr>
        <w:t>文件要求提交资料，或者投标文件没有对</w:t>
      </w:r>
      <w:r>
        <w:rPr>
          <w:rFonts w:hint="eastAsia" w:ascii="宋体" w:hAnsi="宋体" w:cs="宋体"/>
          <w:szCs w:val="21"/>
          <w:lang w:eastAsia="zh-CN"/>
        </w:rPr>
        <w:t>谈判</w:t>
      </w:r>
      <w:r>
        <w:rPr>
          <w:rFonts w:hint="eastAsia" w:ascii="宋体" w:hAnsi="宋体" w:cs="宋体"/>
          <w:szCs w:val="21"/>
        </w:rPr>
        <w:t>文件在各方面都作出实质性响应是投标人的风险，有可能导致其投标被认定为无效投标或被确定为投标无效。</w:t>
      </w:r>
    </w:p>
    <w:p w14:paraId="17A80A89">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0" w:name="_Toc7497"/>
      <w:r>
        <w:rPr>
          <w:rFonts w:hint="eastAsia" w:ascii="宋体" w:hAnsi="宋体"/>
          <w:b/>
          <w:bCs/>
          <w:szCs w:val="21"/>
        </w:rPr>
        <w:t>投标报价</w:t>
      </w:r>
      <w:bookmarkEnd w:id="60"/>
    </w:p>
    <w:p w14:paraId="34667E9C">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投标人应按照“用户需求书”中采购项目技术规格、参数及要求规定的内容、责任范围进行报价。并按《开标一览表(报价表)》及《投标分项报价表》（如适用）的要求报出总价和分项价格。</w:t>
      </w:r>
    </w:p>
    <w:p w14:paraId="4C0B5911">
      <w:pPr>
        <w:numPr>
          <w:ilvl w:val="1"/>
          <w:numId w:val="26"/>
        </w:numPr>
        <w:autoSpaceDE w:val="0"/>
        <w:autoSpaceDN w:val="0"/>
        <w:adjustRightInd w:val="0"/>
        <w:snapToGrid w:val="0"/>
        <w:spacing w:line="360" w:lineRule="auto"/>
        <w:outlineLvl w:val="2"/>
        <w:rPr>
          <w:rFonts w:ascii="宋体" w:hAnsi="宋体"/>
          <w:szCs w:val="21"/>
        </w:rPr>
      </w:pPr>
      <w:r>
        <w:rPr>
          <w:rFonts w:hint="eastAsia" w:ascii="宋体" w:hAnsi="宋体" w:cs="宋体"/>
          <w:szCs w:val="21"/>
          <w:lang w:eastAsia="zh-TW"/>
        </w:rPr>
        <w:t>投标分项报价</w:t>
      </w:r>
      <w:r>
        <w:rPr>
          <w:rFonts w:hint="eastAsia" w:ascii="宋体" w:hAnsi="宋体" w:cs="宋体"/>
          <w:szCs w:val="21"/>
        </w:rPr>
        <w:t>应包含：</w:t>
      </w:r>
    </w:p>
    <w:p w14:paraId="7BEEE35F">
      <w:pPr>
        <w:numPr>
          <w:ilvl w:val="2"/>
          <w:numId w:val="26"/>
        </w:numPr>
        <w:tabs>
          <w:tab w:val="left" w:pos="851"/>
          <w:tab w:val="clear" w:pos="567"/>
        </w:tabs>
        <w:autoSpaceDE w:val="0"/>
        <w:autoSpaceDN w:val="0"/>
        <w:adjustRightInd w:val="0"/>
        <w:snapToGrid w:val="0"/>
        <w:spacing w:line="360" w:lineRule="auto"/>
        <w:ind w:left="851" w:hanging="851"/>
        <w:jc w:val="left"/>
        <w:rPr>
          <w:rFonts w:ascii="宋体" w:hAnsi="宋体" w:cs="宋体"/>
          <w:szCs w:val="21"/>
        </w:rPr>
      </w:pPr>
      <w:r>
        <w:rPr>
          <w:rFonts w:hint="eastAsia" w:ascii="宋体" w:hAnsi="宋体" w:cs="宋体"/>
          <w:szCs w:val="21"/>
        </w:rPr>
        <w:t>按</w:t>
      </w:r>
      <w:r>
        <w:rPr>
          <w:rFonts w:hint="eastAsia" w:ascii="宋体" w:hAnsi="宋体" w:cs="宋体"/>
          <w:szCs w:val="21"/>
          <w:lang w:eastAsia="zh-CN"/>
        </w:rPr>
        <w:t>谈判</w:t>
      </w:r>
      <w:r>
        <w:rPr>
          <w:rFonts w:hint="eastAsia" w:ascii="宋体" w:hAnsi="宋体" w:cs="宋体"/>
          <w:szCs w:val="21"/>
        </w:rPr>
        <w:t>文件的要求全部货物及服务内容所需的所有费用，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w:t>
      </w:r>
      <w:r>
        <w:rPr>
          <w:rFonts w:hint="eastAsia"/>
          <w:lang w:eastAsia="zh-CN"/>
        </w:rPr>
        <w:t>配送</w:t>
      </w:r>
      <w:r>
        <w:t>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w:t>
      </w:r>
      <w:r>
        <w:rPr>
          <w:rFonts w:hint="eastAsia" w:ascii="宋体" w:hAnsi="宋体" w:cs="宋体"/>
          <w:szCs w:val="21"/>
          <w:lang w:eastAsia="zh-CN"/>
        </w:rPr>
        <w:t>已缴纳</w:t>
      </w:r>
      <w:r>
        <w:rPr>
          <w:rFonts w:hint="eastAsia" w:ascii="宋体" w:hAnsi="宋体" w:cs="宋体"/>
          <w:szCs w:val="21"/>
        </w:rPr>
        <w:t>或应缴纳的全部关税、增值税和其它税、报货物境外离岸价格、国外运输费、国外运输保险费等费用。</w:t>
      </w:r>
      <w:r>
        <w:rPr>
          <w:rFonts w:hint="eastAsia" w:ascii="宋体" w:hAnsi="宋体" w:cs="宋体"/>
          <w:b/>
          <w:szCs w:val="21"/>
        </w:rPr>
        <w:t>投标资料表</w:t>
      </w:r>
      <w:r>
        <w:rPr>
          <w:rFonts w:hint="eastAsia" w:ascii="宋体" w:hAnsi="宋体" w:cs="宋体"/>
          <w:szCs w:val="21"/>
        </w:rPr>
        <w:t>中对进口环节关税和增值税另有规定的，从其规定。</w:t>
      </w:r>
    </w:p>
    <w:p w14:paraId="46B2DB31">
      <w:pPr>
        <w:numPr>
          <w:ilvl w:val="2"/>
          <w:numId w:val="26"/>
        </w:numPr>
        <w:tabs>
          <w:tab w:val="left" w:pos="851"/>
        </w:tabs>
        <w:autoSpaceDE w:val="0"/>
        <w:autoSpaceDN w:val="0"/>
        <w:adjustRightInd w:val="0"/>
        <w:snapToGrid w:val="0"/>
        <w:spacing w:line="360" w:lineRule="auto"/>
        <w:jc w:val="left"/>
        <w:outlineLvl w:val="3"/>
        <w:rPr>
          <w:rFonts w:ascii="宋体" w:hAnsi="宋体" w:cs="宋体"/>
          <w:szCs w:val="21"/>
        </w:rPr>
      </w:pPr>
      <w:r>
        <w:rPr>
          <w:rFonts w:hint="eastAsia" w:ascii="宋体" w:hAnsi="宋体" w:cs="宋体"/>
          <w:szCs w:val="21"/>
        </w:rPr>
        <w:t>对于报价免费的内容须标明“免费”。</w:t>
      </w:r>
    </w:p>
    <w:p w14:paraId="3708B8C6">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36D75F95">
      <w:pPr>
        <w:numPr>
          <w:ilvl w:val="1"/>
          <w:numId w:val="26"/>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w:t>
      </w:r>
      <w:r>
        <w:rPr>
          <w:rFonts w:hint="eastAsia" w:ascii="宋体" w:hAnsi="宋体"/>
          <w:szCs w:val="21"/>
          <w:lang w:eastAsia="zh-CN"/>
        </w:rPr>
        <w:t>谈判</w:t>
      </w:r>
      <w:r>
        <w:rPr>
          <w:rFonts w:hint="eastAsia" w:ascii="宋体" w:hAnsi="宋体"/>
          <w:szCs w:val="21"/>
        </w:rPr>
        <w:t>不接受选择性报价，</w:t>
      </w:r>
      <w:r>
        <w:rPr>
          <w:rFonts w:hint="eastAsia" w:ascii="宋体" w:hAnsi="宋体" w:cs="宋体"/>
          <w:szCs w:val="21"/>
        </w:rPr>
        <w:t>否则将被视为无效投标。</w:t>
      </w:r>
    </w:p>
    <w:p w14:paraId="32B5E02E">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w:t>
      </w:r>
      <w:r>
        <w:rPr>
          <w:rFonts w:hint="eastAsia" w:ascii="宋体" w:hAnsi="宋体"/>
          <w:szCs w:val="21"/>
          <w:lang w:eastAsia="zh-CN"/>
        </w:rPr>
        <w:t>谈判</w:t>
      </w:r>
      <w:r>
        <w:rPr>
          <w:rFonts w:hint="eastAsia" w:ascii="宋体" w:hAnsi="宋体"/>
          <w:szCs w:val="21"/>
        </w:rPr>
        <w:t>不接受具有附加条件的报价，</w:t>
      </w:r>
      <w:r>
        <w:rPr>
          <w:rFonts w:hint="eastAsia" w:ascii="宋体" w:hAnsi="宋体" w:cs="宋体"/>
          <w:szCs w:val="21"/>
        </w:rPr>
        <w:t>否则将被视为无效投标。</w:t>
      </w:r>
    </w:p>
    <w:p w14:paraId="2B358E29">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1" w:name="_Toc2827"/>
      <w:r>
        <w:rPr>
          <w:rFonts w:hint="eastAsia" w:ascii="宋体" w:hAnsi="宋体"/>
          <w:b/>
          <w:bCs/>
          <w:szCs w:val="21"/>
        </w:rPr>
        <w:t>投标货币</w:t>
      </w:r>
      <w:bookmarkEnd w:id="61"/>
    </w:p>
    <w:p w14:paraId="75F25268">
      <w:pPr>
        <w:numPr>
          <w:ilvl w:val="1"/>
          <w:numId w:val="26"/>
        </w:numPr>
        <w:autoSpaceDE w:val="0"/>
        <w:autoSpaceDN w:val="0"/>
        <w:adjustRightInd w:val="0"/>
        <w:snapToGrid w:val="0"/>
        <w:spacing w:line="360" w:lineRule="auto"/>
        <w:outlineLvl w:val="2"/>
        <w:rPr>
          <w:rFonts w:ascii="宋体" w:hAnsi="宋体"/>
          <w:szCs w:val="21"/>
        </w:rPr>
      </w:pPr>
      <w:r>
        <w:rPr>
          <w:rFonts w:hint="eastAsia" w:ascii="宋体" w:hAnsi="宋体"/>
          <w:szCs w:val="21"/>
        </w:rPr>
        <w:t>投标人所提供的货物和服务均应以人民币报价。</w:t>
      </w:r>
    </w:p>
    <w:p w14:paraId="74EED58B">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2" w:name="_Toc23174"/>
      <w:r>
        <w:rPr>
          <w:rFonts w:hint="eastAsia" w:ascii="宋体" w:hAnsi="宋体"/>
          <w:b/>
          <w:bCs/>
          <w:szCs w:val="21"/>
        </w:rPr>
        <w:t>联合体投标</w:t>
      </w:r>
      <w:bookmarkEnd w:id="62"/>
    </w:p>
    <w:p w14:paraId="1C1E2EC5">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5EFCE263">
      <w:pPr>
        <w:numPr>
          <w:ilvl w:val="2"/>
          <w:numId w:val="26"/>
        </w:numPr>
        <w:autoSpaceDE w:val="0"/>
        <w:autoSpaceDN w:val="0"/>
        <w:adjustRightInd w:val="0"/>
        <w:snapToGrid w:val="0"/>
        <w:spacing w:line="360" w:lineRule="auto"/>
        <w:rPr>
          <w:rFonts w:ascii="宋体" w:hAnsi="宋体"/>
          <w:szCs w:val="21"/>
        </w:rPr>
      </w:pP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7D7ADB52">
      <w:pPr>
        <w:numPr>
          <w:ilvl w:val="2"/>
          <w:numId w:val="26"/>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168C4E3F">
      <w:pPr>
        <w:numPr>
          <w:ilvl w:val="2"/>
          <w:numId w:val="26"/>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联合体中有同类资质的供应商按照联合体分工承担相同工作的，应当按照资质等级较低的供应商确定资质等级。</w:t>
      </w:r>
    </w:p>
    <w:p w14:paraId="637120FC">
      <w:pPr>
        <w:numPr>
          <w:ilvl w:val="2"/>
          <w:numId w:val="26"/>
        </w:numPr>
        <w:tabs>
          <w:tab w:val="left" w:pos="851"/>
        </w:tabs>
        <w:autoSpaceDE w:val="0"/>
        <w:autoSpaceDN w:val="0"/>
        <w:adjustRightInd w:val="0"/>
        <w:snapToGrid w:val="0"/>
        <w:spacing w:line="360" w:lineRule="auto"/>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1D5AF8E3">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3" w:name="_Toc14020"/>
      <w:r>
        <w:rPr>
          <w:rFonts w:hint="eastAsia" w:ascii="宋体" w:hAnsi="宋体"/>
          <w:b/>
          <w:bCs/>
          <w:szCs w:val="21"/>
        </w:rPr>
        <w:t>证明投标人合格和资格的文件</w:t>
      </w:r>
      <w:bookmarkEnd w:id="63"/>
    </w:p>
    <w:p w14:paraId="5439B540">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2E771B7C">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62D82397">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4" w:name="_Toc17198"/>
      <w:r>
        <w:rPr>
          <w:rFonts w:ascii="宋体" w:hAnsi="宋体"/>
          <w:b/>
          <w:bCs/>
          <w:szCs w:val="21"/>
        </w:rPr>
        <w:t>证明投标标的的合格性和符合</w:t>
      </w:r>
      <w:r>
        <w:rPr>
          <w:rFonts w:hint="eastAsia" w:ascii="宋体" w:hAnsi="宋体"/>
          <w:b/>
          <w:bCs/>
          <w:szCs w:val="21"/>
          <w:lang w:eastAsia="zh-CN"/>
        </w:rPr>
        <w:t>谈判</w:t>
      </w:r>
      <w:r>
        <w:rPr>
          <w:rFonts w:ascii="宋体" w:hAnsi="宋体"/>
          <w:b/>
          <w:bCs/>
          <w:szCs w:val="21"/>
        </w:rPr>
        <w:t>文件规定的文件</w:t>
      </w:r>
      <w:bookmarkEnd w:id="64"/>
    </w:p>
    <w:p w14:paraId="6B9702A6">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谈判</w:t>
      </w:r>
      <w:r>
        <w:rPr>
          <w:rFonts w:hint="eastAsia" w:ascii="宋体" w:hAnsi="宋体" w:cs="宋体"/>
          <w:szCs w:val="21"/>
        </w:rPr>
        <w:t>文件规定。该证明文件作为投标文件的一部分。</w:t>
      </w:r>
    </w:p>
    <w:p w14:paraId="2283C2D1">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34664144">
      <w:pPr>
        <w:numPr>
          <w:ilvl w:val="1"/>
          <w:numId w:val="26"/>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谈判</w:t>
      </w:r>
      <w:r>
        <w:rPr>
          <w:rFonts w:hint="eastAsia" w:ascii="宋体" w:hAnsi="宋体" w:cs="宋体"/>
          <w:color w:val="auto"/>
          <w:szCs w:val="21"/>
        </w:rPr>
        <w:t>文件的要求相一致的文件，可以是文字资料、图纸和数据。</w:t>
      </w:r>
    </w:p>
    <w:p w14:paraId="4D4BF88B">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65" w:name="_Toc20270"/>
      <w:r>
        <w:rPr>
          <w:rFonts w:hint="eastAsia" w:ascii="宋体" w:hAnsi="宋体"/>
          <w:b/>
          <w:bCs/>
          <w:szCs w:val="21"/>
        </w:rPr>
        <w:t>投标文件的式样和签署、密封</w:t>
      </w:r>
      <w:bookmarkEnd w:id="65"/>
    </w:p>
    <w:p w14:paraId="669ADE1D">
      <w:pPr>
        <w:numPr>
          <w:ilvl w:val="1"/>
          <w:numId w:val="26"/>
        </w:numPr>
        <w:autoSpaceDE w:val="0"/>
        <w:autoSpaceDN w:val="0"/>
        <w:adjustRightInd w:val="0"/>
        <w:snapToGrid w:val="0"/>
        <w:spacing w:line="360" w:lineRule="auto"/>
        <w:rPr>
          <w:rFonts w:ascii="宋体" w:hAnsi="宋体" w:cs="黑体"/>
          <w:b/>
          <w:bCs/>
          <w:szCs w:val="21"/>
        </w:rPr>
      </w:pPr>
      <w:bookmarkStart w:id="66" w:name="_Toc435174936"/>
      <w:bookmarkStart w:id="67" w:name="_Toc435516653"/>
      <w:bookmarkStart w:id="68" w:name="_Toc438223139"/>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谈判须知</w:t>
      </w:r>
      <w:r>
        <w:rPr>
          <w:rFonts w:hint="eastAsia" w:ascii="宋体" w:hAnsi="宋体" w:cs="宋体"/>
          <w:szCs w:val="21"/>
        </w:rPr>
        <w:t>中规定数目的纸质副本。投标文件的副本可采用正本的复印件。每套投标文件须清楚地标明“正本”或“副本”。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33C4C948">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谈判</w:t>
      </w:r>
      <w:r>
        <w:rPr>
          <w:rFonts w:hint="eastAsia" w:ascii="宋体" w:hAnsi="宋体" w:cs="宋体"/>
          <w:szCs w:val="21"/>
        </w:rPr>
        <w:t>文件要求签署、盖章后的正本投标文件扫描成PDF格式后拷贝至无病毒无密码的U盘，若电子文件与正本不符，以正本为准。</w:t>
      </w:r>
    </w:p>
    <w:p w14:paraId="2956E498">
      <w:pPr>
        <w:numPr>
          <w:ilvl w:val="1"/>
          <w:numId w:val="26"/>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17D5B1D7">
      <w:pPr>
        <w:numPr>
          <w:ilvl w:val="2"/>
          <w:numId w:val="26"/>
        </w:numPr>
        <w:autoSpaceDE w:val="0"/>
        <w:autoSpaceDN w:val="0"/>
        <w:adjustRightInd w:val="0"/>
        <w:snapToGrid w:val="0"/>
        <w:spacing w:line="360" w:lineRule="auto"/>
        <w:ind w:left="851" w:hanging="851"/>
        <w:rPr>
          <w:rFonts w:ascii="宋体" w:hAnsi="宋体"/>
          <w:szCs w:val="21"/>
        </w:rPr>
      </w:pPr>
      <w:r>
        <w:rPr>
          <w:rFonts w:hint="eastAsia" w:ascii="宋体" w:hAnsi="宋体" w:cs="宋体"/>
          <w:szCs w:val="21"/>
        </w:rPr>
        <w:t>投标文件的正本需打印或用不褪色墨水书写，且</w:t>
      </w:r>
      <w:r>
        <w:rPr>
          <w:rFonts w:hint="eastAsia" w:ascii="宋体" w:hAnsi="宋体" w:cs="宋体"/>
          <w:szCs w:val="21"/>
          <w:lang w:eastAsia="zh-CN"/>
        </w:rPr>
        <w:t>谈判</w:t>
      </w:r>
      <w:r>
        <w:rPr>
          <w:rFonts w:hint="eastAsia" w:ascii="宋体" w:hAnsi="宋体" w:cs="宋体"/>
          <w:szCs w:val="21"/>
        </w:rPr>
        <w:t>文件要求签名的由法定代表人或经其正式授权的代表签字或盖章，以及</w:t>
      </w:r>
      <w:r>
        <w:rPr>
          <w:rFonts w:hint="eastAsia" w:ascii="宋体" w:hAnsi="宋体" w:cs="宋体"/>
          <w:szCs w:val="21"/>
          <w:lang w:eastAsia="zh-CN"/>
        </w:rPr>
        <w:t>谈判</w:t>
      </w:r>
      <w:r>
        <w:rPr>
          <w:rFonts w:hint="eastAsia" w:ascii="宋体" w:hAnsi="宋体" w:cs="宋体"/>
          <w:szCs w:val="21"/>
        </w:rPr>
        <w:t>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087BEF45">
      <w:pPr>
        <w:numPr>
          <w:ilvl w:val="2"/>
          <w:numId w:val="26"/>
        </w:numPr>
        <w:tabs>
          <w:tab w:val="left" w:pos="851"/>
        </w:tabs>
        <w:autoSpaceDE w:val="0"/>
        <w:autoSpaceDN w:val="0"/>
        <w:adjustRightInd w:val="0"/>
        <w:snapToGrid w:val="0"/>
        <w:spacing w:line="360" w:lineRule="auto"/>
        <w:ind w:left="851" w:hanging="851"/>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w:t>
      </w:r>
      <w:r>
        <w:rPr>
          <w:rFonts w:hint="eastAsia" w:ascii="宋体" w:hAnsi="宋体"/>
        </w:rPr>
        <w:t>或盖投标人公章</w:t>
      </w:r>
      <w:r>
        <w:rPr>
          <w:rFonts w:hint="eastAsia" w:ascii="宋体" w:hAnsi="宋体" w:cs="宋体"/>
          <w:szCs w:val="21"/>
        </w:rPr>
        <w:t>才有效。</w:t>
      </w:r>
    </w:p>
    <w:p w14:paraId="3179F55C">
      <w:pPr>
        <w:numPr>
          <w:ilvl w:val="1"/>
          <w:numId w:val="26"/>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w:t>
      </w:r>
      <w:r>
        <w:rPr>
          <w:rFonts w:hint="eastAsia" w:ascii="宋体" w:hAnsi="宋体" w:cs="宋体"/>
          <w:szCs w:val="21"/>
          <w:lang w:val="en-US" w:eastAsia="zh-CN"/>
        </w:rPr>
        <w:t>必须</w:t>
      </w:r>
      <w:r>
        <w:rPr>
          <w:rFonts w:hint="eastAsia" w:ascii="宋体" w:hAnsi="宋体"/>
          <w:b/>
          <w:bCs/>
          <w:szCs w:val="21"/>
        </w:rPr>
        <w:t>密封</w:t>
      </w:r>
      <w:r>
        <w:rPr>
          <w:rFonts w:hint="eastAsia" w:ascii="宋体" w:hAnsi="宋体" w:cs="宋体"/>
          <w:szCs w:val="21"/>
          <w:lang w:eastAsia="zh-TW"/>
        </w:rPr>
        <w:t>：</w:t>
      </w:r>
    </w:p>
    <w:p w14:paraId="10B9B55B">
      <w:pPr>
        <w:numPr>
          <w:ilvl w:val="2"/>
          <w:numId w:val="26"/>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谈判</w:t>
      </w:r>
      <w:r>
        <w:rPr>
          <w:rFonts w:hint="eastAsia" w:ascii="宋体" w:hAnsi="宋体" w:cs="宋体"/>
          <w:szCs w:val="21"/>
        </w:rPr>
        <w:t>文件中规定的开标日期和时间</w:t>
      </w:r>
      <w:r>
        <w:rPr>
          <w:rFonts w:ascii="宋体" w:hAnsi="宋体" w:cs="宋体"/>
          <w:szCs w:val="21"/>
        </w:rPr>
        <w:t>)</w:t>
      </w:r>
      <w:r>
        <w:rPr>
          <w:rFonts w:hint="eastAsia" w:ascii="宋体" w:hAnsi="宋体" w:cs="宋体"/>
          <w:szCs w:val="21"/>
        </w:rPr>
        <w:t>之前不得启封”的字样。</w:t>
      </w:r>
    </w:p>
    <w:p w14:paraId="2761954F">
      <w:pPr>
        <w:pStyle w:val="3"/>
        <w:numPr>
          <w:ilvl w:val="0"/>
          <w:numId w:val="0"/>
        </w:numPr>
        <w:spacing w:line="240" w:lineRule="auto"/>
        <w:ind w:left="420" w:leftChars="0" w:hanging="420" w:firstLineChars="0"/>
        <w:jc w:val="center"/>
        <w:rPr>
          <w:rFonts w:asciiTheme="majorEastAsia" w:hAnsiTheme="majorEastAsia" w:eastAsiaTheme="majorEastAsia"/>
          <w:sz w:val="30"/>
          <w:szCs w:val="30"/>
          <w:lang w:eastAsia="zh-TW"/>
        </w:rPr>
      </w:pPr>
      <w:bookmarkStart w:id="69" w:name="_Toc21758"/>
      <w:bookmarkStart w:id="70" w:name="_Toc5252"/>
      <w:bookmarkStart w:id="71" w:name="_Toc28883"/>
      <w:r>
        <w:rPr>
          <w:rFonts w:hint="eastAsia" w:asciiTheme="majorEastAsia" w:hAnsiTheme="majorEastAsia" w:eastAsiaTheme="majorEastAsia"/>
          <w:sz w:val="30"/>
          <w:szCs w:val="30"/>
          <w:lang w:eastAsia="zh-TW"/>
        </w:rPr>
        <w:t>投标文件的递交</w:t>
      </w:r>
      <w:bookmarkEnd w:id="66"/>
      <w:bookmarkEnd w:id="67"/>
      <w:bookmarkEnd w:id="68"/>
      <w:bookmarkEnd w:id="69"/>
      <w:bookmarkEnd w:id="70"/>
      <w:bookmarkEnd w:id="71"/>
    </w:p>
    <w:p w14:paraId="34019736">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72" w:name="_Toc13202"/>
      <w:r>
        <w:rPr>
          <w:rFonts w:hint="eastAsia" w:ascii="宋体" w:hAnsi="宋体"/>
          <w:b/>
          <w:bCs/>
          <w:szCs w:val="21"/>
        </w:rPr>
        <w:t>投标文件递交</w:t>
      </w:r>
      <w:bookmarkEnd w:id="72"/>
    </w:p>
    <w:p w14:paraId="6CF7C752">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C3AF87B">
      <w:pPr>
        <w:numPr>
          <w:ilvl w:val="1"/>
          <w:numId w:val="26"/>
        </w:numPr>
        <w:autoSpaceDE w:val="0"/>
        <w:autoSpaceDN w:val="0"/>
        <w:adjustRightInd w:val="0"/>
        <w:snapToGrid w:val="0"/>
        <w:spacing w:line="360" w:lineRule="auto"/>
        <w:rPr>
          <w:rFonts w:ascii="宋体" w:hAnsi="宋体" w:cs="黑体"/>
          <w:b/>
          <w:bCs/>
          <w:strike/>
          <w:szCs w:val="21"/>
        </w:rPr>
      </w:pPr>
      <w:r>
        <w:rPr>
          <w:rFonts w:hint="eastAsia" w:ascii="宋体" w:hAnsi="宋体" w:cs="宋体"/>
          <w:szCs w:val="21"/>
        </w:rPr>
        <w:t>逾期送达或者未按照</w:t>
      </w:r>
      <w:r>
        <w:rPr>
          <w:rFonts w:hint="eastAsia" w:ascii="宋体" w:hAnsi="宋体" w:cs="宋体"/>
          <w:szCs w:val="21"/>
          <w:lang w:eastAsia="zh-CN"/>
        </w:rPr>
        <w:t>谈判</w:t>
      </w:r>
      <w:r>
        <w:rPr>
          <w:rFonts w:hint="eastAsia" w:ascii="宋体" w:hAnsi="宋体" w:cs="宋体"/>
          <w:szCs w:val="21"/>
        </w:rPr>
        <w:t>文件要求密封的投标文件，采购人应当拒收。</w:t>
      </w:r>
    </w:p>
    <w:p w14:paraId="5FB9A843">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73" w:name="_Toc22017"/>
      <w:r>
        <w:rPr>
          <w:rFonts w:hint="eastAsia" w:ascii="宋体" w:hAnsi="宋体"/>
          <w:b/>
          <w:bCs/>
          <w:szCs w:val="21"/>
        </w:rPr>
        <w:t>投标文件的修改和撤回、撤销</w:t>
      </w:r>
      <w:bookmarkEnd w:id="73"/>
    </w:p>
    <w:p w14:paraId="6E8E5B6D">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谈判</w:t>
      </w:r>
      <w:r>
        <w:rPr>
          <w:rFonts w:hint="eastAsia" w:ascii="宋体" w:hAnsi="宋体" w:cs="宋体"/>
          <w:szCs w:val="21"/>
        </w:rPr>
        <w:t>文件要求签署、盖章、密封后，并作为投标文件的组成部分。在投标截止时间之后，投标人不得对其投标文件做任何修改和补充。</w:t>
      </w:r>
    </w:p>
    <w:p w14:paraId="00F01FD5">
      <w:pPr>
        <w:numPr>
          <w:ilvl w:val="1"/>
          <w:numId w:val="26"/>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谈判</w:t>
      </w:r>
      <w:r>
        <w:rPr>
          <w:rFonts w:hint="eastAsia" w:ascii="宋体" w:hAnsi="宋体"/>
          <w:bCs/>
        </w:rPr>
        <w:t>文件中规定的投标有效期内不可撤销其投标。</w:t>
      </w:r>
      <w:r>
        <w:rPr>
          <w:rFonts w:hint="eastAsia" w:ascii="宋体" w:hAnsi="宋体"/>
        </w:rPr>
        <w:t>投标人所提交的投标文件在本项目投标截止时间后均不予退还。</w:t>
      </w:r>
    </w:p>
    <w:p w14:paraId="07A1948D">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74" w:name="_Toc18853"/>
      <w:r>
        <w:rPr>
          <w:rFonts w:hint="eastAsia" w:ascii="宋体" w:hAnsi="宋体"/>
          <w:b/>
          <w:bCs/>
          <w:szCs w:val="21"/>
        </w:rPr>
        <w:t>质疑</w:t>
      </w:r>
      <w:bookmarkEnd w:id="74"/>
    </w:p>
    <w:p w14:paraId="6D72A899">
      <w:pPr>
        <w:numPr>
          <w:ilvl w:val="1"/>
          <w:numId w:val="26"/>
        </w:numPr>
        <w:autoSpaceDE w:val="0"/>
        <w:autoSpaceDN w:val="0"/>
        <w:adjustRightInd w:val="0"/>
        <w:snapToGrid w:val="0"/>
        <w:spacing w:line="360" w:lineRule="auto"/>
        <w:outlineLvl w:val="2"/>
        <w:rPr>
          <w:rFonts w:ascii="宋体" w:hAnsi="宋体" w:cs="黑体"/>
          <w:bCs/>
          <w:szCs w:val="21"/>
        </w:rPr>
      </w:pPr>
      <w:r>
        <w:rPr>
          <w:rFonts w:hint="eastAsia" w:ascii="宋体" w:hAnsi="宋体" w:cs="黑体"/>
          <w:bCs/>
          <w:szCs w:val="21"/>
        </w:rPr>
        <w:t>质疑</w:t>
      </w:r>
    </w:p>
    <w:p w14:paraId="40FAED7F">
      <w:pPr>
        <w:numPr>
          <w:ilvl w:val="2"/>
          <w:numId w:val="26"/>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质疑期限：</w:t>
      </w:r>
    </w:p>
    <w:p w14:paraId="495E23B1">
      <w:pPr>
        <w:numPr>
          <w:ilvl w:val="3"/>
          <w:numId w:val="2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供应商认为采购文件的内容损害其权益的，应在采购文件公布之日起七个工作日内。</w:t>
      </w:r>
    </w:p>
    <w:p w14:paraId="285D781C">
      <w:pPr>
        <w:numPr>
          <w:ilvl w:val="3"/>
          <w:numId w:val="2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供应商认为采购过程损害其权益的，应在各采购程序环节结束之日起七个工作日内。</w:t>
      </w:r>
    </w:p>
    <w:p w14:paraId="09A5D385">
      <w:pPr>
        <w:numPr>
          <w:ilvl w:val="3"/>
          <w:numId w:val="2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供应商认为中标或者成交结果以及评审委员会、谈判小组、竞价小组组成人员损害其权益的，应在中标或者成交结果公示之日起七个工作日内。</w:t>
      </w:r>
    </w:p>
    <w:p w14:paraId="4AC2CB6D">
      <w:pPr>
        <w:numPr>
          <w:ilvl w:val="2"/>
          <w:numId w:val="26"/>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提交要求：</w:t>
      </w:r>
    </w:p>
    <w:p w14:paraId="119713E8">
      <w:pPr>
        <w:numPr>
          <w:ilvl w:val="3"/>
          <w:numId w:val="2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3876402">
      <w:pPr>
        <w:numPr>
          <w:ilvl w:val="3"/>
          <w:numId w:val="2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以联合体形式参加政府采购活动的，其质疑应当由组成联合体的所有供应商共同提出。</w:t>
      </w:r>
    </w:p>
    <w:p w14:paraId="720447C5">
      <w:pPr>
        <w:numPr>
          <w:ilvl w:val="3"/>
          <w:numId w:val="2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代表的姓名或者名称、代理事项、具体权限、期限和相关事项）及授权代表身份证复印件。</w:t>
      </w:r>
    </w:p>
    <w:p w14:paraId="44F2E68E">
      <w:pPr>
        <w:numPr>
          <w:ilvl w:val="3"/>
          <w:numId w:val="26"/>
        </w:numPr>
        <w:autoSpaceDE w:val="0"/>
        <w:autoSpaceDN w:val="0"/>
        <w:adjustRightInd w:val="0"/>
        <w:snapToGrid w:val="0"/>
        <w:spacing w:line="360" w:lineRule="auto"/>
        <w:ind w:left="1078" w:hanging="1078"/>
        <w:rPr>
          <w:rFonts w:hAnsi="宋体"/>
          <w:snapToGrid w:val="0"/>
          <w:szCs w:val="21"/>
        </w:rPr>
      </w:pPr>
      <w:r>
        <w:rPr>
          <w:rFonts w:hint="eastAsia" w:hAnsi="宋体"/>
          <w:szCs w:val="21"/>
        </w:rPr>
        <w:t>供应商捏造事实、提供虚假材料或者以非法手段取得证明材料不能作为质疑的证明材料</w:t>
      </w:r>
      <w:r>
        <w:rPr>
          <w:rFonts w:hint="eastAsia" w:hAnsi="宋体"/>
          <w:snapToGrid w:val="0"/>
          <w:szCs w:val="21"/>
        </w:rPr>
        <w:t>。</w:t>
      </w:r>
    </w:p>
    <w:p w14:paraId="13B078DA">
      <w:pPr>
        <w:numPr>
          <w:ilvl w:val="3"/>
          <w:numId w:val="26"/>
        </w:numPr>
        <w:tabs>
          <w:tab w:val="left" w:pos="1134"/>
        </w:tabs>
        <w:autoSpaceDE w:val="0"/>
        <w:autoSpaceDN w:val="0"/>
        <w:adjustRightInd w:val="0"/>
        <w:snapToGrid w:val="0"/>
        <w:spacing w:line="360" w:lineRule="auto"/>
        <w:ind w:left="1078" w:hanging="1078"/>
        <w:rPr>
          <w:rFonts w:ascii="宋体" w:hAnsi="宋体" w:cs="黑体"/>
          <w:bCs/>
          <w:szCs w:val="21"/>
        </w:rPr>
      </w:pPr>
      <w:r>
        <w:rPr>
          <w:rFonts w:hint="eastAsia" w:ascii="宋体" w:hAnsi="宋体"/>
          <w:szCs w:val="21"/>
        </w:rPr>
        <w:tab/>
      </w: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743620BC">
      <w:pPr>
        <w:numPr>
          <w:ilvl w:val="2"/>
          <w:numId w:val="26"/>
        </w:numPr>
        <w:autoSpaceDE w:val="0"/>
        <w:autoSpaceDN w:val="0"/>
        <w:adjustRightInd w:val="0"/>
        <w:snapToGrid w:val="0"/>
        <w:spacing w:line="360" w:lineRule="auto"/>
        <w:ind w:left="851" w:hanging="851"/>
        <w:rPr>
          <w:rFonts w:ascii="宋体" w:hAnsi="宋体" w:cs="黑体"/>
          <w:b/>
          <w:bCs/>
          <w:szCs w:val="21"/>
        </w:rPr>
      </w:pPr>
      <w:r>
        <w:rPr>
          <w:rFonts w:hint="eastAsia" w:hAnsi="宋体"/>
          <w:snapToGrid w:val="0"/>
          <w:szCs w:val="21"/>
        </w:rPr>
        <w:t>采购人接收以书面形式递交的质疑函，接收质疑函的联系人、联系方式和通讯地址</w:t>
      </w:r>
      <w:r>
        <w:rPr>
          <w:rFonts w:hint="eastAsia" w:hAnsi="宋体"/>
          <w:snapToGrid w:val="0"/>
          <w:szCs w:val="21"/>
          <w:lang w:val="en-US" w:eastAsia="zh-CN"/>
        </w:rPr>
        <w:t>见采购公告</w:t>
      </w:r>
      <w:r>
        <w:rPr>
          <w:rFonts w:hint="eastAsia" w:ascii="宋体" w:hAnsi="宋体"/>
          <w:szCs w:val="21"/>
        </w:rPr>
        <w:t>。</w:t>
      </w:r>
    </w:p>
    <w:p w14:paraId="263985DD">
      <w:pPr>
        <w:numPr>
          <w:ilvl w:val="2"/>
          <w:numId w:val="26"/>
        </w:numPr>
        <w:autoSpaceDE w:val="0"/>
        <w:autoSpaceDN w:val="0"/>
        <w:adjustRightInd w:val="0"/>
        <w:snapToGrid w:val="0"/>
        <w:spacing w:line="360" w:lineRule="auto"/>
        <w:ind w:left="851" w:hanging="851"/>
        <w:rPr>
          <w:rFonts w:hint="eastAsia" w:hAnsi="宋体"/>
          <w:snapToGrid w:val="0"/>
          <w:szCs w:val="21"/>
        </w:rPr>
      </w:pPr>
      <w:r>
        <w:rPr>
          <w:rFonts w:hint="eastAsia" w:hAnsi="宋体"/>
          <w:snapToGrid w:val="0"/>
          <w:szCs w:val="21"/>
        </w:rPr>
        <w:t>提出质疑的供应商应当是参与所质疑项目采购活动的供应商。</w:t>
      </w:r>
    </w:p>
    <w:p w14:paraId="74E07005">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75" w:name="_Toc19729"/>
      <w:r>
        <w:rPr>
          <w:rFonts w:hint="eastAsia" w:ascii="宋体" w:hAnsi="宋体"/>
          <w:b/>
          <w:bCs/>
          <w:szCs w:val="21"/>
        </w:rPr>
        <w:t>中标通知书</w:t>
      </w:r>
      <w:bookmarkEnd w:id="75"/>
    </w:p>
    <w:p w14:paraId="0275F8BA">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A6AFA14">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14:paraId="3FF9917A">
      <w:pPr>
        <w:pStyle w:val="3"/>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76" w:name="_Toc7529"/>
      <w:bookmarkStart w:id="77" w:name="_Toc20050"/>
      <w:bookmarkStart w:id="78" w:name="_Toc435174938"/>
      <w:bookmarkStart w:id="79" w:name="_Toc438223141"/>
      <w:bookmarkStart w:id="80" w:name="_Toc6704"/>
      <w:bookmarkStart w:id="81" w:name="_Toc435516655"/>
      <w:r>
        <w:rPr>
          <w:rFonts w:hint="eastAsia" w:asciiTheme="majorEastAsia" w:hAnsiTheme="majorEastAsia" w:eastAsiaTheme="majorEastAsia"/>
          <w:sz w:val="30"/>
          <w:szCs w:val="30"/>
          <w:lang w:eastAsia="zh-TW"/>
        </w:rPr>
        <w:t>授予合同</w:t>
      </w:r>
      <w:bookmarkEnd w:id="76"/>
      <w:bookmarkEnd w:id="77"/>
      <w:bookmarkEnd w:id="78"/>
      <w:bookmarkEnd w:id="79"/>
      <w:bookmarkEnd w:id="80"/>
      <w:bookmarkEnd w:id="81"/>
    </w:p>
    <w:p w14:paraId="58EF3211">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82" w:name="_Toc23713"/>
      <w:bookmarkStart w:id="83" w:name="_Toc5467"/>
      <w:r>
        <w:rPr>
          <w:rFonts w:hint="eastAsia" w:ascii="宋体" w:hAnsi="宋体"/>
          <w:b/>
          <w:bCs/>
          <w:szCs w:val="21"/>
        </w:rPr>
        <w:t>合同的订立</w:t>
      </w:r>
      <w:bookmarkEnd w:id="82"/>
      <w:bookmarkEnd w:id="83"/>
    </w:p>
    <w:p w14:paraId="4D85A810">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采购人应当自中标通知书发出之日起十个工作日内，按照</w:t>
      </w:r>
      <w:r>
        <w:rPr>
          <w:rFonts w:hint="eastAsia" w:ascii="宋体" w:hAnsi="宋体" w:cs="宋体"/>
          <w:szCs w:val="21"/>
          <w:lang w:eastAsia="zh-CN"/>
        </w:rPr>
        <w:t>谈判</w:t>
      </w:r>
      <w:r>
        <w:rPr>
          <w:rFonts w:hint="eastAsia" w:ascii="宋体" w:hAnsi="宋体" w:cs="宋体"/>
          <w:szCs w:val="21"/>
        </w:rPr>
        <w:t>文件和中标人投标文件的约定，与中标人签订书面合同。所签订的合同不得对</w:t>
      </w:r>
      <w:r>
        <w:rPr>
          <w:rFonts w:hint="eastAsia" w:ascii="宋体" w:hAnsi="宋体" w:cs="宋体"/>
          <w:szCs w:val="21"/>
          <w:lang w:eastAsia="zh-CN"/>
        </w:rPr>
        <w:t>谈判</w:t>
      </w:r>
      <w:r>
        <w:rPr>
          <w:rFonts w:hint="eastAsia" w:ascii="宋体" w:hAnsi="宋体" w:cs="宋体"/>
          <w:szCs w:val="21"/>
        </w:rPr>
        <w:t>文件和中标人投标文件作实质性修改。</w:t>
      </w:r>
    </w:p>
    <w:p w14:paraId="6A8641E7">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采购人不得向中标人提出任何不合理的要求，作为签订合同的条件，不得与中标人私下订立背离合同实质性内容的协议。 </w:t>
      </w:r>
    </w:p>
    <w:p w14:paraId="5A4F68FF">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自政府采购合同签订之日起2个工作日内，采购人应将政府采购合同在指定的渠道公告，但政府采购合同中涉及国家秘密、商业秘密的内容除外。</w:t>
      </w:r>
    </w:p>
    <w:p w14:paraId="608A44DF">
      <w:pPr>
        <w:numPr>
          <w:ilvl w:val="1"/>
          <w:numId w:val="26"/>
        </w:numPr>
        <w:autoSpaceDE w:val="0"/>
        <w:autoSpaceDN w:val="0"/>
        <w:adjustRightInd w:val="0"/>
        <w:snapToGrid w:val="0"/>
        <w:spacing w:line="360" w:lineRule="auto"/>
        <w:rPr>
          <w:rFonts w:ascii="宋体" w:hAnsi="宋体" w:cs="宋体"/>
          <w:szCs w:val="21"/>
        </w:rPr>
      </w:pPr>
      <w:r>
        <w:rPr>
          <w:rFonts w:hint="eastAsia" w:ascii="宋体" w:hAnsi="宋体" w:cs="宋体"/>
          <w:szCs w:val="21"/>
        </w:rPr>
        <w:t>政府采购合同签订之日起10日内，采购人应将政府采购合同副本报同级监管部门备案和有关部门备案。</w:t>
      </w:r>
    </w:p>
    <w:p w14:paraId="38113B04">
      <w:pPr>
        <w:numPr>
          <w:ilvl w:val="0"/>
          <w:numId w:val="26"/>
        </w:numPr>
        <w:autoSpaceDE w:val="0"/>
        <w:autoSpaceDN w:val="0"/>
        <w:adjustRightInd w:val="0"/>
        <w:snapToGrid w:val="0"/>
        <w:spacing w:line="360" w:lineRule="auto"/>
        <w:ind w:left="449" w:hanging="449" w:hangingChars="213"/>
        <w:outlineLvl w:val="1"/>
        <w:rPr>
          <w:rFonts w:ascii="宋体" w:hAnsi="宋体"/>
          <w:b/>
          <w:bCs/>
          <w:szCs w:val="21"/>
        </w:rPr>
      </w:pPr>
      <w:bookmarkStart w:id="84" w:name="_Toc5053"/>
      <w:bookmarkStart w:id="85" w:name="_Toc560"/>
      <w:r>
        <w:rPr>
          <w:rFonts w:hint="eastAsia" w:ascii="宋体" w:hAnsi="宋体"/>
          <w:b/>
          <w:bCs/>
          <w:szCs w:val="21"/>
        </w:rPr>
        <w:t>合同的履行</w:t>
      </w:r>
      <w:bookmarkEnd w:id="84"/>
      <w:bookmarkEnd w:id="85"/>
    </w:p>
    <w:p w14:paraId="5265F92B">
      <w:pPr>
        <w:numPr>
          <w:ilvl w:val="1"/>
          <w:numId w:val="2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77244EEC">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宋体" w:hAnsi="宋体" w:cs="宋体"/>
          <w:szCs w:val="21"/>
        </w:rPr>
        <w:t>政府采购合同履行中，采购人需追加与合同标的相同的货物、工程或者服务的，在不改变合同其他条款的前提下，可以与供应商签订补充合同，但所补充合同的采购金额不得超过原合同采购金额的</w:t>
      </w:r>
      <w:r>
        <w:rPr>
          <w:rFonts w:hint="eastAsia" w:ascii="宋体" w:hAnsi="宋体" w:cs="宋体"/>
          <w:szCs w:val="21"/>
          <w:lang w:eastAsia="zh-CN"/>
        </w:rPr>
        <w:t>10%</w:t>
      </w:r>
      <w:r>
        <w:rPr>
          <w:rFonts w:hint="eastAsia" w:ascii="宋体" w:hAnsi="宋体" w:cs="宋体"/>
          <w:szCs w:val="21"/>
        </w:rPr>
        <w:t>。</w:t>
      </w:r>
      <w:r>
        <w:rPr>
          <w:rFonts w:hint="eastAsia" w:ascii="宋体" w:hAnsi="宋体" w:cs="宋体"/>
          <w:szCs w:val="21"/>
          <w:lang w:eastAsia="zh-TW"/>
        </w:rPr>
        <w:t>签订补充合同的必须按规定备案。</w:t>
      </w:r>
    </w:p>
    <w:p w14:paraId="77D8205C">
      <w:pPr>
        <w:spacing w:line="240" w:lineRule="atLeast"/>
        <w:rPr>
          <w:rFonts w:hint="eastAsia" w:ascii="仿宋" w:hAnsi="仿宋" w:eastAsia="仿宋" w:cs="仿宋"/>
          <w:szCs w:val="21"/>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5C5E026-5AE0-4CDA-ADB0-95FC00722B15}"/>
  </w:font>
  <w:font w:name="Arial">
    <w:panose1 w:val="020B0604020202020204"/>
    <w:charset w:val="01"/>
    <w:family w:val="swiss"/>
    <w:pitch w:val="default"/>
    <w:sig w:usb0="E0002EFF" w:usb1="C000785B" w:usb2="00000009" w:usb3="00000000" w:csb0="400001FF" w:csb1="FFFF0000"/>
    <w:embedRegular r:id="rId2" w:fontKey="{628773FE-2CE0-4BD3-A5A1-367A258089A6}"/>
  </w:font>
  <w:font w:name="黑体">
    <w:panose1 w:val="02010609060101010101"/>
    <w:charset w:val="86"/>
    <w:family w:val="auto"/>
    <w:pitch w:val="default"/>
    <w:sig w:usb0="800002BF" w:usb1="38CF7CFA" w:usb2="00000016" w:usb3="00000000" w:csb0="00040001" w:csb1="00000000"/>
    <w:embedRegular r:id="rId3" w:fontKey="{0FC77530-B9E9-41CB-AE22-B5F0064D9C40}"/>
  </w:font>
  <w:font w:name="Courier New">
    <w:panose1 w:val="02070309020205020404"/>
    <w:charset w:val="01"/>
    <w:family w:val="modern"/>
    <w:pitch w:val="default"/>
    <w:sig w:usb0="E0002EFF" w:usb1="C0007843" w:usb2="00000009" w:usb3="00000000" w:csb0="400001FF" w:csb1="FFFF0000"/>
    <w:embedRegular r:id="rId4" w:fontKey="{2BD60654-81F2-4141-AFE2-BA61E20B18F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14796136-2045-462F-82F9-1B08F827E9A1}"/>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1FF"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roman"/>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embedRegular r:id="rId6" w:fontKey="{5CBC59BB-6542-4A0A-A485-4B1312B50DA6}"/>
  </w:font>
  <w:font w:name="方正小标宋简体">
    <w:panose1 w:val="02000000000000000000"/>
    <w:charset w:val="86"/>
    <w:family w:val="script"/>
    <w:pitch w:val="default"/>
    <w:sig w:usb0="00000001" w:usb1="08000000" w:usb2="00000000" w:usb3="00000000" w:csb0="00040000" w:csb1="00000000"/>
    <w:embedRegular r:id="rId7" w:fontKey="{919271D8-E69E-4617-B154-2CD71C95B3AC}"/>
  </w:font>
  <w:font w:name="WPSEMBED1">
    <w:panose1 w:val="02000000000000000000"/>
    <w:charset w:val="86"/>
    <w:family w:val="auto"/>
    <w:pitch w:val="default"/>
    <w:sig w:usb0="00000001" w:usb1="08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1BD7">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41F9E">
                          <w:pPr>
                            <w:pStyle w:val="29"/>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9041F9E">
                    <w:pPr>
                      <w:pStyle w:val="29"/>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v:textbox>
            </v:shape>
          </w:pict>
        </mc:Fallback>
      </mc:AlternateContent>
    </w:r>
  </w:p>
  <w:p w14:paraId="1A5EFFF4"/>
  <w:p w14:paraId="4358C9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A1F2">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B1A02">
                          <w:pPr>
                            <w:pStyle w:val="29"/>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8B1A02">
                    <w:pPr>
                      <w:pStyle w:val="29"/>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4AF1">
    <w:pPr>
      <w:pStyle w:val="29"/>
      <w:framePr w:wrap="around" w:vAnchor="text" w:hAnchor="margin" w:xAlign="center" w:y="1"/>
      <w:rPr>
        <w:rStyle w:val="48"/>
      </w:rPr>
    </w:pPr>
    <w:r>
      <w:fldChar w:fldCharType="begin"/>
    </w:r>
    <w:r>
      <w:rPr>
        <w:rStyle w:val="48"/>
      </w:rPr>
      <w:instrText xml:space="preserve">PAGE  </w:instrText>
    </w:r>
    <w:r>
      <w:fldChar w:fldCharType="separate"/>
    </w:r>
    <w:r>
      <w:rPr>
        <w:rStyle w:val="48"/>
      </w:rPr>
      <w:t>65</w:t>
    </w:r>
    <w:r>
      <w:fldChar w:fldCharType="end"/>
    </w:r>
  </w:p>
  <w:p w14:paraId="1C0C4AB2">
    <w:pPr>
      <w:pStyle w:val="29"/>
    </w:pPr>
  </w:p>
  <w:p w14:paraId="133E6DDA"/>
  <w:p w14:paraId="6CD32AE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272"/>
  <w:p w14:paraId="09179E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A6DFF0"/>
    <w:multiLevelType w:val="singleLevel"/>
    <w:tmpl w:val="A5A6DFF0"/>
    <w:lvl w:ilvl="0" w:tentative="0">
      <w:start w:val="1"/>
      <w:numFmt w:val="decimal"/>
      <w:lvlText w:val="%1."/>
      <w:lvlJc w:val="left"/>
      <w:pPr>
        <w:tabs>
          <w:tab w:val="left" w:pos="312"/>
        </w:tabs>
      </w:pPr>
    </w:lvl>
  </w:abstractNum>
  <w:abstractNum w:abstractNumId="1">
    <w:nsid w:val="DCF1001B"/>
    <w:multiLevelType w:val="singleLevel"/>
    <w:tmpl w:val="DCF1001B"/>
    <w:lvl w:ilvl="0" w:tentative="0">
      <w:start w:val="2"/>
      <w:numFmt w:val="chineseCounting"/>
      <w:suff w:val="nothing"/>
      <w:lvlText w:val="%1、"/>
      <w:lvlJc w:val="left"/>
      <w:rPr>
        <w:rFonts w:hint="eastAsia"/>
      </w:rPr>
    </w:lvl>
  </w:abstractNum>
  <w:abstractNum w:abstractNumId="2">
    <w:nsid w:val="00000025"/>
    <w:multiLevelType w:val="multilevel"/>
    <w:tmpl w:val="00000025"/>
    <w:lvl w:ilvl="0" w:tentative="0">
      <w:start w:val="3"/>
      <w:numFmt w:val="japaneseCounting"/>
      <w:pStyle w:val="15"/>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3">
    <w:nsid w:val="070444F8"/>
    <w:multiLevelType w:val="singleLevel"/>
    <w:tmpl w:val="070444F8"/>
    <w:lvl w:ilvl="0" w:tentative="0">
      <w:start w:val="2"/>
      <w:numFmt w:val="chineseCounting"/>
      <w:suff w:val="nothing"/>
      <w:lvlText w:val="（%1）"/>
      <w:lvlJc w:val="left"/>
      <w:rPr>
        <w:rFonts w:hint="eastAsia"/>
      </w:rPr>
    </w:lvl>
  </w:abstractNum>
  <w:abstractNum w:abstractNumId="4">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16A30F46"/>
    <w:multiLevelType w:val="multilevel"/>
    <w:tmpl w:val="16A30F4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8">
    <w:nsid w:val="1FAB1514"/>
    <w:multiLevelType w:val="multilevel"/>
    <w:tmpl w:val="1FAB1514"/>
    <w:lvl w:ilvl="0" w:tentative="0">
      <w:start w:val="1"/>
      <w:numFmt w:val="decimal"/>
      <w:lvlText w:val="（%1）"/>
      <w:lvlJc w:val="left"/>
      <w:pPr>
        <w:ind w:left="890" w:hanging="420"/>
      </w:pPr>
      <w:rPr>
        <w:rFonts w:hint="eastAsia"/>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abstractNum w:abstractNumId="9">
    <w:nsid w:val="26368DD5"/>
    <w:multiLevelType w:val="singleLevel"/>
    <w:tmpl w:val="26368DD5"/>
    <w:lvl w:ilvl="0" w:tentative="0">
      <w:start w:val="2"/>
      <w:numFmt w:val="chineseCounting"/>
      <w:suff w:val="nothing"/>
      <w:lvlText w:val="（%1）"/>
      <w:lvlJc w:val="left"/>
      <w:rPr>
        <w:rFonts w:hint="eastAsia"/>
      </w:rPr>
    </w:lvl>
  </w:abstractNum>
  <w:abstractNum w:abstractNumId="10">
    <w:nsid w:val="2A22027B"/>
    <w:multiLevelType w:val="multilevel"/>
    <w:tmpl w:val="2A22027B"/>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2">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31484D5B"/>
    <w:multiLevelType w:val="multilevel"/>
    <w:tmpl w:val="31484D5B"/>
    <w:lvl w:ilvl="0" w:tentative="0">
      <w:start w:val="1"/>
      <w:numFmt w:val="decimal"/>
      <w:lvlText w:val="（%1）"/>
      <w:lvlJc w:val="left"/>
      <w:pPr>
        <w:ind w:left="890" w:hanging="420"/>
      </w:pPr>
      <w:rPr>
        <w:rFonts w:hint="eastAsia"/>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abstractNum w:abstractNumId="14">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5">
    <w:nsid w:val="3B363D98"/>
    <w:multiLevelType w:val="multilevel"/>
    <w:tmpl w:val="3B363D98"/>
    <w:lvl w:ilvl="0" w:tentative="0">
      <w:start w:val="1"/>
      <w:numFmt w:val="decimal"/>
      <w:pStyle w:val="14"/>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6">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3E2C66A0"/>
    <w:multiLevelType w:val="multilevel"/>
    <w:tmpl w:val="3E2C66A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0942E71"/>
    <w:multiLevelType w:val="multilevel"/>
    <w:tmpl w:val="40942E7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20">
    <w:nsid w:val="508B387D"/>
    <w:multiLevelType w:val="multilevel"/>
    <w:tmpl w:val="508B387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5806A63"/>
    <w:multiLevelType w:val="multilevel"/>
    <w:tmpl w:val="55806A6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3">
    <w:nsid w:val="68A12DBB"/>
    <w:multiLevelType w:val="singleLevel"/>
    <w:tmpl w:val="68A12DBB"/>
    <w:lvl w:ilvl="0" w:tentative="0">
      <w:start w:val="3"/>
      <w:numFmt w:val="decimal"/>
      <w:suff w:val="nothing"/>
      <w:lvlText w:val="（%1）"/>
      <w:lvlJc w:val="left"/>
    </w:lvl>
  </w:abstractNum>
  <w:abstractNum w:abstractNumId="24">
    <w:nsid w:val="77A54711"/>
    <w:multiLevelType w:val="multilevel"/>
    <w:tmpl w:val="77A54711"/>
    <w:lvl w:ilvl="0" w:tentative="0">
      <w:start w:val="1"/>
      <w:numFmt w:val="decimal"/>
      <w:lvlText w:val="（%1）"/>
      <w:lvlJc w:val="left"/>
      <w:pPr>
        <w:ind w:left="890" w:hanging="420"/>
      </w:pPr>
      <w:rPr>
        <w:rFonts w:hint="eastAsia"/>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abstractNum w:abstractNumId="25">
    <w:nsid w:val="7BBF2EEA"/>
    <w:multiLevelType w:val="multilevel"/>
    <w:tmpl w:val="7BBF2EEA"/>
    <w:lvl w:ilvl="0" w:tentative="0">
      <w:start w:val="1"/>
      <w:numFmt w:val="decimal"/>
      <w:lvlText w:val="%1."/>
      <w:lvlJc w:val="left"/>
      <w:pPr>
        <w:ind w:left="540" w:hanging="420"/>
      </w:pPr>
      <w:rPr>
        <w:rFonts w:hint="eastAsia"/>
      </w:rPr>
    </w:lvl>
    <w:lvl w:ilvl="1" w:tentative="0">
      <w:start w:val="1"/>
      <w:numFmt w:val="lowerLetter"/>
      <w:lvlText w:val="%2)"/>
      <w:lvlJc w:val="left"/>
      <w:pPr>
        <w:ind w:left="960" w:hanging="420"/>
      </w:pPr>
    </w:lvl>
    <w:lvl w:ilvl="2" w:tentative="0">
      <w:start w:val="1"/>
      <w:numFmt w:val="lowerRoman"/>
      <w:lvlText w:val="%3."/>
      <w:lvlJc w:val="right"/>
      <w:pPr>
        <w:ind w:left="1380" w:hanging="420"/>
      </w:pPr>
    </w:lvl>
    <w:lvl w:ilvl="3" w:tentative="0">
      <w:start w:val="1"/>
      <w:numFmt w:val="decimal"/>
      <w:lvlText w:val="%4."/>
      <w:lvlJc w:val="left"/>
      <w:pPr>
        <w:ind w:left="1800" w:hanging="420"/>
      </w:pPr>
    </w:lvl>
    <w:lvl w:ilvl="4" w:tentative="0">
      <w:start w:val="1"/>
      <w:numFmt w:val="lowerLetter"/>
      <w:lvlText w:val="%5)"/>
      <w:lvlJc w:val="left"/>
      <w:pPr>
        <w:ind w:left="2220" w:hanging="420"/>
      </w:pPr>
    </w:lvl>
    <w:lvl w:ilvl="5" w:tentative="0">
      <w:start w:val="1"/>
      <w:numFmt w:val="lowerRoman"/>
      <w:lvlText w:val="%6."/>
      <w:lvlJc w:val="right"/>
      <w:pPr>
        <w:ind w:left="2640" w:hanging="420"/>
      </w:pPr>
    </w:lvl>
    <w:lvl w:ilvl="6" w:tentative="0">
      <w:start w:val="1"/>
      <w:numFmt w:val="decimal"/>
      <w:lvlText w:val="%7."/>
      <w:lvlJc w:val="left"/>
      <w:pPr>
        <w:ind w:left="3060" w:hanging="420"/>
      </w:pPr>
    </w:lvl>
    <w:lvl w:ilvl="7" w:tentative="0">
      <w:start w:val="1"/>
      <w:numFmt w:val="lowerLetter"/>
      <w:lvlText w:val="%8)"/>
      <w:lvlJc w:val="left"/>
      <w:pPr>
        <w:ind w:left="3480" w:hanging="420"/>
      </w:pPr>
    </w:lvl>
    <w:lvl w:ilvl="8" w:tentative="0">
      <w:start w:val="1"/>
      <w:numFmt w:val="lowerRoman"/>
      <w:lvlText w:val="%9."/>
      <w:lvlJc w:val="right"/>
      <w:pPr>
        <w:ind w:left="3900" w:hanging="420"/>
      </w:pPr>
    </w:lvl>
  </w:abstractNum>
  <w:num w:numId="1">
    <w:abstractNumId w:val="15"/>
  </w:num>
  <w:num w:numId="2">
    <w:abstractNumId w:val="2"/>
  </w:num>
  <w:num w:numId="3">
    <w:abstractNumId w:val="7"/>
  </w:num>
  <w:num w:numId="4">
    <w:abstractNumId w:val="16"/>
  </w:num>
  <w:num w:numId="5">
    <w:abstractNumId w:val="14"/>
  </w:num>
  <w:num w:numId="6">
    <w:abstractNumId w:val="19"/>
  </w:num>
  <w:num w:numId="7">
    <w:abstractNumId w:val="12"/>
  </w:num>
  <w:num w:numId="8">
    <w:abstractNumId w:val="5"/>
  </w:num>
  <w:num w:numId="9">
    <w:abstractNumId w:val="4"/>
  </w:num>
  <w:num w:numId="10">
    <w:abstractNumId w:val="11"/>
  </w:num>
  <w:num w:numId="11">
    <w:abstractNumId w:val="1"/>
  </w:num>
  <w:num w:numId="12">
    <w:abstractNumId w:val="25"/>
  </w:num>
  <w:num w:numId="13">
    <w:abstractNumId w:val="18"/>
  </w:num>
  <w:num w:numId="14">
    <w:abstractNumId w:val="9"/>
  </w:num>
  <w:num w:numId="15">
    <w:abstractNumId w:val="13"/>
  </w:num>
  <w:num w:numId="16">
    <w:abstractNumId w:val="20"/>
  </w:num>
  <w:num w:numId="17">
    <w:abstractNumId w:val="8"/>
  </w:num>
  <w:num w:numId="18">
    <w:abstractNumId w:val="24"/>
  </w:num>
  <w:num w:numId="19">
    <w:abstractNumId w:val="6"/>
  </w:num>
  <w:num w:numId="20">
    <w:abstractNumId w:val="21"/>
  </w:num>
  <w:num w:numId="21">
    <w:abstractNumId w:val="17"/>
  </w:num>
  <w:num w:numId="22">
    <w:abstractNumId w:val="0"/>
  </w:num>
  <w:num w:numId="23">
    <w:abstractNumId w:val="23"/>
  </w:num>
  <w:num w:numId="24">
    <w:abstractNumId w:val="10"/>
  </w:num>
  <w:num w:numId="25">
    <w:abstractNumId w:val="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1NDEwMWJiODY4ZTIyODMxMWZlYzEyNGQ4ZDEyYzgifQ=="/>
  </w:docVars>
  <w:rsids>
    <w:rsidRoot w:val="00172A27"/>
    <w:rsid w:val="00000B85"/>
    <w:rsid w:val="00002117"/>
    <w:rsid w:val="00002131"/>
    <w:rsid w:val="0000255A"/>
    <w:rsid w:val="00002935"/>
    <w:rsid w:val="0001028F"/>
    <w:rsid w:val="00010ADA"/>
    <w:rsid w:val="00010C4B"/>
    <w:rsid w:val="00010F1F"/>
    <w:rsid w:val="00012649"/>
    <w:rsid w:val="0001315E"/>
    <w:rsid w:val="00020324"/>
    <w:rsid w:val="0002174F"/>
    <w:rsid w:val="00021756"/>
    <w:rsid w:val="0002359E"/>
    <w:rsid w:val="00023CE1"/>
    <w:rsid w:val="00024037"/>
    <w:rsid w:val="00025B68"/>
    <w:rsid w:val="00026A43"/>
    <w:rsid w:val="00027DA9"/>
    <w:rsid w:val="000301E0"/>
    <w:rsid w:val="000301FC"/>
    <w:rsid w:val="00031968"/>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BE7"/>
    <w:rsid w:val="00056E88"/>
    <w:rsid w:val="000573EA"/>
    <w:rsid w:val="000578ED"/>
    <w:rsid w:val="000642C0"/>
    <w:rsid w:val="00065B2C"/>
    <w:rsid w:val="000662F6"/>
    <w:rsid w:val="0006703A"/>
    <w:rsid w:val="0006744A"/>
    <w:rsid w:val="00067654"/>
    <w:rsid w:val="00067F97"/>
    <w:rsid w:val="000708E1"/>
    <w:rsid w:val="000709F3"/>
    <w:rsid w:val="00072D64"/>
    <w:rsid w:val="000732FB"/>
    <w:rsid w:val="000750AE"/>
    <w:rsid w:val="0007616F"/>
    <w:rsid w:val="00077E7D"/>
    <w:rsid w:val="00081DFF"/>
    <w:rsid w:val="0008370E"/>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C2"/>
    <w:rsid w:val="000A60D5"/>
    <w:rsid w:val="000A6ECE"/>
    <w:rsid w:val="000B2F15"/>
    <w:rsid w:val="000B3524"/>
    <w:rsid w:val="000B3819"/>
    <w:rsid w:val="000B49E9"/>
    <w:rsid w:val="000B4E1F"/>
    <w:rsid w:val="000C29C8"/>
    <w:rsid w:val="000C3893"/>
    <w:rsid w:val="000C6107"/>
    <w:rsid w:val="000C74DF"/>
    <w:rsid w:val="000D1BAD"/>
    <w:rsid w:val="000D203D"/>
    <w:rsid w:val="000D2153"/>
    <w:rsid w:val="000D275E"/>
    <w:rsid w:val="000D2E15"/>
    <w:rsid w:val="000D3F56"/>
    <w:rsid w:val="000D4CA1"/>
    <w:rsid w:val="000D6792"/>
    <w:rsid w:val="000D6DB0"/>
    <w:rsid w:val="000D7BAE"/>
    <w:rsid w:val="000E1D9A"/>
    <w:rsid w:val="000E2079"/>
    <w:rsid w:val="000E330E"/>
    <w:rsid w:val="000E38A1"/>
    <w:rsid w:val="000E3E56"/>
    <w:rsid w:val="000E4D81"/>
    <w:rsid w:val="000F15C7"/>
    <w:rsid w:val="000F1E07"/>
    <w:rsid w:val="000F261D"/>
    <w:rsid w:val="000F400A"/>
    <w:rsid w:val="000F45B2"/>
    <w:rsid w:val="000F4AC2"/>
    <w:rsid w:val="000F5A48"/>
    <w:rsid w:val="000F686C"/>
    <w:rsid w:val="000F713E"/>
    <w:rsid w:val="000F74F3"/>
    <w:rsid w:val="00100112"/>
    <w:rsid w:val="0010218C"/>
    <w:rsid w:val="0010224E"/>
    <w:rsid w:val="00102479"/>
    <w:rsid w:val="00103897"/>
    <w:rsid w:val="00103E02"/>
    <w:rsid w:val="001051CC"/>
    <w:rsid w:val="00106342"/>
    <w:rsid w:val="00106746"/>
    <w:rsid w:val="00110A2F"/>
    <w:rsid w:val="00110B4D"/>
    <w:rsid w:val="0011308B"/>
    <w:rsid w:val="001132F7"/>
    <w:rsid w:val="00113F47"/>
    <w:rsid w:val="00115057"/>
    <w:rsid w:val="00115E6E"/>
    <w:rsid w:val="00116455"/>
    <w:rsid w:val="00116D3E"/>
    <w:rsid w:val="001215FB"/>
    <w:rsid w:val="00121B32"/>
    <w:rsid w:val="00122372"/>
    <w:rsid w:val="001224B1"/>
    <w:rsid w:val="00122630"/>
    <w:rsid w:val="0012774F"/>
    <w:rsid w:val="00133D7C"/>
    <w:rsid w:val="00134020"/>
    <w:rsid w:val="00137DA9"/>
    <w:rsid w:val="001417EC"/>
    <w:rsid w:val="0014250D"/>
    <w:rsid w:val="00142EED"/>
    <w:rsid w:val="00143729"/>
    <w:rsid w:val="00144C60"/>
    <w:rsid w:val="00145FF2"/>
    <w:rsid w:val="00146200"/>
    <w:rsid w:val="00146FBA"/>
    <w:rsid w:val="001473DF"/>
    <w:rsid w:val="001506AF"/>
    <w:rsid w:val="00150864"/>
    <w:rsid w:val="00151031"/>
    <w:rsid w:val="00151E9C"/>
    <w:rsid w:val="00155CFC"/>
    <w:rsid w:val="0015653F"/>
    <w:rsid w:val="00156B09"/>
    <w:rsid w:val="00162607"/>
    <w:rsid w:val="001631B7"/>
    <w:rsid w:val="00163364"/>
    <w:rsid w:val="00164D8C"/>
    <w:rsid w:val="001658D3"/>
    <w:rsid w:val="00165C4C"/>
    <w:rsid w:val="00166324"/>
    <w:rsid w:val="00166F09"/>
    <w:rsid w:val="0016784D"/>
    <w:rsid w:val="001678FB"/>
    <w:rsid w:val="00167A87"/>
    <w:rsid w:val="001703F1"/>
    <w:rsid w:val="001710AF"/>
    <w:rsid w:val="00171D1D"/>
    <w:rsid w:val="0017204E"/>
    <w:rsid w:val="00172774"/>
    <w:rsid w:val="001734F6"/>
    <w:rsid w:val="00173D93"/>
    <w:rsid w:val="00173F6F"/>
    <w:rsid w:val="001742CA"/>
    <w:rsid w:val="00174633"/>
    <w:rsid w:val="00174715"/>
    <w:rsid w:val="00180760"/>
    <w:rsid w:val="00180911"/>
    <w:rsid w:val="00182BD4"/>
    <w:rsid w:val="001840F2"/>
    <w:rsid w:val="00184C11"/>
    <w:rsid w:val="0018771A"/>
    <w:rsid w:val="00190C10"/>
    <w:rsid w:val="00191DAD"/>
    <w:rsid w:val="00193EDF"/>
    <w:rsid w:val="001941F9"/>
    <w:rsid w:val="00196320"/>
    <w:rsid w:val="00196340"/>
    <w:rsid w:val="00196397"/>
    <w:rsid w:val="001A2C2B"/>
    <w:rsid w:val="001A2EB0"/>
    <w:rsid w:val="001A3238"/>
    <w:rsid w:val="001A47FE"/>
    <w:rsid w:val="001A6965"/>
    <w:rsid w:val="001B01AF"/>
    <w:rsid w:val="001B0990"/>
    <w:rsid w:val="001B320B"/>
    <w:rsid w:val="001B61C5"/>
    <w:rsid w:val="001B7197"/>
    <w:rsid w:val="001C022B"/>
    <w:rsid w:val="001C0BB2"/>
    <w:rsid w:val="001C464C"/>
    <w:rsid w:val="001C4AF2"/>
    <w:rsid w:val="001C582A"/>
    <w:rsid w:val="001D0CF8"/>
    <w:rsid w:val="001D1001"/>
    <w:rsid w:val="001D19A0"/>
    <w:rsid w:val="001D1B3A"/>
    <w:rsid w:val="001D2BC3"/>
    <w:rsid w:val="001D2CD3"/>
    <w:rsid w:val="001D4E3B"/>
    <w:rsid w:val="001D68EC"/>
    <w:rsid w:val="001D749D"/>
    <w:rsid w:val="001E3063"/>
    <w:rsid w:val="001E5D7B"/>
    <w:rsid w:val="001E72E3"/>
    <w:rsid w:val="001F00D4"/>
    <w:rsid w:val="001F0451"/>
    <w:rsid w:val="001F274F"/>
    <w:rsid w:val="001F4F8E"/>
    <w:rsid w:val="001F54A0"/>
    <w:rsid w:val="001F6371"/>
    <w:rsid w:val="001F6388"/>
    <w:rsid w:val="001F7AED"/>
    <w:rsid w:val="001F7B5C"/>
    <w:rsid w:val="00201DA6"/>
    <w:rsid w:val="00202688"/>
    <w:rsid w:val="00202A1F"/>
    <w:rsid w:val="00202CC3"/>
    <w:rsid w:val="002034A8"/>
    <w:rsid w:val="0020594E"/>
    <w:rsid w:val="00210624"/>
    <w:rsid w:val="00214D32"/>
    <w:rsid w:val="00216C09"/>
    <w:rsid w:val="002175AB"/>
    <w:rsid w:val="00221C82"/>
    <w:rsid w:val="00222BAC"/>
    <w:rsid w:val="00222EC5"/>
    <w:rsid w:val="00224E26"/>
    <w:rsid w:val="00225994"/>
    <w:rsid w:val="002314F7"/>
    <w:rsid w:val="002334FD"/>
    <w:rsid w:val="0023371F"/>
    <w:rsid w:val="0023376A"/>
    <w:rsid w:val="002341D8"/>
    <w:rsid w:val="00236CF8"/>
    <w:rsid w:val="00237755"/>
    <w:rsid w:val="002412B2"/>
    <w:rsid w:val="002418EB"/>
    <w:rsid w:val="00245A8F"/>
    <w:rsid w:val="00245E65"/>
    <w:rsid w:val="00250545"/>
    <w:rsid w:val="00250CB7"/>
    <w:rsid w:val="0025146A"/>
    <w:rsid w:val="00256B46"/>
    <w:rsid w:val="00261102"/>
    <w:rsid w:val="00261733"/>
    <w:rsid w:val="0026656A"/>
    <w:rsid w:val="002671D8"/>
    <w:rsid w:val="0026789D"/>
    <w:rsid w:val="002678E4"/>
    <w:rsid w:val="002709C8"/>
    <w:rsid w:val="00270C9A"/>
    <w:rsid w:val="00271A5A"/>
    <w:rsid w:val="002736EA"/>
    <w:rsid w:val="00273905"/>
    <w:rsid w:val="00274769"/>
    <w:rsid w:val="002754DA"/>
    <w:rsid w:val="00276811"/>
    <w:rsid w:val="002769CA"/>
    <w:rsid w:val="00280D8F"/>
    <w:rsid w:val="00281326"/>
    <w:rsid w:val="00282DBB"/>
    <w:rsid w:val="00290E3D"/>
    <w:rsid w:val="00292E27"/>
    <w:rsid w:val="002933FC"/>
    <w:rsid w:val="0029603E"/>
    <w:rsid w:val="00296C0F"/>
    <w:rsid w:val="00297269"/>
    <w:rsid w:val="002A0711"/>
    <w:rsid w:val="002A0820"/>
    <w:rsid w:val="002A1037"/>
    <w:rsid w:val="002A1068"/>
    <w:rsid w:val="002A29D1"/>
    <w:rsid w:val="002A37E0"/>
    <w:rsid w:val="002A586B"/>
    <w:rsid w:val="002A687F"/>
    <w:rsid w:val="002B0070"/>
    <w:rsid w:val="002B0D74"/>
    <w:rsid w:val="002B0DB2"/>
    <w:rsid w:val="002B573D"/>
    <w:rsid w:val="002B5C8E"/>
    <w:rsid w:val="002B669A"/>
    <w:rsid w:val="002B6FD5"/>
    <w:rsid w:val="002B70C8"/>
    <w:rsid w:val="002C07F0"/>
    <w:rsid w:val="002C1FF0"/>
    <w:rsid w:val="002C4DED"/>
    <w:rsid w:val="002D2F3A"/>
    <w:rsid w:val="002D352D"/>
    <w:rsid w:val="002E0A4E"/>
    <w:rsid w:val="002E50A3"/>
    <w:rsid w:val="002E7A1D"/>
    <w:rsid w:val="002F08A2"/>
    <w:rsid w:val="002F203D"/>
    <w:rsid w:val="002F2FCF"/>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4C2"/>
    <w:rsid w:val="00315C43"/>
    <w:rsid w:val="00317674"/>
    <w:rsid w:val="00317BA8"/>
    <w:rsid w:val="00320B3A"/>
    <w:rsid w:val="003214B4"/>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1F2F"/>
    <w:rsid w:val="00352211"/>
    <w:rsid w:val="00355C77"/>
    <w:rsid w:val="00362B53"/>
    <w:rsid w:val="00362E8C"/>
    <w:rsid w:val="003712A3"/>
    <w:rsid w:val="00371A94"/>
    <w:rsid w:val="00372B5F"/>
    <w:rsid w:val="00373726"/>
    <w:rsid w:val="00374502"/>
    <w:rsid w:val="00380D82"/>
    <w:rsid w:val="00382B3E"/>
    <w:rsid w:val="00385EB8"/>
    <w:rsid w:val="00387505"/>
    <w:rsid w:val="00387755"/>
    <w:rsid w:val="00391579"/>
    <w:rsid w:val="0039173A"/>
    <w:rsid w:val="00392731"/>
    <w:rsid w:val="00394BB4"/>
    <w:rsid w:val="003954F3"/>
    <w:rsid w:val="003959E1"/>
    <w:rsid w:val="003963AD"/>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3E70"/>
    <w:rsid w:val="003F4044"/>
    <w:rsid w:val="003F48A5"/>
    <w:rsid w:val="003F5B3B"/>
    <w:rsid w:val="003F5F53"/>
    <w:rsid w:val="00401F97"/>
    <w:rsid w:val="004026A6"/>
    <w:rsid w:val="00403C47"/>
    <w:rsid w:val="004103A8"/>
    <w:rsid w:val="004120E9"/>
    <w:rsid w:val="0041397F"/>
    <w:rsid w:val="00413B62"/>
    <w:rsid w:val="0041432B"/>
    <w:rsid w:val="004147DA"/>
    <w:rsid w:val="00420ECC"/>
    <w:rsid w:val="004235A2"/>
    <w:rsid w:val="0042403C"/>
    <w:rsid w:val="00424551"/>
    <w:rsid w:val="00425509"/>
    <w:rsid w:val="00425ACA"/>
    <w:rsid w:val="004271F2"/>
    <w:rsid w:val="00431A8E"/>
    <w:rsid w:val="0043331A"/>
    <w:rsid w:val="00434228"/>
    <w:rsid w:val="0043554C"/>
    <w:rsid w:val="0044114A"/>
    <w:rsid w:val="00442041"/>
    <w:rsid w:val="00442190"/>
    <w:rsid w:val="004457EF"/>
    <w:rsid w:val="00446E5C"/>
    <w:rsid w:val="00447B0D"/>
    <w:rsid w:val="00450F54"/>
    <w:rsid w:val="0045438C"/>
    <w:rsid w:val="00456D89"/>
    <w:rsid w:val="00457EEB"/>
    <w:rsid w:val="004625D8"/>
    <w:rsid w:val="004633DA"/>
    <w:rsid w:val="00465E70"/>
    <w:rsid w:val="00466C86"/>
    <w:rsid w:val="00467244"/>
    <w:rsid w:val="00470F3B"/>
    <w:rsid w:val="00471968"/>
    <w:rsid w:val="00473C96"/>
    <w:rsid w:val="00475156"/>
    <w:rsid w:val="0048017C"/>
    <w:rsid w:val="004825D7"/>
    <w:rsid w:val="004839C6"/>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97828"/>
    <w:rsid w:val="004A0D0D"/>
    <w:rsid w:val="004A0FE6"/>
    <w:rsid w:val="004A10CE"/>
    <w:rsid w:val="004A299A"/>
    <w:rsid w:val="004A3467"/>
    <w:rsid w:val="004A3CD8"/>
    <w:rsid w:val="004A484D"/>
    <w:rsid w:val="004A4BDB"/>
    <w:rsid w:val="004A6272"/>
    <w:rsid w:val="004A6ABA"/>
    <w:rsid w:val="004B0760"/>
    <w:rsid w:val="004B5945"/>
    <w:rsid w:val="004B7512"/>
    <w:rsid w:val="004C02F2"/>
    <w:rsid w:val="004C110D"/>
    <w:rsid w:val="004C1DCD"/>
    <w:rsid w:val="004C2EA4"/>
    <w:rsid w:val="004C34BF"/>
    <w:rsid w:val="004C5261"/>
    <w:rsid w:val="004C5C9B"/>
    <w:rsid w:val="004C6694"/>
    <w:rsid w:val="004C7A1D"/>
    <w:rsid w:val="004D23FC"/>
    <w:rsid w:val="004D2EC0"/>
    <w:rsid w:val="004D4EAD"/>
    <w:rsid w:val="004D6AAF"/>
    <w:rsid w:val="004E0644"/>
    <w:rsid w:val="004E1DB8"/>
    <w:rsid w:val="004E25E1"/>
    <w:rsid w:val="004E26F4"/>
    <w:rsid w:val="004E3127"/>
    <w:rsid w:val="004E3C20"/>
    <w:rsid w:val="004E51A9"/>
    <w:rsid w:val="004E5FD8"/>
    <w:rsid w:val="004F0297"/>
    <w:rsid w:val="004F1A59"/>
    <w:rsid w:val="004F32F6"/>
    <w:rsid w:val="004F4223"/>
    <w:rsid w:val="004F5B89"/>
    <w:rsid w:val="004F7B1D"/>
    <w:rsid w:val="004F7FBE"/>
    <w:rsid w:val="00500879"/>
    <w:rsid w:val="00501EE6"/>
    <w:rsid w:val="005024CB"/>
    <w:rsid w:val="00503FF8"/>
    <w:rsid w:val="00504805"/>
    <w:rsid w:val="005049E6"/>
    <w:rsid w:val="00504D85"/>
    <w:rsid w:val="00505568"/>
    <w:rsid w:val="00505B33"/>
    <w:rsid w:val="0050631C"/>
    <w:rsid w:val="00512C5B"/>
    <w:rsid w:val="00513EAE"/>
    <w:rsid w:val="00517C2A"/>
    <w:rsid w:val="00517F50"/>
    <w:rsid w:val="00521DDE"/>
    <w:rsid w:val="00522E9B"/>
    <w:rsid w:val="00526EDB"/>
    <w:rsid w:val="00531203"/>
    <w:rsid w:val="00532017"/>
    <w:rsid w:val="00533886"/>
    <w:rsid w:val="0053523B"/>
    <w:rsid w:val="005358D0"/>
    <w:rsid w:val="00536D3F"/>
    <w:rsid w:val="005412C8"/>
    <w:rsid w:val="005439CB"/>
    <w:rsid w:val="005448B3"/>
    <w:rsid w:val="00544E68"/>
    <w:rsid w:val="005452C9"/>
    <w:rsid w:val="00545336"/>
    <w:rsid w:val="0054720C"/>
    <w:rsid w:val="00552094"/>
    <w:rsid w:val="00552DD9"/>
    <w:rsid w:val="00552ECD"/>
    <w:rsid w:val="00553C83"/>
    <w:rsid w:val="00553FCC"/>
    <w:rsid w:val="00554C44"/>
    <w:rsid w:val="005570F6"/>
    <w:rsid w:val="005576AB"/>
    <w:rsid w:val="00562AF5"/>
    <w:rsid w:val="00562D4C"/>
    <w:rsid w:val="005630A2"/>
    <w:rsid w:val="00563841"/>
    <w:rsid w:val="005639AD"/>
    <w:rsid w:val="0056611B"/>
    <w:rsid w:val="00572809"/>
    <w:rsid w:val="00575BDF"/>
    <w:rsid w:val="00575EC8"/>
    <w:rsid w:val="00575EEB"/>
    <w:rsid w:val="00577917"/>
    <w:rsid w:val="005823D1"/>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1561"/>
    <w:rsid w:val="005A1C5E"/>
    <w:rsid w:val="005A29A0"/>
    <w:rsid w:val="005A2C1B"/>
    <w:rsid w:val="005A2D10"/>
    <w:rsid w:val="005A3C49"/>
    <w:rsid w:val="005A77EA"/>
    <w:rsid w:val="005B0EAF"/>
    <w:rsid w:val="005B14CA"/>
    <w:rsid w:val="005B3CD4"/>
    <w:rsid w:val="005B3DF2"/>
    <w:rsid w:val="005B40A2"/>
    <w:rsid w:val="005B4140"/>
    <w:rsid w:val="005B5A1D"/>
    <w:rsid w:val="005B5A62"/>
    <w:rsid w:val="005B6398"/>
    <w:rsid w:val="005B67ED"/>
    <w:rsid w:val="005C008D"/>
    <w:rsid w:val="005C0BFB"/>
    <w:rsid w:val="005C28EA"/>
    <w:rsid w:val="005C328C"/>
    <w:rsid w:val="005C5336"/>
    <w:rsid w:val="005C6ADC"/>
    <w:rsid w:val="005D08AD"/>
    <w:rsid w:val="005D09A0"/>
    <w:rsid w:val="005D143F"/>
    <w:rsid w:val="005D1FA6"/>
    <w:rsid w:val="005D2129"/>
    <w:rsid w:val="005D5154"/>
    <w:rsid w:val="005D7F2C"/>
    <w:rsid w:val="005E08E8"/>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5E6D"/>
    <w:rsid w:val="0060603A"/>
    <w:rsid w:val="006104CE"/>
    <w:rsid w:val="00610E90"/>
    <w:rsid w:val="0061266A"/>
    <w:rsid w:val="00613134"/>
    <w:rsid w:val="0062084E"/>
    <w:rsid w:val="00624A01"/>
    <w:rsid w:val="006262CF"/>
    <w:rsid w:val="006304A1"/>
    <w:rsid w:val="00640933"/>
    <w:rsid w:val="00640ED1"/>
    <w:rsid w:val="00641631"/>
    <w:rsid w:val="0064167C"/>
    <w:rsid w:val="00641D6F"/>
    <w:rsid w:val="006420A3"/>
    <w:rsid w:val="00643831"/>
    <w:rsid w:val="006439C7"/>
    <w:rsid w:val="00643F3D"/>
    <w:rsid w:val="00644A8A"/>
    <w:rsid w:val="00646941"/>
    <w:rsid w:val="00652B07"/>
    <w:rsid w:val="00653C2B"/>
    <w:rsid w:val="00653C9B"/>
    <w:rsid w:val="00653D71"/>
    <w:rsid w:val="00654F02"/>
    <w:rsid w:val="00657AE7"/>
    <w:rsid w:val="0066016E"/>
    <w:rsid w:val="006608C2"/>
    <w:rsid w:val="00661778"/>
    <w:rsid w:val="00661F8A"/>
    <w:rsid w:val="00661FF1"/>
    <w:rsid w:val="006645C7"/>
    <w:rsid w:val="00665FB8"/>
    <w:rsid w:val="0066640F"/>
    <w:rsid w:val="006715AA"/>
    <w:rsid w:val="006771D7"/>
    <w:rsid w:val="00680444"/>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379C"/>
    <w:rsid w:val="006A7DF3"/>
    <w:rsid w:val="006B20BC"/>
    <w:rsid w:val="006B25FA"/>
    <w:rsid w:val="006B2F4F"/>
    <w:rsid w:val="006B429F"/>
    <w:rsid w:val="006B4871"/>
    <w:rsid w:val="006B680E"/>
    <w:rsid w:val="006B6912"/>
    <w:rsid w:val="006C468F"/>
    <w:rsid w:val="006D0E35"/>
    <w:rsid w:val="006D1975"/>
    <w:rsid w:val="006D65CA"/>
    <w:rsid w:val="006E04A8"/>
    <w:rsid w:val="006E55F3"/>
    <w:rsid w:val="006F1D50"/>
    <w:rsid w:val="006F3144"/>
    <w:rsid w:val="006F324F"/>
    <w:rsid w:val="006F38A2"/>
    <w:rsid w:val="006F3DB4"/>
    <w:rsid w:val="006F5D87"/>
    <w:rsid w:val="006F7BFF"/>
    <w:rsid w:val="006F7C29"/>
    <w:rsid w:val="00701355"/>
    <w:rsid w:val="00702E13"/>
    <w:rsid w:val="00703F66"/>
    <w:rsid w:val="007078B1"/>
    <w:rsid w:val="007121E8"/>
    <w:rsid w:val="0071501C"/>
    <w:rsid w:val="007152B7"/>
    <w:rsid w:val="00716586"/>
    <w:rsid w:val="007173C7"/>
    <w:rsid w:val="00720159"/>
    <w:rsid w:val="007238A3"/>
    <w:rsid w:val="007256D6"/>
    <w:rsid w:val="00725C8A"/>
    <w:rsid w:val="00726E01"/>
    <w:rsid w:val="00731AF0"/>
    <w:rsid w:val="0073306A"/>
    <w:rsid w:val="00733F72"/>
    <w:rsid w:val="00734BF6"/>
    <w:rsid w:val="00735A19"/>
    <w:rsid w:val="00740FB5"/>
    <w:rsid w:val="00741913"/>
    <w:rsid w:val="00742B4B"/>
    <w:rsid w:val="00742FE9"/>
    <w:rsid w:val="0074476A"/>
    <w:rsid w:val="007453AC"/>
    <w:rsid w:val="0074636C"/>
    <w:rsid w:val="0074663B"/>
    <w:rsid w:val="007500DD"/>
    <w:rsid w:val="00751580"/>
    <w:rsid w:val="00753E2C"/>
    <w:rsid w:val="007541FE"/>
    <w:rsid w:val="0075656E"/>
    <w:rsid w:val="0075761C"/>
    <w:rsid w:val="00760027"/>
    <w:rsid w:val="00760463"/>
    <w:rsid w:val="00761586"/>
    <w:rsid w:val="00761D7E"/>
    <w:rsid w:val="007622D5"/>
    <w:rsid w:val="007633FD"/>
    <w:rsid w:val="00767FE4"/>
    <w:rsid w:val="0077056B"/>
    <w:rsid w:val="007751F8"/>
    <w:rsid w:val="00775859"/>
    <w:rsid w:val="00775E6F"/>
    <w:rsid w:val="00776DFF"/>
    <w:rsid w:val="00783133"/>
    <w:rsid w:val="00783517"/>
    <w:rsid w:val="0078480A"/>
    <w:rsid w:val="007865D6"/>
    <w:rsid w:val="00787693"/>
    <w:rsid w:val="007902B8"/>
    <w:rsid w:val="00791846"/>
    <w:rsid w:val="00792409"/>
    <w:rsid w:val="007940E2"/>
    <w:rsid w:val="007962A5"/>
    <w:rsid w:val="00797CB0"/>
    <w:rsid w:val="007A0A25"/>
    <w:rsid w:val="007A0A49"/>
    <w:rsid w:val="007A1E4D"/>
    <w:rsid w:val="007A3B66"/>
    <w:rsid w:val="007A3F13"/>
    <w:rsid w:val="007A663D"/>
    <w:rsid w:val="007A697C"/>
    <w:rsid w:val="007B0619"/>
    <w:rsid w:val="007B1C5C"/>
    <w:rsid w:val="007B27BF"/>
    <w:rsid w:val="007B3223"/>
    <w:rsid w:val="007B5559"/>
    <w:rsid w:val="007B6E5C"/>
    <w:rsid w:val="007C01AF"/>
    <w:rsid w:val="007C1144"/>
    <w:rsid w:val="007C1498"/>
    <w:rsid w:val="007C24EA"/>
    <w:rsid w:val="007C3442"/>
    <w:rsid w:val="007D0898"/>
    <w:rsid w:val="007D0A87"/>
    <w:rsid w:val="007D0DFB"/>
    <w:rsid w:val="007D16E9"/>
    <w:rsid w:val="007D2DFA"/>
    <w:rsid w:val="007D41A6"/>
    <w:rsid w:val="007D434C"/>
    <w:rsid w:val="007D4A5E"/>
    <w:rsid w:val="007D4B10"/>
    <w:rsid w:val="007E0857"/>
    <w:rsid w:val="007E1D63"/>
    <w:rsid w:val="007E3022"/>
    <w:rsid w:val="007E4C74"/>
    <w:rsid w:val="007E5954"/>
    <w:rsid w:val="007E5C9A"/>
    <w:rsid w:val="007E6ED7"/>
    <w:rsid w:val="007F0775"/>
    <w:rsid w:val="007F0BDA"/>
    <w:rsid w:val="007F0C0C"/>
    <w:rsid w:val="007F2B82"/>
    <w:rsid w:val="007F5983"/>
    <w:rsid w:val="007F62B0"/>
    <w:rsid w:val="007F7EEB"/>
    <w:rsid w:val="0080092D"/>
    <w:rsid w:val="008009D6"/>
    <w:rsid w:val="0080168D"/>
    <w:rsid w:val="0080291B"/>
    <w:rsid w:val="00802DA0"/>
    <w:rsid w:val="008037D6"/>
    <w:rsid w:val="00803DC5"/>
    <w:rsid w:val="00803EA8"/>
    <w:rsid w:val="008057CC"/>
    <w:rsid w:val="00805EB9"/>
    <w:rsid w:val="00806FB1"/>
    <w:rsid w:val="0080738B"/>
    <w:rsid w:val="00810DB7"/>
    <w:rsid w:val="00811048"/>
    <w:rsid w:val="008139F1"/>
    <w:rsid w:val="008147BA"/>
    <w:rsid w:val="008153D9"/>
    <w:rsid w:val="008154CB"/>
    <w:rsid w:val="0081721E"/>
    <w:rsid w:val="00824086"/>
    <w:rsid w:val="008264C2"/>
    <w:rsid w:val="008266EC"/>
    <w:rsid w:val="00831B9C"/>
    <w:rsid w:val="008322BB"/>
    <w:rsid w:val="008339E1"/>
    <w:rsid w:val="00833BD6"/>
    <w:rsid w:val="00836D54"/>
    <w:rsid w:val="00837C8C"/>
    <w:rsid w:val="00837F78"/>
    <w:rsid w:val="0084209D"/>
    <w:rsid w:val="00842561"/>
    <w:rsid w:val="00845C57"/>
    <w:rsid w:val="0084664B"/>
    <w:rsid w:val="00846880"/>
    <w:rsid w:val="00850B3B"/>
    <w:rsid w:val="008524EE"/>
    <w:rsid w:val="00853739"/>
    <w:rsid w:val="008547B8"/>
    <w:rsid w:val="00857053"/>
    <w:rsid w:val="008577A4"/>
    <w:rsid w:val="008606A4"/>
    <w:rsid w:val="00863CFB"/>
    <w:rsid w:val="00864FAE"/>
    <w:rsid w:val="008652E4"/>
    <w:rsid w:val="00865BB8"/>
    <w:rsid w:val="00865F16"/>
    <w:rsid w:val="00867A23"/>
    <w:rsid w:val="00867FB7"/>
    <w:rsid w:val="008744F0"/>
    <w:rsid w:val="00875065"/>
    <w:rsid w:val="0087518C"/>
    <w:rsid w:val="00875BAB"/>
    <w:rsid w:val="00876762"/>
    <w:rsid w:val="0087730D"/>
    <w:rsid w:val="008775AD"/>
    <w:rsid w:val="00885179"/>
    <w:rsid w:val="008854A1"/>
    <w:rsid w:val="00886CCC"/>
    <w:rsid w:val="00887379"/>
    <w:rsid w:val="008877A2"/>
    <w:rsid w:val="00887B36"/>
    <w:rsid w:val="0089189B"/>
    <w:rsid w:val="008969E7"/>
    <w:rsid w:val="008A0E8D"/>
    <w:rsid w:val="008A0F3D"/>
    <w:rsid w:val="008A1F7B"/>
    <w:rsid w:val="008A2B7A"/>
    <w:rsid w:val="008A3BE7"/>
    <w:rsid w:val="008A421D"/>
    <w:rsid w:val="008A5866"/>
    <w:rsid w:val="008A6146"/>
    <w:rsid w:val="008A6469"/>
    <w:rsid w:val="008B447B"/>
    <w:rsid w:val="008C0694"/>
    <w:rsid w:val="008C0A98"/>
    <w:rsid w:val="008C33D2"/>
    <w:rsid w:val="008C5196"/>
    <w:rsid w:val="008D0D4A"/>
    <w:rsid w:val="008D0FA6"/>
    <w:rsid w:val="008D1A3F"/>
    <w:rsid w:val="008D1B49"/>
    <w:rsid w:val="008D1B73"/>
    <w:rsid w:val="008D479E"/>
    <w:rsid w:val="008D4D22"/>
    <w:rsid w:val="008D54EC"/>
    <w:rsid w:val="008D5CAA"/>
    <w:rsid w:val="008D5CE1"/>
    <w:rsid w:val="008D74BF"/>
    <w:rsid w:val="008E0C60"/>
    <w:rsid w:val="008E1829"/>
    <w:rsid w:val="008E3F4E"/>
    <w:rsid w:val="008E480E"/>
    <w:rsid w:val="008E49D2"/>
    <w:rsid w:val="008E58AA"/>
    <w:rsid w:val="008E5F92"/>
    <w:rsid w:val="008F07F8"/>
    <w:rsid w:val="008F0F39"/>
    <w:rsid w:val="008F519F"/>
    <w:rsid w:val="008F6062"/>
    <w:rsid w:val="008F6211"/>
    <w:rsid w:val="008F7422"/>
    <w:rsid w:val="008F76EA"/>
    <w:rsid w:val="008F7DDC"/>
    <w:rsid w:val="00902091"/>
    <w:rsid w:val="009028CB"/>
    <w:rsid w:val="00903E3F"/>
    <w:rsid w:val="00903FB6"/>
    <w:rsid w:val="00904AE0"/>
    <w:rsid w:val="00905454"/>
    <w:rsid w:val="00906FF0"/>
    <w:rsid w:val="009127E7"/>
    <w:rsid w:val="00912938"/>
    <w:rsid w:val="00916304"/>
    <w:rsid w:val="00916410"/>
    <w:rsid w:val="00920BDD"/>
    <w:rsid w:val="00921072"/>
    <w:rsid w:val="0092192B"/>
    <w:rsid w:val="009219A7"/>
    <w:rsid w:val="00922D3B"/>
    <w:rsid w:val="00922EF8"/>
    <w:rsid w:val="009235FD"/>
    <w:rsid w:val="00924005"/>
    <w:rsid w:val="009246F2"/>
    <w:rsid w:val="009248B7"/>
    <w:rsid w:val="009269E8"/>
    <w:rsid w:val="00926C19"/>
    <w:rsid w:val="00932B68"/>
    <w:rsid w:val="00932DA8"/>
    <w:rsid w:val="00934954"/>
    <w:rsid w:val="009359B8"/>
    <w:rsid w:val="00936423"/>
    <w:rsid w:val="009370C6"/>
    <w:rsid w:val="00937EA3"/>
    <w:rsid w:val="00940059"/>
    <w:rsid w:val="00940856"/>
    <w:rsid w:val="009409BC"/>
    <w:rsid w:val="00942036"/>
    <w:rsid w:val="0094325A"/>
    <w:rsid w:val="00943B24"/>
    <w:rsid w:val="00943E23"/>
    <w:rsid w:val="00944C0A"/>
    <w:rsid w:val="00944E37"/>
    <w:rsid w:val="00945865"/>
    <w:rsid w:val="00946911"/>
    <w:rsid w:val="00947ABD"/>
    <w:rsid w:val="00947C2F"/>
    <w:rsid w:val="00947D78"/>
    <w:rsid w:val="0095034D"/>
    <w:rsid w:val="009503A0"/>
    <w:rsid w:val="009506FB"/>
    <w:rsid w:val="00950A3B"/>
    <w:rsid w:val="009534C9"/>
    <w:rsid w:val="00955687"/>
    <w:rsid w:val="00957CA6"/>
    <w:rsid w:val="00957F36"/>
    <w:rsid w:val="009615F1"/>
    <w:rsid w:val="009616CD"/>
    <w:rsid w:val="0096291B"/>
    <w:rsid w:val="00965670"/>
    <w:rsid w:val="00965F32"/>
    <w:rsid w:val="00966381"/>
    <w:rsid w:val="00970B1A"/>
    <w:rsid w:val="00971C5C"/>
    <w:rsid w:val="00973331"/>
    <w:rsid w:val="009771D9"/>
    <w:rsid w:val="00977388"/>
    <w:rsid w:val="009774E9"/>
    <w:rsid w:val="009777E1"/>
    <w:rsid w:val="00977875"/>
    <w:rsid w:val="0098097F"/>
    <w:rsid w:val="00983A94"/>
    <w:rsid w:val="00983E49"/>
    <w:rsid w:val="00984ABD"/>
    <w:rsid w:val="009859FA"/>
    <w:rsid w:val="00985DD4"/>
    <w:rsid w:val="00985EAB"/>
    <w:rsid w:val="009870B3"/>
    <w:rsid w:val="00996371"/>
    <w:rsid w:val="0099769C"/>
    <w:rsid w:val="009A0191"/>
    <w:rsid w:val="009A029C"/>
    <w:rsid w:val="009A0C4A"/>
    <w:rsid w:val="009A190E"/>
    <w:rsid w:val="009A23F0"/>
    <w:rsid w:val="009A35C5"/>
    <w:rsid w:val="009B101E"/>
    <w:rsid w:val="009B53EF"/>
    <w:rsid w:val="009B664A"/>
    <w:rsid w:val="009B7FA1"/>
    <w:rsid w:val="009C205F"/>
    <w:rsid w:val="009C2A30"/>
    <w:rsid w:val="009C2E40"/>
    <w:rsid w:val="009C4A31"/>
    <w:rsid w:val="009C506B"/>
    <w:rsid w:val="009C5FEF"/>
    <w:rsid w:val="009C6764"/>
    <w:rsid w:val="009D4240"/>
    <w:rsid w:val="009D4B1E"/>
    <w:rsid w:val="009D4F49"/>
    <w:rsid w:val="009E1001"/>
    <w:rsid w:val="009E13D9"/>
    <w:rsid w:val="009E1E98"/>
    <w:rsid w:val="009E673D"/>
    <w:rsid w:val="009E7FC5"/>
    <w:rsid w:val="009F0DF4"/>
    <w:rsid w:val="009F1614"/>
    <w:rsid w:val="009F166F"/>
    <w:rsid w:val="009F17A3"/>
    <w:rsid w:val="009F2DB2"/>
    <w:rsid w:val="009F387F"/>
    <w:rsid w:val="009F45E8"/>
    <w:rsid w:val="009F5D1F"/>
    <w:rsid w:val="009F653F"/>
    <w:rsid w:val="009F716E"/>
    <w:rsid w:val="009F7225"/>
    <w:rsid w:val="009F748C"/>
    <w:rsid w:val="009F756A"/>
    <w:rsid w:val="00A00617"/>
    <w:rsid w:val="00A00BB4"/>
    <w:rsid w:val="00A01521"/>
    <w:rsid w:val="00A05573"/>
    <w:rsid w:val="00A0671D"/>
    <w:rsid w:val="00A1146D"/>
    <w:rsid w:val="00A117D4"/>
    <w:rsid w:val="00A12B63"/>
    <w:rsid w:val="00A149B3"/>
    <w:rsid w:val="00A156B1"/>
    <w:rsid w:val="00A16DA5"/>
    <w:rsid w:val="00A177E6"/>
    <w:rsid w:val="00A2128F"/>
    <w:rsid w:val="00A21BA3"/>
    <w:rsid w:val="00A21DE3"/>
    <w:rsid w:val="00A21E98"/>
    <w:rsid w:val="00A22AAE"/>
    <w:rsid w:val="00A24118"/>
    <w:rsid w:val="00A266B2"/>
    <w:rsid w:val="00A32599"/>
    <w:rsid w:val="00A32EBE"/>
    <w:rsid w:val="00A33299"/>
    <w:rsid w:val="00A35700"/>
    <w:rsid w:val="00A37874"/>
    <w:rsid w:val="00A37921"/>
    <w:rsid w:val="00A37B4D"/>
    <w:rsid w:val="00A4003E"/>
    <w:rsid w:val="00A41D7D"/>
    <w:rsid w:val="00A422B5"/>
    <w:rsid w:val="00A4251E"/>
    <w:rsid w:val="00A45715"/>
    <w:rsid w:val="00A45C68"/>
    <w:rsid w:val="00A466DB"/>
    <w:rsid w:val="00A5060A"/>
    <w:rsid w:val="00A52FD0"/>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42A"/>
    <w:rsid w:val="00A76C01"/>
    <w:rsid w:val="00A77170"/>
    <w:rsid w:val="00A81AF8"/>
    <w:rsid w:val="00A821A2"/>
    <w:rsid w:val="00A82A4D"/>
    <w:rsid w:val="00A84A18"/>
    <w:rsid w:val="00A86238"/>
    <w:rsid w:val="00A86739"/>
    <w:rsid w:val="00A91DE3"/>
    <w:rsid w:val="00A9597B"/>
    <w:rsid w:val="00A96D7A"/>
    <w:rsid w:val="00AA0462"/>
    <w:rsid w:val="00AA09C1"/>
    <w:rsid w:val="00AA262A"/>
    <w:rsid w:val="00AA2986"/>
    <w:rsid w:val="00AA324D"/>
    <w:rsid w:val="00AA32ED"/>
    <w:rsid w:val="00AA4D18"/>
    <w:rsid w:val="00AA56C8"/>
    <w:rsid w:val="00AA5984"/>
    <w:rsid w:val="00AA5D2C"/>
    <w:rsid w:val="00AB09B7"/>
    <w:rsid w:val="00AB1F45"/>
    <w:rsid w:val="00AB2B1C"/>
    <w:rsid w:val="00AB2B5F"/>
    <w:rsid w:val="00AB2C97"/>
    <w:rsid w:val="00AB3136"/>
    <w:rsid w:val="00AB501C"/>
    <w:rsid w:val="00AB50A7"/>
    <w:rsid w:val="00AB519E"/>
    <w:rsid w:val="00AC15FA"/>
    <w:rsid w:val="00AC1728"/>
    <w:rsid w:val="00AC2762"/>
    <w:rsid w:val="00AC4A16"/>
    <w:rsid w:val="00AC5860"/>
    <w:rsid w:val="00AC5A64"/>
    <w:rsid w:val="00AC773F"/>
    <w:rsid w:val="00AC78CB"/>
    <w:rsid w:val="00AC794B"/>
    <w:rsid w:val="00AD06C3"/>
    <w:rsid w:val="00AD26AC"/>
    <w:rsid w:val="00AD3722"/>
    <w:rsid w:val="00AD4FD3"/>
    <w:rsid w:val="00AD5D17"/>
    <w:rsid w:val="00AD5F6D"/>
    <w:rsid w:val="00AD5FF0"/>
    <w:rsid w:val="00AD6358"/>
    <w:rsid w:val="00AD6C0E"/>
    <w:rsid w:val="00AD6D80"/>
    <w:rsid w:val="00AE07D0"/>
    <w:rsid w:val="00AE350D"/>
    <w:rsid w:val="00AE4F09"/>
    <w:rsid w:val="00AE757F"/>
    <w:rsid w:val="00AE7C65"/>
    <w:rsid w:val="00AF051F"/>
    <w:rsid w:val="00AF23A9"/>
    <w:rsid w:val="00AF25E1"/>
    <w:rsid w:val="00AF2690"/>
    <w:rsid w:val="00AF40E8"/>
    <w:rsid w:val="00AF4B64"/>
    <w:rsid w:val="00AF5889"/>
    <w:rsid w:val="00AF6DAE"/>
    <w:rsid w:val="00B036A4"/>
    <w:rsid w:val="00B0591C"/>
    <w:rsid w:val="00B0634D"/>
    <w:rsid w:val="00B06BFB"/>
    <w:rsid w:val="00B1068E"/>
    <w:rsid w:val="00B11083"/>
    <w:rsid w:val="00B11BCA"/>
    <w:rsid w:val="00B14231"/>
    <w:rsid w:val="00B16B2D"/>
    <w:rsid w:val="00B16D23"/>
    <w:rsid w:val="00B17AC5"/>
    <w:rsid w:val="00B20B14"/>
    <w:rsid w:val="00B30FF5"/>
    <w:rsid w:val="00B31928"/>
    <w:rsid w:val="00B31A0E"/>
    <w:rsid w:val="00B334F2"/>
    <w:rsid w:val="00B363AB"/>
    <w:rsid w:val="00B37C6B"/>
    <w:rsid w:val="00B40E28"/>
    <w:rsid w:val="00B4432E"/>
    <w:rsid w:val="00B44DA2"/>
    <w:rsid w:val="00B45111"/>
    <w:rsid w:val="00B46237"/>
    <w:rsid w:val="00B467D4"/>
    <w:rsid w:val="00B46E1C"/>
    <w:rsid w:val="00B47D43"/>
    <w:rsid w:val="00B47F68"/>
    <w:rsid w:val="00B5079E"/>
    <w:rsid w:val="00B549F0"/>
    <w:rsid w:val="00B54AAD"/>
    <w:rsid w:val="00B56E85"/>
    <w:rsid w:val="00B63D2E"/>
    <w:rsid w:val="00B63E5A"/>
    <w:rsid w:val="00B65482"/>
    <w:rsid w:val="00B65657"/>
    <w:rsid w:val="00B656A8"/>
    <w:rsid w:val="00B658E1"/>
    <w:rsid w:val="00B662E4"/>
    <w:rsid w:val="00B66F34"/>
    <w:rsid w:val="00B67289"/>
    <w:rsid w:val="00B672A6"/>
    <w:rsid w:val="00B70287"/>
    <w:rsid w:val="00B703C6"/>
    <w:rsid w:val="00B70A2D"/>
    <w:rsid w:val="00B73327"/>
    <w:rsid w:val="00B7407A"/>
    <w:rsid w:val="00B75EAB"/>
    <w:rsid w:val="00B77162"/>
    <w:rsid w:val="00B80505"/>
    <w:rsid w:val="00B824C0"/>
    <w:rsid w:val="00B840B5"/>
    <w:rsid w:val="00B84773"/>
    <w:rsid w:val="00B87CBC"/>
    <w:rsid w:val="00B92329"/>
    <w:rsid w:val="00B94254"/>
    <w:rsid w:val="00B94904"/>
    <w:rsid w:val="00B95043"/>
    <w:rsid w:val="00B95958"/>
    <w:rsid w:val="00B95C70"/>
    <w:rsid w:val="00B9676E"/>
    <w:rsid w:val="00B97C6D"/>
    <w:rsid w:val="00BA1006"/>
    <w:rsid w:val="00BA136A"/>
    <w:rsid w:val="00BA17B4"/>
    <w:rsid w:val="00BA3A34"/>
    <w:rsid w:val="00BA6B4A"/>
    <w:rsid w:val="00BB3418"/>
    <w:rsid w:val="00BC0373"/>
    <w:rsid w:val="00BC0403"/>
    <w:rsid w:val="00BC0896"/>
    <w:rsid w:val="00BC201C"/>
    <w:rsid w:val="00BC2437"/>
    <w:rsid w:val="00BC255D"/>
    <w:rsid w:val="00BC3E8B"/>
    <w:rsid w:val="00BC3FA9"/>
    <w:rsid w:val="00BC4141"/>
    <w:rsid w:val="00BC45CD"/>
    <w:rsid w:val="00BC595D"/>
    <w:rsid w:val="00BD1ECF"/>
    <w:rsid w:val="00BD5E8D"/>
    <w:rsid w:val="00BD6C35"/>
    <w:rsid w:val="00BD7AED"/>
    <w:rsid w:val="00BE053F"/>
    <w:rsid w:val="00BE080B"/>
    <w:rsid w:val="00BE1CE2"/>
    <w:rsid w:val="00BE301A"/>
    <w:rsid w:val="00BE44CB"/>
    <w:rsid w:val="00BE4FAA"/>
    <w:rsid w:val="00BF485C"/>
    <w:rsid w:val="00BF565D"/>
    <w:rsid w:val="00BF5803"/>
    <w:rsid w:val="00C01992"/>
    <w:rsid w:val="00C01BE5"/>
    <w:rsid w:val="00C0313A"/>
    <w:rsid w:val="00C034DB"/>
    <w:rsid w:val="00C043B6"/>
    <w:rsid w:val="00C04A45"/>
    <w:rsid w:val="00C0504F"/>
    <w:rsid w:val="00C05115"/>
    <w:rsid w:val="00C07B2F"/>
    <w:rsid w:val="00C10951"/>
    <w:rsid w:val="00C11959"/>
    <w:rsid w:val="00C12A3E"/>
    <w:rsid w:val="00C13604"/>
    <w:rsid w:val="00C148F1"/>
    <w:rsid w:val="00C172E2"/>
    <w:rsid w:val="00C212DA"/>
    <w:rsid w:val="00C222E2"/>
    <w:rsid w:val="00C22515"/>
    <w:rsid w:val="00C23251"/>
    <w:rsid w:val="00C26849"/>
    <w:rsid w:val="00C26DB9"/>
    <w:rsid w:val="00C278C0"/>
    <w:rsid w:val="00C31197"/>
    <w:rsid w:val="00C3269B"/>
    <w:rsid w:val="00C3318A"/>
    <w:rsid w:val="00C361E5"/>
    <w:rsid w:val="00C363C0"/>
    <w:rsid w:val="00C44A66"/>
    <w:rsid w:val="00C45F2C"/>
    <w:rsid w:val="00C462AE"/>
    <w:rsid w:val="00C46CAA"/>
    <w:rsid w:val="00C53DA9"/>
    <w:rsid w:val="00C551C7"/>
    <w:rsid w:val="00C5697F"/>
    <w:rsid w:val="00C60BC5"/>
    <w:rsid w:val="00C6177E"/>
    <w:rsid w:val="00C618C9"/>
    <w:rsid w:val="00C668D8"/>
    <w:rsid w:val="00C7170A"/>
    <w:rsid w:val="00C717CE"/>
    <w:rsid w:val="00C7366C"/>
    <w:rsid w:val="00C739D8"/>
    <w:rsid w:val="00C74171"/>
    <w:rsid w:val="00C76493"/>
    <w:rsid w:val="00C80508"/>
    <w:rsid w:val="00C8068E"/>
    <w:rsid w:val="00C8094C"/>
    <w:rsid w:val="00C80E39"/>
    <w:rsid w:val="00C80F66"/>
    <w:rsid w:val="00C824A1"/>
    <w:rsid w:val="00C82849"/>
    <w:rsid w:val="00C84AFA"/>
    <w:rsid w:val="00C8592E"/>
    <w:rsid w:val="00C86340"/>
    <w:rsid w:val="00C86637"/>
    <w:rsid w:val="00C8793C"/>
    <w:rsid w:val="00C87F43"/>
    <w:rsid w:val="00C90D7C"/>
    <w:rsid w:val="00C913F4"/>
    <w:rsid w:val="00C91E15"/>
    <w:rsid w:val="00C9290A"/>
    <w:rsid w:val="00C935F0"/>
    <w:rsid w:val="00C93E96"/>
    <w:rsid w:val="00C942ED"/>
    <w:rsid w:val="00C94981"/>
    <w:rsid w:val="00C94C5E"/>
    <w:rsid w:val="00C95BD9"/>
    <w:rsid w:val="00C9793F"/>
    <w:rsid w:val="00C97AA8"/>
    <w:rsid w:val="00C97E87"/>
    <w:rsid w:val="00CA74FF"/>
    <w:rsid w:val="00CA7661"/>
    <w:rsid w:val="00CB2590"/>
    <w:rsid w:val="00CB7A95"/>
    <w:rsid w:val="00CC1534"/>
    <w:rsid w:val="00CC1719"/>
    <w:rsid w:val="00CC5B1A"/>
    <w:rsid w:val="00CC5C28"/>
    <w:rsid w:val="00CD1DBB"/>
    <w:rsid w:val="00CD43C0"/>
    <w:rsid w:val="00CD484D"/>
    <w:rsid w:val="00CD543A"/>
    <w:rsid w:val="00CD6021"/>
    <w:rsid w:val="00CD703A"/>
    <w:rsid w:val="00CD7517"/>
    <w:rsid w:val="00CE148E"/>
    <w:rsid w:val="00CE2880"/>
    <w:rsid w:val="00CE2E06"/>
    <w:rsid w:val="00CE3CC8"/>
    <w:rsid w:val="00CE4CFF"/>
    <w:rsid w:val="00CE4ECF"/>
    <w:rsid w:val="00CE5E19"/>
    <w:rsid w:val="00CF010E"/>
    <w:rsid w:val="00CF150D"/>
    <w:rsid w:val="00CF3916"/>
    <w:rsid w:val="00CF40A6"/>
    <w:rsid w:val="00CF597D"/>
    <w:rsid w:val="00CF5E15"/>
    <w:rsid w:val="00D00843"/>
    <w:rsid w:val="00D02453"/>
    <w:rsid w:val="00D039CA"/>
    <w:rsid w:val="00D04163"/>
    <w:rsid w:val="00D057B2"/>
    <w:rsid w:val="00D05C80"/>
    <w:rsid w:val="00D07EBA"/>
    <w:rsid w:val="00D11BCB"/>
    <w:rsid w:val="00D12A62"/>
    <w:rsid w:val="00D14827"/>
    <w:rsid w:val="00D150F3"/>
    <w:rsid w:val="00D15255"/>
    <w:rsid w:val="00D15B9C"/>
    <w:rsid w:val="00D178A9"/>
    <w:rsid w:val="00D20BDC"/>
    <w:rsid w:val="00D22A60"/>
    <w:rsid w:val="00D22F41"/>
    <w:rsid w:val="00D2480F"/>
    <w:rsid w:val="00D25A91"/>
    <w:rsid w:val="00D274A1"/>
    <w:rsid w:val="00D27C71"/>
    <w:rsid w:val="00D302A6"/>
    <w:rsid w:val="00D3203C"/>
    <w:rsid w:val="00D35A04"/>
    <w:rsid w:val="00D35D4A"/>
    <w:rsid w:val="00D371A3"/>
    <w:rsid w:val="00D374EA"/>
    <w:rsid w:val="00D401DD"/>
    <w:rsid w:val="00D415C5"/>
    <w:rsid w:val="00D41E3B"/>
    <w:rsid w:val="00D41F35"/>
    <w:rsid w:val="00D427D7"/>
    <w:rsid w:val="00D42C6E"/>
    <w:rsid w:val="00D437BC"/>
    <w:rsid w:val="00D43B79"/>
    <w:rsid w:val="00D45DC4"/>
    <w:rsid w:val="00D4736D"/>
    <w:rsid w:val="00D47420"/>
    <w:rsid w:val="00D50079"/>
    <w:rsid w:val="00D51744"/>
    <w:rsid w:val="00D541D2"/>
    <w:rsid w:val="00D54AE6"/>
    <w:rsid w:val="00D552F5"/>
    <w:rsid w:val="00D569A8"/>
    <w:rsid w:val="00D572BF"/>
    <w:rsid w:val="00D5764B"/>
    <w:rsid w:val="00D601E9"/>
    <w:rsid w:val="00D6109F"/>
    <w:rsid w:val="00D61505"/>
    <w:rsid w:val="00D628B3"/>
    <w:rsid w:val="00D62A70"/>
    <w:rsid w:val="00D62AA1"/>
    <w:rsid w:val="00D63ED0"/>
    <w:rsid w:val="00D63F05"/>
    <w:rsid w:val="00D648BF"/>
    <w:rsid w:val="00D65482"/>
    <w:rsid w:val="00D67C59"/>
    <w:rsid w:val="00D67CBC"/>
    <w:rsid w:val="00D70BE0"/>
    <w:rsid w:val="00D72BF0"/>
    <w:rsid w:val="00D746F0"/>
    <w:rsid w:val="00D800B6"/>
    <w:rsid w:val="00D80C5D"/>
    <w:rsid w:val="00D81BCB"/>
    <w:rsid w:val="00D82EC7"/>
    <w:rsid w:val="00D83B7E"/>
    <w:rsid w:val="00D85633"/>
    <w:rsid w:val="00D907E2"/>
    <w:rsid w:val="00D90E02"/>
    <w:rsid w:val="00D90F6E"/>
    <w:rsid w:val="00D9116D"/>
    <w:rsid w:val="00D92C7C"/>
    <w:rsid w:val="00D92EC1"/>
    <w:rsid w:val="00D935AF"/>
    <w:rsid w:val="00D93C0E"/>
    <w:rsid w:val="00D93F64"/>
    <w:rsid w:val="00D9477D"/>
    <w:rsid w:val="00D94C70"/>
    <w:rsid w:val="00D968C5"/>
    <w:rsid w:val="00DA029C"/>
    <w:rsid w:val="00DA051E"/>
    <w:rsid w:val="00DA2440"/>
    <w:rsid w:val="00DA4226"/>
    <w:rsid w:val="00DA4372"/>
    <w:rsid w:val="00DB1250"/>
    <w:rsid w:val="00DB1A41"/>
    <w:rsid w:val="00DB1BB1"/>
    <w:rsid w:val="00DB2A59"/>
    <w:rsid w:val="00DB510F"/>
    <w:rsid w:val="00DB6328"/>
    <w:rsid w:val="00DC06F4"/>
    <w:rsid w:val="00DC17BC"/>
    <w:rsid w:val="00DC194C"/>
    <w:rsid w:val="00DC24CF"/>
    <w:rsid w:val="00DC4C49"/>
    <w:rsid w:val="00DC6CB0"/>
    <w:rsid w:val="00DC6D5B"/>
    <w:rsid w:val="00DC6EAA"/>
    <w:rsid w:val="00DC6EF8"/>
    <w:rsid w:val="00DD0899"/>
    <w:rsid w:val="00DD0AB1"/>
    <w:rsid w:val="00DD1720"/>
    <w:rsid w:val="00DD4B47"/>
    <w:rsid w:val="00DD59A8"/>
    <w:rsid w:val="00DD6232"/>
    <w:rsid w:val="00DD66A8"/>
    <w:rsid w:val="00DE0EE1"/>
    <w:rsid w:val="00DE15DD"/>
    <w:rsid w:val="00DE308E"/>
    <w:rsid w:val="00DE41C3"/>
    <w:rsid w:val="00DE4D44"/>
    <w:rsid w:val="00DE5802"/>
    <w:rsid w:val="00DE62C6"/>
    <w:rsid w:val="00DF35DA"/>
    <w:rsid w:val="00DF3AA9"/>
    <w:rsid w:val="00DF51F3"/>
    <w:rsid w:val="00DF5FD3"/>
    <w:rsid w:val="00DF6D23"/>
    <w:rsid w:val="00DF6E5B"/>
    <w:rsid w:val="00DF6F61"/>
    <w:rsid w:val="00E016E0"/>
    <w:rsid w:val="00E0189B"/>
    <w:rsid w:val="00E01B2F"/>
    <w:rsid w:val="00E043F3"/>
    <w:rsid w:val="00E05466"/>
    <w:rsid w:val="00E11ABD"/>
    <w:rsid w:val="00E12043"/>
    <w:rsid w:val="00E13DE0"/>
    <w:rsid w:val="00E14557"/>
    <w:rsid w:val="00E14FBF"/>
    <w:rsid w:val="00E16348"/>
    <w:rsid w:val="00E167C5"/>
    <w:rsid w:val="00E17282"/>
    <w:rsid w:val="00E20247"/>
    <w:rsid w:val="00E20FF6"/>
    <w:rsid w:val="00E21611"/>
    <w:rsid w:val="00E24BA0"/>
    <w:rsid w:val="00E2654F"/>
    <w:rsid w:val="00E26E3C"/>
    <w:rsid w:val="00E30962"/>
    <w:rsid w:val="00E369C7"/>
    <w:rsid w:val="00E37F36"/>
    <w:rsid w:val="00E400A4"/>
    <w:rsid w:val="00E41F62"/>
    <w:rsid w:val="00E4245C"/>
    <w:rsid w:val="00E429D5"/>
    <w:rsid w:val="00E52EB1"/>
    <w:rsid w:val="00E53068"/>
    <w:rsid w:val="00E55EA7"/>
    <w:rsid w:val="00E56978"/>
    <w:rsid w:val="00E56F56"/>
    <w:rsid w:val="00E57652"/>
    <w:rsid w:val="00E6082A"/>
    <w:rsid w:val="00E60DA4"/>
    <w:rsid w:val="00E6159B"/>
    <w:rsid w:val="00E638D3"/>
    <w:rsid w:val="00E643EA"/>
    <w:rsid w:val="00E64BF4"/>
    <w:rsid w:val="00E66D19"/>
    <w:rsid w:val="00E679D5"/>
    <w:rsid w:val="00E67E00"/>
    <w:rsid w:val="00E724E1"/>
    <w:rsid w:val="00E741A5"/>
    <w:rsid w:val="00E76123"/>
    <w:rsid w:val="00E767AD"/>
    <w:rsid w:val="00E77287"/>
    <w:rsid w:val="00E77B4B"/>
    <w:rsid w:val="00E80789"/>
    <w:rsid w:val="00E82C41"/>
    <w:rsid w:val="00E84293"/>
    <w:rsid w:val="00E85012"/>
    <w:rsid w:val="00E87793"/>
    <w:rsid w:val="00E9053C"/>
    <w:rsid w:val="00E921DB"/>
    <w:rsid w:val="00E92CE5"/>
    <w:rsid w:val="00E93175"/>
    <w:rsid w:val="00E93551"/>
    <w:rsid w:val="00E9365B"/>
    <w:rsid w:val="00E9539C"/>
    <w:rsid w:val="00E96FEA"/>
    <w:rsid w:val="00EA056E"/>
    <w:rsid w:val="00EA05F5"/>
    <w:rsid w:val="00EA1387"/>
    <w:rsid w:val="00EA25CA"/>
    <w:rsid w:val="00EA4BFD"/>
    <w:rsid w:val="00EA4C7C"/>
    <w:rsid w:val="00EB0489"/>
    <w:rsid w:val="00EB2C66"/>
    <w:rsid w:val="00EB41E9"/>
    <w:rsid w:val="00EB57D6"/>
    <w:rsid w:val="00EB596D"/>
    <w:rsid w:val="00EB6E9B"/>
    <w:rsid w:val="00EB7F14"/>
    <w:rsid w:val="00EC02EE"/>
    <w:rsid w:val="00EC1C85"/>
    <w:rsid w:val="00EC2EC9"/>
    <w:rsid w:val="00EC33C5"/>
    <w:rsid w:val="00ED0837"/>
    <w:rsid w:val="00ED20DC"/>
    <w:rsid w:val="00ED2B7D"/>
    <w:rsid w:val="00ED3D3C"/>
    <w:rsid w:val="00EE07D4"/>
    <w:rsid w:val="00EE1213"/>
    <w:rsid w:val="00EE39A8"/>
    <w:rsid w:val="00EE6EC4"/>
    <w:rsid w:val="00EE7DA1"/>
    <w:rsid w:val="00EF0BB4"/>
    <w:rsid w:val="00EF3585"/>
    <w:rsid w:val="00EF3B50"/>
    <w:rsid w:val="00EF4C1B"/>
    <w:rsid w:val="00EF5F8A"/>
    <w:rsid w:val="00EF73D3"/>
    <w:rsid w:val="00EF770C"/>
    <w:rsid w:val="00F00DD9"/>
    <w:rsid w:val="00F02133"/>
    <w:rsid w:val="00F029BE"/>
    <w:rsid w:val="00F030CA"/>
    <w:rsid w:val="00F0689A"/>
    <w:rsid w:val="00F106B0"/>
    <w:rsid w:val="00F13EBD"/>
    <w:rsid w:val="00F15A61"/>
    <w:rsid w:val="00F17A12"/>
    <w:rsid w:val="00F20573"/>
    <w:rsid w:val="00F23621"/>
    <w:rsid w:val="00F32EB7"/>
    <w:rsid w:val="00F3339D"/>
    <w:rsid w:val="00F33DB5"/>
    <w:rsid w:val="00F36704"/>
    <w:rsid w:val="00F36C61"/>
    <w:rsid w:val="00F37B96"/>
    <w:rsid w:val="00F405AA"/>
    <w:rsid w:val="00F413FA"/>
    <w:rsid w:val="00F4206B"/>
    <w:rsid w:val="00F42563"/>
    <w:rsid w:val="00F42816"/>
    <w:rsid w:val="00F46620"/>
    <w:rsid w:val="00F4665B"/>
    <w:rsid w:val="00F52632"/>
    <w:rsid w:val="00F54C3A"/>
    <w:rsid w:val="00F56081"/>
    <w:rsid w:val="00F57312"/>
    <w:rsid w:val="00F60835"/>
    <w:rsid w:val="00F6132E"/>
    <w:rsid w:val="00F63C99"/>
    <w:rsid w:val="00F64357"/>
    <w:rsid w:val="00F667C5"/>
    <w:rsid w:val="00F66D5D"/>
    <w:rsid w:val="00F670DF"/>
    <w:rsid w:val="00F67D26"/>
    <w:rsid w:val="00F67DBD"/>
    <w:rsid w:val="00F67E55"/>
    <w:rsid w:val="00F70A94"/>
    <w:rsid w:val="00F72A98"/>
    <w:rsid w:val="00F7316F"/>
    <w:rsid w:val="00F74CC3"/>
    <w:rsid w:val="00F7628F"/>
    <w:rsid w:val="00F7739D"/>
    <w:rsid w:val="00F77A9E"/>
    <w:rsid w:val="00F77D05"/>
    <w:rsid w:val="00F822FE"/>
    <w:rsid w:val="00F82467"/>
    <w:rsid w:val="00F84131"/>
    <w:rsid w:val="00F859AB"/>
    <w:rsid w:val="00F86097"/>
    <w:rsid w:val="00F86F88"/>
    <w:rsid w:val="00F87AC3"/>
    <w:rsid w:val="00F90643"/>
    <w:rsid w:val="00F9113D"/>
    <w:rsid w:val="00F9139D"/>
    <w:rsid w:val="00F9279A"/>
    <w:rsid w:val="00F950EE"/>
    <w:rsid w:val="00F96558"/>
    <w:rsid w:val="00FA06A0"/>
    <w:rsid w:val="00FA08BD"/>
    <w:rsid w:val="00FA0ECD"/>
    <w:rsid w:val="00FA154E"/>
    <w:rsid w:val="00FA1672"/>
    <w:rsid w:val="00FA64D0"/>
    <w:rsid w:val="00FA69DC"/>
    <w:rsid w:val="00FB10E9"/>
    <w:rsid w:val="00FB19EC"/>
    <w:rsid w:val="00FB1D60"/>
    <w:rsid w:val="00FB3731"/>
    <w:rsid w:val="00FB3851"/>
    <w:rsid w:val="00FB48BB"/>
    <w:rsid w:val="00FB4A9E"/>
    <w:rsid w:val="00FB62F5"/>
    <w:rsid w:val="00FB7345"/>
    <w:rsid w:val="00FC0395"/>
    <w:rsid w:val="00FC06A8"/>
    <w:rsid w:val="00FC08A6"/>
    <w:rsid w:val="00FC1752"/>
    <w:rsid w:val="00FC1F13"/>
    <w:rsid w:val="00FC24DE"/>
    <w:rsid w:val="00FC2843"/>
    <w:rsid w:val="00FC3B9F"/>
    <w:rsid w:val="00FC566D"/>
    <w:rsid w:val="00FC650D"/>
    <w:rsid w:val="00FC6AC2"/>
    <w:rsid w:val="00FD00B9"/>
    <w:rsid w:val="00FD0747"/>
    <w:rsid w:val="00FD45F7"/>
    <w:rsid w:val="00FD488C"/>
    <w:rsid w:val="00FD7DA7"/>
    <w:rsid w:val="00FD7FBB"/>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397"/>
    <w:rsid w:val="00FF765E"/>
    <w:rsid w:val="00FF7F85"/>
    <w:rsid w:val="01105B96"/>
    <w:rsid w:val="01114219"/>
    <w:rsid w:val="0119677B"/>
    <w:rsid w:val="011C485D"/>
    <w:rsid w:val="01675739"/>
    <w:rsid w:val="016C0FA1"/>
    <w:rsid w:val="017F6F52"/>
    <w:rsid w:val="01826A17"/>
    <w:rsid w:val="0187402D"/>
    <w:rsid w:val="01891B53"/>
    <w:rsid w:val="019B7612"/>
    <w:rsid w:val="01B841E6"/>
    <w:rsid w:val="01F176F8"/>
    <w:rsid w:val="01F30E22"/>
    <w:rsid w:val="0256755B"/>
    <w:rsid w:val="02796C38"/>
    <w:rsid w:val="02D52B76"/>
    <w:rsid w:val="02E9798A"/>
    <w:rsid w:val="031669C2"/>
    <w:rsid w:val="031E276F"/>
    <w:rsid w:val="031F3007"/>
    <w:rsid w:val="0365214C"/>
    <w:rsid w:val="03697A39"/>
    <w:rsid w:val="036B5288"/>
    <w:rsid w:val="037C716B"/>
    <w:rsid w:val="038C592B"/>
    <w:rsid w:val="039B3DC0"/>
    <w:rsid w:val="03AE3AF3"/>
    <w:rsid w:val="03FD6511"/>
    <w:rsid w:val="04287C17"/>
    <w:rsid w:val="04406715"/>
    <w:rsid w:val="044C6E68"/>
    <w:rsid w:val="047F0FEB"/>
    <w:rsid w:val="04850275"/>
    <w:rsid w:val="04A46CA4"/>
    <w:rsid w:val="04CD61FB"/>
    <w:rsid w:val="053820AE"/>
    <w:rsid w:val="053A13B6"/>
    <w:rsid w:val="057C377D"/>
    <w:rsid w:val="057E74F5"/>
    <w:rsid w:val="0588243D"/>
    <w:rsid w:val="05955811"/>
    <w:rsid w:val="059A52DB"/>
    <w:rsid w:val="05EC1CD9"/>
    <w:rsid w:val="05FB0B46"/>
    <w:rsid w:val="06082BB4"/>
    <w:rsid w:val="06383B48"/>
    <w:rsid w:val="063B53E6"/>
    <w:rsid w:val="063F6C84"/>
    <w:rsid w:val="06545198"/>
    <w:rsid w:val="067A1543"/>
    <w:rsid w:val="067D155B"/>
    <w:rsid w:val="068C0762"/>
    <w:rsid w:val="06B52DD0"/>
    <w:rsid w:val="06B65283"/>
    <w:rsid w:val="06C90C44"/>
    <w:rsid w:val="06D812C5"/>
    <w:rsid w:val="06DF3FC3"/>
    <w:rsid w:val="06E30850"/>
    <w:rsid w:val="0728596A"/>
    <w:rsid w:val="072F7A1D"/>
    <w:rsid w:val="073F0F06"/>
    <w:rsid w:val="076B549C"/>
    <w:rsid w:val="07A05617"/>
    <w:rsid w:val="07A36627"/>
    <w:rsid w:val="07B45450"/>
    <w:rsid w:val="07CE3A08"/>
    <w:rsid w:val="07DA3499"/>
    <w:rsid w:val="080E239D"/>
    <w:rsid w:val="082B2D5B"/>
    <w:rsid w:val="083E7269"/>
    <w:rsid w:val="084C38DA"/>
    <w:rsid w:val="08670714"/>
    <w:rsid w:val="088378AE"/>
    <w:rsid w:val="08D22029"/>
    <w:rsid w:val="08DF474E"/>
    <w:rsid w:val="0902043D"/>
    <w:rsid w:val="091F34DF"/>
    <w:rsid w:val="093D7200"/>
    <w:rsid w:val="094B5940"/>
    <w:rsid w:val="09871336"/>
    <w:rsid w:val="09D41DD9"/>
    <w:rsid w:val="09FBABE0"/>
    <w:rsid w:val="0A12582B"/>
    <w:rsid w:val="0A264B9C"/>
    <w:rsid w:val="0A3208AE"/>
    <w:rsid w:val="0A344626"/>
    <w:rsid w:val="0A48552D"/>
    <w:rsid w:val="0A867D70"/>
    <w:rsid w:val="0A9B1CF7"/>
    <w:rsid w:val="0AAA48E8"/>
    <w:rsid w:val="0AB654F5"/>
    <w:rsid w:val="0AEC6CC4"/>
    <w:rsid w:val="0B333027"/>
    <w:rsid w:val="0B5331D2"/>
    <w:rsid w:val="0B84338B"/>
    <w:rsid w:val="0BA56877"/>
    <w:rsid w:val="0BE86F41"/>
    <w:rsid w:val="0C4548C9"/>
    <w:rsid w:val="0C4D7C21"/>
    <w:rsid w:val="0C7F511B"/>
    <w:rsid w:val="0C91430F"/>
    <w:rsid w:val="0CB47CA0"/>
    <w:rsid w:val="0CC9374C"/>
    <w:rsid w:val="0CE447B0"/>
    <w:rsid w:val="0CE91D2C"/>
    <w:rsid w:val="0CEE31B2"/>
    <w:rsid w:val="0CF85DDF"/>
    <w:rsid w:val="0D0A37DF"/>
    <w:rsid w:val="0D0D7645"/>
    <w:rsid w:val="0D246BD4"/>
    <w:rsid w:val="0D300BDE"/>
    <w:rsid w:val="0DA2046B"/>
    <w:rsid w:val="0DAB2E51"/>
    <w:rsid w:val="0DD92835"/>
    <w:rsid w:val="0DDA54E4"/>
    <w:rsid w:val="0E2C2B37"/>
    <w:rsid w:val="0E3746E5"/>
    <w:rsid w:val="0E56296F"/>
    <w:rsid w:val="0EC31D58"/>
    <w:rsid w:val="0EC57F43"/>
    <w:rsid w:val="0EE04D7C"/>
    <w:rsid w:val="0EF645A0"/>
    <w:rsid w:val="0F317386"/>
    <w:rsid w:val="0F3E0E84"/>
    <w:rsid w:val="0F634CA4"/>
    <w:rsid w:val="0F783207"/>
    <w:rsid w:val="0F87344A"/>
    <w:rsid w:val="0FB87AA7"/>
    <w:rsid w:val="0FC1559D"/>
    <w:rsid w:val="0FEA718C"/>
    <w:rsid w:val="10036F74"/>
    <w:rsid w:val="10274F9A"/>
    <w:rsid w:val="109202F8"/>
    <w:rsid w:val="10923E54"/>
    <w:rsid w:val="109A1038"/>
    <w:rsid w:val="10B65D95"/>
    <w:rsid w:val="10B777B7"/>
    <w:rsid w:val="10D95F27"/>
    <w:rsid w:val="11186A50"/>
    <w:rsid w:val="111C1583"/>
    <w:rsid w:val="111E48D6"/>
    <w:rsid w:val="11230F50"/>
    <w:rsid w:val="11380EA0"/>
    <w:rsid w:val="113F222E"/>
    <w:rsid w:val="1149458E"/>
    <w:rsid w:val="116B706A"/>
    <w:rsid w:val="116C28F7"/>
    <w:rsid w:val="11766304"/>
    <w:rsid w:val="11877731"/>
    <w:rsid w:val="11904838"/>
    <w:rsid w:val="11AD2259"/>
    <w:rsid w:val="11E954BE"/>
    <w:rsid w:val="120152D9"/>
    <w:rsid w:val="12103BCB"/>
    <w:rsid w:val="1211524D"/>
    <w:rsid w:val="12266F4A"/>
    <w:rsid w:val="122B27B2"/>
    <w:rsid w:val="123E24E6"/>
    <w:rsid w:val="12763439"/>
    <w:rsid w:val="12926201"/>
    <w:rsid w:val="12A61E39"/>
    <w:rsid w:val="12C111F6"/>
    <w:rsid w:val="130B4B50"/>
    <w:rsid w:val="134C478E"/>
    <w:rsid w:val="134D0507"/>
    <w:rsid w:val="13914897"/>
    <w:rsid w:val="139549B8"/>
    <w:rsid w:val="13B642FE"/>
    <w:rsid w:val="13DA653D"/>
    <w:rsid w:val="13E274AC"/>
    <w:rsid w:val="13EE3A98"/>
    <w:rsid w:val="14301CC2"/>
    <w:rsid w:val="14694BBB"/>
    <w:rsid w:val="149F165C"/>
    <w:rsid w:val="14A265EC"/>
    <w:rsid w:val="14A44728"/>
    <w:rsid w:val="14A44EB1"/>
    <w:rsid w:val="14EA0703"/>
    <w:rsid w:val="155713D3"/>
    <w:rsid w:val="15657D89"/>
    <w:rsid w:val="158E6E55"/>
    <w:rsid w:val="15A417A0"/>
    <w:rsid w:val="15CA3F93"/>
    <w:rsid w:val="15D942D4"/>
    <w:rsid w:val="160A0FCA"/>
    <w:rsid w:val="162419F3"/>
    <w:rsid w:val="16612C47"/>
    <w:rsid w:val="1696695B"/>
    <w:rsid w:val="16CA6C53"/>
    <w:rsid w:val="16F5513D"/>
    <w:rsid w:val="17065B06"/>
    <w:rsid w:val="1740285C"/>
    <w:rsid w:val="174C1972"/>
    <w:rsid w:val="17777C51"/>
    <w:rsid w:val="17964BA4"/>
    <w:rsid w:val="17B7090E"/>
    <w:rsid w:val="17DF2C4E"/>
    <w:rsid w:val="17E17399"/>
    <w:rsid w:val="17EF7DDE"/>
    <w:rsid w:val="180C7DEE"/>
    <w:rsid w:val="18115297"/>
    <w:rsid w:val="18185587"/>
    <w:rsid w:val="182B52BA"/>
    <w:rsid w:val="183964CA"/>
    <w:rsid w:val="18643E8C"/>
    <w:rsid w:val="18B74DA0"/>
    <w:rsid w:val="18BC1320"/>
    <w:rsid w:val="18D12D79"/>
    <w:rsid w:val="18E65685"/>
    <w:rsid w:val="18F64A8A"/>
    <w:rsid w:val="18FD1248"/>
    <w:rsid w:val="19137AFC"/>
    <w:rsid w:val="19153875"/>
    <w:rsid w:val="191A70DD"/>
    <w:rsid w:val="196B16E7"/>
    <w:rsid w:val="19896649"/>
    <w:rsid w:val="199C7AF2"/>
    <w:rsid w:val="19D41982"/>
    <w:rsid w:val="1A1743EA"/>
    <w:rsid w:val="1A412A84"/>
    <w:rsid w:val="1A534654"/>
    <w:rsid w:val="1A607A23"/>
    <w:rsid w:val="1A9D3180"/>
    <w:rsid w:val="1AA72BF2"/>
    <w:rsid w:val="1AFC1A94"/>
    <w:rsid w:val="1B0A019A"/>
    <w:rsid w:val="1B177D78"/>
    <w:rsid w:val="1B3E5305"/>
    <w:rsid w:val="1B5D7B73"/>
    <w:rsid w:val="1B6F54BE"/>
    <w:rsid w:val="1BC9765B"/>
    <w:rsid w:val="1BCE12EF"/>
    <w:rsid w:val="1BDE43F2"/>
    <w:rsid w:val="1BF70B1B"/>
    <w:rsid w:val="1C0628B7"/>
    <w:rsid w:val="1C33298F"/>
    <w:rsid w:val="1C3A6528"/>
    <w:rsid w:val="1C7C175A"/>
    <w:rsid w:val="1CBF06C7"/>
    <w:rsid w:val="1CCC06EE"/>
    <w:rsid w:val="1CDD25B2"/>
    <w:rsid w:val="1CF57C45"/>
    <w:rsid w:val="1CF85B73"/>
    <w:rsid w:val="1D207D1B"/>
    <w:rsid w:val="1D3E1CC2"/>
    <w:rsid w:val="1D440BCC"/>
    <w:rsid w:val="1D4C70EF"/>
    <w:rsid w:val="1D4E55A7"/>
    <w:rsid w:val="1D660B43"/>
    <w:rsid w:val="1D686669"/>
    <w:rsid w:val="1D75312E"/>
    <w:rsid w:val="1D9E011C"/>
    <w:rsid w:val="1DA2147D"/>
    <w:rsid w:val="1DEF0B38"/>
    <w:rsid w:val="1DEF0E88"/>
    <w:rsid w:val="1E15334A"/>
    <w:rsid w:val="1E1F2075"/>
    <w:rsid w:val="1E5D1F46"/>
    <w:rsid w:val="1E74728F"/>
    <w:rsid w:val="1E763007"/>
    <w:rsid w:val="1EA731C1"/>
    <w:rsid w:val="1ED1049A"/>
    <w:rsid w:val="1EEC0F4D"/>
    <w:rsid w:val="1F3C1B5B"/>
    <w:rsid w:val="1F664B33"/>
    <w:rsid w:val="1F784C8E"/>
    <w:rsid w:val="1F8D1E7C"/>
    <w:rsid w:val="1F9F033C"/>
    <w:rsid w:val="200F54C2"/>
    <w:rsid w:val="20124FB2"/>
    <w:rsid w:val="201A79C2"/>
    <w:rsid w:val="20861AA1"/>
    <w:rsid w:val="208A67A9"/>
    <w:rsid w:val="20906EE2"/>
    <w:rsid w:val="20943C19"/>
    <w:rsid w:val="216A1192"/>
    <w:rsid w:val="216A32A5"/>
    <w:rsid w:val="218617B3"/>
    <w:rsid w:val="21B84BEB"/>
    <w:rsid w:val="21CF4F08"/>
    <w:rsid w:val="21F442B1"/>
    <w:rsid w:val="220D043F"/>
    <w:rsid w:val="221A3D34"/>
    <w:rsid w:val="222C235B"/>
    <w:rsid w:val="22305829"/>
    <w:rsid w:val="22333EAB"/>
    <w:rsid w:val="223E5BEA"/>
    <w:rsid w:val="22471B27"/>
    <w:rsid w:val="22527535"/>
    <w:rsid w:val="227126F8"/>
    <w:rsid w:val="229323DA"/>
    <w:rsid w:val="2298179E"/>
    <w:rsid w:val="22AE0FC2"/>
    <w:rsid w:val="22C64C01"/>
    <w:rsid w:val="23046E34"/>
    <w:rsid w:val="23164DB9"/>
    <w:rsid w:val="23503E27"/>
    <w:rsid w:val="236A792E"/>
    <w:rsid w:val="237D457E"/>
    <w:rsid w:val="238041A2"/>
    <w:rsid w:val="2383244E"/>
    <w:rsid w:val="238D507B"/>
    <w:rsid w:val="24294678"/>
    <w:rsid w:val="242F6132"/>
    <w:rsid w:val="24353D2E"/>
    <w:rsid w:val="244B2840"/>
    <w:rsid w:val="246833F2"/>
    <w:rsid w:val="249904EF"/>
    <w:rsid w:val="24C70119"/>
    <w:rsid w:val="24F3691F"/>
    <w:rsid w:val="250B2441"/>
    <w:rsid w:val="255319AC"/>
    <w:rsid w:val="25693B3F"/>
    <w:rsid w:val="25A20B86"/>
    <w:rsid w:val="25B20DC9"/>
    <w:rsid w:val="25BA5ED0"/>
    <w:rsid w:val="25D570B9"/>
    <w:rsid w:val="25DE2B2D"/>
    <w:rsid w:val="25E22D30"/>
    <w:rsid w:val="260B41A9"/>
    <w:rsid w:val="2640497E"/>
    <w:rsid w:val="26435EC5"/>
    <w:rsid w:val="26477185"/>
    <w:rsid w:val="26804A23"/>
    <w:rsid w:val="2681079B"/>
    <w:rsid w:val="268214FA"/>
    <w:rsid w:val="26962499"/>
    <w:rsid w:val="26B20955"/>
    <w:rsid w:val="26F966EB"/>
    <w:rsid w:val="270513CC"/>
    <w:rsid w:val="27135897"/>
    <w:rsid w:val="273A366C"/>
    <w:rsid w:val="27651060"/>
    <w:rsid w:val="278A3680"/>
    <w:rsid w:val="279B5FE0"/>
    <w:rsid w:val="279F35CF"/>
    <w:rsid w:val="27A97FAA"/>
    <w:rsid w:val="27B5050A"/>
    <w:rsid w:val="27F531EF"/>
    <w:rsid w:val="27F60D15"/>
    <w:rsid w:val="2816040D"/>
    <w:rsid w:val="281F7BDC"/>
    <w:rsid w:val="283C7070"/>
    <w:rsid w:val="28463A4A"/>
    <w:rsid w:val="286A598B"/>
    <w:rsid w:val="28B44E58"/>
    <w:rsid w:val="28B4691C"/>
    <w:rsid w:val="291E49C7"/>
    <w:rsid w:val="294F692F"/>
    <w:rsid w:val="295217CA"/>
    <w:rsid w:val="295A1003"/>
    <w:rsid w:val="295C25C7"/>
    <w:rsid w:val="2976035F"/>
    <w:rsid w:val="29852318"/>
    <w:rsid w:val="29B019A3"/>
    <w:rsid w:val="29B0575C"/>
    <w:rsid w:val="29CF7060"/>
    <w:rsid w:val="29FC7BB6"/>
    <w:rsid w:val="2A0C2A72"/>
    <w:rsid w:val="2A4C41C5"/>
    <w:rsid w:val="2A574325"/>
    <w:rsid w:val="2A7209CE"/>
    <w:rsid w:val="2AA06975"/>
    <w:rsid w:val="2AA902C1"/>
    <w:rsid w:val="2AB729DE"/>
    <w:rsid w:val="2ABC7FF4"/>
    <w:rsid w:val="2AF4778E"/>
    <w:rsid w:val="2B094D4A"/>
    <w:rsid w:val="2B3E6C5B"/>
    <w:rsid w:val="2B487D27"/>
    <w:rsid w:val="2B62123C"/>
    <w:rsid w:val="2B674404"/>
    <w:rsid w:val="2B7037B2"/>
    <w:rsid w:val="2B7408CF"/>
    <w:rsid w:val="2B7C6051"/>
    <w:rsid w:val="2B935A45"/>
    <w:rsid w:val="2B98280F"/>
    <w:rsid w:val="2B9866A5"/>
    <w:rsid w:val="2B9A264F"/>
    <w:rsid w:val="2BCF3D57"/>
    <w:rsid w:val="2BDA1A1F"/>
    <w:rsid w:val="2BDD0222"/>
    <w:rsid w:val="2BF65788"/>
    <w:rsid w:val="2C3D6F12"/>
    <w:rsid w:val="2C432646"/>
    <w:rsid w:val="2C5E24CE"/>
    <w:rsid w:val="2C625EB4"/>
    <w:rsid w:val="2CFB0D33"/>
    <w:rsid w:val="2D19295A"/>
    <w:rsid w:val="2D3C3247"/>
    <w:rsid w:val="2DDF4725"/>
    <w:rsid w:val="2DE827A0"/>
    <w:rsid w:val="2DEE4968"/>
    <w:rsid w:val="2E254102"/>
    <w:rsid w:val="2E386AC1"/>
    <w:rsid w:val="2E3D31FA"/>
    <w:rsid w:val="2E580034"/>
    <w:rsid w:val="2E666654"/>
    <w:rsid w:val="2E76495E"/>
    <w:rsid w:val="2E9B17D4"/>
    <w:rsid w:val="2EB84F76"/>
    <w:rsid w:val="2EBE07DF"/>
    <w:rsid w:val="2EE267B1"/>
    <w:rsid w:val="2EEB2394"/>
    <w:rsid w:val="2EF57EF9"/>
    <w:rsid w:val="2F2D7712"/>
    <w:rsid w:val="2F5E78CC"/>
    <w:rsid w:val="2F6D3FB3"/>
    <w:rsid w:val="2F770A3B"/>
    <w:rsid w:val="2F7E7F6E"/>
    <w:rsid w:val="2FA138E4"/>
    <w:rsid w:val="2FBE036A"/>
    <w:rsid w:val="2FE73A0A"/>
    <w:rsid w:val="2FE95D01"/>
    <w:rsid w:val="2FF01F76"/>
    <w:rsid w:val="30135356"/>
    <w:rsid w:val="301937F3"/>
    <w:rsid w:val="30562C99"/>
    <w:rsid w:val="305F38FB"/>
    <w:rsid w:val="306F62AC"/>
    <w:rsid w:val="30851151"/>
    <w:rsid w:val="30A734F4"/>
    <w:rsid w:val="30E82CBC"/>
    <w:rsid w:val="30F96D34"/>
    <w:rsid w:val="3102072B"/>
    <w:rsid w:val="31181CFC"/>
    <w:rsid w:val="316136A3"/>
    <w:rsid w:val="31623B36"/>
    <w:rsid w:val="31736083"/>
    <w:rsid w:val="31807FCD"/>
    <w:rsid w:val="3186135C"/>
    <w:rsid w:val="31A35A6A"/>
    <w:rsid w:val="31D67BED"/>
    <w:rsid w:val="32144BB9"/>
    <w:rsid w:val="32985C10"/>
    <w:rsid w:val="32BC6C01"/>
    <w:rsid w:val="33294694"/>
    <w:rsid w:val="335A484E"/>
    <w:rsid w:val="33682619"/>
    <w:rsid w:val="336E5173"/>
    <w:rsid w:val="337C30AF"/>
    <w:rsid w:val="337C76E9"/>
    <w:rsid w:val="33837901"/>
    <w:rsid w:val="33910A3F"/>
    <w:rsid w:val="3394135A"/>
    <w:rsid w:val="33A545F0"/>
    <w:rsid w:val="33A67A93"/>
    <w:rsid w:val="33C06DA7"/>
    <w:rsid w:val="33C30645"/>
    <w:rsid w:val="33D56E32"/>
    <w:rsid w:val="3458408E"/>
    <w:rsid w:val="346159EE"/>
    <w:rsid w:val="34AF1EA4"/>
    <w:rsid w:val="34DE4287"/>
    <w:rsid w:val="34F33446"/>
    <w:rsid w:val="350C3926"/>
    <w:rsid w:val="35260E8C"/>
    <w:rsid w:val="352D0233"/>
    <w:rsid w:val="353321FB"/>
    <w:rsid w:val="3550313F"/>
    <w:rsid w:val="35527ED3"/>
    <w:rsid w:val="3554618D"/>
    <w:rsid w:val="35575864"/>
    <w:rsid w:val="355D6BE9"/>
    <w:rsid w:val="356A3ECE"/>
    <w:rsid w:val="357850F9"/>
    <w:rsid w:val="358F4407"/>
    <w:rsid w:val="35A17F3B"/>
    <w:rsid w:val="35C506A4"/>
    <w:rsid w:val="35DF486E"/>
    <w:rsid w:val="35ED3757"/>
    <w:rsid w:val="366C4FC4"/>
    <w:rsid w:val="3684161D"/>
    <w:rsid w:val="369167D9"/>
    <w:rsid w:val="369E4A52"/>
    <w:rsid w:val="36D44054"/>
    <w:rsid w:val="372D1FC1"/>
    <w:rsid w:val="374A2C32"/>
    <w:rsid w:val="37757EA8"/>
    <w:rsid w:val="37A76159"/>
    <w:rsid w:val="37D270A9"/>
    <w:rsid w:val="37E666B0"/>
    <w:rsid w:val="37E853C9"/>
    <w:rsid w:val="381F0AD4"/>
    <w:rsid w:val="385C4BC4"/>
    <w:rsid w:val="388B407E"/>
    <w:rsid w:val="388D4D7E"/>
    <w:rsid w:val="38995E18"/>
    <w:rsid w:val="38A00F55"/>
    <w:rsid w:val="38A42515"/>
    <w:rsid w:val="38A722E3"/>
    <w:rsid w:val="38C41821"/>
    <w:rsid w:val="38D1110E"/>
    <w:rsid w:val="38D44934"/>
    <w:rsid w:val="38EA6674"/>
    <w:rsid w:val="392B2C6B"/>
    <w:rsid w:val="3943521E"/>
    <w:rsid w:val="3962445C"/>
    <w:rsid w:val="3971248D"/>
    <w:rsid w:val="3987227C"/>
    <w:rsid w:val="398E3AAC"/>
    <w:rsid w:val="39932868"/>
    <w:rsid w:val="39BA1BA2"/>
    <w:rsid w:val="39EC423E"/>
    <w:rsid w:val="3A125E82"/>
    <w:rsid w:val="3A157721"/>
    <w:rsid w:val="3A2801BE"/>
    <w:rsid w:val="3A2F66BB"/>
    <w:rsid w:val="3A327E40"/>
    <w:rsid w:val="3A3A7346"/>
    <w:rsid w:val="3A406122"/>
    <w:rsid w:val="3A5244D1"/>
    <w:rsid w:val="3AAA1C17"/>
    <w:rsid w:val="3ABE3914"/>
    <w:rsid w:val="3ACD7C69"/>
    <w:rsid w:val="3AF630AE"/>
    <w:rsid w:val="3AF64E5C"/>
    <w:rsid w:val="3B130672"/>
    <w:rsid w:val="3B194FEF"/>
    <w:rsid w:val="3B5322AF"/>
    <w:rsid w:val="3B590554"/>
    <w:rsid w:val="3BC82C9D"/>
    <w:rsid w:val="3BDD601C"/>
    <w:rsid w:val="3BE6005B"/>
    <w:rsid w:val="3C08753D"/>
    <w:rsid w:val="3C243C4B"/>
    <w:rsid w:val="3C355E58"/>
    <w:rsid w:val="3C423D71"/>
    <w:rsid w:val="3C7544A7"/>
    <w:rsid w:val="3C9568F7"/>
    <w:rsid w:val="3CB1259C"/>
    <w:rsid w:val="3CDD0FC9"/>
    <w:rsid w:val="3D274A9D"/>
    <w:rsid w:val="3D522DF4"/>
    <w:rsid w:val="3D7824A0"/>
    <w:rsid w:val="3D905948"/>
    <w:rsid w:val="3D94624D"/>
    <w:rsid w:val="3E1A411A"/>
    <w:rsid w:val="3E5C591E"/>
    <w:rsid w:val="3E641E5A"/>
    <w:rsid w:val="3E6A3F2D"/>
    <w:rsid w:val="3E821613"/>
    <w:rsid w:val="3E8310FD"/>
    <w:rsid w:val="3EB51069"/>
    <w:rsid w:val="3EBD534C"/>
    <w:rsid w:val="3EC96F31"/>
    <w:rsid w:val="3F251745"/>
    <w:rsid w:val="3F2968C0"/>
    <w:rsid w:val="3F367F1D"/>
    <w:rsid w:val="3F690AA8"/>
    <w:rsid w:val="3F9115F7"/>
    <w:rsid w:val="3F977E85"/>
    <w:rsid w:val="3F987964"/>
    <w:rsid w:val="3F9B2476"/>
    <w:rsid w:val="3FDD313B"/>
    <w:rsid w:val="40352698"/>
    <w:rsid w:val="40491ED2"/>
    <w:rsid w:val="40842F0A"/>
    <w:rsid w:val="408465EB"/>
    <w:rsid w:val="40A4535A"/>
    <w:rsid w:val="40AA5894"/>
    <w:rsid w:val="41314E40"/>
    <w:rsid w:val="413E3084"/>
    <w:rsid w:val="41742F7F"/>
    <w:rsid w:val="4182744A"/>
    <w:rsid w:val="41C15A00"/>
    <w:rsid w:val="42240A09"/>
    <w:rsid w:val="42472441"/>
    <w:rsid w:val="424B52D4"/>
    <w:rsid w:val="424E557E"/>
    <w:rsid w:val="425A6618"/>
    <w:rsid w:val="428169B3"/>
    <w:rsid w:val="42A33166"/>
    <w:rsid w:val="42B20202"/>
    <w:rsid w:val="42C27D1A"/>
    <w:rsid w:val="431C567C"/>
    <w:rsid w:val="434D384C"/>
    <w:rsid w:val="43800A50"/>
    <w:rsid w:val="43876880"/>
    <w:rsid w:val="43A05439"/>
    <w:rsid w:val="43A74283"/>
    <w:rsid w:val="43B53A55"/>
    <w:rsid w:val="43F403A7"/>
    <w:rsid w:val="43FC6A95"/>
    <w:rsid w:val="445D179B"/>
    <w:rsid w:val="44616288"/>
    <w:rsid w:val="446C3C93"/>
    <w:rsid w:val="4492209A"/>
    <w:rsid w:val="44A60973"/>
    <w:rsid w:val="44CF5928"/>
    <w:rsid w:val="44D37FBC"/>
    <w:rsid w:val="44DC651A"/>
    <w:rsid w:val="44ED2FD3"/>
    <w:rsid w:val="44FD45BD"/>
    <w:rsid w:val="45093048"/>
    <w:rsid w:val="4517269E"/>
    <w:rsid w:val="4519268F"/>
    <w:rsid w:val="452B1BA6"/>
    <w:rsid w:val="45396A19"/>
    <w:rsid w:val="454050A9"/>
    <w:rsid w:val="45497568"/>
    <w:rsid w:val="456652D4"/>
    <w:rsid w:val="45801D20"/>
    <w:rsid w:val="45B222C8"/>
    <w:rsid w:val="45C218AE"/>
    <w:rsid w:val="45E36925"/>
    <w:rsid w:val="45F66658"/>
    <w:rsid w:val="45F900DD"/>
    <w:rsid w:val="46004BFD"/>
    <w:rsid w:val="461E33FF"/>
    <w:rsid w:val="46AC6D17"/>
    <w:rsid w:val="46BD0F24"/>
    <w:rsid w:val="46CF66C7"/>
    <w:rsid w:val="47013FF5"/>
    <w:rsid w:val="471F1BDF"/>
    <w:rsid w:val="472E740D"/>
    <w:rsid w:val="47631ACB"/>
    <w:rsid w:val="47794E4B"/>
    <w:rsid w:val="477E6905"/>
    <w:rsid w:val="47A520E4"/>
    <w:rsid w:val="47A73CBB"/>
    <w:rsid w:val="47BA4746"/>
    <w:rsid w:val="47E0136E"/>
    <w:rsid w:val="47F95BF5"/>
    <w:rsid w:val="48164D90"/>
    <w:rsid w:val="481E5DAA"/>
    <w:rsid w:val="482046A1"/>
    <w:rsid w:val="48362D3C"/>
    <w:rsid w:val="485E04E5"/>
    <w:rsid w:val="4876582E"/>
    <w:rsid w:val="48825F81"/>
    <w:rsid w:val="488F68F0"/>
    <w:rsid w:val="48A51C70"/>
    <w:rsid w:val="48D25621"/>
    <w:rsid w:val="494B2817"/>
    <w:rsid w:val="495050CA"/>
    <w:rsid w:val="49577C28"/>
    <w:rsid w:val="495C005F"/>
    <w:rsid w:val="49707888"/>
    <w:rsid w:val="49886301"/>
    <w:rsid w:val="499E07E8"/>
    <w:rsid w:val="49A14B2D"/>
    <w:rsid w:val="49AB59AC"/>
    <w:rsid w:val="49BC5837"/>
    <w:rsid w:val="49BC684D"/>
    <w:rsid w:val="49E54A1A"/>
    <w:rsid w:val="49FA3056"/>
    <w:rsid w:val="4A032016"/>
    <w:rsid w:val="4A147A9B"/>
    <w:rsid w:val="4A1E7F2C"/>
    <w:rsid w:val="4A4E6A63"/>
    <w:rsid w:val="4A9A27AA"/>
    <w:rsid w:val="4AC012CF"/>
    <w:rsid w:val="4ACC7988"/>
    <w:rsid w:val="4AF07B1A"/>
    <w:rsid w:val="4B013AD5"/>
    <w:rsid w:val="4B1A4B97"/>
    <w:rsid w:val="4B617C59"/>
    <w:rsid w:val="4B674E8A"/>
    <w:rsid w:val="4B6E4EE3"/>
    <w:rsid w:val="4B7D096D"/>
    <w:rsid w:val="4B867A5E"/>
    <w:rsid w:val="4B983D0E"/>
    <w:rsid w:val="4BB00F6A"/>
    <w:rsid w:val="4BD50ABE"/>
    <w:rsid w:val="4BD94AC8"/>
    <w:rsid w:val="4BF462E9"/>
    <w:rsid w:val="4BF54CBC"/>
    <w:rsid w:val="4C065F5C"/>
    <w:rsid w:val="4C0A4C0B"/>
    <w:rsid w:val="4C190265"/>
    <w:rsid w:val="4C3B4DC5"/>
    <w:rsid w:val="4C475E14"/>
    <w:rsid w:val="4C4A325A"/>
    <w:rsid w:val="4C53438E"/>
    <w:rsid w:val="4C7402D7"/>
    <w:rsid w:val="4C9F663F"/>
    <w:rsid w:val="4CA74208"/>
    <w:rsid w:val="4CD15729"/>
    <w:rsid w:val="4CD91CFF"/>
    <w:rsid w:val="4CE4545C"/>
    <w:rsid w:val="4CFD02CC"/>
    <w:rsid w:val="4CFD207A"/>
    <w:rsid w:val="4CFF2296"/>
    <w:rsid w:val="4D464E7A"/>
    <w:rsid w:val="4D5E3185"/>
    <w:rsid w:val="4D930C30"/>
    <w:rsid w:val="4DA90454"/>
    <w:rsid w:val="4DDF79D2"/>
    <w:rsid w:val="4DF64E7D"/>
    <w:rsid w:val="4E00263F"/>
    <w:rsid w:val="4E0833CC"/>
    <w:rsid w:val="4E195013"/>
    <w:rsid w:val="4E335445"/>
    <w:rsid w:val="4E760336"/>
    <w:rsid w:val="4E9C58C3"/>
    <w:rsid w:val="4EA053B3"/>
    <w:rsid w:val="4EBB3F9B"/>
    <w:rsid w:val="4EC74768"/>
    <w:rsid w:val="4ECF0762"/>
    <w:rsid w:val="4ED6787C"/>
    <w:rsid w:val="4EDA484F"/>
    <w:rsid w:val="4EDE412D"/>
    <w:rsid w:val="4EF37BD9"/>
    <w:rsid w:val="4F28486A"/>
    <w:rsid w:val="4F2A68EE"/>
    <w:rsid w:val="4F6603AB"/>
    <w:rsid w:val="4F697E9B"/>
    <w:rsid w:val="4FA03191"/>
    <w:rsid w:val="4FA36773"/>
    <w:rsid w:val="4FDD62EE"/>
    <w:rsid w:val="4FE47521"/>
    <w:rsid w:val="4FFE6835"/>
    <w:rsid w:val="50113DB7"/>
    <w:rsid w:val="501C16FA"/>
    <w:rsid w:val="502D0EC8"/>
    <w:rsid w:val="50FB45EB"/>
    <w:rsid w:val="50FE0D84"/>
    <w:rsid w:val="51005ED1"/>
    <w:rsid w:val="51071719"/>
    <w:rsid w:val="51143E36"/>
    <w:rsid w:val="51695F30"/>
    <w:rsid w:val="518012F6"/>
    <w:rsid w:val="51C775BA"/>
    <w:rsid w:val="51CC6F0B"/>
    <w:rsid w:val="51E97071"/>
    <w:rsid w:val="51EC090F"/>
    <w:rsid w:val="51FC6DA4"/>
    <w:rsid w:val="5200004C"/>
    <w:rsid w:val="52045C59"/>
    <w:rsid w:val="524B1ADA"/>
    <w:rsid w:val="525E35BB"/>
    <w:rsid w:val="528154FB"/>
    <w:rsid w:val="52880638"/>
    <w:rsid w:val="529A036B"/>
    <w:rsid w:val="529A2D92"/>
    <w:rsid w:val="529C11E0"/>
    <w:rsid w:val="52B4359D"/>
    <w:rsid w:val="52DA2027"/>
    <w:rsid w:val="52F201A7"/>
    <w:rsid w:val="52F67C97"/>
    <w:rsid w:val="52FC6278"/>
    <w:rsid w:val="530A3743"/>
    <w:rsid w:val="53277E51"/>
    <w:rsid w:val="534D53DE"/>
    <w:rsid w:val="538E3C1A"/>
    <w:rsid w:val="53C725AE"/>
    <w:rsid w:val="53F50267"/>
    <w:rsid w:val="54375729"/>
    <w:rsid w:val="543A1E06"/>
    <w:rsid w:val="545A6004"/>
    <w:rsid w:val="545F71FB"/>
    <w:rsid w:val="54A4596D"/>
    <w:rsid w:val="54B640EE"/>
    <w:rsid w:val="54C63D12"/>
    <w:rsid w:val="54CD30CC"/>
    <w:rsid w:val="54EB3100"/>
    <w:rsid w:val="54F4470B"/>
    <w:rsid w:val="55124B31"/>
    <w:rsid w:val="553E6538"/>
    <w:rsid w:val="5552038D"/>
    <w:rsid w:val="557E3F74"/>
    <w:rsid w:val="557F772A"/>
    <w:rsid w:val="55843BD5"/>
    <w:rsid w:val="559D64D2"/>
    <w:rsid w:val="55AA6B17"/>
    <w:rsid w:val="55AF5D1C"/>
    <w:rsid w:val="55B47996"/>
    <w:rsid w:val="55C35EAF"/>
    <w:rsid w:val="55CA5A69"/>
    <w:rsid w:val="55DD513F"/>
    <w:rsid w:val="55EE10FA"/>
    <w:rsid w:val="560E29EF"/>
    <w:rsid w:val="560E52F8"/>
    <w:rsid w:val="56530823"/>
    <w:rsid w:val="5680469D"/>
    <w:rsid w:val="56DC0F52"/>
    <w:rsid w:val="56E2080F"/>
    <w:rsid w:val="56E75E2D"/>
    <w:rsid w:val="572F671D"/>
    <w:rsid w:val="57355204"/>
    <w:rsid w:val="575925A3"/>
    <w:rsid w:val="57596A47"/>
    <w:rsid w:val="577E4EC0"/>
    <w:rsid w:val="57812D77"/>
    <w:rsid w:val="5799298C"/>
    <w:rsid w:val="57AF02DF"/>
    <w:rsid w:val="57B72DE7"/>
    <w:rsid w:val="57CF0AB7"/>
    <w:rsid w:val="57F64296"/>
    <w:rsid w:val="57F81DBC"/>
    <w:rsid w:val="582708F3"/>
    <w:rsid w:val="58711B6E"/>
    <w:rsid w:val="58786725"/>
    <w:rsid w:val="58847AF3"/>
    <w:rsid w:val="58B6709E"/>
    <w:rsid w:val="58DC16DE"/>
    <w:rsid w:val="59073F3C"/>
    <w:rsid w:val="590925F5"/>
    <w:rsid w:val="591421D0"/>
    <w:rsid w:val="599825F2"/>
    <w:rsid w:val="59A0270B"/>
    <w:rsid w:val="59A85A64"/>
    <w:rsid w:val="59D61BA3"/>
    <w:rsid w:val="59E3084A"/>
    <w:rsid w:val="5A0A4028"/>
    <w:rsid w:val="5A3572F7"/>
    <w:rsid w:val="5A4C2FD0"/>
    <w:rsid w:val="5A5F25C6"/>
    <w:rsid w:val="5A637F6F"/>
    <w:rsid w:val="5A67279E"/>
    <w:rsid w:val="5A6804AB"/>
    <w:rsid w:val="5A755946"/>
    <w:rsid w:val="5AA955EF"/>
    <w:rsid w:val="5AAC0BA8"/>
    <w:rsid w:val="5ADB3CBD"/>
    <w:rsid w:val="5AEC372E"/>
    <w:rsid w:val="5AF251E8"/>
    <w:rsid w:val="5AF32D0E"/>
    <w:rsid w:val="5AF820D3"/>
    <w:rsid w:val="5B3A6B8F"/>
    <w:rsid w:val="5B597015"/>
    <w:rsid w:val="5B5B4CD5"/>
    <w:rsid w:val="5B653C0C"/>
    <w:rsid w:val="5B7F473C"/>
    <w:rsid w:val="5B871777"/>
    <w:rsid w:val="5BD23965"/>
    <w:rsid w:val="5BD32D6E"/>
    <w:rsid w:val="5BE15A6C"/>
    <w:rsid w:val="5BE45F0E"/>
    <w:rsid w:val="5BE96A18"/>
    <w:rsid w:val="5BEB3C86"/>
    <w:rsid w:val="5C2A125B"/>
    <w:rsid w:val="5C2C2994"/>
    <w:rsid w:val="5C6908A6"/>
    <w:rsid w:val="5C944461"/>
    <w:rsid w:val="5C9F32E5"/>
    <w:rsid w:val="5CAF4F83"/>
    <w:rsid w:val="5CD343AC"/>
    <w:rsid w:val="5D106026"/>
    <w:rsid w:val="5D4B6E32"/>
    <w:rsid w:val="5D602736"/>
    <w:rsid w:val="5D667504"/>
    <w:rsid w:val="5DA0717E"/>
    <w:rsid w:val="5DB03139"/>
    <w:rsid w:val="5DC6470A"/>
    <w:rsid w:val="5DE227D8"/>
    <w:rsid w:val="5DEC200B"/>
    <w:rsid w:val="5E134C2A"/>
    <w:rsid w:val="5E2A097A"/>
    <w:rsid w:val="5E4A533B"/>
    <w:rsid w:val="5E63473D"/>
    <w:rsid w:val="5E7128C8"/>
    <w:rsid w:val="5E7A5BC7"/>
    <w:rsid w:val="5E8A398A"/>
    <w:rsid w:val="5E954808"/>
    <w:rsid w:val="5E9F7435"/>
    <w:rsid w:val="5EA7453C"/>
    <w:rsid w:val="5EBA601D"/>
    <w:rsid w:val="5EBB1968"/>
    <w:rsid w:val="5EC40C4A"/>
    <w:rsid w:val="5EE15B4F"/>
    <w:rsid w:val="5EE202B3"/>
    <w:rsid w:val="5EEF66EC"/>
    <w:rsid w:val="5F6655AA"/>
    <w:rsid w:val="5F8B1768"/>
    <w:rsid w:val="5F8F74AA"/>
    <w:rsid w:val="5FAF18FA"/>
    <w:rsid w:val="5FEF619A"/>
    <w:rsid w:val="601371F1"/>
    <w:rsid w:val="60671922"/>
    <w:rsid w:val="607C109C"/>
    <w:rsid w:val="60AC5E39"/>
    <w:rsid w:val="60DB5136"/>
    <w:rsid w:val="618E68BA"/>
    <w:rsid w:val="61942BFF"/>
    <w:rsid w:val="61B27B2C"/>
    <w:rsid w:val="61B86605"/>
    <w:rsid w:val="61B9080E"/>
    <w:rsid w:val="61BC41C8"/>
    <w:rsid w:val="61DE2022"/>
    <w:rsid w:val="61F555BE"/>
    <w:rsid w:val="62111876"/>
    <w:rsid w:val="62314848"/>
    <w:rsid w:val="623B56C7"/>
    <w:rsid w:val="62884A44"/>
    <w:rsid w:val="628C1A7E"/>
    <w:rsid w:val="62D11F49"/>
    <w:rsid w:val="62E541D8"/>
    <w:rsid w:val="62EF025F"/>
    <w:rsid w:val="6321743A"/>
    <w:rsid w:val="632B53E1"/>
    <w:rsid w:val="63333EB7"/>
    <w:rsid w:val="63360C3B"/>
    <w:rsid w:val="63367C3C"/>
    <w:rsid w:val="635A392B"/>
    <w:rsid w:val="637B0BF4"/>
    <w:rsid w:val="6390559E"/>
    <w:rsid w:val="63B20353"/>
    <w:rsid w:val="63CB2625"/>
    <w:rsid w:val="6468132B"/>
    <w:rsid w:val="64904662"/>
    <w:rsid w:val="64B92960"/>
    <w:rsid w:val="64BB409E"/>
    <w:rsid w:val="64BD0615"/>
    <w:rsid w:val="64D21BE7"/>
    <w:rsid w:val="64FE29DC"/>
    <w:rsid w:val="64FE57A9"/>
    <w:rsid w:val="6531690D"/>
    <w:rsid w:val="654152E7"/>
    <w:rsid w:val="65431690"/>
    <w:rsid w:val="65510D5D"/>
    <w:rsid w:val="65827169"/>
    <w:rsid w:val="65B744A7"/>
    <w:rsid w:val="65BF216B"/>
    <w:rsid w:val="65F8567D"/>
    <w:rsid w:val="660A5ADC"/>
    <w:rsid w:val="66100C18"/>
    <w:rsid w:val="665772D8"/>
    <w:rsid w:val="66666A8A"/>
    <w:rsid w:val="66682803"/>
    <w:rsid w:val="667016B7"/>
    <w:rsid w:val="667165ED"/>
    <w:rsid w:val="668138C4"/>
    <w:rsid w:val="668A2779"/>
    <w:rsid w:val="66D165FA"/>
    <w:rsid w:val="66EA1469"/>
    <w:rsid w:val="66EB246B"/>
    <w:rsid w:val="670E1FF7"/>
    <w:rsid w:val="6734598E"/>
    <w:rsid w:val="67381624"/>
    <w:rsid w:val="675F565F"/>
    <w:rsid w:val="67786A75"/>
    <w:rsid w:val="67791B52"/>
    <w:rsid w:val="678968B7"/>
    <w:rsid w:val="679B2764"/>
    <w:rsid w:val="67A27E42"/>
    <w:rsid w:val="67A535E2"/>
    <w:rsid w:val="67A61834"/>
    <w:rsid w:val="67C32D47"/>
    <w:rsid w:val="67FD51CC"/>
    <w:rsid w:val="67FD6F7B"/>
    <w:rsid w:val="68054659"/>
    <w:rsid w:val="68633281"/>
    <w:rsid w:val="68664B20"/>
    <w:rsid w:val="68A838B0"/>
    <w:rsid w:val="68C760A4"/>
    <w:rsid w:val="68CF07BD"/>
    <w:rsid w:val="68D95225"/>
    <w:rsid w:val="68E65C61"/>
    <w:rsid w:val="6926166F"/>
    <w:rsid w:val="692E211D"/>
    <w:rsid w:val="69833542"/>
    <w:rsid w:val="69EC54F9"/>
    <w:rsid w:val="6A2904FB"/>
    <w:rsid w:val="6ADF09E7"/>
    <w:rsid w:val="6AED777A"/>
    <w:rsid w:val="6AF9611F"/>
    <w:rsid w:val="6B014FD4"/>
    <w:rsid w:val="6B0C2230"/>
    <w:rsid w:val="6B2807B2"/>
    <w:rsid w:val="6BA918F3"/>
    <w:rsid w:val="6BAA11C7"/>
    <w:rsid w:val="6BB0484E"/>
    <w:rsid w:val="6BB44CEC"/>
    <w:rsid w:val="6BCE135A"/>
    <w:rsid w:val="6BCF025E"/>
    <w:rsid w:val="6C1A0813"/>
    <w:rsid w:val="6C383399"/>
    <w:rsid w:val="6C4C5815"/>
    <w:rsid w:val="6C975BF0"/>
    <w:rsid w:val="6CA60319"/>
    <w:rsid w:val="6CA92135"/>
    <w:rsid w:val="6CBA368C"/>
    <w:rsid w:val="6CCF2537"/>
    <w:rsid w:val="6CD5107F"/>
    <w:rsid w:val="6CDA3D2E"/>
    <w:rsid w:val="6CFF09DC"/>
    <w:rsid w:val="6D18512F"/>
    <w:rsid w:val="6D266C68"/>
    <w:rsid w:val="6D435C52"/>
    <w:rsid w:val="6D4873A6"/>
    <w:rsid w:val="6D716441"/>
    <w:rsid w:val="6D7A177D"/>
    <w:rsid w:val="6D7D5A70"/>
    <w:rsid w:val="6D7E24C3"/>
    <w:rsid w:val="6D9A2DB3"/>
    <w:rsid w:val="6D9C177A"/>
    <w:rsid w:val="6DB70AE4"/>
    <w:rsid w:val="6DC5678C"/>
    <w:rsid w:val="6DCA3DA3"/>
    <w:rsid w:val="6DCF6791"/>
    <w:rsid w:val="6DD46D47"/>
    <w:rsid w:val="6DFA4688"/>
    <w:rsid w:val="6E1730BE"/>
    <w:rsid w:val="6E364F94"/>
    <w:rsid w:val="6E4771A1"/>
    <w:rsid w:val="6EB32A89"/>
    <w:rsid w:val="6EB96428"/>
    <w:rsid w:val="6ED44ED9"/>
    <w:rsid w:val="6EDE7B06"/>
    <w:rsid w:val="6EE60768"/>
    <w:rsid w:val="6EE67DB6"/>
    <w:rsid w:val="6EE844E0"/>
    <w:rsid w:val="6EEB47F5"/>
    <w:rsid w:val="6EEB5C46"/>
    <w:rsid w:val="6F0C1186"/>
    <w:rsid w:val="6F282B2F"/>
    <w:rsid w:val="6F286FD3"/>
    <w:rsid w:val="6F2D45E9"/>
    <w:rsid w:val="6F413BF1"/>
    <w:rsid w:val="6F6A09F7"/>
    <w:rsid w:val="6F963F3C"/>
    <w:rsid w:val="6F9E7E41"/>
    <w:rsid w:val="6FFB46E7"/>
    <w:rsid w:val="701D4C35"/>
    <w:rsid w:val="701E3F32"/>
    <w:rsid w:val="702937E8"/>
    <w:rsid w:val="70313C65"/>
    <w:rsid w:val="703828C8"/>
    <w:rsid w:val="70610025"/>
    <w:rsid w:val="70614F23"/>
    <w:rsid w:val="70985E1A"/>
    <w:rsid w:val="70AD3C34"/>
    <w:rsid w:val="710B3229"/>
    <w:rsid w:val="7113780F"/>
    <w:rsid w:val="71313038"/>
    <w:rsid w:val="71353C29"/>
    <w:rsid w:val="713E0DE6"/>
    <w:rsid w:val="71431EA2"/>
    <w:rsid w:val="71463740"/>
    <w:rsid w:val="71482D64"/>
    <w:rsid w:val="71520337"/>
    <w:rsid w:val="715D270E"/>
    <w:rsid w:val="71812492"/>
    <w:rsid w:val="71866233"/>
    <w:rsid w:val="718A041C"/>
    <w:rsid w:val="718A1378"/>
    <w:rsid w:val="71955149"/>
    <w:rsid w:val="71CF6831"/>
    <w:rsid w:val="71E700C3"/>
    <w:rsid w:val="71EB08C4"/>
    <w:rsid w:val="71EF202A"/>
    <w:rsid w:val="72062ED0"/>
    <w:rsid w:val="72072498"/>
    <w:rsid w:val="722241AD"/>
    <w:rsid w:val="722D66AE"/>
    <w:rsid w:val="724B4950"/>
    <w:rsid w:val="72655682"/>
    <w:rsid w:val="727128B9"/>
    <w:rsid w:val="72753BBF"/>
    <w:rsid w:val="727D22A9"/>
    <w:rsid w:val="72842772"/>
    <w:rsid w:val="72850298"/>
    <w:rsid w:val="72B616BF"/>
    <w:rsid w:val="72B8241C"/>
    <w:rsid w:val="72D52FCE"/>
    <w:rsid w:val="72EC6569"/>
    <w:rsid w:val="730C7301"/>
    <w:rsid w:val="73124222"/>
    <w:rsid w:val="73133AF6"/>
    <w:rsid w:val="73265C65"/>
    <w:rsid w:val="736511D4"/>
    <w:rsid w:val="73705419"/>
    <w:rsid w:val="738B5432"/>
    <w:rsid w:val="7399224D"/>
    <w:rsid w:val="73A1041B"/>
    <w:rsid w:val="73C2557F"/>
    <w:rsid w:val="745E567C"/>
    <w:rsid w:val="74717183"/>
    <w:rsid w:val="747607E0"/>
    <w:rsid w:val="748800DE"/>
    <w:rsid w:val="749D7B1B"/>
    <w:rsid w:val="74B86703"/>
    <w:rsid w:val="74BB3112"/>
    <w:rsid w:val="74C46742"/>
    <w:rsid w:val="74D80D17"/>
    <w:rsid w:val="750D14EF"/>
    <w:rsid w:val="753903FB"/>
    <w:rsid w:val="756635EF"/>
    <w:rsid w:val="75750A98"/>
    <w:rsid w:val="75C64E50"/>
    <w:rsid w:val="75E654AB"/>
    <w:rsid w:val="75F61BD9"/>
    <w:rsid w:val="76004BF8"/>
    <w:rsid w:val="76061CDC"/>
    <w:rsid w:val="760C31AA"/>
    <w:rsid w:val="766D4DCA"/>
    <w:rsid w:val="767909CB"/>
    <w:rsid w:val="768C03AE"/>
    <w:rsid w:val="76943B28"/>
    <w:rsid w:val="76A41CB5"/>
    <w:rsid w:val="76B26248"/>
    <w:rsid w:val="76FA3D9F"/>
    <w:rsid w:val="76FB2388"/>
    <w:rsid w:val="77071BC4"/>
    <w:rsid w:val="77297D8C"/>
    <w:rsid w:val="77705FBE"/>
    <w:rsid w:val="778D5CB6"/>
    <w:rsid w:val="77996CC0"/>
    <w:rsid w:val="77E85551"/>
    <w:rsid w:val="780103C1"/>
    <w:rsid w:val="780E4529"/>
    <w:rsid w:val="781E0018"/>
    <w:rsid w:val="78221171"/>
    <w:rsid w:val="782346D8"/>
    <w:rsid w:val="782F4F2E"/>
    <w:rsid w:val="78365DD3"/>
    <w:rsid w:val="785C1A9B"/>
    <w:rsid w:val="785F566E"/>
    <w:rsid w:val="78632E2A"/>
    <w:rsid w:val="78654D55"/>
    <w:rsid w:val="78765F3C"/>
    <w:rsid w:val="7879089F"/>
    <w:rsid w:val="78A21BA4"/>
    <w:rsid w:val="78B1191D"/>
    <w:rsid w:val="78E23201"/>
    <w:rsid w:val="790F4D60"/>
    <w:rsid w:val="792425B9"/>
    <w:rsid w:val="79330B20"/>
    <w:rsid w:val="79554E68"/>
    <w:rsid w:val="79650C6A"/>
    <w:rsid w:val="79E166FC"/>
    <w:rsid w:val="7A0B76AE"/>
    <w:rsid w:val="7A1666D6"/>
    <w:rsid w:val="7A2111EE"/>
    <w:rsid w:val="7A29645E"/>
    <w:rsid w:val="7A461D58"/>
    <w:rsid w:val="7A5C0BF2"/>
    <w:rsid w:val="7A611EC9"/>
    <w:rsid w:val="7A680BCB"/>
    <w:rsid w:val="7A7358BD"/>
    <w:rsid w:val="7A8A28F0"/>
    <w:rsid w:val="7A916184"/>
    <w:rsid w:val="7A9419C0"/>
    <w:rsid w:val="7A9E283F"/>
    <w:rsid w:val="7AE70F19"/>
    <w:rsid w:val="7AEC0C8C"/>
    <w:rsid w:val="7B045ED3"/>
    <w:rsid w:val="7B203254"/>
    <w:rsid w:val="7B3311D9"/>
    <w:rsid w:val="7B450F0D"/>
    <w:rsid w:val="7B9F439A"/>
    <w:rsid w:val="7BD06A28"/>
    <w:rsid w:val="7BDA78A7"/>
    <w:rsid w:val="7BF070CA"/>
    <w:rsid w:val="7C097C82"/>
    <w:rsid w:val="7C245553"/>
    <w:rsid w:val="7C4F7E84"/>
    <w:rsid w:val="7C5143D4"/>
    <w:rsid w:val="7C6B4D98"/>
    <w:rsid w:val="7C943EFA"/>
    <w:rsid w:val="7CA86399"/>
    <w:rsid w:val="7D470F6C"/>
    <w:rsid w:val="7D4C025F"/>
    <w:rsid w:val="7D524231"/>
    <w:rsid w:val="7D5E5791"/>
    <w:rsid w:val="7D7941E4"/>
    <w:rsid w:val="7D871368"/>
    <w:rsid w:val="7DBD6255"/>
    <w:rsid w:val="7DE51DFA"/>
    <w:rsid w:val="7DE879B0"/>
    <w:rsid w:val="7E0230E5"/>
    <w:rsid w:val="7E0953A6"/>
    <w:rsid w:val="7E266DD3"/>
    <w:rsid w:val="7E531884"/>
    <w:rsid w:val="7ED700CE"/>
    <w:rsid w:val="7F030EC3"/>
    <w:rsid w:val="7F0864D9"/>
    <w:rsid w:val="7F0B0898"/>
    <w:rsid w:val="7F25345C"/>
    <w:rsid w:val="7F3D43D5"/>
    <w:rsid w:val="7F3E014D"/>
    <w:rsid w:val="7F41409A"/>
    <w:rsid w:val="7F71054D"/>
    <w:rsid w:val="7FAD0EE7"/>
    <w:rsid w:val="7FAF4BA7"/>
    <w:rsid w:val="7FB30B9F"/>
    <w:rsid w:val="7FB56661"/>
    <w:rsid w:val="7FD36AE7"/>
    <w:rsid w:val="DF797A7A"/>
    <w:rsid w:val="FF1ECE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2"/>
    <w:qFormat/>
    <w:uiPriority w:val="0"/>
    <w:pPr>
      <w:spacing w:before="120" w:after="120" w:line="240" w:lineRule="auto"/>
      <w:jc w:val="center"/>
      <w:outlineLvl w:val="0"/>
    </w:pPr>
    <w:rPr>
      <w:kern w:val="44"/>
    </w:rPr>
  </w:style>
  <w:style w:type="paragraph" w:styleId="3">
    <w:name w:val="heading 2"/>
    <w:basedOn w:val="1"/>
    <w:next w:val="1"/>
    <w:link w:val="53"/>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5"/>
    <w:next w:val="1"/>
    <w:link w:val="54"/>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9"/>
    <w:qFormat/>
    <w:uiPriority w:val="9"/>
    <w:pPr>
      <w:keepNext/>
      <w:keepLines/>
      <w:spacing w:before="280" w:after="290" w:line="376" w:lineRule="auto"/>
      <w:outlineLvl w:val="4"/>
    </w:pPr>
    <w:rPr>
      <w:b/>
      <w:bCs/>
      <w:sz w:val="28"/>
      <w:szCs w:val="28"/>
    </w:rPr>
  </w:style>
  <w:style w:type="paragraph" w:styleId="7">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8">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9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93"/>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autoRedefine/>
    <w:unhideWhenUsed/>
    <w:qFormat/>
    <w:uiPriority w:val="0"/>
    <w:pPr>
      <w:ind w:left="1260"/>
      <w:jc w:val="left"/>
    </w:pPr>
    <w:rPr>
      <w:rFonts w:ascii="Calibri" w:hAnsi="Calibri"/>
      <w:sz w:val="18"/>
      <w:szCs w:val="18"/>
    </w:rPr>
  </w:style>
  <w:style w:type="paragraph" w:styleId="12">
    <w:name w:val="index 8"/>
    <w:basedOn w:val="1"/>
    <w:next w:val="1"/>
    <w:qFormat/>
    <w:uiPriority w:val="99"/>
    <w:pPr>
      <w:ind w:left="1400" w:leftChars="1400"/>
    </w:pPr>
  </w:style>
  <w:style w:type="paragraph" w:styleId="13">
    <w:name w:val="Normal Indent"/>
    <w:basedOn w:val="1"/>
    <w:link w:val="70"/>
    <w:autoRedefine/>
    <w:qFormat/>
    <w:uiPriority w:val="0"/>
    <w:pPr>
      <w:ind w:firstLine="420" w:firstLineChars="200"/>
    </w:pPr>
    <w:rPr>
      <w:kern w:val="0"/>
      <w:sz w:val="20"/>
    </w:rPr>
  </w:style>
  <w:style w:type="paragraph" w:styleId="14">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5">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6">
    <w:name w:val="Document Map"/>
    <w:basedOn w:val="1"/>
    <w:link w:val="71"/>
    <w:qFormat/>
    <w:uiPriority w:val="0"/>
    <w:pPr>
      <w:shd w:val="clear" w:color="auto" w:fill="000080"/>
    </w:pPr>
  </w:style>
  <w:style w:type="paragraph" w:styleId="17">
    <w:name w:val="annotation text"/>
    <w:basedOn w:val="1"/>
    <w:link w:val="73"/>
    <w:autoRedefine/>
    <w:qFormat/>
    <w:uiPriority w:val="99"/>
    <w:pPr>
      <w:jc w:val="left"/>
    </w:pPr>
  </w:style>
  <w:style w:type="paragraph" w:styleId="18">
    <w:name w:val="Body Text 3"/>
    <w:basedOn w:val="1"/>
    <w:link w:val="200"/>
    <w:qFormat/>
    <w:uiPriority w:val="0"/>
    <w:pPr>
      <w:spacing w:after="120"/>
    </w:pPr>
    <w:rPr>
      <w:sz w:val="16"/>
      <w:szCs w:val="16"/>
    </w:rPr>
  </w:style>
  <w:style w:type="paragraph" w:styleId="19">
    <w:name w:val="Body Text"/>
    <w:basedOn w:val="1"/>
    <w:next w:val="20"/>
    <w:link w:val="72"/>
    <w:autoRedefine/>
    <w:qFormat/>
    <w:uiPriority w:val="0"/>
    <w:pPr>
      <w:spacing w:after="120"/>
    </w:pPr>
  </w:style>
  <w:style w:type="paragraph" w:styleId="20">
    <w:name w:val="Body Text 2"/>
    <w:basedOn w:val="1"/>
    <w:link w:val="147"/>
    <w:autoRedefine/>
    <w:qFormat/>
    <w:uiPriority w:val="0"/>
    <w:pPr>
      <w:spacing w:after="120" w:line="480" w:lineRule="auto"/>
    </w:pPr>
  </w:style>
  <w:style w:type="paragraph" w:styleId="21">
    <w:name w:val="Body Text Indent"/>
    <w:basedOn w:val="1"/>
    <w:link w:val="95"/>
    <w:qFormat/>
    <w:uiPriority w:val="0"/>
    <w:pPr>
      <w:spacing w:after="120"/>
      <w:ind w:left="420" w:leftChars="200"/>
    </w:pPr>
  </w:style>
  <w:style w:type="paragraph" w:styleId="22">
    <w:name w:val="toc 5"/>
    <w:basedOn w:val="1"/>
    <w:next w:val="1"/>
    <w:autoRedefine/>
    <w:unhideWhenUsed/>
    <w:qFormat/>
    <w:uiPriority w:val="0"/>
    <w:pPr>
      <w:ind w:left="840"/>
      <w:jc w:val="left"/>
    </w:pPr>
    <w:rPr>
      <w:rFonts w:ascii="Calibri" w:hAnsi="Calibri"/>
      <w:sz w:val="18"/>
      <w:szCs w:val="18"/>
    </w:rPr>
  </w:style>
  <w:style w:type="paragraph" w:styleId="23">
    <w:name w:val="toc 3"/>
    <w:basedOn w:val="1"/>
    <w:next w:val="1"/>
    <w:autoRedefine/>
    <w:unhideWhenUsed/>
    <w:qFormat/>
    <w:uiPriority w:val="39"/>
    <w:pPr>
      <w:ind w:left="420"/>
      <w:jc w:val="left"/>
    </w:pPr>
    <w:rPr>
      <w:rFonts w:ascii="Calibri" w:hAnsi="Calibri"/>
      <w:i/>
      <w:iCs/>
      <w:sz w:val="20"/>
      <w:szCs w:val="20"/>
    </w:rPr>
  </w:style>
  <w:style w:type="paragraph" w:styleId="24">
    <w:name w:val="Plain Text"/>
    <w:basedOn w:val="1"/>
    <w:link w:val="67"/>
    <w:autoRedefine/>
    <w:qFormat/>
    <w:uiPriority w:val="0"/>
    <w:rPr>
      <w:rFonts w:ascii="宋体" w:hAnsi="Courier New"/>
      <w:szCs w:val="20"/>
    </w:rPr>
  </w:style>
  <w:style w:type="paragraph" w:styleId="25">
    <w:name w:val="toc 8"/>
    <w:basedOn w:val="1"/>
    <w:next w:val="1"/>
    <w:autoRedefine/>
    <w:unhideWhenUsed/>
    <w:qFormat/>
    <w:uiPriority w:val="0"/>
    <w:pPr>
      <w:ind w:left="1470"/>
      <w:jc w:val="left"/>
    </w:pPr>
    <w:rPr>
      <w:rFonts w:ascii="Calibri" w:hAnsi="Calibri"/>
      <w:sz w:val="18"/>
      <w:szCs w:val="18"/>
    </w:rPr>
  </w:style>
  <w:style w:type="paragraph" w:styleId="26">
    <w:name w:val="Date"/>
    <w:basedOn w:val="1"/>
    <w:next w:val="1"/>
    <w:link w:val="199"/>
    <w:autoRedefine/>
    <w:qFormat/>
    <w:uiPriority w:val="0"/>
    <w:pPr>
      <w:ind w:left="100" w:leftChars="2500"/>
    </w:pPr>
  </w:style>
  <w:style w:type="paragraph" w:styleId="27">
    <w:name w:val="Body Text Indent 2"/>
    <w:basedOn w:val="1"/>
    <w:link w:val="94"/>
    <w:autoRedefine/>
    <w:qFormat/>
    <w:uiPriority w:val="0"/>
    <w:pPr>
      <w:spacing w:after="120" w:line="480" w:lineRule="auto"/>
      <w:ind w:left="420" w:leftChars="200"/>
    </w:pPr>
  </w:style>
  <w:style w:type="paragraph" w:styleId="28">
    <w:name w:val="Balloon Text"/>
    <w:basedOn w:val="1"/>
    <w:link w:val="75"/>
    <w:autoRedefine/>
    <w:qFormat/>
    <w:uiPriority w:val="0"/>
    <w:rPr>
      <w:sz w:val="18"/>
      <w:szCs w:val="18"/>
    </w:rPr>
  </w:style>
  <w:style w:type="paragraph" w:styleId="29">
    <w:name w:val="footer"/>
    <w:basedOn w:val="1"/>
    <w:link w:val="57"/>
    <w:autoRedefine/>
    <w:qFormat/>
    <w:uiPriority w:val="0"/>
    <w:pPr>
      <w:tabs>
        <w:tab w:val="center" w:pos="4153"/>
        <w:tab w:val="right" w:pos="8306"/>
      </w:tabs>
      <w:snapToGrid w:val="0"/>
      <w:jc w:val="left"/>
    </w:pPr>
    <w:rPr>
      <w:sz w:val="18"/>
      <w:szCs w:val="18"/>
    </w:rPr>
  </w:style>
  <w:style w:type="paragraph" w:styleId="30">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1">
    <w:name w:val="toc 1"/>
    <w:basedOn w:val="1"/>
    <w:next w:val="1"/>
    <w:autoRedefine/>
    <w:qFormat/>
    <w:uiPriority w:val="39"/>
    <w:pPr>
      <w:spacing w:before="120" w:after="120"/>
      <w:jc w:val="left"/>
    </w:pPr>
    <w:rPr>
      <w:rFonts w:ascii="Calibri" w:hAnsi="Calibri"/>
      <w:b/>
      <w:bCs/>
      <w:caps/>
      <w:sz w:val="20"/>
      <w:szCs w:val="20"/>
    </w:rPr>
  </w:style>
  <w:style w:type="paragraph" w:styleId="32">
    <w:name w:val="toc 4"/>
    <w:basedOn w:val="1"/>
    <w:next w:val="1"/>
    <w:autoRedefine/>
    <w:unhideWhenUsed/>
    <w:qFormat/>
    <w:uiPriority w:val="0"/>
    <w:pPr>
      <w:ind w:left="630"/>
      <w:jc w:val="left"/>
    </w:pPr>
    <w:rPr>
      <w:rFonts w:ascii="Calibri" w:hAnsi="Calibri"/>
      <w:sz w:val="18"/>
      <w:szCs w:val="18"/>
    </w:rPr>
  </w:style>
  <w:style w:type="paragraph" w:styleId="33">
    <w:name w:val="toc 6"/>
    <w:basedOn w:val="1"/>
    <w:next w:val="1"/>
    <w:unhideWhenUsed/>
    <w:qFormat/>
    <w:uiPriority w:val="0"/>
    <w:pPr>
      <w:ind w:left="1050"/>
      <w:jc w:val="left"/>
    </w:pPr>
    <w:rPr>
      <w:rFonts w:ascii="Calibri" w:hAnsi="Calibri"/>
      <w:sz w:val="18"/>
      <w:szCs w:val="18"/>
    </w:rPr>
  </w:style>
  <w:style w:type="paragraph" w:styleId="34">
    <w:name w:val="Body Text Indent 3"/>
    <w:basedOn w:val="1"/>
    <w:link w:val="146"/>
    <w:autoRedefine/>
    <w:qFormat/>
    <w:uiPriority w:val="0"/>
    <w:pPr>
      <w:spacing w:after="120"/>
      <w:ind w:left="420" w:leftChars="200"/>
    </w:pPr>
    <w:rPr>
      <w:sz w:val="16"/>
      <w:szCs w:val="16"/>
    </w:rPr>
  </w:style>
  <w:style w:type="paragraph" w:styleId="35">
    <w:name w:val="toc 2"/>
    <w:basedOn w:val="1"/>
    <w:next w:val="1"/>
    <w:autoRedefine/>
    <w:unhideWhenUsed/>
    <w:qFormat/>
    <w:uiPriority w:val="39"/>
    <w:pPr>
      <w:ind w:left="210"/>
      <w:jc w:val="left"/>
    </w:pPr>
    <w:rPr>
      <w:rFonts w:ascii="Calibri" w:hAnsi="Calibri"/>
      <w:smallCaps/>
      <w:sz w:val="20"/>
      <w:szCs w:val="20"/>
    </w:rPr>
  </w:style>
  <w:style w:type="paragraph" w:styleId="36">
    <w:name w:val="toc 9"/>
    <w:basedOn w:val="1"/>
    <w:next w:val="1"/>
    <w:autoRedefine/>
    <w:unhideWhenUsed/>
    <w:qFormat/>
    <w:uiPriority w:val="0"/>
    <w:pPr>
      <w:ind w:left="1680"/>
      <w:jc w:val="left"/>
    </w:pPr>
    <w:rPr>
      <w:rFonts w:ascii="Calibri" w:hAnsi="Calibri"/>
      <w:sz w:val="18"/>
      <w:szCs w:val="18"/>
    </w:rPr>
  </w:style>
  <w:style w:type="paragraph" w:styleId="3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0"/>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7"/>
    <w:next w:val="17"/>
    <w:link w:val="74"/>
    <w:semiHidden/>
    <w:qFormat/>
    <w:uiPriority w:val="0"/>
    <w:rPr>
      <w:b/>
      <w:bCs/>
    </w:rPr>
  </w:style>
  <w:style w:type="paragraph" w:styleId="42">
    <w:name w:val="Body Text First Indent"/>
    <w:basedOn w:val="19"/>
    <w:link w:val="240"/>
    <w:autoRedefine/>
    <w:qFormat/>
    <w:uiPriority w:val="0"/>
    <w:pPr>
      <w:ind w:firstLine="420" w:firstLineChars="100"/>
    </w:pPr>
    <w:rPr>
      <w:b/>
      <w:bCs/>
    </w:rPr>
  </w:style>
  <w:style w:type="paragraph" w:styleId="43">
    <w:name w:val="Body Text First Indent 2"/>
    <w:basedOn w:val="21"/>
    <w:link w:val="108"/>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Emphasis"/>
    <w:qFormat/>
    <w:uiPriority w:val="0"/>
    <w:rPr>
      <w:rFonts w:ascii="仿宋_GB2312" w:eastAsia="仿宋_GB2312"/>
      <w:b/>
      <w:color w:val="CC0000"/>
      <w:kern w:val="2"/>
      <w:sz w:val="28"/>
      <w:szCs w:val="28"/>
      <w:lang w:val="en-US" w:eastAsia="zh-CN" w:bidi="ar-SA"/>
    </w:rPr>
  </w:style>
  <w:style w:type="character" w:styleId="50">
    <w:name w:val="Hyperlink"/>
    <w:basedOn w:val="46"/>
    <w:qFormat/>
    <w:uiPriority w:val="99"/>
    <w:rPr>
      <w:color w:val="0000FF"/>
      <w:u w:val="single"/>
    </w:rPr>
  </w:style>
  <w:style w:type="character" w:styleId="51">
    <w:name w:val="annotation reference"/>
    <w:autoRedefine/>
    <w:qFormat/>
    <w:uiPriority w:val="99"/>
    <w:rPr>
      <w:sz w:val="21"/>
      <w:szCs w:val="21"/>
    </w:rPr>
  </w:style>
  <w:style w:type="character" w:customStyle="1" w:styleId="52">
    <w:name w:val="标题 1 字符"/>
    <w:link w:val="2"/>
    <w:qFormat/>
    <w:uiPriority w:val="0"/>
    <w:rPr>
      <w:rFonts w:ascii="Arial" w:hAnsi="Arial" w:eastAsia="黑体" w:cs="Times New Roman"/>
      <w:kern w:val="44"/>
      <w:sz w:val="32"/>
      <w:szCs w:val="32"/>
    </w:rPr>
  </w:style>
  <w:style w:type="character" w:customStyle="1" w:styleId="53">
    <w:name w:val="标题 2 字符"/>
    <w:link w:val="3"/>
    <w:qFormat/>
    <w:uiPriority w:val="0"/>
    <w:rPr>
      <w:rFonts w:ascii="Arial" w:hAnsi="Arial" w:eastAsia="黑体" w:cs="Times New Roman"/>
      <w:b/>
      <w:bCs/>
      <w:sz w:val="32"/>
      <w:szCs w:val="32"/>
    </w:rPr>
  </w:style>
  <w:style w:type="character" w:customStyle="1" w:styleId="54">
    <w:name w:val="标题 3 字符"/>
    <w:link w:val="4"/>
    <w:autoRedefine/>
    <w:qFormat/>
    <w:uiPriority w:val="0"/>
    <w:rPr>
      <w:rFonts w:ascii="Times New Roman" w:hAnsi="Times New Roman" w:eastAsia="宋体" w:cs="Times New Roman"/>
      <w:b/>
      <w:bCs/>
      <w:sz w:val="32"/>
      <w:szCs w:val="32"/>
    </w:rPr>
  </w:style>
  <w:style w:type="character" w:customStyle="1" w:styleId="55">
    <w:name w:val="标题 4 字符"/>
    <w:link w:val="5"/>
    <w:autoRedefine/>
    <w:qFormat/>
    <w:uiPriority w:val="0"/>
    <w:rPr>
      <w:rFonts w:ascii="Arial" w:hAnsi="Arial" w:eastAsia="黑体" w:cs="Times New Roman"/>
      <w:b/>
      <w:bCs/>
      <w:sz w:val="28"/>
      <w:szCs w:val="28"/>
    </w:rPr>
  </w:style>
  <w:style w:type="character" w:customStyle="1" w:styleId="56">
    <w:name w:val="页眉 字符"/>
    <w:link w:val="30"/>
    <w:autoRedefine/>
    <w:qFormat/>
    <w:uiPriority w:val="0"/>
    <w:rPr>
      <w:rFonts w:ascii="Times New Roman" w:hAnsi="Times New Roman" w:eastAsia="宋体" w:cs="Times New Roman"/>
      <w:sz w:val="18"/>
      <w:szCs w:val="18"/>
    </w:rPr>
  </w:style>
  <w:style w:type="character" w:customStyle="1" w:styleId="57">
    <w:name w:val="页脚 字符"/>
    <w:link w:val="29"/>
    <w:autoRedefine/>
    <w:qFormat/>
    <w:uiPriority w:val="0"/>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字符"/>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字符"/>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字符"/>
    <w:link w:val="24"/>
    <w:qFormat/>
    <w:uiPriority w:val="0"/>
    <w:rPr>
      <w:rFonts w:ascii="宋体" w:hAnsi="Courier New" w:eastAsia="宋体" w:cs="Times New Roman"/>
      <w:szCs w:val="20"/>
    </w:rPr>
  </w:style>
  <w:style w:type="paragraph" w:customStyle="1" w:styleId="68">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字符"/>
    <w:link w:val="13"/>
    <w:autoRedefine/>
    <w:qFormat/>
    <w:uiPriority w:val="0"/>
    <w:rPr>
      <w:rFonts w:ascii="Times New Roman" w:hAnsi="Times New Roman" w:eastAsia="宋体" w:cs="Times New Roman"/>
      <w:szCs w:val="24"/>
    </w:rPr>
  </w:style>
  <w:style w:type="character" w:customStyle="1" w:styleId="71">
    <w:name w:val="文档结构图 字符"/>
    <w:link w:val="16"/>
    <w:autoRedefine/>
    <w:qFormat/>
    <w:uiPriority w:val="0"/>
    <w:rPr>
      <w:rFonts w:ascii="Times New Roman" w:hAnsi="Times New Roman" w:eastAsia="宋体" w:cs="Times New Roman"/>
      <w:szCs w:val="24"/>
      <w:shd w:val="clear" w:color="auto" w:fill="000080"/>
    </w:rPr>
  </w:style>
  <w:style w:type="character" w:customStyle="1" w:styleId="72">
    <w:name w:val="正文文本 字符"/>
    <w:link w:val="19"/>
    <w:autoRedefine/>
    <w:qFormat/>
    <w:uiPriority w:val="0"/>
    <w:rPr>
      <w:rFonts w:ascii="Times New Roman" w:hAnsi="Times New Roman" w:eastAsia="宋体" w:cs="Times New Roman"/>
      <w:szCs w:val="24"/>
    </w:rPr>
  </w:style>
  <w:style w:type="character" w:customStyle="1" w:styleId="73">
    <w:name w:val="批注文字 字符"/>
    <w:link w:val="17"/>
    <w:autoRedefine/>
    <w:qFormat/>
    <w:uiPriority w:val="99"/>
    <w:rPr>
      <w:rFonts w:ascii="Times New Roman" w:hAnsi="Times New Roman" w:eastAsia="宋体" w:cs="Times New Roman"/>
      <w:szCs w:val="24"/>
    </w:rPr>
  </w:style>
  <w:style w:type="character" w:customStyle="1" w:styleId="74">
    <w:name w:val="批注主题 字符"/>
    <w:link w:val="41"/>
    <w:autoRedefine/>
    <w:semiHidden/>
    <w:qFormat/>
    <w:uiPriority w:val="0"/>
    <w:rPr>
      <w:rFonts w:ascii="Times New Roman" w:hAnsi="Times New Roman" w:eastAsia="宋体" w:cs="Times New Roman"/>
      <w:b/>
      <w:bCs/>
      <w:szCs w:val="24"/>
    </w:rPr>
  </w:style>
  <w:style w:type="character" w:customStyle="1" w:styleId="75">
    <w:name w:val="批注框文本 字符"/>
    <w:link w:val="28"/>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7"/>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2"/>
    <w:next w:val="1"/>
    <w:autoRedefine/>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85">
    <w:name w:val="样式 标题 2 + 段前: 13 磅 段后: 13 磅 行距: 单倍行距"/>
    <w:basedOn w:val="3"/>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字符"/>
    <w:link w:val="6"/>
    <w:autoRedefine/>
    <w:qFormat/>
    <w:uiPriority w:val="9"/>
    <w:rPr>
      <w:rFonts w:ascii="Times New Roman" w:hAnsi="Times New Roman" w:eastAsia="宋体" w:cs="Times New Roman"/>
      <w:b/>
      <w:bCs/>
      <w:sz w:val="28"/>
      <w:szCs w:val="28"/>
    </w:rPr>
  </w:style>
  <w:style w:type="character" w:customStyle="1" w:styleId="90">
    <w:name w:val="标题 6 字符"/>
    <w:link w:val="7"/>
    <w:autoRedefine/>
    <w:qFormat/>
    <w:uiPriority w:val="0"/>
    <w:rPr>
      <w:rFonts w:ascii="Cambria" w:hAnsi="Cambria" w:eastAsia="宋体" w:cs="Times New Roman"/>
      <w:b/>
      <w:bCs/>
      <w:sz w:val="24"/>
      <w:szCs w:val="24"/>
    </w:rPr>
  </w:style>
  <w:style w:type="character" w:customStyle="1" w:styleId="91">
    <w:name w:val="标题 7 字符"/>
    <w:link w:val="8"/>
    <w:autoRedefine/>
    <w:qFormat/>
    <w:uiPriority w:val="0"/>
    <w:rPr>
      <w:rFonts w:ascii="Times New Roman" w:hAnsi="Times New Roman" w:eastAsia="宋体" w:cs="Times New Roman"/>
      <w:b/>
      <w:bCs/>
      <w:sz w:val="24"/>
      <w:szCs w:val="24"/>
    </w:rPr>
  </w:style>
  <w:style w:type="character" w:customStyle="1" w:styleId="92">
    <w:name w:val="标题 8 字符"/>
    <w:link w:val="9"/>
    <w:autoRedefine/>
    <w:qFormat/>
    <w:uiPriority w:val="0"/>
    <w:rPr>
      <w:rFonts w:ascii="Arial" w:hAnsi="Arial" w:eastAsia="黑体" w:cs="Times New Roman"/>
      <w:sz w:val="24"/>
      <w:szCs w:val="24"/>
    </w:rPr>
  </w:style>
  <w:style w:type="character" w:customStyle="1" w:styleId="93">
    <w:name w:val="标题 9 字符"/>
    <w:link w:val="10"/>
    <w:autoRedefine/>
    <w:qFormat/>
    <w:uiPriority w:val="0"/>
    <w:rPr>
      <w:rFonts w:ascii="Arial" w:hAnsi="Arial" w:eastAsia="黑体" w:cs="Times New Roman"/>
      <w:sz w:val="24"/>
      <w:szCs w:val="21"/>
    </w:rPr>
  </w:style>
  <w:style w:type="character" w:customStyle="1" w:styleId="94">
    <w:name w:val="正文文本缩进 2 字符"/>
    <w:link w:val="27"/>
    <w:autoRedefine/>
    <w:qFormat/>
    <w:uiPriority w:val="0"/>
    <w:rPr>
      <w:rFonts w:ascii="Times New Roman" w:hAnsi="Times New Roman" w:eastAsia="宋体" w:cs="Times New Roman"/>
      <w:szCs w:val="24"/>
    </w:rPr>
  </w:style>
  <w:style w:type="character" w:customStyle="1" w:styleId="95">
    <w:name w:val="正文文本缩进 字符"/>
    <w:link w:val="21"/>
    <w:autoRedefine/>
    <w:qFormat/>
    <w:uiPriority w:val="0"/>
    <w:rPr>
      <w:rFonts w:ascii="Times New Roman" w:hAnsi="Times New Roman" w:eastAsia="宋体" w:cs="Times New Roman"/>
      <w:szCs w:val="24"/>
    </w:rPr>
  </w:style>
  <w:style w:type="paragraph" w:customStyle="1" w:styleId="96">
    <w:name w:val="样式 正文缩进 + 首行缩进:  2 字符"/>
    <w:basedOn w:val="13"/>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6"/>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3"/>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文本首行缩进 2 字符"/>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5"/>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3"/>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99"/>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21"/>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5"/>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qFormat/>
    <w:uiPriority w:val="0"/>
    <w:pPr>
      <w:numPr>
        <w:ilvl w:val="0"/>
        <w:numId w:val="7"/>
      </w:numPr>
      <w:ind w:left="0" w:firstLine="0"/>
    </w:pPr>
    <w:rPr>
      <w:sz w:val="28"/>
    </w:rPr>
  </w:style>
  <w:style w:type="character" w:customStyle="1" w:styleId="140">
    <w:name w:val="题注 字符"/>
    <w:link w:val="14"/>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字符"/>
    <w:link w:val="34"/>
    <w:autoRedefine/>
    <w:qFormat/>
    <w:uiPriority w:val="0"/>
    <w:rPr>
      <w:rFonts w:ascii="Times New Roman" w:hAnsi="Times New Roman" w:eastAsia="宋体" w:cs="Times New Roman"/>
      <w:sz w:val="16"/>
      <w:szCs w:val="16"/>
    </w:rPr>
  </w:style>
  <w:style w:type="character" w:customStyle="1" w:styleId="147">
    <w:name w:val="正文文本 2 字符"/>
    <w:link w:val="20"/>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qFormat/>
    <w:uiPriority w:val="0"/>
    <w:rPr>
      <w:rFonts w:ascii="Times New Roman" w:hAnsi="Times New Roman" w:eastAsia="仿宋_GB2312"/>
      <w:bCs/>
      <w:color w:val="000000"/>
      <w:szCs w:val="44"/>
      <w:lang w:bidi="ar-SA"/>
    </w:rPr>
  </w:style>
  <w:style w:type="paragraph" w:customStyle="1" w:styleId="197">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字符"/>
    <w:link w:val="26"/>
    <w:qFormat/>
    <w:uiPriority w:val="0"/>
    <w:rPr>
      <w:rFonts w:ascii="Times New Roman" w:hAnsi="Times New Roman" w:eastAsia="宋体" w:cs="Times New Roman"/>
      <w:szCs w:val="24"/>
    </w:rPr>
  </w:style>
  <w:style w:type="character" w:customStyle="1" w:styleId="200">
    <w:name w:val="正文文本 3 字符"/>
    <w:link w:val="18"/>
    <w:qFormat/>
    <w:uiPriority w:val="0"/>
    <w:rPr>
      <w:rFonts w:ascii="Times New Roman" w:hAnsi="Times New Roman" w:eastAsia="宋体" w:cs="Times New Roman"/>
      <w:sz w:val="16"/>
      <w:szCs w:val="16"/>
    </w:rPr>
  </w:style>
  <w:style w:type="paragraph" w:customStyle="1" w:styleId="201">
    <w:name w:val="样式41"/>
    <w:basedOn w:val="1"/>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qFormat/>
    <w:uiPriority w:val="0"/>
    <w:pPr>
      <w:spacing w:afterLines="50"/>
      <w:ind w:left="600" w:leftChars="600"/>
    </w:pPr>
  </w:style>
  <w:style w:type="paragraph" w:customStyle="1" w:styleId="204">
    <w:name w:val="Char Char Char Char Char"/>
    <w:basedOn w:val="1"/>
    <w:qFormat/>
    <w:uiPriority w:val="0"/>
    <w:rPr>
      <w:rFonts w:ascii="Tahoma" w:hAnsi="Tahoma"/>
      <w:sz w:val="24"/>
      <w:szCs w:val="20"/>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qFormat/>
    <w:uiPriority w:val="0"/>
    <w:rPr>
      <w:rFonts w:ascii="Tahoma" w:hAnsi="Tahoma"/>
      <w:sz w:val="24"/>
      <w:szCs w:val="20"/>
    </w:rPr>
  </w:style>
  <w:style w:type="paragraph" w:customStyle="1" w:styleId="207">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21"/>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正文文字首行缩进 Char"/>
    <w:qFormat/>
    <w:uiPriority w:val="0"/>
    <w:rPr>
      <w:kern w:val="2"/>
      <w:sz w:val="21"/>
      <w:szCs w:val="24"/>
    </w:rPr>
  </w:style>
  <w:style w:type="character" w:customStyle="1" w:styleId="213">
    <w:name w:val="正文文本 Char1"/>
    <w:qFormat/>
    <w:uiPriority w:val="0"/>
    <w:rPr>
      <w:rFonts w:eastAsia="宋体"/>
      <w:b/>
      <w:bCs/>
      <w:kern w:val="2"/>
      <w:sz w:val="24"/>
      <w:szCs w:val="24"/>
      <w:lang w:val="en-US" w:eastAsia="zh-CN" w:bidi="ar-SA"/>
    </w:rPr>
  </w:style>
  <w:style w:type="character" w:customStyle="1" w:styleId="214">
    <w:name w:val="标题 3 Char Char"/>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qFormat/>
    <w:uiPriority w:val="0"/>
    <w:pPr>
      <w:spacing w:line="360" w:lineRule="auto"/>
      <w:ind w:firstLine="200" w:firstLineChars="200"/>
    </w:pPr>
    <w:rPr>
      <w:szCs w:val="20"/>
    </w:rPr>
  </w:style>
  <w:style w:type="paragraph" w:customStyle="1" w:styleId="218">
    <w:name w:val="设计依据"/>
    <w:basedOn w:val="19"/>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qFormat/>
    <w:uiPriority w:val="0"/>
    <w:pPr>
      <w:tabs>
        <w:tab w:val="left" w:pos="842"/>
      </w:tabs>
      <w:spacing w:line="360" w:lineRule="auto"/>
      <w:ind w:left="842" w:hanging="420"/>
    </w:pPr>
    <w:rPr>
      <w:sz w:val="24"/>
    </w:rPr>
  </w:style>
  <w:style w:type="paragraph" w:customStyle="1" w:styleId="221">
    <w:name w:val="文字"/>
    <w:basedOn w:val="1"/>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qFormat/>
    <w:uiPriority w:val="0"/>
    <w:pPr>
      <w:spacing w:line="240" w:lineRule="auto"/>
      <w:ind w:firstLine="0" w:firstLineChars="0"/>
    </w:pPr>
    <w:rPr>
      <w:sz w:val="20"/>
    </w:rPr>
  </w:style>
  <w:style w:type="paragraph" w:customStyle="1" w:styleId="223">
    <w:name w:val="--规划-表格-居中"/>
    <w:basedOn w:val="217"/>
    <w:qFormat/>
    <w:uiPriority w:val="0"/>
    <w:pPr>
      <w:spacing w:line="240" w:lineRule="auto"/>
      <w:ind w:firstLine="0" w:firstLineChars="0"/>
      <w:jc w:val="center"/>
    </w:pPr>
    <w:rPr>
      <w:sz w:val="20"/>
    </w:rPr>
  </w:style>
  <w:style w:type="paragraph" w:customStyle="1" w:styleId="224">
    <w:name w:val="--编号内缩进"/>
    <w:basedOn w:val="1"/>
    <w:qFormat/>
    <w:uiPriority w:val="0"/>
    <w:pPr>
      <w:spacing w:line="360" w:lineRule="auto"/>
      <w:ind w:left="420" w:firstLine="200" w:firstLineChars="200"/>
    </w:pPr>
    <w:rPr>
      <w:szCs w:val="21"/>
    </w:rPr>
  </w:style>
  <w:style w:type="paragraph" w:customStyle="1" w:styleId="225">
    <w:name w:val="--规划-题注"/>
    <w:basedOn w:val="1"/>
    <w:next w:val="217"/>
    <w:qFormat/>
    <w:uiPriority w:val="0"/>
    <w:pPr>
      <w:spacing w:line="360" w:lineRule="auto"/>
      <w:jc w:val="center"/>
    </w:pPr>
    <w:rPr>
      <w:rFonts w:eastAsia="黑体"/>
    </w:rPr>
  </w:style>
  <w:style w:type="paragraph" w:customStyle="1" w:styleId="226">
    <w:name w:val="--规划-图和表"/>
    <w:next w:val="217"/>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qFormat/>
    <w:uiPriority w:val="0"/>
    <w:pPr>
      <w:keepNext/>
      <w:keepLines/>
      <w:spacing w:line="360" w:lineRule="auto"/>
      <w:outlineLvl w:val="4"/>
    </w:pPr>
    <w:rPr>
      <w:rFonts w:eastAsia="黑体"/>
    </w:rPr>
  </w:style>
  <w:style w:type="paragraph" w:customStyle="1" w:styleId="228">
    <w:name w:val="--规划正文 Char"/>
    <w:basedOn w:val="1"/>
    <w:qFormat/>
    <w:uiPriority w:val="0"/>
    <w:pPr>
      <w:spacing w:line="360" w:lineRule="auto"/>
      <w:ind w:firstLine="200" w:firstLineChars="200"/>
    </w:pPr>
    <w:rPr>
      <w:sz w:val="24"/>
    </w:rPr>
  </w:style>
  <w:style w:type="paragraph" w:customStyle="1" w:styleId="229">
    <w:name w:val="缺省文本"/>
    <w:basedOn w:val="1"/>
    <w:qFormat/>
    <w:uiPriority w:val="0"/>
    <w:pPr>
      <w:autoSpaceDE w:val="0"/>
      <w:autoSpaceDN w:val="0"/>
      <w:adjustRightInd w:val="0"/>
      <w:jc w:val="left"/>
    </w:pPr>
    <w:rPr>
      <w:kern w:val="0"/>
    </w:rPr>
  </w:style>
  <w:style w:type="paragraph" w:customStyle="1" w:styleId="230">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qFormat/>
    <w:uiPriority w:val="0"/>
    <w:rPr>
      <w:rFonts w:eastAsia="宋体"/>
      <w:kern w:val="2"/>
      <w:sz w:val="24"/>
      <w:szCs w:val="24"/>
      <w:lang w:val="en-US" w:eastAsia="zh-CN" w:bidi="ar-SA"/>
    </w:rPr>
  </w:style>
  <w:style w:type="character" w:customStyle="1" w:styleId="232">
    <w:name w:val="--规划正文 Char1"/>
    <w:qFormat/>
    <w:uiPriority w:val="0"/>
    <w:rPr>
      <w:rFonts w:eastAsia="宋体"/>
      <w:kern w:val="2"/>
      <w:sz w:val="21"/>
      <w:lang w:val="en-US" w:eastAsia="zh-CN" w:bidi="ar-SA"/>
    </w:rPr>
  </w:style>
  <w:style w:type="paragraph" w:customStyle="1" w:styleId="23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qFormat/>
    <w:uiPriority w:val="0"/>
    <w:pPr>
      <w:tabs>
        <w:tab w:val="left" w:pos="420"/>
        <w:tab w:val="left" w:pos="1080"/>
      </w:tabs>
      <w:spacing w:line="288" w:lineRule="auto"/>
      <w:ind w:left="1080" w:hanging="360"/>
    </w:pPr>
    <w:rPr>
      <w:sz w:val="24"/>
      <w:szCs w:val="20"/>
    </w:rPr>
  </w:style>
  <w:style w:type="character" w:customStyle="1" w:styleId="235">
    <w:name w:val="content1"/>
    <w:qFormat/>
    <w:uiPriority w:val="0"/>
    <w:rPr>
      <w:rFonts w:hint="default" w:ascii="??" w:hAnsi="??"/>
      <w:sz w:val="16"/>
      <w:szCs w:val="16"/>
      <w:u w:val="none"/>
    </w:rPr>
  </w:style>
  <w:style w:type="character" w:customStyle="1" w:styleId="236">
    <w:name w:val="unnamed4"/>
    <w:basedOn w:val="46"/>
    <w:qFormat/>
    <w:uiPriority w:val="0"/>
  </w:style>
  <w:style w:type="character" w:customStyle="1" w:styleId="237">
    <w:name w:val="font2"/>
    <w:basedOn w:val="46"/>
    <w:qFormat/>
    <w:uiPriority w:val="0"/>
  </w:style>
  <w:style w:type="character" w:customStyle="1" w:styleId="238">
    <w:name w:val="font41"/>
    <w:qFormat/>
    <w:uiPriority w:val="0"/>
    <w:rPr>
      <w:color w:val="000000"/>
      <w:sz w:val="18"/>
      <w:szCs w:val="18"/>
      <w:u w:val="none"/>
    </w:rPr>
  </w:style>
  <w:style w:type="paragraph" w:customStyle="1" w:styleId="23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文本首行缩进 字符"/>
    <w:link w:val="42"/>
    <w:qFormat/>
    <w:uiPriority w:val="0"/>
    <w:rPr>
      <w:rFonts w:ascii="Times New Roman" w:hAnsi="Times New Roman" w:eastAsia="宋体" w:cs="Times New Roman"/>
      <w:b/>
      <w:bCs/>
      <w:szCs w:val="24"/>
    </w:rPr>
  </w:style>
  <w:style w:type="paragraph" w:customStyle="1" w:styleId="2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qFormat/>
    <w:uiPriority w:val="0"/>
  </w:style>
  <w:style w:type="character" w:customStyle="1" w:styleId="245">
    <w:name w:val="unnamed3"/>
    <w:basedOn w:val="46"/>
    <w:qFormat/>
    <w:uiPriority w:val="0"/>
  </w:style>
  <w:style w:type="paragraph" w:customStyle="1" w:styleId="246">
    <w:name w:val="8"/>
    <w:basedOn w:val="1"/>
    <w:next w:val="21"/>
    <w:qFormat/>
    <w:uiPriority w:val="0"/>
    <w:pPr>
      <w:spacing w:after="120"/>
      <w:ind w:left="420" w:leftChars="200"/>
    </w:pPr>
  </w:style>
  <w:style w:type="paragraph" w:customStyle="1" w:styleId="247">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qFormat/>
    <w:uiPriority w:val="0"/>
    <w:pPr>
      <w:spacing w:line="240" w:lineRule="atLeast"/>
      <w:ind w:firstLine="567"/>
    </w:pPr>
    <w:rPr>
      <w:szCs w:val="20"/>
    </w:rPr>
  </w:style>
  <w:style w:type="paragraph" w:customStyle="1" w:styleId="251">
    <w:name w:val="CM2"/>
    <w:basedOn w:val="145"/>
    <w:next w:val="145"/>
    <w:qFormat/>
    <w:uiPriority w:val="0"/>
    <w:pPr>
      <w:spacing w:line="200" w:lineRule="atLeast"/>
    </w:pPr>
    <w:rPr>
      <w:rFonts w:ascii="Arial" w:hAnsi="Arial" w:cs="Times New Roman"/>
      <w:color w:val="auto"/>
    </w:rPr>
  </w:style>
  <w:style w:type="paragraph" w:customStyle="1" w:styleId="252">
    <w:name w:val="Normal Paragraph"/>
    <w:basedOn w:val="1"/>
    <w:qFormat/>
    <w:uiPriority w:val="0"/>
    <w:pPr>
      <w:widowControl/>
      <w:spacing w:before="120" w:line="360" w:lineRule="auto"/>
      <w:ind w:firstLine="425"/>
    </w:pPr>
    <w:rPr>
      <w:kern w:val="0"/>
      <w:sz w:val="24"/>
    </w:rPr>
  </w:style>
  <w:style w:type="character" w:customStyle="1" w:styleId="253">
    <w:name w:val="blue"/>
    <w:basedOn w:val="46"/>
    <w:qFormat/>
    <w:uiPriority w:val="0"/>
  </w:style>
  <w:style w:type="paragraph" w:customStyle="1" w:styleId="2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qFormat/>
    <w:uiPriority w:val="0"/>
  </w:style>
  <w:style w:type="character" w:customStyle="1" w:styleId="256">
    <w:name w:val="font11"/>
    <w:qFormat/>
    <w:uiPriority w:val="0"/>
    <w:rPr>
      <w:rFonts w:hint="default" w:ascii="ˎ̥" w:hAnsi="ˎ̥"/>
    </w:rPr>
  </w:style>
  <w:style w:type="paragraph" w:customStyle="1" w:styleId="2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qFormat/>
    <w:uiPriority w:val="0"/>
  </w:style>
  <w:style w:type="character" w:customStyle="1" w:styleId="259">
    <w:name w:val="prodheadlines"/>
    <w:basedOn w:val="46"/>
    <w:qFormat/>
    <w:uiPriority w:val="0"/>
  </w:style>
  <w:style w:type="character" w:customStyle="1" w:styleId="260">
    <w:name w:val="text"/>
    <w:basedOn w:val="46"/>
    <w:qFormat/>
    <w:uiPriority w:val="0"/>
  </w:style>
  <w:style w:type="paragraph" w:customStyle="1" w:styleId="2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qFormat/>
    <w:uiPriority w:val="0"/>
    <w:rPr>
      <w:rFonts w:ascii="Arial" w:hAnsi="Arial" w:eastAsia="宋体" w:cs="Times New Roman"/>
      <w:vanish/>
      <w:kern w:val="0"/>
      <w:sz w:val="16"/>
      <w:szCs w:val="16"/>
    </w:rPr>
  </w:style>
  <w:style w:type="paragraph" w:customStyle="1" w:styleId="264">
    <w:name w:val="z-窗体底端1"/>
    <w:basedOn w:val="1"/>
    <w:next w:val="1"/>
    <w:link w:val="265"/>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qFormat/>
    <w:uiPriority w:val="0"/>
    <w:rPr>
      <w:rFonts w:ascii="Arial" w:hAnsi="Arial" w:eastAsia="宋体" w:cs="Times New Roman"/>
      <w:vanish/>
      <w:kern w:val="0"/>
      <w:sz w:val="16"/>
      <w:szCs w:val="16"/>
    </w:rPr>
  </w:style>
  <w:style w:type="paragraph" w:customStyle="1" w:styleId="2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4"/>
    <w:qFormat/>
    <w:uiPriority w:val="0"/>
    <w:pPr>
      <w:ind w:firstLine="560" w:firstLineChars="200"/>
    </w:pPr>
    <w:rPr>
      <w:sz w:val="28"/>
    </w:rPr>
  </w:style>
  <w:style w:type="character" w:customStyle="1" w:styleId="269">
    <w:name w:val="gray6"/>
    <w:basedOn w:val="46"/>
    <w:qFormat/>
    <w:uiPriority w:val="0"/>
  </w:style>
  <w:style w:type="character" w:customStyle="1" w:styleId="270">
    <w:name w:val="style9"/>
    <w:basedOn w:val="46"/>
    <w:qFormat/>
    <w:uiPriority w:val="0"/>
  </w:style>
  <w:style w:type="paragraph" w:customStyle="1" w:styleId="2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qFormat/>
    <w:uiPriority w:val="0"/>
  </w:style>
  <w:style w:type="paragraph" w:customStyle="1" w:styleId="2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qFormat/>
    <w:uiPriority w:val="0"/>
    <w:pPr>
      <w:jc w:val="left"/>
    </w:pPr>
    <w:rPr>
      <w:rFonts w:ascii="Tahoma" w:hAnsi="Tahoma"/>
      <w:sz w:val="24"/>
      <w:szCs w:val="20"/>
    </w:rPr>
  </w:style>
  <w:style w:type="paragraph" w:customStyle="1" w:styleId="275">
    <w:name w:val="编号1"/>
    <w:basedOn w:val="1"/>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qFormat/>
    <w:uiPriority w:val="0"/>
    <w:pPr>
      <w:adjustRightInd w:val="0"/>
      <w:jc w:val="center"/>
    </w:pPr>
    <w:rPr>
      <w:rFonts w:ascii="宋体"/>
      <w:sz w:val="24"/>
      <w:szCs w:val="20"/>
    </w:rPr>
  </w:style>
  <w:style w:type="character" w:customStyle="1" w:styleId="281">
    <w:name w:val="样式 小三 加粗"/>
    <w:qFormat/>
    <w:uiPriority w:val="0"/>
    <w:rPr>
      <w:rFonts w:eastAsia="宋体"/>
      <w:b/>
      <w:bCs/>
      <w:sz w:val="32"/>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qFormat/>
    <w:uiPriority w:val="0"/>
  </w:style>
  <w:style w:type="paragraph" w:customStyle="1" w:styleId="286">
    <w:name w:val="缩进正文"/>
    <w:basedOn w:val="1"/>
    <w:link w:val="287"/>
    <w:qFormat/>
    <w:uiPriority w:val="0"/>
    <w:pPr>
      <w:ind w:firstLine="560" w:firstLineChars="200"/>
    </w:pPr>
    <w:rPr>
      <w:rFonts w:eastAsia="仿宋_GB2312"/>
      <w:kern w:val="0"/>
      <w:sz w:val="28"/>
      <w:szCs w:val="20"/>
    </w:rPr>
  </w:style>
  <w:style w:type="character" w:customStyle="1" w:styleId="287">
    <w:name w:val="缩进正文 Char"/>
    <w:link w:val="286"/>
    <w:qFormat/>
    <w:uiPriority w:val="0"/>
    <w:rPr>
      <w:rFonts w:ascii="Times New Roman" w:hAnsi="Times New Roman" w:eastAsia="仿宋_GB2312" w:cs="Times New Roman"/>
      <w:sz w:val="28"/>
      <w:szCs w:val="20"/>
    </w:rPr>
  </w:style>
  <w:style w:type="paragraph" w:styleId="288">
    <w:name w:val="List Paragraph"/>
    <w:basedOn w:val="1"/>
    <w:unhideWhenUsed/>
    <w:qFormat/>
    <w:uiPriority w:val="34"/>
    <w:pPr>
      <w:ind w:firstLine="420" w:firstLineChars="200"/>
    </w:pPr>
  </w:style>
  <w:style w:type="character" w:customStyle="1" w:styleId="289">
    <w:name w:val="正文缩进 Char1"/>
    <w:qFormat/>
    <w:uiPriority w:val="0"/>
    <w:rPr>
      <w:rFonts w:ascii="Times New Roman" w:hAnsi="Times New Roman"/>
      <w:szCs w:val="24"/>
    </w:rPr>
  </w:style>
  <w:style w:type="paragraph" w:customStyle="1" w:styleId="2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qFormat/>
    <w:uiPriority w:val="0"/>
    <w:pPr>
      <w:ind w:firstLine="420" w:firstLineChars="200"/>
    </w:pPr>
  </w:style>
  <w:style w:type="paragraph" w:customStyle="1" w:styleId="292">
    <w:name w:val="正文 New New"/>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qFormat/>
    <w:uiPriority w:val="0"/>
    <w:pPr>
      <w:tabs>
        <w:tab w:val="left" w:pos="4"/>
      </w:tabs>
    </w:pPr>
    <w:rPr>
      <w:rFonts w:ascii="宋体" w:hAnsi="宋体"/>
      <w:sz w:val="18"/>
    </w:rPr>
  </w:style>
  <w:style w:type="paragraph" w:customStyle="1" w:styleId="294">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95">
    <w:name w:val="正文文本 Char2"/>
    <w:basedOn w:val="46"/>
    <w:qFormat/>
    <w:uiPriority w:val="0"/>
    <w:rPr>
      <w:kern w:val="2"/>
      <w:sz w:val="21"/>
      <w:szCs w:val="24"/>
    </w:rPr>
  </w:style>
  <w:style w:type="character" w:customStyle="1" w:styleId="296">
    <w:name w:val="NormalCharacter"/>
    <w:qFormat/>
    <w:uiPriority w:val="0"/>
    <w:rPr>
      <w:rFonts w:ascii="Calibri" w:hAnsi="Calibri" w:eastAsia="宋体" w:cs="Times New Roman"/>
      <w:kern w:val="2"/>
      <w:sz w:val="21"/>
      <w:szCs w:val="24"/>
      <w:lang w:val="en-US" w:eastAsia="zh-CN" w:bidi="ar-SA"/>
    </w:rPr>
  </w:style>
  <w:style w:type="character" w:customStyle="1" w:styleId="297">
    <w:name w:val="font51"/>
    <w:basedOn w:val="46"/>
    <w:qFormat/>
    <w:uiPriority w:val="0"/>
    <w:rPr>
      <w:rFonts w:hint="eastAsia" w:ascii="宋体" w:hAnsi="宋体" w:eastAsia="宋体" w:cs="宋体"/>
      <w:color w:val="FF0000"/>
      <w:sz w:val="28"/>
      <w:szCs w:val="28"/>
      <w:u w:val="none"/>
    </w:rPr>
  </w:style>
  <w:style w:type="character" w:customStyle="1" w:styleId="298">
    <w:name w:val="10"/>
    <w:basedOn w:val="46"/>
    <w:qFormat/>
    <w:uiPriority w:val="0"/>
    <w:rPr>
      <w:rFonts w:hint="default" w:ascii="Times New Roman" w:hAnsi="Times New Roman" w:cs="Times New Roman"/>
    </w:rPr>
  </w:style>
  <w:style w:type="character" w:customStyle="1" w:styleId="299">
    <w:name w:val="15"/>
    <w:basedOn w:val="46"/>
    <w:qFormat/>
    <w:uiPriority w:val="0"/>
    <w:rPr>
      <w:rFonts w:hint="default" w:ascii="Times New Roman" w:hAnsi="Times New Roman" w:cs="Times New Roman"/>
    </w:rPr>
  </w:style>
  <w:style w:type="character" w:customStyle="1" w:styleId="300">
    <w:name w:val="font31"/>
    <w:basedOn w:val="46"/>
    <w:qFormat/>
    <w:uiPriority w:val="0"/>
    <w:rPr>
      <w:rFonts w:hint="eastAsia" w:ascii="宋体" w:hAnsi="宋体" w:eastAsia="宋体" w:cs="宋体"/>
      <w:color w:val="1D1D1D"/>
      <w:sz w:val="18"/>
      <w:szCs w:val="18"/>
      <w:u w:val="none"/>
    </w:rPr>
  </w:style>
  <w:style w:type="paragraph" w:customStyle="1" w:styleId="30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03">
    <w:name w:val="Table Normal"/>
    <w:semiHidden/>
    <w:unhideWhenUsed/>
    <w:qFormat/>
    <w:uiPriority w:val="0"/>
    <w:tblPr>
      <w:tblCellMar>
        <w:top w:w="0" w:type="dxa"/>
        <w:left w:w="0" w:type="dxa"/>
        <w:bottom w:w="0" w:type="dxa"/>
        <w:right w:w="0" w:type="dxa"/>
      </w:tblCellMar>
    </w:tblPr>
  </w:style>
  <w:style w:type="paragraph" w:styleId="30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5">
    <w:name w:val="题注4"/>
    <w:basedOn w:val="1"/>
    <w:next w:val="14"/>
    <w:qFormat/>
    <w:uiPriority w:val="0"/>
    <w:pPr>
      <w:ind w:left="-132" w:leftChars="-64" w:right="-105" w:rightChars="-50" w:hanging="2"/>
      <w:jc w:val="center"/>
    </w:pPr>
    <w:rPr>
      <w:b/>
      <w:color w:val="FF0000"/>
      <w:szCs w:val="21"/>
      <w:lang w:val="en-GB"/>
    </w:rPr>
  </w:style>
  <w:style w:type="paragraph" w:customStyle="1" w:styleId="306">
    <w:name w:val="标书正文1"/>
    <w:basedOn w:val="1"/>
    <w:qFormat/>
    <w:uiPriority w:val="0"/>
    <w:pPr>
      <w:spacing w:line="520" w:lineRule="exact"/>
      <w:ind w:firstLine="640" w:firstLineChars="200"/>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54</Pages>
  <Words>13738</Words>
  <Characters>14629</Characters>
  <Lines>1</Lines>
  <Paragraphs>1</Paragraphs>
  <TotalTime>4</TotalTime>
  <ScaleCrop>false</ScaleCrop>
  <LinksUpToDate>false</LinksUpToDate>
  <CharactersWithSpaces>14863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2025-01-02T00:39:00Z</dcterms:created>
  <dc:creator>外联部</dc:creator>
  <cp:lastModifiedBy>油菜花-郑工</cp:lastModifiedBy>
  <cp:lastPrinted>2017-06-24T02:36:00Z</cp:lastPrinted>
  <dcterms:modified xsi:type="dcterms:W3CDTF">2025-10-25T00:53:59Z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20EBDFFFA2A84EE4B2E188830EF5ABB3_13</vt:lpwstr>
  </property>
  <property fmtid="{D5CDD505-2E9C-101B-9397-08002B2CF9AE}" pid="4" name="KSOTemplateDocerSaveRecord">
    <vt:lpwstr>eyJoZGlkIjoiMjZkNWQ0ZjZjNTBiMWQ3YjViNDBiZGNkNjI3Y2M1ZWEiLCJ1c2VySWQiOiIxNTE4NzAwMTc2In0=</vt:lpwstr>
  </property>
</Properties>
</file>