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56A7B">
      <w:pPr>
        <w:jc w:val="center"/>
        <w:rPr>
          <w:rFonts w:hint="eastAsia" w:asciiTheme="minorEastAsia" w:hAnsiTheme="minorEastAsia" w:eastAsiaTheme="minorEastAsia" w:cstheme="minorEastAsia"/>
          <w:b/>
          <w:bCs/>
          <w:sz w:val="30"/>
          <w:szCs w:val="30"/>
          <w:lang w:eastAsia="zh-CN"/>
        </w:rPr>
      </w:pPr>
      <w:r>
        <w:rPr>
          <w:rFonts w:hint="eastAsia" w:asciiTheme="minorEastAsia" w:hAnsiTheme="minorEastAsia" w:cstheme="minorEastAsia"/>
          <w:b/>
          <w:bCs/>
          <w:sz w:val="30"/>
          <w:szCs w:val="30"/>
        </w:rPr>
        <w:t>福田区第二人民医院耗材投标单位须知</w:t>
      </w:r>
      <w:r>
        <w:rPr>
          <w:rFonts w:hint="eastAsia" w:asciiTheme="minorEastAsia" w:hAnsiTheme="minorEastAsia" w:cstheme="minorEastAsia"/>
          <w:b/>
          <w:bCs/>
          <w:sz w:val="30"/>
          <w:szCs w:val="30"/>
          <w:lang w:eastAsia="zh-CN"/>
        </w:rPr>
        <w:t>（含谈判文件）</w:t>
      </w:r>
    </w:p>
    <w:p w14:paraId="7BD398E4">
      <w:pPr>
        <w:jc w:val="center"/>
        <w:rPr>
          <w:rFonts w:asciiTheme="minorEastAsia" w:hAnsiTheme="minorEastAsia" w:cstheme="minorEastAsia"/>
          <w:b/>
          <w:bCs/>
          <w:sz w:val="24"/>
          <w:szCs w:val="24"/>
        </w:rPr>
      </w:pPr>
    </w:p>
    <w:p w14:paraId="6C55775F">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asciiTheme="minorEastAsia" w:hAnsiTheme="minorEastAsia" w:cstheme="minorEastAsia"/>
          <w:sz w:val="28"/>
          <w:szCs w:val="28"/>
        </w:rPr>
      </w:pPr>
      <w:r>
        <w:rPr>
          <w:rFonts w:hint="eastAsia" w:asciiTheme="minorEastAsia" w:hAnsiTheme="minorEastAsia" w:cstheme="minorEastAsia"/>
          <w:sz w:val="28"/>
          <w:szCs w:val="28"/>
        </w:rPr>
        <w:t xml:space="preserve">1、深圳市福田区第二人民医院对本单位部分耗材进行公开招标。欢迎各有医疗器械经营许可权或医疗设备生产许可权的经营企业或生产企业参加投标。 </w:t>
      </w:r>
    </w:p>
    <w:p w14:paraId="04A80053">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2、供应商可根据自身的经营情况，选择投一个或多个采购条目，但不允许将一个采购条目流水</w:t>
      </w:r>
      <w:r>
        <w:rPr>
          <w:rFonts w:hint="eastAsia" w:asciiTheme="minorEastAsia" w:hAnsiTheme="minorEastAsia" w:cstheme="minorEastAsia"/>
          <w:color w:val="000000" w:themeColor="text1"/>
          <w:sz w:val="28"/>
          <w:szCs w:val="28"/>
          <w14:textFill>
            <w14:solidFill>
              <w14:schemeClr w14:val="tx1"/>
            </w14:solidFill>
          </w14:textFill>
        </w:rPr>
        <w:t>号的内容拆散</w:t>
      </w:r>
      <w:r>
        <w:rPr>
          <w:rFonts w:hint="eastAsia" w:asciiTheme="minorEastAsia" w:hAnsiTheme="minorEastAsia" w:cstheme="minorEastAsia"/>
          <w:color w:val="000000" w:themeColor="text1"/>
          <w:sz w:val="28"/>
          <w:szCs w:val="28"/>
          <w:lang w:eastAsia="zh-CN"/>
          <w14:textFill>
            <w14:solidFill>
              <w14:schemeClr w14:val="tx1"/>
            </w14:solidFill>
          </w14:textFill>
        </w:rPr>
        <w:t>投标</w:t>
      </w:r>
      <w:r>
        <w:rPr>
          <w:rFonts w:hint="eastAsia" w:asciiTheme="minorEastAsia" w:hAnsiTheme="minorEastAsia" w:cstheme="minorEastAsia"/>
          <w:sz w:val="28"/>
          <w:szCs w:val="28"/>
        </w:rPr>
        <w:t>。</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谈判文件</w:t>
      </w:r>
      <w:r>
        <w:rPr>
          <w:rFonts w:hint="eastAsia" w:asciiTheme="minorEastAsia" w:hAnsiTheme="minorEastAsia" w:cstheme="minorEastAsia"/>
          <w:sz w:val="28"/>
          <w:szCs w:val="28"/>
        </w:rPr>
        <w:t>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74291227">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 xml:space="preserve">招标单位不向落标方解释原因，不退还投标文件。 </w:t>
      </w:r>
    </w:p>
    <w:p w14:paraId="1739C331">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医用材料招标项目合同的执行期为</w:t>
      </w:r>
      <w:r>
        <w:rPr>
          <w:rFonts w:hint="eastAsia" w:asciiTheme="minorEastAsia" w:hAnsiTheme="minorEastAsia" w:cstheme="minorEastAsia"/>
          <w:sz w:val="28"/>
          <w:szCs w:val="28"/>
          <w:lang w:val="en-US" w:eastAsia="zh-CN"/>
        </w:rPr>
        <w:t>24</w:t>
      </w:r>
      <w:r>
        <w:rPr>
          <w:rFonts w:hint="eastAsia" w:asciiTheme="minorEastAsia" w:hAnsiTheme="minorEastAsia" w:cstheme="minorEastAsia"/>
          <w:sz w:val="28"/>
          <w:szCs w:val="28"/>
        </w:rPr>
        <w:t>个月</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 xml:space="preserve"> </w:t>
      </w:r>
    </w:p>
    <w:p w14:paraId="56CF8D96">
      <w:pPr>
        <w:keepNext w:val="0"/>
        <w:keepLines w:val="0"/>
        <w:pageBreakBefore w:val="0"/>
        <w:widowControl w:val="0"/>
        <w:kinsoku/>
        <w:wordWrap/>
        <w:overflowPunct/>
        <w:topLinePunct w:val="0"/>
        <w:autoSpaceDE/>
        <w:autoSpaceDN/>
        <w:bidi w:val="0"/>
        <w:adjustRightInd/>
        <w:snapToGrid/>
        <w:ind w:firstLine="280" w:firstLineChars="100"/>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 xml:space="preserve">合同有效期内，如政府调价或市政府统一招标，双方应无条件按上级文件执行，并相应修改合同的有关条款，招标方不向投标方作任何补偿与解释。否则，招标方有权终止合同。 </w:t>
      </w:r>
    </w:p>
    <w:p w14:paraId="302747D9">
      <w:pPr>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 xml:space="preserve">企业参加投标，即表示接受本次招标的各项要求。 </w:t>
      </w:r>
    </w:p>
    <w:p w14:paraId="5D68254F">
      <w:pPr>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7、</w:t>
      </w:r>
      <w:r>
        <w:rPr>
          <w:rFonts w:hint="eastAsia" w:asciiTheme="minorEastAsia" w:hAnsiTheme="minorEastAsia" w:cstheme="minorEastAsia"/>
          <w:sz w:val="28"/>
          <w:szCs w:val="28"/>
        </w:rPr>
        <w:t xml:space="preserve">招标活动的最终解释权属于深圳市福田区第二人民医院。 </w:t>
      </w:r>
    </w:p>
    <w:p w14:paraId="25B187ED">
      <w:pPr>
        <w:ind w:firstLine="280" w:firstLineChars="100"/>
        <w:rPr>
          <w:rFonts w:hint="eastAsia" w:asciiTheme="minorEastAsia" w:hAnsiTheme="minorEastAsia" w:cstheme="minorEastAsia"/>
          <w:sz w:val="28"/>
          <w:szCs w:val="28"/>
        </w:rPr>
      </w:pPr>
      <w:r>
        <w:rPr>
          <w:rFonts w:hint="eastAsia" w:asciiTheme="minorEastAsia" w:hAnsiTheme="minorEastAsia" w:cstheme="minorEastAsia"/>
          <w:sz w:val="28"/>
          <w:szCs w:val="28"/>
          <w:lang w:val="en-US" w:eastAsia="zh-CN"/>
        </w:rPr>
        <w:t>8、谈判小组</w:t>
      </w:r>
      <w:r>
        <w:rPr>
          <w:rFonts w:hint="eastAsia" w:asciiTheme="minorEastAsia" w:hAnsiTheme="minorEastAsia" w:cstheme="minorEastAsia"/>
          <w:sz w:val="28"/>
          <w:szCs w:val="28"/>
        </w:rPr>
        <w:t>由相关科室专家、</w:t>
      </w:r>
      <w:r>
        <w:rPr>
          <w:rFonts w:hint="eastAsia" w:asciiTheme="minorEastAsia" w:hAnsiTheme="minorEastAsia" w:cstheme="minorEastAsia"/>
          <w:sz w:val="28"/>
          <w:szCs w:val="28"/>
          <w:lang w:val="en-US" w:eastAsia="zh-CN"/>
        </w:rPr>
        <w:t>医学装备部</w:t>
      </w:r>
      <w:r>
        <w:rPr>
          <w:rFonts w:hint="eastAsia" w:asciiTheme="minorEastAsia" w:hAnsiTheme="minorEastAsia" w:cstheme="minorEastAsia"/>
          <w:sz w:val="28"/>
          <w:szCs w:val="28"/>
        </w:rPr>
        <w:t xml:space="preserve">、医院纪检部门等组成。 </w:t>
      </w:r>
    </w:p>
    <w:p w14:paraId="2F8C89A2">
      <w:pPr>
        <w:ind w:firstLine="280" w:firstLineChars="100"/>
        <w:rPr>
          <w:rFonts w:hint="eastAsia" w:asciiTheme="minorEastAsia" w:hAnsiTheme="minorEastAsia" w:cstheme="minorEastAsia"/>
          <w:sz w:val="28"/>
          <w:szCs w:val="28"/>
        </w:rPr>
      </w:pPr>
      <w:r>
        <w:rPr>
          <w:rFonts w:hint="eastAsia" w:asciiTheme="minorEastAsia" w:hAnsiTheme="minorEastAsia" w:cstheme="minorEastAsia"/>
          <w:sz w:val="28"/>
          <w:szCs w:val="28"/>
          <w:lang w:val="en-US" w:eastAsia="zh-CN"/>
        </w:rPr>
        <w:t>9、</w:t>
      </w:r>
      <w:r>
        <w:rPr>
          <w:rFonts w:hint="eastAsia" w:asciiTheme="minorEastAsia" w:hAnsiTheme="minorEastAsia" w:cstheme="minorEastAsia"/>
          <w:sz w:val="28"/>
          <w:szCs w:val="28"/>
        </w:rPr>
        <w:t>参加投标企业需投标前</w:t>
      </w:r>
      <w:r>
        <w:rPr>
          <w:rFonts w:hint="eastAsia" w:asciiTheme="minorEastAsia" w:hAnsiTheme="minorEastAsia" w:cstheme="minorEastAsia"/>
          <w:sz w:val="28"/>
          <w:szCs w:val="28"/>
          <w:lang w:val="en-US" w:eastAsia="zh-CN"/>
        </w:rPr>
        <w:t>30</w:t>
      </w:r>
      <w:r>
        <w:rPr>
          <w:rFonts w:hint="eastAsia" w:asciiTheme="minorEastAsia" w:hAnsiTheme="minorEastAsia" w:cstheme="minorEastAsia"/>
          <w:sz w:val="28"/>
          <w:szCs w:val="28"/>
        </w:rPr>
        <w:t>分钟到达开标地点。</w:t>
      </w:r>
    </w:p>
    <w:p w14:paraId="4A92FBAC">
      <w:pPr>
        <w:rPr>
          <w:rFonts w:hint="eastAsia" w:asciiTheme="minorEastAsia" w:hAnsiTheme="minorEastAsia" w:cstheme="minorEastAsia"/>
          <w:sz w:val="24"/>
          <w:szCs w:val="24"/>
          <w:lang w:eastAsia="zh-CN"/>
        </w:rPr>
      </w:pPr>
    </w:p>
    <w:p w14:paraId="727F6233">
      <w:pPr>
        <w:keepNext/>
        <w:keepLines/>
        <w:widowControl w:val="0"/>
        <w:spacing w:line="576" w:lineRule="auto"/>
        <w:jc w:val="both"/>
        <w:outlineLvl w:val="9"/>
        <w:rPr>
          <w:rFonts w:hint="eastAsia" w:asciiTheme="minorEastAsia" w:hAnsiTheme="minorEastAsia" w:eastAsiaTheme="minorEastAsia" w:cstheme="minorEastAsia"/>
          <w:b/>
          <w:kern w:val="44"/>
          <w:sz w:val="24"/>
          <w:szCs w:val="24"/>
          <w:lang w:val="en-US" w:eastAsia="zh-CN" w:bidi="ar-SA"/>
        </w:rPr>
      </w:pPr>
    </w:p>
    <w:p w14:paraId="01B1F165">
      <w:pPr>
        <w:rPr>
          <w:rFonts w:hint="eastAsia"/>
          <w:lang w:eastAsia="zh-CN"/>
        </w:rPr>
      </w:pPr>
    </w:p>
    <w:p w14:paraId="708A9130">
      <w:pPr>
        <w:rPr>
          <w:rFonts w:hint="eastAsia" w:asciiTheme="minorEastAsia" w:hAnsiTheme="minorEastAsia" w:cstheme="minorEastAsia"/>
          <w:sz w:val="24"/>
          <w:szCs w:val="24"/>
          <w:lang w:eastAsia="zh-CN"/>
        </w:rPr>
      </w:pPr>
    </w:p>
    <w:p w14:paraId="4FB5BD99">
      <w:pPr>
        <w:jc w:val="both"/>
        <w:outlineLvl w:val="9"/>
        <w:rPr>
          <w:rFonts w:hint="eastAsia" w:ascii="宋体" w:hAnsi="宋体" w:eastAsia="宋体" w:cs="宋体"/>
          <w:b/>
          <w:bCs/>
          <w:color w:val="FF0000"/>
          <w:kern w:val="44"/>
          <w:sz w:val="44"/>
          <w:szCs w:val="44"/>
          <w:highlight w:val="none"/>
          <w:lang w:eastAsia="zh-CN"/>
        </w:rPr>
      </w:pPr>
      <w:bookmarkStart w:id="0" w:name="_Toc3689"/>
      <w:bookmarkStart w:id="1" w:name="_Toc29098"/>
    </w:p>
    <w:p w14:paraId="4E47FF13">
      <w:pPr>
        <w:jc w:val="center"/>
        <w:outlineLvl w:val="9"/>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7FD0EBF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10CE5CE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52033465">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68E9C33">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326C15B">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BB03164">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75752CCB">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BF359AC">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0E97F3C4">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招标项目内或所投包号内有多项设备或报价内容的，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（以上提示内容仅仅一般项提醒，如与实际招标项目要求有不一致，以</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为准）</w:t>
      </w:r>
    </w:p>
    <w:p w14:paraId="16CAAC3F">
      <w:pPr>
        <w:rPr>
          <w:rFonts w:hint="eastAsia" w:asciiTheme="minorEastAsia" w:hAnsiTheme="minorEastAsia" w:cstheme="minorEastAsia"/>
          <w:szCs w:val="21"/>
        </w:rPr>
      </w:pPr>
    </w:p>
    <w:p w14:paraId="5DBC7F84">
      <w:pPr>
        <w:rPr>
          <w:rFonts w:hint="eastAsia" w:asciiTheme="minorEastAsia" w:hAnsiTheme="minorEastAsia" w:cstheme="minorEastAsia"/>
          <w:b/>
          <w:bCs/>
          <w:sz w:val="28"/>
          <w:szCs w:val="28"/>
          <w:lang w:eastAsia="zh-CN"/>
        </w:rPr>
      </w:pPr>
    </w:p>
    <w:p w14:paraId="01EB65D9">
      <w:pPr>
        <w:rPr>
          <w:rFonts w:hint="eastAsia" w:asciiTheme="minorEastAsia" w:hAnsiTheme="minorEastAsia" w:cstheme="minorEastAsia"/>
          <w:b/>
          <w:bCs/>
          <w:sz w:val="28"/>
          <w:szCs w:val="28"/>
          <w:lang w:eastAsia="zh-CN"/>
        </w:rPr>
      </w:pPr>
    </w:p>
    <w:p w14:paraId="77F281EC">
      <w:pPr>
        <w:rPr>
          <w:rFonts w:hint="eastAsia" w:asciiTheme="minorEastAsia" w:hAnsiTheme="minorEastAsia" w:cstheme="minorEastAsia"/>
          <w:b/>
          <w:bCs/>
          <w:sz w:val="28"/>
          <w:szCs w:val="28"/>
          <w:lang w:eastAsia="zh-CN"/>
        </w:rPr>
      </w:pPr>
    </w:p>
    <w:p w14:paraId="3A3BFB18">
      <w:pPr>
        <w:rPr>
          <w:rFonts w:hint="eastAsia" w:asciiTheme="minorEastAsia" w:hAnsiTheme="minorEastAsia" w:cstheme="minorEastAsia"/>
          <w:b/>
          <w:bCs/>
          <w:sz w:val="28"/>
          <w:szCs w:val="28"/>
          <w:lang w:eastAsia="zh-CN"/>
        </w:rPr>
      </w:pPr>
    </w:p>
    <w:p w14:paraId="2D2B848F">
      <w:pPr>
        <w:rPr>
          <w:rFonts w:hint="eastAsia" w:asciiTheme="minorEastAsia" w:hAnsiTheme="minorEastAsia" w:cstheme="minorEastAsia"/>
          <w:b/>
          <w:bCs/>
          <w:sz w:val="28"/>
          <w:szCs w:val="28"/>
          <w:lang w:eastAsia="zh-CN"/>
        </w:rPr>
      </w:pPr>
    </w:p>
    <w:p w14:paraId="1D345081">
      <w:pPr>
        <w:rPr>
          <w:rFonts w:hint="eastAsia" w:asciiTheme="minorEastAsia" w:hAnsiTheme="minorEastAsia" w:cstheme="minorEastAsia"/>
          <w:b/>
          <w:bCs/>
          <w:sz w:val="28"/>
          <w:szCs w:val="28"/>
          <w:lang w:eastAsia="zh-CN"/>
        </w:rPr>
      </w:pPr>
    </w:p>
    <w:p w14:paraId="23064BB5">
      <w:pPr>
        <w:rPr>
          <w:rFonts w:hint="eastAsia" w:asciiTheme="minorEastAsia" w:hAnsiTheme="minorEastAsia" w:cstheme="minorEastAsia"/>
          <w:b/>
          <w:bCs/>
          <w:sz w:val="28"/>
          <w:szCs w:val="28"/>
          <w:lang w:eastAsia="zh-CN"/>
        </w:rPr>
      </w:pPr>
    </w:p>
    <w:p w14:paraId="06C79F49">
      <w:pPr>
        <w:rPr>
          <w:rFonts w:hint="eastAsia" w:asciiTheme="minorEastAsia" w:hAnsiTheme="minorEastAsia" w:cstheme="minorEastAsia"/>
          <w:b/>
          <w:bCs/>
          <w:sz w:val="28"/>
          <w:szCs w:val="28"/>
          <w:lang w:eastAsia="zh-CN"/>
        </w:rPr>
      </w:pPr>
    </w:p>
    <w:p w14:paraId="4634AAD6">
      <w:pPr>
        <w:rPr>
          <w:rFonts w:hint="eastAsia" w:asciiTheme="minorEastAsia" w:hAnsiTheme="minorEastAsia" w:cstheme="minorEastAsia"/>
          <w:b/>
          <w:bCs/>
          <w:sz w:val="28"/>
          <w:szCs w:val="28"/>
          <w:lang w:eastAsia="zh-CN"/>
        </w:rPr>
      </w:pPr>
    </w:p>
    <w:p w14:paraId="031E49A4">
      <w:pPr>
        <w:rPr>
          <w:rFonts w:hint="eastAsia" w:asciiTheme="minorEastAsia" w:hAnsiTheme="minorEastAsia" w:cstheme="minorEastAsia"/>
          <w:b/>
          <w:bCs/>
          <w:sz w:val="28"/>
          <w:szCs w:val="28"/>
          <w:lang w:eastAsia="zh-CN"/>
        </w:rPr>
      </w:pPr>
    </w:p>
    <w:p w14:paraId="31AED3E0">
      <w:pPr>
        <w:rPr>
          <w:rFonts w:hint="eastAsia" w:asciiTheme="minorEastAsia" w:hAnsiTheme="minorEastAsia" w:cstheme="minorEastAsia"/>
          <w:b/>
          <w:bCs/>
          <w:sz w:val="28"/>
          <w:szCs w:val="28"/>
          <w:lang w:eastAsia="zh-CN"/>
        </w:rPr>
      </w:pPr>
    </w:p>
    <w:p w14:paraId="5651AF19">
      <w:pPr>
        <w:rPr>
          <w:rFonts w:hint="eastAsia" w:asciiTheme="minorEastAsia" w:hAnsiTheme="minorEastAsia" w:cstheme="minorEastAsia"/>
          <w:b/>
          <w:bCs/>
          <w:sz w:val="28"/>
          <w:szCs w:val="28"/>
          <w:lang w:eastAsia="zh-CN"/>
        </w:rPr>
      </w:pPr>
    </w:p>
    <w:p w14:paraId="49152C6C">
      <w:pPr>
        <w:rPr>
          <w:rFonts w:hint="eastAsia" w:asciiTheme="minorEastAsia" w:hAnsiTheme="minorEastAsia" w:eastAsiaTheme="minorEastAsia" w:cstheme="minorEastAsia"/>
          <w:bCs/>
          <w:kern w:val="2"/>
          <w:sz w:val="21"/>
          <w:szCs w:val="28"/>
          <w:lang w:val="en-US" w:eastAsia="zh-CN" w:bidi="ar-SA"/>
        </w:rPr>
      </w:pPr>
    </w:p>
    <w:sdt>
      <w:sdtPr>
        <w:rPr>
          <w:rFonts w:ascii="宋体" w:hAnsi="宋体" w:eastAsia="宋体" w:cstheme="minorBidi"/>
          <w:kern w:val="2"/>
          <w:sz w:val="21"/>
          <w:szCs w:val="24"/>
          <w:lang w:val="en-US" w:eastAsia="zh-CN" w:bidi="ar-SA"/>
        </w:rPr>
        <w:id w:val="147453461"/>
        <w15:color w:val="DBDBDB"/>
        <w:docPartObj>
          <w:docPartGallery w:val="Table of Contents"/>
          <w:docPartUnique/>
        </w:docPartObj>
      </w:sdtPr>
      <w:sdtEndPr>
        <w:rPr>
          <w:rFonts w:hint="eastAsia" w:asciiTheme="minorEastAsia" w:hAnsiTheme="minorEastAsia" w:eastAsiaTheme="minorEastAsia" w:cstheme="minorEastAsia"/>
          <w:bCs/>
          <w:kern w:val="2"/>
          <w:sz w:val="21"/>
          <w:szCs w:val="28"/>
          <w:lang w:val="en-US" w:eastAsia="zh-CN" w:bidi="ar-SA"/>
        </w:rPr>
      </w:sdtEndPr>
      <w:sdtContent>
        <w:p w14:paraId="0A9FF65E">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37CCAAA0">
          <w:pPr>
            <w:spacing w:before="0" w:beforeLines="0" w:after="0" w:afterLines="0" w:line="240" w:lineRule="auto"/>
            <w:ind w:left="0" w:leftChars="0" w:right="0" w:rightChars="0" w:firstLine="0" w:firstLineChars="0"/>
            <w:jc w:val="center"/>
            <w:rPr>
              <w:sz w:val="48"/>
              <w:szCs w:val="56"/>
            </w:rPr>
          </w:pPr>
          <w:r>
            <w:rPr>
              <w:rFonts w:ascii="宋体" w:hAnsi="宋体" w:eastAsia="宋体"/>
              <w:sz w:val="48"/>
              <w:szCs w:val="56"/>
            </w:rPr>
            <w:t>目</w:t>
          </w:r>
          <w:r>
            <w:rPr>
              <w:rFonts w:hint="eastAsia" w:ascii="宋体" w:hAnsi="宋体" w:eastAsia="宋体"/>
              <w:sz w:val="48"/>
              <w:szCs w:val="56"/>
              <w:lang w:val="en-US" w:eastAsia="zh-CN"/>
            </w:rPr>
            <w:t xml:space="preserve"> </w:t>
          </w:r>
          <w:r>
            <w:rPr>
              <w:rFonts w:ascii="宋体" w:hAnsi="宋体" w:eastAsia="宋体"/>
              <w:sz w:val="48"/>
              <w:szCs w:val="56"/>
            </w:rPr>
            <w:t>录</w:t>
          </w:r>
        </w:p>
        <w:p w14:paraId="4646880C">
          <w:pPr>
            <w:pStyle w:val="13"/>
            <w:tabs>
              <w:tab w:val="right" w:leader="dot" w:pos="9180"/>
            </w:tabs>
            <w:rPr>
              <w:sz w:val="36"/>
              <w:szCs w:val="44"/>
            </w:rPr>
          </w:pPr>
          <w:r>
            <w:rPr>
              <w:rFonts w:hint="eastAsia" w:asciiTheme="minorEastAsia" w:hAnsiTheme="minorEastAsia" w:eastAsiaTheme="minorEastAsia" w:cstheme="minorEastAsia"/>
              <w:bCs/>
              <w:kern w:val="2"/>
              <w:sz w:val="21"/>
              <w:szCs w:val="28"/>
              <w:lang w:val="en-US" w:eastAsia="zh-CN" w:bidi="ar-SA"/>
            </w:rPr>
            <w:fldChar w:fldCharType="begin"/>
          </w:r>
          <w:r>
            <w:rPr>
              <w:rFonts w:hint="eastAsia" w:asciiTheme="minorEastAsia" w:hAnsiTheme="minorEastAsia" w:eastAsiaTheme="minorEastAsia" w:cstheme="minorEastAsia"/>
              <w:bCs/>
              <w:kern w:val="2"/>
              <w:sz w:val="21"/>
              <w:szCs w:val="28"/>
              <w:lang w:val="en-US" w:eastAsia="zh-CN" w:bidi="ar-SA"/>
            </w:rPr>
            <w:instrText xml:space="preserve">TOC \o "1-3" \h \u </w:instrText>
          </w:r>
          <w:r>
            <w:rPr>
              <w:rFonts w:hint="eastAsia" w:asciiTheme="minorEastAsia" w:hAnsiTheme="minorEastAsia" w:eastAsiaTheme="minorEastAsia" w:cstheme="minorEastAsia"/>
              <w:bCs/>
              <w:kern w:val="2"/>
              <w:sz w:val="21"/>
              <w:szCs w:val="28"/>
              <w:lang w:val="en-US" w:eastAsia="zh-CN" w:bidi="ar-SA"/>
            </w:rPr>
            <w:fldChar w:fldCharType="separate"/>
          </w: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_Toc11375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第一章 招标公告</w:t>
          </w:r>
          <w:r>
            <w:rPr>
              <w:sz w:val="36"/>
              <w:szCs w:val="44"/>
            </w:rPr>
            <w:tab/>
          </w:r>
          <w:r>
            <w:rPr>
              <w:sz w:val="36"/>
              <w:szCs w:val="44"/>
            </w:rPr>
            <w:fldChar w:fldCharType="begin"/>
          </w:r>
          <w:r>
            <w:rPr>
              <w:sz w:val="36"/>
              <w:szCs w:val="44"/>
            </w:rPr>
            <w:instrText xml:space="preserve"> PAGEREF _Toc11375 \h </w:instrText>
          </w:r>
          <w:r>
            <w:rPr>
              <w:sz w:val="36"/>
              <w:szCs w:val="44"/>
            </w:rPr>
            <w:fldChar w:fldCharType="separate"/>
          </w:r>
          <w:r>
            <w:rPr>
              <w:sz w:val="36"/>
              <w:szCs w:val="44"/>
            </w:rPr>
            <w:t>6</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7D1AC779">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_Toc24468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第二章 用户需求书</w:t>
          </w:r>
          <w:r>
            <w:rPr>
              <w:sz w:val="36"/>
              <w:szCs w:val="44"/>
            </w:rPr>
            <w:tab/>
          </w:r>
          <w:r>
            <w:rPr>
              <w:sz w:val="36"/>
              <w:szCs w:val="44"/>
            </w:rPr>
            <w:fldChar w:fldCharType="begin"/>
          </w:r>
          <w:r>
            <w:rPr>
              <w:sz w:val="36"/>
              <w:szCs w:val="44"/>
            </w:rPr>
            <w:instrText xml:space="preserve"> PAGEREF _Toc24468 \h </w:instrText>
          </w:r>
          <w:r>
            <w:rPr>
              <w:sz w:val="36"/>
              <w:szCs w:val="44"/>
            </w:rPr>
            <w:fldChar w:fldCharType="separate"/>
          </w:r>
          <w:r>
            <w:rPr>
              <w:sz w:val="36"/>
              <w:szCs w:val="44"/>
            </w:rPr>
            <w:t>10</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6A6F29F6">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_Toc16150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第三章 </w:t>
          </w:r>
          <w:r>
            <w:rPr>
              <w:rFonts w:hint="eastAsia" w:asciiTheme="majorEastAsia" w:hAnsiTheme="majorEastAsia" w:eastAsiaTheme="majorEastAsia" w:cstheme="majorEastAsia"/>
              <w:sz w:val="36"/>
              <w:szCs w:val="52"/>
            </w:rPr>
            <w:t>开标、评标、定标</w:t>
          </w:r>
          <w:r>
            <w:rPr>
              <w:sz w:val="36"/>
              <w:szCs w:val="44"/>
            </w:rPr>
            <w:tab/>
          </w:r>
          <w:r>
            <w:rPr>
              <w:sz w:val="36"/>
              <w:szCs w:val="44"/>
            </w:rPr>
            <w:fldChar w:fldCharType="begin"/>
          </w:r>
          <w:r>
            <w:rPr>
              <w:sz w:val="36"/>
              <w:szCs w:val="44"/>
            </w:rPr>
            <w:instrText xml:space="preserve"> PAGEREF _Toc16150 \h </w:instrText>
          </w:r>
          <w:r>
            <w:rPr>
              <w:sz w:val="36"/>
              <w:szCs w:val="44"/>
            </w:rPr>
            <w:fldChar w:fldCharType="separate"/>
          </w:r>
          <w:r>
            <w:rPr>
              <w:sz w:val="36"/>
              <w:szCs w:val="44"/>
            </w:rPr>
            <w:t>13</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476DE052">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_Toc26388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 xml:space="preserve">第四章 </w:t>
          </w:r>
          <w:r>
            <w:rPr>
              <w:rFonts w:hint="eastAsia" w:asciiTheme="majorEastAsia" w:hAnsiTheme="majorEastAsia" w:eastAsiaTheme="majorEastAsia"/>
              <w:sz w:val="36"/>
              <w:szCs w:val="52"/>
            </w:rPr>
            <w:t>投标文件</w:t>
          </w:r>
          <w:r>
            <w:rPr>
              <w:rFonts w:hint="eastAsia" w:asciiTheme="majorEastAsia" w:hAnsiTheme="majorEastAsia" w:eastAsiaTheme="majorEastAsia"/>
              <w:sz w:val="36"/>
              <w:szCs w:val="52"/>
              <w:lang w:eastAsia="zh-CN"/>
            </w:rPr>
            <w:t>（</w:t>
          </w:r>
          <w:r>
            <w:rPr>
              <w:rFonts w:hint="eastAsia" w:asciiTheme="majorEastAsia" w:hAnsiTheme="majorEastAsia" w:eastAsiaTheme="majorEastAsia"/>
              <w:sz w:val="36"/>
              <w:szCs w:val="52"/>
              <w:lang w:val="en-US" w:eastAsia="zh-CN"/>
            </w:rPr>
            <w:t>编制</w:t>
          </w:r>
          <w:r>
            <w:rPr>
              <w:rFonts w:hint="eastAsia" w:asciiTheme="majorEastAsia" w:hAnsiTheme="majorEastAsia" w:eastAsiaTheme="majorEastAsia"/>
              <w:sz w:val="36"/>
              <w:szCs w:val="52"/>
            </w:rPr>
            <w:t>参考</w:t>
          </w:r>
          <w:r>
            <w:rPr>
              <w:rFonts w:hint="eastAsia" w:asciiTheme="majorEastAsia" w:hAnsiTheme="majorEastAsia" w:eastAsiaTheme="majorEastAsia"/>
              <w:sz w:val="36"/>
              <w:szCs w:val="52"/>
              <w:lang w:val="en-US" w:eastAsia="zh-CN"/>
            </w:rPr>
            <w:t>模板</w:t>
          </w:r>
          <w:r>
            <w:rPr>
              <w:rFonts w:hint="eastAsia" w:asciiTheme="majorEastAsia" w:hAnsiTheme="majorEastAsia" w:eastAsiaTheme="majorEastAsia"/>
              <w:sz w:val="36"/>
              <w:szCs w:val="52"/>
              <w:lang w:eastAsia="zh-CN"/>
            </w:rPr>
            <w:t>）</w:t>
          </w:r>
          <w:r>
            <w:rPr>
              <w:sz w:val="36"/>
              <w:szCs w:val="44"/>
            </w:rPr>
            <w:tab/>
          </w:r>
          <w:r>
            <w:rPr>
              <w:sz w:val="36"/>
              <w:szCs w:val="44"/>
            </w:rPr>
            <w:fldChar w:fldCharType="begin"/>
          </w:r>
          <w:r>
            <w:rPr>
              <w:sz w:val="36"/>
              <w:szCs w:val="44"/>
            </w:rPr>
            <w:instrText xml:space="preserve"> PAGEREF _Toc26388 \h </w:instrText>
          </w:r>
          <w:r>
            <w:rPr>
              <w:sz w:val="36"/>
              <w:szCs w:val="44"/>
            </w:rPr>
            <w:fldChar w:fldCharType="separate"/>
          </w:r>
          <w:r>
            <w:rPr>
              <w:sz w:val="36"/>
              <w:szCs w:val="44"/>
            </w:rPr>
            <w:t>18</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233514D0">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_Toc30434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 xml:space="preserve">第五章 </w:t>
          </w:r>
          <w:r>
            <w:rPr>
              <w:rFonts w:asciiTheme="majorEastAsia" w:hAnsiTheme="majorEastAsia" w:eastAsiaTheme="majorEastAsia"/>
              <w:sz w:val="36"/>
              <w:szCs w:val="52"/>
              <w:lang w:eastAsia="zh-TW"/>
            </w:rPr>
            <w:t>说 明</w:t>
          </w:r>
          <w:r>
            <w:rPr>
              <w:sz w:val="36"/>
              <w:szCs w:val="44"/>
            </w:rPr>
            <w:tab/>
          </w:r>
          <w:r>
            <w:rPr>
              <w:sz w:val="36"/>
              <w:szCs w:val="44"/>
            </w:rPr>
            <w:fldChar w:fldCharType="begin"/>
          </w:r>
          <w:r>
            <w:rPr>
              <w:sz w:val="36"/>
              <w:szCs w:val="44"/>
            </w:rPr>
            <w:instrText xml:space="preserve"> PAGEREF _Toc30434 \h </w:instrText>
          </w:r>
          <w:r>
            <w:rPr>
              <w:sz w:val="36"/>
              <w:szCs w:val="44"/>
            </w:rPr>
            <w:fldChar w:fldCharType="separate"/>
          </w:r>
          <w:r>
            <w:rPr>
              <w:sz w:val="36"/>
              <w:szCs w:val="44"/>
            </w:rPr>
            <w:t>51</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39B5DC3E">
          <w:pPr>
            <w:rPr>
              <w:rFonts w:hint="eastAsia" w:asciiTheme="minorEastAsia" w:hAnsiTheme="minorEastAsia" w:eastAsiaTheme="minorEastAsia" w:cstheme="minorEastAsia"/>
              <w:bCs/>
              <w:kern w:val="2"/>
              <w:sz w:val="21"/>
              <w:szCs w:val="28"/>
              <w:lang w:val="en-US" w:eastAsia="zh-CN" w:bidi="ar-SA"/>
            </w:rPr>
          </w:pPr>
          <w:r>
            <w:rPr>
              <w:rFonts w:hint="eastAsia" w:asciiTheme="minorEastAsia" w:hAnsiTheme="minorEastAsia" w:eastAsiaTheme="minorEastAsia" w:cstheme="minorEastAsia"/>
              <w:bCs/>
              <w:kern w:val="2"/>
              <w:szCs w:val="28"/>
              <w:lang w:val="en-US" w:eastAsia="zh-CN" w:bidi="ar-SA"/>
            </w:rPr>
            <w:fldChar w:fldCharType="end"/>
          </w:r>
        </w:p>
      </w:sdtContent>
    </w:sdt>
    <w:p w14:paraId="21CE26D5">
      <w:pPr>
        <w:rPr>
          <w:rFonts w:hint="eastAsia" w:asciiTheme="minorEastAsia" w:hAnsiTheme="minorEastAsia" w:eastAsiaTheme="minorEastAsia" w:cstheme="minorEastAsia"/>
          <w:bCs/>
          <w:kern w:val="2"/>
          <w:sz w:val="21"/>
          <w:szCs w:val="28"/>
          <w:lang w:val="en-US" w:eastAsia="zh-CN" w:bidi="ar-SA"/>
        </w:rPr>
      </w:pPr>
    </w:p>
    <w:p w14:paraId="6DB285D6">
      <w:pPr>
        <w:rPr>
          <w:rFonts w:hint="eastAsia" w:asciiTheme="minorEastAsia" w:hAnsiTheme="minorEastAsia" w:cstheme="minorEastAsia"/>
          <w:b/>
          <w:bCs/>
          <w:sz w:val="28"/>
          <w:szCs w:val="28"/>
          <w:lang w:eastAsia="zh-CN"/>
        </w:rPr>
      </w:pPr>
    </w:p>
    <w:p w14:paraId="09E4A1F6">
      <w:pPr>
        <w:rPr>
          <w:rFonts w:hint="eastAsia" w:asciiTheme="minorEastAsia" w:hAnsiTheme="minorEastAsia" w:cstheme="minorEastAsia"/>
          <w:b/>
          <w:bCs/>
          <w:sz w:val="28"/>
          <w:szCs w:val="28"/>
          <w:lang w:eastAsia="zh-CN"/>
        </w:rPr>
      </w:pPr>
    </w:p>
    <w:p w14:paraId="0D53B954">
      <w:pPr>
        <w:rPr>
          <w:rFonts w:hint="eastAsia" w:asciiTheme="minorEastAsia" w:hAnsiTheme="minorEastAsia" w:cstheme="minorEastAsia"/>
          <w:b/>
          <w:bCs/>
          <w:sz w:val="28"/>
          <w:szCs w:val="28"/>
          <w:lang w:eastAsia="zh-CN"/>
        </w:rPr>
      </w:pPr>
    </w:p>
    <w:p w14:paraId="430D7F23">
      <w:pPr>
        <w:rPr>
          <w:rFonts w:hint="eastAsia" w:asciiTheme="minorEastAsia" w:hAnsiTheme="minorEastAsia" w:cstheme="minorEastAsia"/>
          <w:b/>
          <w:bCs/>
          <w:sz w:val="28"/>
          <w:szCs w:val="28"/>
          <w:lang w:eastAsia="zh-CN"/>
        </w:rPr>
      </w:pPr>
    </w:p>
    <w:p w14:paraId="39FDD5C8">
      <w:pPr>
        <w:rPr>
          <w:rFonts w:hint="eastAsia" w:asciiTheme="minorEastAsia" w:hAnsiTheme="minorEastAsia" w:cstheme="minorEastAsia"/>
          <w:b/>
          <w:bCs/>
          <w:sz w:val="28"/>
          <w:szCs w:val="28"/>
          <w:lang w:eastAsia="zh-CN"/>
        </w:rPr>
      </w:pPr>
    </w:p>
    <w:p w14:paraId="4AB34194">
      <w:pPr>
        <w:rPr>
          <w:rFonts w:hint="eastAsia" w:asciiTheme="minorEastAsia" w:hAnsiTheme="minorEastAsia" w:cstheme="minorEastAsia"/>
          <w:b/>
          <w:bCs/>
          <w:sz w:val="28"/>
          <w:szCs w:val="28"/>
          <w:lang w:eastAsia="zh-CN"/>
        </w:rPr>
      </w:pPr>
    </w:p>
    <w:p w14:paraId="0B1A1DA1">
      <w:pPr>
        <w:rPr>
          <w:rFonts w:hint="eastAsia" w:asciiTheme="minorEastAsia" w:hAnsiTheme="minorEastAsia" w:cstheme="minorEastAsia"/>
          <w:b/>
          <w:bCs/>
          <w:sz w:val="28"/>
          <w:szCs w:val="28"/>
          <w:lang w:eastAsia="zh-CN"/>
        </w:rPr>
      </w:pPr>
    </w:p>
    <w:p w14:paraId="4A0796DC">
      <w:pPr>
        <w:rPr>
          <w:rFonts w:hint="eastAsia" w:asciiTheme="minorEastAsia" w:hAnsiTheme="minorEastAsia" w:cstheme="minorEastAsia"/>
          <w:b/>
          <w:bCs/>
          <w:sz w:val="28"/>
          <w:szCs w:val="28"/>
          <w:lang w:eastAsia="zh-CN"/>
        </w:rPr>
      </w:pPr>
    </w:p>
    <w:p w14:paraId="2B27EE69">
      <w:pPr>
        <w:rPr>
          <w:rFonts w:hint="eastAsia" w:asciiTheme="minorEastAsia" w:hAnsiTheme="minorEastAsia" w:cstheme="minorEastAsia"/>
          <w:b/>
          <w:bCs/>
          <w:sz w:val="28"/>
          <w:szCs w:val="28"/>
          <w:lang w:eastAsia="zh-CN"/>
        </w:rPr>
      </w:pPr>
    </w:p>
    <w:p w14:paraId="4AD4D8CF">
      <w:pPr>
        <w:widowControl w:val="0"/>
        <w:numPr>
          <w:ilvl w:val="0"/>
          <w:numId w:val="0"/>
        </w:numPr>
        <w:tabs>
          <w:tab w:val="left" w:pos="567"/>
        </w:tabs>
        <w:spacing w:line="360" w:lineRule="auto"/>
        <w:jc w:val="both"/>
        <w:rPr>
          <w:rFonts w:hint="eastAsia" w:ascii="宋体" w:hAnsi="宋体" w:cs="宋体"/>
          <w:szCs w:val="21"/>
          <w:lang w:bidi="ar"/>
        </w:rPr>
      </w:pPr>
    </w:p>
    <w:p w14:paraId="7D3AF6E1">
      <w:pPr>
        <w:widowControl w:val="0"/>
        <w:numPr>
          <w:ilvl w:val="0"/>
          <w:numId w:val="0"/>
        </w:numPr>
        <w:tabs>
          <w:tab w:val="left" w:pos="567"/>
        </w:tabs>
        <w:spacing w:line="360" w:lineRule="auto"/>
        <w:jc w:val="both"/>
        <w:rPr>
          <w:rFonts w:hint="eastAsia" w:ascii="宋体" w:hAnsi="宋体" w:cs="宋体"/>
          <w:szCs w:val="21"/>
          <w:lang w:bidi="ar"/>
        </w:rPr>
      </w:pPr>
    </w:p>
    <w:p w14:paraId="7D7822F5">
      <w:pPr>
        <w:widowControl w:val="0"/>
        <w:numPr>
          <w:ilvl w:val="0"/>
          <w:numId w:val="0"/>
        </w:numPr>
        <w:tabs>
          <w:tab w:val="left" w:pos="567"/>
        </w:tabs>
        <w:spacing w:line="360" w:lineRule="auto"/>
        <w:jc w:val="both"/>
        <w:rPr>
          <w:rFonts w:hint="eastAsia" w:ascii="宋体" w:hAnsi="宋体" w:cs="宋体"/>
          <w:szCs w:val="21"/>
          <w:lang w:bidi="ar"/>
        </w:rPr>
      </w:pPr>
    </w:p>
    <w:p w14:paraId="217EECD4">
      <w:pPr>
        <w:widowControl w:val="0"/>
        <w:numPr>
          <w:ilvl w:val="0"/>
          <w:numId w:val="0"/>
        </w:numPr>
        <w:tabs>
          <w:tab w:val="left" w:pos="567"/>
        </w:tabs>
        <w:spacing w:line="360" w:lineRule="auto"/>
        <w:jc w:val="both"/>
        <w:rPr>
          <w:rFonts w:hint="eastAsia" w:ascii="宋体" w:hAnsi="宋体" w:cs="宋体"/>
          <w:szCs w:val="21"/>
          <w:lang w:bidi="ar"/>
        </w:rPr>
      </w:pPr>
    </w:p>
    <w:p w14:paraId="6446377F">
      <w:pPr>
        <w:widowControl w:val="0"/>
        <w:numPr>
          <w:ilvl w:val="0"/>
          <w:numId w:val="0"/>
        </w:numPr>
        <w:tabs>
          <w:tab w:val="left" w:pos="567"/>
        </w:tabs>
        <w:spacing w:line="360" w:lineRule="auto"/>
        <w:jc w:val="both"/>
        <w:rPr>
          <w:rFonts w:hint="eastAsia" w:ascii="宋体" w:hAnsi="宋体" w:cs="宋体"/>
          <w:szCs w:val="21"/>
          <w:lang w:bidi="ar"/>
        </w:rPr>
      </w:pPr>
    </w:p>
    <w:p w14:paraId="05B40DEC">
      <w:pPr>
        <w:widowControl w:val="0"/>
        <w:numPr>
          <w:ilvl w:val="0"/>
          <w:numId w:val="0"/>
        </w:numPr>
        <w:tabs>
          <w:tab w:val="left" w:pos="567"/>
        </w:tabs>
        <w:spacing w:line="360" w:lineRule="auto"/>
        <w:jc w:val="both"/>
        <w:rPr>
          <w:rFonts w:hint="eastAsia" w:ascii="宋体" w:hAnsi="宋体" w:cs="宋体"/>
          <w:szCs w:val="21"/>
          <w:lang w:bidi="ar"/>
        </w:rPr>
      </w:pPr>
    </w:p>
    <w:p w14:paraId="04E3E066">
      <w:pPr>
        <w:widowControl w:val="0"/>
        <w:numPr>
          <w:ilvl w:val="0"/>
          <w:numId w:val="0"/>
        </w:numPr>
        <w:tabs>
          <w:tab w:val="left" w:pos="567"/>
        </w:tabs>
        <w:spacing w:line="360" w:lineRule="auto"/>
        <w:jc w:val="both"/>
        <w:rPr>
          <w:rFonts w:hint="eastAsia" w:ascii="宋体" w:hAnsi="宋体" w:cs="宋体"/>
          <w:szCs w:val="21"/>
          <w:lang w:bidi="ar"/>
        </w:rPr>
      </w:pPr>
    </w:p>
    <w:p w14:paraId="692C3E51">
      <w:pPr>
        <w:numPr>
          <w:ilvl w:val="0"/>
          <w:numId w:val="2"/>
        </w:numPr>
        <w:jc w:val="center"/>
        <w:outlineLvl w:val="0"/>
        <w:rPr>
          <w:rFonts w:hint="eastAsia" w:asciiTheme="majorEastAsia" w:hAnsiTheme="majorEastAsia" w:eastAsiaTheme="majorEastAsia"/>
          <w:sz w:val="32"/>
          <w:szCs w:val="32"/>
          <w:lang w:val="en-US" w:eastAsia="zh-CN"/>
        </w:rPr>
      </w:pPr>
      <w:bookmarkStart w:id="2" w:name="_Toc11375"/>
      <w:r>
        <w:rPr>
          <w:rFonts w:hint="eastAsia" w:asciiTheme="majorEastAsia" w:hAnsiTheme="majorEastAsia" w:eastAsiaTheme="majorEastAsia"/>
          <w:sz w:val="32"/>
          <w:szCs w:val="32"/>
          <w:lang w:val="en-US" w:eastAsia="zh-CN"/>
        </w:rPr>
        <w:t>招标公告</w:t>
      </w:r>
      <w:bookmarkEnd w:id="2"/>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3" w:name="OLE_LINK1"/>
      <w:bookmarkStart w:id="4" w:name="OLE_LINK3"/>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lang w:val="en-US" w:eastAsia="zh-CN"/>
        </w:rPr>
        <w:t>西门子Walkaway 40 Plus全自动微生物鉴定及药敏分析系统检验耗材一批</w:t>
      </w:r>
      <w:r>
        <w:rPr>
          <w:rFonts w:hint="eastAsia" w:ascii="宋体" w:hAnsi="宋体"/>
          <w:szCs w:val="28"/>
        </w:rPr>
        <w:t>招标项目的潜在投标人应在</w:t>
      </w:r>
      <w:r>
        <w:rPr>
          <w:rFonts w:hint="eastAsia" w:ascii="宋体" w:hAnsi="宋体"/>
          <w:szCs w:val="28"/>
          <w:lang w:val="en-US" w:eastAsia="zh-CN"/>
        </w:rPr>
        <w:t>深圳市福田区第二人民医院</w:t>
      </w:r>
      <w:r>
        <w:rPr>
          <w:rFonts w:hint="eastAsia" w:ascii="宋体" w:hAnsi="宋体"/>
          <w:szCs w:val="28"/>
        </w:rPr>
        <w:t>获取</w:t>
      </w:r>
      <w:r>
        <w:rPr>
          <w:rFonts w:hint="eastAsia" w:ascii="宋体" w:hAnsi="宋体"/>
          <w:szCs w:val="28"/>
          <w:lang w:eastAsia="zh-CN"/>
        </w:rPr>
        <w:t>谈判文件</w:t>
      </w:r>
      <w:r>
        <w:rPr>
          <w:rFonts w:hint="eastAsia" w:ascii="宋体" w:hAnsi="宋体"/>
          <w:szCs w:val="28"/>
        </w:rPr>
        <w:t>，并于</w:t>
      </w:r>
      <w:r>
        <w:rPr>
          <w:rFonts w:hint="eastAsia" w:ascii="宋体" w:hAnsi="宋体"/>
          <w:szCs w:val="28"/>
          <w:u w:val="single"/>
        </w:rPr>
        <w:t>2025</w:t>
      </w:r>
      <w:r>
        <w:rPr>
          <w:rFonts w:hint="eastAsia" w:ascii="宋体" w:hAnsi="宋体"/>
          <w:bCs/>
          <w:szCs w:val="28"/>
          <w:u w:val="single"/>
        </w:rPr>
        <w:t>年</w:t>
      </w:r>
      <w:r>
        <w:rPr>
          <w:rFonts w:hint="eastAsia" w:ascii="宋体" w:hAnsi="宋体"/>
          <w:bCs/>
          <w:szCs w:val="28"/>
          <w:u w:val="single"/>
          <w:lang w:val="en-US" w:eastAsia="zh-CN"/>
        </w:rPr>
        <w:t>12</w:t>
      </w:r>
      <w:r>
        <w:rPr>
          <w:rFonts w:hint="eastAsia" w:ascii="宋体" w:hAnsi="宋体"/>
          <w:bCs/>
          <w:szCs w:val="28"/>
          <w:u w:val="single"/>
        </w:rPr>
        <w:t>月</w:t>
      </w:r>
      <w:r>
        <w:rPr>
          <w:rFonts w:hint="eastAsia" w:ascii="宋体" w:hAnsi="宋体"/>
          <w:bCs/>
          <w:szCs w:val="28"/>
          <w:u w:val="single"/>
          <w:lang w:val="en-US" w:eastAsia="zh-CN"/>
        </w:rPr>
        <w:t>17</w:t>
      </w:r>
      <w:r>
        <w:rPr>
          <w:rFonts w:hint="eastAsia" w:ascii="宋体" w:hAnsi="宋体"/>
          <w:bCs/>
          <w:szCs w:val="28"/>
          <w:u w:val="single"/>
        </w:rPr>
        <w:t>日14点30分（</w:t>
      </w:r>
      <w:r>
        <w:rPr>
          <w:rFonts w:hint="eastAsia" w:ascii="宋体" w:hAnsi="宋体"/>
          <w:bCs/>
          <w:szCs w:val="28"/>
        </w:rPr>
        <w:t>北京时间）前递交投标</w:t>
      </w:r>
      <w:r>
        <w:rPr>
          <w:rFonts w:ascii="宋体" w:hAnsi="宋体"/>
          <w:bCs/>
          <w:szCs w:val="28"/>
        </w:rPr>
        <w:t>文件</w:t>
      </w:r>
      <w:r>
        <w:rPr>
          <w:rFonts w:hint="eastAsia" w:ascii="宋体" w:hAnsi="宋体"/>
          <w:szCs w:val="28"/>
        </w:rPr>
        <w:t>。</w:t>
      </w:r>
    </w:p>
    <w:p w14:paraId="75F49FC0">
      <w:pPr>
        <w:spacing w:line="360" w:lineRule="auto"/>
        <w:ind w:firstLine="420" w:firstLineChars="200"/>
        <w:rPr>
          <w:rFonts w:hint="eastAsia" w:ascii="宋体" w:hAnsi="宋体"/>
        </w:rPr>
      </w:pPr>
      <w:bookmarkStart w:id="5" w:name="OLE_LINK2"/>
    </w:p>
    <w:p w14:paraId="445E017D">
      <w:pPr>
        <w:spacing w:line="360" w:lineRule="auto"/>
        <w:ind w:firstLine="420" w:firstLineChars="200"/>
        <w:outlineLvl w:val="9"/>
        <w:rPr>
          <w:rFonts w:ascii="宋体" w:hAnsi="宋体"/>
          <w:b/>
        </w:rPr>
      </w:pPr>
      <w:r>
        <w:rPr>
          <w:rFonts w:hint="eastAsia" w:ascii="宋体" w:hAnsi="宋体"/>
        </w:rPr>
        <w:t>一、项目基本情况</w:t>
      </w:r>
    </w:p>
    <w:p w14:paraId="2C46AC76">
      <w:pPr>
        <w:spacing w:line="360" w:lineRule="auto"/>
        <w:ind w:firstLine="420" w:firstLineChars="200"/>
        <w:rPr>
          <w:rFonts w:hint="default" w:ascii="宋体" w:hAnsi="宋体"/>
          <w:lang w:val="en-US"/>
        </w:rPr>
      </w:pPr>
      <w:r>
        <w:rPr>
          <w:rFonts w:hint="eastAsia" w:ascii="宋体" w:hAnsi="宋体"/>
        </w:rPr>
        <w:t>项目编号：</w:t>
      </w:r>
      <w:r>
        <w:rPr>
          <w:rFonts w:hint="eastAsia" w:ascii="宋体" w:hAnsi="宋体"/>
          <w:szCs w:val="28"/>
          <w:u w:val="none"/>
          <w:lang w:val="en-US" w:eastAsia="zh-CN"/>
        </w:rPr>
        <w:t>FTEY-FYC-005</w:t>
      </w:r>
    </w:p>
    <w:p w14:paraId="4C536290">
      <w:pPr>
        <w:spacing w:line="360" w:lineRule="auto"/>
        <w:ind w:firstLine="420" w:firstLineChars="200"/>
        <w:rPr>
          <w:rFonts w:ascii="宋体" w:hAnsi="宋体"/>
        </w:rPr>
      </w:pPr>
      <w:r>
        <w:rPr>
          <w:rFonts w:hint="eastAsia" w:ascii="宋体" w:hAnsi="宋体"/>
        </w:rPr>
        <w:t>项目名称：</w:t>
      </w:r>
      <w:r>
        <w:rPr>
          <w:rFonts w:hint="eastAsia" w:ascii="宋体" w:hAnsi="宋体"/>
          <w:szCs w:val="28"/>
          <w:u w:val="none"/>
          <w:lang w:val="en-US" w:eastAsia="zh-CN"/>
        </w:rPr>
        <w:t>西门子Walkaway 40 Plus全自动微生物鉴定及药敏分析系统检验耗材一批</w:t>
      </w:r>
    </w:p>
    <w:p w14:paraId="6B8796DB">
      <w:pPr>
        <w:spacing w:line="360" w:lineRule="auto"/>
        <w:ind w:firstLine="420" w:firstLineChars="200"/>
        <w:rPr>
          <w:rFonts w:hint="eastAsia" w:ascii="宋体" w:hAnsi="宋体"/>
          <w:szCs w:val="21"/>
        </w:rPr>
      </w:pPr>
      <w:r>
        <w:rPr>
          <w:rFonts w:hint="eastAsia" w:ascii="宋体" w:hAnsi="宋体"/>
        </w:rPr>
        <w:t>预算金额（支付上限）：人民币壹拾壹万叁仟玖佰柒拾捌元整（¥</w:t>
      </w:r>
      <w:r>
        <w:rPr>
          <w:rFonts w:hint="eastAsia" w:ascii="宋体" w:hAnsi="宋体"/>
          <w:lang w:val="en-US" w:eastAsia="zh-CN"/>
        </w:rPr>
        <w:t>113978.00</w:t>
      </w:r>
      <w:r>
        <w:rPr>
          <w:rFonts w:hint="eastAsia" w:ascii="宋体" w:hAnsi="宋体"/>
          <w:szCs w:val="21"/>
        </w:rPr>
        <w:t>元）</w:t>
      </w:r>
    </w:p>
    <w:p w14:paraId="24B35A0B">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采购方式：单一来源采购</w:t>
      </w:r>
    </w:p>
    <w:p w14:paraId="2FA96857">
      <w:pPr>
        <w:spacing w:line="360" w:lineRule="auto"/>
        <w:ind w:left="420" w:leftChars="200" w:firstLine="0" w:firstLineChars="0"/>
        <w:rPr>
          <w:rFonts w:hint="default" w:ascii="宋体" w:hAnsi="宋体"/>
          <w:szCs w:val="21"/>
          <w:lang w:val="en-US" w:eastAsia="zh-CN"/>
        </w:rPr>
      </w:pPr>
      <w:r>
        <w:rPr>
          <w:rFonts w:hint="default" w:ascii="宋体" w:hAnsi="宋体"/>
          <w:szCs w:val="21"/>
          <w:lang w:val="en-US" w:eastAsia="zh-CN"/>
        </w:rPr>
        <w:t>单一来源采购方式理由</w:t>
      </w:r>
      <w:r>
        <w:rPr>
          <w:rFonts w:hint="eastAsia" w:ascii="宋体" w:hAnsi="宋体"/>
          <w:szCs w:val="21"/>
          <w:lang w:val="en-US" w:eastAsia="zh-CN"/>
        </w:rPr>
        <w:t>：</w:t>
      </w:r>
      <w:r>
        <w:rPr>
          <w:rFonts w:hint="default" w:ascii="宋体" w:hAnsi="宋体"/>
          <w:szCs w:val="21"/>
          <w:lang w:val="en-US" w:eastAsia="zh-CN"/>
        </w:rPr>
        <w:t>《政府采购法》第三十一条：必须保证原有采购项目一致性或者服务配套的要求</w:t>
      </w:r>
    </w:p>
    <w:p w14:paraId="53438E1E">
      <w:pPr>
        <w:spacing w:line="360" w:lineRule="auto"/>
        <w:ind w:firstLine="420" w:firstLineChars="200"/>
        <w:rPr>
          <w:rFonts w:hint="eastAsia" w:ascii="宋体" w:hAnsi="宋体" w:eastAsiaTheme="minorEastAsia"/>
          <w:u w:val="single"/>
          <w:lang w:eastAsia="zh-CN"/>
        </w:rPr>
      </w:pPr>
      <w:r>
        <w:rPr>
          <w:rFonts w:hint="eastAsia" w:ascii="宋体" w:hAnsi="宋体"/>
        </w:rPr>
        <w:t>采购需求：详见</w:t>
      </w:r>
      <w:r>
        <w:rPr>
          <w:rFonts w:hint="eastAsia" w:ascii="宋体" w:hAnsi="宋体"/>
          <w:lang w:eastAsia="zh-CN"/>
        </w:rPr>
        <w:t>谈判文件</w:t>
      </w:r>
    </w:p>
    <w:p w14:paraId="7CF96533">
      <w:pPr>
        <w:spacing w:line="360" w:lineRule="auto"/>
        <w:ind w:firstLine="420" w:firstLineChars="200"/>
        <w:rPr>
          <w:rFonts w:hint="eastAsia" w:ascii="宋体" w:hAnsi="宋体"/>
          <w:lang w:eastAsia="zh-CN"/>
        </w:rPr>
      </w:pPr>
      <w:r>
        <w:rPr>
          <w:rFonts w:hint="eastAsia" w:ascii="宋体" w:hAnsi="宋体"/>
        </w:rPr>
        <w:t>合同履行期限：详见</w:t>
      </w:r>
      <w:r>
        <w:rPr>
          <w:rFonts w:hint="eastAsia" w:ascii="宋体" w:hAnsi="宋体"/>
          <w:lang w:eastAsia="zh-CN"/>
        </w:rPr>
        <w:t>谈判文件</w:t>
      </w:r>
    </w:p>
    <w:p w14:paraId="0EA90B9A">
      <w:pPr>
        <w:spacing w:line="360" w:lineRule="auto"/>
        <w:ind w:firstLine="420" w:firstLineChars="200"/>
        <w:rPr>
          <w:rFonts w:hint="eastAsia" w:ascii="宋体" w:hAnsi="宋体"/>
        </w:rPr>
      </w:pPr>
      <w:r>
        <w:rPr>
          <w:rFonts w:hint="eastAsia" w:ascii="宋体" w:hAnsi="宋体"/>
        </w:rPr>
        <w:t>本项目不接受联合体投标</w:t>
      </w:r>
    </w:p>
    <w:p w14:paraId="5C4AFFC0">
      <w:pPr>
        <w:spacing w:line="360" w:lineRule="auto"/>
        <w:ind w:firstLine="420" w:firstLineChars="200"/>
        <w:rPr>
          <w:rFonts w:hint="eastAsia" w:ascii="宋体" w:hAnsi="宋体"/>
          <w:lang w:eastAsia="zh-CN"/>
        </w:rPr>
      </w:pPr>
      <w:r>
        <w:rPr>
          <w:rFonts w:hint="eastAsia" w:ascii="宋体" w:hAnsi="宋体"/>
        </w:rPr>
        <w:t>拟定的唯一供应商名称、地址</w:t>
      </w:r>
      <w:r>
        <w:rPr>
          <w:rFonts w:hint="eastAsia" w:ascii="宋体" w:hAnsi="宋体"/>
          <w:lang w:eastAsia="zh-CN"/>
        </w:rPr>
        <w:t>：</w:t>
      </w:r>
    </w:p>
    <w:p w14:paraId="62D709E6">
      <w:pPr>
        <w:spacing w:line="360" w:lineRule="auto"/>
        <w:ind w:firstLine="420" w:firstLineChars="200"/>
        <w:rPr>
          <w:rFonts w:hint="eastAsia" w:ascii="宋体" w:hAnsi="宋体"/>
        </w:rPr>
      </w:pPr>
      <w:r>
        <w:rPr>
          <w:rFonts w:hint="eastAsia" w:ascii="宋体" w:hAnsi="宋体"/>
        </w:rPr>
        <w:t>供应商名称：深圳傲锐生物科技有限公司</w:t>
      </w:r>
    </w:p>
    <w:p w14:paraId="37C81C40">
      <w:pPr>
        <w:spacing w:line="360" w:lineRule="auto"/>
        <w:ind w:firstLine="420" w:firstLineChars="200"/>
        <w:rPr>
          <w:rFonts w:hint="eastAsia" w:ascii="宋体" w:hAnsi="宋体"/>
        </w:rPr>
      </w:pPr>
      <w:r>
        <w:rPr>
          <w:rFonts w:hint="eastAsia" w:ascii="宋体" w:hAnsi="宋体"/>
        </w:rPr>
        <w:t>供应商地址：深圳市盐田区深盐路2015号保税区17栋2层南205室</w:t>
      </w:r>
    </w:p>
    <w:p w14:paraId="16B89916">
      <w:pPr>
        <w:spacing w:line="360" w:lineRule="auto"/>
        <w:ind w:firstLine="420" w:firstLineChars="200"/>
        <w:rPr>
          <w:rFonts w:hint="eastAsia" w:ascii="宋体" w:hAnsi="宋体"/>
        </w:rPr>
      </w:pPr>
    </w:p>
    <w:p w14:paraId="1FCF967D">
      <w:pPr>
        <w:spacing w:line="360" w:lineRule="auto"/>
        <w:ind w:firstLine="420" w:firstLineChars="200"/>
        <w:outlineLvl w:val="9"/>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6"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谈判文件</w:t>
      </w:r>
      <w:r>
        <w:rPr>
          <w:rFonts w:hint="eastAsia" w:ascii="宋体" w:hAnsi="宋体" w:eastAsiaTheme="minorEastAsia" w:cstheme="minorBidi"/>
          <w:kern w:val="2"/>
          <w:sz w:val="21"/>
          <w:szCs w:val="24"/>
          <w:lang w:val="en-US" w:eastAsia="zh-CN" w:bidi="ar-SA"/>
        </w:rPr>
        <w:t>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二</w:t>
      </w:r>
      <w:r>
        <w:rPr>
          <w:rFonts w:hint="eastAsia" w:ascii="宋体" w:hAnsi="宋体" w:eastAsiaTheme="minorEastAsia" w:cstheme="minorBidi"/>
          <w:kern w:val="2"/>
          <w:sz w:val="21"/>
          <w:szCs w:val="24"/>
          <w:lang w:val="en-US" w:eastAsia="zh-CN" w:bidi="ar-SA"/>
        </w:rPr>
        <w:t>和第十</w:t>
      </w:r>
      <w:r>
        <w:rPr>
          <w:rFonts w:hint="eastAsia" w:ascii="宋体" w:hAnsi="宋体" w:cstheme="minorBidi"/>
          <w:kern w:val="2"/>
          <w:sz w:val="21"/>
          <w:szCs w:val="24"/>
          <w:lang w:val="en-US" w:eastAsia="zh-CN" w:bidi="ar-SA"/>
        </w:rPr>
        <w:t>九</w:t>
      </w:r>
      <w:r>
        <w:rPr>
          <w:rFonts w:hint="eastAsia" w:ascii="宋体" w:hAnsi="宋体" w:eastAsiaTheme="minorEastAsia" w:cstheme="minorBidi"/>
          <w:kern w:val="2"/>
          <w:sz w:val="21"/>
          <w:szCs w:val="24"/>
          <w:lang w:val="en-US" w:eastAsia="zh-CN" w:bidi="ar-SA"/>
        </w:rPr>
        <w:t>）；</w:t>
      </w:r>
      <w:bookmarkEnd w:id="6"/>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63509820">
      <w:pPr>
        <w:spacing w:line="360" w:lineRule="auto"/>
        <w:ind w:firstLine="420" w:firstLineChars="200"/>
        <w:rPr>
          <w:rFonts w:hint="eastAsia" w:ascii="宋体" w:hAnsi="宋体"/>
        </w:rPr>
      </w:pPr>
      <w:r>
        <w:rPr>
          <w:rFonts w:hint="eastAsia" w:ascii="宋体" w:hAnsi="宋体"/>
        </w:rPr>
        <w:t>①如投标人为所投产品的生产企业且所投产品为第一类医疗器械的，投标人须提供监督管理部门签发的涵盖所投医疗器械的有效《医疗器械生产备案凭证》（提供复印件加盖公章，原件备查）；</w:t>
      </w:r>
    </w:p>
    <w:p w14:paraId="25E8FCB6">
      <w:pPr>
        <w:spacing w:line="360" w:lineRule="auto"/>
        <w:ind w:firstLine="420" w:firstLineChars="200"/>
        <w:rPr>
          <w:rFonts w:hint="eastAsia" w:ascii="宋体" w:hAnsi="宋体"/>
        </w:rPr>
      </w:pPr>
      <w:r>
        <w:rPr>
          <w:rFonts w:hint="eastAsia" w:ascii="宋体" w:hAnsi="宋体"/>
        </w:rPr>
        <w:t>②如投标人为所投产品的生产企业且所投产品为第二、三类医疗器械的，投标人须提供监督管理部门签发的涵盖所投医疗器械的有效《医疗器械生产许可证》（提供复印件加盖公章，原件备查）；</w:t>
      </w:r>
    </w:p>
    <w:p w14:paraId="763399F8">
      <w:pPr>
        <w:spacing w:line="360" w:lineRule="auto"/>
        <w:ind w:firstLine="420" w:firstLineChars="200"/>
        <w:rPr>
          <w:rFonts w:hint="eastAsia" w:ascii="宋体" w:hAnsi="宋体"/>
        </w:rPr>
      </w:pPr>
      <w:r>
        <w:rPr>
          <w:rFonts w:hint="eastAsia" w:ascii="宋体" w:hAnsi="宋体"/>
        </w:rPr>
        <w:t>③如投标人为所投产品的经营企业且所投产品为第二类医疗器械的，投标人须提供监督管理部门签发的涵盖所投医疗器械的有效《医疗器械经营备案凭证》（提供复印件加盖公章，原件备查）；</w:t>
      </w:r>
    </w:p>
    <w:p w14:paraId="34A6C6B7">
      <w:pPr>
        <w:spacing w:line="360" w:lineRule="auto"/>
        <w:ind w:firstLine="420" w:firstLineChars="200"/>
        <w:rPr>
          <w:rFonts w:hint="eastAsia" w:ascii="宋体" w:hAnsi="宋体"/>
        </w:rPr>
      </w:pPr>
      <w:r>
        <w:rPr>
          <w:rFonts w:hint="eastAsia" w:ascii="宋体" w:hAnsi="宋体"/>
        </w:rPr>
        <w:t>④如投标人为所投产品的经营企业且所投产品为第三类医疗器械的，投标人须提供监督管理部门签发的涵盖所投医疗器械的有效《医疗器械经营许可证》（提供复印件加盖公章，原件备查）；</w:t>
      </w:r>
    </w:p>
    <w:p w14:paraId="227C4585">
      <w:pPr>
        <w:spacing w:line="360" w:lineRule="auto"/>
        <w:ind w:firstLine="420" w:firstLineChars="200"/>
        <w:rPr>
          <w:rFonts w:hint="eastAsia" w:ascii="宋体" w:hAnsi="宋体"/>
          <w:lang w:eastAsia="zh-CN"/>
        </w:rPr>
      </w:pPr>
      <w:r>
        <w:rPr>
          <w:rFonts w:hint="eastAsia" w:ascii="宋体" w:hAnsi="宋体"/>
        </w:rPr>
        <w:t>⑤如投标人所投产品不</w:t>
      </w:r>
      <w:r>
        <w:rPr>
          <w:rFonts w:hint="eastAsia" w:ascii="宋体" w:hAnsi="宋体"/>
          <w:lang w:val="en-US" w:eastAsia="zh-CN"/>
        </w:rPr>
        <w:t>属</w:t>
      </w:r>
      <w:r>
        <w:rPr>
          <w:rFonts w:hint="eastAsia" w:ascii="宋体" w:hAnsi="宋体"/>
        </w:rPr>
        <w:t>于第一、二、三类医疗器械的，投标人无需提供医疗器械生产/经营资格相关证明材料，但需提供投标人关于所投产品不属于医疗器械的相关说明（加盖投标人公章）。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7"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谈判文件</w:t>
      </w:r>
      <w:r>
        <w:rPr>
          <w:rFonts w:hint="eastAsia" w:ascii="宋体" w:hAnsi="宋体" w:eastAsiaTheme="minorEastAsia" w:cstheme="minorBidi"/>
          <w:kern w:val="2"/>
          <w:sz w:val="21"/>
          <w:szCs w:val="24"/>
          <w:lang w:val="en-US" w:eastAsia="zh-CN" w:bidi="ar-SA"/>
        </w:rPr>
        <w:t>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二</w:t>
      </w:r>
      <w:r>
        <w:rPr>
          <w:rFonts w:hint="eastAsia" w:ascii="宋体" w:hAnsi="宋体" w:eastAsiaTheme="minorEastAsia" w:cstheme="minorBidi"/>
          <w:kern w:val="2"/>
          <w:sz w:val="21"/>
          <w:szCs w:val="24"/>
          <w:lang w:val="en-US" w:eastAsia="zh-CN" w:bidi="ar-SA"/>
        </w:rPr>
        <w:t>和第十</w:t>
      </w:r>
      <w:r>
        <w:rPr>
          <w:rFonts w:hint="eastAsia" w:ascii="宋体" w:hAnsi="宋体" w:cstheme="minorBidi"/>
          <w:kern w:val="2"/>
          <w:sz w:val="21"/>
          <w:szCs w:val="24"/>
          <w:lang w:val="en-US" w:eastAsia="zh-CN" w:bidi="ar-SA"/>
        </w:rPr>
        <w:t>九</w:t>
      </w:r>
      <w:r>
        <w:rPr>
          <w:rFonts w:hint="eastAsia" w:ascii="宋体" w:hAnsi="宋体" w:eastAsiaTheme="minorEastAsia" w:cstheme="minorBidi"/>
          <w:kern w:val="2"/>
          <w:sz w:val="21"/>
          <w:szCs w:val="24"/>
          <w:lang w:val="en-US" w:eastAsia="zh-CN" w:bidi="ar-SA"/>
        </w:rPr>
        <w:t>）；</w:t>
      </w:r>
      <w:bookmarkEnd w:id="7"/>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谈判文件</w:t>
      </w:r>
      <w:r>
        <w:rPr>
          <w:rFonts w:hint="eastAsia" w:ascii="宋体" w:hAnsi="宋体" w:eastAsiaTheme="minorEastAsia" w:cstheme="minorBidi"/>
          <w:kern w:val="2"/>
          <w:sz w:val="21"/>
          <w:szCs w:val="24"/>
          <w:lang w:val="en-US" w:eastAsia="zh-CN" w:bidi="ar-SA"/>
        </w:rPr>
        <w:t>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二</w:t>
      </w:r>
      <w:r>
        <w:rPr>
          <w:rFonts w:hint="eastAsia" w:ascii="宋体" w:hAnsi="宋体" w:eastAsiaTheme="minorEastAsia" w:cstheme="minorBidi"/>
          <w:kern w:val="2"/>
          <w:sz w:val="21"/>
          <w:szCs w:val="24"/>
          <w:lang w:val="en-US" w:eastAsia="zh-CN" w:bidi="ar-SA"/>
        </w:rPr>
        <w:t>和第十</w:t>
      </w:r>
      <w:r>
        <w:rPr>
          <w:rFonts w:hint="eastAsia" w:ascii="宋体" w:hAnsi="宋体" w:cstheme="minorBidi"/>
          <w:kern w:val="2"/>
          <w:sz w:val="21"/>
          <w:szCs w:val="24"/>
          <w:lang w:val="en-US" w:eastAsia="zh-CN" w:bidi="ar-SA"/>
        </w:rPr>
        <w:t>九</w:t>
      </w:r>
      <w:r>
        <w:rPr>
          <w:rFonts w:hint="eastAsia" w:ascii="宋体" w:hAnsi="宋体" w:eastAsiaTheme="minorEastAsia" w:cstheme="minorBidi"/>
          <w:kern w:val="2"/>
          <w:sz w:val="21"/>
          <w:szCs w:val="24"/>
          <w:lang w:val="en-US" w:eastAsia="zh-CN" w:bidi="ar-SA"/>
        </w:rPr>
        <w:t>）；</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谈判文件</w:t>
      </w:r>
      <w:r>
        <w:rPr>
          <w:rFonts w:hint="eastAsia" w:ascii="宋体" w:hAnsi="宋体" w:eastAsiaTheme="minorEastAsia" w:cstheme="minorBidi"/>
          <w:kern w:val="2"/>
          <w:sz w:val="21"/>
          <w:szCs w:val="24"/>
          <w:lang w:val="en-US" w:eastAsia="zh-CN" w:bidi="ar-SA"/>
        </w:rPr>
        <w:t>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二</w:t>
      </w:r>
      <w:r>
        <w:rPr>
          <w:rFonts w:hint="eastAsia" w:ascii="宋体" w:hAnsi="宋体" w:eastAsiaTheme="minorEastAsia" w:cstheme="minorBidi"/>
          <w:kern w:val="2"/>
          <w:sz w:val="21"/>
          <w:szCs w:val="24"/>
          <w:lang w:val="en-US" w:eastAsia="zh-CN" w:bidi="ar-SA"/>
        </w:rPr>
        <w:t>和第十</w:t>
      </w:r>
      <w:r>
        <w:rPr>
          <w:rFonts w:hint="eastAsia" w:ascii="宋体" w:hAnsi="宋体" w:cstheme="minorBidi"/>
          <w:kern w:val="2"/>
          <w:sz w:val="21"/>
          <w:szCs w:val="24"/>
          <w:lang w:val="en-US" w:eastAsia="zh-CN" w:bidi="ar-SA"/>
        </w:rPr>
        <w:t>九</w:t>
      </w:r>
      <w:r>
        <w:rPr>
          <w:rFonts w:hint="eastAsia" w:ascii="宋体" w:hAnsi="宋体" w:eastAsiaTheme="minorEastAsia" w:cstheme="minorBidi"/>
          <w:kern w:val="2"/>
          <w:sz w:val="21"/>
          <w:szCs w:val="24"/>
          <w:lang w:val="en-US" w:eastAsia="zh-CN" w:bidi="ar-SA"/>
        </w:rPr>
        <w:t>）；</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谈判文件</w:t>
      </w:r>
      <w:r>
        <w:rPr>
          <w:rFonts w:hint="eastAsia" w:ascii="宋体" w:hAnsi="宋体" w:eastAsiaTheme="minorEastAsia" w:cstheme="minorBidi"/>
          <w:kern w:val="2"/>
          <w:sz w:val="21"/>
          <w:szCs w:val="24"/>
          <w:lang w:val="en-US" w:eastAsia="zh-CN" w:bidi="ar-SA"/>
        </w:rPr>
        <w:t>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二</w:t>
      </w:r>
      <w:r>
        <w:rPr>
          <w:rFonts w:hint="eastAsia" w:ascii="宋体" w:hAnsi="宋体" w:eastAsiaTheme="minorEastAsia" w:cstheme="minorBidi"/>
          <w:kern w:val="2"/>
          <w:sz w:val="21"/>
          <w:szCs w:val="24"/>
          <w:lang w:val="en-US" w:eastAsia="zh-CN" w:bidi="ar-SA"/>
        </w:rPr>
        <w:t>和第十</w:t>
      </w:r>
      <w:r>
        <w:rPr>
          <w:rFonts w:hint="eastAsia" w:ascii="宋体" w:hAnsi="宋体" w:cstheme="minorBidi"/>
          <w:kern w:val="2"/>
          <w:sz w:val="21"/>
          <w:szCs w:val="24"/>
          <w:lang w:val="en-US" w:eastAsia="zh-CN" w:bidi="ar-SA"/>
        </w:rPr>
        <w:t>九</w:t>
      </w:r>
      <w:r>
        <w:rPr>
          <w:rFonts w:hint="eastAsia" w:ascii="宋体" w:hAnsi="宋体" w:eastAsiaTheme="minorEastAsia" w:cstheme="minorBidi"/>
          <w:kern w:val="2"/>
          <w:sz w:val="21"/>
          <w:szCs w:val="24"/>
          <w:lang w:val="en-US" w:eastAsia="zh-CN" w:bidi="ar-SA"/>
        </w:rPr>
        <w:t>）；</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谈判文件</w:t>
      </w:r>
      <w:r>
        <w:rPr>
          <w:rFonts w:hint="eastAsia" w:ascii="宋体" w:hAnsi="宋体" w:eastAsiaTheme="minorEastAsia" w:cstheme="minorBidi"/>
          <w:kern w:val="2"/>
          <w:sz w:val="21"/>
          <w:szCs w:val="24"/>
          <w:lang w:val="en-US" w:eastAsia="zh-CN" w:bidi="ar-SA"/>
        </w:rPr>
        <w:t>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二</w:t>
      </w:r>
      <w:r>
        <w:rPr>
          <w:rFonts w:hint="eastAsia" w:ascii="宋体" w:hAnsi="宋体" w:eastAsiaTheme="minorEastAsia" w:cstheme="minorBidi"/>
          <w:kern w:val="2"/>
          <w:sz w:val="21"/>
          <w:szCs w:val="24"/>
          <w:lang w:val="en-US" w:eastAsia="zh-CN" w:bidi="ar-SA"/>
        </w:rPr>
        <w:t>和第十</w:t>
      </w:r>
      <w:r>
        <w:rPr>
          <w:rFonts w:hint="eastAsia" w:ascii="宋体" w:hAnsi="宋体" w:cstheme="minorBidi"/>
          <w:kern w:val="2"/>
          <w:sz w:val="21"/>
          <w:szCs w:val="24"/>
          <w:lang w:val="en-US" w:eastAsia="zh-CN" w:bidi="ar-SA"/>
        </w:rPr>
        <w:t>九</w:t>
      </w:r>
      <w:r>
        <w:rPr>
          <w:rFonts w:hint="eastAsia" w:ascii="宋体" w:hAnsi="宋体" w:eastAsiaTheme="minorEastAsia" w:cstheme="minorBidi"/>
          <w:kern w:val="2"/>
          <w:sz w:val="21"/>
          <w:szCs w:val="24"/>
          <w:lang w:val="en-US" w:eastAsia="zh-CN" w:bidi="ar-SA"/>
        </w:rPr>
        <w:t>）；</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3"/>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77EE1078">
      <w:pPr>
        <w:numPr>
          <w:ilvl w:val="0"/>
          <w:numId w:val="4"/>
        </w:numPr>
        <w:spacing w:line="360" w:lineRule="auto"/>
        <w:ind w:firstLine="420" w:firstLineChars="200"/>
        <w:outlineLvl w:val="9"/>
        <w:rPr>
          <w:rFonts w:hint="eastAsia" w:ascii="宋体" w:hAnsi="宋体" w:eastAsiaTheme="minorEastAsia" w:cstheme="minorBidi"/>
          <w:bCs/>
          <w:kern w:val="2"/>
          <w:sz w:val="21"/>
          <w:szCs w:val="24"/>
          <w:lang w:val="en-US" w:eastAsia="zh-CN" w:bidi="ar-SA"/>
        </w:rPr>
      </w:pPr>
      <w:r>
        <w:rPr>
          <w:rFonts w:hint="eastAsia" w:ascii="宋体" w:hAnsi="宋体"/>
          <w:lang w:val="en-US" w:eastAsia="zh-CN"/>
        </w:rPr>
        <w:t>相关招投标时间及地点信息</w:t>
      </w:r>
    </w:p>
    <w:p w14:paraId="71B33D27">
      <w:pPr>
        <w:numPr>
          <w:ilvl w:val="0"/>
          <w:numId w:val="0"/>
        </w:numPr>
        <w:spacing w:line="360" w:lineRule="auto"/>
        <w:ind w:firstLine="420" w:firstLineChars="200"/>
        <w:outlineLvl w:val="9"/>
        <w:rPr>
          <w:rFonts w:hint="eastAsia" w:ascii="宋体" w:hAnsi="宋体" w:eastAsiaTheme="minorEastAsia" w:cstheme="minorBidi"/>
          <w:bCs/>
          <w:kern w:val="2"/>
          <w:sz w:val="21"/>
          <w:szCs w:val="24"/>
          <w:lang w:val="en-US" w:eastAsia="zh-CN" w:bidi="ar-SA"/>
        </w:rPr>
      </w:pPr>
      <w:r>
        <w:rPr>
          <w:rFonts w:hint="eastAsia" w:ascii="宋体" w:hAnsi="宋体" w:eastAsiaTheme="minorEastAsia" w:cstheme="minorBidi"/>
          <w:bCs/>
          <w:kern w:val="2"/>
          <w:sz w:val="21"/>
          <w:szCs w:val="24"/>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shd w:val="clear" w:fill="FFFFFF"/>
          <w:lang w:val="en-US" w:eastAsia="zh-CN" w:bidi="ar"/>
          <w14:textFill>
            <w14:solidFill>
              <w14:schemeClr w14:val="tx1"/>
            </w14:solidFill>
          </w14:textFill>
        </w:rPr>
        <w:t>报名时间：2025年12月11日8时00分至2025年12月15日17时00分止。</w:t>
      </w:r>
    </w:p>
    <w:p w14:paraId="17D4E8FF">
      <w:pPr>
        <w:spacing w:line="360" w:lineRule="auto"/>
        <w:ind w:firstLine="420" w:firstLineChars="200"/>
        <w:rPr>
          <w:rFonts w:ascii="宋体" w:hAnsi="宋体"/>
          <w:bCs/>
        </w:rPr>
      </w:pPr>
      <w:r>
        <w:rPr>
          <w:rFonts w:hint="eastAsia" w:ascii="宋体" w:hAnsi="宋体"/>
          <w:bCs/>
          <w:lang w:val="en-US" w:eastAsia="zh-CN"/>
        </w:rPr>
        <w:t>2</w:t>
      </w:r>
      <w:r>
        <w:rPr>
          <w:rFonts w:hint="eastAsia" w:ascii="宋体" w:hAnsi="宋体"/>
          <w:bCs/>
        </w:rPr>
        <w:t>、投标文件递交时间：</w:t>
      </w:r>
      <w:r>
        <w:rPr>
          <w:rFonts w:hint="eastAsia" w:ascii="宋体" w:hAnsi="宋体"/>
        </w:rPr>
        <w:t>2025年</w:t>
      </w:r>
      <w:r>
        <w:rPr>
          <w:rFonts w:hint="eastAsia" w:ascii="宋体" w:hAnsi="宋体"/>
          <w:lang w:val="en-US" w:eastAsia="zh-CN"/>
        </w:rPr>
        <w:t>12</w:t>
      </w:r>
      <w:r>
        <w:rPr>
          <w:rFonts w:hint="eastAsia" w:ascii="宋体" w:hAnsi="宋体"/>
        </w:rPr>
        <w:t>月</w:t>
      </w:r>
      <w:r>
        <w:rPr>
          <w:rFonts w:hint="eastAsia" w:ascii="宋体" w:hAnsi="宋体"/>
          <w:lang w:val="en-US" w:eastAsia="zh-CN"/>
        </w:rPr>
        <w:t>17</w:t>
      </w:r>
      <w:r>
        <w:rPr>
          <w:rFonts w:hint="eastAsia" w:ascii="宋体" w:hAnsi="宋体"/>
        </w:rPr>
        <w:t>日</w:t>
      </w:r>
      <w:r>
        <w:rPr>
          <w:rFonts w:hint="eastAsia" w:ascii="宋体" w:hAnsi="宋体"/>
          <w:bCs/>
        </w:rPr>
        <w:t>14:00至14:30（北京时间）；</w:t>
      </w:r>
    </w:p>
    <w:p w14:paraId="78BAA079">
      <w:pPr>
        <w:spacing w:line="360" w:lineRule="auto"/>
        <w:ind w:firstLine="420" w:firstLineChars="200"/>
        <w:rPr>
          <w:rFonts w:hint="default" w:ascii="宋体" w:hAnsi="宋体"/>
          <w:bCs/>
          <w:lang w:val="en-US"/>
        </w:rPr>
      </w:pPr>
      <w:r>
        <w:rPr>
          <w:rFonts w:hint="eastAsia" w:ascii="宋体" w:hAnsi="宋体"/>
          <w:bCs/>
          <w:lang w:val="en-US" w:eastAsia="zh-CN"/>
        </w:rPr>
        <w:t>3</w:t>
      </w:r>
      <w:r>
        <w:rPr>
          <w:rFonts w:hint="eastAsia" w:ascii="宋体" w:hAnsi="宋体"/>
          <w:bCs/>
        </w:rPr>
        <w:t>、投标文件递交地点：</w:t>
      </w:r>
      <w:r>
        <w:rPr>
          <w:rFonts w:hint="eastAsia" w:ascii="宋体"/>
          <w:bCs/>
          <w:color w:val="auto"/>
          <w:szCs w:val="20"/>
          <w:highlight w:val="none"/>
          <w:lang w:val="en-US" w:eastAsia="zh-CN"/>
        </w:rPr>
        <w:t>深圳市福田区梅林街道中康路27号综合楼A栋501室</w:t>
      </w:r>
    </w:p>
    <w:p w14:paraId="482C806E">
      <w:pPr>
        <w:spacing w:line="360" w:lineRule="auto"/>
        <w:ind w:firstLine="420" w:firstLineChars="200"/>
        <w:rPr>
          <w:rFonts w:ascii="宋体" w:hAnsi="宋体"/>
          <w:bCs/>
        </w:rPr>
      </w:pPr>
      <w:r>
        <w:rPr>
          <w:rFonts w:hint="eastAsia" w:ascii="宋体" w:hAnsi="宋体"/>
          <w:bCs/>
          <w:lang w:val="en-US" w:eastAsia="zh-CN"/>
        </w:rPr>
        <w:t>4</w:t>
      </w:r>
      <w:r>
        <w:rPr>
          <w:rFonts w:hint="eastAsia" w:ascii="宋体" w:hAnsi="宋体"/>
          <w:bCs/>
        </w:rPr>
        <w:t>、递交投标文件截止时间：</w:t>
      </w:r>
      <w:r>
        <w:rPr>
          <w:rFonts w:hint="eastAsia" w:ascii="宋体" w:hAnsi="宋体"/>
        </w:rPr>
        <w:t>2025年</w:t>
      </w:r>
      <w:r>
        <w:rPr>
          <w:rFonts w:hint="eastAsia" w:ascii="宋体" w:hAnsi="宋体"/>
          <w:lang w:val="en-US" w:eastAsia="zh-CN"/>
        </w:rPr>
        <w:t>12</w:t>
      </w:r>
      <w:r>
        <w:rPr>
          <w:rFonts w:hint="eastAsia" w:ascii="宋体" w:hAnsi="宋体"/>
        </w:rPr>
        <w:t>月</w:t>
      </w:r>
      <w:r>
        <w:rPr>
          <w:rFonts w:hint="eastAsia" w:ascii="宋体" w:hAnsi="宋体"/>
          <w:lang w:val="en-US" w:eastAsia="zh-CN"/>
        </w:rPr>
        <w:t>17</w:t>
      </w:r>
      <w:r>
        <w:rPr>
          <w:rFonts w:hint="eastAsia" w:ascii="宋体" w:hAnsi="宋体"/>
        </w:rPr>
        <w:t>日</w:t>
      </w:r>
      <w:r>
        <w:rPr>
          <w:rFonts w:hint="eastAsia" w:ascii="宋体" w:hAnsi="宋体"/>
          <w:bCs/>
        </w:rPr>
        <w:t>14:30（北京时间）</w:t>
      </w:r>
      <w:r>
        <w:rPr>
          <w:rFonts w:hint="eastAsia" w:ascii="宋体" w:hAnsi="宋体"/>
          <w:bCs/>
          <w:lang w:eastAsia="zh-CN"/>
        </w:rPr>
        <w:t>，</w:t>
      </w:r>
      <w:r>
        <w:rPr>
          <w:rFonts w:hint="eastAsia" w:ascii="宋体" w:hAnsi="宋体"/>
          <w:bCs/>
        </w:rPr>
        <w:t>所有投标文件应于投标截止时间之前递交，迟交的投标文件将拒绝接收；</w:t>
      </w:r>
    </w:p>
    <w:p w14:paraId="6367366C">
      <w:pPr>
        <w:spacing w:line="360" w:lineRule="auto"/>
        <w:ind w:firstLine="420" w:firstLineChars="200"/>
        <w:rPr>
          <w:rFonts w:ascii="宋体" w:hAnsi="宋体"/>
          <w:bCs/>
        </w:rPr>
      </w:pPr>
      <w:r>
        <w:rPr>
          <w:rFonts w:hint="eastAsia" w:ascii="宋体" w:hAnsi="宋体"/>
          <w:bCs/>
          <w:lang w:val="en-US" w:eastAsia="zh-CN"/>
        </w:rPr>
        <w:t>5</w:t>
      </w:r>
      <w:r>
        <w:rPr>
          <w:rFonts w:hint="eastAsia" w:ascii="宋体" w:hAnsi="宋体"/>
          <w:bCs/>
        </w:rPr>
        <w:t>、开标时间：</w:t>
      </w:r>
      <w:r>
        <w:rPr>
          <w:rFonts w:hint="eastAsia" w:ascii="宋体" w:hAnsi="宋体"/>
        </w:rPr>
        <w:t>2025年</w:t>
      </w:r>
      <w:r>
        <w:rPr>
          <w:rFonts w:hint="eastAsia" w:ascii="宋体" w:hAnsi="宋体"/>
          <w:lang w:val="en-US" w:eastAsia="zh-CN"/>
        </w:rPr>
        <w:t>12</w:t>
      </w:r>
      <w:r>
        <w:rPr>
          <w:rFonts w:hint="eastAsia" w:ascii="宋体" w:hAnsi="宋体"/>
        </w:rPr>
        <w:t>月</w:t>
      </w:r>
      <w:r>
        <w:rPr>
          <w:rFonts w:hint="eastAsia" w:ascii="宋体" w:hAnsi="宋体"/>
          <w:lang w:val="en-US" w:eastAsia="zh-CN"/>
        </w:rPr>
        <w:t>17</w:t>
      </w:r>
      <w:r>
        <w:rPr>
          <w:rFonts w:hint="eastAsia" w:ascii="宋体" w:hAnsi="宋体"/>
        </w:rPr>
        <w:t>日</w:t>
      </w:r>
      <w:r>
        <w:rPr>
          <w:rFonts w:hint="eastAsia" w:ascii="宋体" w:hAnsi="宋体"/>
          <w:bCs/>
        </w:rPr>
        <w:t>14:30（北京时间）</w:t>
      </w:r>
    </w:p>
    <w:p w14:paraId="5F335419">
      <w:pPr>
        <w:spacing w:line="360" w:lineRule="auto"/>
        <w:ind w:firstLine="420" w:firstLineChars="200"/>
        <w:rPr>
          <w:rFonts w:ascii="宋体" w:hAnsi="宋体"/>
          <w:bCs/>
        </w:rPr>
      </w:pPr>
      <w:r>
        <w:rPr>
          <w:rFonts w:hint="eastAsia" w:ascii="宋体" w:hAnsi="宋体"/>
          <w:bCs/>
          <w:lang w:val="en-US" w:eastAsia="zh-CN"/>
        </w:rPr>
        <w:t>6</w:t>
      </w:r>
      <w:r>
        <w:rPr>
          <w:rFonts w:hint="eastAsia" w:ascii="宋体" w:hAnsi="宋体"/>
          <w:bCs/>
        </w:rPr>
        <w:t>、开标地点：</w:t>
      </w:r>
      <w:r>
        <w:rPr>
          <w:rFonts w:hint="eastAsia" w:ascii="宋体"/>
          <w:bCs/>
          <w:color w:val="auto"/>
          <w:szCs w:val="20"/>
          <w:highlight w:val="none"/>
          <w:lang w:val="en-US" w:eastAsia="zh-CN"/>
        </w:rPr>
        <w:t>深圳市福田区梅林街道中康路27号综合楼A栋501室</w:t>
      </w:r>
    </w:p>
    <w:p w14:paraId="0FBAB5B0">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9"/>
        <w:rPr>
          <w:rFonts w:ascii="宋体" w:hAnsi="宋体"/>
          <w:b/>
        </w:rPr>
      </w:pPr>
      <w:r>
        <w:rPr>
          <w:rFonts w:hint="eastAsia" w:ascii="宋体" w:hAnsi="宋体"/>
          <w:lang w:val="en-US" w:eastAsia="zh-CN"/>
        </w:rPr>
        <w:t>四</w:t>
      </w:r>
      <w:r>
        <w:rPr>
          <w:rFonts w:hint="eastAsia" w:ascii="宋体" w:hAnsi="宋体"/>
        </w:rPr>
        <w:t>、公告期限</w:t>
      </w:r>
    </w:p>
    <w:p w14:paraId="790F53A0">
      <w:pPr>
        <w:spacing w:line="360" w:lineRule="auto"/>
        <w:ind w:firstLine="420" w:firstLineChars="200"/>
        <w:rPr>
          <w:rFonts w:hint="eastAsia" w:ascii="宋体" w:hAnsi="宋体"/>
          <w:kern w:val="0"/>
        </w:rPr>
      </w:pPr>
      <w:r>
        <w:rPr>
          <w:rFonts w:hint="eastAsia" w:ascii="宋体" w:hAnsi="宋体"/>
          <w:kern w:val="0"/>
        </w:rPr>
        <w:t>自本公告发布之日起5日。</w:t>
      </w:r>
    </w:p>
    <w:p w14:paraId="783EA265">
      <w:pPr>
        <w:pStyle w:val="30"/>
        <w:rPr>
          <w:rFonts w:hint="eastAsia"/>
          <w:lang w:val="en-US" w:eastAsia="zh-CN"/>
        </w:rPr>
      </w:pPr>
    </w:p>
    <w:p w14:paraId="0972B18F">
      <w:pPr>
        <w:numPr>
          <w:ilvl w:val="0"/>
          <w:numId w:val="5"/>
        </w:numPr>
        <w:spacing w:line="360" w:lineRule="auto"/>
        <w:ind w:firstLine="420" w:firstLineChars="200"/>
        <w:outlineLvl w:val="9"/>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6212F695">
      <w:pPr>
        <w:pStyle w:val="30"/>
        <w:rPr>
          <w:rFonts w:hint="default"/>
          <w:lang w:val="en-US" w:eastAsia="zh-CN"/>
        </w:rPr>
      </w:pPr>
    </w:p>
    <w:p w14:paraId="4F2DF4E0">
      <w:pPr>
        <w:numPr>
          <w:ilvl w:val="0"/>
          <w:numId w:val="5"/>
        </w:numPr>
        <w:spacing w:line="360" w:lineRule="auto"/>
        <w:ind w:firstLine="420" w:firstLineChars="200"/>
        <w:outlineLvl w:val="9"/>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6A64976">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2、投标人有义务在招标活动期间浏览深圳市福田区第二人民医院网站（https://www.ft2yy.cn/）。相关公告在上述媒体上公布之日即视为有效送达，不再另行通知。</w:t>
      </w:r>
    </w:p>
    <w:p w14:paraId="14DB6B97">
      <w:pPr>
        <w:pStyle w:val="30"/>
        <w:rPr>
          <w:rFonts w:hint="eastAsia"/>
          <w:lang w:val="en-US" w:eastAsia="zh-CN"/>
        </w:rPr>
      </w:pPr>
    </w:p>
    <w:p w14:paraId="3019BE1D">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七、对本次招标提出询问，请按以下方式联系。</w:t>
      </w:r>
    </w:p>
    <w:p w14:paraId="4F679AC3">
      <w:pPr>
        <w:numPr>
          <w:ilvl w:val="0"/>
          <w:numId w:val="0"/>
        </w:numPr>
        <w:spacing w:line="360" w:lineRule="auto"/>
        <w:ind w:firstLine="420" w:firstLineChars="200"/>
        <w:rPr>
          <w:rFonts w:hint="default" w:ascii="宋体" w:hAnsi="宋体"/>
          <w:lang w:val="en-US" w:eastAsia="zh-CN"/>
        </w:rPr>
      </w:pPr>
      <w:r>
        <w:rPr>
          <w:rFonts w:hint="eastAsia" w:ascii="宋体" w:hAnsi="宋体"/>
          <w:lang w:val="en-US" w:eastAsia="zh-CN"/>
        </w:rPr>
        <w:t>医学装备部联系人：曾老师 0755-83116181</w:t>
      </w:r>
    </w:p>
    <w:p w14:paraId="4B886C7A">
      <w:pPr>
        <w:numPr>
          <w:ilvl w:val="0"/>
          <w:numId w:val="0"/>
        </w:numPr>
        <w:spacing w:line="360" w:lineRule="auto"/>
        <w:ind w:firstLine="420" w:firstLineChars="200"/>
        <w:rPr>
          <w:rFonts w:ascii="宋体" w:hAnsi="宋体"/>
          <w:szCs w:val="21"/>
          <w:u w:val="single"/>
        </w:rPr>
      </w:pPr>
      <w:r>
        <w:rPr>
          <w:rFonts w:hint="eastAsia" w:ascii="宋体" w:hAnsi="宋体"/>
          <w:lang w:val="en-US" w:eastAsia="zh-CN"/>
        </w:rPr>
        <w:t>招标采购办联系人：吴老师 0755-83279817</w:t>
      </w: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1B01E0D4">
      <w:pPr>
        <w:spacing w:line="400" w:lineRule="exact"/>
        <w:ind w:firstLine="420" w:firstLineChars="200"/>
        <w:jc w:val="right"/>
        <w:rPr>
          <w:rFonts w:hint="eastAsia" w:ascii="宋体" w:hAnsi="宋体"/>
        </w:rPr>
      </w:pPr>
      <w:r>
        <w:rPr>
          <w:rFonts w:hint="eastAsia" w:ascii="宋体" w:hAnsi="宋体"/>
        </w:rPr>
        <w:t>2025年</w:t>
      </w:r>
      <w:r>
        <w:rPr>
          <w:rFonts w:hint="eastAsia" w:ascii="宋体" w:hAnsi="宋体"/>
          <w:lang w:val="en-US" w:eastAsia="zh-CN"/>
        </w:rPr>
        <w:t>12</w:t>
      </w:r>
      <w:r>
        <w:rPr>
          <w:rFonts w:hint="eastAsia" w:ascii="宋体" w:hAnsi="宋体"/>
        </w:rPr>
        <w:t>月</w:t>
      </w:r>
      <w:r>
        <w:rPr>
          <w:rFonts w:hint="eastAsia" w:ascii="宋体" w:hAnsi="宋体"/>
          <w:lang w:val="en-US" w:eastAsia="zh-CN"/>
        </w:rPr>
        <w:t>10</w:t>
      </w:r>
      <w:r>
        <w:rPr>
          <w:rFonts w:hint="eastAsia" w:ascii="宋体" w:hAnsi="宋体"/>
        </w:rPr>
        <w:t>日</w:t>
      </w:r>
      <w:bookmarkEnd w:id="3"/>
      <w:bookmarkEnd w:id="4"/>
      <w:bookmarkEnd w:id="5"/>
    </w:p>
    <w:p w14:paraId="7F2E5E0A">
      <w:pPr>
        <w:spacing w:line="400" w:lineRule="exact"/>
        <w:ind w:firstLine="420" w:firstLineChars="200"/>
        <w:jc w:val="right"/>
        <w:rPr>
          <w:rFonts w:hint="eastAsia" w:ascii="宋体" w:hAnsi="宋体"/>
        </w:rPr>
      </w:pPr>
    </w:p>
    <w:p w14:paraId="28FE820D">
      <w:pPr>
        <w:spacing w:line="400" w:lineRule="exact"/>
        <w:ind w:firstLine="420" w:firstLineChars="200"/>
        <w:jc w:val="right"/>
        <w:rPr>
          <w:rFonts w:hint="eastAsia" w:ascii="宋体" w:hAnsi="宋体"/>
        </w:rPr>
      </w:pPr>
    </w:p>
    <w:p w14:paraId="7B98A2E6">
      <w:pPr>
        <w:spacing w:line="400" w:lineRule="exact"/>
        <w:ind w:firstLine="420" w:firstLineChars="200"/>
        <w:jc w:val="right"/>
        <w:rPr>
          <w:rFonts w:hint="eastAsia" w:ascii="宋体" w:hAnsi="宋体"/>
        </w:rPr>
      </w:pPr>
    </w:p>
    <w:p w14:paraId="01C5B294">
      <w:pPr>
        <w:spacing w:line="400" w:lineRule="exact"/>
        <w:ind w:firstLine="420" w:firstLineChars="200"/>
        <w:jc w:val="right"/>
        <w:rPr>
          <w:rFonts w:hint="eastAsia" w:ascii="宋体" w:hAnsi="宋体"/>
        </w:rPr>
      </w:pPr>
    </w:p>
    <w:p w14:paraId="6F0686E3">
      <w:pPr>
        <w:spacing w:line="400" w:lineRule="exact"/>
        <w:ind w:firstLine="420" w:firstLineChars="200"/>
        <w:jc w:val="right"/>
        <w:rPr>
          <w:rFonts w:hint="eastAsia" w:ascii="宋体" w:hAnsi="宋体"/>
        </w:rPr>
      </w:pPr>
    </w:p>
    <w:p w14:paraId="671D8BDE">
      <w:pPr>
        <w:spacing w:line="400" w:lineRule="exact"/>
        <w:ind w:firstLine="420" w:firstLineChars="200"/>
        <w:jc w:val="right"/>
        <w:rPr>
          <w:rFonts w:hint="eastAsia" w:ascii="宋体" w:hAnsi="宋体"/>
        </w:rPr>
      </w:pPr>
    </w:p>
    <w:p w14:paraId="710B0E0D">
      <w:pPr>
        <w:spacing w:line="400" w:lineRule="exact"/>
        <w:ind w:firstLine="420" w:firstLineChars="200"/>
        <w:jc w:val="right"/>
        <w:rPr>
          <w:rFonts w:hint="eastAsia" w:ascii="宋体" w:hAnsi="宋体"/>
        </w:rPr>
      </w:pPr>
    </w:p>
    <w:p w14:paraId="693233D9">
      <w:pPr>
        <w:spacing w:line="400" w:lineRule="exact"/>
        <w:ind w:firstLine="420" w:firstLineChars="200"/>
        <w:jc w:val="right"/>
        <w:rPr>
          <w:rFonts w:hint="eastAsia" w:ascii="宋体" w:hAnsi="宋体"/>
        </w:rPr>
      </w:pPr>
    </w:p>
    <w:p w14:paraId="367A490C">
      <w:pPr>
        <w:spacing w:line="400" w:lineRule="exact"/>
        <w:ind w:firstLine="420" w:firstLineChars="200"/>
        <w:jc w:val="right"/>
        <w:rPr>
          <w:rFonts w:hint="eastAsia" w:ascii="宋体" w:hAnsi="宋体"/>
        </w:rPr>
      </w:pPr>
    </w:p>
    <w:p w14:paraId="151F1BBB">
      <w:pPr>
        <w:spacing w:line="400" w:lineRule="exact"/>
        <w:ind w:firstLine="420" w:firstLineChars="200"/>
        <w:jc w:val="right"/>
        <w:rPr>
          <w:rFonts w:hint="eastAsia" w:ascii="宋体" w:hAnsi="宋体"/>
        </w:rPr>
      </w:pPr>
    </w:p>
    <w:p w14:paraId="42C4CFAE">
      <w:pPr>
        <w:spacing w:line="400" w:lineRule="exact"/>
        <w:ind w:firstLine="420" w:firstLineChars="200"/>
        <w:jc w:val="right"/>
        <w:rPr>
          <w:rFonts w:hint="eastAsia" w:ascii="宋体" w:hAnsi="宋体"/>
        </w:rPr>
      </w:pPr>
    </w:p>
    <w:p w14:paraId="540771E4">
      <w:pPr>
        <w:spacing w:line="400" w:lineRule="exact"/>
        <w:ind w:firstLine="420" w:firstLineChars="200"/>
        <w:jc w:val="right"/>
        <w:rPr>
          <w:rFonts w:hint="eastAsia" w:ascii="宋体" w:hAnsi="宋体"/>
        </w:rPr>
      </w:pPr>
    </w:p>
    <w:p w14:paraId="2B430713">
      <w:pPr>
        <w:spacing w:line="400" w:lineRule="exact"/>
        <w:ind w:firstLine="420" w:firstLineChars="200"/>
        <w:jc w:val="right"/>
        <w:rPr>
          <w:rFonts w:hint="eastAsia" w:ascii="宋体" w:hAnsi="宋体"/>
        </w:rPr>
      </w:pPr>
    </w:p>
    <w:p w14:paraId="38F91C62">
      <w:pPr>
        <w:spacing w:line="400" w:lineRule="exact"/>
        <w:ind w:firstLine="420" w:firstLineChars="200"/>
        <w:jc w:val="right"/>
        <w:rPr>
          <w:rFonts w:hint="eastAsia" w:ascii="宋体" w:hAnsi="宋体"/>
        </w:rPr>
      </w:pPr>
    </w:p>
    <w:p w14:paraId="6AEC6D12">
      <w:pPr>
        <w:spacing w:line="400" w:lineRule="exact"/>
        <w:ind w:firstLine="420" w:firstLineChars="200"/>
        <w:jc w:val="right"/>
        <w:rPr>
          <w:rFonts w:hint="eastAsia" w:ascii="宋体" w:hAnsi="宋体"/>
        </w:rPr>
      </w:pPr>
    </w:p>
    <w:p w14:paraId="74716F70">
      <w:pPr>
        <w:spacing w:line="400" w:lineRule="exact"/>
        <w:ind w:firstLine="420" w:firstLineChars="200"/>
        <w:jc w:val="right"/>
        <w:rPr>
          <w:rFonts w:hint="eastAsia" w:ascii="宋体" w:hAnsi="宋体"/>
        </w:rPr>
      </w:pPr>
    </w:p>
    <w:p w14:paraId="1E5909DF">
      <w:pPr>
        <w:spacing w:line="400" w:lineRule="exact"/>
        <w:ind w:firstLine="420" w:firstLineChars="200"/>
        <w:jc w:val="right"/>
        <w:rPr>
          <w:rFonts w:hint="eastAsia" w:ascii="宋体" w:hAnsi="宋体"/>
        </w:rPr>
      </w:pPr>
    </w:p>
    <w:p w14:paraId="52A61FB5">
      <w:pPr>
        <w:spacing w:line="400" w:lineRule="exact"/>
        <w:ind w:firstLine="420" w:firstLineChars="200"/>
        <w:jc w:val="right"/>
        <w:rPr>
          <w:rFonts w:hint="eastAsia" w:ascii="宋体" w:hAnsi="宋体"/>
        </w:rPr>
      </w:pPr>
    </w:p>
    <w:p w14:paraId="53A61936">
      <w:pPr>
        <w:spacing w:line="400" w:lineRule="exact"/>
        <w:ind w:firstLine="420" w:firstLineChars="200"/>
        <w:jc w:val="right"/>
        <w:rPr>
          <w:rFonts w:hint="eastAsia" w:ascii="宋体" w:hAnsi="宋体"/>
        </w:rPr>
      </w:pPr>
    </w:p>
    <w:p w14:paraId="55CF4BA6">
      <w:pPr>
        <w:spacing w:line="400" w:lineRule="exact"/>
        <w:ind w:firstLine="420" w:firstLineChars="200"/>
        <w:jc w:val="right"/>
        <w:rPr>
          <w:rFonts w:hint="eastAsia" w:ascii="宋体" w:hAnsi="宋体"/>
        </w:rPr>
      </w:pPr>
    </w:p>
    <w:p w14:paraId="17F11F84">
      <w:pPr>
        <w:spacing w:line="400" w:lineRule="exact"/>
        <w:ind w:firstLine="420" w:firstLineChars="200"/>
        <w:jc w:val="right"/>
        <w:rPr>
          <w:rFonts w:hint="eastAsia" w:ascii="宋体" w:hAnsi="宋体"/>
        </w:rPr>
      </w:pPr>
    </w:p>
    <w:p w14:paraId="5898B3B2">
      <w:pPr>
        <w:spacing w:line="400" w:lineRule="exact"/>
        <w:ind w:firstLine="420" w:firstLineChars="200"/>
        <w:jc w:val="right"/>
        <w:rPr>
          <w:rFonts w:hint="eastAsia" w:ascii="宋体" w:hAnsi="宋体"/>
        </w:rPr>
      </w:pPr>
    </w:p>
    <w:p w14:paraId="59771B28">
      <w:pPr>
        <w:spacing w:line="400" w:lineRule="exact"/>
        <w:ind w:firstLine="420" w:firstLineChars="200"/>
        <w:jc w:val="right"/>
        <w:rPr>
          <w:rFonts w:hint="eastAsia" w:ascii="宋体" w:hAnsi="宋体"/>
        </w:rPr>
      </w:pPr>
    </w:p>
    <w:p w14:paraId="7BB6A93D">
      <w:pPr>
        <w:spacing w:line="400" w:lineRule="exact"/>
        <w:ind w:firstLine="420" w:firstLineChars="200"/>
        <w:jc w:val="right"/>
        <w:rPr>
          <w:rFonts w:hint="eastAsia" w:ascii="宋体" w:hAnsi="宋体"/>
        </w:rPr>
      </w:pPr>
    </w:p>
    <w:p w14:paraId="01B536D1">
      <w:pPr>
        <w:spacing w:line="400" w:lineRule="exact"/>
        <w:ind w:firstLine="420" w:firstLineChars="200"/>
        <w:jc w:val="right"/>
        <w:rPr>
          <w:rFonts w:hint="eastAsia" w:ascii="宋体" w:hAnsi="宋体"/>
        </w:rPr>
      </w:pPr>
    </w:p>
    <w:p w14:paraId="5B60410A">
      <w:pPr>
        <w:spacing w:line="400" w:lineRule="exact"/>
        <w:ind w:firstLine="420" w:firstLineChars="200"/>
        <w:jc w:val="right"/>
        <w:rPr>
          <w:rFonts w:hint="eastAsia" w:ascii="宋体" w:hAnsi="宋体"/>
        </w:rPr>
      </w:pPr>
    </w:p>
    <w:p w14:paraId="22694E02">
      <w:pPr>
        <w:spacing w:line="400" w:lineRule="exact"/>
        <w:ind w:firstLine="420" w:firstLineChars="200"/>
        <w:jc w:val="right"/>
        <w:rPr>
          <w:rFonts w:hint="eastAsia" w:ascii="宋体" w:hAnsi="宋体"/>
        </w:rPr>
      </w:pPr>
    </w:p>
    <w:p w14:paraId="53876EEB">
      <w:pPr>
        <w:spacing w:line="400" w:lineRule="exact"/>
        <w:jc w:val="both"/>
        <w:rPr>
          <w:rFonts w:hint="eastAsia" w:ascii="宋体" w:hAnsi="宋体"/>
        </w:rPr>
      </w:pPr>
    </w:p>
    <w:p w14:paraId="1BE84547">
      <w:pPr>
        <w:widowControl/>
        <w:numPr>
          <w:ilvl w:val="0"/>
          <w:numId w:val="2"/>
        </w:numPr>
        <w:ind w:left="0" w:leftChars="0" w:firstLine="0" w:firstLineChars="0"/>
        <w:jc w:val="center"/>
        <w:outlineLvl w:val="0"/>
        <w:rPr>
          <w:rFonts w:hint="eastAsia" w:asciiTheme="majorEastAsia" w:hAnsiTheme="majorEastAsia" w:eastAsiaTheme="majorEastAsia"/>
          <w:sz w:val="32"/>
          <w:szCs w:val="32"/>
          <w:lang w:val="en-US" w:eastAsia="zh-CN"/>
        </w:rPr>
      </w:pPr>
      <w:bookmarkStart w:id="8" w:name="_Toc24468"/>
      <w:r>
        <w:rPr>
          <w:rFonts w:hint="eastAsia" w:asciiTheme="majorEastAsia" w:hAnsiTheme="majorEastAsia" w:eastAsiaTheme="majorEastAsia"/>
          <w:sz w:val="32"/>
          <w:szCs w:val="32"/>
          <w:lang w:val="en-US" w:eastAsia="zh-CN"/>
        </w:rPr>
        <w:t>用户需求书</w:t>
      </w:r>
      <w:bookmarkEnd w:id="8"/>
    </w:p>
    <w:p w14:paraId="1A0964E7">
      <w:pPr>
        <w:snapToGrid w:val="0"/>
        <w:spacing w:line="360" w:lineRule="auto"/>
        <w:rPr>
          <w:rFonts w:ascii="宋体"/>
          <w:b/>
          <w:bCs/>
          <w:szCs w:val="20"/>
        </w:rPr>
      </w:pPr>
      <w:r>
        <w:rPr>
          <w:rFonts w:hint="eastAsia" w:ascii="宋体"/>
          <w:b/>
          <w:bCs/>
          <w:szCs w:val="20"/>
        </w:rPr>
        <w:t>说明：</w:t>
      </w:r>
    </w:p>
    <w:p w14:paraId="41B0864D">
      <w:pPr>
        <w:numPr>
          <w:ilvl w:val="0"/>
          <w:numId w:val="6"/>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6"/>
        </w:numPr>
        <w:snapToGrid w:val="0"/>
        <w:spacing w:line="360" w:lineRule="auto"/>
        <w:ind w:left="422" w:hanging="422" w:hangingChars="200"/>
        <w:rPr>
          <w:rFonts w:ascii="宋体"/>
          <w:b/>
          <w:bCs/>
          <w:color w:val="auto"/>
          <w:szCs w:val="20"/>
        </w:rPr>
      </w:pPr>
      <w:r>
        <w:rPr>
          <w:rFonts w:hint="eastAsia" w:asciiTheme="minorEastAsia" w:hAnsiTheme="minorEastAsia" w:eastAsiaTheme="minorEastAsia"/>
          <w:b/>
          <w:bCs/>
          <w:color w:val="auto"/>
          <w:szCs w:val="21"/>
        </w:rPr>
        <w:t>用户需求书中打</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号条款为实质性条款，有任何一条负偏离则导致无效投标。</w:t>
      </w:r>
    </w:p>
    <w:p w14:paraId="4D99824F">
      <w:pPr>
        <w:numPr>
          <w:ilvl w:val="0"/>
          <w:numId w:val="6"/>
        </w:numPr>
        <w:snapToGrid w:val="0"/>
        <w:spacing w:line="360" w:lineRule="auto"/>
        <w:ind w:left="422" w:hanging="422" w:hangingChars="200"/>
        <w:rPr>
          <w:rFonts w:ascii="宋体"/>
          <w:b/>
          <w:bCs/>
          <w:color w:val="auto"/>
          <w:szCs w:val="20"/>
        </w:rPr>
      </w:pPr>
      <w:r>
        <w:rPr>
          <w:rFonts w:hint="eastAsia" w:ascii="宋体"/>
          <w:b/>
          <w:bCs/>
          <w:color w:val="auto"/>
          <w:szCs w:val="20"/>
        </w:rPr>
        <w:t>用户需求书中打</w:t>
      </w:r>
      <w:r>
        <w:rPr>
          <w:rFonts w:ascii="宋体"/>
          <w:b/>
          <w:bCs/>
          <w:color w:val="auto"/>
          <w:szCs w:val="20"/>
        </w:rPr>
        <w:t>“</w:t>
      </w:r>
      <w:r>
        <w:rPr>
          <w:rFonts w:hint="eastAsia" w:ascii="宋体"/>
          <w:b/>
          <w:bCs/>
          <w:color w:val="auto"/>
          <w:szCs w:val="20"/>
        </w:rPr>
        <w:t>▲</w:t>
      </w:r>
      <w:r>
        <w:rPr>
          <w:rFonts w:ascii="宋体"/>
          <w:b/>
          <w:bCs/>
          <w:color w:val="auto"/>
          <w:szCs w:val="20"/>
        </w:rPr>
        <w:t>”</w:t>
      </w:r>
      <w:r>
        <w:rPr>
          <w:rFonts w:hint="eastAsia" w:ascii="宋体"/>
          <w:b/>
          <w:bCs/>
          <w:color w:val="auto"/>
          <w:szCs w:val="20"/>
        </w:rPr>
        <w:t>号条款为重要技术参数，但不作为无效投标条款。</w:t>
      </w:r>
    </w:p>
    <w:p w14:paraId="5AAF2DBC">
      <w:pPr>
        <w:pStyle w:val="10"/>
        <w:numPr>
          <w:ilvl w:val="0"/>
          <w:numId w:val="7"/>
        </w:numPr>
        <w:tabs>
          <w:tab w:val="left" w:pos="540"/>
        </w:tabs>
        <w:adjustRightInd w:val="0"/>
        <w:snapToGrid w:val="0"/>
        <w:spacing w:line="360" w:lineRule="auto"/>
        <w:ind w:left="420" w:leftChars="0" w:hanging="420" w:firstLineChars="0"/>
        <w:outlineLvl w:val="9"/>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7"/>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6"/>
        <w:gridCol w:w="1004"/>
        <w:gridCol w:w="1678"/>
        <w:gridCol w:w="1741"/>
        <w:gridCol w:w="1714"/>
        <w:gridCol w:w="1357"/>
      </w:tblGrid>
      <w:tr w14:paraId="2F87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8" w:hRule="atLeast"/>
          <w:jc w:val="center"/>
        </w:trPr>
        <w:tc>
          <w:tcPr>
            <w:tcW w:w="2586" w:type="dxa"/>
            <w:shd w:val="clear" w:color="auto" w:fill="EEECE1"/>
            <w:vAlign w:val="center"/>
          </w:tcPr>
          <w:p w14:paraId="231451F2">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1004" w:type="dxa"/>
            <w:shd w:val="clear" w:color="auto" w:fill="EEECE1"/>
            <w:vAlign w:val="center"/>
          </w:tcPr>
          <w:p w14:paraId="0651AD13">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1678" w:type="dxa"/>
            <w:shd w:val="clear" w:color="auto" w:fill="EEECE1"/>
            <w:vAlign w:val="center"/>
          </w:tcPr>
          <w:p w14:paraId="0BAB2D9D">
            <w:pPr>
              <w:keepNext w:val="0"/>
              <w:keepLines w:val="0"/>
              <w:suppressLineNumbers w:val="0"/>
              <w:spacing w:before="0" w:beforeAutospacing="0" w:after="0" w:afterAutospacing="0"/>
              <w:ind w:left="0" w:right="0"/>
              <w:jc w:val="center"/>
              <w:rPr>
                <w:rFonts w:hint="default" w:ascii="宋体" w:hAnsi="宋体" w:eastAsia="宋体" w:cs="宋体"/>
                <w:b/>
                <w:color w:val="auto"/>
                <w:szCs w:val="21"/>
                <w:lang w:val="en-US"/>
              </w:rPr>
            </w:pPr>
            <w:r>
              <w:rPr>
                <w:rFonts w:hint="eastAsia" w:ascii="宋体" w:hAnsi="宋体" w:eastAsia="宋体" w:cs="宋体"/>
                <w:b/>
                <w:color w:val="auto"/>
                <w:szCs w:val="21"/>
                <w:highlight w:val="none"/>
                <w:lang w:val="en-US" w:eastAsia="zh-CN"/>
              </w:rPr>
              <w:t>合同期限</w:t>
            </w:r>
          </w:p>
        </w:tc>
        <w:tc>
          <w:tcPr>
            <w:tcW w:w="1741" w:type="dxa"/>
            <w:shd w:val="clear" w:color="auto" w:fill="EEECE1"/>
            <w:vAlign w:val="center"/>
          </w:tcPr>
          <w:p w14:paraId="3D6F1631">
            <w:pPr>
              <w:keepNext w:val="0"/>
              <w:keepLines w:val="0"/>
              <w:suppressLineNumbers w:val="0"/>
              <w:spacing w:before="0" w:beforeAutospacing="0" w:after="0" w:afterAutospacing="0"/>
              <w:ind w:left="0" w:right="0"/>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预算金额</w:t>
            </w:r>
          </w:p>
        </w:tc>
        <w:tc>
          <w:tcPr>
            <w:tcW w:w="1714" w:type="dxa"/>
            <w:shd w:val="clear" w:color="auto" w:fill="EEECE1"/>
            <w:vAlign w:val="center"/>
          </w:tcPr>
          <w:p w14:paraId="68B7F79B">
            <w:pPr>
              <w:keepNext w:val="0"/>
              <w:keepLines w:val="0"/>
              <w:suppressLineNumbers w:val="0"/>
              <w:spacing w:before="0" w:beforeAutospacing="0" w:after="0" w:afterAutospacing="0"/>
              <w:ind w:left="0" w:right="0"/>
              <w:jc w:val="center"/>
              <w:rPr>
                <w:rFonts w:hint="default" w:ascii="宋体" w:hAnsi="宋体" w:eastAsia="宋体" w:cs="宋体"/>
                <w:b/>
                <w:color w:val="auto"/>
                <w:szCs w:val="21"/>
                <w:lang w:val="en-US"/>
              </w:rPr>
            </w:pPr>
            <w:r>
              <w:rPr>
                <w:rFonts w:hint="eastAsia" w:ascii="宋体" w:hAnsi="宋体" w:eastAsia="宋体" w:cs="宋体"/>
                <w:b/>
                <w:color w:val="auto"/>
                <w:szCs w:val="21"/>
                <w:highlight w:val="none"/>
              </w:rPr>
              <w:t>最高</w:t>
            </w:r>
            <w:r>
              <w:rPr>
                <w:rFonts w:hint="eastAsia" w:ascii="宋体" w:hAnsi="宋体" w:eastAsia="宋体" w:cs="宋体"/>
                <w:b/>
                <w:color w:val="auto"/>
                <w:szCs w:val="21"/>
                <w:highlight w:val="none"/>
                <w:lang w:val="en-US" w:eastAsia="zh-CN"/>
              </w:rPr>
              <w:t>支付上限</w:t>
            </w:r>
          </w:p>
        </w:tc>
        <w:tc>
          <w:tcPr>
            <w:tcW w:w="1357" w:type="dxa"/>
            <w:shd w:val="clear" w:color="auto" w:fill="EEECE1"/>
            <w:vAlign w:val="center"/>
          </w:tcPr>
          <w:p w14:paraId="4F363872">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3633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2586" w:type="dxa"/>
            <w:vAlign w:val="center"/>
          </w:tcPr>
          <w:p w14:paraId="5B746E07">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szCs w:val="28"/>
                <w:u w:val="none"/>
                <w:lang w:val="en-US" w:eastAsia="zh-CN"/>
              </w:rPr>
              <w:t>西门子Walkaway 40 Plus全自动微生物鉴定及药敏分析系统检验耗材一批</w:t>
            </w:r>
          </w:p>
        </w:tc>
        <w:tc>
          <w:tcPr>
            <w:tcW w:w="1004" w:type="dxa"/>
            <w:vAlign w:val="center"/>
          </w:tcPr>
          <w:p w14:paraId="79048A99">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1批</w:t>
            </w:r>
          </w:p>
        </w:tc>
        <w:tc>
          <w:tcPr>
            <w:tcW w:w="1678" w:type="dxa"/>
            <w:vAlign w:val="center"/>
          </w:tcPr>
          <w:p w14:paraId="7B6F27C5">
            <w:pPr>
              <w:pStyle w:val="27"/>
              <w:keepLines w:val="0"/>
              <w:suppressLineNumbers w:val="0"/>
              <w:spacing w:beforeAutospacing="0" w:afterAutospacing="0" w:line="240" w:lineRule="auto"/>
              <w:ind w:left="0" w:right="0"/>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2年（24个月）</w:t>
            </w:r>
          </w:p>
        </w:tc>
        <w:tc>
          <w:tcPr>
            <w:tcW w:w="1741" w:type="dxa"/>
            <w:vAlign w:val="center"/>
          </w:tcPr>
          <w:p w14:paraId="42097816">
            <w:pPr>
              <w:pStyle w:val="27"/>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人民币113978.00元</w:t>
            </w:r>
          </w:p>
        </w:tc>
        <w:tc>
          <w:tcPr>
            <w:tcW w:w="1714" w:type="dxa"/>
            <w:vAlign w:val="center"/>
          </w:tcPr>
          <w:p w14:paraId="05A830E5">
            <w:pPr>
              <w:pStyle w:val="27"/>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人民币113978.00元</w:t>
            </w:r>
          </w:p>
        </w:tc>
        <w:tc>
          <w:tcPr>
            <w:tcW w:w="1357" w:type="dxa"/>
            <w:vAlign w:val="center"/>
          </w:tcPr>
          <w:p w14:paraId="64233C86">
            <w:pPr>
              <w:pStyle w:val="27"/>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0329482C">
      <w:pPr>
        <w:pStyle w:val="10"/>
        <w:tabs>
          <w:tab w:val="left" w:pos="540"/>
        </w:tabs>
        <w:adjustRightInd w:val="0"/>
        <w:snapToGrid w:val="0"/>
        <w:spacing w:line="360" w:lineRule="auto"/>
        <w:rPr>
          <w:rFonts w:hAnsi="宋体"/>
          <w:b/>
          <w:color w:val="auto"/>
        </w:rPr>
      </w:pPr>
    </w:p>
    <w:p w14:paraId="705CA8FA">
      <w:pPr>
        <w:pStyle w:val="10"/>
        <w:numPr>
          <w:ilvl w:val="0"/>
          <w:numId w:val="7"/>
        </w:numPr>
        <w:tabs>
          <w:tab w:val="left" w:pos="540"/>
        </w:tabs>
        <w:adjustRightInd w:val="0"/>
        <w:snapToGrid w:val="0"/>
        <w:spacing w:line="360" w:lineRule="auto"/>
        <w:ind w:left="420" w:leftChars="0" w:hanging="420" w:firstLineChars="0"/>
        <w:outlineLvl w:val="9"/>
        <w:rPr>
          <w:rFonts w:hAnsi="宋体"/>
          <w:b/>
          <w:color w:val="auto"/>
        </w:rPr>
      </w:pPr>
      <w:r>
        <w:rPr>
          <w:rFonts w:hint="eastAsia" w:hAnsi="宋体"/>
          <w:b/>
          <w:color w:val="auto"/>
          <w:lang w:val="en-US" w:eastAsia="zh-CN"/>
        </w:rPr>
        <w:t>货品清单及</w:t>
      </w:r>
      <w:r>
        <w:rPr>
          <w:rFonts w:hint="eastAsia" w:hAnsi="宋体"/>
          <w:b/>
          <w:color w:val="auto"/>
        </w:rPr>
        <w:t>技术要求：</w:t>
      </w:r>
    </w:p>
    <w:tbl>
      <w:tblPr>
        <w:tblStyle w:val="17"/>
        <w:tblW w:w="1130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742"/>
        <w:gridCol w:w="4094"/>
        <w:gridCol w:w="1080"/>
        <w:gridCol w:w="890"/>
        <w:gridCol w:w="1271"/>
        <w:gridCol w:w="928"/>
        <w:gridCol w:w="1299"/>
      </w:tblGrid>
      <w:tr w14:paraId="41E739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42" w:type="dxa"/>
            <w:tcBorders>
              <w:tl2br w:val="nil"/>
              <w:tr2bl w:val="nil"/>
            </w:tcBorders>
            <w:shd w:val="clear" w:color="auto" w:fill="EEECE1" w:themeFill="background2"/>
            <w:vAlign w:val="center"/>
          </w:tcPr>
          <w:p w14:paraId="640AE4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4094" w:type="dxa"/>
            <w:tcBorders>
              <w:tl2br w:val="nil"/>
              <w:tr2bl w:val="nil"/>
            </w:tcBorders>
            <w:shd w:val="clear" w:color="auto" w:fill="EEECE1" w:themeFill="background2"/>
            <w:vAlign w:val="center"/>
          </w:tcPr>
          <w:p w14:paraId="4D1458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技术要求/主要需求</w:t>
            </w:r>
          </w:p>
        </w:tc>
        <w:tc>
          <w:tcPr>
            <w:tcW w:w="1080" w:type="dxa"/>
            <w:tcBorders>
              <w:tl2br w:val="nil"/>
              <w:tr2bl w:val="nil"/>
            </w:tcBorders>
            <w:shd w:val="clear" w:color="auto" w:fill="EEECE1" w:themeFill="background2"/>
            <w:vAlign w:val="center"/>
          </w:tcPr>
          <w:p w14:paraId="0E3D47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规格</w:t>
            </w:r>
          </w:p>
        </w:tc>
        <w:tc>
          <w:tcPr>
            <w:tcW w:w="890" w:type="dxa"/>
            <w:tcBorders>
              <w:tl2br w:val="nil"/>
              <w:tr2bl w:val="nil"/>
            </w:tcBorders>
            <w:shd w:val="clear" w:color="auto" w:fill="EEECE1" w:themeFill="background2"/>
            <w:vAlign w:val="center"/>
          </w:tcPr>
          <w:p w14:paraId="7B6DD7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最小计量单位</w:t>
            </w:r>
          </w:p>
        </w:tc>
        <w:tc>
          <w:tcPr>
            <w:tcW w:w="1271" w:type="dxa"/>
            <w:tcBorders>
              <w:tl2br w:val="nil"/>
              <w:tr2bl w:val="nil"/>
            </w:tcBorders>
            <w:shd w:val="clear" w:color="auto" w:fill="EEECE1" w:themeFill="background2"/>
            <w:vAlign w:val="center"/>
          </w:tcPr>
          <w:p w14:paraId="7A555E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最小单位预算价格（元）</w:t>
            </w:r>
          </w:p>
        </w:tc>
        <w:tc>
          <w:tcPr>
            <w:tcW w:w="928" w:type="dxa"/>
            <w:tcBorders>
              <w:tl2br w:val="nil"/>
              <w:tr2bl w:val="nil"/>
            </w:tcBorders>
            <w:shd w:val="clear" w:color="auto" w:fill="EEECE1" w:themeFill="background2"/>
            <w:vAlign w:val="center"/>
          </w:tcPr>
          <w:p w14:paraId="1A69BE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预算年使用量</w:t>
            </w:r>
          </w:p>
        </w:tc>
        <w:tc>
          <w:tcPr>
            <w:tcW w:w="1299" w:type="dxa"/>
            <w:tcBorders>
              <w:tl2br w:val="nil"/>
              <w:tr2bl w:val="nil"/>
            </w:tcBorders>
            <w:shd w:val="clear" w:color="auto" w:fill="EEECE1" w:themeFill="background2"/>
            <w:vAlign w:val="center"/>
          </w:tcPr>
          <w:p w14:paraId="73CFF5ED">
            <w:pPr>
              <w:keepNext w:val="0"/>
              <w:keepLines w:val="0"/>
              <w:widowControl/>
              <w:suppressLineNumbers w:val="0"/>
              <w:spacing w:before="0" w:beforeAutospacing="0" w:after="0" w:afterAutospacing="0"/>
              <w:ind w:left="0" w:right="0"/>
              <w:jc w:val="center"/>
              <w:textAlignment w:val="center"/>
              <w:rPr>
                <w:rFonts w:hint="eastAsia" w:ascii="宋体" w:hAnsi="宋体" w:cs="宋体"/>
                <w:b/>
                <w:bCs/>
                <w:kern w:val="0"/>
                <w:szCs w:val="21"/>
              </w:rPr>
            </w:pPr>
            <w:r>
              <w:rPr>
                <w:rFonts w:hint="eastAsia" w:ascii="宋体" w:hAnsi="宋体" w:cs="宋体"/>
                <w:b/>
                <w:bCs/>
                <w:kern w:val="0"/>
                <w:szCs w:val="21"/>
              </w:rPr>
              <w:t>总预计年使用金额（元）</w:t>
            </w:r>
          </w:p>
        </w:tc>
      </w:tr>
      <w:tr w14:paraId="485243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42" w:type="dxa"/>
            <w:tcBorders>
              <w:tl2br w:val="nil"/>
              <w:tr2bl w:val="nil"/>
            </w:tcBorders>
            <w:shd w:val="clear" w:color="auto" w:fill="auto"/>
            <w:vAlign w:val="center"/>
          </w:tcPr>
          <w:p w14:paraId="288A3A1B">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三氯化铁</w:t>
            </w:r>
          </w:p>
        </w:tc>
        <w:tc>
          <w:tcPr>
            <w:tcW w:w="4094" w:type="dxa"/>
            <w:tcBorders>
              <w:tl2br w:val="nil"/>
              <w:tr2bl w:val="nil"/>
            </w:tcBorders>
            <w:shd w:val="clear" w:color="auto" w:fill="auto"/>
            <w:vAlign w:val="center"/>
          </w:tcPr>
          <w:p w14:paraId="58E57E5B">
            <w:pPr>
              <w:keepNext w:val="0"/>
              <w:keepLines w:val="0"/>
              <w:suppressLineNumbers w:val="0"/>
              <w:spacing w:before="0" w:beforeAutospacing="0" w:after="0" w:afterAutospacing="0"/>
              <w:ind w:left="0" w:right="0"/>
              <w:jc w:val="center"/>
              <w:rPr>
                <w:rFonts w:hint="default" w:ascii="宋体" w:hAnsi="宋体"/>
                <w:szCs w:val="28"/>
                <w:u w:val="none"/>
                <w:lang w:val="en-US" w:eastAsia="zh-CN"/>
              </w:rPr>
            </w:pPr>
            <w:r>
              <w:rPr>
                <w:rFonts w:hint="eastAsia" w:ascii="宋体" w:hAnsi="宋体"/>
                <w:szCs w:val="28"/>
                <w:u w:val="none"/>
                <w:lang w:val="en-US" w:eastAsia="zh-CN"/>
              </w:rPr>
              <w:t>适配于西门子的Walkaway 40 Plus的全自动微生物鉴定及药敏分析系统。</w:t>
            </w:r>
          </w:p>
        </w:tc>
        <w:tc>
          <w:tcPr>
            <w:tcW w:w="1080" w:type="dxa"/>
            <w:tcBorders>
              <w:tl2br w:val="nil"/>
              <w:tr2bl w:val="nil"/>
            </w:tcBorders>
            <w:shd w:val="clear" w:color="auto" w:fill="auto"/>
            <w:vAlign w:val="center"/>
          </w:tcPr>
          <w:p w14:paraId="66304560">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30 mL</w:t>
            </w:r>
          </w:p>
        </w:tc>
        <w:tc>
          <w:tcPr>
            <w:tcW w:w="890" w:type="dxa"/>
            <w:tcBorders>
              <w:tl2br w:val="nil"/>
              <w:tr2bl w:val="nil"/>
            </w:tcBorders>
            <w:shd w:val="clear" w:color="auto" w:fill="auto"/>
            <w:vAlign w:val="center"/>
          </w:tcPr>
          <w:p w14:paraId="2A61A83B">
            <w:pPr>
              <w:keepNext w:val="0"/>
              <w:keepLines w:val="0"/>
              <w:suppressLineNumbers w:val="0"/>
              <w:spacing w:before="0" w:beforeAutospacing="0" w:after="0" w:afterAutospacing="0"/>
              <w:ind w:left="0" w:right="0"/>
              <w:jc w:val="center"/>
              <w:rPr>
                <w:rFonts w:hint="default" w:ascii="宋体" w:hAnsi="宋体"/>
                <w:szCs w:val="28"/>
                <w:u w:val="none"/>
                <w:lang w:val="en-US" w:eastAsia="zh-CN"/>
              </w:rPr>
            </w:pPr>
            <w:r>
              <w:rPr>
                <w:rFonts w:hint="eastAsia" w:ascii="宋体" w:hAnsi="宋体"/>
                <w:szCs w:val="28"/>
                <w:u w:val="none"/>
                <w:lang w:val="en-US" w:eastAsia="zh-CN"/>
              </w:rPr>
              <w:t>盒</w:t>
            </w:r>
          </w:p>
        </w:tc>
        <w:tc>
          <w:tcPr>
            <w:tcW w:w="1271" w:type="dxa"/>
            <w:tcBorders>
              <w:tl2br w:val="nil"/>
              <w:tr2bl w:val="nil"/>
            </w:tcBorders>
            <w:shd w:val="clear" w:color="auto" w:fill="auto"/>
            <w:vAlign w:val="center"/>
          </w:tcPr>
          <w:p w14:paraId="6DE5C442">
            <w:pPr>
              <w:keepNext w:val="0"/>
              <w:keepLines w:val="0"/>
              <w:suppressLineNumbers w:val="0"/>
              <w:spacing w:before="0" w:beforeAutospacing="0" w:after="0" w:afterAutospacing="0"/>
              <w:ind w:left="0" w:right="0"/>
              <w:jc w:val="center"/>
              <w:rPr>
                <w:rFonts w:hint="default" w:ascii="宋体" w:hAnsi="宋体"/>
                <w:szCs w:val="28"/>
                <w:u w:val="none"/>
                <w:lang w:val="en-US" w:eastAsia="zh-CN"/>
              </w:rPr>
            </w:pPr>
            <w:r>
              <w:rPr>
                <w:rFonts w:hint="eastAsia" w:ascii="宋体" w:hAnsi="宋体"/>
                <w:szCs w:val="28"/>
                <w:u w:val="none"/>
                <w:lang w:val="en-US" w:eastAsia="zh-CN"/>
              </w:rPr>
              <w:t>190</w:t>
            </w:r>
          </w:p>
        </w:tc>
        <w:tc>
          <w:tcPr>
            <w:tcW w:w="928" w:type="dxa"/>
            <w:tcBorders>
              <w:tl2br w:val="nil"/>
              <w:tr2bl w:val="nil"/>
            </w:tcBorders>
            <w:shd w:val="clear" w:color="auto" w:fill="auto"/>
            <w:vAlign w:val="center"/>
          </w:tcPr>
          <w:p w14:paraId="70F9B9B5">
            <w:pPr>
              <w:keepNext w:val="0"/>
              <w:keepLines w:val="0"/>
              <w:suppressLineNumbers w:val="0"/>
              <w:spacing w:before="0" w:beforeAutospacing="0" w:after="0" w:afterAutospacing="0"/>
              <w:ind w:left="0" w:right="0"/>
              <w:jc w:val="center"/>
              <w:rPr>
                <w:rFonts w:hint="default" w:ascii="宋体" w:hAnsi="宋体"/>
                <w:szCs w:val="28"/>
                <w:u w:val="none"/>
                <w:lang w:val="en-US" w:eastAsia="zh-CN"/>
              </w:rPr>
            </w:pPr>
            <w:r>
              <w:rPr>
                <w:rFonts w:hint="eastAsia" w:ascii="宋体" w:hAnsi="宋体"/>
                <w:szCs w:val="28"/>
                <w:u w:val="none"/>
                <w:lang w:val="en-US" w:eastAsia="zh-CN"/>
              </w:rPr>
              <w:t>5</w:t>
            </w:r>
          </w:p>
        </w:tc>
        <w:tc>
          <w:tcPr>
            <w:tcW w:w="1299" w:type="dxa"/>
            <w:tcBorders>
              <w:tl2br w:val="nil"/>
              <w:tr2bl w:val="nil"/>
            </w:tcBorders>
            <w:shd w:val="clear" w:color="auto" w:fill="auto"/>
            <w:vAlign w:val="center"/>
          </w:tcPr>
          <w:p w14:paraId="4FCBA078">
            <w:pPr>
              <w:keepNext w:val="0"/>
              <w:keepLines w:val="0"/>
              <w:suppressLineNumbers w:val="0"/>
              <w:spacing w:before="0" w:beforeAutospacing="0" w:after="0" w:afterAutospacing="0"/>
              <w:ind w:left="0" w:right="0"/>
              <w:jc w:val="center"/>
              <w:rPr>
                <w:rFonts w:hint="default" w:ascii="宋体" w:hAnsi="宋体"/>
                <w:szCs w:val="28"/>
                <w:u w:val="none"/>
                <w:lang w:val="en-US" w:eastAsia="zh-CN"/>
              </w:rPr>
            </w:pPr>
            <w:r>
              <w:rPr>
                <w:rFonts w:hint="eastAsia" w:ascii="宋体" w:hAnsi="宋体"/>
                <w:szCs w:val="28"/>
                <w:u w:val="none"/>
                <w:lang w:val="en-US" w:eastAsia="zh-CN"/>
              </w:rPr>
              <w:t>950</w:t>
            </w:r>
          </w:p>
        </w:tc>
      </w:tr>
      <w:tr w14:paraId="1BCF5C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42" w:type="dxa"/>
            <w:tcBorders>
              <w:tl2br w:val="nil"/>
              <w:tr2bl w:val="nil"/>
            </w:tcBorders>
            <w:shd w:val="clear" w:color="auto" w:fill="auto"/>
            <w:vAlign w:val="center"/>
          </w:tcPr>
          <w:p w14:paraId="4511D8FC">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对氨基苯磺酸</w:t>
            </w:r>
          </w:p>
        </w:tc>
        <w:tc>
          <w:tcPr>
            <w:tcW w:w="4094" w:type="dxa"/>
            <w:tcBorders>
              <w:tl2br w:val="nil"/>
              <w:tr2bl w:val="nil"/>
            </w:tcBorders>
            <w:shd w:val="clear" w:color="auto" w:fill="auto"/>
            <w:vAlign w:val="center"/>
          </w:tcPr>
          <w:p w14:paraId="5852F580">
            <w:pPr>
              <w:keepNext w:val="0"/>
              <w:keepLines w:val="0"/>
              <w:suppressLineNumbers w:val="0"/>
              <w:spacing w:before="0" w:beforeAutospacing="0" w:after="0" w:afterAutospacing="0"/>
              <w:ind w:left="0" w:right="0"/>
              <w:jc w:val="center"/>
              <w:rPr>
                <w:rFonts w:hint="default" w:ascii="宋体" w:hAnsi="宋体"/>
                <w:szCs w:val="28"/>
                <w:u w:val="none"/>
                <w:lang w:val="en-US" w:eastAsia="zh-CN"/>
              </w:rPr>
            </w:pPr>
            <w:r>
              <w:rPr>
                <w:rFonts w:hint="eastAsia" w:ascii="宋体" w:hAnsi="宋体"/>
                <w:szCs w:val="28"/>
                <w:u w:val="none"/>
                <w:lang w:val="en-US" w:eastAsia="zh-CN"/>
              </w:rPr>
              <w:t>适配于西门子的Walkaway 40 Plus的全自动微生物鉴定及药敏分析系统。</w:t>
            </w:r>
          </w:p>
        </w:tc>
        <w:tc>
          <w:tcPr>
            <w:tcW w:w="1080" w:type="dxa"/>
            <w:tcBorders>
              <w:tl2br w:val="nil"/>
              <w:tr2bl w:val="nil"/>
            </w:tcBorders>
            <w:shd w:val="clear" w:color="auto" w:fill="auto"/>
            <w:vAlign w:val="center"/>
          </w:tcPr>
          <w:p w14:paraId="6F3BCAEB">
            <w:pPr>
              <w:keepNext w:val="0"/>
              <w:keepLines w:val="0"/>
              <w:suppressLineNumbers w:val="0"/>
              <w:spacing w:before="0" w:beforeAutospacing="0" w:after="0" w:afterAutospacing="0"/>
              <w:ind w:left="0" w:right="0"/>
              <w:jc w:val="center"/>
              <w:rPr>
                <w:rFonts w:hint="default" w:ascii="宋体" w:hAnsi="宋体"/>
                <w:szCs w:val="28"/>
                <w:u w:val="none"/>
                <w:lang w:val="en-US" w:eastAsia="zh-CN"/>
              </w:rPr>
            </w:pPr>
            <w:r>
              <w:rPr>
                <w:rFonts w:hint="default" w:ascii="宋体" w:hAnsi="宋体"/>
                <w:szCs w:val="28"/>
                <w:u w:val="none"/>
                <w:lang w:val="en-US" w:eastAsia="zh-CN"/>
              </w:rPr>
              <w:t>30 mL</w:t>
            </w:r>
          </w:p>
        </w:tc>
        <w:tc>
          <w:tcPr>
            <w:tcW w:w="890" w:type="dxa"/>
            <w:tcBorders>
              <w:tl2br w:val="nil"/>
              <w:tr2bl w:val="nil"/>
            </w:tcBorders>
            <w:shd w:val="clear" w:color="auto" w:fill="auto"/>
            <w:vAlign w:val="center"/>
          </w:tcPr>
          <w:p w14:paraId="1E465E92">
            <w:pPr>
              <w:keepNext w:val="0"/>
              <w:keepLines w:val="0"/>
              <w:suppressLineNumbers w:val="0"/>
              <w:spacing w:before="0" w:beforeAutospacing="0" w:after="0" w:afterAutospacing="0"/>
              <w:ind w:left="0" w:right="0"/>
              <w:jc w:val="center"/>
              <w:rPr>
                <w:rFonts w:hint="default" w:ascii="宋体" w:hAnsi="宋体"/>
                <w:szCs w:val="28"/>
                <w:u w:val="none"/>
                <w:lang w:val="en-US" w:eastAsia="zh-CN"/>
              </w:rPr>
            </w:pPr>
            <w:r>
              <w:rPr>
                <w:rFonts w:hint="default" w:ascii="宋体" w:hAnsi="宋体"/>
                <w:szCs w:val="28"/>
                <w:u w:val="none"/>
                <w:lang w:val="en-US" w:eastAsia="zh-CN"/>
              </w:rPr>
              <w:t>盒</w:t>
            </w:r>
          </w:p>
        </w:tc>
        <w:tc>
          <w:tcPr>
            <w:tcW w:w="1271" w:type="dxa"/>
            <w:tcBorders>
              <w:tl2br w:val="nil"/>
              <w:tr2bl w:val="nil"/>
            </w:tcBorders>
            <w:shd w:val="clear" w:color="auto" w:fill="auto"/>
            <w:vAlign w:val="center"/>
          </w:tcPr>
          <w:p w14:paraId="21272A68">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190</w:t>
            </w:r>
          </w:p>
        </w:tc>
        <w:tc>
          <w:tcPr>
            <w:tcW w:w="928" w:type="dxa"/>
            <w:tcBorders>
              <w:tl2br w:val="nil"/>
              <w:tr2bl w:val="nil"/>
            </w:tcBorders>
            <w:shd w:val="clear" w:color="auto" w:fill="auto"/>
            <w:vAlign w:val="center"/>
          </w:tcPr>
          <w:p w14:paraId="587521EC">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5</w:t>
            </w:r>
          </w:p>
        </w:tc>
        <w:tc>
          <w:tcPr>
            <w:tcW w:w="1299" w:type="dxa"/>
            <w:tcBorders>
              <w:tl2br w:val="nil"/>
              <w:tr2bl w:val="nil"/>
            </w:tcBorders>
            <w:shd w:val="clear" w:color="auto" w:fill="auto"/>
            <w:vAlign w:val="center"/>
          </w:tcPr>
          <w:p w14:paraId="1B667A5E">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950</w:t>
            </w:r>
          </w:p>
        </w:tc>
      </w:tr>
      <w:tr w14:paraId="4CE615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42" w:type="dxa"/>
            <w:tcBorders>
              <w:tl2br w:val="nil"/>
              <w:tr2bl w:val="nil"/>
            </w:tcBorders>
            <w:shd w:val="clear" w:color="auto" w:fill="auto"/>
            <w:vAlign w:val="center"/>
          </w:tcPr>
          <w:p w14:paraId="2B7F902D">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柯凡氏试剂</w:t>
            </w:r>
          </w:p>
        </w:tc>
        <w:tc>
          <w:tcPr>
            <w:tcW w:w="4094" w:type="dxa"/>
            <w:tcBorders>
              <w:tl2br w:val="nil"/>
              <w:tr2bl w:val="nil"/>
            </w:tcBorders>
            <w:shd w:val="clear" w:color="auto" w:fill="auto"/>
            <w:vAlign w:val="center"/>
          </w:tcPr>
          <w:p w14:paraId="3871695B">
            <w:pPr>
              <w:keepNext w:val="0"/>
              <w:keepLines w:val="0"/>
              <w:suppressLineNumbers w:val="0"/>
              <w:spacing w:before="0" w:beforeAutospacing="0" w:after="0" w:afterAutospacing="0"/>
              <w:ind w:left="0" w:right="0"/>
              <w:jc w:val="center"/>
              <w:rPr>
                <w:rFonts w:hint="default" w:ascii="宋体" w:hAnsi="宋体"/>
                <w:szCs w:val="28"/>
                <w:u w:val="none"/>
                <w:lang w:val="en-US" w:eastAsia="zh-CN"/>
              </w:rPr>
            </w:pPr>
            <w:r>
              <w:rPr>
                <w:rFonts w:hint="eastAsia" w:ascii="宋体" w:hAnsi="宋体"/>
                <w:szCs w:val="28"/>
                <w:u w:val="none"/>
                <w:lang w:val="en-US" w:eastAsia="zh-CN"/>
              </w:rPr>
              <w:t>适配于西门子的Walkaway 40 Plus的全自动微生物鉴定及药敏分析系统。</w:t>
            </w:r>
          </w:p>
        </w:tc>
        <w:tc>
          <w:tcPr>
            <w:tcW w:w="1080" w:type="dxa"/>
            <w:tcBorders>
              <w:tl2br w:val="nil"/>
              <w:tr2bl w:val="nil"/>
            </w:tcBorders>
            <w:shd w:val="clear" w:color="auto" w:fill="auto"/>
            <w:vAlign w:val="center"/>
          </w:tcPr>
          <w:p w14:paraId="37F7D8E7">
            <w:pPr>
              <w:keepNext w:val="0"/>
              <w:keepLines w:val="0"/>
              <w:suppressLineNumbers w:val="0"/>
              <w:spacing w:before="0" w:beforeAutospacing="0" w:after="0" w:afterAutospacing="0"/>
              <w:ind w:left="0" w:right="0"/>
              <w:jc w:val="center"/>
              <w:rPr>
                <w:rFonts w:hint="default" w:ascii="宋体" w:hAnsi="宋体"/>
                <w:szCs w:val="28"/>
                <w:u w:val="none"/>
                <w:lang w:val="en-US" w:eastAsia="zh-CN"/>
              </w:rPr>
            </w:pPr>
            <w:r>
              <w:rPr>
                <w:rFonts w:hint="eastAsia" w:ascii="宋体" w:hAnsi="宋体"/>
                <w:szCs w:val="28"/>
                <w:u w:val="none"/>
                <w:lang w:val="en-US" w:eastAsia="zh-CN"/>
              </w:rPr>
              <w:t>30 mL</w:t>
            </w:r>
          </w:p>
        </w:tc>
        <w:tc>
          <w:tcPr>
            <w:tcW w:w="890" w:type="dxa"/>
            <w:tcBorders>
              <w:tl2br w:val="nil"/>
              <w:tr2bl w:val="nil"/>
            </w:tcBorders>
            <w:shd w:val="clear" w:color="auto" w:fill="auto"/>
            <w:vAlign w:val="center"/>
          </w:tcPr>
          <w:p w14:paraId="0E113B7C">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盒</w:t>
            </w:r>
          </w:p>
        </w:tc>
        <w:tc>
          <w:tcPr>
            <w:tcW w:w="1271" w:type="dxa"/>
            <w:tcBorders>
              <w:tl2br w:val="nil"/>
              <w:tr2bl w:val="nil"/>
            </w:tcBorders>
            <w:shd w:val="clear" w:color="auto" w:fill="auto"/>
            <w:vAlign w:val="center"/>
          </w:tcPr>
          <w:p w14:paraId="5957BC1B">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190</w:t>
            </w:r>
          </w:p>
        </w:tc>
        <w:tc>
          <w:tcPr>
            <w:tcW w:w="928" w:type="dxa"/>
            <w:tcBorders>
              <w:tl2br w:val="nil"/>
              <w:tr2bl w:val="nil"/>
            </w:tcBorders>
            <w:shd w:val="clear" w:color="auto" w:fill="auto"/>
            <w:vAlign w:val="center"/>
          </w:tcPr>
          <w:p w14:paraId="69D1822A">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5</w:t>
            </w:r>
          </w:p>
        </w:tc>
        <w:tc>
          <w:tcPr>
            <w:tcW w:w="1299" w:type="dxa"/>
            <w:tcBorders>
              <w:tl2br w:val="nil"/>
              <w:tr2bl w:val="nil"/>
            </w:tcBorders>
            <w:shd w:val="clear" w:color="auto" w:fill="auto"/>
            <w:vAlign w:val="center"/>
          </w:tcPr>
          <w:p w14:paraId="7C5B2F75">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950</w:t>
            </w:r>
          </w:p>
        </w:tc>
      </w:tr>
      <w:tr w14:paraId="54CC97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42" w:type="dxa"/>
            <w:tcBorders>
              <w:tl2br w:val="nil"/>
              <w:tr2bl w:val="nil"/>
            </w:tcBorders>
            <w:shd w:val="clear" w:color="auto" w:fill="auto"/>
            <w:vAlign w:val="center"/>
          </w:tcPr>
          <w:p w14:paraId="0733645F">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快速接种针/水</w:t>
            </w:r>
          </w:p>
        </w:tc>
        <w:tc>
          <w:tcPr>
            <w:tcW w:w="4094" w:type="dxa"/>
            <w:tcBorders>
              <w:tl2br w:val="nil"/>
              <w:tr2bl w:val="nil"/>
            </w:tcBorders>
            <w:shd w:val="clear" w:color="auto" w:fill="auto"/>
            <w:vAlign w:val="center"/>
          </w:tcPr>
          <w:p w14:paraId="49AADEE4">
            <w:pPr>
              <w:keepNext w:val="0"/>
              <w:keepLines w:val="0"/>
              <w:suppressLineNumbers w:val="0"/>
              <w:spacing w:before="0" w:beforeAutospacing="0" w:after="0" w:afterAutospacing="0"/>
              <w:ind w:left="0" w:right="0"/>
              <w:jc w:val="center"/>
              <w:rPr>
                <w:rFonts w:hint="default" w:ascii="宋体" w:hAnsi="宋体"/>
                <w:szCs w:val="28"/>
                <w:u w:val="none"/>
                <w:lang w:val="en-US" w:eastAsia="zh-CN"/>
              </w:rPr>
            </w:pPr>
            <w:r>
              <w:rPr>
                <w:rFonts w:hint="eastAsia" w:ascii="宋体" w:hAnsi="宋体"/>
                <w:szCs w:val="28"/>
                <w:u w:val="none"/>
                <w:lang w:val="en-US" w:eastAsia="zh-CN"/>
              </w:rPr>
              <w:t>适配于西门子的Walkaway 40 Plus的全自动微生物鉴定及药敏分析系统。</w:t>
            </w:r>
          </w:p>
        </w:tc>
        <w:tc>
          <w:tcPr>
            <w:tcW w:w="1080" w:type="dxa"/>
            <w:tcBorders>
              <w:tl2br w:val="nil"/>
              <w:tr2bl w:val="nil"/>
            </w:tcBorders>
            <w:shd w:val="clear" w:color="auto" w:fill="auto"/>
            <w:vAlign w:val="center"/>
          </w:tcPr>
          <w:p w14:paraId="3F301131">
            <w:pPr>
              <w:keepNext w:val="0"/>
              <w:keepLines w:val="0"/>
              <w:suppressLineNumbers w:val="0"/>
              <w:spacing w:before="0" w:beforeAutospacing="0" w:after="0" w:afterAutospacing="0"/>
              <w:ind w:left="0" w:right="0"/>
              <w:jc w:val="center"/>
              <w:rPr>
                <w:rFonts w:hint="default" w:ascii="宋体" w:hAnsi="宋体"/>
                <w:szCs w:val="28"/>
                <w:u w:val="none"/>
                <w:lang w:val="en-US" w:eastAsia="zh-CN"/>
              </w:rPr>
            </w:pPr>
            <w:r>
              <w:rPr>
                <w:rFonts w:hint="eastAsia" w:ascii="宋体" w:hAnsi="宋体"/>
                <w:szCs w:val="28"/>
                <w:u w:val="none"/>
                <w:lang w:val="en-US" w:eastAsia="zh-CN"/>
              </w:rPr>
              <w:t>60Units</w:t>
            </w:r>
          </w:p>
        </w:tc>
        <w:tc>
          <w:tcPr>
            <w:tcW w:w="890" w:type="dxa"/>
            <w:tcBorders>
              <w:tl2br w:val="nil"/>
              <w:tr2bl w:val="nil"/>
            </w:tcBorders>
            <w:shd w:val="clear" w:color="auto" w:fill="auto"/>
            <w:vAlign w:val="center"/>
          </w:tcPr>
          <w:p w14:paraId="35E65E89">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盒</w:t>
            </w:r>
          </w:p>
        </w:tc>
        <w:tc>
          <w:tcPr>
            <w:tcW w:w="1271" w:type="dxa"/>
            <w:tcBorders>
              <w:tl2br w:val="nil"/>
              <w:tr2bl w:val="nil"/>
            </w:tcBorders>
            <w:shd w:val="clear" w:color="auto" w:fill="auto"/>
            <w:vAlign w:val="center"/>
          </w:tcPr>
          <w:p w14:paraId="65FC9E91">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1264</w:t>
            </w:r>
          </w:p>
        </w:tc>
        <w:tc>
          <w:tcPr>
            <w:tcW w:w="928" w:type="dxa"/>
            <w:tcBorders>
              <w:tl2br w:val="nil"/>
              <w:tr2bl w:val="nil"/>
            </w:tcBorders>
            <w:shd w:val="clear" w:color="auto" w:fill="auto"/>
            <w:vAlign w:val="center"/>
          </w:tcPr>
          <w:p w14:paraId="23E7BEB5">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52</w:t>
            </w:r>
          </w:p>
        </w:tc>
        <w:tc>
          <w:tcPr>
            <w:tcW w:w="1299" w:type="dxa"/>
            <w:tcBorders>
              <w:tl2br w:val="nil"/>
              <w:tr2bl w:val="nil"/>
            </w:tcBorders>
            <w:shd w:val="clear" w:color="auto" w:fill="auto"/>
            <w:vAlign w:val="center"/>
          </w:tcPr>
          <w:p w14:paraId="55D26009">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65728</w:t>
            </w:r>
          </w:p>
        </w:tc>
      </w:tr>
      <w:tr w14:paraId="36A310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42" w:type="dxa"/>
            <w:tcBorders>
              <w:tl2br w:val="nil"/>
              <w:tr2bl w:val="nil"/>
            </w:tcBorders>
            <w:shd w:val="clear" w:color="auto" w:fill="auto"/>
            <w:vAlign w:val="center"/>
          </w:tcPr>
          <w:p w14:paraId="68640A26">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N,N-二甲基α-萘胺</w:t>
            </w:r>
          </w:p>
        </w:tc>
        <w:tc>
          <w:tcPr>
            <w:tcW w:w="4094" w:type="dxa"/>
            <w:tcBorders>
              <w:tl2br w:val="nil"/>
              <w:tr2bl w:val="nil"/>
            </w:tcBorders>
            <w:shd w:val="clear" w:color="auto" w:fill="auto"/>
            <w:vAlign w:val="center"/>
          </w:tcPr>
          <w:p w14:paraId="76A4F689">
            <w:pPr>
              <w:keepNext w:val="0"/>
              <w:keepLines w:val="0"/>
              <w:suppressLineNumbers w:val="0"/>
              <w:spacing w:before="0" w:beforeAutospacing="0" w:after="0" w:afterAutospacing="0"/>
              <w:ind w:left="0" w:right="0"/>
              <w:jc w:val="center"/>
              <w:rPr>
                <w:rFonts w:hint="default" w:ascii="宋体" w:hAnsi="宋体"/>
                <w:szCs w:val="28"/>
                <w:u w:val="none"/>
                <w:lang w:val="en-US" w:eastAsia="zh-CN"/>
              </w:rPr>
            </w:pPr>
            <w:r>
              <w:rPr>
                <w:rFonts w:hint="eastAsia" w:ascii="宋体" w:hAnsi="宋体"/>
                <w:szCs w:val="28"/>
                <w:u w:val="none"/>
                <w:lang w:val="en-US" w:eastAsia="zh-CN"/>
              </w:rPr>
              <w:t>适配于西门子的Walkaway 40 Plus的全自动微生物鉴定及药敏分析系统。</w:t>
            </w:r>
          </w:p>
        </w:tc>
        <w:tc>
          <w:tcPr>
            <w:tcW w:w="1080" w:type="dxa"/>
            <w:tcBorders>
              <w:tl2br w:val="nil"/>
              <w:tr2bl w:val="nil"/>
            </w:tcBorders>
            <w:shd w:val="clear" w:color="auto" w:fill="auto"/>
            <w:vAlign w:val="center"/>
          </w:tcPr>
          <w:p w14:paraId="1532DF22">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30 mL</w:t>
            </w:r>
          </w:p>
        </w:tc>
        <w:tc>
          <w:tcPr>
            <w:tcW w:w="890" w:type="dxa"/>
            <w:tcBorders>
              <w:tl2br w:val="nil"/>
              <w:tr2bl w:val="nil"/>
            </w:tcBorders>
            <w:shd w:val="clear" w:color="auto" w:fill="auto"/>
            <w:vAlign w:val="center"/>
          </w:tcPr>
          <w:p w14:paraId="3D19B834">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盒</w:t>
            </w:r>
          </w:p>
        </w:tc>
        <w:tc>
          <w:tcPr>
            <w:tcW w:w="1271" w:type="dxa"/>
            <w:tcBorders>
              <w:tl2br w:val="nil"/>
              <w:tr2bl w:val="nil"/>
            </w:tcBorders>
            <w:shd w:val="clear" w:color="auto" w:fill="auto"/>
            <w:vAlign w:val="center"/>
          </w:tcPr>
          <w:p w14:paraId="34E63455">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190</w:t>
            </w:r>
          </w:p>
        </w:tc>
        <w:tc>
          <w:tcPr>
            <w:tcW w:w="928" w:type="dxa"/>
            <w:tcBorders>
              <w:tl2br w:val="nil"/>
              <w:tr2bl w:val="nil"/>
            </w:tcBorders>
            <w:shd w:val="clear" w:color="auto" w:fill="auto"/>
            <w:vAlign w:val="center"/>
          </w:tcPr>
          <w:p w14:paraId="29A6DD0B">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5</w:t>
            </w:r>
          </w:p>
        </w:tc>
        <w:tc>
          <w:tcPr>
            <w:tcW w:w="1299" w:type="dxa"/>
            <w:tcBorders>
              <w:tl2br w:val="nil"/>
              <w:tr2bl w:val="nil"/>
            </w:tcBorders>
            <w:shd w:val="clear" w:color="auto" w:fill="auto"/>
            <w:vAlign w:val="center"/>
          </w:tcPr>
          <w:p w14:paraId="14FC5217">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950</w:t>
            </w:r>
          </w:p>
        </w:tc>
      </w:tr>
      <w:tr w14:paraId="62320C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42" w:type="dxa"/>
            <w:tcBorders>
              <w:tl2br w:val="nil"/>
              <w:tr2bl w:val="nil"/>
            </w:tcBorders>
            <w:shd w:val="clear" w:color="auto" w:fill="auto"/>
            <w:vAlign w:val="center"/>
          </w:tcPr>
          <w:p w14:paraId="0BF0D399">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α- 萘酚</w:t>
            </w:r>
          </w:p>
        </w:tc>
        <w:tc>
          <w:tcPr>
            <w:tcW w:w="4094" w:type="dxa"/>
            <w:tcBorders>
              <w:tl2br w:val="nil"/>
              <w:tr2bl w:val="nil"/>
            </w:tcBorders>
            <w:shd w:val="clear" w:color="auto" w:fill="auto"/>
            <w:vAlign w:val="center"/>
          </w:tcPr>
          <w:p w14:paraId="27503AF9">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适配于西门子的Walkaway 40 Plus的全自动微生物鉴定及药敏分析系统。</w:t>
            </w:r>
          </w:p>
        </w:tc>
        <w:tc>
          <w:tcPr>
            <w:tcW w:w="1080" w:type="dxa"/>
            <w:tcBorders>
              <w:tl2br w:val="nil"/>
              <w:tr2bl w:val="nil"/>
            </w:tcBorders>
            <w:shd w:val="clear" w:color="auto" w:fill="auto"/>
            <w:vAlign w:val="center"/>
          </w:tcPr>
          <w:p w14:paraId="2E29AE50">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30 mL</w:t>
            </w:r>
          </w:p>
        </w:tc>
        <w:tc>
          <w:tcPr>
            <w:tcW w:w="890" w:type="dxa"/>
            <w:tcBorders>
              <w:tl2br w:val="nil"/>
              <w:tr2bl w:val="nil"/>
            </w:tcBorders>
            <w:shd w:val="clear" w:color="auto" w:fill="auto"/>
            <w:vAlign w:val="center"/>
          </w:tcPr>
          <w:p w14:paraId="1AACD706">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盒</w:t>
            </w:r>
          </w:p>
        </w:tc>
        <w:tc>
          <w:tcPr>
            <w:tcW w:w="1271" w:type="dxa"/>
            <w:tcBorders>
              <w:tl2br w:val="nil"/>
              <w:tr2bl w:val="nil"/>
            </w:tcBorders>
            <w:shd w:val="clear" w:color="auto" w:fill="auto"/>
            <w:vAlign w:val="center"/>
          </w:tcPr>
          <w:p w14:paraId="6F6C91AB">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190</w:t>
            </w:r>
          </w:p>
        </w:tc>
        <w:tc>
          <w:tcPr>
            <w:tcW w:w="928" w:type="dxa"/>
            <w:tcBorders>
              <w:tl2br w:val="nil"/>
              <w:tr2bl w:val="nil"/>
            </w:tcBorders>
            <w:shd w:val="clear" w:color="auto" w:fill="auto"/>
            <w:vAlign w:val="center"/>
          </w:tcPr>
          <w:p w14:paraId="34CE0556">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5</w:t>
            </w:r>
          </w:p>
        </w:tc>
        <w:tc>
          <w:tcPr>
            <w:tcW w:w="1299" w:type="dxa"/>
            <w:tcBorders>
              <w:tl2br w:val="nil"/>
              <w:tr2bl w:val="nil"/>
            </w:tcBorders>
            <w:shd w:val="clear" w:color="auto" w:fill="auto"/>
            <w:vAlign w:val="center"/>
          </w:tcPr>
          <w:p w14:paraId="06C70A93">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950</w:t>
            </w:r>
          </w:p>
        </w:tc>
      </w:tr>
      <w:tr w14:paraId="3E605F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42" w:type="dxa"/>
            <w:tcBorders>
              <w:tl2br w:val="nil"/>
              <w:tr2bl w:val="nil"/>
            </w:tcBorders>
            <w:shd w:val="clear" w:color="auto" w:fill="auto"/>
            <w:vAlign w:val="center"/>
          </w:tcPr>
          <w:p w14:paraId="35F302E6">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肽酶</w:t>
            </w:r>
          </w:p>
        </w:tc>
        <w:tc>
          <w:tcPr>
            <w:tcW w:w="4094" w:type="dxa"/>
            <w:tcBorders>
              <w:tl2br w:val="nil"/>
              <w:tr2bl w:val="nil"/>
            </w:tcBorders>
            <w:shd w:val="clear" w:color="auto" w:fill="auto"/>
            <w:vAlign w:val="center"/>
          </w:tcPr>
          <w:p w14:paraId="34F1523C">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适配于西门子的Walkaway 40 Plus的全自动微生物鉴定及药敏分析系统。</w:t>
            </w:r>
          </w:p>
        </w:tc>
        <w:tc>
          <w:tcPr>
            <w:tcW w:w="1080" w:type="dxa"/>
            <w:tcBorders>
              <w:tl2br w:val="nil"/>
              <w:tr2bl w:val="nil"/>
            </w:tcBorders>
            <w:shd w:val="clear" w:color="auto" w:fill="auto"/>
            <w:vAlign w:val="center"/>
          </w:tcPr>
          <w:p w14:paraId="699A3C68">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30 mL</w:t>
            </w:r>
          </w:p>
        </w:tc>
        <w:tc>
          <w:tcPr>
            <w:tcW w:w="890" w:type="dxa"/>
            <w:tcBorders>
              <w:tl2br w:val="nil"/>
              <w:tr2bl w:val="nil"/>
            </w:tcBorders>
            <w:shd w:val="clear" w:color="auto" w:fill="auto"/>
            <w:vAlign w:val="center"/>
          </w:tcPr>
          <w:p w14:paraId="7E0492CE">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盒</w:t>
            </w:r>
          </w:p>
        </w:tc>
        <w:tc>
          <w:tcPr>
            <w:tcW w:w="1271" w:type="dxa"/>
            <w:tcBorders>
              <w:tl2br w:val="nil"/>
              <w:tr2bl w:val="nil"/>
            </w:tcBorders>
            <w:shd w:val="clear" w:color="auto" w:fill="auto"/>
            <w:vAlign w:val="center"/>
          </w:tcPr>
          <w:p w14:paraId="10C1A6B5">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190</w:t>
            </w:r>
          </w:p>
        </w:tc>
        <w:tc>
          <w:tcPr>
            <w:tcW w:w="928" w:type="dxa"/>
            <w:tcBorders>
              <w:tl2br w:val="nil"/>
              <w:tr2bl w:val="nil"/>
            </w:tcBorders>
            <w:shd w:val="clear" w:color="auto" w:fill="auto"/>
            <w:vAlign w:val="center"/>
          </w:tcPr>
          <w:p w14:paraId="70ACF61F">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5</w:t>
            </w:r>
          </w:p>
        </w:tc>
        <w:tc>
          <w:tcPr>
            <w:tcW w:w="1299" w:type="dxa"/>
            <w:tcBorders>
              <w:tl2br w:val="nil"/>
              <w:tr2bl w:val="nil"/>
            </w:tcBorders>
            <w:shd w:val="clear" w:color="auto" w:fill="auto"/>
            <w:vAlign w:val="center"/>
          </w:tcPr>
          <w:p w14:paraId="23346ADA">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950</w:t>
            </w:r>
          </w:p>
        </w:tc>
      </w:tr>
      <w:tr w14:paraId="36C881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42" w:type="dxa"/>
            <w:tcBorders>
              <w:tl2br w:val="nil"/>
              <w:tr2bl w:val="nil"/>
            </w:tcBorders>
            <w:shd w:val="clear" w:color="auto" w:fill="auto"/>
            <w:vAlign w:val="center"/>
          </w:tcPr>
          <w:p w14:paraId="1CECBCF0">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氢氧化钾,30mL</w:t>
            </w:r>
          </w:p>
        </w:tc>
        <w:tc>
          <w:tcPr>
            <w:tcW w:w="4094" w:type="dxa"/>
            <w:tcBorders>
              <w:tl2br w:val="nil"/>
              <w:tr2bl w:val="nil"/>
            </w:tcBorders>
            <w:shd w:val="clear" w:color="auto" w:fill="auto"/>
            <w:vAlign w:val="center"/>
          </w:tcPr>
          <w:p w14:paraId="04AFDA58">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适配于西门子的Walkaway 40 Plus的全自动微生物鉴定及药敏分析系统。</w:t>
            </w:r>
          </w:p>
        </w:tc>
        <w:tc>
          <w:tcPr>
            <w:tcW w:w="1080" w:type="dxa"/>
            <w:tcBorders>
              <w:tl2br w:val="nil"/>
              <w:tr2bl w:val="nil"/>
            </w:tcBorders>
            <w:shd w:val="clear" w:color="auto" w:fill="auto"/>
            <w:vAlign w:val="center"/>
          </w:tcPr>
          <w:p w14:paraId="6F21EB06">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30 mL</w:t>
            </w:r>
          </w:p>
        </w:tc>
        <w:tc>
          <w:tcPr>
            <w:tcW w:w="890" w:type="dxa"/>
            <w:tcBorders>
              <w:tl2br w:val="nil"/>
              <w:tr2bl w:val="nil"/>
            </w:tcBorders>
            <w:shd w:val="clear" w:color="auto" w:fill="auto"/>
            <w:vAlign w:val="center"/>
          </w:tcPr>
          <w:p w14:paraId="6E88AB42">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盒</w:t>
            </w:r>
          </w:p>
        </w:tc>
        <w:tc>
          <w:tcPr>
            <w:tcW w:w="1271" w:type="dxa"/>
            <w:tcBorders>
              <w:tl2br w:val="nil"/>
              <w:tr2bl w:val="nil"/>
            </w:tcBorders>
            <w:shd w:val="clear" w:color="auto" w:fill="auto"/>
            <w:vAlign w:val="center"/>
          </w:tcPr>
          <w:p w14:paraId="7752B7A3">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190</w:t>
            </w:r>
          </w:p>
        </w:tc>
        <w:tc>
          <w:tcPr>
            <w:tcW w:w="928" w:type="dxa"/>
            <w:tcBorders>
              <w:tl2br w:val="nil"/>
              <w:tr2bl w:val="nil"/>
            </w:tcBorders>
            <w:shd w:val="clear" w:color="auto" w:fill="auto"/>
            <w:vAlign w:val="center"/>
          </w:tcPr>
          <w:p w14:paraId="14628907">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5</w:t>
            </w:r>
          </w:p>
        </w:tc>
        <w:tc>
          <w:tcPr>
            <w:tcW w:w="1299" w:type="dxa"/>
            <w:tcBorders>
              <w:tl2br w:val="nil"/>
              <w:tr2bl w:val="nil"/>
            </w:tcBorders>
            <w:shd w:val="clear" w:color="auto" w:fill="auto"/>
            <w:vAlign w:val="center"/>
          </w:tcPr>
          <w:p w14:paraId="0064B594">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950</w:t>
            </w:r>
          </w:p>
        </w:tc>
      </w:tr>
      <w:tr w14:paraId="075658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42" w:type="dxa"/>
            <w:tcBorders>
              <w:tl2br w:val="nil"/>
              <w:tr2bl w:val="nil"/>
            </w:tcBorders>
            <w:shd w:val="clear" w:color="auto" w:fill="auto"/>
            <w:vAlign w:val="center"/>
          </w:tcPr>
          <w:p w14:paraId="61B78B95">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干性和快速MIC板用分注槽</w:t>
            </w:r>
          </w:p>
        </w:tc>
        <w:tc>
          <w:tcPr>
            <w:tcW w:w="4094" w:type="dxa"/>
            <w:tcBorders>
              <w:tl2br w:val="nil"/>
              <w:tr2bl w:val="nil"/>
            </w:tcBorders>
            <w:shd w:val="clear" w:color="auto" w:fill="auto"/>
            <w:vAlign w:val="center"/>
          </w:tcPr>
          <w:p w14:paraId="4258F6EE">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适配于西门子的Walkaway 40 Plus的全自动微生物鉴定及药敏分析系统。</w:t>
            </w:r>
          </w:p>
        </w:tc>
        <w:tc>
          <w:tcPr>
            <w:tcW w:w="1080" w:type="dxa"/>
            <w:tcBorders>
              <w:tl2br w:val="nil"/>
              <w:tr2bl w:val="nil"/>
            </w:tcBorders>
            <w:shd w:val="clear" w:color="auto" w:fill="auto"/>
            <w:vAlign w:val="center"/>
          </w:tcPr>
          <w:p w14:paraId="6422BB11">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240</w:t>
            </w:r>
            <w:bookmarkStart w:id="125" w:name="_GoBack"/>
            <w:bookmarkEnd w:id="125"/>
            <w:r>
              <w:rPr>
                <w:rFonts w:hint="eastAsia" w:ascii="宋体" w:hAnsi="宋体"/>
                <w:szCs w:val="28"/>
                <w:u w:val="none"/>
                <w:lang w:val="en-US" w:eastAsia="zh-CN"/>
              </w:rPr>
              <w:t>Units</w:t>
            </w:r>
          </w:p>
        </w:tc>
        <w:tc>
          <w:tcPr>
            <w:tcW w:w="890" w:type="dxa"/>
            <w:tcBorders>
              <w:tl2br w:val="nil"/>
              <w:tr2bl w:val="nil"/>
            </w:tcBorders>
            <w:shd w:val="clear" w:color="auto" w:fill="auto"/>
            <w:vAlign w:val="center"/>
          </w:tcPr>
          <w:p w14:paraId="767DC699">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箱</w:t>
            </w:r>
          </w:p>
        </w:tc>
        <w:tc>
          <w:tcPr>
            <w:tcW w:w="1271" w:type="dxa"/>
            <w:tcBorders>
              <w:tl2br w:val="nil"/>
              <w:tr2bl w:val="nil"/>
            </w:tcBorders>
            <w:shd w:val="clear" w:color="auto" w:fill="auto"/>
            <w:vAlign w:val="center"/>
          </w:tcPr>
          <w:p w14:paraId="4781F8EE">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3200</w:t>
            </w:r>
          </w:p>
        </w:tc>
        <w:tc>
          <w:tcPr>
            <w:tcW w:w="928" w:type="dxa"/>
            <w:tcBorders>
              <w:tl2br w:val="nil"/>
              <w:tr2bl w:val="nil"/>
            </w:tcBorders>
            <w:shd w:val="clear" w:color="auto" w:fill="auto"/>
            <w:vAlign w:val="center"/>
          </w:tcPr>
          <w:p w14:paraId="5BE599AE">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13</w:t>
            </w:r>
          </w:p>
        </w:tc>
        <w:tc>
          <w:tcPr>
            <w:tcW w:w="1299" w:type="dxa"/>
            <w:tcBorders>
              <w:tl2br w:val="nil"/>
              <w:tr2bl w:val="nil"/>
            </w:tcBorders>
            <w:shd w:val="clear" w:color="auto" w:fill="auto"/>
            <w:vAlign w:val="center"/>
          </w:tcPr>
          <w:p w14:paraId="58CD1220">
            <w:pPr>
              <w:keepNext w:val="0"/>
              <w:keepLines w:val="0"/>
              <w:suppressLineNumbers w:val="0"/>
              <w:spacing w:before="0" w:beforeAutospacing="0" w:after="0" w:afterAutospacing="0"/>
              <w:ind w:left="0" w:right="0"/>
              <w:jc w:val="center"/>
              <w:rPr>
                <w:rFonts w:hint="eastAsia" w:ascii="宋体" w:hAnsi="宋体"/>
                <w:szCs w:val="28"/>
                <w:u w:val="none"/>
                <w:lang w:val="en-US" w:eastAsia="zh-CN"/>
              </w:rPr>
            </w:pPr>
            <w:r>
              <w:rPr>
                <w:rFonts w:hint="eastAsia" w:ascii="宋体" w:hAnsi="宋体"/>
                <w:szCs w:val="28"/>
                <w:u w:val="none"/>
                <w:lang w:val="en-US" w:eastAsia="zh-CN"/>
              </w:rPr>
              <w:t>41600</w:t>
            </w:r>
          </w:p>
        </w:tc>
      </w:tr>
    </w:tbl>
    <w:p w14:paraId="796FBE73">
      <w:pPr>
        <w:pStyle w:val="10"/>
        <w:tabs>
          <w:tab w:val="left" w:pos="420"/>
          <w:tab w:val="left" w:pos="540"/>
        </w:tabs>
        <w:adjustRightInd w:val="0"/>
        <w:snapToGrid w:val="0"/>
        <w:spacing w:line="360" w:lineRule="auto"/>
        <w:rPr>
          <w:rFonts w:hAnsi="宋体"/>
          <w:b/>
          <w:color w:val="auto"/>
        </w:rPr>
      </w:pPr>
    </w:p>
    <w:p w14:paraId="7C2FC4C4">
      <w:pPr>
        <w:pStyle w:val="10"/>
        <w:numPr>
          <w:ilvl w:val="0"/>
          <w:numId w:val="7"/>
        </w:numPr>
        <w:tabs>
          <w:tab w:val="left" w:pos="540"/>
        </w:tabs>
        <w:adjustRightInd w:val="0"/>
        <w:snapToGrid w:val="0"/>
        <w:spacing w:line="360" w:lineRule="auto"/>
        <w:ind w:left="420" w:leftChars="0" w:hanging="420" w:firstLineChars="0"/>
        <w:outlineLvl w:val="9"/>
        <w:rPr>
          <w:rFonts w:hAnsi="宋体"/>
          <w:b/>
          <w:color w:val="auto"/>
        </w:rPr>
      </w:pPr>
      <w:r>
        <w:rPr>
          <w:rFonts w:hint="eastAsia" w:hAnsi="宋体"/>
          <w:b/>
          <w:color w:val="auto"/>
        </w:rPr>
        <w:t>商务要求：</w:t>
      </w:r>
    </w:p>
    <w:p w14:paraId="6E48CCF4">
      <w:pPr>
        <w:keepNext w:val="0"/>
        <w:keepLines w:val="0"/>
        <w:pageBreakBefore w:val="0"/>
        <w:widowControl w:val="0"/>
        <w:numPr>
          <w:ilvl w:val="0"/>
          <w:numId w:val="8"/>
        </w:numPr>
        <w:tabs>
          <w:tab w:val="left" w:pos="0"/>
          <w:tab w:val="left" w:pos="220"/>
          <w:tab w:val="clear" w:pos="312"/>
        </w:tabs>
        <w:kinsoku/>
        <w:wordWrap w:val="0"/>
        <w:overflowPunct/>
        <w:topLinePunct w:val="0"/>
        <w:autoSpaceDE/>
        <w:autoSpaceDN/>
        <w:bidi w:val="0"/>
        <w:adjustRightInd w:val="0"/>
        <w:snapToGrid w:val="0"/>
        <w:spacing w:line="240" w:lineRule="auto"/>
        <w:jc w:val="left"/>
        <w:textAlignment w:val="auto"/>
        <w:rPr>
          <w:rFonts w:hint="eastAsia"/>
          <w:highlight w:val="none"/>
          <w:lang w:val="en-US" w:eastAsia="zh-CN"/>
        </w:rPr>
      </w:pPr>
      <w:r>
        <w:rPr>
          <w:rFonts w:hint="eastAsia" w:ascii="宋体" w:hAnsi="宋体" w:eastAsia="宋体" w:cs="宋体"/>
          <w:b/>
          <w:bCs/>
          <w:color w:val="auto"/>
          <w:sz w:val="21"/>
          <w:szCs w:val="21"/>
          <w:highlight w:val="none"/>
          <w:lang w:val="en-US" w:eastAsia="zh-CN"/>
        </w:rPr>
        <w:t>合同履行</w:t>
      </w:r>
      <w:r>
        <w:rPr>
          <w:rFonts w:hint="eastAsia" w:ascii="宋体" w:hAnsi="宋体" w:eastAsia="宋体" w:cs="宋体"/>
          <w:b/>
          <w:bCs/>
          <w:color w:val="auto"/>
          <w:sz w:val="21"/>
          <w:szCs w:val="21"/>
          <w:highlight w:val="none"/>
          <w:lang w:val="zh-CN"/>
        </w:rPr>
        <w:t>期限：</w:t>
      </w:r>
      <w:r>
        <w:rPr>
          <w:rFonts w:hint="eastAsia"/>
          <w:highlight w:val="none"/>
          <w:lang w:val="en-US" w:eastAsia="zh-CN"/>
        </w:rPr>
        <w:t>24个月。</w:t>
      </w:r>
    </w:p>
    <w:p w14:paraId="4E72E39F">
      <w:pPr>
        <w:keepNext w:val="0"/>
        <w:keepLines w:val="0"/>
        <w:pageBreakBefore w:val="0"/>
        <w:widowControl w:val="0"/>
        <w:numPr>
          <w:ilvl w:val="0"/>
          <w:numId w:val="8"/>
        </w:numPr>
        <w:tabs>
          <w:tab w:val="left" w:pos="0"/>
          <w:tab w:val="left" w:pos="220"/>
          <w:tab w:val="clear" w:pos="312"/>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bCs/>
          <w:color w:val="auto"/>
          <w:sz w:val="21"/>
          <w:szCs w:val="21"/>
          <w:highlight w:val="none"/>
          <w:lang w:val="en-US" w:eastAsia="zh-CN"/>
        </w:rPr>
        <w:t>交货时间</w:t>
      </w:r>
      <w:r>
        <w:rPr>
          <w:rFonts w:hint="eastAsia" w:ascii="宋体" w:hAnsi="宋体" w:eastAsia="宋体" w:cs="宋体"/>
          <w:b/>
          <w:bCs/>
          <w:color w:val="auto"/>
          <w:sz w:val="21"/>
          <w:szCs w:val="21"/>
          <w:highlight w:val="none"/>
          <w:lang w:val="zh-CN"/>
        </w:rPr>
        <w:t>：</w:t>
      </w:r>
      <w:r>
        <w:rPr>
          <w:rFonts w:hint="eastAsia" w:ascii="宋体" w:hAnsi="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lang w:val="en-US" w:eastAsia="zh-CN"/>
        </w:rPr>
        <w:t>收到采购人的需求清单后</w:t>
      </w:r>
      <w:r>
        <w:rPr>
          <w:rFonts w:hint="eastAsia" w:ascii="宋体" w:hAnsi="宋体" w:eastAsia="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lang w:val="zh-CN"/>
        </w:rPr>
        <w:t>天内交货。</w:t>
      </w:r>
    </w:p>
    <w:p w14:paraId="34696E9B">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zh-CN"/>
        </w:rPr>
        <w:t>报价方式：</w:t>
      </w:r>
    </w:p>
    <w:p w14:paraId="1AE3C9D1">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报价使用货币及单位：人民币（元），报价精确到元。</w:t>
      </w:r>
    </w:p>
    <w:p w14:paraId="7FFFEC8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投标人所报价格为含税、配送商费用等的全包价。</w:t>
      </w:r>
    </w:p>
    <w:p w14:paraId="12EF6EC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投标人的投标报价不得高于深圳市最低成交价。</w:t>
      </w:r>
    </w:p>
    <w:p w14:paraId="69A9D4A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4投标人</w:t>
      </w:r>
      <w:r>
        <w:rPr>
          <w:rFonts w:hint="eastAsia" w:ascii="宋体" w:hAnsi="宋体" w:eastAsia="宋体" w:cs="宋体"/>
          <w:color w:val="auto"/>
          <w:sz w:val="21"/>
          <w:szCs w:val="21"/>
          <w:highlight w:val="none"/>
          <w:lang w:val="zh-CN"/>
        </w:rPr>
        <w:t>不得以低于自身成本的报价投标：当谈判小组认为其报价低于成本价时，谈判小组有权要求其对成本构成进行介绍，并要求投标方用书面的形式进行低价说明（在保证质量的前提下，能够大副节省经费的手段或原因）；如投标人没有合理的理由或不按要求提供低价说明，可视为不被接受的有风险的报价。</w:t>
      </w:r>
    </w:p>
    <w:p w14:paraId="0239CD57">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zh-CN"/>
        </w:rPr>
        <w:t>付款方式：</w:t>
      </w:r>
    </w:p>
    <w:p w14:paraId="7B3BE365">
      <w:pPr>
        <w:keepNext w:val="0"/>
        <w:keepLines w:val="0"/>
        <w:pageBreakBefore w:val="0"/>
        <w:widowControl w:val="0"/>
        <w:tabs>
          <w:tab w:val="left" w:pos="0"/>
          <w:tab w:val="left" w:pos="420"/>
        </w:tabs>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highlight w:val="none"/>
          <w:lang w:val="en-US" w:eastAsia="zh-CN"/>
        </w:rPr>
        <w:t>是</w:t>
      </w:r>
      <w:r>
        <w:rPr>
          <w:rFonts w:hint="eastAsia" w:ascii="宋体" w:hAnsi="宋体" w:eastAsia="宋体" w:cs="宋体"/>
          <w:color w:val="auto"/>
          <w:sz w:val="21"/>
          <w:szCs w:val="21"/>
          <w:highlight w:val="none"/>
          <w:lang w:val="zh-CN"/>
        </w:rPr>
        <w:t>按月</w:t>
      </w:r>
      <w:r>
        <w:rPr>
          <w:rFonts w:hint="eastAsia" w:ascii="宋体" w:hAnsi="宋体" w:eastAsia="宋体" w:cs="宋体"/>
          <w:color w:val="auto"/>
          <w:sz w:val="21"/>
          <w:szCs w:val="21"/>
          <w:highlight w:val="none"/>
          <w:lang w:val="en-US" w:eastAsia="zh-CN"/>
        </w:rPr>
        <w:t>据实</w:t>
      </w:r>
      <w:r>
        <w:rPr>
          <w:rFonts w:hint="eastAsia" w:ascii="宋体" w:hAnsi="宋体" w:eastAsia="宋体" w:cs="宋体"/>
          <w:color w:val="auto"/>
          <w:sz w:val="21"/>
          <w:szCs w:val="21"/>
          <w:highlight w:val="none"/>
          <w:lang w:val="zh-CN"/>
        </w:rPr>
        <w:t>结算，</w:t>
      </w:r>
      <w:r>
        <w:rPr>
          <w:rFonts w:hint="eastAsia" w:ascii="宋体" w:hAnsi="宋体" w:eastAsia="宋体" w:cs="宋体"/>
          <w:color w:val="auto"/>
          <w:sz w:val="21"/>
          <w:szCs w:val="21"/>
          <w:highlight w:val="none"/>
          <w:lang w:val="en-US" w:eastAsia="zh-CN"/>
        </w:rPr>
        <w:t>投标人在中标后，每月根据采购人</w:t>
      </w:r>
      <w:r>
        <w:rPr>
          <w:rFonts w:hint="eastAsia" w:ascii="宋体" w:hAnsi="宋体" w:cs="宋体"/>
          <w:color w:val="auto"/>
          <w:sz w:val="21"/>
          <w:szCs w:val="21"/>
          <w:highlight w:val="none"/>
          <w:lang w:val="en-US" w:eastAsia="zh-CN"/>
        </w:rPr>
        <w:t>的采购</w:t>
      </w:r>
      <w:r>
        <w:rPr>
          <w:rFonts w:hint="eastAsia" w:ascii="宋体" w:hAnsi="宋体" w:eastAsia="宋体" w:cs="宋体"/>
          <w:color w:val="auto"/>
          <w:sz w:val="21"/>
          <w:szCs w:val="21"/>
          <w:highlight w:val="none"/>
          <w:lang w:val="en-US" w:eastAsia="zh-CN"/>
        </w:rPr>
        <w:t>订货单、货物验收签到表以及开具购买</w:t>
      </w:r>
      <w:r>
        <w:rPr>
          <w:rFonts w:hint="eastAsia" w:ascii="宋体" w:hAnsi="宋体" w:cs="宋体"/>
          <w:color w:val="auto"/>
          <w:sz w:val="21"/>
          <w:szCs w:val="21"/>
          <w:highlight w:val="none"/>
          <w:lang w:val="en-US" w:eastAsia="zh-CN"/>
        </w:rPr>
        <w:t>对应</w:t>
      </w:r>
      <w:r>
        <w:rPr>
          <w:rFonts w:hint="eastAsia" w:ascii="宋体" w:hAnsi="宋体" w:eastAsia="宋体" w:cs="宋体"/>
          <w:color w:val="auto"/>
          <w:sz w:val="21"/>
          <w:szCs w:val="21"/>
          <w:highlight w:val="none"/>
          <w:lang w:val="en-US" w:eastAsia="zh-CN"/>
        </w:rPr>
        <w:t>耗材的发票金额</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向采购人申请支付费用</w:t>
      </w:r>
      <w:r>
        <w:rPr>
          <w:rFonts w:hint="eastAsia" w:ascii="宋体" w:hAnsi="宋体" w:cs="宋体"/>
          <w:color w:val="auto"/>
          <w:sz w:val="21"/>
          <w:szCs w:val="21"/>
          <w:highlight w:val="none"/>
          <w:lang w:val="en-US" w:eastAsia="zh-CN"/>
        </w:rPr>
        <w:t>结算</w:t>
      </w:r>
      <w:r>
        <w:rPr>
          <w:rFonts w:hint="eastAsia" w:ascii="宋体" w:hAnsi="宋体" w:eastAsia="宋体" w:cs="宋体"/>
          <w:color w:val="auto"/>
          <w:sz w:val="21"/>
          <w:szCs w:val="21"/>
          <w:highlight w:val="none"/>
          <w:lang w:val="en-US" w:eastAsia="zh-CN"/>
        </w:rPr>
        <w:t>。全年总支付金额不超过</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lang w:val="en-US" w:eastAsia="zh-CN"/>
        </w:rPr>
        <w:t>预算金额</w:t>
      </w:r>
      <w:r>
        <w:rPr>
          <w:rFonts w:hint="eastAsia" w:ascii="宋体" w:hAnsi="宋体" w:cs="宋体"/>
          <w:b/>
          <w:bCs/>
          <w:color w:val="auto"/>
          <w:sz w:val="21"/>
          <w:szCs w:val="21"/>
          <w:highlight w:val="none"/>
          <w:u w:val="single"/>
          <w:lang w:val="en-US" w:eastAsia="zh-CN"/>
        </w:rPr>
        <w:t>113978.00</w:t>
      </w:r>
      <w:r>
        <w:rPr>
          <w:rFonts w:hint="eastAsia" w:ascii="宋体" w:hAnsi="宋体" w:eastAsia="宋体" w:cs="宋体"/>
          <w:b/>
          <w:bCs/>
          <w:i w:val="0"/>
          <w:iCs w:val="0"/>
          <w:color w:val="000000"/>
          <w:kern w:val="0"/>
          <w:sz w:val="21"/>
          <w:szCs w:val="21"/>
          <w:highlight w:val="none"/>
          <w:u w:val="single"/>
          <w:lang w:val="en-US" w:eastAsia="zh-CN" w:bidi="ar"/>
        </w:rPr>
        <w:t>元</w:t>
      </w:r>
      <w:r>
        <w:rPr>
          <w:rFonts w:hint="eastAsia" w:ascii="宋体" w:hAnsi="宋体" w:eastAsia="宋体" w:cs="宋体"/>
          <w:b/>
          <w:bCs/>
          <w:i w:val="0"/>
          <w:iCs w:val="0"/>
          <w:color w:val="000000"/>
          <w:kern w:val="0"/>
          <w:sz w:val="20"/>
          <w:szCs w:val="20"/>
          <w:highlight w:val="none"/>
          <w:u w:val="none"/>
          <w:lang w:val="en-US" w:eastAsia="zh-CN" w:bidi="ar"/>
        </w:rPr>
        <w:t>，</w:t>
      </w:r>
      <w:r>
        <w:rPr>
          <w:rFonts w:hint="eastAsia" w:ascii="宋体" w:hAnsi="宋体" w:eastAsia="宋体" w:cs="宋体"/>
          <w:color w:val="auto"/>
          <w:sz w:val="21"/>
          <w:szCs w:val="21"/>
          <w:highlight w:val="none"/>
          <w:lang w:val="zh-CN"/>
        </w:rPr>
        <w:t>具体方式由供需双方在合同中约定。</w:t>
      </w:r>
    </w:p>
    <w:p w14:paraId="1D12A3D2">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zh-CN"/>
        </w:rPr>
        <w:t>质量保证</w:t>
      </w:r>
      <w:r>
        <w:rPr>
          <w:rFonts w:hint="eastAsia" w:ascii="宋体" w:hAnsi="宋体" w:eastAsia="宋体" w:cs="宋体"/>
          <w:b/>
          <w:bCs/>
          <w:color w:val="auto"/>
          <w:sz w:val="21"/>
          <w:szCs w:val="21"/>
          <w:highlight w:val="none"/>
          <w:lang w:val="en-US" w:eastAsia="zh-CN"/>
        </w:rPr>
        <w:t>：</w:t>
      </w:r>
    </w:p>
    <w:p w14:paraId="079899C3">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5.</w:t>
      </w:r>
      <w:r>
        <w:rPr>
          <w:rFonts w:hint="default" w:ascii="宋体" w:hAnsi="宋体" w:eastAsia="宋体" w:cs="宋体"/>
          <w:color w:val="auto"/>
          <w:sz w:val="21"/>
          <w:szCs w:val="21"/>
          <w:highlight w:val="none"/>
          <w:lang w:val="zh-CN" w:eastAsia="zh-CN"/>
        </w:rPr>
        <w:t>1</w:t>
      </w:r>
      <w:r>
        <w:rPr>
          <w:rFonts w:hint="eastAsia" w:ascii="宋体" w:hAnsi="宋体" w:eastAsia="宋体" w:cs="宋体"/>
          <w:color w:val="auto"/>
          <w:sz w:val="21"/>
          <w:szCs w:val="21"/>
          <w:highlight w:val="none"/>
          <w:lang w:val="zh-CN"/>
        </w:rPr>
        <w:t>中标人需按国家相关标准进行耗材包装，耗材的包装均</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lang w:val="zh-CN"/>
        </w:rPr>
        <w:t>有良好的防湿、防锈、防潮、防雨、防腐及防碰撞的措施，并适宜深圳的气候条件。凡由于包装不良造成的损失和由此产生的费用均由</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lang w:val="zh-CN"/>
        </w:rPr>
        <w:t>标人承担。</w:t>
      </w:r>
    </w:p>
    <w:p w14:paraId="663681FE">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5.2</w:t>
      </w:r>
      <w:r>
        <w:rPr>
          <w:rFonts w:hint="eastAsia" w:ascii="宋体" w:hAnsi="宋体" w:eastAsia="宋体" w:cs="宋体"/>
          <w:color w:val="auto"/>
          <w:sz w:val="21"/>
          <w:szCs w:val="21"/>
          <w:highlight w:val="none"/>
          <w:lang w:val="zh-CN"/>
        </w:rPr>
        <w:t>中标人应提供完整的技术资料，包括但不限于产品说明书、质量保证文件、服务指南等，所有外文资料</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lang w:val="zh-CN"/>
        </w:rPr>
        <w:t>提供中文译本。文件应随货物一并交付至采购人指定地点。</w:t>
      </w:r>
    </w:p>
    <w:p w14:paraId="7625E7FE">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kern w:val="2"/>
          <w:sz w:val="21"/>
          <w:szCs w:val="21"/>
          <w:highlight w:val="none"/>
          <w:lang w:val="en-US" w:eastAsia="zh-CN" w:bidi="ar-SA"/>
        </w:rPr>
        <w:t>5.3</w:t>
      </w:r>
      <w:r>
        <w:rPr>
          <w:rFonts w:hint="eastAsia" w:ascii="宋体" w:hAnsi="宋体" w:eastAsia="宋体" w:cs="宋体"/>
          <w:color w:val="auto"/>
          <w:szCs w:val="21"/>
          <w:highlight w:val="none"/>
          <w:lang w:val="en-US" w:eastAsia="zh-CN"/>
        </w:rPr>
        <w:t>在临床使用中出现不良事件，</w:t>
      </w:r>
      <w:r>
        <w:rPr>
          <w:rFonts w:hint="eastAsia" w:ascii="宋体" w:hAnsi="宋体" w:eastAsia="宋体" w:cs="宋体"/>
          <w:color w:val="auto"/>
          <w:sz w:val="21"/>
          <w:szCs w:val="21"/>
          <w:highlight w:val="none"/>
          <w:lang w:val="zh-CN"/>
        </w:rPr>
        <w:t>中标人</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lang w:val="en-US" w:eastAsia="zh-CN"/>
        </w:rPr>
        <w:t>接到通知后半小时内响应，两小时内赶到现场。经国家相关质量监察部门鉴定后，确实属于产品质量问题的，</w:t>
      </w:r>
      <w:r>
        <w:rPr>
          <w:rFonts w:hint="eastAsia" w:ascii="宋体" w:hAnsi="宋体" w:cs="宋体"/>
          <w:color w:val="auto"/>
          <w:szCs w:val="21"/>
          <w:highlight w:val="none"/>
          <w:lang w:val="en-US" w:eastAsia="zh-CN"/>
        </w:rPr>
        <w:t>由</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承担全部责任。</w:t>
      </w:r>
    </w:p>
    <w:p w14:paraId="0EFCD6D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20" w:firstLineChars="200"/>
        <w:textAlignment w:val="auto"/>
        <w:rPr>
          <w:rFonts w:hint="eastAsia" w:cs="宋体" w:asciiTheme="minorEastAsia" w:hAnsiTheme="minorEastAsia"/>
          <w:color w:val="auto"/>
          <w:kern w:val="0"/>
          <w:highlight w:val="none"/>
          <w:lang w:val="en-US" w:eastAsia="zh-CN"/>
        </w:rPr>
      </w:pPr>
      <w:r>
        <w:rPr>
          <w:rFonts w:hint="eastAsia" w:hAnsi="宋体" w:cs="宋体"/>
          <w:color w:val="auto"/>
          <w:szCs w:val="21"/>
          <w:highlight w:val="none"/>
          <w:lang w:val="en-US" w:eastAsia="zh-CN"/>
        </w:rPr>
        <w:t>5.</w:t>
      </w:r>
      <w:r>
        <w:rPr>
          <w:rFonts w:hint="eastAsia" w:ascii="宋体" w:hAnsi="宋体" w:cs="宋体"/>
          <w:color w:val="auto"/>
          <w:szCs w:val="21"/>
          <w:highlight w:val="none"/>
          <w:lang w:val="en-US" w:eastAsia="zh-CN"/>
        </w:rPr>
        <w:t>4</w:t>
      </w:r>
      <w:r>
        <w:rPr>
          <w:rFonts w:hint="eastAsia" w:cs="宋体" w:asciiTheme="minorEastAsia" w:hAnsiTheme="minorEastAsia"/>
          <w:color w:val="auto"/>
          <w:kern w:val="0"/>
          <w:highlight w:val="none"/>
          <w:lang w:val="en-US" w:eastAsia="zh-CN"/>
        </w:rPr>
        <w:t>货物有效期不低于</w:t>
      </w:r>
      <w:r>
        <w:rPr>
          <w:rFonts w:hint="eastAsia" w:cs="宋体" w:asciiTheme="minorEastAsia" w:hAnsiTheme="minorEastAsia"/>
          <w:b/>
          <w:bCs/>
          <w:color w:val="auto"/>
          <w:kern w:val="0"/>
          <w:highlight w:val="none"/>
          <w:u w:val="single"/>
          <w:lang w:val="en-US" w:eastAsia="zh-CN"/>
        </w:rPr>
        <w:t>产品有效期的三分之二</w:t>
      </w:r>
      <w:r>
        <w:rPr>
          <w:rFonts w:hint="eastAsia" w:cs="宋体" w:asciiTheme="minorEastAsia" w:hAnsiTheme="minorEastAsia"/>
          <w:color w:val="auto"/>
          <w:kern w:val="0"/>
          <w:highlight w:val="none"/>
          <w:lang w:val="en-US" w:eastAsia="zh-CN"/>
        </w:rPr>
        <w:t>，有效期内有任何产品质量问题，中标人需免费进行更换。</w:t>
      </w:r>
    </w:p>
    <w:p w14:paraId="66DC0D09">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zh-CN"/>
        </w:rPr>
        <w:t>售后服务要求</w:t>
      </w:r>
      <w:r>
        <w:rPr>
          <w:rFonts w:hint="eastAsia" w:ascii="宋体" w:hAnsi="宋体" w:cs="宋体"/>
          <w:b/>
          <w:bCs/>
          <w:color w:val="auto"/>
          <w:sz w:val="21"/>
          <w:szCs w:val="21"/>
          <w:highlight w:val="none"/>
          <w:lang w:val="zh-CN"/>
        </w:rPr>
        <w:t>：</w:t>
      </w:r>
    </w:p>
    <w:p w14:paraId="5F3755D0">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6.1</w:t>
      </w:r>
      <w:r>
        <w:rPr>
          <w:rFonts w:hint="eastAsia" w:ascii="宋体" w:hAnsi="宋体" w:eastAsia="宋体" w:cs="宋体"/>
          <w:color w:val="auto"/>
          <w:sz w:val="21"/>
          <w:szCs w:val="21"/>
          <w:highlight w:val="none"/>
          <w:lang w:val="zh-CN"/>
        </w:rPr>
        <w:t>耗材出现问题时，中标人</w:t>
      </w:r>
      <w:r>
        <w:rPr>
          <w:rFonts w:hint="eastAsia" w:ascii="宋体" w:hAnsi="宋体" w:cs="宋体"/>
          <w:color w:val="auto"/>
          <w:szCs w:val="21"/>
          <w:highlight w:val="none"/>
          <w:lang w:val="en-US" w:eastAsia="zh-CN"/>
        </w:rPr>
        <w:t>要求中标人能在2</w:t>
      </w:r>
      <w:r>
        <w:rPr>
          <w:rFonts w:hint="eastAsia" w:ascii="宋体" w:hAnsi="宋体" w:eastAsia="宋体" w:cs="宋体"/>
          <w:color w:val="auto"/>
          <w:szCs w:val="21"/>
          <w:highlight w:val="none"/>
          <w:lang w:val="en-US" w:eastAsia="zh-CN"/>
        </w:rPr>
        <w:t>小时内响应，</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zh-CN"/>
        </w:rPr>
        <w:t>小时内到达现场。</w:t>
      </w:r>
    </w:p>
    <w:p w14:paraId="06C9F3BA">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6.</w:t>
      </w:r>
      <w:r>
        <w:rPr>
          <w:rFonts w:hint="default" w:ascii="宋体" w:hAnsi="宋体" w:eastAsia="宋体" w:cs="宋体"/>
          <w:color w:val="auto"/>
          <w:kern w:val="2"/>
          <w:sz w:val="21"/>
          <w:szCs w:val="21"/>
          <w:highlight w:val="none"/>
          <w:lang w:val="zh-CN" w:eastAsia="zh-CN" w:bidi="ar-SA"/>
        </w:rPr>
        <w:t>2</w:t>
      </w:r>
      <w:r>
        <w:rPr>
          <w:rFonts w:hint="eastAsia" w:ascii="宋体" w:hAnsi="宋体" w:eastAsia="宋体" w:cs="宋体"/>
          <w:color w:val="auto"/>
          <w:sz w:val="21"/>
          <w:szCs w:val="21"/>
          <w:highlight w:val="none"/>
          <w:lang w:val="zh-CN"/>
        </w:rPr>
        <w:t>中标人投标时所提供的耗材如在实际供货时已经停产，</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lang w:val="zh-CN"/>
        </w:rPr>
        <w:t>按原价提供</w:t>
      </w:r>
      <w:r>
        <w:rPr>
          <w:rFonts w:hint="eastAsia" w:ascii="宋体" w:hAnsi="宋体" w:cs="宋体"/>
          <w:color w:val="auto"/>
          <w:sz w:val="21"/>
          <w:szCs w:val="21"/>
          <w:highlight w:val="none"/>
          <w:lang w:val="en-US" w:eastAsia="zh-CN"/>
        </w:rPr>
        <w:t>用途相同的</w:t>
      </w:r>
      <w:r>
        <w:rPr>
          <w:rFonts w:hint="eastAsia" w:ascii="宋体" w:hAnsi="宋体" w:eastAsia="宋体" w:cs="宋体"/>
          <w:color w:val="auto"/>
          <w:sz w:val="21"/>
          <w:szCs w:val="21"/>
          <w:highlight w:val="none"/>
          <w:lang w:val="zh-CN"/>
        </w:rPr>
        <w:t>更优质的耗材。</w:t>
      </w:r>
    </w:p>
    <w:p w14:paraId="4EE5287A">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6.3</w:t>
      </w:r>
      <w:r>
        <w:rPr>
          <w:rFonts w:hint="eastAsia" w:ascii="宋体" w:hAnsi="宋体" w:eastAsia="宋体" w:cs="宋体"/>
          <w:color w:val="auto"/>
          <w:szCs w:val="21"/>
          <w:highlight w:val="none"/>
          <w:lang w:val="en-US" w:eastAsia="zh-CN"/>
        </w:rPr>
        <w:t>自</w:t>
      </w:r>
      <w:r>
        <w:rPr>
          <w:rFonts w:hint="eastAsia" w:ascii="宋体" w:hAnsi="宋体" w:cs="宋体"/>
          <w:color w:val="auto"/>
          <w:szCs w:val="21"/>
          <w:highlight w:val="none"/>
          <w:lang w:val="en-US" w:eastAsia="zh-CN"/>
        </w:rPr>
        <w:t>采购人订单发出</w:t>
      </w:r>
      <w:r>
        <w:rPr>
          <w:rFonts w:hint="eastAsia" w:ascii="宋体" w:hAnsi="宋体" w:eastAsia="宋体" w:cs="宋体"/>
          <w:color w:val="auto"/>
          <w:szCs w:val="21"/>
          <w:highlight w:val="none"/>
          <w:lang w:val="en-US" w:eastAsia="zh-CN"/>
        </w:rPr>
        <w:t>之</w:t>
      </w:r>
      <w:r>
        <w:rPr>
          <w:rFonts w:hint="eastAsia" w:ascii="宋体" w:hAnsi="宋体" w:cs="宋体"/>
          <w:color w:val="auto"/>
          <w:szCs w:val="21"/>
          <w:highlight w:val="none"/>
          <w:lang w:val="en-US" w:eastAsia="zh-CN"/>
        </w:rPr>
        <w:t>时</w:t>
      </w:r>
      <w:r>
        <w:rPr>
          <w:rFonts w:hint="eastAsia" w:ascii="宋体" w:hAnsi="宋体" w:eastAsia="宋体" w:cs="宋体"/>
          <w:color w:val="auto"/>
          <w:szCs w:val="21"/>
          <w:highlight w:val="none"/>
          <w:lang w:val="en-US" w:eastAsia="zh-CN"/>
        </w:rPr>
        <w:t>起</w:t>
      </w:r>
      <w:r>
        <w:rPr>
          <w:rFonts w:hint="eastAsia" w:ascii="宋体" w:hAnsi="宋体" w:cs="宋体"/>
          <w:color w:val="auto"/>
          <w:szCs w:val="21"/>
          <w:highlight w:val="none"/>
          <w:lang w:val="en-US" w:eastAsia="zh-CN"/>
        </w:rPr>
        <w:t>要求</w:t>
      </w:r>
      <w:r>
        <w:rPr>
          <w:rFonts w:hint="eastAsia" w:ascii="宋体" w:hAnsi="宋体" w:eastAsia="宋体" w:cs="宋体"/>
          <w:color w:val="auto"/>
          <w:sz w:val="21"/>
          <w:szCs w:val="21"/>
          <w:highlight w:val="none"/>
          <w:lang w:val="zh-CN"/>
        </w:rPr>
        <w:t>中标人</w:t>
      </w:r>
      <w:r>
        <w:rPr>
          <w:rFonts w:hint="eastAsia" w:ascii="宋体" w:hAnsi="宋体" w:cs="宋体"/>
          <w:color w:val="auto"/>
          <w:sz w:val="21"/>
          <w:szCs w:val="21"/>
          <w:highlight w:val="none"/>
          <w:lang w:val="en-US" w:eastAsia="zh-CN"/>
        </w:rPr>
        <w:t>耗材</w:t>
      </w:r>
      <w:r>
        <w:rPr>
          <w:rFonts w:hint="eastAsia" w:ascii="宋体" w:hAnsi="宋体" w:eastAsia="宋体" w:cs="宋体"/>
          <w:color w:val="auto"/>
          <w:szCs w:val="21"/>
          <w:highlight w:val="none"/>
          <w:lang w:val="en-US" w:eastAsia="zh-CN"/>
        </w:rPr>
        <w:t>配送</w:t>
      </w:r>
      <w:r>
        <w:rPr>
          <w:rFonts w:hint="eastAsia" w:ascii="宋体" w:hAnsi="宋体" w:cs="宋体"/>
          <w:color w:val="auto"/>
          <w:szCs w:val="21"/>
          <w:highlight w:val="none"/>
          <w:lang w:val="en-US" w:eastAsia="zh-CN"/>
        </w:rPr>
        <w:t>时限一般</w:t>
      </w:r>
      <w:r>
        <w:rPr>
          <w:rFonts w:hint="eastAsia" w:ascii="宋体" w:hAnsi="宋体" w:eastAsia="宋体" w:cs="宋体"/>
          <w:color w:val="auto"/>
          <w:szCs w:val="21"/>
          <w:highlight w:val="none"/>
          <w:lang w:val="en-US" w:eastAsia="zh-CN"/>
        </w:rPr>
        <w:t>不超过</w:t>
      </w:r>
      <w:r>
        <w:rPr>
          <w:rFonts w:hint="eastAsia" w:ascii="宋体" w:hAnsi="宋体" w:cs="宋体"/>
          <w:color w:val="auto"/>
          <w:szCs w:val="21"/>
          <w:highlight w:val="none"/>
          <w:lang w:val="en-US" w:eastAsia="zh-CN"/>
        </w:rPr>
        <w:t>48</w:t>
      </w:r>
      <w:r>
        <w:rPr>
          <w:rFonts w:hint="eastAsia" w:ascii="宋体" w:hAnsi="宋体" w:eastAsia="宋体" w:cs="宋体"/>
          <w:color w:val="auto"/>
          <w:szCs w:val="21"/>
          <w:highlight w:val="none"/>
          <w:lang w:val="en-US" w:eastAsia="zh-CN"/>
        </w:rPr>
        <w:t>小时。</w:t>
      </w:r>
      <w:r>
        <w:rPr>
          <w:rFonts w:hint="eastAsia" w:ascii="宋体" w:hAnsi="宋体" w:cs="宋体"/>
          <w:color w:val="auto"/>
          <w:szCs w:val="21"/>
          <w:highlight w:val="none"/>
          <w:lang w:val="en-US" w:eastAsia="zh-CN"/>
        </w:rPr>
        <w:t>若采购人要求</w:t>
      </w:r>
      <w:r>
        <w:rPr>
          <w:rFonts w:hint="eastAsia" w:ascii="宋体" w:hAnsi="宋体" w:eastAsia="宋体" w:cs="宋体"/>
          <w:color w:val="auto"/>
          <w:szCs w:val="21"/>
          <w:highlight w:val="none"/>
          <w:lang w:val="en-US" w:eastAsia="zh-CN"/>
        </w:rPr>
        <w:t>紧急配送，</w:t>
      </w:r>
      <w:r>
        <w:rPr>
          <w:rFonts w:hint="eastAsia" w:ascii="宋体" w:hAnsi="宋体" w:eastAsia="宋体" w:cs="宋体"/>
          <w:color w:val="auto"/>
          <w:sz w:val="21"/>
          <w:szCs w:val="21"/>
          <w:highlight w:val="none"/>
          <w:lang w:val="zh-CN"/>
        </w:rPr>
        <w:t>中标人</w:t>
      </w:r>
      <w:r>
        <w:rPr>
          <w:rFonts w:hint="eastAsia" w:ascii="宋体" w:hAnsi="宋体" w:cs="宋体"/>
          <w:color w:val="auto"/>
          <w:sz w:val="21"/>
          <w:szCs w:val="21"/>
          <w:highlight w:val="none"/>
          <w:lang w:val="en-US" w:eastAsia="zh-CN"/>
        </w:rPr>
        <w:t>需</w:t>
      </w:r>
      <w:r>
        <w:rPr>
          <w:rFonts w:hint="eastAsia" w:ascii="宋体" w:hAnsi="宋体" w:eastAsia="宋体" w:cs="宋体"/>
          <w:color w:val="auto"/>
          <w:szCs w:val="21"/>
          <w:highlight w:val="none"/>
          <w:lang w:val="en-US" w:eastAsia="zh-CN"/>
        </w:rPr>
        <w:t>保证所有</w:t>
      </w:r>
      <w:r>
        <w:rPr>
          <w:rFonts w:hint="eastAsia" w:ascii="宋体" w:hAnsi="宋体" w:cs="宋体"/>
          <w:color w:val="auto"/>
          <w:szCs w:val="21"/>
          <w:highlight w:val="none"/>
          <w:lang w:val="en-US" w:eastAsia="zh-CN"/>
        </w:rPr>
        <w:t>耗材</w:t>
      </w:r>
      <w:r>
        <w:rPr>
          <w:rFonts w:hint="eastAsia" w:ascii="宋体" w:hAnsi="宋体" w:eastAsia="宋体" w:cs="宋体"/>
          <w:color w:val="auto"/>
          <w:szCs w:val="21"/>
          <w:highlight w:val="none"/>
          <w:lang w:val="en-US" w:eastAsia="zh-CN"/>
        </w:rPr>
        <w:t>在</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小时内送达。</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订单发出</w:t>
      </w:r>
      <w:r>
        <w:rPr>
          <w:rFonts w:hint="eastAsia" w:ascii="宋体" w:hAnsi="宋体" w:cs="宋体"/>
          <w:color w:val="auto"/>
          <w:szCs w:val="21"/>
          <w:highlight w:val="none"/>
          <w:lang w:val="en-US" w:eastAsia="zh-CN"/>
        </w:rPr>
        <w:t>时间包含</w:t>
      </w:r>
      <w:r>
        <w:rPr>
          <w:rFonts w:hint="eastAsia" w:ascii="宋体" w:hAnsi="宋体" w:eastAsia="宋体" w:cs="宋体"/>
          <w:color w:val="auto"/>
          <w:szCs w:val="21"/>
          <w:highlight w:val="none"/>
          <w:lang w:val="en-US" w:eastAsia="zh-CN"/>
        </w:rPr>
        <w:t>节假日</w:t>
      </w:r>
      <w:r>
        <w:rPr>
          <w:rFonts w:hint="eastAsia" w:ascii="宋体" w:hAnsi="宋体" w:cs="宋体"/>
          <w:color w:val="auto"/>
          <w:szCs w:val="21"/>
          <w:highlight w:val="none"/>
          <w:lang w:val="en-US" w:eastAsia="zh-CN"/>
        </w:rPr>
        <w:t>，</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应留置值班人员以满足</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订货需求。</w:t>
      </w:r>
    </w:p>
    <w:p w14:paraId="08076FB4">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6.4</w:t>
      </w:r>
      <w:r>
        <w:rPr>
          <w:rFonts w:hint="eastAsia" w:ascii="宋体" w:hAnsi="宋体" w:eastAsia="宋体" w:cs="宋体"/>
          <w:color w:val="auto"/>
          <w:sz w:val="21"/>
          <w:szCs w:val="21"/>
          <w:highlight w:val="none"/>
          <w:lang w:val="zh-CN"/>
        </w:rPr>
        <w:t>中标人应派专业技术人员对采购</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lang w:val="zh-CN"/>
        </w:rPr>
        <w:t>指定人员进行定期培训及指导</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且不额外收费</w:t>
      </w:r>
      <w:r>
        <w:rPr>
          <w:rFonts w:hint="eastAsia" w:ascii="宋体" w:hAnsi="宋体" w:eastAsia="宋体" w:cs="宋体"/>
          <w:color w:val="auto"/>
          <w:sz w:val="21"/>
          <w:szCs w:val="21"/>
          <w:highlight w:val="none"/>
          <w:lang w:val="zh-CN"/>
        </w:rPr>
        <w:t>。</w:t>
      </w:r>
    </w:p>
    <w:p w14:paraId="6FAB44AB">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6.</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rPr>
        <w:t>应按其投标文件中的承诺，进行其他售后服务工作。</w:t>
      </w:r>
    </w:p>
    <w:p w14:paraId="641A96C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zh-CN"/>
        </w:rPr>
        <w:t>验收及相关技术文件、资料</w:t>
      </w:r>
      <w:r>
        <w:rPr>
          <w:rFonts w:hint="eastAsia" w:ascii="宋体" w:hAnsi="宋体" w:cs="宋体"/>
          <w:b/>
          <w:bCs/>
          <w:color w:val="auto"/>
          <w:sz w:val="21"/>
          <w:szCs w:val="21"/>
          <w:highlight w:val="none"/>
          <w:lang w:val="zh-CN"/>
        </w:rPr>
        <w:t>：</w:t>
      </w:r>
    </w:p>
    <w:p w14:paraId="771A21C5">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7.1</w:t>
      </w:r>
      <w:r>
        <w:rPr>
          <w:rFonts w:hint="eastAsia" w:ascii="宋体" w:hAnsi="宋体" w:cs="宋体"/>
          <w:color w:val="auto"/>
          <w:szCs w:val="21"/>
          <w:highlight w:val="none"/>
          <w:lang w:val="zh-CN" w:eastAsia="zh-CN"/>
        </w:rPr>
        <w:t>投标人提供的耗材</w:t>
      </w:r>
      <w:r>
        <w:rPr>
          <w:rFonts w:hint="eastAsia" w:ascii="宋体" w:hAnsi="宋体" w:cs="宋体"/>
          <w:color w:val="auto"/>
          <w:szCs w:val="21"/>
          <w:highlight w:val="none"/>
          <w:lang w:val="en-US" w:eastAsia="zh-CN"/>
        </w:rPr>
        <w:t>应</w:t>
      </w:r>
      <w:r>
        <w:rPr>
          <w:rFonts w:hint="eastAsia" w:ascii="宋体" w:hAnsi="宋体" w:cs="宋体"/>
          <w:color w:val="auto"/>
          <w:szCs w:val="21"/>
          <w:highlight w:val="none"/>
          <w:lang w:val="zh-CN" w:eastAsia="zh-CN"/>
        </w:rPr>
        <w:t>符合国家承认的相应标准。</w:t>
      </w:r>
      <w:r>
        <w:rPr>
          <w:rFonts w:hint="eastAsia" w:ascii="宋体" w:hAnsi="宋体" w:cs="宋体"/>
          <w:color w:val="auto"/>
          <w:szCs w:val="21"/>
          <w:highlight w:val="none"/>
          <w:lang w:val="en-US" w:eastAsia="zh-CN"/>
        </w:rPr>
        <w:t>满足采购要求。</w:t>
      </w:r>
    </w:p>
    <w:p w14:paraId="43D72BC5">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cs="宋体"/>
          <w:color w:val="auto"/>
          <w:szCs w:val="21"/>
          <w:highlight w:val="none"/>
          <w:lang w:val="zh-CN" w:eastAsia="zh-CN"/>
        </w:rPr>
      </w:pPr>
      <w:r>
        <w:rPr>
          <w:rFonts w:hint="eastAsia" w:ascii="宋体" w:hAnsi="宋体" w:cs="宋体"/>
          <w:color w:val="auto"/>
          <w:szCs w:val="21"/>
          <w:highlight w:val="none"/>
          <w:lang w:val="en-US" w:eastAsia="zh-CN"/>
        </w:rPr>
        <w:t>7.2</w:t>
      </w:r>
      <w:r>
        <w:rPr>
          <w:rFonts w:hint="eastAsia" w:ascii="宋体" w:hAnsi="宋体" w:cs="宋体"/>
          <w:color w:val="auto"/>
          <w:szCs w:val="21"/>
          <w:highlight w:val="none"/>
          <w:lang w:val="zh-CN" w:eastAsia="zh-CN"/>
        </w:rPr>
        <w:t>投标人所提供的</w:t>
      </w:r>
      <w:r>
        <w:rPr>
          <w:rFonts w:hint="eastAsia" w:ascii="宋体" w:hAnsi="宋体" w:cs="宋体"/>
          <w:color w:val="auto"/>
          <w:szCs w:val="21"/>
          <w:highlight w:val="none"/>
          <w:lang w:val="en-US" w:eastAsia="zh-CN"/>
        </w:rPr>
        <w:t>应</w:t>
      </w:r>
      <w:r>
        <w:rPr>
          <w:rFonts w:hint="eastAsia" w:ascii="宋体" w:hAnsi="宋体" w:cs="宋体"/>
          <w:color w:val="auto"/>
          <w:szCs w:val="21"/>
          <w:highlight w:val="none"/>
          <w:lang w:val="zh-CN" w:eastAsia="zh-CN"/>
        </w:rPr>
        <w:t>是其合法生产或代理的合格耗材，并能够按照耗材成交确认合同规定的商标、产地、质量、价格、</w:t>
      </w:r>
      <w:r>
        <w:rPr>
          <w:rFonts w:hint="eastAsia" w:ascii="宋体" w:hAnsi="宋体" w:cs="宋体"/>
          <w:color w:val="auto"/>
          <w:szCs w:val="21"/>
          <w:highlight w:val="none"/>
          <w:lang w:val="en-US" w:eastAsia="zh-CN"/>
        </w:rPr>
        <w:t>有</w:t>
      </w:r>
      <w:r>
        <w:rPr>
          <w:rFonts w:hint="eastAsia" w:ascii="宋体" w:hAnsi="宋体" w:cs="宋体"/>
          <w:color w:val="auto"/>
          <w:szCs w:val="21"/>
          <w:highlight w:val="none"/>
          <w:lang w:val="zh-CN" w:eastAsia="zh-CN"/>
        </w:rPr>
        <w:t>效期及时供货。</w:t>
      </w:r>
    </w:p>
    <w:p w14:paraId="78D5FDEC">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7.3</w:t>
      </w:r>
      <w:r>
        <w:rPr>
          <w:rFonts w:hint="eastAsia" w:ascii="宋体" w:hAnsi="宋体" w:eastAsia="宋体" w:cs="宋体"/>
          <w:color w:val="auto"/>
          <w:sz w:val="21"/>
          <w:szCs w:val="21"/>
          <w:highlight w:val="none"/>
          <w:lang w:val="zh-CN"/>
        </w:rPr>
        <w:t>耗材外观清洁，产品包装上（包括大包装、小包装等）需附有以下所列各项国家规定的中文标识：</w:t>
      </w:r>
    </w:p>
    <w:p w14:paraId="12AA719E">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（1）耗材名称、型号、规格；</w:t>
      </w:r>
    </w:p>
    <w:p w14:paraId="7970AA57">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（2）生产企业名称、注册地址、生产地址、联系方式；</w:t>
      </w:r>
    </w:p>
    <w:p w14:paraId="7BD933FF">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）耗材生产日期或批（编）号、有效期限。</w:t>
      </w:r>
    </w:p>
    <w:p w14:paraId="15B48AC0">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7.4</w:t>
      </w:r>
      <w:r>
        <w:rPr>
          <w:rFonts w:hint="eastAsia" w:ascii="宋体" w:hAnsi="宋体" w:eastAsia="宋体" w:cs="宋体"/>
          <w:color w:val="auto"/>
          <w:sz w:val="21"/>
          <w:szCs w:val="21"/>
          <w:highlight w:val="none"/>
          <w:lang w:val="zh-CN"/>
        </w:rPr>
        <w:t>所有耗材在开封检验时</w:t>
      </w:r>
      <w:r>
        <w:rPr>
          <w:rFonts w:hint="eastAsia" w:ascii="宋体" w:hAnsi="宋体" w:cs="宋体"/>
          <w:color w:val="auto"/>
          <w:szCs w:val="21"/>
          <w:highlight w:val="none"/>
          <w:lang w:val="en-US" w:eastAsia="zh-CN"/>
        </w:rPr>
        <w:t>应</w:t>
      </w:r>
      <w:r>
        <w:rPr>
          <w:rFonts w:hint="eastAsia" w:ascii="宋体" w:hAnsi="宋体" w:eastAsia="宋体" w:cs="宋体"/>
          <w:color w:val="auto"/>
          <w:sz w:val="21"/>
          <w:szCs w:val="21"/>
          <w:highlight w:val="none"/>
          <w:lang w:val="zh-CN"/>
        </w:rPr>
        <w:t>完好，无破损，配置与说明书相符。如有破损，应无条件退换。</w:t>
      </w:r>
    </w:p>
    <w:p w14:paraId="03E23A03">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7.5</w:t>
      </w:r>
      <w:r>
        <w:rPr>
          <w:rFonts w:hint="eastAsia" w:ascii="宋体" w:hAnsi="宋体" w:eastAsia="宋体" w:cs="宋体"/>
          <w:color w:val="auto"/>
          <w:sz w:val="21"/>
          <w:szCs w:val="21"/>
          <w:highlight w:val="none"/>
          <w:lang w:val="zh-CN"/>
        </w:rPr>
        <w:t>耗材符合</w:t>
      </w:r>
      <w:r>
        <w:rPr>
          <w:rFonts w:hint="eastAsia" w:ascii="宋体" w:hAnsi="宋体" w:cs="宋体"/>
          <w:color w:val="auto"/>
          <w:sz w:val="21"/>
          <w:szCs w:val="21"/>
          <w:highlight w:val="none"/>
          <w:lang w:val="en-US" w:eastAsia="zh-CN"/>
        </w:rPr>
        <w:t>谈判文件</w:t>
      </w:r>
      <w:r>
        <w:rPr>
          <w:rFonts w:hint="eastAsia" w:ascii="宋体" w:hAnsi="宋体" w:eastAsia="宋体" w:cs="宋体"/>
          <w:color w:val="auto"/>
          <w:sz w:val="21"/>
          <w:szCs w:val="21"/>
          <w:highlight w:val="none"/>
          <w:lang w:val="zh-CN"/>
        </w:rPr>
        <w:t>技术要求，具备产品合格证，性能满足要求。</w:t>
      </w:r>
    </w:p>
    <w:p w14:paraId="13A7BD2A">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7.6采购人</w:t>
      </w:r>
      <w:r>
        <w:rPr>
          <w:rFonts w:hint="eastAsia" w:ascii="宋体" w:hAnsi="宋体" w:eastAsia="宋体" w:cs="宋体"/>
          <w:color w:val="auto"/>
          <w:szCs w:val="21"/>
          <w:highlight w:val="none"/>
          <w:lang w:val="en-US" w:eastAsia="zh-CN"/>
        </w:rPr>
        <w:t>接受货物后若有疑义或使用前发现不宜使用的现象，</w:t>
      </w:r>
      <w:r>
        <w:rPr>
          <w:rFonts w:hint="eastAsia" w:ascii="宋体" w:hAnsi="宋体" w:cs="宋体"/>
          <w:color w:val="auto"/>
          <w:szCs w:val="21"/>
          <w:highlight w:val="none"/>
          <w:lang w:val="en-US" w:eastAsia="zh-CN"/>
        </w:rPr>
        <w:t>中标人需</w:t>
      </w:r>
      <w:r>
        <w:rPr>
          <w:rFonts w:hint="eastAsia" w:ascii="宋体" w:hAnsi="宋体" w:eastAsia="宋体" w:cs="宋体"/>
          <w:color w:val="auto"/>
          <w:szCs w:val="21"/>
          <w:highlight w:val="none"/>
          <w:lang w:val="en-US" w:eastAsia="zh-CN"/>
        </w:rPr>
        <w:t>提供退换货服务</w:t>
      </w:r>
      <w:r>
        <w:rPr>
          <w:rFonts w:hint="eastAsia" w:ascii="宋体" w:hAnsi="宋体" w:cs="宋体"/>
          <w:color w:val="auto"/>
          <w:szCs w:val="21"/>
          <w:highlight w:val="none"/>
          <w:lang w:val="en-US" w:eastAsia="zh-CN"/>
        </w:rPr>
        <w:t>，不额外收费</w:t>
      </w:r>
      <w:r>
        <w:rPr>
          <w:rFonts w:hint="eastAsia" w:ascii="宋体" w:hAnsi="宋体" w:eastAsia="宋体" w:cs="宋体"/>
          <w:color w:val="auto"/>
          <w:szCs w:val="21"/>
          <w:highlight w:val="none"/>
          <w:lang w:val="en-US" w:eastAsia="zh-CN"/>
        </w:rPr>
        <w:t>。</w:t>
      </w:r>
    </w:p>
    <w:p w14:paraId="2467B0F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zh-CN"/>
        </w:rPr>
      </w:pP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zh-CN"/>
        </w:rPr>
        <w:t>运输要求</w:t>
      </w:r>
      <w:r>
        <w:rPr>
          <w:rFonts w:hint="eastAsia" w:ascii="宋体" w:hAnsi="宋体" w:cs="宋体"/>
          <w:b/>
          <w:bCs/>
          <w:color w:val="auto"/>
          <w:sz w:val="21"/>
          <w:szCs w:val="21"/>
          <w:highlight w:val="none"/>
          <w:lang w:val="zh-CN"/>
        </w:rPr>
        <w:t>：</w:t>
      </w:r>
      <w:r>
        <w:rPr>
          <w:rFonts w:hint="eastAsia" w:ascii="宋体" w:hAnsi="宋体" w:cs="宋体"/>
          <w:color w:val="auto"/>
          <w:sz w:val="21"/>
          <w:szCs w:val="21"/>
          <w:highlight w:val="none"/>
          <w:lang w:val="en-US" w:eastAsia="zh-CN"/>
        </w:rPr>
        <w:t>中</w:t>
      </w:r>
      <w:r>
        <w:rPr>
          <w:rFonts w:hint="eastAsia" w:ascii="宋体" w:hAnsi="宋体" w:eastAsia="宋体" w:cs="宋体"/>
          <w:color w:val="auto"/>
          <w:sz w:val="21"/>
          <w:szCs w:val="21"/>
          <w:highlight w:val="none"/>
          <w:lang w:val="zh-CN"/>
        </w:rPr>
        <w:t>标人负责将耗材安全无损运抵采购人指定地点，并承担包装、运输、保险、装卸、关税、增值税等费用。</w:t>
      </w:r>
    </w:p>
    <w:p w14:paraId="7722D280">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zh-CN"/>
        </w:rPr>
      </w:pP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zh-CN"/>
        </w:rPr>
        <w:t>质量及知识产权要求</w:t>
      </w:r>
      <w:r>
        <w:rPr>
          <w:rFonts w:hint="eastAsia" w:ascii="宋体" w:hAnsi="宋体" w:cs="宋体"/>
          <w:b/>
          <w:bCs/>
          <w:color w:val="auto"/>
          <w:sz w:val="21"/>
          <w:szCs w:val="21"/>
          <w:highlight w:val="none"/>
          <w:lang w:val="zh-CN"/>
        </w:rPr>
        <w:t>：</w:t>
      </w:r>
    </w:p>
    <w:p w14:paraId="249F376F">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投标人应保证采购人在使用该货物或其任何一部分时，免受第三方提出的侵犯其专利权、商标权、著作权或其它知识产权的起诉。投标人保证所提供软件的合法性，所发生的任何知识产权纠纷与采购人无关。</w:t>
      </w:r>
    </w:p>
    <w:p w14:paraId="33D00D2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采购人购买产品后，有权对该产品与其他设备进行配套、整合或适当改进，而免受侵犯专利权的起诉。</w:t>
      </w:r>
    </w:p>
    <w:p w14:paraId="0FD884CC">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zh-CN"/>
        </w:rPr>
        <w:t>违约责任</w:t>
      </w:r>
      <w:r>
        <w:rPr>
          <w:rFonts w:hint="eastAsia" w:ascii="宋体" w:hAnsi="宋体" w:cs="宋体"/>
          <w:b/>
          <w:bCs/>
          <w:color w:val="auto"/>
          <w:sz w:val="21"/>
          <w:szCs w:val="21"/>
          <w:highlight w:val="none"/>
          <w:lang w:val="zh-CN"/>
        </w:rPr>
        <w:t>：</w:t>
      </w:r>
    </w:p>
    <w:p w14:paraId="2E2E01DD">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10.1</w:t>
      </w:r>
      <w:r>
        <w:rPr>
          <w:rFonts w:hint="eastAsia" w:ascii="宋体" w:hAnsi="宋体" w:eastAsia="宋体" w:cs="宋体"/>
          <w:color w:val="auto"/>
          <w:sz w:val="21"/>
          <w:szCs w:val="21"/>
          <w:highlight w:val="none"/>
          <w:lang w:val="zh-CN"/>
        </w:rPr>
        <w:t>如投标人未按照投标文件中承诺的时间交货或提供服务，投标人应承担延期交货和延期服务的违约责任，并赔偿采购人因此造成的实际经济损失。</w:t>
      </w:r>
    </w:p>
    <w:p w14:paraId="118206F7">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10.2</w:t>
      </w:r>
      <w:r>
        <w:rPr>
          <w:rFonts w:hint="eastAsia" w:ascii="宋体" w:hAnsi="宋体" w:eastAsia="宋体" w:cs="宋体"/>
          <w:color w:val="auto"/>
          <w:sz w:val="21"/>
          <w:szCs w:val="21"/>
          <w:highlight w:val="none"/>
          <w:lang w:val="zh-CN"/>
        </w:rPr>
        <w:t>投标人所提供检测试剂的品种、型号、规格、质量、技术参数等方面不能实质性满足遴选文件要约的，采购人有权拒绝收货，投标人向采购人偿付项目采购金额千分之十（千分之十以上千分之二十以下）的违约金；造成严重后果的，根据《深圳经济特区政府采购条例》第五十七条第（二）款规定，由主管部门对中标人进行处罚。</w:t>
      </w:r>
    </w:p>
    <w:p w14:paraId="60FDCCE1">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10.3</w:t>
      </w:r>
      <w:r>
        <w:rPr>
          <w:rFonts w:hint="eastAsia" w:ascii="宋体" w:hAnsi="宋体" w:eastAsia="宋体" w:cs="宋体"/>
          <w:color w:val="auto"/>
          <w:sz w:val="21"/>
          <w:szCs w:val="21"/>
          <w:highlight w:val="none"/>
          <w:lang w:val="zh-CN"/>
        </w:rPr>
        <w:t>投标人不能交付</w:t>
      </w:r>
      <w:r>
        <w:rPr>
          <w:rFonts w:hint="eastAsia" w:ascii="宋体" w:hAnsi="宋体" w:cs="宋体"/>
          <w:color w:val="auto"/>
          <w:sz w:val="21"/>
          <w:szCs w:val="21"/>
          <w:highlight w:val="none"/>
          <w:lang w:val="en-US" w:eastAsia="zh-CN"/>
        </w:rPr>
        <w:t>产品时</w:t>
      </w:r>
      <w:r>
        <w:rPr>
          <w:rFonts w:hint="eastAsia" w:ascii="宋体" w:hAnsi="宋体" w:eastAsia="宋体" w:cs="宋体"/>
          <w:color w:val="auto"/>
          <w:sz w:val="21"/>
          <w:szCs w:val="21"/>
          <w:highlight w:val="none"/>
          <w:lang w:val="zh-CN"/>
        </w:rPr>
        <w:t>，投标人向采购人偿付项目采购金额千分之二十（千分之十以上千分之二十以下）的违约金；造成严重后果的，根据《深圳经济特区政府采购条例》第五十七条第（二）款规定，由主管部门对中标人进行处罚。</w:t>
      </w:r>
    </w:p>
    <w:p w14:paraId="5097FA0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en-US" w:eastAsia="zh-CN"/>
        </w:rPr>
        <w:t>11.其他商务要求：</w:t>
      </w:r>
    </w:p>
    <w:p w14:paraId="38B25A18">
      <w:pPr>
        <w:keepNext w:val="0"/>
        <w:keepLines w:val="0"/>
        <w:suppressLineNumbers w:val="0"/>
        <w:spacing w:before="0" w:beforeAutospacing="0" w:after="0" w:afterAutospacing="0"/>
        <w:ind w:left="0" w:right="0"/>
        <w:jc w:val="left"/>
        <w:rPr>
          <w:rFonts w:hint="eastAsia" w:ascii="宋体" w:hAnsi="宋体" w:eastAsia="宋体" w:cs="宋体"/>
          <w:snapToGrid/>
          <w:color w:val="auto"/>
          <w:spacing w:val="0"/>
          <w:kern w:val="2"/>
          <w:sz w:val="21"/>
          <w:szCs w:val="24"/>
          <w:highlight w:val="none"/>
          <w:lang w:val="en-US" w:eastAsia="zh-CN" w:bidi="ar-SA"/>
        </w:rPr>
      </w:pPr>
      <w:r>
        <w:rPr>
          <w:rFonts w:hint="eastAsia" w:asciiTheme="minorEastAsia" w:hAnsiTheme="minorEastAsia" w:eastAsiaTheme="minorEastAsia"/>
          <w:b/>
          <w:bCs/>
          <w:color w:val="auto"/>
          <w:szCs w:val="21"/>
        </w:rPr>
        <w:t>★</w:t>
      </w:r>
      <w:r>
        <w:rPr>
          <w:rFonts w:hint="eastAsia" w:ascii="宋体" w:hAnsi="宋体" w:eastAsia="宋体" w:cs="宋体"/>
          <w:snapToGrid/>
          <w:color w:val="auto"/>
          <w:spacing w:val="0"/>
          <w:kern w:val="2"/>
          <w:sz w:val="21"/>
          <w:szCs w:val="24"/>
          <w:highlight w:val="none"/>
          <w:lang w:val="en-US" w:eastAsia="zh-CN" w:bidi="ar-SA"/>
        </w:rPr>
        <w:t>1、中标公司无条件配合医院SPD物流精细化管理服务，同时承诺支付每月管理服务费(不超当月供货总额的3%)，具体与医院签合同时按合同条款执行。</w:t>
      </w:r>
    </w:p>
    <w:p w14:paraId="438C1245">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6271AEF">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6F7597F">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200CBE54">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C9F282B">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bookmarkStart w:id="9" w:name="_Toc16150"/>
    </w:p>
    <w:p w14:paraId="39635CDA">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16FD5AC7">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7FBA496D">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1C32CB16">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30DD1D05">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5CA1FFA2">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273B8225">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2AE125F5">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6C4D6CB3">
      <w:pPr>
        <w:rPr>
          <w:rFonts w:hint="eastAsia" w:asciiTheme="majorEastAsia" w:hAnsiTheme="majorEastAsia" w:eastAsiaTheme="majorEastAsia" w:cstheme="majorEastAsia"/>
          <w:kern w:val="2"/>
          <w:sz w:val="32"/>
          <w:szCs w:val="32"/>
          <w:lang w:val="en-US" w:eastAsia="zh-CN" w:bidi="ar-SA"/>
        </w:rPr>
      </w:pPr>
    </w:p>
    <w:p w14:paraId="1A93CC14">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第三章 </w:t>
      </w:r>
      <w:r>
        <w:rPr>
          <w:rFonts w:hint="eastAsia" w:asciiTheme="majorEastAsia" w:hAnsiTheme="majorEastAsia" w:eastAsiaTheme="majorEastAsia" w:cstheme="majorEastAsia"/>
          <w:sz w:val="32"/>
          <w:szCs w:val="32"/>
        </w:rPr>
        <w:t>开标、评标、定标</w:t>
      </w:r>
      <w:bookmarkEnd w:id="9"/>
    </w:p>
    <w:p w14:paraId="3B4C8BEE">
      <w:pPr>
        <w:pStyle w:val="3"/>
        <w:numPr>
          <w:ilvl w:val="0"/>
          <w:numId w:val="9"/>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0" w:name="_Toc1988"/>
      <w:bookmarkStart w:id="11" w:name="_Toc15209"/>
      <w:bookmarkStart w:id="12" w:name="_Toc10794"/>
      <w:bookmarkStart w:id="13" w:name="_Toc24015563"/>
      <w:r>
        <w:rPr>
          <w:rFonts w:hint="eastAsia" w:ascii="宋体" w:hAnsi="宋体" w:cs="宋体" w:eastAsiaTheme="minorEastAsia"/>
          <w:kern w:val="2"/>
          <w:sz w:val="21"/>
          <w:szCs w:val="21"/>
          <w:lang w:val="en-US" w:eastAsia="zh-CN" w:bidi="ar-SA"/>
        </w:rPr>
        <w:t>资格性审查表</w:t>
      </w:r>
      <w:bookmarkEnd w:id="10"/>
      <w:bookmarkEnd w:id="11"/>
      <w:bookmarkEnd w:id="12"/>
      <w:bookmarkEnd w:id="13"/>
    </w:p>
    <w:tbl>
      <w:tblPr>
        <w:tblStyle w:val="1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1448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F38D1B1">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4" w:name="_Toc15975"/>
            <w:r>
              <w:rPr>
                <w:rFonts w:hint="eastAsia" w:ascii="宋体" w:hAnsi="宋体" w:eastAsia="宋体" w:cs="宋体"/>
                <w:b/>
                <w:bCs/>
                <w:color w:val="000000"/>
                <w:sz w:val="21"/>
                <w:szCs w:val="21"/>
              </w:rPr>
              <w:t>序号</w:t>
            </w:r>
          </w:p>
        </w:tc>
        <w:tc>
          <w:tcPr>
            <w:tcW w:w="9286" w:type="dxa"/>
            <w:noWrap w:val="0"/>
            <w:vAlign w:val="center"/>
          </w:tcPr>
          <w:p w14:paraId="71E426C9">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DCC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15C2584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5DCC1074">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086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97C909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187AA579">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4"/>
    </w:p>
    <w:p w14:paraId="41BA4C69">
      <w:pPr>
        <w:pStyle w:val="3"/>
        <w:numPr>
          <w:ilvl w:val="0"/>
          <w:numId w:val="9"/>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5" w:name="_Toc11989"/>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bookmarkEnd w:id="15"/>
    </w:p>
    <w:tbl>
      <w:tblPr>
        <w:tblStyle w:val="17"/>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noWrap w:val="0"/>
            <w:vAlign w:val="center"/>
          </w:tcPr>
          <w:p w14:paraId="02E74DB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319" w:type="dxa"/>
            <w:noWrap w:val="0"/>
            <w:vAlign w:val="center"/>
          </w:tcPr>
          <w:p w14:paraId="66D5BC0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noWrap w:val="0"/>
            <w:vAlign w:val="center"/>
          </w:tcPr>
          <w:p w14:paraId="3684B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319" w:type="dxa"/>
            <w:noWrap w:val="0"/>
            <w:vAlign w:val="center"/>
          </w:tcPr>
          <w:p w14:paraId="5094F6E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29F5E7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319" w:type="dxa"/>
            <w:noWrap w:val="0"/>
            <w:vAlign w:val="center"/>
          </w:tcPr>
          <w:p w14:paraId="2FA4074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谈判文件</w:t>
            </w:r>
            <w:r>
              <w:rPr>
                <w:rFonts w:hint="eastAsia" w:ascii="宋体" w:hAnsi="宋体" w:eastAsia="宋体" w:cs="宋体"/>
                <w:sz w:val="21"/>
                <w:szCs w:val="21"/>
              </w:rPr>
              <w:t>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noWrap w:val="0"/>
            <w:vAlign w:val="center"/>
          </w:tcPr>
          <w:p w14:paraId="15D796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9319" w:type="dxa"/>
            <w:noWrap w:val="0"/>
            <w:vAlign w:val="center"/>
          </w:tcPr>
          <w:p w14:paraId="50C53FF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分项报价或投标总价高于限价，或未按照</w:t>
            </w:r>
            <w:r>
              <w:rPr>
                <w:rFonts w:hint="eastAsia" w:ascii="宋体" w:hAnsi="宋体" w:eastAsia="宋体" w:cs="宋体"/>
                <w:sz w:val="21"/>
                <w:szCs w:val="21"/>
                <w:lang w:val="en-US" w:eastAsia="zh-CN"/>
              </w:rPr>
              <w:t>谈判文件</w:t>
            </w:r>
            <w:r>
              <w:rPr>
                <w:rFonts w:hint="eastAsia" w:ascii="宋体" w:hAnsi="宋体" w:eastAsia="宋体" w:cs="宋体"/>
                <w:sz w:val="21"/>
                <w:szCs w:val="21"/>
              </w:rPr>
              <w:t>的报价要求进行报价的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noWrap w:val="0"/>
            <w:vAlign w:val="center"/>
          </w:tcPr>
          <w:p w14:paraId="54B0DF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9319" w:type="dxa"/>
            <w:noWrap w:val="0"/>
            <w:vAlign w:val="center"/>
          </w:tcPr>
          <w:p w14:paraId="6012D7A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noWrap w:val="0"/>
            <w:vAlign w:val="center"/>
          </w:tcPr>
          <w:p w14:paraId="3B2F8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9319" w:type="dxa"/>
            <w:noWrap w:val="0"/>
            <w:vAlign w:val="center"/>
          </w:tcPr>
          <w:p w14:paraId="615E946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评审</w:t>
            </w:r>
            <w:r>
              <w:rPr>
                <w:rFonts w:hint="eastAsia" w:ascii="宋体" w:hAnsi="宋体" w:eastAsia="宋体" w:cs="宋体"/>
                <w:sz w:val="21"/>
                <w:szCs w:val="21"/>
              </w:rPr>
              <w:t>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w:t>
            </w:r>
            <w:r>
              <w:rPr>
                <w:rFonts w:hint="eastAsia" w:ascii="宋体" w:hAnsi="宋体" w:eastAsia="宋体" w:cs="宋体"/>
                <w:sz w:val="21"/>
                <w:szCs w:val="21"/>
                <w:lang w:val="en-US" w:eastAsia="zh-CN"/>
              </w:rPr>
              <w:t>评审</w:t>
            </w:r>
            <w:r>
              <w:rPr>
                <w:rFonts w:hint="eastAsia" w:ascii="宋体" w:hAnsi="宋体" w:eastAsia="宋体" w:cs="宋体"/>
                <w:sz w:val="21"/>
                <w:szCs w:val="21"/>
              </w:rPr>
              <w:t>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w:t>
            </w:r>
            <w:r>
              <w:rPr>
                <w:rFonts w:hint="eastAsia" w:ascii="宋体" w:hAnsi="宋体" w:eastAsia="宋体" w:cs="宋体"/>
                <w:sz w:val="21"/>
                <w:szCs w:val="21"/>
                <w:lang w:val="en-US" w:eastAsia="zh-CN"/>
              </w:rPr>
              <w:t>评审</w:t>
            </w:r>
            <w:r>
              <w:rPr>
                <w:rFonts w:hint="eastAsia" w:ascii="宋体" w:hAnsi="宋体" w:eastAsia="宋体" w:cs="宋体"/>
                <w:sz w:val="21"/>
                <w:szCs w:val="21"/>
              </w:rPr>
              <w:t>小组的意见，投标文件的轻微瑕疵、非关键内容不得作为认定投标无效的依据）</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2CBFE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9319" w:type="dxa"/>
            <w:noWrap w:val="0"/>
            <w:vAlign w:val="center"/>
          </w:tcPr>
          <w:p w14:paraId="07E171B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谈判文件</w:t>
            </w:r>
            <w:r>
              <w:rPr>
                <w:rFonts w:hint="eastAsia" w:ascii="宋体" w:hAnsi="宋体" w:eastAsia="宋体" w:cs="宋体"/>
                <w:sz w:val="21"/>
                <w:szCs w:val="21"/>
              </w:rPr>
              <w:t>要求的（是否实质性满足</w:t>
            </w:r>
            <w:r>
              <w:rPr>
                <w:rFonts w:hint="eastAsia" w:ascii="宋体" w:hAnsi="宋体" w:eastAsia="宋体" w:cs="宋体"/>
                <w:sz w:val="21"/>
                <w:szCs w:val="21"/>
                <w:lang w:eastAsia="zh-CN"/>
              </w:rPr>
              <w:t>谈判文件</w:t>
            </w:r>
            <w:r>
              <w:rPr>
                <w:rFonts w:hint="eastAsia" w:ascii="宋体" w:hAnsi="宋体" w:eastAsia="宋体" w:cs="宋体"/>
                <w:sz w:val="21"/>
                <w:szCs w:val="21"/>
              </w:rPr>
              <w:t>要求，由</w:t>
            </w:r>
            <w:r>
              <w:rPr>
                <w:rFonts w:hint="eastAsia" w:ascii="宋体" w:hAnsi="宋体" w:eastAsia="宋体" w:cs="宋体"/>
                <w:sz w:val="21"/>
                <w:szCs w:val="21"/>
                <w:lang w:eastAsia="zh-CN"/>
              </w:rPr>
              <w:t>谈判小组</w:t>
            </w:r>
            <w:r>
              <w:rPr>
                <w:rFonts w:hint="eastAsia" w:ascii="宋体" w:hAnsi="宋体" w:eastAsia="宋体" w:cs="宋体"/>
                <w:sz w:val="21"/>
                <w:szCs w:val="21"/>
              </w:rPr>
              <w:t>根据《实质性条款响应情况表》做出评判）</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noWrap w:val="0"/>
            <w:vAlign w:val="center"/>
          </w:tcPr>
          <w:p w14:paraId="584C96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9319" w:type="dxa"/>
            <w:noWrap w:val="0"/>
            <w:vAlign w:val="center"/>
          </w:tcPr>
          <w:p w14:paraId="0ECC420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谈判文件</w:t>
            </w:r>
            <w:r>
              <w:rPr>
                <w:rFonts w:hint="eastAsia" w:ascii="宋体" w:hAnsi="宋体" w:eastAsia="宋体" w:cs="宋体"/>
                <w:sz w:val="21"/>
                <w:szCs w:val="21"/>
              </w:rPr>
              <w:t>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noWrap w:val="0"/>
            <w:vAlign w:val="center"/>
          </w:tcPr>
          <w:p w14:paraId="4189910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9</w:t>
            </w:r>
          </w:p>
        </w:tc>
        <w:tc>
          <w:tcPr>
            <w:tcW w:w="9319" w:type="dxa"/>
            <w:noWrap w:val="0"/>
            <w:vAlign w:val="center"/>
          </w:tcPr>
          <w:p w14:paraId="4504AFE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谈判文件</w:t>
            </w:r>
            <w:r>
              <w:rPr>
                <w:rFonts w:hint="eastAsia" w:ascii="宋体" w:hAnsi="宋体" w:eastAsia="宋体" w:cs="宋体"/>
                <w:sz w:val="21"/>
                <w:szCs w:val="21"/>
              </w:rPr>
              <w:t>规定的项目需求内容或者需求数量进行修改，未填写所投货物的品牌、规格、型号、制造商、原产地），由</w:t>
            </w:r>
            <w:r>
              <w:rPr>
                <w:rFonts w:hint="eastAsia" w:ascii="宋体" w:hAnsi="宋体" w:eastAsia="宋体" w:cs="宋体"/>
                <w:sz w:val="21"/>
                <w:szCs w:val="21"/>
                <w:lang w:eastAsia="zh-CN"/>
              </w:rPr>
              <w:t>谈判小组</w:t>
            </w:r>
            <w:r>
              <w:rPr>
                <w:rFonts w:hint="eastAsia" w:ascii="宋体" w:hAnsi="宋体" w:eastAsia="宋体" w:cs="宋体"/>
                <w:sz w:val="21"/>
                <w:szCs w:val="21"/>
              </w:rPr>
              <w:t>根据《分项报价清单》做出评判）；</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0EF1F89F">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9319" w:type="dxa"/>
            <w:noWrap w:val="0"/>
            <w:vAlign w:val="center"/>
          </w:tcPr>
          <w:p w14:paraId="55DC8266">
            <w:pPr>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rPr>
              <w:t>投标文件附有采购人或招标需求不能接受的条件</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77071F0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p>
        </w:tc>
        <w:tc>
          <w:tcPr>
            <w:tcW w:w="9319" w:type="dxa"/>
            <w:noWrap w:val="0"/>
            <w:vAlign w:val="center"/>
          </w:tcPr>
          <w:p w14:paraId="659C8E5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法律法规规定的其他情形</w:t>
            </w:r>
          </w:p>
        </w:tc>
      </w:tr>
    </w:tbl>
    <w:p w14:paraId="0A4E0289">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5"/>
        <w:numPr>
          <w:ilvl w:val="0"/>
          <w:numId w:val="10"/>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8"/>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1C6C0329">
      <w:pPr>
        <w:tabs>
          <w:tab w:val="left" w:pos="420"/>
          <w:tab w:val="left" w:pos="630"/>
        </w:tabs>
        <w:autoSpaceDE w:val="0"/>
        <w:autoSpaceDN w:val="0"/>
        <w:adjustRightInd w:val="0"/>
        <w:spacing w:line="360" w:lineRule="auto"/>
        <w:rPr>
          <w:rFonts w:hint="eastAsia" w:ascii="宋体" w:cs="宋体"/>
          <w:szCs w:val="21"/>
          <w:lang w:val="en-US" w:eastAsia="zh-CN"/>
        </w:rPr>
      </w:pPr>
    </w:p>
    <w:p w14:paraId="46EE8D27">
      <w:pPr>
        <w:pStyle w:val="28"/>
        <w:widowControl/>
        <w:numPr>
          <w:ilvl w:val="0"/>
          <w:numId w:val="11"/>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5A295094">
      <w:pPr>
        <w:pStyle w:val="28"/>
        <w:widowControl/>
        <w:numPr>
          <w:ilvl w:val="0"/>
          <w:numId w:val="0"/>
        </w:numPr>
        <w:spacing w:line="360" w:lineRule="auto"/>
        <w:ind w:leftChars="0"/>
        <w:jc w:val="left"/>
        <w:rPr>
          <w:rFonts w:hAnsi="宋体"/>
          <w:color w:val="auto"/>
        </w:rPr>
      </w:pPr>
      <w:r>
        <w:rPr>
          <w:rFonts w:hint="eastAsia" w:ascii="宋体" w:hAnsi="宋体" w:cs="宋体"/>
          <w:szCs w:val="21"/>
          <w:lang w:val="en-US" w:eastAsia="zh-CN"/>
        </w:rPr>
        <w:t>1.1. 应在</w:t>
      </w:r>
      <w:r>
        <w:rPr>
          <w:rFonts w:hint="eastAsia" w:ascii="宋体" w:hAnsi="宋体" w:cs="宋体"/>
          <w:szCs w:val="21"/>
        </w:rPr>
        <w:t>规定的日期、时间和地点组织公开开标。开标时邀请所有投标人代表</w:t>
      </w:r>
      <w:r>
        <w:rPr>
          <w:rFonts w:hint="eastAsia" w:ascii="宋体" w:hAnsi="宋体" w:cs="宋体"/>
          <w:color w:val="auto"/>
          <w:szCs w:val="21"/>
        </w:rPr>
        <w:t>参加。参加开标的代表应签名报到以证明其出席。</w:t>
      </w:r>
    </w:p>
    <w:p w14:paraId="21A559D8">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1.2. </w:t>
      </w:r>
      <w:r>
        <w:rPr>
          <w:rFonts w:hint="eastAsia" w:ascii="宋体" w:hAnsi="宋体" w:cs="宋体"/>
          <w:szCs w:val="21"/>
        </w:rPr>
        <w:t>开标时，由</w:t>
      </w:r>
      <w:r>
        <w:rPr>
          <w:rFonts w:hint="eastAsia" w:ascii="宋体" w:hAnsi="宋体" w:cs="宋体"/>
          <w:szCs w:val="21"/>
          <w:lang w:val="en-US" w:eastAsia="zh-CN"/>
        </w:rPr>
        <w:t>采购人党委办公室工作人员</w:t>
      </w:r>
      <w:r>
        <w:rPr>
          <w:rFonts w:hint="eastAsia" w:ascii="宋体" w:hAnsi="宋体" w:cs="宋体"/>
          <w:szCs w:val="21"/>
        </w:rPr>
        <w:t>检查投标文件的密封情况；经确认无误后，由采购人工作人员当众拆封，宣布投标人名称、投标价格和</w:t>
      </w:r>
      <w:r>
        <w:rPr>
          <w:rFonts w:hint="eastAsia" w:ascii="宋体" w:hAnsi="宋体" w:cs="宋体"/>
          <w:szCs w:val="21"/>
          <w:lang w:eastAsia="zh-CN"/>
        </w:rPr>
        <w:t>谈判文件</w:t>
      </w:r>
      <w:r>
        <w:rPr>
          <w:rFonts w:hint="eastAsia" w:ascii="宋体" w:hAnsi="宋体" w:cs="宋体"/>
          <w:szCs w:val="21"/>
        </w:rPr>
        <w:t>规定的需要宣布的其他内容。</w:t>
      </w:r>
    </w:p>
    <w:p w14:paraId="269632FF">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1.3. </w:t>
      </w:r>
      <w:r>
        <w:rPr>
          <w:rFonts w:hint="eastAsia" w:ascii="宋体" w:hAnsi="宋体" w:cs="宋体"/>
          <w:szCs w:val="21"/>
        </w:rPr>
        <w:t>开标过程应当由采购人相关工作人员负责记录，由参加开标的各投标人代表和相关工作人员签字确认。</w:t>
      </w:r>
    </w:p>
    <w:p w14:paraId="133E712D">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1.4. </w:t>
      </w:r>
      <w:r>
        <w:rPr>
          <w:rFonts w:hint="eastAsia" w:ascii="宋体" w:hAnsi="宋体" w:cs="宋体"/>
          <w:szCs w:val="21"/>
        </w:rPr>
        <w:t>投标人代表对开标过程和开标记录有疑义，以及认为采购人相关工作人员有需要回避的情形的，应当场提出询问或者回避申请。采购人对投标人代表提出的询问或者回避申请应当及时处理。</w:t>
      </w:r>
    </w:p>
    <w:p w14:paraId="7BB623E9">
      <w:pPr>
        <w:pStyle w:val="28"/>
        <w:widowControl/>
        <w:numPr>
          <w:ilvl w:val="0"/>
          <w:numId w:val="0"/>
        </w:numPr>
        <w:spacing w:line="360" w:lineRule="auto"/>
        <w:ind w:leftChars="0"/>
        <w:jc w:val="left"/>
        <w:outlineLvl w:val="9"/>
        <w:rPr>
          <w:rFonts w:hint="eastAsia" w:ascii="宋体" w:hAnsi="宋体" w:cs="宋体"/>
          <w:szCs w:val="21"/>
        </w:rPr>
      </w:pPr>
      <w:r>
        <w:rPr>
          <w:rFonts w:hint="eastAsia" w:ascii="宋体" w:hAnsi="宋体" w:cs="宋体"/>
          <w:szCs w:val="21"/>
          <w:lang w:val="en-US" w:eastAsia="zh-CN"/>
        </w:rPr>
        <w:t xml:space="preserve">1.5. </w:t>
      </w:r>
      <w:r>
        <w:rPr>
          <w:rFonts w:hint="eastAsia" w:ascii="宋体" w:hAnsi="宋体" w:cs="宋体"/>
          <w:szCs w:val="21"/>
        </w:rPr>
        <w:t>投标人未参加开标的，视同认可开标结果。</w:t>
      </w:r>
    </w:p>
    <w:p w14:paraId="15660E1E">
      <w:pPr>
        <w:pStyle w:val="28"/>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谈判小组的组成</w:t>
      </w:r>
    </w:p>
    <w:p w14:paraId="2E6567D7">
      <w:pPr>
        <w:pStyle w:val="28"/>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2.1. </w:t>
      </w:r>
      <w:r>
        <w:rPr>
          <w:rFonts w:hint="eastAsia" w:ascii="宋体" w:hAnsi="宋体" w:cs="宋体"/>
          <w:szCs w:val="21"/>
          <w:lang w:eastAsia="zh-CN"/>
        </w:rPr>
        <w:t>谈判小组</w:t>
      </w:r>
      <w:r>
        <w:rPr>
          <w:rFonts w:hint="eastAsia" w:ascii="宋体" w:hAnsi="宋体" w:cs="宋体"/>
          <w:szCs w:val="21"/>
        </w:rPr>
        <w:t>依法组建，由</w:t>
      </w:r>
      <w:r>
        <w:rPr>
          <w:rFonts w:hint="eastAsia" w:ascii="宋体" w:hAnsi="宋体" w:cs="宋体"/>
          <w:szCs w:val="21"/>
          <w:lang w:val="en-US" w:eastAsia="zh-CN"/>
        </w:rPr>
        <w:t>3</w:t>
      </w:r>
      <w:r>
        <w:rPr>
          <w:rFonts w:hint="eastAsia" w:ascii="宋体" w:hAnsi="宋体" w:cs="宋体"/>
          <w:szCs w:val="21"/>
        </w:rPr>
        <w:t>人</w:t>
      </w:r>
      <w:r>
        <w:rPr>
          <w:rFonts w:hint="eastAsia" w:ascii="宋体" w:hAnsi="宋体" w:cs="宋体"/>
          <w:szCs w:val="21"/>
          <w:lang w:val="en-US" w:eastAsia="zh-CN"/>
        </w:rPr>
        <w:t>以上</w:t>
      </w:r>
      <w:r>
        <w:rPr>
          <w:rFonts w:hint="eastAsia" w:ascii="宋体" w:hAnsi="宋体" w:cs="宋体"/>
          <w:szCs w:val="21"/>
        </w:rPr>
        <w:t>单数组成。</w:t>
      </w:r>
    </w:p>
    <w:p w14:paraId="0B02EDB8">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2.2. </w:t>
      </w:r>
      <w:r>
        <w:rPr>
          <w:rFonts w:hint="eastAsia" w:ascii="宋体" w:hAnsi="宋体" w:cs="宋体"/>
          <w:szCs w:val="21"/>
          <w:lang w:eastAsia="zh-CN"/>
        </w:rPr>
        <w:t>谈判小组</w:t>
      </w:r>
      <w:r>
        <w:rPr>
          <w:rFonts w:hint="eastAsia" w:ascii="宋体" w:hAnsi="宋体" w:cs="宋体"/>
          <w:szCs w:val="21"/>
        </w:rPr>
        <w:t>成员名单在评标结果公告前应当保密。评审专家有下列情形之一的，受到邀请应主动提出回避，采购当事人也可以要求该评审专家回避：</w:t>
      </w:r>
    </w:p>
    <w:p w14:paraId="0BCE9C5D">
      <w:pPr>
        <w:pStyle w:val="25"/>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参加采购活动前3年内与供应商存在劳动关系；</w:t>
      </w:r>
    </w:p>
    <w:p w14:paraId="43CE5719">
      <w:pPr>
        <w:pStyle w:val="25"/>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参加采购活动前3年内担任供应商的董事、监事；</w:t>
      </w:r>
    </w:p>
    <w:p w14:paraId="7F277739">
      <w:pPr>
        <w:pStyle w:val="25"/>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参加采购活动前3年内是供应商的控股股东或者实际控制人；</w:t>
      </w:r>
    </w:p>
    <w:p w14:paraId="694E0B11">
      <w:pPr>
        <w:pStyle w:val="25"/>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与供应商的法定代表人或者负责人有夫妻、直系血亲、三代以内旁系血亲或者近姻亲关系；</w:t>
      </w:r>
    </w:p>
    <w:p w14:paraId="195BD121">
      <w:pPr>
        <w:pStyle w:val="25"/>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（5） </w:t>
      </w:r>
      <w:r>
        <w:rPr>
          <w:rFonts w:hint="eastAsia" w:ascii="宋体" w:hAnsi="宋体" w:cs="宋体"/>
          <w:szCs w:val="21"/>
        </w:rPr>
        <w:t>与供应商有其他可能影响采购活动公平、公正进行的关系。</w:t>
      </w:r>
    </w:p>
    <w:p w14:paraId="104D8C17">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2.3. </w:t>
      </w:r>
      <w:r>
        <w:rPr>
          <w:rFonts w:hint="eastAsia" w:ascii="宋体" w:hAnsi="宋体" w:cs="宋体"/>
          <w:szCs w:val="21"/>
          <w:lang w:eastAsia="zh-CN"/>
        </w:rPr>
        <w:t>谈判小组</w:t>
      </w:r>
      <w:r>
        <w:rPr>
          <w:rFonts w:hint="eastAsia" w:ascii="宋体" w:hAnsi="宋体" w:cs="宋体"/>
          <w:szCs w:val="21"/>
        </w:rPr>
        <w:t>和有关工作人员不得透露对投标文件的评审和比较以及与评标有关的其他情况。</w:t>
      </w:r>
    </w:p>
    <w:p w14:paraId="2AD29599">
      <w:pPr>
        <w:pStyle w:val="28"/>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2.4. </w:t>
      </w:r>
      <w:r>
        <w:rPr>
          <w:rFonts w:hint="eastAsia" w:ascii="宋体" w:hAnsi="宋体" w:cs="宋体"/>
          <w:szCs w:val="21"/>
          <w:lang w:eastAsia="zh-CN"/>
        </w:rPr>
        <w:t>谈判小组</w:t>
      </w:r>
      <w:r>
        <w:rPr>
          <w:rFonts w:hint="eastAsia" w:ascii="宋体" w:hAnsi="宋体" w:cs="宋体"/>
          <w:szCs w:val="21"/>
        </w:rPr>
        <w:t>负责具体评标事务，并独立履行下列职责：</w:t>
      </w:r>
    </w:p>
    <w:p w14:paraId="58C7F7CE">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审查、评价投标文件是否符合</w:t>
      </w:r>
      <w:r>
        <w:rPr>
          <w:rFonts w:hint="eastAsia" w:ascii="宋体" w:hAnsi="宋体" w:cs="宋体"/>
          <w:szCs w:val="21"/>
          <w:lang w:eastAsia="zh-CN"/>
        </w:rPr>
        <w:t>谈判文件</w:t>
      </w:r>
      <w:r>
        <w:rPr>
          <w:rFonts w:hint="eastAsia" w:ascii="宋体" w:hAnsi="宋体" w:cs="宋体"/>
          <w:szCs w:val="21"/>
        </w:rPr>
        <w:t>的商务、技术等实质性要求；</w:t>
      </w:r>
    </w:p>
    <w:p w14:paraId="6AE4880F">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要求投标人对投标文件有关事项作出澄清或者说明；</w:t>
      </w:r>
    </w:p>
    <w:p w14:paraId="5E0BEDBE">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对投标文件进行比较和评价；</w:t>
      </w:r>
    </w:p>
    <w:p w14:paraId="7FFDA05D">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确定中标候选人名单；</w:t>
      </w:r>
    </w:p>
    <w:p w14:paraId="21A64378">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2.5. </w:t>
      </w:r>
      <w:r>
        <w:rPr>
          <w:rFonts w:hint="eastAsia" w:ascii="宋体" w:hAnsi="宋体" w:cs="宋体"/>
          <w:szCs w:val="21"/>
        </w:rPr>
        <w:t>对于</w:t>
      </w:r>
      <w:r>
        <w:rPr>
          <w:rFonts w:hint="eastAsia" w:ascii="宋体" w:hAnsi="宋体" w:cs="宋体"/>
          <w:szCs w:val="21"/>
          <w:lang w:val="en-US" w:eastAsia="zh-CN"/>
        </w:rPr>
        <w:t>谈判</w:t>
      </w:r>
      <w:r>
        <w:rPr>
          <w:rFonts w:hint="eastAsia" w:ascii="宋体" w:hAnsi="宋体" w:cs="宋体"/>
          <w:szCs w:val="21"/>
        </w:rPr>
        <w:t>文件中含义不明确、同类问题表述不一致或者有明显文字和计算错误的内容，</w:t>
      </w:r>
      <w:r>
        <w:rPr>
          <w:rFonts w:hint="eastAsia" w:ascii="宋体" w:hAnsi="宋体" w:cs="宋体"/>
          <w:szCs w:val="21"/>
          <w:lang w:eastAsia="zh-CN"/>
        </w:rPr>
        <w:t>谈判小组</w:t>
      </w:r>
      <w:r>
        <w:rPr>
          <w:rFonts w:hint="eastAsia" w:ascii="宋体" w:hAnsi="宋体" w:cs="宋体"/>
          <w:szCs w:val="21"/>
        </w:rPr>
        <w:t>应当以书面形式要求投标人作出必要的澄清、说明或者补正。</w:t>
      </w:r>
    </w:p>
    <w:p w14:paraId="136A814D">
      <w:pPr>
        <w:pStyle w:val="28"/>
        <w:widowControl/>
        <w:numPr>
          <w:ilvl w:val="0"/>
          <w:numId w:val="0"/>
        </w:numPr>
        <w:spacing w:line="360" w:lineRule="auto"/>
        <w:ind w:leftChars="0"/>
        <w:jc w:val="left"/>
        <w:rPr>
          <w:rFonts w:ascii="宋体" w:hAnsi="宋体" w:cs="宋体"/>
          <w:szCs w:val="21"/>
          <w:lang w:eastAsia="zh-TW"/>
        </w:rPr>
      </w:pPr>
      <w:r>
        <w:rPr>
          <w:rFonts w:hint="eastAsia" w:ascii="宋体" w:hAnsi="宋体" w:cs="宋体"/>
          <w:szCs w:val="21"/>
          <w:lang w:val="en-US" w:eastAsia="zh-CN"/>
        </w:rPr>
        <w:t xml:space="preserve">2.6. </w:t>
      </w:r>
      <w:r>
        <w:rPr>
          <w:rFonts w:hint="eastAsia" w:ascii="宋体" w:hAnsi="宋体" w:cs="宋体"/>
          <w:szCs w:val="21"/>
        </w:rPr>
        <w:t>投标人的澄清、说明或者补正应当采用书面形式，并加盖公章，或者由法定代表人或其授权的代表签字。投标人的澄清、说明或者补正不得超出投标文件的范围或者改变投标文件的实质性内容。</w:t>
      </w:r>
      <w:r>
        <w:rPr>
          <w:rFonts w:hint="eastAsia" w:ascii="宋体" w:hAnsi="宋体" w:cs="宋体"/>
          <w:szCs w:val="21"/>
          <w:lang w:eastAsia="zh-TW"/>
        </w:rPr>
        <w:t>投标人的澄清文件是其投标文件的组成部分。</w:t>
      </w:r>
    </w:p>
    <w:p w14:paraId="0B149526">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2.7. </w:t>
      </w:r>
      <w:r>
        <w:rPr>
          <w:rFonts w:hint="eastAsia" w:ascii="宋体" w:hAnsi="宋体" w:cs="宋体"/>
          <w:szCs w:val="21"/>
          <w:lang w:eastAsia="zh-CN"/>
        </w:rPr>
        <w:t>谈判小组</w:t>
      </w:r>
      <w:r>
        <w:t>决定投标的响应性只根据投标文件中提供的材料内容，而不依据外部的材料证据</w:t>
      </w:r>
      <w:r>
        <w:rPr>
          <w:rFonts w:hint="eastAsia" w:ascii="宋体" w:hAnsi="宋体" w:cs="宋体"/>
          <w:szCs w:val="21"/>
        </w:rPr>
        <w:t>。</w:t>
      </w:r>
    </w:p>
    <w:p w14:paraId="7466D833">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2.8. </w:t>
      </w:r>
      <w:r>
        <w:rPr>
          <w:rFonts w:hint="eastAsia" w:ascii="宋体" w:hAnsi="宋体" w:cs="宋体"/>
          <w:szCs w:val="21"/>
          <w:lang w:eastAsia="zh-CN"/>
        </w:rPr>
        <w:t>谈判小组</w:t>
      </w:r>
      <w:r>
        <w:rPr>
          <w:rFonts w:hint="eastAsia" w:ascii="宋体" w:hAnsi="宋体" w:cs="宋体"/>
          <w:szCs w:val="21"/>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cs="宋体"/>
          <w:szCs w:val="21"/>
          <w:lang w:eastAsia="zh-CN"/>
        </w:rPr>
        <w:t>谈判小组</w:t>
      </w:r>
      <w:r>
        <w:rPr>
          <w:rFonts w:hint="eastAsia" w:ascii="宋体" w:hAnsi="宋体" w:cs="宋体"/>
          <w:szCs w:val="21"/>
        </w:rPr>
        <w:t>应当将其作为无效投标处理。若</w:t>
      </w:r>
      <w:r>
        <w:rPr>
          <w:rFonts w:hint="eastAsia" w:ascii="宋体" w:hAnsi="宋体" w:cs="宋体"/>
          <w:szCs w:val="21"/>
          <w:lang w:eastAsia="zh-CN"/>
        </w:rPr>
        <w:t>谈判小组</w:t>
      </w:r>
      <w:r>
        <w:rPr>
          <w:rFonts w:hint="eastAsia" w:ascii="宋体" w:hAnsi="宋体" w:cs="宋体"/>
          <w:szCs w:val="21"/>
        </w:rPr>
        <w:t>成员对是否须由投标人作出报价合理性说明，以及书面说明是否采纳等判断不一致的，按照“少数服从多数”的原则确定</w:t>
      </w:r>
      <w:r>
        <w:rPr>
          <w:rFonts w:hint="eastAsia" w:ascii="宋体" w:hAnsi="宋体" w:cs="宋体"/>
          <w:szCs w:val="21"/>
          <w:lang w:eastAsia="zh-CN"/>
        </w:rPr>
        <w:t>谈判小组</w:t>
      </w:r>
      <w:r>
        <w:rPr>
          <w:rFonts w:hint="eastAsia" w:ascii="宋体" w:hAnsi="宋体" w:cs="宋体"/>
          <w:szCs w:val="21"/>
        </w:rPr>
        <w:t>的意见。</w:t>
      </w:r>
    </w:p>
    <w:p w14:paraId="354F3237">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2.9. </w:t>
      </w:r>
      <w:r>
        <w:rPr>
          <w:rFonts w:hint="eastAsia" w:ascii="宋体" w:hAnsi="宋体" w:cs="宋体"/>
          <w:szCs w:val="21"/>
          <w:lang w:eastAsia="zh-CN"/>
        </w:rPr>
        <w:t>谈判小组</w:t>
      </w:r>
      <w:r>
        <w:rPr>
          <w:rFonts w:hint="eastAsia" w:ascii="宋体" w:hAnsi="宋体" w:cs="宋体"/>
          <w:szCs w:val="21"/>
        </w:rPr>
        <w:t>成员对需要共同认定的事项存在争议的，应当按照少数服从多数的原则作出结论。持不同意见的</w:t>
      </w:r>
      <w:r>
        <w:rPr>
          <w:rFonts w:hint="eastAsia" w:ascii="宋体" w:hAnsi="宋体" w:cs="宋体"/>
          <w:szCs w:val="21"/>
          <w:lang w:eastAsia="zh-CN"/>
        </w:rPr>
        <w:t>谈判小组</w:t>
      </w:r>
      <w:r>
        <w:rPr>
          <w:rFonts w:hint="eastAsia" w:ascii="宋体" w:hAnsi="宋体" w:cs="宋体"/>
          <w:szCs w:val="21"/>
        </w:rPr>
        <w:t>成员应当在评标报告上签署不同意见及理由，否则视为同意评标报告。</w:t>
      </w:r>
    </w:p>
    <w:p w14:paraId="2D7705E9">
      <w:pPr>
        <w:pStyle w:val="28"/>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4FF5934B">
      <w:pPr>
        <w:pStyle w:val="28"/>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3.1. </w:t>
      </w:r>
      <w:r>
        <w:rPr>
          <w:rFonts w:hint="eastAsia" w:ascii="宋体" w:hAnsi="宋体" w:cs="宋体"/>
          <w:szCs w:val="21"/>
        </w:rPr>
        <w:t>投标文件初审包括资格性检查和符合性检查。资格性检查：依据法律法规和</w:t>
      </w:r>
      <w:r>
        <w:rPr>
          <w:rFonts w:hint="eastAsia" w:ascii="宋体" w:hAnsi="宋体" w:cs="宋体"/>
          <w:szCs w:val="21"/>
          <w:lang w:eastAsia="zh-CN"/>
        </w:rPr>
        <w:t>谈判文件</w:t>
      </w:r>
      <w:r>
        <w:rPr>
          <w:rFonts w:hint="eastAsia" w:ascii="宋体" w:hAnsi="宋体" w:cs="宋体"/>
          <w:szCs w:val="21"/>
        </w:rPr>
        <w:t>的规定，对投标文件中的资格证明等进行审查，以确定投标供应商是否具备投标资格。符合性检查：依据</w:t>
      </w:r>
      <w:r>
        <w:rPr>
          <w:rFonts w:hint="eastAsia" w:ascii="宋体" w:hAnsi="宋体" w:cs="宋体"/>
          <w:szCs w:val="21"/>
          <w:lang w:eastAsia="zh-CN"/>
        </w:rPr>
        <w:t>谈判文件</w:t>
      </w:r>
      <w:r>
        <w:rPr>
          <w:rFonts w:hint="eastAsia" w:ascii="宋体" w:hAnsi="宋体" w:cs="宋体"/>
          <w:szCs w:val="21"/>
        </w:rPr>
        <w:t>的规定，从投标文件的有效性、完整性和对</w:t>
      </w:r>
      <w:r>
        <w:rPr>
          <w:rFonts w:hint="eastAsia" w:ascii="宋体" w:hAnsi="宋体" w:cs="宋体"/>
          <w:szCs w:val="21"/>
          <w:lang w:eastAsia="zh-CN"/>
        </w:rPr>
        <w:t>谈判文件</w:t>
      </w:r>
      <w:r>
        <w:rPr>
          <w:rFonts w:hint="eastAsia" w:ascii="宋体" w:hAnsi="宋体" w:cs="宋体"/>
          <w:szCs w:val="21"/>
        </w:rPr>
        <w:t>的响应程度进行审查，以确定是否对</w:t>
      </w:r>
      <w:r>
        <w:rPr>
          <w:rFonts w:hint="eastAsia" w:ascii="宋体" w:hAnsi="宋体" w:cs="宋体"/>
          <w:szCs w:val="21"/>
          <w:lang w:eastAsia="zh-CN"/>
        </w:rPr>
        <w:t>谈判文件</w:t>
      </w:r>
      <w:r>
        <w:rPr>
          <w:rFonts w:hint="eastAsia" w:ascii="宋体" w:hAnsi="宋体" w:cs="宋体"/>
          <w:szCs w:val="21"/>
        </w:rPr>
        <w:t>的实质性要求作出响应。</w:t>
      </w:r>
    </w:p>
    <w:p w14:paraId="5F6A3FC9">
      <w:pPr>
        <w:pStyle w:val="28"/>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3.2. </w:t>
      </w:r>
      <w:r>
        <w:rPr>
          <w:rFonts w:hint="eastAsia" w:ascii="宋体" w:hAnsi="宋体" w:cs="宋体"/>
          <w:szCs w:val="21"/>
        </w:rPr>
        <w:t>投标文件初审中关于供应商家数的计算:</w:t>
      </w:r>
    </w:p>
    <w:p w14:paraId="1A11FC07">
      <w:pPr>
        <w:pStyle w:val="28"/>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采用最低价法的采购项目，提供相同品牌产品的不同投标人参加同一合同项下投标的，以其中通过资格审查、符合性审查且报价最低的参加评标；报价相同的，由采购人或者采购人委托</w:t>
      </w:r>
      <w:r>
        <w:rPr>
          <w:rFonts w:hint="eastAsia" w:ascii="宋体" w:hAnsi="宋体" w:cs="宋体"/>
          <w:szCs w:val="21"/>
          <w:lang w:eastAsia="zh-CN"/>
        </w:rPr>
        <w:t>谈判小组</w:t>
      </w:r>
      <w:r>
        <w:rPr>
          <w:rFonts w:hint="eastAsia" w:ascii="宋体" w:hAnsi="宋体" w:cs="宋体"/>
          <w:szCs w:val="21"/>
        </w:rPr>
        <w:t>按照</w:t>
      </w:r>
      <w:r>
        <w:rPr>
          <w:rFonts w:hint="eastAsia" w:ascii="宋体" w:hAnsi="宋体" w:cs="宋体"/>
          <w:szCs w:val="21"/>
          <w:lang w:eastAsia="zh-CN"/>
        </w:rPr>
        <w:t>谈判文件</w:t>
      </w:r>
      <w:r>
        <w:rPr>
          <w:rFonts w:hint="eastAsia" w:ascii="宋体" w:hAnsi="宋体" w:cs="宋体"/>
          <w:szCs w:val="21"/>
        </w:rPr>
        <w:t>规定的方式确定一个参加评审的投标人，</w:t>
      </w:r>
      <w:r>
        <w:rPr>
          <w:rFonts w:hint="eastAsia" w:ascii="宋体" w:hAnsi="宋体" w:cs="宋体"/>
          <w:szCs w:val="21"/>
          <w:lang w:eastAsia="zh-CN"/>
        </w:rPr>
        <w:t>谈判文件</w:t>
      </w:r>
      <w:r>
        <w:rPr>
          <w:rFonts w:hint="eastAsia" w:ascii="宋体" w:hAnsi="宋体" w:cs="宋体"/>
          <w:szCs w:val="21"/>
        </w:rPr>
        <w:t>未规定的采取随机抽取方式确定，其他投标无效。</w:t>
      </w:r>
    </w:p>
    <w:p w14:paraId="43B1EC83">
      <w:pPr>
        <w:pStyle w:val="28"/>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4EFCC9BF">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w:t>
      </w:r>
    </w:p>
    <w:p w14:paraId="41233814">
      <w:pPr>
        <w:pStyle w:val="25"/>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4.1.1 </w:t>
      </w:r>
      <w:r>
        <w:rPr>
          <w:rFonts w:hint="eastAsia" w:ascii="宋体" w:hAnsi="宋体" w:cs="宋体" w:eastAsiaTheme="minorEastAsia"/>
          <w:kern w:val="2"/>
          <w:sz w:val="21"/>
          <w:szCs w:val="21"/>
          <w:lang w:val="en-US" w:eastAsia="zh-CN" w:bidi="ar-SA"/>
        </w:rPr>
        <w:t>最低价法，是指完全满足</w:t>
      </w:r>
      <w:r>
        <w:rPr>
          <w:rFonts w:hint="eastAsia" w:ascii="宋体" w:hAnsi="宋体" w:cs="宋体"/>
          <w:kern w:val="2"/>
          <w:sz w:val="21"/>
          <w:szCs w:val="21"/>
          <w:lang w:val="en-US" w:eastAsia="zh-CN" w:bidi="ar-SA"/>
        </w:rPr>
        <w:t>谈判文件</w:t>
      </w:r>
      <w:r>
        <w:rPr>
          <w:rFonts w:hint="eastAsia" w:ascii="宋体" w:hAnsi="宋体" w:cs="宋体" w:eastAsiaTheme="minorEastAsia"/>
          <w:kern w:val="2"/>
          <w:sz w:val="21"/>
          <w:szCs w:val="21"/>
          <w:lang w:val="en-US" w:eastAsia="zh-CN" w:bidi="ar-SA"/>
        </w:rPr>
        <w:t>实质性要求，按照报价由低到高的顺序，依据</w:t>
      </w:r>
      <w:r>
        <w:rPr>
          <w:rFonts w:hint="eastAsia" w:ascii="宋体" w:hAnsi="宋体" w:cs="宋体"/>
          <w:kern w:val="2"/>
          <w:sz w:val="21"/>
          <w:szCs w:val="21"/>
          <w:lang w:val="en-US" w:eastAsia="zh-CN" w:bidi="ar-SA"/>
        </w:rPr>
        <w:t>谈判文件</w:t>
      </w:r>
      <w:r>
        <w:rPr>
          <w:rFonts w:hint="eastAsia" w:ascii="宋体" w:hAnsi="宋体" w:cs="宋体" w:eastAsiaTheme="minorEastAsia"/>
          <w:kern w:val="2"/>
          <w:sz w:val="21"/>
          <w:szCs w:val="21"/>
          <w:lang w:val="en-US" w:eastAsia="zh-CN" w:bidi="ar-SA"/>
        </w:rPr>
        <w:t>中规定的数量或者比例推荐候选中标供应商。</w:t>
      </w:r>
    </w:p>
    <w:p w14:paraId="70185EF8">
      <w:pPr>
        <w:pStyle w:val="25"/>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6BD4B064">
      <w:pPr>
        <w:pStyle w:val="25"/>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谈判小组</w:t>
      </w:r>
      <w:r>
        <w:rPr>
          <w:rFonts w:hint="eastAsia" w:ascii="宋体" w:hAnsi="宋体" w:eastAsiaTheme="minorEastAsia" w:cstheme="minorBidi"/>
          <w:color w:val="auto"/>
          <w:kern w:val="2"/>
          <w:sz w:val="21"/>
          <w:szCs w:val="21"/>
          <w:lang w:val="en-US" w:eastAsia="zh-CN" w:bidi="ar-SA"/>
        </w:rPr>
        <w:t>按</w:t>
      </w:r>
      <w:r>
        <w:rPr>
          <w:rFonts w:hint="eastAsia" w:ascii="宋体" w:hAnsi="宋体" w:cstheme="minorBidi"/>
          <w:color w:val="auto"/>
          <w:kern w:val="2"/>
          <w:sz w:val="21"/>
          <w:szCs w:val="21"/>
          <w:lang w:val="en-US" w:eastAsia="zh-CN" w:bidi="ar-SA"/>
        </w:rPr>
        <w:t>谈判文件</w:t>
      </w:r>
      <w:r>
        <w:rPr>
          <w:rFonts w:hint="eastAsia" w:ascii="宋体" w:hAnsi="宋体" w:eastAsiaTheme="minorEastAsia" w:cstheme="minorBidi"/>
          <w:color w:val="auto"/>
          <w:kern w:val="2"/>
          <w:sz w:val="21"/>
          <w:szCs w:val="21"/>
          <w:lang w:val="en-US" w:eastAsia="zh-CN" w:bidi="ar-SA"/>
        </w:rPr>
        <w:t>中规定的评标方法和标准，对资格性检查和符合性检查合格且报价不超过预算控制金额的投标文件进行商务和技术评审，综合比较与评价。</w:t>
      </w:r>
    </w:p>
    <w:p w14:paraId="52D57BCD">
      <w:pPr>
        <w:pStyle w:val="25"/>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5.2. 谈判小组</w:t>
      </w:r>
      <w:r>
        <w:rPr>
          <w:rFonts w:hint="eastAsia" w:ascii="宋体" w:hAnsi="宋体" w:eastAsiaTheme="minorEastAsia" w:cstheme="minorBidi"/>
          <w:color w:val="auto"/>
          <w:kern w:val="2"/>
          <w:sz w:val="21"/>
          <w:szCs w:val="21"/>
          <w:lang w:val="en-US" w:eastAsia="zh-CN" w:bidi="ar-SA"/>
        </w:rPr>
        <w:t>成员对需要共同认定的事项存在争议的，应当按照少数服从多数的原则作出结论。持不同意见的</w:t>
      </w:r>
      <w:r>
        <w:rPr>
          <w:rFonts w:hint="eastAsia" w:ascii="宋体" w:hAnsi="宋体" w:cstheme="minorBidi"/>
          <w:color w:val="auto"/>
          <w:kern w:val="2"/>
          <w:sz w:val="21"/>
          <w:szCs w:val="21"/>
          <w:lang w:val="en-US" w:eastAsia="zh-CN" w:bidi="ar-SA"/>
        </w:rPr>
        <w:t>谈判小组</w:t>
      </w:r>
      <w:r>
        <w:rPr>
          <w:rFonts w:hint="eastAsia" w:ascii="宋体" w:hAnsi="宋体" w:eastAsiaTheme="minorEastAsia" w:cstheme="minorBidi"/>
          <w:color w:val="auto"/>
          <w:kern w:val="2"/>
          <w:sz w:val="21"/>
          <w:szCs w:val="21"/>
          <w:lang w:val="en-US" w:eastAsia="zh-CN" w:bidi="ar-SA"/>
        </w:rPr>
        <w:t>成员应当书面作出说明，否则视为无异议。</w:t>
      </w:r>
    </w:p>
    <w:p w14:paraId="699B21F8">
      <w:pPr>
        <w:pStyle w:val="25"/>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5.3. </w:t>
      </w:r>
      <w:r>
        <w:rPr>
          <w:rFonts w:hint="eastAsia" w:ascii="宋体" w:hAnsi="宋体" w:eastAsiaTheme="minorEastAsia" w:cstheme="minorBidi"/>
          <w:color w:val="auto"/>
          <w:kern w:val="2"/>
          <w:sz w:val="21"/>
          <w:szCs w:val="21"/>
          <w:lang w:val="en-US" w:eastAsia="zh-CN" w:bidi="ar-SA"/>
        </w:rPr>
        <w:t>在评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过程中，</w:t>
      </w:r>
      <w:r>
        <w:rPr>
          <w:rFonts w:hint="eastAsia" w:ascii="宋体" w:hAnsi="宋体" w:cstheme="minorBidi"/>
          <w:color w:val="auto"/>
          <w:kern w:val="2"/>
          <w:sz w:val="21"/>
          <w:szCs w:val="21"/>
          <w:lang w:val="en-US" w:eastAsia="zh-CN" w:bidi="ar-SA"/>
        </w:rPr>
        <w:t>谈判小组</w:t>
      </w:r>
      <w:r>
        <w:rPr>
          <w:rFonts w:hint="eastAsia" w:ascii="宋体" w:hAnsi="宋体" w:eastAsiaTheme="minorEastAsia" w:cstheme="minorBidi"/>
          <w:color w:val="auto"/>
          <w:kern w:val="2"/>
          <w:sz w:val="21"/>
          <w:szCs w:val="21"/>
          <w:lang w:val="en-US" w:eastAsia="zh-CN" w:bidi="ar-SA"/>
        </w:rPr>
        <w:t>有权决定是否对本项目投标人进行实地考察或资料查验（原件）。投标人应随时做好接受实地考察或资料查验的准备。</w:t>
      </w:r>
    </w:p>
    <w:p w14:paraId="792D8501">
      <w:pPr>
        <w:pStyle w:val="25"/>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5.4. </w:t>
      </w:r>
      <w:r>
        <w:rPr>
          <w:rFonts w:hint="eastAsia" w:ascii="宋体" w:hAnsi="宋体"/>
          <w:szCs w:val="21"/>
        </w:rPr>
        <w:t>按照评标报告中推荐的中标候选人确定中标人，确认后将在刊登本项目招标公告的法定媒体上</w:t>
      </w:r>
      <w:r>
        <w:rPr>
          <w:rFonts w:ascii="宋体" w:hAnsi="宋体"/>
          <w:szCs w:val="21"/>
        </w:rPr>
        <w:t>发</w:t>
      </w:r>
      <w:r>
        <w:rPr>
          <w:rFonts w:hint="eastAsia" w:ascii="宋体" w:hAnsi="宋体"/>
          <w:szCs w:val="21"/>
        </w:rPr>
        <w:t>布中标公告。</w:t>
      </w:r>
    </w:p>
    <w:p w14:paraId="5056C576">
      <w:pPr>
        <w:pStyle w:val="25"/>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5.5. </w:t>
      </w:r>
      <w:r>
        <w:rPr>
          <w:rFonts w:hint="eastAsia" w:ascii="宋体" w:hAnsi="宋体"/>
          <w:szCs w:val="21"/>
        </w:rPr>
        <w:t>中标人拒绝与采购人签订合同的，可以重新开展政府采购活动。</w:t>
      </w:r>
    </w:p>
    <w:p w14:paraId="09C6C2D6">
      <w:pPr>
        <w:pStyle w:val="28"/>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5823CF4D">
      <w:pPr>
        <w:pStyle w:val="28"/>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3B61DA4">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谈判文件</w:t>
      </w:r>
      <w:r>
        <w:rPr>
          <w:rFonts w:hint="eastAsia" w:ascii="宋体" w:hAnsi="宋体"/>
          <w:szCs w:val="21"/>
        </w:rPr>
        <w:t>要求签署、盖章的；</w:t>
      </w:r>
    </w:p>
    <w:p w14:paraId="6450B8AF">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谈判文件</w:t>
      </w:r>
      <w:r>
        <w:rPr>
          <w:rFonts w:hint="eastAsia" w:ascii="宋体" w:hAnsi="宋体"/>
          <w:szCs w:val="21"/>
        </w:rPr>
        <w:t>中规定的资格要求的；</w:t>
      </w:r>
    </w:p>
    <w:p w14:paraId="597D92E1">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谈判文件</w:t>
      </w:r>
      <w:r>
        <w:rPr>
          <w:rFonts w:hint="eastAsia" w:ascii="宋体" w:hAnsi="宋体"/>
          <w:szCs w:val="21"/>
        </w:rPr>
        <w:t>中规定的预算金额或者最高限价的；</w:t>
      </w:r>
    </w:p>
    <w:p w14:paraId="02B07588">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28"/>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谈判文件</w:t>
      </w:r>
      <w:r>
        <w:rPr>
          <w:rFonts w:hint="eastAsia" w:ascii="宋体" w:hAnsi="宋体"/>
          <w:szCs w:val="21"/>
        </w:rPr>
        <w:t>规定的其他无效情形。</w:t>
      </w:r>
    </w:p>
    <w:p w14:paraId="12DCD88F">
      <w:pPr>
        <w:pStyle w:val="28"/>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在招标采购中，出现下列情形之一的，应予废标</w:t>
      </w:r>
      <w:r>
        <w:rPr>
          <w:rFonts w:hint="eastAsia" w:ascii="宋体" w:hAnsi="宋体"/>
          <w:szCs w:val="21"/>
          <w:lang w:eastAsia="zh-CN"/>
        </w:rPr>
        <w:t>：</w:t>
      </w:r>
    </w:p>
    <w:p w14:paraId="3AFC5530">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谈判文件</w:t>
      </w:r>
      <w:r>
        <w:rPr>
          <w:rFonts w:ascii="宋体" w:hAnsi="宋体"/>
          <w:szCs w:val="21"/>
        </w:rPr>
        <w:t>作实质响应的供应商不足三家的；</w:t>
      </w:r>
    </w:p>
    <w:p w14:paraId="495F6BE3">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667992D1">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6CE66FC1">
      <w:pPr>
        <w:pStyle w:val="28"/>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18F78CE6">
      <w:pPr>
        <w:pStyle w:val="28"/>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09AD85D9">
      <w:pPr>
        <w:pStyle w:val="28"/>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 该项目中标候选供应商数量为一家。</w:t>
      </w:r>
    </w:p>
    <w:p w14:paraId="54B4AF37">
      <w:pPr>
        <w:pStyle w:val="28"/>
        <w:widowControl/>
        <w:numPr>
          <w:ilvl w:val="0"/>
          <w:numId w:val="0"/>
        </w:numPr>
        <w:spacing w:line="360" w:lineRule="auto"/>
        <w:ind w:leftChars="0"/>
        <w:jc w:val="left"/>
        <w:rPr>
          <w:rFonts w:hint="eastAsia" w:cs="Arial" w:asciiTheme="minorEastAsia" w:hAnsiTheme="minorEastAsia"/>
          <w:bCs/>
          <w:kern w:val="0"/>
          <w:szCs w:val="21"/>
          <w:lang w:val="en-US" w:eastAsia="zh-CN"/>
        </w:rPr>
      </w:pPr>
      <w:r>
        <w:rPr>
          <w:rFonts w:hint="eastAsia" w:cs="Arial" w:asciiTheme="minorEastAsia" w:hAnsiTheme="minorEastAsia"/>
          <w:bCs/>
          <w:kern w:val="0"/>
          <w:szCs w:val="21"/>
          <w:lang w:val="en-US" w:eastAsia="zh-CN"/>
        </w:rPr>
        <w:t>7.2. 本项目不安排现场踏勘。</w:t>
      </w:r>
    </w:p>
    <w:p w14:paraId="3F001B43">
      <w:pPr>
        <w:pStyle w:val="28"/>
        <w:widowControl/>
        <w:numPr>
          <w:ilvl w:val="0"/>
          <w:numId w:val="0"/>
        </w:numPr>
        <w:spacing w:line="360" w:lineRule="auto"/>
        <w:ind w:leftChars="0"/>
        <w:jc w:val="left"/>
        <w:rPr>
          <w:rFonts w:hint="eastAsia" w:cs="Arial" w:asciiTheme="minorEastAsia" w:hAnsiTheme="minorEastAsia"/>
          <w:bCs/>
          <w:kern w:val="0"/>
          <w:szCs w:val="21"/>
          <w:lang w:val="en-US" w:eastAsia="zh-CN"/>
        </w:rPr>
      </w:pPr>
      <w:r>
        <w:rPr>
          <w:rFonts w:hint="eastAsia" w:cs="Arial" w:asciiTheme="minorEastAsia" w:hAnsiTheme="minorEastAsia"/>
          <w:bCs/>
          <w:kern w:val="0"/>
          <w:szCs w:val="21"/>
          <w:lang w:val="en-US" w:eastAsia="zh-CN"/>
        </w:rPr>
        <w:t>7.3. 本项目不安排现场演示。</w:t>
      </w:r>
    </w:p>
    <w:p w14:paraId="26CC7918">
      <w:pPr>
        <w:pStyle w:val="28"/>
        <w:widowControl/>
        <w:numPr>
          <w:ilvl w:val="0"/>
          <w:numId w:val="0"/>
        </w:numPr>
        <w:spacing w:line="360" w:lineRule="auto"/>
        <w:ind w:leftChars="0"/>
        <w:jc w:val="left"/>
        <w:rPr>
          <w:rFonts w:hint="eastAsia" w:cs="Arial" w:asciiTheme="minorEastAsia" w:hAnsiTheme="minorEastAsia"/>
          <w:bCs/>
          <w:kern w:val="0"/>
          <w:szCs w:val="21"/>
          <w:lang w:val="en-US" w:eastAsia="zh-CN"/>
        </w:rPr>
      </w:pPr>
      <w:r>
        <w:rPr>
          <w:rFonts w:hint="eastAsia" w:cs="Arial" w:asciiTheme="minorEastAsia" w:hAnsiTheme="minorEastAsia"/>
          <w:bCs/>
          <w:kern w:val="0"/>
          <w:szCs w:val="21"/>
          <w:lang w:val="en-US" w:eastAsia="zh-CN"/>
        </w:rPr>
        <w:t>7.4. 本项目资金来源为自筹资金。</w:t>
      </w:r>
    </w:p>
    <w:p w14:paraId="1146D06E">
      <w:pPr>
        <w:pStyle w:val="28"/>
        <w:widowControl/>
        <w:numPr>
          <w:ilvl w:val="0"/>
          <w:numId w:val="0"/>
        </w:numPr>
        <w:spacing w:line="360" w:lineRule="auto"/>
        <w:ind w:leftChars="0"/>
        <w:jc w:val="left"/>
        <w:rPr>
          <w:rFonts w:hint="eastAsia" w:cs="Arial" w:asciiTheme="minorEastAsia" w:hAnsiTheme="minorEastAsia"/>
          <w:bCs/>
          <w:kern w:val="0"/>
          <w:szCs w:val="21"/>
          <w:lang w:val="en-US" w:eastAsia="zh-CN"/>
        </w:rPr>
      </w:pPr>
      <w:r>
        <w:rPr>
          <w:rFonts w:hint="eastAsia" w:cs="Arial" w:asciiTheme="minorEastAsia" w:hAnsiTheme="minorEastAsia"/>
          <w:bCs/>
          <w:kern w:val="0"/>
          <w:szCs w:val="21"/>
          <w:lang w:val="en-US" w:eastAsia="zh-CN"/>
        </w:rPr>
        <w:t>7.5. 本项目投标有效期从提交投标文件的截止之日起120日历日内有效。</w:t>
      </w:r>
    </w:p>
    <w:p w14:paraId="3CAB0B6D">
      <w:pPr>
        <w:pStyle w:val="28"/>
        <w:widowControl/>
        <w:numPr>
          <w:ilvl w:val="0"/>
          <w:numId w:val="0"/>
        </w:numPr>
        <w:spacing w:line="360" w:lineRule="auto"/>
        <w:ind w:leftChars="0"/>
        <w:jc w:val="left"/>
        <w:rPr>
          <w:rFonts w:hint="default" w:asciiTheme="minorEastAsia" w:hAnsiTheme="minorEastAsia"/>
          <w:szCs w:val="21"/>
          <w:lang w:val="en-US" w:eastAsia="zh-CN"/>
        </w:rPr>
      </w:pPr>
      <w:r>
        <w:rPr>
          <w:rFonts w:hint="eastAsia" w:cs="Arial" w:asciiTheme="minorEastAsia" w:hAnsiTheme="minorEastAsia"/>
          <w:bCs/>
          <w:kern w:val="0"/>
          <w:szCs w:val="21"/>
          <w:lang w:val="en-US" w:eastAsia="zh-CN"/>
        </w:rPr>
        <w:t>7.6. 本项目不允许提交备选方案或替代方案。</w:t>
      </w:r>
    </w:p>
    <w:p w14:paraId="4C5400BE">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3C89600C">
      <w:pPr>
        <w:widowControl/>
        <w:numPr>
          <w:ilvl w:val="0"/>
          <w:numId w:val="0"/>
        </w:numPr>
        <w:ind w:leftChars="0"/>
        <w:jc w:val="center"/>
        <w:outlineLvl w:val="0"/>
        <w:rPr>
          <w:rFonts w:hint="eastAsia" w:asciiTheme="minorEastAsia" w:hAnsiTheme="minorEastAsia" w:cstheme="minorEastAsia"/>
          <w:b/>
          <w:bCs/>
          <w:sz w:val="28"/>
          <w:szCs w:val="28"/>
          <w:lang w:eastAsia="zh-CN"/>
        </w:rPr>
      </w:pPr>
      <w:bookmarkStart w:id="16" w:name="_Toc26388"/>
      <w:r>
        <w:rPr>
          <w:rFonts w:hint="eastAsia" w:asciiTheme="majorEastAsia" w:hAnsiTheme="majorEastAsia" w:eastAsiaTheme="majorEastAsia"/>
          <w:sz w:val="32"/>
          <w:szCs w:val="32"/>
          <w:lang w:val="en-US" w:eastAsia="zh-CN"/>
        </w:rPr>
        <w:t xml:space="preserve">第四章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6"/>
    </w:p>
    <w:tbl>
      <w:tblPr>
        <w:tblStyle w:val="17"/>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7" w:hRule="atLeast"/>
          <w:jc w:val="center"/>
        </w:trPr>
        <w:tc>
          <w:tcPr>
            <w:tcW w:w="9018" w:type="dxa"/>
            <w:vAlign w:val="center"/>
          </w:tcPr>
          <w:p w14:paraId="0168BCD2">
            <w:pPr>
              <w:pStyle w:val="6"/>
              <w:spacing w:line="360" w:lineRule="auto"/>
              <w:ind w:firstLine="482" w:firstLineChars="150"/>
              <w:rPr>
                <w:rFonts w:ascii="仿宋_GB2312" w:eastAsia="仿宋_GB2312"/>
                <w:b/>
                <w:sz w:val="32"/>
              </w:rPr>
            </w:pPr>
          </w:p>
          <w:p w14:paraId="5DD66652">
            <w:pPr>
              <w:pStyle w:val="6"/>
              <w:spacing w:line="360" w:lineRule="auto"/>
              <w:ind w:firstLine="482" w:firstLineChars="150"/>
              <w:rPr>
                <w:rFonts w:ascii="仿宋_GB2312" w:eastAsia="仿宋_GB2312"/>
                <w:b/>
                <w:sz w:val="32"/>
              </w:rPr>
            </w:pPr>
          </w:p>
          <w:p w14:paraId="4F96A7D5">
            <w:pPr>
              <w:pStyle w:val="6"/>
              <w:spacing w:line="360" w:lineRule="auto"/>
              <w:ind w:firstLine="482" w:firstLineChars="150"/>
              <w:rPr>
                <w:rFonts w:ascii="仿宋_GB2312" w:eastAsia="仿宋_GB2312"/>
                <w:b/>
                <w:sz w:val="32"/>
              </w:rPr>
            </w:pPr>
          </w:p>
          <w:p w14:paraId="24E0C28B">
            <w:pPr>
              <w:pStyle w:val="6"/>
              <w:spacing w:line="360" w:lineRule="auto"/>
              <w:jc w:val="center"/>
              <w:rPr>
                <w:rFonts w:ascii="黑体" w:eastAsia="黑体"/>
                <w:b/>
                <w:sz w:val="72"/>
                <w:szCs w:val="72"/>
              </w:rPr>
            </w:pPr>
            <w:r>
              <w:rPr>
                <w:rFonts w:hint="eastAsia" w:ascii="黑体" w:eastAsia="黑体"/>
                <w:b/>
                <w:sz w:val="72"/>
                <w:szCs w:val="72"/>
              </w:rPr>
              <w:t>投 标 文 件</w:t>
            </w:r>
          </w:p>
          <w:p w14:paraId="056E2451">
            <w:pPr>
              <w:pStyle w:val="6"/>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6"/>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6"/>
              <w:spacing w:line="360" w:lineRule="auto"/>
              <w:rPr>
                <w:rFonts w:ascii="仿宋_GB2312" w:eastAsia="仿宋_GB2312"/>
                <w:b/>
                <w:sz w:val="32"/>
              </w:rPr>
            </w:pPr>
          </w:p>
          <w:p w14:paraId="408DEE70">
            <w:pPr>
              <w:pStyle w:val="6"/>
              <w:spacing w:line="360" w:lineRule="auto"/>
              <w:rPr>
                <w:rFonts w:ascii="仿宋_GB2312" w:eastAsia="仿宋_GB2312"/>
                <w:b/>
                <w:sz w:val="32"/>
              </w:rPr>
            </w:pPr>
          </w:p>
          <w:p w14:paraId="1F535991">
            <w:pPr>
              <w:pStyle w:val="6"/>
              <w:spacing w:line="360" w:lineRule="auto"/>
              <w:rPr>
                <w:rFonts w:ascii="仿宋_GB2312" w:eastAsia="仿宋_GB2312"/>
                <w:b/>
                <w:sz w:val="32"/>
              </w:rPr>
            </w:pPr>
          </w:p>
          <w:p w14:paraId="18F76FDC">
            <w:pPr>
              <w:pStyle w:val="6"/>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6"/>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6"/>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投标人名称：</w:t>
            </w:r>
          </w:p>
          <w:p w14:paraId="3E773E6D">
            <w:pPr>
              <w:pStyle w:val="6"/>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投标人地址：</w:t>
            </w:r>
          </w:p>
          <w:p w14:paraId="578B5057">
            <w:pPr>
              <w:tabs>
                <w:tab w:val="left" w:pos="851"/>
              </w:tabs>
              <w:autoSpaceDE w:val="0"/>
              <w:autoSpaceDN w:val="0"/>
              <w:adjustRightInd w:val="0"/>
              <w:snapToGrid w:val="0"/>
              <w:spacing w:line="420" w:lineRule="auto"/>
              <w:ind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tabs>
                <w:tab w:val="left" w:pos="851"/>
              </w:tabs>
              <w:autoSpaceDE w:val="0"/>
              <w:autoSpaceDN w:val="0"/>
              <w:adjustRightInd w:val="0"/>
              <w:snapToGrid w:val="0"/>
              <w:spacing w:line="420" w:lineRule="auto"/>
              <w:ind w:firstLine="829" w:firstLineChars="295"/>
              <w:rPr>
                <w:rFonts w:hint="eastAsia" w:ascii="仿宋_GB2312" w:eastAsia="仿宋_GB2312"/>
                <w:b/>
                <w:sz w:val="28"/>
                <w:szCs w:val="28"/>
              </w:rPr>
            </w:pPr>
          </w:p>
          <w:p w14:paraId="29748A16">
            <w:pPr>
              <w:tabs>
                <w:tab w:val="left" w:pos="851"/>
              </w:tabs>
              <w:autoSpaceDE w:val="0"/>
              <w:autoSpaceDN w:val="0"/>
              <w:adjustRightInd w:val="0"/>
              <w:snapToGrid w:val="0"/>
              <w:spacing w:line="420" w:lineRule="auto"/>
              <w:ind w:firstLine="829" w:firstLineChars="295"/>
              <w:rPr>
                <w:rFonts w:ascii="仿宋_GB2312" w:eastAsia="仿宋_GB2312"/>
                <w:b/>
                <w:sz w:val="32"/>
              </w:rPr>
            </w:pPr>
            <w:r>
              <w:rPr>
                <w:rFonts w:hint="eastAsia" w:ascii="仿宋_GB2312" w:eastAsia="仿宋_GB2312"/>
                <w:b/>
                <w:sz w:val="28"/>
                <w:szCs w:val="28"/>
              </w:rPr>
              <w:t>开标之前不得启封</w:t>
            </w:r>
          </w:p>
        </w:tc>
      </w:tr>
    </w:tbl>
    <w:p w14:paraId="60FA2FDE">
      <w:pPr>
        <w:jc w:val="both"/>
        <w:rPr>
          <w:rFonts w:hint="eastAsia" w:asciiTheme="minorEastAsia" w:hAnsiTheme="minorEastAsia" w:cstheme="minorEastAsia"/>
          <w:b/>
          <w:bCs/>
          <w:sz w:val="28"/>
          <w:szCs w:val="28"/>
          <w:lang w:eastAsia="zh-CN"/>
        </w:rPr>
      </w:pPr>
    </w:p>
    <w:p w14:paraId="5B3C692F">
      <w:pPr>
        <w:pStyle w:val="3"/>
        <w:numPr>
          <w:ilvl w:val="0"/>
          <w:numId w:val="12"/>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17" w:name="_Toc25542"/>
      <w:bookmarkStart w:id="18" w:name="_Toc6779"/>
      <w:r>
        <w:rPr>
          <w:rFonts w:hint="eastAsia" w:cs="宋体" w:asciiTheme="majorEastAsia" w:hAnsiTheme="majorEastAsia" w:eastAsiaTheme="majorEastAsia"/>
          <w:kern w:val="2"/>
          <w:sz w:val="30"/>
          <w:szCs w:val="30"/>
          <w:lang w:val="en-US" w:eastAsia="zh-CN" w:bidi="ar-SA"/>
        </w:rPr>
        <w:t>资格性自查表</w:t>
      </w:r>
      <w:bookmarkEnd w:id="17"/>
      <w:bookmarkEnd w:id="18"/>
    </w:p>
    <w:tbl>
      <w:tblPr>
        <w:tblStyle w:val="17"/>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235B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2C0AE172">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47B927D3">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谈判文件</w:t>
            </w:r>
            <w:r>
              <w:rPr>
                <w:rFonts w:hint="eastAsia" w:ascii="宋体" w:hAnsi="宋体" w:eastAsia="宋体" w:cs="宋体"/>
                <w:b/>
                <w:bCs/>
                <w:szCs w:val="21"/>
                <w:highlight w:val="none"/>
              </w:rPr>
              <w:t>要求</w:t>
            </w:r>
          </w:p>
        </w:tc>
        <w:tc>
          <w:tcPr>
            <w:tcW w:w="1244" w:type="dxa"/>
            <w:vAlign w:val="center"/>
          </w:tcPr>
          <w:p w14:paraId="605A492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74725D66">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2B4A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E45F667">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315DD2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59AC65E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BE44F54">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490ABC9D">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5B61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35253EC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5CF0CCAF">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2E3F75E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2C543A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550052FD">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12"/>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19" w:name="_Toc29213"/>
      <w:bookmarkStart w:id="20" w:name="_Toc21714"/>
      <w:r>
        <w:rPr>
          <w:rFonts w:hint="eastAsia" w:cs="宋体" w:asciiTheme="majorEastAsia" w:hAnsiTheme="majorEastAsia" w:eastAsiaTheme="majorEastAsia"/>
          <w:kern w:val="2"/>
          <w:sz w:val="30"/>
          <w:szCs w:val="30"/>
          <w:lang w:val="en-US" w:eastAsia="zh-CN" w:bidi="ar-SA"/>
        </w:rPr>
        <w:t>符合性自查表</w:t>
      </w:r>
      <w:bookmarkEnd w:id="19"/>
      <w:bookmarkEnd w:id="20"/>
    </w:p>
    <w:tbl>
      <w:tblPr>
        <w:tblStyle w:val="17"/>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谈判文件</w:t>
            </w:r>
            <w:r>
              <w:rPr>
                <w:rFonts w:hint="eastAsia" w:ascii="宋体" w:hAnsi="宋体" w:eastAsia="宋体" w:cs="宋体"/>
                <w:b/>
                <w:bCs/>
                <w:szCs w:val="21"/>
                <w:highlight w:val="none"/>
              </w:rPr>
              <w:t>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vAlign w:val="center"/>
          </w:tcPr>
          <w:p w14:paraId="7586257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4E0A948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4D7AF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219854E">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32E4EAE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C6FB04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381DCB45">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谈判文件</w:t>
            </w:r>
            <w:r>
              <w:rPr>
                <w:rFonts w:hint="eastAsia" w:ascii="宋体" w:hAnsi="宋体" w:eastAsia="宋体" w:cs="宋体"/>
                <w:sz w:val="21"/>
                <w:szCs w:val="21"/>
              </w:rPr>
              <w:t>未规定允许有替代方案时，对同一项目投标时，同时提供两套或两套以上的投标方案</w:t>
            </w:r>
          </w:p>
        </w:tc>
        <w:tc>
          <w:tcPr>
            <w:tcW w:w="1240" w:type="dxa"/>
            <w:vAlign w:val="center"/>
          </w:tcPr>
          <w:p w14:paraId="00FDB3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2CE383C">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29DC0A8">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分项报价或投标总价高于限价，或未按照</w:t>
            </w:r>
            <w:r>
              <w:rPr>
                <w:rFonts w:hint="eastAsia" w:ascii="宋体" w:hAnsi="宋体" w:eastAsia="宋体" w:cs="宋体"/>
                <w:sz w:val="21"/>
                <w:szCs w:val="21"/>
                <w:lang w:val="en-US" w:eastAsia="zh-CN"/>
              </w:rPr>
              <w:t>谈判文件</w:t>
            </w:r>
            <w:r>
              <w:rPr>
                <w:rFonts w:hint="eastAsia" w:ascii="宋体" w:hAnsi="宋体" w:eastAsia="宋体" w:cs="宋体"/>
                <w:sz w:val="21"/>
                <w:szCs w:val="21"/>
              </w:rPr>
              <w:t>的报价要求进行报价的</w:t>
            </w:r>
          </w:p>
        </w:tc>
        <w:tc>
          <w:tcPr>
            <w:tcW w:w="1240" w:type="dxa"/>
            <w:vAlign w:val="center"/>
          </w:tcPr>
          <w:p w14:paraId="4072DA2C">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4E2554">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2B4EED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0FA558E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5189A35">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vAlign w:val="center"/>
          </w:tcPr>
          <w:p w14:paraId="097844E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评审</w:t>
            </w:r>
            <w:r>
              <w:rPr>
                <w:rFonts w:hint="eastAsia" w:ascii="宋体" w:hAnsi="宋体" w:eastAsia="宋体" w:cs="宋体"/>
                <w:sz w:val="21"/>
                <w:szCs w:val="21"/>
              </w:rPr>
              <w:t>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w:t>
            </w:r>
            <w:r>
              <w:rPr>
                <w:rFonts w:hint="eastAsia" w:ascii="宋体" w:hAnsi="宋体" w:eastAsia="宋体" w:cs="宋体"/>
                <w:sz w:val="21"/>
                <w:szCs w:val="21"/>
                <w:lang w:val="en-US" w:eastAsia="zh-CN"/>
              </w:rPr>
              <w:t>评审</w:t>
            </w:r>
            <w:r>
              <w:rPr>
                <w:rFonts w:hint="eastAsia" w:ascii="宋体" w:hAnsi="宋体" w:eastAsia="宋体" w:cs="宋体"/>
                <w:sz w:val="21"/>
                <w:szCs w:val="21"/>
              </w:rPr>
              <w:t>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w:t>
            </w:r>
            <w:r>
              <w:rPr>
                <w:rFonts w:hint="eastAsia" w:ascii="宋体" w:hAnsi="宋体" w:eastAsia="宋体" w:cs="宋体"/>
                <w:sz w:val="21"/>
                <w:szCs w:val="21"/>
                <w:lang w:val="en-US" w:eastAsia="zh-CN"/>
              </w:rPr>
              <w:t>评审</w:t>
            </w:r>
            <w:r>
              <w:rPr>
                <w:rFonts w:hint="eastAsia" w:ascii="宋体" w:hAnsi="宋体" w:eastAsia="宋体" w:cs="宋体"/>
                <w:sz w:val="21"/>
                <w:szCs w:val="21"/>
              </w:rPr>
              <w:t>小组的意见，投标文件的轻微瑕疵、非关键内容不得作为认定投标无效的依据）</w:t>
            </w:r>
          </w:p>
        </w:tc>
        <w:tc>
          <w:tcPr>
            <w:tcW w:w="1240" w:type="dxa"/>
            <w:vAlign w:val="center"/>
          </w:tcPr>
          <w:p w14:paraId="0AC806A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12729277">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2E8BCCF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谈判文件</w:t>
            </w:r>
            <w:r>
              <w:rPr>
                <w:rFonts w:hint="eastAsia" w:ascii="宋体" w:hAnsi="宋体" w:eastAsia="宋体" w:cs="宋体"/>
                <w:sz w:val="21"/>
                <w:szCs w:val="21"/>
              </w:rPr>
              <w:t>要求的（是否实质性满足</w:t>
            </w:r>
            <w:r>
              <w:rPr>
                <w:rFonts w:hint="eastAsia" w:ascii="宋体" w:hAnsi="宋体" w:eastAsia="宋体" w:cs="宋体"/>
                <w:sz w:val="21"/>
                <w:szCs w:val="21"/>
                <w:lang w:eastAsia="zh-CN"/>
              </w:rPr>
              <w:t>谈判文件</w:t>
            </w:r>
            <w:r>
              <w:rPr>
                <w:rFonts w:hint="eastAsia" w:ascii="宋体" w:hAnsi="宋体" w:eastAsia="宋体" w:cs="宋体"/>
                <w:sz w:val="21"/>
                <w:szCs w:val="21"/>
              </w:rPr>
              <w:t>要求，由</w:t>
            </w:r>
            <w:r>
              <w:rPr>
                <w:rFonts w:hint="eastAsia" w:ascii="宋体" w:hAnsi="宋体" w:eastAsia="宋体" w:cs="宋体"/>
                <w:sz w:val="21"/>
                <w:szCs w:val="21"/>
                <w:lang w:eastAsia="zh-CN"/>
              </w:rPr>
              <w:t>谈判小组</w:t>
            </w:r>
            <w:r>
              <w:rPr>
                <w:rFonts w:hint="eastAsia" w:ascii="宋体" w:hAnsi="宋体" w:eastAsia="宋体" w:cs="宋体"/>
                <w:sz w:val="21"/>
                <w:szCs w:val="21"/>
              </w:rPr>
              <w:t>根据《实质性条款响应情况表》做出评判）</w:t>
            </w:r>
          </w:p>
        </w:tc>
        <w:tc>
          <w:tcPr>
            <w:tcW w:w="1240" w:type="dxa"/>
            <w:vAlign w:val="center"/>
          </w:tcPr>
          <w:p w14:paraId="7FE763E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0D67A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Align w:val="center"/>
          </w:tcPr>
          <w:p w14:paraId="67D4A6A3">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谈判文件</w:t>
            </w:r>
            <w:r>
              <w:rPr>
                <w:rFonts w:hint="eastAsia" w:ascii="宋体" w:hAnsi="宋体" w:eastAsia="宋体" w:cs="宋体"/>
                <w:sz w:val="21"/>
                <w:szCs w:val="21"/>
              </w:rPr>
              <w:t>中标注“★”的条款响应为负偏离的</w:t>
            </w:r>
          </w:p>
        </w:tc>
        <w:tc>
          <w:tcPr>
            <w:tcW w:w="1240" w:type="dxa"/>
            <w:vAlign w:val="center"/>
          </w:tcPr>
          <w:p w14:paraId="75F0D055">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1D38B69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E86990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谈判文件</w:t>
            </w:r>
            <w:r>
              <w:rPr>
                <w:rFonts w:hint="eastAsia" w:ascii="宋体" w:hAnsi="宋体" w:eastAsia="宋体" w:cs="宋体"/>
                <w:sz w:val="21"/>
                <w:szCs w:val="21"/>
              </w:rPr>
              <w:t>规定的项目需求内容或者需求数量进行修改，未填写所投货物的品牌、规格、型号、制造商、原产地），由</w:t>
            </w:r>
            <w:r>
              <w:rPr>
                <w:rFonts w:hint="eastAsia" w:ascii="宋体" w:hAnsi="宋体" w:eastAsia="宋体" w:cs="宋体"/>
                <w:sz w:val="21"/>
                <w:szCs w:val="21"/>
                <w:lang w:eastAsia="zh-CN"/>
              </w:rPr>
              <w:t>谈判小组</w:t>
            </w:r>
            <w:r>
              <w:rPr>
                <w:rFonts w:hint="eastAsia" w:ascii="宋体" w:hAnsi="宋体" w:eastAsia="宋体" w:cs="宋体"/>
                <w:sz w:val="21"/>
                <w:szCs w:val="21"/>
              </w:rPr>
              <w:t>根据《分项报价清单》做出评判）；</w:t>
            </w:r>
          </w:p>
        </w:tc>
        <w:tc>
          <w:tcPr>
            <w:tcW w:w="1240" w:type="dxa"/>
            <w:vAlign w:val="center"/>
          </w:tcPr>
          <w:p w14:paraId="6708E17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198990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4BF9E474">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投标文件附有采购人或招标需求不能接受的条件</w:t>
            </w:r>
          </w:p>
        </w:tc>
        <w:tc>
          <w:tcPr>
            <w:tcW w:w="1240" w:type="dxa"/>
            <w:vAlign w:val="center"/>
          </w:tcPr>
          <w:p w14:paraId="23FF864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AF53DE">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451AC4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24C92BD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3FD0317">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bookmarkStart w:id="21" w:name="_Toc20641"/>
      <w:bookmarkStart w:id="22" w:name="_Toc1526"/>
      <w:r>
        <w:rPr>
          <w:rFonts w:hint="eastAsia" w:cs="宋体" w:asciiTheme="majorEastAsia" w:hAnsiTheme="majorEastAsia" w:eastAsiaTheme="majorEastAsia"/>
          <w:kern w:val="2"/>
          <w:sz w:val="30"/>
          <w:szCs w:val="30"/>
          <w:lang w:val="en-US" w:eastAsia="zh-CN" w:bidi="ar-SA"/>
        </w:rPr>
        <w:t>（三）警示情形自查确认表</w:t>
      </w:r>
      <w:bookmarkEnd w:id="21"/>
      <w:bookmarkEnd w:id="22"/>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spacing w:line="240" w:lineRule="auto"/>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spacing w:line="240" w:lineRule="auto"/>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spacing w:line="240" w:lineRule="auto"/>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spacing w:line="240" w:lineRule="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spacing w:line="240" w:lineRule="auto"/>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spacing w:line="240" w:lineRule="auto"/>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spacing w:line="240" w:lineRule="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44C12BA8">
      <w:pPr>
        <w:pStyle w:val="3"/>
        <w:numPr>
          <w:ilvl w:val="0"/>
          <w:numId w:val="10"/>
        </w:numPr>
        <w:spacing w:line="240" w:lineRule="auto"/>
        <w:ind w:left="0" w:leftChars="0" w:firstLine="0" w:firstLineChars="0"/>
        <w:jc w:val="center"/>
        <w:outlineLvl w:val="0"/>
        <w:rPr>
          <w:rFonts w:hint="eastAsia" w:asciiTheme="majorEastAsia" w:hAnsiTheme="majorEastAsia" w:eastAsiaTheme="majorEastAsia"/>
          <w:sz w:val="30"/>
          <w:szCs w:val="30"/>
        </w:rPr>
      </w:pPr>
      <w:bookmarkStart w:id="23" w:name="_Toc15495"/>
      <w:bookmarkStart w:id="24" w:name="_Toc30883"/>
      <w:r>
        <w:rPr>
          <w:rFonts w:hint="eastAsia" w:asciiTheme="majorEastAsia" w:hAnsiTheme="majorEastAsia" w:eastAsiaTheme="majorEastAsia"/>
          <w:sz w:val="30"/>
          <w:szCs w:val="30"/>
        </w:rPr>
        <w:t>营业</w:t>
      </w:r>
      <w:r>
        <w:rPr>
          <w:rFonts w:hint="eastAsia" w:cs="宋体" w:asciiTheme="majorEastAsia" w:hAnsiTheme="majorEastAsia" w:eastAsiaTheme="majorEastAsia"/>
          <w:sz w:val="30"/>
          <w:szCs w:val="30"/>
        </w:rPr>
        <w:t>执照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3"/>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bookmarkStart w:id="25" w:name="_Toc5508"/>
      <w:bookmarkStart w:id="26" w:name="_Toc31601"/>
      <w:r>
        <w:rPr>
          <w:rFonts w:hint="eastAsia" w:cs="宋体" w:asciiTheme="majorEastAsia" w:hAnsiTheme="majorEastAsia" w:eastAsiaTheme="majorEastAsia"/>
          <w:kern w:val="2"/>
          <w:sz w:val="30"/>
          <w:szCs w:val="30"/>
          <w:lang w:val="en-US" w:eastAsia="zh-CN" w:bidi="ar-SA"/>
        </w:rPr>
        <w:t>（五）诚信及信用信息证明</w:t>
      </w:r>
      <w:bookmarkEnd w:id="25"/>
      <w:bookmarkEnd w:id="26"/>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7" w:name="_Toc2713"/>
      <w:bookmarkStart w:id="28" w:name="_Toc12322"/>
      <w:bookmarkStart w:id="29" w:name="_Toc11281"/>
      <w:r>
        <w:rPr>
          <w:rFonts w:hint="eastAsia" w:cs="宋体" w:asciiTheme="majorEastAsia" w:hAnsiTheme="majorEastAsia" w:eastAsiaTheme="majorEastAsia"/>
          <w:kern w:val="2"/>
          <w:sz w:val="30"/>
          <w:szCs w:val="30"/>
          <w:lang w:val="en-US" w:eastAsia="zh-CN" w:bidi="ar-SA"/>
        </w:rPr>
        <w:t>（六）</w:t>
      </w:r>
      <w:r>
        <w:rPr>
          <w:rFonts w:hint="eastAsia" w:asciiTheme="majorEastAsia" w:hAnsiTheme="majorEastAsia" w:eastAsiaTheme="majorEastAsia"/>
          <w:sz w:val="30"/>
          <w:szCs w:val="30"/>
        </w:rPr>
        <w:t>供应商基本情况表</w:t>
      </w:r>
      <w:bookmarkEnd w:id="27"/>
      <w:bookmarkEnd w:id="28"/>
      <w:bookmarkEnd w:id="29"/>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45A0A5D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bidi w:val="0"/>
              <w:spacing w:line="360" w:lineRule="auto"/>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1B42BE4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bidi w:val="0"/>
              <w:spacing w:line="360" w:lineRule="auto"/>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bidi w:val="0"/>
              <w:spacing w:line="360" w:lineRule="auto"/>
              <w:jc w:val="center"/>
              <w:rPr>
                <w:rFonts w:hint="eastAsia" w:ascii="宋体" w:hAnsi="宋体" w:eastAsia="宋体" w:cs="宋体"/>
                <w:sz w:val="21"/>
                <w:szCs w:val="21"/>
                <w:vertAlign w:val="baseline"/>
              </w:rPr>
            </w:pPr>
          </w:p>
        </w:tc>
        <w:tc>
          <w:tcPr>
            <w:tcW w:w="1583" w:type="dxa"/>
            <w:vAlign w:val="center"/>
          </w:tcPr>
          <w:p w14:paraId="193FE523">
            <w:pPr>
              <w:bidi w:val="0"/>
              <w:spacing w:line="360" w:lineRule="auto"/>
              <w:jc w:val="center"/>
              <w:rPr>
                <w:rFonts w:hint="eastAsia" w:ascii="宋体" w:hAnsi="宋体" w:eastAsia="宋体" w:cs="宋体"/>
                <w:sz w:val="21"/>
                <w:szCs w:val="21"/>
                <w:vertAlign w:val="baseline"/>
              </w:rPr>
            </w:pPr>
          </w:p>
        </w:tc>
        <w:tc>
          <w:tcPr>
            <w:tcW w:w="1583" w:type="dxa"/>
            <w:vAlign w:val="center"/>
          </w:tcPr>
          <w:p w14:paraId="483A26E6">
            <w:pPr>
              <w:bidi w:val="0"/>
              <w:spacing w:line="360" w:lineRule="auto"/>
              <w:jc w:val="center"/>
              <w:rPr>
                <w:rFonts w:hint="eastAsia" w:ascii="宋体" w:hAnsi="宋体" w:eastAsia="宋体" w:cs="宋体"/>
                <w:sz w:val="21"/>
                <w:szCs w:val="21"/>
                <w:vertAlign w:val="baseline"/>
              </w:rPr>
            </w:pPr>
          </w:p>
        </w:tc>
        <w:tc>
          <w:tcPr>
            <w:tcW w:w="1583" w:type="dxa"/>
            <w:vAlign w:val="center"/>
          </w:tcPr>
          <w:p w14:paraId="65FD7B42">
            <w:pPr>
              <w:bidi w:val="0"/>
              <w:spacing w:line="360" w:lineRule="auto"/>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19B57">
            <w:pPr>
              <w:bidi w:val="0"/>
              <w:spacing w:line="360" w:lineRule="auto"/>
              <w:jc w:val="center"/>
              <w:rPr>
                <w:rFonts w:hint="eastAsia" w:ascii="宋体" w:hAnsi="宋体" w:eastAsia="宋体" w:cs="宋体"/>
                <w:sz w:val="21"/>
                <w:szCs w:val="21"/>
                <w:vertAlign w:val="baseline"/>
              </w:rPr>
            </w:pPr>
          </w:p>
        </w:tc>
        <w:tc>
          <w:tcPr>
            <w:tcW w:w="1583" w:type="dxa"/>
            <w:vAlign w:val="center"/>
          </w:tcPr>
          <w:p w14:paraId="2F47493C">
            <w:pPr>
              <w:bidi w:val="0"/>
              <w:spacing w:line="360" w:lineRule="auto"/>
              <w:jc w:val="center"/>
              <w:rPr>
                <w:rFonts w:hint="eastAsia" w:ascii="宋体" w:hAnsi="宋体" w:eastAsia="宋体" w:cs="宋体"/>
                <w:sz w:val="21"/>
                <w:szCs w:val="21"/>
                <w:vertAlign w:val="baseline"/>
              </w:rPr>
            </w:pPr>
          </w:p>
        </w:tc>
        <w:tc>
          <w:tcPr>
            <w:tcW w:w="1583" w:type="dxa"/>
            <w:vAlign w:val="center"/>
          </w:tcPr>
          <w:p w14:paraId="6D911DD1">
            <w:pPr>
              <w:bidi w:val="0"/>
              <w:spacing w:line="360" w:lineRule="auto"/>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bidi w:val="0"/>
              <w:spacing w:line="360" w:lineRule="auto"/>
              <w:jc w:val="center"/>
              <w:rPr>
                <w:rFonts w:hint="eastAsia" w:ascii="宋体" w:hAnsi="宋体" w:eastAsia="宋体" w:cs="宋体"/>
                <w:sz w:val="21"/>
                <w:szCs w:val="21"/>
                <w:vertAlign w:val="baseline"/>
              </w:rPr>
            </w:pPr>
          </w:p>
        </w:tc>
        <w:tc>
          <w:tcPr>
            <w:tcW w:w="1583" w:type="dxa"/>
            <w:vAlign w:val="center"/>
          </w:tcPr>
          <w:p w14:paraId="6C0051F4">
            <w:pPr>
              <w:bidi w:val="0"/>
              <w:spacing w:line="360" w:lineRule="auto"/>
              <w:jc w:val="center"/>
              <w:rPr>
                <w:rFonts w:hint="eastAsia" w:ascii="宋体" w:hAnsi="宋体" w:eastAsia="宋体" w:cs="宋体"/>
                <w:sz w:val="21"/>
                <w:szCs w:val="21"/>
                <w:vertAlign w:val="baseline"/>
              </w:rPr>
            </w:pPr>
          </w:p>
        </w:tc>
        <w:tc>
          <w:tcPr>
            <w:tcW w:w="1583" w:type="dxa"/>
            <w:vAlign w:val="center"/>
          </w:tcPr>
          <w:p w14:paraId="148729EF">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E0359">
            <w:pPr>
              <w:bidi w:val="0"/>
              <w:spacing w:line="360" w:lineRule="auto"/>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bidi w:val="0"/>
              <w:spacing w:line="360" w:lineRule="auto"/>
              <w:jc w:val="center"/>
              <w:rPr>
                <w:rFonts w:hint="eastAsia" w:ascii="宋体" w:hAnsi="宋体" w:eastAsia="宋体" w:cs="宋体"/>
                <w:sz w:val="21"/>
                <w:szCs w:val="21"/>
                <w:vertAlign w:val="baseline"/>
              </w:rPr>
            </w:pPr>
          </w:p>
        </w:tc>
        <w:tc>
          <w:tcPr>
            <w:tcW w:w="1583" w:type="dxa"/>
            <w:vAlign w:val="center"/>
          </w:tcPr>
          <w:p w14:paraId="7D102E78">
            <w:pPr>
              <w:bidi w:val="0"/>
              <w:spacing w:line="360" w:lineRule="auto"/>
              <w:jc w:val="center"/>
              <w:rPr>
                <w:rFonts w:hint="eastAsia" w:ascii="宋体" w:hAnsi="宋体" w:eastAsia="宋体" w:cs="宋体"/>
                <w:sz w:val="21"/>
                <w:szCs w:val="21"/>
                <w:vertAlign w:val="baseline"/>
              </w:rPr>
            </w:pPr>
          </w:p>
        </w:tc>
        <w:tc>
          <w:tcPr>
            <w:tcW w:w="1583" w:type="dxa"/>
            <w:vAlign w:val="center"/>
          </w:tcPr>
          <w:p w14:paraId="75A708A7">
            <w:pPr>
              <w:bidi w:val="0"/>
              <w:spacing w:line="360" w:lineRule="auto"/>
              <w:jc w:val="center"/>
              <w:rPr>
                <w:rFonts w:hint="eastAsia" w:ascii="宋体" w:hAnsi="宋体" w:eastAsia="宋体" w:cs="宋体"/>
                <w:sz w:val="21"/>
                <w:szCs w:val="21"/>
                <w:vertAlign w:val="baseline"/>
              </w:rPr>
            </w:pPr>
          </w:p>
        </w:tc>
        <w:tc>
          <w:tcPr>
            <w:tcW w:w="1583" w:type="dxa"/>
            <w:vAlign w:val="center"/>
          </w:tcPr>
          <w:p w14:paraId="450CDBC5">
            <w:pPr>
              <w:bidi w:val="0"/>
              <w:spacing w:line="360" w:lineRule="auto"/>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bidi w:val="0"/>
              <w:spacing w:line="360" w:lineRule="auto"/>
              <w:jc w:val="center"/>
              <w:rPr>
                <w:rFonts w:hint="eastAsia" w:ascii="宋体" w:hAnsi="宋体" w:eastAsia="宋体" w:cs="宋体"/>
                <w:sz w:val="21"/>
                <w:szCs w:val="21"/>
                <w:vertAlign w:val="baseline"/>
              </w:rPr>
            </w:pPr>
          </w:p>
        </w:tc>
        <w:tc>
          <w:tcPr>
            <w:tcW w:w="1583" w:type="dxa"/>
            <w:vAlign w:val="center"/>
          </w:tcPr>
          <w:p w14:paraId="39CE7BCD">
            <w:pPr>
              <w:bidi w:val="0"/>
              <w:spacing w:line="360" w:lineRule="auto"/>
              <w:jc w:val="center"/>
              <w:rPr>
                <w:rFonts w:hint="eastAsia" w:ascii="宋体" w:hAnsi="宋体" w:eastAsia="宋体" w:cs="宋体"/>
                <w:sz w:val="21"/>
                <w:szCs w:val="21"/>
                <w:vertAlign w:val="baseline"/>
              </w:rPr>
            </w:pPr>
          </w:p>
        </w:tc>
        <w:tc>
          <w:tcPr>
            <w:tcW w:w="1583" w:type="dxa"/>
            <w:vAlign w:val="center"/>
          </w:tcPr>
          <w:p w14:paraId="6B629900">
            <w:pPr>
              <w:bidi w:val="0"/>
              <w:spacing w:line="360" w:lineRule="auto"/>
              <w:jc w:val="center"/>
              <w:rPr>
                <w:rFonts w:hint="eastAsia" w:ascii="宋体" w:hAnsi="宋体" w:eastAsia="宋体" w:cs="宋体"/>
                <w:sz w:val="21"/>
                <w:szCs w:val="21"/>
                <w:vertAlign w:val="baseline"/>
              </w:rPr>
            </w:pPr>
          </w:p>
        </w:tc>
        <w:tc>
          <w:tcPr>
            <w:tcW w:w="1583" w:type="dxa"/>
            <w:vAlign w:val="center"/>
          </w:tcPr>
          <w:p w14:paraId="4BC94FC8">
            <w:pPr>
              <w:bidi w:val="0"/>
              <w:spacing w:line="360" w:lineRule="auto"/>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6B2E6F38">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2A7418A5">
            <w:pPr>
              <w:bidi w:val="0"/>
              <w:spacing w:line="360" w:lineRule="auto"/>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1BEFE362">
      <w:pPr>
        <w:jc w:val="center"/>
        <w:rPr>
          <w:rFonts w:hint="eastAsia" w:asciiTheme="minorEastAsia" w:hAnsiTheme="minorEastAsia" w:cstheme="minorEastAsia"/>
          <w:b/>
          <w:bCs/>
          <w:sz w:val="28"/>
          <w:szCs w:val="28"/>
          <w:lang w:eastAsia="zh-CN"/>
        </w:rPr>
      </w:pPr>
    </w:p>
    <w:p w14:paraId="743CBD1F">
      <w:pPr>
        <w:jc w:val="center"/>
        <w:rPr>
          <w:rFonts w:hint="eastAsia" w:asciiTheme="minorEastAsia" w:hAnsiTheme="minorEastAsia" w:cstheme="minorEastAsia"/>
          <w:b/>
          <w:bCs/>
          <w:sz w:val="28"/>
          <w:szCs w:val="28"/>
          <w:lang w:eastAsia="zh-CN"/>
        </w:rPr>
      </w:pPr>
    </w:p>
    <w:p w14:paraId="447DED23">
      <w:pPr>
        <w:jc w:val="center"/>
        <w:rPr>
          <w:rFonts w:hint="eastAsia" w:asciiTheme="minorEastAsia" w:hAnsiTheme="minorEastAsia" w:cstheme="minorEastAsia"/>
          <w:b/>
          <w:bCs/>
          <w:sz w:val="28"/>
          <w:szCs w:val="28"/>
          <w:lang w:eastAsia="zh-CN"/>
        </w:rPr>
      </w:pPr>
    </w:p>
    <w:p w14:paraId="720840E8">
      <w:pPr>
        <w:jc w:val="center"/>
        <w:rPr>
          <w:rFonts w:hint="eastAsia" w:asciiTheme="minorEastAsia" w:hAnsiTheme="minorEastAsia" w:cstheme="minorEastAsia"/>
          <w:b/>
          <w:bCs/>
          <w:sz w:val="28"/>
          <w:szCs w:val="28"/>
          <w:lang w:eastAsia="zh-CN"/>
        </w:rPr>
      </w:pPr>
    </w:p>
    <w:p w14:paraId="00E2FEFB">
      <w:pPr>
        <w:jc w:val="center"/>
        <w:rPr>
          <w:rFonts w:hint="eastAsia" w:asciiTheme="minorEastAsia" w:hAnsiTheme="minorEastAsia" w:cstheme="minorEastAsia"/>
          <w:b/>
          <w:bCs/>
          <w:sz w:val="28"/>
          <w:szCs w:val="28"/>
          <w:lang w:eastAsia="zh-CN"/>
        </w:rPr>
      </w:pPr>
    </w:p>
    <w:p w14:paraId="010C2661">
      <w:pPr>
        <w:jc w:val="center"/>
        <w:rPr>
          <w:rFonts w:hint="eastAsia" w:asciiTheme="minorEastAsia" w:hAnsiTheme="minorEastAsia" w:cstheme="minorEastAsia"/>
          <w:b/>
          <w:bCs/>
          <w:sz w:val="28"/>
          <w:szCs w:val="28"/>
          <w:lang w:eastAsia="zh-CN"/>
        </w:rPr>
      </w:pPr>
    </w:p>
    <w:p w14:paraId="2E9B4DEC">
      <w:pPr>
        <w:jc w:val="center"/>
        <w:rPr>
          <w:rFonts w:hint="eastAsia" w:asciiTheme="minorEastAsia" w:hAnsiTheme="minorEastAsia" w:cstheme="minorEastAsia"/>
          <w:b/>
          <w:bCs/>
          <w:sz w:val="28"/>
          <w:szCs w:val="28"/>
          <w:lang w:eastAsia="zh-CN"/>
        </w:rPr>
      </w:pPr>
    </w:p>
    <w:p w14:paraId="3680AF06">
      <w:pPr>
        <w:jc w:val="center"/>
        <w:rPr>
          <w:rFonts w:hint="eastAsia" w:asciiTheme="minorEastAsia" w:hAnsiTheme="minorEastAsia" w:cstheme="minorEastAsia"/>
          <w:b/>
          <w:bCs/>
          <w:sz w:val="28"/>
          <w:szCs w:val="28"/>
          <w:lang w:eastAsia="zh-CN"/>
        </w:rPr>
      </w:pPr>
    </w:p>
    <w:p w14:paraId="21FE1135">
      <w:pPr>
        <w:jc w:val="center"/>
        <w:rPr>
          <w:rFonts w:hint="eastAsia" w:asciiTheme="minorEastAsia" w:hAnsiTheme="minorEastAsia" w:cstheme="minorEastAsia"/>
          <w:b/>
          <w:bCs/>
          <w:sz w:val="28"/>
          <w:szCs w:val="28"/>
          <w:lang w:eastAsia="zh-CN"/>
        </w:rPr>
      </w:pPr>
    </w:p>
    <w:p w14:paraId="090A3839">
      <w:pPr>
        <w:jc w:val="center"/>
        <w:rPr>
          <w:rFonts w:hint="eastAsia" w:asciiTheme="minorEastAsia" w:hAnsiTheme="minorEastAsia" w:cstheme="minorEastAsia"/>
          <w:b/>
          <w:bCs/>
          <w:sz w:val="28"/>
          <w:szCs w:val="28"/>
          <w:lang w:eastAsia="zh-CN"/>
        </w:rPr>
      </w:pPr>
    </w:p>
    <w:p w14:paraId="0981D0C8">
      <w:pPr>
        <w:jc w:val="center"/>
        <w:rPr>
          <w:rFonts w:hint="eastAsia" w:asciiTheme="minorEastAsia" w:hAnsiTheme="minorEastAsia" w:cstheme="minorEastAsia"/>
          <w:b/>
          <w:bCs/>
          <w:sz w:val="28"/>
          <w:szCs w:val="28"/>
          <w:lang w:eastAsia="zh-CN"/>
        </w:rPr>
      </w:pPr>
    </w:p>
    <w:p w14:paraId="23ED3C9B">
      <w:pPr>
        <w:jc w:val="center"/>
        <w:rPr>
          <w:rFonts w:hint="eastAsia" w:asciiTheme="minorEastAsia" w:hAnsiTheme="minorEastAsia" w:cstheme="minorEastAsia"/>
          <w:b/>
          <w:bCs/>
          <w:sz w:val="28"/>
          <w:szCs w:val="28"/>
          <w:lang w:eastAsia="zh-CN"/>
        </w:rPr>
      </w:pPr>
    </w:p>
    <w:p w14:paraId="21EDC35B">
      <w:pPr>
        <w:jc w:val="center"/>
        <w:rPr>
          <w:rFonts w:hint="eastAsia" w:asciiTheme="minorEastAsia" w:hAnsiTheme="minorEastAsia" w:cstheme="minorEastAsia"/>
          <w:b/>
          <w:bCs/>
          <w:sz w:val="28"/>
          <w:szCs w:val="28"/>
          <w:lang w:eastAsia="zh-CN"/>
        </w:rPr>
      </w:pPr>
    </w:p>
    <w:p w14:paraId="6D95A4B1">
      <w:pPr>
        <w:jc w:val="center"/>
        <w:rPr>
          <w:rFonts w:hint="eastAsia" w:asciiTheme="minorEastAsia" w:hAnsiTheme="minorEastAsia" w:cstheme="minorEastAsia"/>
          <w:b/>
          <w:bCs/>
          <w:sz w:val="28"/>
          <w:szCs w:val="28"/>
          <w:lang w:eastAsia="zh-CN"/>
        </w:rPr>
      </w:pPr>
    </w:p>
    <w:p w14:paraId="133C1CB5">
      <w:pPr>
        <w:jc w:val="center"/>
        <w:rPr>
          <w:rFonts w:hint="eastAsia" w:asciiTheme="minorEastAsia" w:hAnsiTheme="minorEastAsia" w:cstheme="minorEastAsia"/>
          <w:b/>
          <w:bCs/>
          <w:sz w:val="28"/>
          <w:szCs w:val="28"/>
          <w:lang w:eastAsia="zh-CN"/>
        </w:rPr>
      </w:pPr>
    </w:p>
    <w:p w14:paraId="6B35AE39">
      <w:pPr>
        <w:jc w:val="center"/>
        <w:rPr>
          <w:rFonts w:hint="eastAsia" w:asciiTheme="minorEastAsia" w:hAnsiTheme="minorEastAsia" w:cstheme="minorEastAsia"/>
          <w:b/>
          <w:bCs/>
          <w:sz w:val="28"/>
          <w:szCs w:val="28"/>
          <w:lang w:eastAsia="zh-CN"/>
        </w:rPr>
      </w:pPr>
    </w:p>
    <w:p w14:paraId="183A7A36">
      <w:pPr>
        <w:jc w:val="center"/>
        <w:rPr>
          <w:rFonts w:hint="eastAsia" w:asciiTheme="minorEastAsia" w:hAnsiTheme="minorEastAsia" w:cstheme="minorEastAsia"/>
          <w:b/>
          <w:bCs/>
          <w:sz w:val="28"/>
          <w:szCs w:val="28"/>
          <w:lang w:eastAsia="zh-CN"/>
        </w:rPr>
      </w:pP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30" w:name="_Toc2271"/>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七</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30"/>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3"/>
        <w:spacing w:before="120" w:after="120" w:line="276" w:lineRule="auto"/>
        <w:ind w:left="0" w:leftChars="0" w:firstLine="0" w:firstLineChars="0"/>
        <w:rPr>
          <w:rFonts w:hint="eastAsia"/>
          <w:b/>
          <w:color w:val="auto"/>
          <w:sz w:val="24"/>
        </w:rPr>
      </w:pPr>
    </w:p>
    <w:p w14:paraId="4B1D9CBC">
      <w:pPr>
        <w:pStyle w:val="33"/>
        <w:spacing w:before="120" w:after="120" w:line="276" w:lineRule="auto"/>
        <w:ind w:firstLine="482" w:firstLineChars="200"/>
        <w:outlineLvl w:val="9"/>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项目名称（项目名称可在招标公告处查看）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r>
        <w:rPr>
          <w:rFonts w:hint="eastAsia"/>
          <w:b/>
          <w:bCs/>
          <w:color w:val="auto"/>
          <w:lang w:eastAsia="zh-CN"/>
        </w:rPr>
        <w:t>谈判文件</w:t>
      </w:r>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谈判文件</w:t>
      </w:r>
      <w:r>
        <w:rPr>
          <w:rFonts w:hint="eastAsia"/>
          <w:b/>
          <w:bCs/>
          <w:color w:val="auto"/>
        </w:rPr>
        <w:t>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谈判文件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谈判文件</w:t>
      </w:r>
      <w:r>
        <w:rPr>
          <w:rFonts w:hint="eastAsia" w:ascii="宋体" w:hAnsi="宋体" w:eastAsia="宋体" w:cs="宋体"/>
          <w:b/>
          <w:bCs/>
          <w:color w:val="auto"/>
          <w:sz w:val="21"/>
          <w:szCs w:val="21"/>
        </w:rPr>
        <w:t>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4C31D22">
      <w:pPr>
        <w:pStyle w:val="6"/>
        <w:rPr>
          <w:color w:val="auto"/>
        </w:rPr>
      </w:pPr>
    </w:p>
    <w:p w14:paraId="04F8DE87">
      <w:pPr>
        <w:spacing w:after="60"/>
        <w:jc w:val="center"/>
        <w:outlineLvl w:val="9"/>
        <w:rPr>
          <w:b/>
          <w:color w:val="auto"/>
        </w:rPr>
      </w:pPr>
      <w:r>
        <w:rPr>
          <w:rFonts w:hint="eastAsia"/>
          <w:b/>
          <w:color w:val="auto"/>
        </w:rPr>
        <w:t>1、中小企业声明函</w:t>
      </w:r>
    </w:p>
    <w:p w14:paraId="260C3881">
      <w:pPr>
        <w:pStyle w:val="6"/>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6"/>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6"/>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6"/>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6"/>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9"/>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9"/>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6"/>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038CC619">
      <w:pPr>
        <w:jc w:val="center"/>
        <w:rPr>
          <w:rFonts w:hint="eastAsia" w:asciiTheme="minorEastAsia" w:hAnsiTheme="minorEastAsia" w:cstheme="minorEastAsia"/>
          <w:b/>
          <w:bCs/>
          <w:sz w:val="28"/>
          <w:szCs w:val="28"/>
          <w:lang w:eastAsia="zh-CN"/>
        </w:rPr>
      </w:pPr>
    </w:p>
    <w:p w14:paraId="1D29C215">
      <w:pPr>
        <w:jc w:val="center"/>
        <w:rPr>
          <w:rFonts w:hint="eastAsia" w:asciiTheme="minorEastAsia" w:hAnsiTheme="minorEastAsia" w:cstheme="minorEastAsia"/>
          <w:b/>
          <w:bCs/>
          <w:sz w:val="28"/>
          <w:szCs w:val="28"/>
          <w:lang w:eastAsia="zh-CN"/>
        </w:rPr>
      </w:pPr>
    </w:p>
    <w:p w14:paraId="5BE22A57">
      <w:pPr>
        <w:jc w:val="center"/>
        <w:rPr>
          <w:rFonts w:hint="eastAsia" w:asciiTheme="minorEastAsia" w:hAnsiTheme="minorEastAsia" w:cstheme="minorEastAsia"/>
          <w:b/>
          <w:bCs/>
          <w:sz w:val="28"/>
          <w:szCs w:val="28"/>
          <w:lang w:eastAsia="zh-CN"/>
        </w:rPr>
      </w:pPr>
    </w:p>
    <w:p w14:paraId="6E6FCFC3">
      <w:pPr>
        <w:jc w:val="center"/>
        <w:rPr>
          <w:rFonts w:hint="eastAsia" w:cs="宋体" w:asciiTheme="majorEastAsia" w:hAnsiTheme="majorEastAsia" w:eastAsiaTheme="majorEastAsia"/>
          <w:kern w:val="2"/>
          <w:sz w:val="30"/>
          <w:szCs w:val="30"/>
          <w:lang w:val="en-US" w:eastAsia="zh-CN" w:bidi="ar-SA"/>
        </w:rPr>
      </w:pPr>
    </w:p>
    <w:p w14:paraId="5FF718F7">
      <w:pPr>
        <w:jc w:val="center"/>
        <w:outlineLvl w:val="0"/>
        <w:rPr>
          <w:rFonts w:hint="eastAsia" w:cs="宋体" w:asciiTheme="majorEastAsia" w:hAnsiTheme="majorEastAsia" w:eastAsiaTheme="majorEastAsia"/>
          <w:kern w:val="2"/>
          <w:sz w:val="30"/>
          <w:szCs w:val="30"/>
          <w:lang w:val="en-US" w:eastAsia="zh-CN" w:bidi="ar-SA"/>
        </w:rPr>
      </w:pPr>
      <w:bookmarkStart w:id="31" w:name="_Toc29547"/>
      <w:r>
        <w:rPr>
          <w:rFonts w:hint="eastAsia" w:cs="宋体" w:asciiTheme="majorEastAsia" w:hAnsiTheme="majorEastAsia" w:eastAsiaTheme="majorEastAsia"/>
          <w:kern w:val="2"/>
          <w:sz w:val="30"/>
          <w:szCs w:val="30"/>
          <w:lang w:val="en-US" w:eastAsia="zh-CN" w:bidi="ar-SA"/>
        </w:rPr>
        <w:t>（八）福田区第二人民医院报价表</w:t>
      </w:r>
      <w:bookmarkEnd w:id="31"/>
    </w:p>
    <w:p w14:paraId="0F8F2EE2">
      <w:pPr>
        <w:rPr>
          <w:rFonts w:hint="eastAsia" w:ascii="宋体" w:hAnsi="宋体"/>
          <w:szCs w:val="21"/>
        </w:rPr>
      </w:pPr>
    </w:p>
    <w:p w14:paraId="453E124E">
      <w:pPr>
        <w:rPr>
          <w:rFonts w:asciiTheme="minorEastAsia" w:hAnsiTheme="minorEastAsia" w:cstheme="minorEastAsia"/>
          <w:szCs w:val="21"/>
        </w:rPr>
      </w:pPr>
      <w:r>
        <w:rPr>
          <w:rFonts w:hint="eastAsia" w:ascii="宋体" w:hAnsi="宋体"/>
          <w:szCs w:val="21"/>
        </w:rPr>
        <w:t xml:space="preserve">供应商名称：                                             </w:t>
      </w:r>
      <w:r>
        <w:rPr>
          <w:rFonts w:hint="eastAsia" w:asciiTheme="minorEastAsia" w:hAnsiTheme="minorEastAsia" w:cstheme="minorEastAsia"/>
          <w:szCs w:val="21"/>
        </w:rPr>
        <w:t>单位：人民币元</w:t>
      </w:r>
    </w:p>
    <w:tbl>
      <w:tblPr>
        <w:tblStyle w:val="17"/>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75"/>
        <w:gridCol w:w="1380"/>
        <w:gridCol w:w="885"/>
        <w:gridCol w:w="1080"/>
        <w:gridCol w:w="675"/>
        <w:gridCol w:w="660"/>
        <w:gridCol w:w="645"/>
        <w:gridCol w:w="915"/>
        <w:gridCol w:w="1320"/>
        <w:gridCol w:w="1185"/>
        <w:gridCol w:w="570"/>
      </w:tblGrid>
      <w:tr w14:paraId="7C59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0B2C8F68">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序号</w:t>
            </w:r>
          </w:p>
        </w:tc>
        <w:tc>
          <w:tcPr>
            <w:tcW w:w="675" w:type="dxa"/>
            <w:tcBorders>
              <w:top w:val="single" w:color="auto" w:sz="4" w:space="0"/>
              <w:left w:val="single" w:color="auto" w:sz="4" w:space="0"/>
              <w:bottom w:val="single" w:color="auto" w:sz="4" w:space="0"/>
              <w:right w:val="single" w:color="auto" w:sz="4" w:space="0"/>
            </w:tcBorders>
            <w:vAlign w:val="center"/>
          </w:tcPr>
          <w:p w14:paraId="6A315424">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项目名称</w:t>
            </w:r>
          </w:p>
        </w:tc>
        <w:tc>
          <w:tcPr>
            <w:tcW w:w="1380" w:type="dxa"/>
            <w:tcBorders>
              <w:top w:val="single" w:color="auto" w:sz="4" w:space="0"/>
              <w:left w:val="single" w:color="auto" w:sz="4" w:space="0"/>
              <w:bottom w:val="single" w:color="auto" w:sz="4" w:space="0"/>
              <w:right w:val="single" w:color="auto" w:sz="4" w:space="0"/>
            </w:tcBorders>
            <w:vAlign w:val="center"/>
          </w:tcPr>
          <w:p w14:paraId="51757965">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产品名称（注册证名称）</w:t>
            </w:r>
          </w:p>
        </w:tc>
        <w:tc>
          <w:tcPr>
            <w:tcW w:w="885" w:type="dxa"/>
            <w:tcBorders>
              <w:top w:val="single" w:color="auto" w:sz="4" w:space="0"/>
              <w:left w:val="single" w:color="auto" w:sz="4" w:space="0"/>
              <w:bottom w:val="single" w:color="auto" w:sz="4" w:space="0"/>
              <w:right w:val="single" w:color="auto" w:sz="4" w:space="0"/>
            </w:tcBorders>
            <w:vAlign w:val="center"/>
          </w:tcPr>
          <w:p w14:paraId="05B1350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产品注册证号</w:t>
            </w:r>
          </w:p>
        </w:tc>
        <w:tc>
          <w:tcPr>
            <w:tcW w:w="1080" w:type="dxa"/>
            <w:tcBorders>
              <w:top w:val="single" w:color="auto" w:sz="4" w:space="0"/>
              <w:left w:val="single" w:color="auto" w:sz="4" w:space="0"/>
              <w:bottom w:val="single" w:color="auto" w:sz="4" w:space="0"/>
              <w:right w:val="single" w:color="auto" w:sz="4" w:space="0"/>
            </w:tcBorders>
            <w:vAlign w:val="center"/>
          </w:tcPr>
          <w:p w14:paraId="3826FE36">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品牌及规格型号</w:t>
            </w:r>
          </w:p>
        </w:tc>
        <w:tc>
          <w:tcPr>
            <w:tcW w:w="675" w:type="dxa"/>
            <w:tcBorders>
              <w:top w:val="single" w:color="auto" w:sz="4" w:space="0"/>
              <w:left w:val="single" w:color="auto" w:sz="4" w:space="0"/>
              <w:bottom w:val="single" w:color="auto" w:sz="4" w:space="0"/>
              <w:right w:val="single" w:color="auto" w:sz="4" w:space="0"/>
            </w:tcBorders>
            <w:vAlign w:val="center"/>
          </w:tcPr>
          <w:p w14:paraId="07105EE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包装规格</w:t>
            </w:r>
          </w:p>
        </w:tc>
        <w:tc>
          <w:tcPr>
            <w:tcW w:w="660" w:type="dxa"/>
            <w:tcBorders>
              <w:top w:val="single" w:color="auto" w:sz="4" w:space="0"/>
              <w:left w:val="single" w:color="auto" w:sz="4" w:space="0"/>
              <w:bottom w:val="single" w:color="auto" w:sz="4" w:space="0"/>
              <w:right w:val="single" w:color="auto" w:sz="4" w:space="0"/>
            </w:tcBorders>
            <w:vAlign w:val="center"/>
          </w:tcPr>
          <w:p w14:paraId="103027C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生产企业</w:t>
            </w:r>
          </w:p>
        </w:tc>
        <w:tc>
          <w:tcPr>
            <w:tcW w:w="645" w:type="dxa"/>
            <w:tcBorders>
              <w:top w:val="single" w:color="auto" w:sz="4" w:space="0"/>
              <w:left w:val="single" w:color="auto" w:sz="4" w:space="0"/>
              <w:bottom w:val="single" w:color="auto" w:sz="4" w:space="0"/>
              <w:right w:val="single" w:color="auto" w:sz="4" w:space="0"/>
            </w:tcBorders>
            <w:vAlign w:val="center"/>
          </w:tcPr>
          <w:p w14:paraId="78333A58">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报价单位</w:t>
            </w:r>
          </w:p>
        </w:tc>
        <w:tc>
          <w:tcPr>
            <w:tcW w:w="915" w:type="dxa"/>
            <w:tcBorders>
              <w:top w:val="single" w:color="auto" w:sz="4" w:space="0"/>
              <w:left w:val="single" w:color="auto" w:sz="4" w:space="0"/>
              <w:bottom w:val="single" w:color="auto" w:sz="4" w:space="0"/>
              <w:right w:val="single" w:color="auto" w:sz="4" w:space="0"/>
            </w:tcBorders>
            <w:vAlign w:val="center"/>
          </w:tcPr>
          <w:p w14:paraId="480FBE9D">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投标价（元）</w:t>
            </w:r>
          </w:p>
        </w:tc>
        <w:tc>
          <w:tcPr>
            <w:tcW w:w="1320" w:type="dxa"/>
            <w:tcBorders>
              <w:top w:val="single" w:color="auto" w:sz="4" w:space="0"/>
              <w:left w:val="single" w:color="auto" w:sz="4" w:space="0"/>
              <w:bottom w:val="single" w:color="auto" w:sz="4" w:space="0"/>
              <w:right w:val="single" w:color="auto" w:sz="4" w:space="0"/>
            </w:tcBorders>
            <w:vAlign w:val="center"/>
          </w:tcPr>
          <w:p w14:paraId="7CBF9A12">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目前在用二甲以上医院客户名单</w:t>
            </w:r>
          </w:p>
        </w:tc>
        <w:tc>
          <w:tcPr>
            <w:tcW w:w="1185" w:type="dxa"/>
            <w:tcBorders>
              <w:top w:val="single" w:color="auto" w:sz="4" w:space="0"/>
              <w:left w:val="single" w:color="auto" w:sz="4" w:space="0"/>
              <w:bottom w:val="single" w:color="auto" w:sz="4" w:space="0"/>
              <w:right w:val="single" w:color="auto" w:sz="4" w:space="0"/>
            </w:tcBorders>
            <w:vAlign w:val="center"/>
          </w:tcPr>
          <w:p w14:paraId="3262CC5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二甲以上医院供货价格</w:t>
            </w:r>
          </w:p>
        </w:tc>
        <w:tc>
          <w:tcPr>
            <w:tcW w:w="570" w:type="dxa"/>
            <w:tcBorders>
              <w:top w:val="single" w:color="auto" w:sz="4" w:space="0"/>
              <w:left w:val="single" w:color="auto" w:sz="4" w:space="0"/>
              <w:bottom w:val="single" w:color="auto" w:sz="4" w:space="0"/>
              <w:right w:val="single" w:color="auto" w:sz="4" w:space="0"/>
            </w:tcBorders>
            <w:vAlign w:val="center"/>
          </w:tcPr>
          <w:p w14:paraId="49454E65">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备注</w:t>
            </w:r>
          </w:p>
        </w:tc>
      </w:tr>
      <w:tr w14:paraId="416C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57709F06">
            <w:pPr>
              <w:spacing w:line="400" w:lineRule="exact"/>
              <w:jc w:val="center"/>
              <w:rPr>
                <w:rFonts w:ascii="宋体" w:hAnsi="宋体"/>
                <w:bCs/>
                <w:szCs w:val="21"/>
              </w:rPr>
            </w:pPr>
            <w:r>
              <w:rPr>
                <w:rFonts w:hint="eastAsia" w:ascii="宋体" w:hAnsi="宋体"/>
                <w:bCs/>
                <w:szCs w:val="21"/>
              </w:rPr>
              <w:t>1</w:t>
            </w:r>
          </w:p>
        </w:tc>
        <w:tc>
          <w:tcPr>
            <w:tcW w:w="675" w:type="dxa"/>
            <w:tcBorders>
              <w:top w:val="single" w:color="auto" w:sz="4" w:space="0"/>
              <w:left w:val="single" w:color="auto" w:sz="4" w:space="0"/>
              <w:bottom w:val="single" w:color="auto" w:sz="4" w:space="0"/>
              <w:right w:val="single" w:color="auto" w:sz="4" w:space="0"/>
            </w:tcBorders>
            <w:vAlign w:val="center"/>
          </w:tcPr>
          <w:p w14:paraId="2BBAD9A9">
            <w:pPr>
              <w:spacing w:line="400" w:lineRule="exact"/>
              <w:jc w:val="center"/>
              <w:rPr>
                <w:rFonts w:ascii="宋体" w:hAnsi="宋体"/>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578D0D0B">
            <w:pPr>
              <w:spacing w:line="400" w:lineRule="exact"/>
              <w:jc w:val="center"/>
              <w:rPr>
                <w:rFonts w:ascii="宋体" w:hAnsi="宋体"/>
                <w:sz w:val="18"/>
                <w:szCs w:val="18"/>
              </w:rPr>
            </w:pPr>
          </w:p>
        </w:tc>
        <w:tc>
          <w:tcPr>
            <w:tcW w:w="885" w:type="dxa"/>
            <w:tcBorders>
              <w:top w:val="single" w:color="auto" w:sz="4" w:space="0"/>
              <w:left w:val="single" w:color="auto" w:sz="4" w:space="0"/>
              <w:bottom w:val="single" w:color="auto" w:sz="4" w:space="0"/>
              <w:right w:val="single" w:color="auto" w:sz="4" w:space="0"/>
            </w:tcBorders>
            <w:vAlign w:val="center"/>
          </w:tcPr>
          <w:p w14:paraId="57ECADB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2C7424D">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B958EE8">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3C70B8F">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A1A1375">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7D8D7398">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7C29BA6E">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7F2CF7E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EB1D4F6">
            <w:pPr>
              <w:widowControl/>
              <w:jc w:val="center"/>
              <w:rPr>
                <w:rFonts w:ascii="宋体" w:hAnsi="宋体"/>
                <w:sz w:val="18"/>
                <w:szCs w:val="18"/>
              </w:rPr>
            </w:pPr>
          </w:p>
        </w:tc>
      </w:tr>
      <w:tr w14:paraId="61EE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4258B820">
            <w:pPr>
              <w:spacing w:line="400" w:lineRule="exact"/>
              <w:jc w:val="center"/>
              <w:rPr>
                <w:color w:val="000000"/>
              </w:rPr>
            </w:pPr>
            <w:r>
              <w:rPr>
                <w:color w:val="000000"/>
              </w:rPr>
              <w:t>2</w:t>
            </w:r>
          </w:p>
        </w:tc>
        <w:tc>
          <w:tcPr>
            <w:tcW w:w="675" w:type="dxa"/>
            <w:tcBorders>
              <w:top w:val="single" w:color="auto" w:sz="4" w:space="0"/>
              <w:left w:val="single" w:color="auto" w:sz="4" w:space="0"/>
              <w:bottom w:val="single" w:color="auto" w:sz="4" w:space="0"/>
              <w:right w:val="single" w:color="auto" w:sz="4" w:space="0"/>
            </w:tcBorders>
            <w:vAlign w:val="center"/>
          </w:tcPr>
          <w:p w14:paraId="14851A80">
            <w:pPr>
              <w:spacing w:line="400" w:lineRule="exact"/>
              <w:jc w:val="center"/>
              <w:rPr>
                <w:rFonts w:ascii="宋体" w:hAnsi="宋体"/>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0F70BF1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058FB75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5060AEC">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0651428A">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05BEE9F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72B09A68">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5A08E9E0">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5B90957A">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D252DA2">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53CA792">
            <w:pPr>
              <w:widowControl/>
              <w:jc w:val="center"/>
              <w:rPr>
                <w:rFonts w:ascii="宋体" w:hAnsi="宋体"/>
                <w:sz w:val="18"/>
                <w:szCs w:val="18"/>
              </w:rPr>
            </w:pPr>
          </w:p>
        </w:tc>
      </w:tr>
      <w:tr w14:paraId="1C5D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37F6462D">
            <w:pPr>
              <w:spacing w:line="400" w:lineRule="exact"/>
              <w:jc w:val="center"/>
              <w:rPr>
                <w:rFonts w:ascii="宋体" w:hAnsi="宋体"/>
                <w:bCs/>
                <w:szCs w:val="21"/>
              </w:rPr>
            </w:pPr>
            <w:r>
              <w:rPr>
                <w:color w:val="000000"/>
              </w:rPr>
              <w:t>3</w:t>
            </w:r>
          </w:p>
        </w:tc>
        <w:tc>
          <w:tcPr>
            <w:tcW w:w="675" w:type="dxa"/>
            <w:tcBorders>
              <w:top w:val="single" w:color="auto" w:sz="4" w:space="0"/>
              <w:left w:val="single" w:color="auto" w:sz="4" w:space="0"/>
              <w:bottom w:val="single" w:color="auto" w:sz="4" w:space="0"/>
              <w:right w:val="single" w:color="auto" w:sz="4" w:space="0"/>
            </w:tcBorders>
            <w:vAlign w:val="center"/>
          </w:tcPr>
          <w:p w14:paraId="54199F7B">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7F61DA2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11598448">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92CC26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3C175DD">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2C620B9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9292FD1">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6B0D1ECA">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6C551E33">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0352219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FB5C668">
            <w:pPr>
              <w:jc w:val="center"/>
            </w:pPr>
          </w:p>
        </w:tc>
      </w:tr>
      <w:tr w14:paraId="6C16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22C5CC02">
            <w:pPr>
              <w:spacing w:line="400" w:lineRule="exact"/>
              <w:jc w:val="center"/>
              <w:rPr>
                <w:color w:val="000000"/>
              </w:rPr>
            </w:pPr>
            <w:r>
              <w:rPr>
                <w:rFonts w:hint="eastAsia"/>
                <w:szCs w:val="21"/>
              </w:rPr>
              <w:t>…</w:t>
            </w:r>
          </w:p>
        </w:tc>
        <w:tc>
          <w:tcPr>
            <w:tcW w:w="675" w:type="dxa"/>
            <w:tcBorders>
              <w:top w:val="single" w:color="auto" w:sz="4" w:space="0"/>
              <w:left w:val="single" w:color="auto" w:sz="4" w:space="0"/>
              <w:bottom w:val="single" w:color="auto" w:sz="4" w:space="0"/>
              <w:right w:val="single" w:color="auto" w:sz="4" w:space="0"/>
            </w:tcBorders>
            <w:vAlign w:val="center"/>
          </w:tcPr>
          <w:p w14:paraId="52B73993">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4E2C5948">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38342B62">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E34E39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2C4CEEEC">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C8A196A">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6C7A4D0C">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348F97A5">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03A688E0">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118AD4E">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9045130">
            <w:pPr>
              <w:jc w:val="center"/>
            </w:pPr>
          </w:p>
        </w:tc>
      </w:tr>
    </w:tbl>
    <w:p w14:paraId="50FE53AD">
      <w:pPr>
        <w:spacing w:afterLines="25" w:line="300" w:lineRule="auto"/>
        <w:ind w:left="4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5B267BE8">
      <w:pPr>
        <w:spacing w:afterLines="25" w:line="300" w:lineRule="auto"/>
        <w:ind w:left="420"/>
        <w:jc w:val="center"/>
        <w:rPr>
          <w:rFonts w:ascii="宋体" w:hAnsi="宋体" w:cs="宋体"/>
          <w:color w:val="000000" w:themeColor="text1"/>
          <w:szCs w:val="21"/>
          <w14:textFill>
            <w14:solidFill>
              <w14:schemeClr w14:val="tx1"/>
            </w14:solidFill>
          </w14:textFill>
        </w:rPr>
      </w:pPr>
    </w:p>
    <w:p w14:paraId="1F762CCB">
      <w:pPr>
        <w:spacing w:afterLines="25" w:line="300" w:lineRule="auto"/>
        <w:ind w:left="420"/>
        <w:jc w:val="center"/>
        <w:rPr>
          <w:rFonts w:ascii="宋体" w:hAnsi="宋体" w:cs="宋体"/>
          <w:color w:val="000000" w:themeColor="text1"/>
          <w:szCs w:val="21"/>
          <w14:textFill>
            <w14:solidFill>
              <w14:schemeClr w14:val="tx1"/>
            </w14:solidFill>
          </w14:textFill>
        </w:rPr>
      </w:pPr>
    </w:p>
    <w:p w14:paraId="5D7E3D54">
      <w:pPr>
        <w:spacing w:afterLines="25" w:line="300" w:lineRule="auto"/>
        <w:ind w:left="420"/>
        <w:jc w:val="center"/>
        <w:rPr>
          <w:rFonts w:hint="eastAsia" w:ascii="宋体" w:hAnsi="宋体" w:cs="Arial"/>
          <w:b/>
          <w:color w:val="000000"/>
          <w:sz w:val="28"/>
          <w:szCs w:val="28"/>
          <w:lang w:eastAsia="zh-CN"/>
        </w:rPr>
      </w:pPr>
    </w:p>
    <w:p w14:paraId="1C62EA82">
      <w:pPr>
        <w:spacing w:afterLines="25" w:line="300" w:lineRule="auto"/>
        <w:ind w:left="420"/>
        <w:jc w:val="center"/>
        <w:rPr>
          <w:rFonts w:hint="eastAsia" w:ascii="宋体" w:hAnsi="宋体" w:cs="Arial"/>
          <w:b/>
          <w:color w:val="000000"/>
          <w:sz w:val="28"/>
          <w:szCs w:val="28"/>
          <w:lang w:eastAsia="zh-CN"/>
        </w:rPr>
      </w:pPr>
    </w:p>
    <w:p w14:paraId="29CD3865">
      <w:pPr>
        <w:spacing w:afterLines="25" w:line="300" w:lineRule="auto"/>
        <w:ind w:left="420"/>
        <w:jc w:val="center"/>
        <w:rPr>
          <w:rFonts w:hint="eastAsia" w:ascii="宋体" w:hAnsi="宋体" w:cs="Arial"/>
          <w:b/>
          <w:color w:val="000000"/>
          <w:sz w:val="28"/>
          <w:szCs w:val="28"/>
          <w:lang w:eastAsia="zh-CN"/>
        </w:rPr>
      </w:pPr>
    </w:p>
    <w:p w14:paraId="5283C44A">
      <w:pPr>
        <w:spacing w:afterLines="25" w:line="300" w:lineRule="auto"/>
        <w:ind w:left="420"/>
        <w:jc w:val="center"/>
        <w:rPr>
          <w:rFonts w:hint="eastAsia" w:ascii="宋体" w:hAnsi="宋体" w:cs="Arial"/>
          <w:b/>
          <w:color w:val="000000"/>
          <w:sz w:val="28"/>
          <w:szCs w:val="28"/>
          <w:lang w:eastAsia="zh-CN"/>
        </w:rPr>
      </w:pPr>
    </w:p>
    <w:p w14:paraId="601A3C7B">
      <w:pPr>
        <w:spacing w:afterLines="25" w:line="300" w:lineRule="auto"/>
        <w:ind w:left="420"/>
        <w:jc w:val="center"/>
        <w:rPr>
          <w:rFonts w:hint="eastAsia" w:ascii="宋体" w:hAnsi="宋体" w:cs="Arial"/>
          <w:b/>
          <w:color w:val="000000"/>
          <w:sz w:val="28"/>
          <w:szCs w:val="28"/>
          <w:lang w:eastAsia="zh-CN"/>
        </w:rPr>
      </w:pPr>
    </w:p>
    <w:p w14:paraId="117253B7">
      <w:pPr>
        <w:spacing w:afterLines="25" w:line="300" w:lineRule="auto"/>
        <w:ind w:left="420"/>
        <w:jc w:val="center"/>
        <w:rPr>
          <w:rFonts w:hint="eastAsia" w:ascii="宋体" w:hAnsi="宋体" w:cs="Arial"/>
          <w:b/>
          <w:color w:val="000000"/>
          <w:sz w:val="28"/>
          <w:szCs w:val="28"/>
          <w:lang w:eastAsia="zh-CN"/>
        </w:rPr>
      </w:pPr>
    </w:p>
    <w:p w14:paraId="1B417FD0">
      <w:pPr>
        <w:spacing w:afterLines="25" w:line="300" w:lineRule="auto"/>
        <w:ind w:left="420"/>
        <w:jc w:val="center"/>
        <w:rPr>
          <w:rFonts w:hint="eastAsia" w:ascii="宋体" w:hAnsi="宋体" w:cs="Arial"/>
          <w:b/>
          <w:color w:val="000000"/>
          <w:sz w:val="28"/>
          <w:szCs w:val="28"/>
          <w:lang w:eastAsia="zh-CN"/>
        </w:rPr>
      </w:pPr>
    </w:p>
    <w:p w14:paraId="4B66E1CD">
      <w:pPr>
        <w:spacing w:afterLines="25" w:line="300" w:lineRule="auto"/>
        <w:ind w:left="420"/>
        <w:jc w:val="center"/>
        <w:rPr>
          <w:rFonts w:hint="eastAsia" w:ascii="宋体" w:hAnsi="宋体" w:cs="Arial"/>
          <w:b/>
          <w:color w:val="000000"/>
          <w:sz w:val="28"/>
          <w:szCs w:val="28"/>
          <w:lang w:eastAsia="zh-CN"/>
        </w:rPr>
      </w:pPr>
    </w:p>
    <w:p w14:paraId="1D6121C0">
      <w:pPr>
        <w:spacing w:afterLines="25" w:line="300" w:lineRule="auto"/>
        <w:ind w:left="420"/>
        <w:jc w:val="center"/>
        <w:rPr>
          <w:rFonts w:hint="eastAsia" w:ascii="宋体" w:hAnsi="宋体" w:cs="Arial"/>
          <w:b/>
          <w:color w:val="000000"/>
          <w:sz w:val="28"/>
          <w:szCs w:val="28"/>
          <w:lang w:eastAsia="zh-CN"/>
        </w:rPr>
      </w:pPr>
    </w:p>
    <w:p w14:paraId="41199043">
      <w:pPr>
        <w:spacing w:afterLines="25" w:line="300" w:lineRule="auto"/>
        <w:ind w:left="420"/>
        <w:jc w:val="center"/>
        <w:rPr>
          <w:rFonts w:hint="eastAsia" w:ascii="宋体" w:hAnsi="宋体" w:cs="Arial"/>
          <w:b/>
          <w:color w:val="000000"/>
          <w:sz w:val="28"/>
          <w:szCs w:val="28"/>
          <w:lang w:eastAsia="zh-CN"/>
        </w:rPr>
      </w:pPr>
    </w:p>
    <w:p w14:paraId="370BA50D">
      <w:pPr>
        <w:spacing w:afterLines="25" w:line="300" w:lineRule="auto"/>
        <w:jc w:val="both"/>
        <w:rPr>
          <w:rFonts w:hint="eastAsia" w:ascii="宋体" w:hAnsi="宋体" w:cs="Arial"/>
          <w:b/>
          <w:color w:val="000000"/>
          <w:sz w:val="28"/>
          <w:szCs w:val="28"/>
          <w:lang w:eastAsia="zh-CN"/>
        </w:rPr>
      </w:pPr>
    </w:p>
    <w:p w14:paraId="15F15449">
      <w:pPr>
        <w:spacing w:afterLines="25" w:line="300" w:lineRule="auto"/>
        <w:ind w:left="420"/>
        <w:jc w:val="center"/>
        <w:rPr>
          <w:rFonts w:hint="eastAsia" w:ascii="宋体" w:hAnsi="宋体" w:cs="Arial"/>
          <w:b/>
          <w:color w:val="000000"/>
          <w:sz w:val="28"/>
          <w:szCs w:val="28"/>
          <w:lang w:eastAsia="zh-CN"/>
        </w:rPr>
      </w:pP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32" w:name="_Toc1891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技术规格</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主要需求</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偏离表</w:t>
      </w:r>
      <w:bookmarkEnd w:id="32"/>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谈判文件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7"/>
        <w:tblW w:w="9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30" w:type="dxa"/>
            <w:shd w:val="clear" w:color="auto" w:fill="EAF1DD" w:themeFill="accent3" w:themeFillTint="33"/>
            <w:vAlign w:val="center"/>
          </w:tcPr>
          <w:p w14:paraId="481DAB5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eastAsiaTheme="minorEastAsia"/>
                <w:color w:val="auto"/>
                <w:szCs w:val="21"/>
              </w:rPr>
              <w:t>序号</w:t>
            </w:r>
          </w:p>
        </w:tc>
        <w:tc>
          <w:tcPr>
            <w:tcW w:w="830" w:type="dxa"/>
            <w:shd w:val="clear" w:color="auto" w:fill="EAF1DD" w:themeFill="accent3" w:themeFillTint="33"/>
            <w:vAlign w:val="center"/>
          </w:tcPr>
          <w:p w14:paraId="5FB9D4F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货品名称</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招标技术要求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证明文件</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4414953">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1</w:t>
            </w:r>
          </w:p>
        </w:tc>
        <w:tc>
          <w:tcPr>
            <w:tcW w:w="830" w:type="dxa"/>
            <w:vAlign w:val="center"/>
          </w:tcPr>
          <w:p w14:paraId="51285671">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1D6455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7CDBD0A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2</w:t>
            </w:r>
          </w:p>
        </w:tc>
        <w:tc>
          <w:tcPr>
            <w:tcW w:w="830" w:type="dxa"/>
            <w:vAlign w:val="center"/>
          </w:tcPr>
          <w:p w14:paraId="16343483">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DF9696A">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559E886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3</w:t>
            </w:r>
          </w:p>
        </w:tc>
        <w:tc>
          <w:tcPr>
            <w:tcW w:w="830" w:type="dxa"/>
            <w:vAlign w:val="center"/>
          </w:tcPr>
          <w:p w14:paraId="778A6E0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EFB38CE">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88C66C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4</w:t>
            </w:r>
          </w:p>
        </w:tc>
        <w:tc>
          <w:tcPr>
            <w:tcW w:w="830" w:type="dxa"/>
            <w:vAlign w:val="center"/>
          </w:tcPr>
          <w:p w14:paraId="212791F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3D4E48A8">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009DD5D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5</w:t>
            </w:r>
          </w:p>
        </w:tc>
        <w:tc>
          <w:tcPr>
            <w:tcW w:w="830" w:type="dxa"/>
            <w:vAlign w:val="center"/>
          </w:tcPr>
          <w:p w14:paraId="77CEAF63">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015303A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63127AB0">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6</w:t>
            </w:r>
          </w:p>
        </w:tc>
        <w:tc>
          <w:tcPr>
            <w:tcW w:w="830" w:type="dxa"/>
            <w:vAlign w:val="center"/>
          </w:tcPr>
          <w:p w14:paraId="73B101DF">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67486C06">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30" w:type="dxa"/>
            <w:shd w:val="clear" w:color="auto" w:fill="auto"/>
            <w:vAlign w:val="center"/>
          </w:tcPr>
          <w:p w14:paraId="3136F83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w:t>
            </w:r>
          </w:p>
        </w:tc>
        <w:tc>
          <w:tcPr>
            <w:tcW w:w="830" w:type="dxa"/>
            <w:vAlign w:val="center"/>
          </w:tcPr>
          <w:p w14:paraId="44DBDA39">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47EF327">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谈判文件</w:t>
      </w:r>
      <w:r>
        <w:rPr>
          <w:rFonts w:hint="eastAsia" w:ascii="宋体" w:hAnsi="宋体"/>
          <w:szCs w:val="21"/>
        </w:rPr>
        <w:t>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响应”一栏必须一一对照“招标</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谈判文件</w:t>
      </w:r>
      <w:r>
        <w:rPr>
          <w:rFonts w:hint="eastAsia" w:ascii="宋体" w:hAnsi="宋体"/>
          <w:szCs w:val="21"/>
        </w:rPr>
        <w:t>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响应优于招标</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响应不满足招标</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响应与招标</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响应”对比“招标</w:t>
      </w:r>
      <w:r>
        <w:rPr>
          <w:rFonts w:hint="eastAsia" w:ascii="宋体" w:hAnsi="宋体"/>
          <w:szCs w:val="21"/>
          <w:lang w:val="en-US" w:eastAsia="zh-CN"/>
        </w:rPr>
        <w:t>技术</w:t>
      </w:r>
      <w:r>
        <w:rPr>
          <w:rFonts w:hint="eastAsia" w:ascii="宋体" w:hAnsi="宋体"/>
          <w:szCs w:val="21"/>
        </w:rPr>
        <w:t>要求”存在响应不全（包括未响应整项招标</w:t>
      </w:r>
      <w:r>
        <w:rPr>
          <w:rFonts w:hint="eastAsia" w:ascii="宋体" w:hAnsi="宋体"/>
          <w:szCs w:val="21"/>
          <w:lang w:val="en-US" w:eastAsia="zh-CN"/>
        </w:rPr>
        <w:t>技术</w:t>
      </w:r>
      <w:r>
        <w:rPr>
          <w:rFonts w:hint="eastAsia" w:ascii="宋体" w:hAnsi="宋体"/>
          <w:szCs w:val="21"/>
        </w:rPr>
        <w:t>要求或者未响应一项招标</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5A12BB44">
      <w:pPr>
        <w:rPr>
          <w:color w:val="000000"/>
        </w:rPr>
      </w:pPr>
    </w:p>
    <w:p w14:paraId="0871B203">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2970BA39">
      <w:pPr>
        <w:spacing w:after="6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551E94B8">
      <w:pPr>
        <w:spacing w:after="60"/>
        <w:ind w:firstLine="2100" w:firstLineChars="1000"/>
        <w:jc w:val="both"/>
        <w:rPr>
          <w:rFonts w:hint="eastAsia" w:cs="Arial"/>
          <w:b/>
          <w:color w:val="000000"/>
          <w:sz w:val="28"/>
          <w:szCs w:val="28"/>
        </w:rPr>
      </w:pPr>
      <w:r>
        <w:rPr>
          <w:rFonts w:hint="eastAsia" w:ascii="宋体" w:hAnsi="宋体" w:cs="宋体"/>
          <w:color w:val="000000" w:themeColor="text1"/>
          <w:szCs w:val="21"/>
          <w14:textFill>
            <w14:solidFill>
              <w14:schemeClr w14:val="tx1"/>
            </w14:solidFill>
          </w14:textFill>
        </w:rPr>
        <w:t xml:space="preserve">  </w:t>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3" w:name="_Toc29077"/>
      <w:bookmarkStart w:id="34" w:name="_Toc20322_WPSOffice_Level1"/>
      <w:bookmarkStart w:id="35" w:name="_Toc275865605"/>
      <w:bookmarkStart w:id="36" w:name="_Toc435514854"/>
      <w:bookmarkStart w:id="37" w:name="_Toc9447"/>
      <w:bookmarkStart w:id="38" w:name="_Toc1762"/>
      <w:bookmarkStart w:id="39" w:name="_Toc435515294"/>
      <w:bookmarkStart w:id="40" w:name="_Toc24434"/>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33"/>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谈判文件</w:t>
      </w:r>
      <w:r>
        <w:rPr>
          <w:rFonts w:hint="eastAsia" w:ascii="宋体" w:hAnsi="宋体"/>
          <w:lang w:val="en-US" w:eastAsia="zh-CN"/>
        </w:rPr>
        <w:t>商务要求中的</w:t>
      </w:r>
      <w:r>
        <w:rPr>
          <w:rFonts w:hint="eastAsia" w:ascii="宋体" w:hAnsi="宋体"/>
        </w:rPr>
        <w:t>条款逐条应答并按要求填写下表。</w:t>
      </w:r>
    </w:p>
    <w:tbl>
      <w:tblPr>
        <w:tblStyle w:val="17"/>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招标</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谈判文件</w:t>
      </w:r>
      <w:r>
        <w:rPr>
          <w:rFonts w:hint="eastAsia" w:ascii="宋体" w:hAnsi="宋体"/>
          <w:szCs w:val="21"/>
        </w:rPr>
        <w:t>要求附相关证明文件，如未提供的视为负偏离。</w:t>
      </w:r>
    </w:p>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、“投标商务响应”一栏必须一一对照“招标商务要求”，详细填写自身响应情况，而不能不合理照搬照抄</w:t>
      </w:r>
      <w:r>
        <w:rPr>
          <w:rFonts w:hint="eastAsia" w:ascii="宋体" w:hAnsi="宋体"/>
          <w:szCs w:val="21"/>
          <w:lang w:eastAsia="zh-CN"/>
        </w:rPr>
        <w:t>谈判文件</w:t>
      </w:r>
      <w:r>
        <w:rPr>
          <w:rFonts w:hint="eastAsia" w:ascii="宋体" w:hAnsi="宋体"/>
          <w:szCs w:val="21"/>
        </w:rPr>
        <w:t>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响应优于招标商务要求”，“负偏离”表示“投标</w:t>
      </w:r>
      <w:r>
        <w:rPr>
          <w:rFonts w:hint="eastAsia" w:ascii="宋体" w:hAnsi="宋体"/>
          <w:szCs w:val="21"/>
          <w:lang w:val="en-US" w:eastAsia="zh-CN"/>
        </w:rPr>
        <w:t>商务</w:t>
      </w:r>
      <w:r>
        <w:rPr>
          <w:rFonts w:hint="eastAsia" w:ascii="宋体" w:hAnsi="宋体"/>
          <w:szCs w:val="21"/>
        </w:rPr>
        <w:t>响应不满足招标商务要求”，“无偏离”表示“投标</w:t>
      </w:r>
      <w:r>
        <w:rPr>
          <w:rFonts w:hint="eastAsia" w:ascii="宋体" w:hAnsi="宋体"/>
          <w:szCs w:val="21"/>
          <w:lang w:val="en-US" w:eastAsia="zh-CN"/>
        </w:rPr>
        <w:t>商务</w:t>
      </w:r>
      <w:r>
        <w:rPr>
          <w:rFonts w:hint="eastAsia" w:ascii="宋体" w:hAnsi="宋体"/>
          <w:szCs w:val="21"/>
        </w:rPr>
        <w:t>响应与招标商务要求一致”。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、“投标商务响应”对比“招标商务要求”存在响应不全（包括未响应整项招标商务要求或者未响应一项招标商务要求的部分内容），均视为“负偏离”。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21E48A7">
      <w:pPr>
        <w:keepNext/>
        <w:keepLines/>
        <w:widowControl w:val="0"/>
        <w:numPr>
          <w:ilvl w:val="0"/>
          <w:numId w:val="0"/>
        </w:numPr>
        <w:spacing w:line="240" w:lineRule="auto"/>
        <w:jc w:val="center"/>
        <w:outlineLvl w:val="9"/>
        <w:rPr>
          <w:rFonts w:hint="eastAsia" w:asciiTheme="majorEastAsia" w:hAnsiTheme="majorEastAsia" w:eastAsiaTheme="majorEastAsia" w:cstheme="minorBidi"/>
          <w:b/>
          <w:kern w:val="44"/>
          <w:sz w:val="30"/>
          <w:szCs w:val="30"/>
          <w:lang w:val="en-US" w:eastAsia="zh-CN" w:bidi="ar-SA"/>
        </w:rPr>
      </w:pPr>
    </w:p>
    <w:p w14:paraId="14CAA0C3">
      <w:pPr>
        <w:rPr>
          <w:rFonts w:hint="eastAsia" w:asciiTheme="majorEastAsia" w:hAnsiTheme="majorEastAsia" w:eastAsiaTheme="majorEastAsia"/>
          <w:sz w:val="30"/>
          <w:szCs w:val="30"/>
          <w:lang w:eastAsia="zh-CN"/>
        </w:rPr>
      </w:pPr>
    </w:p>
    <w:p w14:paraId="27022725">
      <w:pPr>
        <w:rPr>
          <w:rFonts w:hint="eastAsia" w:asciiTheme="majorEastAsia" w:hAnsiTheme="majorEastAsia" w:eastAsiaTheme="majorEastAsia"/>
          <w:sz w:val="30"/>
          <w:szCs w:val="30"/>
          <w:lang w:eastAsia="zh-CN"/>
        </w:rPr>
      </w:pPr>
    </w:p>
    <w:p w14:paraId="6118258B">
      <w:pPr>
        <w:rPr>
          <w:rFonts w:hint="eastAsia"/>
          <w:lang w:eastAsia="zh-CN"/>
        </w:rPr>
      </w:pPr>
    </w:p>
    <w:p w14:paraId="51884ACB">
      <w:pPr>
        <w:pStyle w:val="2"/>
        <w:numPr>
          <w:ilvl w:val="0"/>
          <w:numId w:val="0"/>
        </w:numPr>
        <w:spacing w:line="240" w:lineRule="auto"/>
        <w:jc w:val="center"/>
        <w:rPr>
          <w:rFonts w:hint="eastAsia" w:cs="宋体" w:asciiTheme="majorEastAsia" w:hAnsiTheme="majorEastAsia" w:eastAsiaTheme="majorEastAsia"/>
          <w:b w:val="0"/>
          <w:kern w:val="2"/>
          <w:sz w:val="30"/>
          <w:szCs w:val="30"/>
          <w:lang w:val="en-US" w:eastAsia="zh-CN" w:bidi="ar-SA"/>
        </w:rPr>
      </w:pPr>
      <w:bookmarkStart w:id="41" w:name="_Toc28894"/>
      <w:r>
        <w:rPr>
          <w:rFonts w:hint="eastAsia" w:cs="宋体" w:asciiTheme="majorEastAsia" w:hAnsiTheme="majorEastAsia" w:eastAsiaTheme="majorEastAsia"/>
          <w:b w:val="0"/>
          <w:kern w:val="2"/>
          <w:sz w:val="30"/>
          <w:szCs w:val="30"/>
          <w:lang w:val="en-US" w:eastAsia="zh-CN" w:bidi="ar-SA"/>
        </w:rPr>
        <w:t>（十一）投标函</w:t>
      </w:r>
      <w:bookmarkEnd w:id="34"/>
      <w:bookmarkEnd w:id="35"/>
      <w:bookmarkEnd w:id="36"/>
      <w:bookmarkEnd w:id="37"/>
      <w:bookmarkEnd w:id="38"/>
      <w:bookmarkEnd w:id="39"/>
      <w:bookmarkEnd w:id="40"/>
      <w:bookmarkEnd w:id="41"/>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谈判文件</w:t>
      </w:r>
      <w:r>
        <w:rPr>
          <w:rFonts w:hint="eastAsia" w:ascii="宋体" w:hAnsi="宋体"/>
        </w:rPr>
        <w:t>（项目编号：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3"/>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谈判文件</w:t>
      </w:r>
      <w:r>
        <w:rPr>
          <w:rFonts w:hint="eastAsia" w:ascii="宋体" w:hAnsi="宋体"/>
          <w:b/>
        </w:rPr>
        <w:t>的各项规定，自愿参加投标，并已清楚</w:t>
      </w:r>
      <w:r>
        <w:rPr>
          <w:rFonts w:hint="eastAsia" w:ascii="宋体" w:hAnsi="宋体"/>
          <w:b/>
          <w:lang w:eastAsia="zh-CN"/>
        </w:rPr>
        <w:t>谈判文件</w:t>
      </w:r>
      <w:r>
        <w:rPr>
          <w:rFonts w:hint="eastAsia" w:ascii="宋体" w:hAnsi="宋体"/>
          <w:b/>
        </w:rPr>
        <w:t>的要求及有关文件规定，并严格按照</w:t>
      </w:r>
      <w:r>
        <w:rPr>
          <w:rFonts w:hint="eastAsia" w:ascii="宋体" w:hAnsi="宋体"/>
          <w:b/>
          <w:lang w:eastAsia="zh-CN"/>
        </w:rPr>
        <w:t>谈判文件</w:t>
      </w:r>
      <w:r>
        <w:rPr>
          <w:rFonts w:hint="eastAsia" w:ascii="宋体" w:hAnsi="宋体"/>
          <w:b/>
        </w:rPr>
        <w:t>的规定履行全部责任和义务。</w:t>
      </w:r>
    </w:p>
    <w:p w14:paraId="628A2847">
      <w:pPr>
        <w:numPr>
          <w:ilvl w:val="0"/>
          <w:numId w:val="13"/>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3"/>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3"/>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谈判文件</w:t>
      </w:r>
      <w:r>
        <w:rPr>
          <w:rFonts w:hint="eastAsia" w:ascii="宋体" w:hAnsi="宋体"/>
          <w:b/>
        </w:rPr>
        <w:t>及附件，包括澄清（如有）及参考文件，我单位完全理解本</w:t>
      </w:r>
      <w:r>
        <w:rPr>
          <w:rFonts w:hint="eastAsia" w:ascii="宋体" w:hAnsi="宋体"/>
          <w:b/>
          <w:lang w:eastAsia="zh-CN"/>
        </w:rPr>
        <w:t>谈判文件</w:t>
      </w:r>
      <w:r>
        <w:rPr>
          <w:rFonts w:hint="eastAsia" w:ascii="宋体" w:hAnsi="宋体"/>
          <w:b/>
        </w:rPr>
        <w:t>的要求，</w:t>
      </w:r>
      <w:r>
        <w:rPr>
          <w:rFonts w:hint="eastAsia" w:ascii="宋体"/>
          <w:b/>
        </w:rPr>
        <w:t>我单位同意放弃对</w:t>
      </w:r>
      <w:r>
        <w:rPr>
          <w:rFonts w:hint="eastAsia" w:ascii="宋体"/>
          <w:b/>
          <w:lang w:eastAsia="zh-CN"/>
        </w:rPr>
        <w:t>谈判文件</w:t>
      </w:r>
      <w:r>
        <w:rPr>
          <w:rFonts w:hint="eastAsia" w:ascii="宋体"/>
          <w:b/>
        </w:rPr>
        <w:t>提出不明或误解的一切权力</w:t>
      </w:r>
      <w:r>
        <w:rPr>
          <w:rFonts w:hint="eastAsia" w:ascii="宋体" w:hAnsi="宋体"/>
          <w:b/>
        </w:rPr>
        <w:t>。</w:t>
      </w:r>
    </w:p>
    <w:p w14:paraId="6B072C5B">
      <w:pPr>
        <w:numPr>
          <w:ilvl w:val="0"/>
          <w:numId w:val="13"/>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w:t>
      </w:r>
      <w:r>
        <w:rPr>
          <w:rFonts w:hint="eastAsia" w:ascii="宋体" w:hAnsi="宋体"/>
          <w:b/>
          <w:lang w:eastAsia="zh-CN"/>
        </w:rPr>
        <w:t>谈判小组</w:t>
      </w:r>
      <w:r>
        <w:rPr>
          <w:rFonts w:hint="eastAsia" w:ascii="宋体" w:hAnsi="宋体"/>
          <w:b/>
        </w:rPr>
        <w:t>要求的有关投标的一切数据或资料。</w:t>
      </w:r>
    </w:p>
    <w:p w14:paraId="0FD5B310">
      <w:pPr>
        <w:numPr>
          <w:ilvl w:val="0"/>
          <w:numId w:val="13"/>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w:t>
      </w:r>
      <w:r>
        <w:rPr>
          <w:rFonts w:hint="eastAsia" w:ascii="宋体" w:hAnsi="宋体"/>
          <w:b/>
          <w:lang w:eastAsia="zh-CN"/>
        </w:rPr>
        <w:t>谈判小组</w:t>
      </w:r>
      <w:r>
        <w:rPr>
          <w:rFonts w:hint="eastAsia" w:ascii="宋体" w:hAnsi="宋体"/>
          <w:b/>
        </w:rPr>
        <w:t>并无义务必须接受最低报价的投标或其它任何投标，完全理解拒绝迟到的任何投标和最低投标报价不是被授予中标的唯一条件。</w:t>
      </w:r>
    </w:p>
    <w:p w14:paraId="2BDE4B1F">
      <w:pPr>
        <w:numPr>
          <w:ilvl w:val="0"/>
          <w:numId w:val="13"/>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谈判文件</w:t>
      </w:r>
      <w:r>
        <w:rPr>
          <w:rFonts w:hint="eastAsia" w:ascii="宋体" w:hAnsi="宋体"/>
          <w:b/>
        </w:rPr>
        <w:t xml:space="preserve">全部要求作出实质性响应，则完全同意并接受按无效投标处理。 </w:t>
      </w:r>
    </w:p>
    <w:p w14:paraId="4E34F74F">
      <w:pPr>
        <w:numPr>
          <w:ilvl w:val="0"/>
          <w:numId w:val="13"/>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3"/>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3"/>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3"/>
        </w:numPr>
        <w:tabs>
          <w:tab w:val="clear" w:pos="780"/>
        </w:tabs>
        <w:snapToGrid w:val="0"/>
        <w:spacing w:line="360" w:lineRule="auto"/>
        <w:ind w:left="426"/>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谈判文件</w:t>
      </w:r>
      <w:r>
        <w:rPr>
          <w:rFonts w:hint="eastAsia" w:ascii="宋体" w:hAnsi="宋体"/>
          <w:b/>
        </w:rPr>
        <w:t>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2" w:name="_Toc7805"/>
      <w:bookmarkStart w:id="43" w:name="_Toc24650"/>
      <w:bookmarkStart w:id="44" w:name="_Toc4649"/>
      <w:bookmarkStart w:id="45" w:name="_Toc435514855"/>
      <w:bookmarkStart w:id="46" w:name="_Toc435515295"/>
      <w:bookmarkStart w:id="47" w:name="_Toc26831"/>
      <w:bookmarkStart w:id="48" w:name="_Toc275865606"/>
      <w:r>
        <w:rPr>
          <w:rFonts w:hint="eastAsia" w:cs="宋体" w:asciiTheme="majorEastAsia" w:hAnsiTheme="majorEastAsia" w:eastAsiaTheme="majorEastAsia"/>
          <w:kern w:val="2"/>
          <w:sz w:val="30"/>
          <w:szCs w:val="30"/>
          <w:lang w:val="en-US" w:eastAsia="zh-CN" w:bidi="ar-SA"/>
        </w:rPr>
        <w:t>（十二）</w:t>
      </w:r>
      <w:r>
        <w:rPr>
          <w:rFonts w:hint="eastAsia" w:asciiTheme="majorEastAsia" w:hAnsiTheme="majorEastAsia" w:eastAsiaTheme="majorEastAsia"/>
          <w:sz w:val="30"/>
          <w:szCs w:val="30"/>
        </w:rPr>
        <w:t>投标人资格声明函</w:t>
      </w:r>
      <w:bookmarkEnd w:id="42"/>
      <w:bookmarkEnd w:id="43"/>
      <w:bookmarkEnd w:id="44"/>
      <w:bookmarkEnd w:id="45"/>
      <w:bookmarkEnd w:id="46"/>
      <w:bookmarkEnd w:id="47"/>
      <w:bookmarkEnd w:id="48"/>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5"/>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）招标，本公司（企业）愿意参加投标，并声明：</w:t>
      </w:r>
    </w:p>
    <w:p w14:paraId="179ACA93">
      <w:pPr>
        <w:numPr>
          <w:ilvl w:val="0"/>
          <w:numId w:val="14"/>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4"/>
        </w:numPr>
        <w:spacing w:line="360" w:lineRule="auto"/>
        <w:ind w:right="-815" w:firstLineChars="200"/>
        <w:outlineLvl w:val="9"/>
        <w:rPr>
          <w:rFonts w:ascii="宋体" w:hAnsi="宋体"/>
          <w:szCs w:val="21"/>
        </w:rPr>
      </w:pPr>
      <w:r>
        <w:rPr>
          <w:rFonts w:hint="eastAsia" w:ascii="宋体" w:hAnsi="宋体"/>
          <w:szCs w:val="21"/>
        </w:rPr>
        <w:t>我公司对本招标项目所提供的货物或服务未侵犯知识产权。</w:t>
      </w:r>
    </w:p>
    <w:p w14:paraId="6CC207C4">
      <w:pPr>
        <w:numPr>
          <w:ilvl w:val="0"/>
          <w:numId w:val="14"/>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4"/>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4"/>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谈判文件</w:t>
      </w:r>
      <w:r>
        <w:rPr>
          <w:rFonts w:hint="eastAsia" w:ascii="宋体" w:hAnsi="宋体"/>
          <w:color w:val="auto"/>
          <w:szCs w:val="21"/>
          <w:highlight w:val="none"/>
        </w:rPr>
        <w:t>需求内容、签署的采购合同及本公司在投标中所作的一切承诺履约。项目验收达到全部指标合格，力争优良。</w:t>
      </w:r>
    </w:p>
    <w:p w14:paraId="30EADCCC">
      <w:pPr>
        <w:numPr>
          <w:ilvl w:val="0"/>
          <w:numId w:val="14"/>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4"/>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4"/>
        </w:numPr>
        <w:spacing w:line="360" w:lineRule="auto"/>
        <w:ind w:right="-815" w:firstLineChars="200"/>
        <w:rPr>
          <w:rFonts w:ascii="宋体" w:hAnsi="宋体"/>
          <w:szCs w:val="21"/>
        </w:rPr>
      </w:pPr>
      <w:r>
        <w:rPr>
          <w:rFonts w:hint="eastAsia" w:ascii="宋体" w:hAnsi="宋体"/>
        </w:rPr>
        <w:t>本公司（企业）承诺在本次招标采购活动中，如有违法、违规、弄虚作假行为，所造成的损失、不良后果及法律责任，一律由我公司（企业）承担。</w:t>
      </w:r>
    </w:p>
    <w:p w14:paraId="776B9E12">
      <w:pPr>
        <w:numPr>
          <w:ilvl w:val="0"/>
          <w:numId w:val="14"/>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本次招标采购活动中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4"/>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本次招标采购活动中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4"/>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9" w:name="_承诺函"/>
      <w:bookmarkEnd w:id="49"/>
      <w:bookmarkStart w:id="50" w:name="_Toc32186"/>
      <w:bookmarkStart w:id="51" w:name="_Toc21707"/>
      <w:bookmarkStart w:id="52" w:name="_Toc52165081"/>
      <w:bookmarkStart w:id="53" w:name="_Toc275865607"/>
      <w:bookmarkStart w:id="54" w:name="_Toc435515299"/>
      <w:bookmarkStart w:id="55" w:name="_Toc435514859"/>
      <w:bookmarkStart w:id="56" w:name="_Toc50737297"/>
      <w:bookmarkStart w:id="57" w:name="_Toc50737329"/>
      <w:bookmarkStart w:id="58" w:name="_Toc24149"/>
      <w:bookmarkStart w:id="59" w:name="_Toc27672"/>
      <w:bookmarkStart w:id="60" w:name="_Toc50736477"/>
      <w:bookmarkStart w:id="61" w:name="_Toc50691034"/>
      <w:bookmarkStart w:id="62" w:name="_Toc50736476"/>
      <w:bookmarkStart w:id="63" w:name="_Toc50737328"/>
      <w:bookmarkStart w:id="64" w:name="_Toc52165080"/>
      <w:bookmarkStart w:id="65" w:name="_Toc50737296"/>
      <w:r>
        <w:rPr>
          <w:rFonts w:hint="eastAsia" w:cs="宋体" w:asciiTheme="majorEastAsia" w:hAnsiTheme="majorEastAsia" w:eastAsiaTheme="majorEastAsia"/>
          <w:kern w:val="2"/>
          <w:sz w:val="30"/>
          <w:szCs w:val="30"/>
          <w:lang w:val="en-US" w:eastAsia="zh-CN" w:bidi="ar-SA"/>
        </w:rPr>
        <w:t>（十三）政府采购违法行为风险知悉确认书</w:t>
      </w:r>
      <w:bookmarkEnd w:id="50"/>
      <w:bookmarkEnd w:id="51"/>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9"/>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26"/>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bookmarkStart w:id="66" w:name="_Toc24374"/>
      <w:bookmarkStart w:id="67" w:name="_Toc13791"/>
      <w:r>
        <w:rPr>
          <w:rFonts w:hint="eastAsia" w:cs="宋体" w:asciiTheme="majorEastAsia" w:hAnsiTheme="majorEastAsia" w:eastAsiaTheme="majorEastAsia"/>
          <w:kern w:val="2"/>
          <w:sz w:val="30"/>
          <w:szCs w:val="30"/>
          <w:lang w:val="en-US" w:eastAsia="zh-CN" w:bidi="ar-SA"/>
        </w:rPr>
        <w:t>（十四）</w:t>
      </w:r>
      <w:r>
        <w:rPr>
          <w:rFonts w:hint="eastAsia" w:asciiTheme="majorEastAsia" w:hAnsiTheme="majorEastAsia" w:eastAsiaTheme="majorEastAsia"/>
          <w:sz w:val="30"/>
          <w:szCs w:val="30"/>
        </w:rPr>
        <w:t>法定代表人授权委托书</w:t>
      </w:r>
      <w:bookmarkEnd w:id="52"/>
      <w:bookmarkEnd w:id="53"/>
      <w:bookmarkEnd w:id="54"/>
      <w:bookmarkEnd w:id="55"/>
      <w:bookmarkEnd w:id="56"/>
      <w:bookmarkEnd w:id="57"/>
      <w:bookmarkEnd w:id="58"/>
      <w:bookmarkEnd w:id="59"/>
      <w:bookmarkEnd w:id="60"/>
      <w:bookmarkEnd w:id="66"/>
      <w:bookmarkEnd w:id="67"/>
    </w:p>
    <w:p w14:paraId="232C51C3">
      <w:pPr>
        <w:pStyle w:val="10"/>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10"/>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6"/>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8" w:name="_Toc435514860"/>
      <w:bookmarkStart w:id="69" w:name="_Toc14289"/>
      <w:bookmarkStart w:id="70" w:name="_Toc275865608"/>
      <w:bookmarkStart w:id="71" w:name="_Toc435515300"/>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备注：如参加开标时需另外单独提供法定代表人证明书或者法人代表授权委托书。</w:t>
      </w:r>
      <w:r>
        <w:rPr>
          <w:rFonts w:hint="eastAsia" w:asciiTheme="majorEastAsia" w:hAnsiTheme="majorEastAsia" w:eastAsiaTheme="majorEastAsia"/>
          <w:sz w:val="30"/>
          <w:szCs w:val="30"/>
        </w:rPr>
        <w:br w:type="page"/>
      </w:r>
    </w:p>
    <w:bookmarkEnd w:id="61"/>
    <w:bookmarkEnd w:id="62"/>
    <w:bookmarkEnd w:id="63"/>
    <w:bookmarkEnd w:id="64"/>
    <w:bookmarkEnd w:id="65"/>
    <w:bookmarkEnd w:id="68"/>
    <w:bookmarkEnd w:id="69"/>
    <w:bookmarkEnd w:id="70"/>
    <w:bookmarkEnd w:id="71"/>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72" w:name="_Toc6666"/>
      <w:bookmarkStart w:id="73" w:name="_Toc571"/>
      <w:bookmarkStart w:id="74" w:name="_Toc21402"/>
      <w:bookmarkStart w:id="75" w:name="_Toc7067"/>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72"/>
      <w:bookmarkEnd w:id="73"/>
      <w:bookmarkEnd w:id="74"/>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502F8DD2">
      <w:pPr>
        <w:spacing w:line="360" w:lineRule="auto"/>
        <w:ind w:firstLine="422" w:firstLineChars="200"/>
        <w:rPr>
          <w:rFonts w:hint="eastAsia"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E63DD1E">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A4F398">
      <w:pPr>
        <w:spacing w:line="360" w:lineRule="auto"/>
        <w:jc w:val="center"/>
        <w:rPr>
          <w:rFonts w:hint="eastAsia" w:ascii="宋体" w:hAnsi="宋体" w:eastAsia="宋体" w:cs="宋体"/>
          <w:bCs/>
          <w:color w:val="auto"/>
          <w:sz w:val="21"/>
          <w:szCs w:val="21"/>
        </w:rPr>
      </w:pPr>
    </w:p>
    <w:p w14:paraId="08E7BD5D">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b/>
          <w:bCs w:val="0"/>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76" w:name="_Toc10390"/>
      <w:bookmarkStart w:id="77" w:name="_Toc29263"/>
      <w:bookmarkStart w:id="78" w:name="_Toc24233"/>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法定代表人证明书</w:t>
      </w:r>
      <w:bookmarkEnd w:id="75"/>
      <w:bookmarkEnd w:id="76"/>
      <w:bookmarkEnd w:id="77"/>
      <w:bookmarkEnd w:id="78"/>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spacing w:line="50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9" w:name="_Toc23830"/>
      <w:bookmarkStart w:id="80" w:name="_Toc24644"/>
      <w:bookmarkStart w:id="81" w:name="_Toc30412"/>
      <w:r>
        <w:rPr>
          <w:rFonts w:hint="eastAsia" w:ascii="宋体" w:hAnsi="宋体" w:eastAsia="宋体" w:cs="宋体"/>
          <w:kern w:val="2"/>
          <w:sz w:val="30"/>
          <w:szCs w:val="30"/>
          <w:lang w:val="en-US" w:eastAsia="zh-CN" w:bidi="ar-SA"/>
        </w:rPr>
        <w:t>（十七）</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9"/>
      <w:bookmarkEnd w:id="80"/>
      <w:bookmarkEnd w:id="81"/>
    </w:p>
    <w:p w14:paraId="16E0E90C">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6CF6A4A8">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82" w:name="_Toc11926"/>
      <w:bookmarkStart w:id="83" w:name="_Toc25910"/>
      <w:bookmarkStart w:id="84" w:name="_Toc2305"/>
      <w:bookmarkStart w:id="85" w:name="_Toc11352"/>
      <w:bookmarkStart w:id="86" w:name="_Toc1903"/>
      <w:bookmarkStart w:id="87" w:name="_Toc7126"/>
      <w:bookmarkStart w:id="88" w:name="_Toc15871"/>
      <w:bookmarkStart w:id="89" w:name="_Toc777"/>
      <w:r>
        <w:rPr>
          <w:rFonts w:hint="eastAsia" w:ascii="宋体" w:hAnsi="宋体" w:eastAsia="宋体" w:cs="宋体"/>
          <w:color w:val="auto"/>
          <w:kern w:val="2"/>
          <w:sz w:val="30"/>
          <w:szCs w:val="30"/>
          <w:lang w:val="en-US" w:eastAsia="zh-CN" w:bidi="ar-SA"/>
        </w:rPr>
        <w:t>（十八）</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82"/>
      <w:bookmarkEnd w:id="83"/>
      <w:bookmarkEnd w:id="84"/>
      <w:bookmarkEnd w:id="85"/>
      <w:bookmarkEnd w:id="86"/>
      <w:bookmarkEnd w:id="87"/>
      <w:bookmarkEnd w:id="88"/>
      <w:bookmarkEnd w:id="89"/>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1C60B558">
      <w:pPr>
        <w:pStyle w:val="6"/>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601E95E">
      <w:pPr>
        <w:spacing w:line="500" w:lineRule="exact"/>
        <w:rPr>
          <w:rFonts w:ascii="宋体" w:hAnsi="宋体"/>
        </w:rPr>
      </w:pPr>
    </w:p>
    <w:p w14:paraId="0B1E9164">
      <w:pPr>
        <w:rPr>
          <w:rFonts w:hint="eastAsia"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16B3BBAB">
      <w:pPr>
        <w:pStyle w:val="3"/>
        <w:numPr>
          <w:ilvl w:val="0"/>
          <w:numId w:val="0"/>
        </w:numPr>
        <w:ind w:left="0" w:leftChars="0" w:firstLine="0" w:firstLineChars="0"/>
        <w:jc w:val="center"/>
        <w:outlineLvl w:val="0"/>
        <w:rPr>
          <w:rFonts w:ascii="宋体" w:hAnsi="宋体"/>
          <w:sz w:val="30"/>
          <w:szCs w:val="30"/>
        </w:rPr>
      </w:pPr>
      <w:bookmarkStart w:id="90" w:name="_Toc11555"/>
      <w:bookmarkStart w:id="91" w:name="_Toc23208"/>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十九</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bookmarkEnd w:id="90"/>
      <w:bookmarkEnd w:id="91"/>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我公司本招标项目所提供的货物或服务未侵犯知识产权。</w:t>
      </w:r>
    </w:p>
    <w:p w14:paraId="5EC7A22A">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03C066D2">
      <w:pPr>
        <w:ind w:right="-517" w:rightChars="-246"/>
        <w:jc w:val="center"/>
        <w:outlineLvl w:val="0"/>
        <w:rPr>
          <w:rFonts w:ascii="宋体" w:hAnsi="宋体"/>
          <w:b/>
          <w:bCs/>
          <w:snapToGrid w:val="0"/>
          <w:kern w:val="0"/>
          <w:sz w:val="32"/>
          <w:szCs w:val="32"/>
        </w:rPr>
      </w:pPr>
      <w:bookmarkStart w:id="92" w:name="_Toc7852"/>
      <w:bookmarkStart w:id="93" w:name="_Toc12169"/>
      <w:r>
        <w:rPr>
          <w:rFonts w:hint="eastAsia" w:cs="宋体" w:asciiTheme="majorEastAsia" w:hAnsiTheme="majorEastAsia" w:eastAsiaTheme="majorEastAsia"/>
          <w:kern w:val="2"/>
          <w:sz w:val="30"/>
          <w:szCs w:val="30"/>
          <w:lang w:val="en-US" w:eastAsia="zh-CN" w:bidi="ar-SA"/>
        </w:rPr>
        <w:t>（二十）福田区第二人民医院医用耗材产品质量及货源保证书</w:t>
      </w:r>
      <w:bookmarkEnd w:id="92"/>
    </w:p>
    <w:p w14:paraId="24F2A31D">
      <w:pPr>
        <w:spacing w:line="440" w:lineRule="exact"/>
        <w:jc w:val="center"/>
        <w:rPr>
          <w:rFonts w:ascii="宋体" w:hAnsi="宋体"/>
          <w:snapToGrid w:val="0"/>
          <w:kern w:val="0"/>
          <w:sz w:val="24"/>
        </w:rPr>
      </w:pPr>
      <w:r>
        <w:rPr>
          <w:rFonts w:hint="eastAsia" w:ascii="宋体" w:hAnsi="宋体" w:cs="宋体"/>
          <w:snapToGrid w:val="0"/>
          <w:kern w:val="0"/>
          <w:sz w:val="24"/>
        </w:rPr>
        <w:t>（采购编号：此编号详见招标公告）</w:t>
      </w:r>
    </w:p>
    <w:p w14:paraId="488CF78A">
      <w:pPr>
        <w:adjustRightInd w:val="0"/>
        <w:snapToGrid w:val="0"/>
        <w:spacing w:line="360" w:lineRule="auto"/>
        <w:ind w:right="-61" w:rightChars="-29"/>
        <w:rPr>
          <w:rFonts w:hint="eastAsia" w:ascii="宋体" w:hAnsi="宋体"/>
          <w:bCs/>
          <w:sz w:val="24"/>
        </w:rPr>
      </w:pPr>
    </w:p>
    <w:p w14:paraId="0DCC0D28">
      <w:pPr>
        <w:adjustRightInd w:val="0"/>
        <w:snapToGrid w:val="0"/>
        <w:spacing w:line="360" w:lineRule="auto"/>
        <w:ind w:right="-61" w:rightChars="-29"/>
        <w:rPr>
          <w:rFonts w:ascii="宋体" w:hAnsi="宋体"/>
          <w:bCs/>
          <w:sz w:val="24"/>
        </w:rPr>
      </w:pPr>
      <w:r>
        <w:rPr>
          <w:rFonts w:hint="eastAsia" w:ascii="宋体" w:hAnsi="宋体"/>
          <w:bCs/>
          <w:sz w:val="24"/>
        </w:rPr>
        <w:t>致：深圳市福田</w:t>
      </w:r>
      <w:r>
        <w:rPr>
          <w:rFonts w:hint="eastAsia" w:ascii="宋体" w:hAnsi="宋体"/>
          <w:bCs/>
          <w:sz w:val="24"/>
          <w:lang w:val="en-US" w:eastAsia="zh-CN"/>
        </w:rPr>
        <w:t>区</w:t>
      </w:r>
      <w:r>
        <w:rPr>
          <w:rFonts w:hint="eastAsia" w:ascii="宋体" w:hAnsi="宋体"/>
          <w:bCs/>
          <w:sz w:val="24"/>
        </w:rPr>
        <w:t>第二人民医院</w:t>
      </w:r>
    </w:p>
    <w:p w14:paraId="6A363436">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作为生产（产品名称）（可另设附表）的企业(企业名称)的代理商(代理商名称)</w:t>
      </w:r>
      <w:r>
        <w:rPr>
          <w:rFonts w:hint="eastAsia" w:ascii="宋体" w:hAnsi="宋体" w:cs="宋体"/>
          <w:snapToGrid w:val="0"/>
          <w:kern w:val="0"/>
          <w:szCs w:val="21"/>
        </w:rPr>
        <w:t>，</w:t>
      </w:r>
      <w:r>
        <w:rPr>
          <w:rFonts w:hint="eastAsia" w:ascii="宋体" w:hAnsi="宋体"/>
          <w:bCs/>
          <w:sz w:val="24"/>
        </w:rPr>
        <w:t>我公司唯一授权                                     (供货单位名称)用我公司代理的上述产品参与福田区第二人民医院医用耗材竞价采购。</w:t>
      </w:r>
    </w:p>
    <w:p w14:paraId="093F31CE">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根据福田区第二人民医院医用耗材竞标采购文件(采购编号：</w:t>
      </w:r>
      <w:r>
        <w:rPr>
          <w:rFonts w:hint="eastAsia" w:ascii="宋体" w:hAnsi="宋体" w:cs="宋体"/>
          <w:snapToGrid w:val="0"/>
          <w:kern w:val="0"/>
          <w:sz w:val="24"/>
        </w:rPr>
        <w:t>此编号详见招标公告</w:t>
      </w:r>
      <w:r>
        <w:rPr>
          <w:rFonts w:hint="eastAsia" w:ascii="宋体" w:hAnsi="宋体"/>
          <w:bCs/>
          <w:sz w:val="24"/>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5D79EBCB">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我单位保证出具的质量及货源保证书真实、合法，并愿承担一切法律责任。</w:t>
      </w:r>
    </w:p>
    <w:p w14:paraId="0E7BCC23">
      <w:pPr>
        <w:spacing w:line="360" w:lineRule="auto"/>
        <w:ind w:right="-147" w:rightChars="-70" w:firstLine="480" w:firstLineChars="200"/>
        <w:rPr>
          <w:rFonts w:ascii="宋体" w:hAnsi="宋体"/>
          <w:snapToGrid w:val="0"/>
          <w:kern w:val="0"/>
          <w:szCs w:val="21"/>
        </w:rPr>
      </w:pPr>
      <w:r>
        <w:rPr>
          <w:rFonts w:hint="eastAsia" w:ascii="宋体" w:hAnsi="宋体"/>
          <w:bCs/>
          <w:sz w:val="24"/>
        </w:rPr>
        <w:t>本保证书有效期限为：年月日至年月日</w:t>
      </w:r>
      <w:r>
        <w:rPr>
          <w:rFonts w:hint="eastAsia" w:ascii="宋体" w:hAnsi="宋体" w:cs="宋体"/>
          <w:snapToGrid w:val="0"/>
          <w:kern w:val="0"/>
          <w:szCs w:val="21"/>
        </w:rPr>
        <w:t>。</w:t>
      </w:r>
    </w:p>
    <w:p w14:paraId="0AA110C4">
      <w:pPr>
        <w:spacing w:line="360" w:lineRule="auto"/>
        <w:ind w:right="-147" w:rightChars="-70" w:firstLine="480" w:firstLineChars="200"/>
        <w:rPr>
          <w:rFonts w:ascii="宋体" w:hAnsi="宋体"/>
          <w:bCs/>
          <w:sz w:val="24"/>
        </w:rPr>
      </w:pPr>
      <w:r>
        <w:rPr>
          <w:rFonts w:hint="eastAsia" w:ascii="宋体" w:hAnsi="宋体"/>
          <w:bCs/>
          <w:sz w:val="24"/>
        </w:rPr>
        <w:t>注： 1、授权期限不能少于    年  月  日至    年  月  日。</w:t>
      </w:r>
    </w:p>
    <w:p w14:paraId="09F07223">
      <w:pPr>
        <w:spacing w:line="360" w:lineRule="auto"/>
        <w:ind w:right="-147" w:rightChars="-70" w:firstLine="1080" w:firstLineChars="450"/>
        <w:rPr>
          <w:rFonts w:ascii="宋体" w:hAnsi="宋体"/>
          <w:bCs/>
          <w:sz w:val="24"/>
        </w:rPr>
      </w:pPr>
      <w:r>
        <w:rPr>
          <w:rFonts w:hint="eastAsia" w:ascii="宋体" w:hAnsi="宋体"/>
          <w:bCs/>
          <w:sz w:val="24"/>
        </w:rPr>
        <w:t>2、本保证书中“代理商”指进口产品的国内总代理商或国内一级代理商。</w:t>
      </w:r>
    </w:p>
    <w:p w14:paraId="1ECD042D">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生产企业名称：</w:t>
      </w:r>
    </w:p>
    <w:p w14:paraId="1383A58E">
      <w:pPr>
        <w:adjustRightInd w:val="0"/>
        <w:snapToGrid w:val="0"/>
        <w:spacing w:line="360" w:lineRule="auto"/>
        <w:ind w:firstLine="420" w:firstLineChars="200"/>
        <w:rPr>
          <w:rFonts w:ascii="宋体" w:hAnsi="宋体" w:cs="宋体"/>
          <w:snapToGrid w:val="0"/>
          <w:kern w:val="0"/>
          <w:szCs w:val="21"/>
          <w:u w:val="single"/>
        </w:rPr>
      </w:pPr>
    </w:p>
    <w:p w14:paraId="2C803421">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代理商名称（盖章）：</w:t>
      </w:r>
    </w:p>
    <w:p w14:paraId="2DCFF11E">
      <w:pPr>
        <w:adjustRightInd w:val="0"/>
        <w:snapToGrid w:val="0"/>
        <w:spacing w:line="360" w:lineRule="auto"/>
        <w:ind w:firstLine="420" w:firstLineChars="200"/>
        <w:rPr>
          <w:rFonts w:ascii="宋体" w:hAnsi="宋体" w:cs="宋体"/>
          <w:snapToGrid w:val="0"/>
          <w:kern w:val="0"/>
          <w:szCs w:val="21"/>
          <w:u w:val="single"/>
        </w:rPr>
      </w:pPr>
    </w:p>
    <w:p w14:paraId="7EC93113">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经办人(签字)：</w:t>
      </w:r>
    </w:p>
    <w:p w14:paraId="1B673300">
      <w:pPr>
        <w:adjustRightInd w:val="0"/>
        <w:snapToGrid w:val="0"/>
        <w:spacing w:line="360" w:lineRule="auto"/>
        <w:ind w:firstLine="420" w:firstLineChars="200"/>
        <w:rPr>
          <w:rFonts w:ascii="宋体" w:hAnsi="宋体" w:cs="宋体"/>
          <w:snapToGrid w:val="0"/>
          <w:kern w:val="0"/>
          <w:szCs w:val="21"/>
          <w:u w:val="single"/>
        </w:rPr>
      </w:pPr>
    </w:p>
    <w:p w14:paraId="0ED56A2E">
      <w:pPr>
        <w:adjustRightInd w:val="0"/>
        <w:snapToGrid w:val="0"/>
        <w:spacing w:line="360" w:lineRule="auto"/>
        <w:ind w:firstLine="480" w:firstLineChars="200"/>
        <w:rPr>
          <w:rFonts w:ascii="宋体" w:hAnsi="宋体" w:cs="宋体"/>
          <w:snapToGrid w:val="0"/>
          <w:kern w:val="0"/>
          <w:szCs w:val="21"/>
          <w:u w:val="single"/>
        </w:rPr>
      </w:pPr>
      <w:r>
        <w:rPr>
          <w:rFonts w:hint="eastAsia" w:ascii="宋体" w:hAnsi="宋体"/>
          <w:bCs/>
          <w:sz w:val="24"/>
        </w:rPr>
        <w:t>经办人联系电话</w:t>
      </w:r>
      <w:r>
        <w:rPr>
          <w:rFonts w:hint="eastAsia" w:ascii="宋体" w:hAnsi="宋体" w:cs="宋体"/>
          <w:snapToGrid w:val="0"/>
          <w:kern w:val="0"/>
          <w:szCs w:val="21"/>
        </w:rPr>
        <w:t>：</w:t>
      </w:r>
    </w:p>
    <w:p w14:paraId="1E79EE04">
      <w:pPr>
        <w:adjustRightInd w:val="0"/>
        <w:snapToGrid w:val="0"/>
        <w:spacing w:line="360" w:lineRule="auto"/>
        <w:ind w:firstLine="420" w:firstLineChars="200"/>
        <w:rPr>
          <w:rFonts w:ascii="宋体" w:hAnsi="宋体" w:cs="宋体"/>
          <w:snapToGrid w:val="0"/>
          <w:kern w:val="0"/>
          <w:szCs w:val="21"/>
          <w:u w:val="single"/>
        </w:rPr>
      </w:pPr>
    </w:p>
    <w:p w14:paraId="21A6E655">
      <w:pPr>
        <w:keepNext w:val="0"/>
        <w:keepLines w:val="0"/>
        <w:widowControl/>
        <w:suppressLineNumbers w:val="0"/>
        <w:jc w:val="center"/>
        <w:textAlignment w:val="center"/>
        <w:outlineLvl w:val="9"/>
        <w:rPr>
          <w:rFonts w:hint="eastAsia" w:ascii="宋体" w:hAnsi="宋体"/>
          <w:bCs/>
          <w:sz w:val="24"/>
        </w:rPr>
      </w:pPr>
      <w:r>
        <w:rPr>
          <w:rFonts w:hint="eastAsia" w:ascii="宋体" w:hAnsi="宋体"/>
          <w:bCs/>
          <w:sz w:val="24"/>
          <w:lang w:val="en-US" w:eastAsia="zh-CN"/>
        </w:rPr>
        <w:t xml:space="preserve">                 </w:t>
      </w:r>
      <w:r>
        <w:rPr>
          <w:rFonts w:hint="eastAsia" w:ascii="宋体" w:hAnsi="宋体"/>
          <w:bCs/>
          <w:sz w:val="24"/>
        </w:rPr>
        <w:t>日期：年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w:t>
      </w:r>
    </w:p>
    <w:p w14:paraId="400080CB">
      <w:pPr>
        <w:keepNext w:val="0"/>
        <w:keepLines w:val="0"/>
        <w:widowControl/>
        <w:suppressLineNumbers w:val="0"/>
        <w:jc w:val="center"/>
        <w:textAlignment w:val="center"/>
        <w:outlineLvl w:val="9"/>
        <w:rPr>
          <w:rFonts w:hint="eastAsia" w:ascii="宋体" w:hAnsi="宋体"/>
          <w:bCs/>
          <w:sz w:val="24"/>
        </w:rPr>
      </w:pPr>
    </w:p>
    <w:p w14:paraId="285F90F4">
      <w:pPr>
        <w:keepNext w:val="0"/>
        <w:keepLines w:val="0"/>
        <w:widowControl/>
        <w:suppressLineNumbers w:val="0"/>
        <w:jc w:val="center"/>
        <w:textAlignment w:val="center"/>
        <w:outlineLvl w:val="9"/>
        <w:rPr>
          <w:rFonts w:hint="eastAsia" w:ascii="宋体" w:hAnsi="宋体"/>
          <w:bCs/>
          <w:sz w:val="24"/>
        </w:rPr>
      </w:pPr>
    </w:p>
    <w:p w14:paraId="2177BF2F">
      <w:pPr>
        <w:keepNext w:val="0"/>
        <w:keepLines w:val="0"/>
        <w:widowControl/>
        <w:suppressLineNumbers w:val="0"/>
        <w:jc w:val="center"/>
        <w:textAlignment w:val="center"/>
        <w:outlineLvl w:val="9"/>
        <w:rPr>
          <w:rFonts w:hint="eastAsia" w:ascii="宋体" w:hAnsi="宋体"/>
          <w:bCs/>
          <w:sz w:val="24"/>
        </w:rPr>
      </w:pPr>
    </w:p>
    <w:p w14:paraId="63BC347D">
      <w:pPr>
        <w:keepNext w:val="0"/>
        <w:keepLines w:val="0"/>
        <w:widowControl/>
        <w:suppressLineNumbers w:val="0"/>
        <w:jc w:val="center"/>
        <w:textAlignment w:val="center"/>
        <w:outlineLvl w:val="9"/>
        <w:rPr>
          <w:rFonts w:hint="eastAsia" w:ascii="宋体" w:hAnsi="宋体"/>
          <w:bCs/>
          <w:sz w:val="24"/>
        </w:rPr>
      </w:pPr>
    </w:p>
    <w:p w14:paraId="3D60B64A">
      <w:pPr>
        <w:keepNext w:val="0"/>
        <w:keepLines w:val="0"/>
        <w:widowControl/>
        <w:suppressLineNumbers w:val="0"/>
        <w:jc w:val="center"/>
        <w:textAlignment w:val="center"/>
        <w:outlineLvl w:val="9"/>
        <w:rPr>
          <w:rFonts w:hint="eastAsia" w:ascii="宋体" w:hAnsi="宋体"/>
          <w:bCs/>
          <w:sz w:val="24"/>
        </w:rPr>
      </w:pPr>
    </w:p>
    <w:p w14:paraId="13BFBC40">
      <w:pPr>
        <w:keepNext w:val="0"/>
        <w:keepLines w:val="0"/>
        <w:widowControl/>
        <w:suppressLineNumbers w:val="0"/>
        <w:jc w:val="center"/>
        <w:textAlignment w:val="center"/>
        <w:outlineLvl w:val="9"/>
        <w:rPr>
          <w:rFonts w:hint="eastAsia" w:ascii="宋体" w:hAnsi="宋体"/>
          <w:bCs/>
          <w:sz w:val="24"/>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bookmarkStart w:id="94" w:name="_Toc9651"/>
      <w:r>
        <w:rPr>
          <w:rFonts w:hint="eastAsia" w:cs="宋体" w:asciiTheme="majorEastAsia" w:hAnsiTheme="majorEastAsia" w:eastAsiaTheme="majorEastAsia"/>
          <w:kern w:val="2"/>
          <w:sz w:val="30"/>
          <w:szCs w:val="30"/>
          <w:lang w:val="en-US" w:eastAsia="zh-CN" w:bidi="ar-SA"/>
        </w:rPr>
        <w:t>（二十一）</w:t>
      </w:r>
      <w:bookmarkEnd w:id="93"/>
      <w:r>
        <w:rPr>
          <w:rFonts w:hint="eastAsia" w:cs="宋体" w:asciiTheme="majorEastAsia" w:hAnsiTheme="majorEastAsia" w:eastAsiaTheme="majorEastAsia"/>
          <w:kern w:val="2"/>
          <w:sz w:val="30"/>
          <w:szCs w:val="30"/>
          <w:lang w:val="en-US" w:eastAsia="zh-CN" w:bidi="ar-SA"/>
        </w:rPr>
        <w:t>配送方案</w:t>
      </w:r>
      <w:bookmarkEnd w:id="94"/>
    </w:p>
    <w:p w14:paraId="25CC3BF9">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79A7817D">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配送时效保障方案</w:t>
      </w:r>
      <w:r>
        <w:rPr>
          <w:rFonts w:hint="eastAsia" w:asciiTheme="minorEastAsia" w:hAnsiTheme="minorEastAsia" w:eastAsiaTheme="minorEastAsia" w:cstheme="minorEastAsia"/>
          <w:color w:val="auto"/>
          <w:kern w:val="0"/>
          <w:szCs w:val="21"/>
          <w:highlight w:val="none"/>
          <w:lang w:eastAsia="zh-CN"/>
        </w:rPr>
        <w:t>；</w:t>
      </w:r>
    </w:p>
    <w:p w14:paraId="39805EE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eastAsia="zh-CN"/>
        </w:rPr>
        <w:t>；</w:t>
      </w:r>
    </w:p>
    <w:p w14:paraId="315E2D95">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配送</w:t>
      </w:r>
      <w:r>
        <w:rPr>
          <w:rFonts w:hint="eastAsia" w:asciiTheme="minorEastAsia" w:hAnsiTheme="minorEastAsia" w:eastAsiaTheme="minorEastAsia" w:cstheme="minorEastAsia"/>
          <w:color w:val="auto"/>
          <w:kern w:val="0"/>
          <w:szCs w:val="21"/>
          <w:highlight w:val="none"/>
        </w:rPr>
        <w:t>人员</w:t>
      </w:r>
      <w:r>
        <w:rPr>
          <w:rFonts w:hint="eastAsia" w:asciiTheme="minorEastAsia" w:hAnsiTheme="minorEastAsia" w:eastAsiaTheme="minorEastAsia" w:cstheme="minorEastAsia"/>
          <w:color w:val="auto"/>
          <w:kern w:val="0"/>
          <w:szCs w:val="21"/>
          <w:highlight w:val="none"/>
          <w:lang w:val="en-US" w:eastAsia="zh-CN"/>
        </w:rPr>
        <w:t>管理制度</w:t>
      </w:r>
      <w:r>
        <w:rPr>
          <w:rFonts w:hint="eastAsia" w:asciiTheme="minorEastAsia" w:hAnsiTheme="minorEastAsia" w:eastAsiaTheme="minorEastAsia" w:cstheme="minorEastAsia"/>
          <w:color w:val="auto"/>
          <w:kern w:val="0"/>
          <w:szCs w:val="21"/>
          <w:highlight w:val="none"/>
          <w:lang w:eastAsia="zh-CN"/>
        </w:rPr>
        <w:t>。</w:t>
      </w:r>
    </w:p>
    <w:p w14:paraId="4EE0BC0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64F853FC">
      <w:pPr>
        <w:widowControl w:val="0"/>
        <w:numPr>
          <w:ilvl w:val="0"/>
          <w:numId w:val="0"/>
        </w:numPr>
        <w:spacing w:after="60"/>
        <w:jc w:val="both"/>
        <w:rPr>
          <w:rFonts w:hint="eastAsia" w:cs="Arial"/>
          <w:color w:val="000000"/>
        </w:rPr>
      </w:pPr>
    </w:p>
    <w:p w14:paraId="1EE3FF98">
      <w:pPr>
        <w:widowControl w:val="0"/>
        <w:numPr>
          <w:ilvl w:val="0"/>
          <w:numId w:val="0"/>
        </w:numPr>
        <w:spacing w:after="60"/>
        <w:jc w:val="both"/>
        <w:rPr>
          <w:rFonts w:hint="eastAsia" w:cs="Arial"/>
          <w:color w:val="000000"/>
        </w:rPr>
      </w:pPr>
    </w:p>
    <w:p w14:paraId="3E0D9342">
      <w:pPr>
        <w:widowControl w:val="0"/>
        <w:numPr>
          <w:ilvl w:val="0"/>
          <w:numId w:val="0"/>
        </w:numPr>
        <w:spacing w:after="60"/>
        <w:jc w:val="both"/>
        <w:rPr>
          <w:rFonts w:hint="eastAsia" w:cs="Arial"/>
          <w:color w:val="000000"/>
        </w:rPr>
      </w:pPr>
    </w:p>
    <w:p w14:paraId="00047196">
      <w:pPr>
        <w:widowControl w:val="0"/>
        <w:numPr>
          <w:ilvl w:val="0"/>
          <w:numId w:val="0"/>
        </w:numPr>
        <w:spacing w:after="60"/>
        <w:jc w:val="both"/>
        <w:rPr>
          <w:rFonts w:hint="eastAsia" w:cs="Arial"/>
          <w:color w:val="000000"/>
        </w:rPr>
      </w:pPr>
    </w:p>
    <w:p w14:paraId="37883878">
      <w:pPr>
        <w:snapToGrid w:val="0"/>
        <w:ind w:left="0" w:leftChars="0" w:firstLine="0" w:firstLineChars="0"/>
        <w:jc w:val="center"/>
        <w:outlineLvl w:val="0"/>
        <w:rPr>
          <w:rFonts w:hint="eastAsia"/>
          <w:lang w:eastAsia="zh-CN"/>
        </w:rPr>
      </w:pPr>
      <w:bookmarkStart w:id="95" w:name="_Toc15077"/>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二十二</w:t>
      </w:r>
      <w:r>
        <w:rPr>
          <w:rFonts w:hint="eastAsia" w:asciiTheme="majorEastAsia" w:hAnsiTheme="majorEastAsia" w:eastAsiaTheme="majorEastAsia"/>
          <w:sz w:val="30"/>
          <w:szCs w:val="30"/>
          <w:lang w:eastAsia="zh-CN"/>
        </w:rPr>
        <w:t>）</w:t>
      </w:r>
      <w:r>
        <w:rPr>
          <w:rFonts w:hint="eastAsia" w:cs="宋体" w:asciiTheme="majorEastAsia" w:hAnsiTheme="majorEastAsia" w:eastAsiaTheme="majorEastAsia"/>
          <w:kern w:val="2"/>
          <w:sz w:val="30"/>
          <w:szCs w:val="30"/>
          <w:lang w:val="en-US" w:eastAsia="zh-CN" w:bidi="ar-SA"/>
        </w:rPr>
        <w:t>售后服务方案</w:t>
      </w:r>
      <w:bookmarkEnd w:id="95"/>
    </w:p>
    <w:p w14:paraId="0210C3E9">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556F466D">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eastAsia="zh-CN"/>
        </w:rPr>
        <w:t>；</w:t>
      </w:r>
    </w:p>
    <w:p w14:paraId="575A6469">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应急供货和</w:t>
      </w:r>
      <w:r>
        <w:rPr>
          <w:rFonts w:hint="eastAsia" w:asciiTheme="minorEastAsia" w:hAnsiTheme="minorEastAsia" w:eastAsiaTheme="minorEastAsia" w:cstheme="minorEastAsia"/>
          <w:color w:val="auto"/>
          <w:kern w:val="0"/>
          <w:szCs w:val="21"/>
          <w:highlight w:val="none"/>
          <w:lang w:val="en-US" w:eastAsia="zh-CN"/>
        </w:rPr>
        <w:t>产品</w:t>
      </w:r>
      <w:r>
        <w:rPr>
          <w:rFonts w:hint="eastAsia" w:asciiTheme="minorEastAsia" w:hAnsiTheme="minorEastAsia" w:eastAsiaTheme="minorEastAsia" w:cstheme="minorEastAsia"/>
          <w:color w:val="auto"/>
          <w:kern w:val="0"/>
          <w:szCs w:val="21"/>
          <w:highlight w:val="none"/>
        </w:rPr>
        <w:t>退货方案</w:t>
      </w:r>
      <w:r>
        <w:rPr>
          <w:rFonts w:hint="eastAsia" w:asciiTheme="minorEastAsia" w:hAnsiTheme="minorEastAsia" w:eastAsiaTheme="minorEastAsia" w:cstheme="minorEastAsia"/>
          <w:color w:val="auto"/>
          <w:kern w:val="0"/>
          <w:szCs w:val="21"/>
          <w:highlight w:val="none"/>
          <w:lang w:eastAsia="zh-CN"/>
        </w:rPr>
        <w:t>；</w:t>
      </w:r>
    </w:p>
    <w:p w14:paraId="6D37CFEA">
      <w:pPr>
        <w:rPr>
          <w:rFonts w:hint="eastAsia"/>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基于</w:t>
      </w:r>
      <w:r>
        <w:rPr>
          <w:rFonts w:hint="eastAsia" w:asciiTheme="minorEastAsia" w:hAnsiTheme="minorEastAsia" w:cstheme="minorEastAsia"/>
          <w:color w:val="auto"/>
          <w:kern w:val="0"/>
          <w:szCs w:val="21"/>
          <w:highlight w:val="none"/>
          <w:lang w:val="en-US" w:eastAsia="zh-CN"/>
        </w:rPr>
        <w:t>谈判文件</w:t>
      </w:r>
      <w:r>
        <w:rPr>
          <w:rFonts w:hint="eastAsia" w:asciiTheme="minorEastAsia" w:hAnsiTheme="minorEastAsia" w:eastAsiaTheme="minorEastAsia" w:cstheme="minorEastAsia"/>
          <w:color w:val="auto"/>
          <w:kern w:val="0"/>
          <w:szCs w:val="21"/>
          <w:highlight w:val="none"/>
          <w:lang w:val="en-US" w:eastAsia="zh-CN"/>
        </w:rPr>
        <w:t>中的售后服务要求进行合理预判，并承诺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cstheme="minorEastAsia"/>
          <w:color w:val="auto"/>
          <w:kern w:val="0"/>
          <w:szCs w:val="21"/>
          <w:highlight w:val="none"/>
          <w:lang w:eastAsia="zh-CN"/>
        </w:rPr>
        <w:t>。</w:t>
      </w: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08AF08E9">
      <w:pPr>
        <w:rPr>
          <w:rFonts w:hint="eastAsia"/>
          <w:lang w:eastAsia="zh-CN"/>
        </w:rPr>
      </w:pPr>
    </w:p>
    <w:p w14:paraId="60D15B59">
      <w:pPr>
        <w:rPr>
          <w:rFonts w:hint="eastAsia"/>
          <w:lang w:eastAsia="zh-CN"/>
        </w:rPr>
      </w:pPr>
    </w:p>
    <w:p w14:paraId="7557EF01">
      <w:pPr>
        <w:rPr>
          <w:rFonts w:hint="eastAsia"/>
          <w:lang w:eastAsia="zh-CN"/>
        </w:rPr>
      </w:pPr>
    </w:p>
    <w:p w14:paraId="6C3EEC4E">
      <w:pPr>
        <w:rPr>
          <w:rFonts w:hint="eastAsia"/>
          <w:lang w:eastAsia="zh-CN"/>
        </w:rPr>
      </w:pPr>
    </w:p>
    <w:p w14:paraId="62C1FB22">
      <w:pPr>
        <w:rPr>
          <w:rFonts w:hint="eastAsia"/>
          <w:lang w:eastAsia="zh-CN"/>
        </w:rPr>
      </w:pPr>
    </w:p>
    <w:p w14:paraId="22737CFA">
      <w:pPr>
        <w:rPr>
          <w:rFonts w:hint="eastAsia"/>
          <w:lang w:eastAsia="zh-CN"/>
        </w:rPr>
      </w:pPr>
    </w:p>
    <w:p w14:paraId="579A01D7">
      <w:pPr>
        <w:rPr>
          <w:rFonts w:hint="eastAsia"/>
          <w:lang w:eastAsia="zh-CN"/>
        </w:rPr>
      </w:pPr>
    </w:p>
    <w:p w14:paraId="448C72C7">
      <w:pPr>
        <w:rPr>
          <w:rFonts w:hint="eastAsia"/>
          <w:lang w:eastAsia="zh-CN"/>
        </w:rPr>
      </w:pPr>
    </w:p>
    <w:p w14:paraId="63D33E67">
      <w:pPr>
        <w:rPr>
          <w:rFonts w:hint="eastAsia"/>
          <w:lang w:eastAsia="zh-CN"/>
        </w:rPr>
      </w:pPr>
    </w:p>
    <w:p w14:paraId="6D94ED00">
      <w:pPr>
        <w:rPr>
          <w:rFonts w:hint="eastAsia"/>
          <w:lang w:eastAsia="zh-CN"/>
        </w:rPr>
      </w:pPr>
    </w:p>
    <w:p w14:paraId="77388CD7">
      <w:pPr>
        <w:rPr>
          <w:rFonts w:hint="eastAsia"/>
          <w:lang w:eastAsia="zh-CN"/>
        </w:rPr>
      </w:pPr>
    </w:p>
    <w:p w14:paraId="17DF79A4">
      <w:pPr>
        <w:rPr>
          <w:rFonts w:hint="eastAsia"/>
          <w:lang w:eastAsia="zh-CN"/>
        </w:rPr>
      </w:pPr>
    </w:p>
    <w:p w14:paraId="2E220D93">
      <w:pPr>
        <w:rPr>
          <w:rFonts w:hint="eastAsia"/>
          <w:lang w:eastAsia="zh-CN"/>
        </w:rPr>
      </w:pPr>
    </w:p>
    <w:p w14:paraId="70AD84C5">
      <w:pPr>
        <w:rPr>
          <w:rFonts w:hint="eastAsia"/>
          <w:lang w:eastAsia="zh-CN"/>
        </w:rPr>
      </w:pPr>
    </w:p>
    <w:p w14:paraId="4F68ED25">
      <w:pPr>
        <w:rPr>
          <w:rFonts w:hint="eastAsia"/>
          <w:lang w:eastAsia="zh-CN"/>
        </w:rPr>
      </w:pPr>
    </w:p>
    <w:p w14:paraId="06500827">
      <w:pPr>
        <w:rPr>
          <w:rFonts w:hint="eastAsia"/>
          <w:lang w:eastAsia="zh-CN"/>
        </w:rPr>
      </w:pPr>
    </w:p>
    <w:p w14:paraId="0B56BB10">
      <w:pPr>
        <w:rPr>
          <w:rFonts w:hint="eastAsia"/>
          <w:lang w:eastAsia="zh-CN"/>
        </w:rPr>
      </w:pPr>
    </w:p>
    <w:p w14:paraId="46A58252">
      <w:pPr>
        <w:rPr>
          <w:rFonts w:hint="eastAsia"/>
          <w:lang w:eastAsia="zh-CN"/>
        </w:rPr>
      </w:pPr>
    </w:p>
    <w:p w14:paraId="1BF22283">
      <w:pPr>
        <w:rPr>
          <w:rFonts w:hint="eastAsia"/>
          <w:lang w:eastAsia="zh-CN"/>
        </w:rPr>
      </w:pPr>
    </w:p>
    <w:p w14:paraId="01710207">
      <w:pPr>
        <w:rPr>
          <w:rFonts w:hint="eastAsia"/>
          <w:lang w:eastAsia="zh-CN"/>
        </w:rPr>
      </w:pPr>
    </w:p>
    <w:p w14:paraId="21D24E4F">
      <w:pPr>
        <w:rPr>
          <w:rFonts w:hint="eastAsia"/>
          <w:lang w:eastAsia="zh-CN"/>
        </w:rPr>
      </w:pPr>
    </w:p>
    <w:p w14:paraId="1D318D32">
      <w:pPr>
        <w:rPr>
          <w:rFonts w:hint="eastAsia"/>
          <w:lang w:eastAsia="zh-CN"/>
        </w:rPr>
      </w:pPr>
    </w:p>
    <w:p w14:paraId="395A22B5">
      <w:pPr>
        <w:rPr>
          <w:rFonts w:hint="eastAsia"/>
          <w:lang w:eastAsia="zh-CN"/>
        </w:rPr>
      </w:pPr>
    </w:p>
    <w:p w14:paraId="77A0A7D9">
      <w:pPr>
        <w:rPr>
          <w:rFonts w:hint="eastAsia"/>
          <w:lang w:eastAsia="zh-CN"/>
        </w:rPr>
      </w:pPr>
    </w:p>
    <w:p w14:paraId="6CCCB4D6">
      <w:pPr>
        <w:rPr>
          <w:rFonts w:hint="eastAsia"/>
          <w:lang w:eastAsia="zh-CN"/>
        </w:rPr>
      </w:pPr>
    </w:p>
    <w:p w14:paraId="50F6190D">
      <w:pPr>
        <w:rPr>
          <w:rFonts w:hint="eastAsia"/>
          <w:lang w:eastAsia="zh-CN"/>
        </w:rPr>
      </w:pPr>
    </w:p>
    <w:p w14:paraId="3CB0C099">
      <w:pPr>
        <w:rPr>
          <w:rFonts w:hint="eastAsia"/>
          <w:lang w:eastAsia="zh-CN"/>
        </w:rPr>
      </w:pPr>
    </w:p>
    <w:p w14:paraId="20D6CEFC">
      <w:pPr>
        <w:rPr>
          <w:rFonts w:hint="eastAsia"/>
          <w:lang w:eastAsia="zh-CN"/>
        </w:rPr>
      </w:pPr>
    </w:p>
    <w:p w14:paraId="085AE093">
      <w:pPr>
        <w:rPr>
          <w:rFonts w:hint="eastAsia"/>
          <w:lang w:eastAsia="zh-CN"/>
        </w:rPr>
      </w:pPr>
    </w:p>
    <w:p w14:paraId="7DD82DA0">
      <w:pPr>
        <w:rPr>
          <w:rFonts w:hint="eastAsia"/>
          <w:lang w:eastAsia="zh-CN"/>
        </w:rPr>
      </w:pPr>
    </w:p>
    <w:p w14:paraId="14CCD38F">
      <w:pPr>
        <w:rPr>
          <w:rFonts w:hint="eastAsia"/>
          <w:lang w:eastAsia="zh-CN"/>
        </w:rPr>
      </w:pPr>
    </w:p>
    <w:p w14:paraId="295F38B1">
      <w:pPr>
        <w:rPr>
          <w:rFonts w:hint="eastAsia"/>
          <w:lang w:eastAsia="zh-CN"/>
        </w:rPr>
      </w:pPr>
    </w:p>
    <w:p w14:paraId="5F19ED12">
      <w:pPr>
        <w:rPr>
          <w:rFonts w:hint="eastAsia"/>
          <w:lang w:eastAsia="zh-CN"/>
        </w:rPr>
      </w:pPr>
    </w:p>
    <w:p w14:paraId="5218CF74">
      <w:pPr>
        <w:snapToGrid w:val="0"/>
        <w:ind w:left="0" w:leftChars="0" w:firstLine="0" w:firstLineChars="0"/>
        <w:jc w:val="center"/>
        <w:outlineLvl w:val="0"/>
        <w:rPr>
          <w:rFonts w:hint="eastAsia" w:hAnsi="宋体" w:cs="Times New Roman" w:eastAsiaTheme="majorEastAsia"/>
          <w:sz w:val="30"/>
          <w:szCs w:val="30"/>
          <w:lang w:val="en-US" w:eastAsia="zh-CN"/>
        </w:rPr>
      </w:pPr>
      <w:bookmarkStart w:id="96" w:name="_Toc14925"/>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二十三</w:t>
      </w:r>
      <w:r>
        <w:rPr>
          <w:rFonts w:hint="eastAsia" w:asciiTheme="majorEastAsia" w:hAnsiTheme="majorEastAsia" w:eastAsiaTheme="majorEastAsia"/>
          <w:sz w:val="30"/>
          <w:szCs w:val="30"/>
          <w:lang w:eastAsia="zh-CN"/>
        </w:rPr>
        <w:t>）</w:t>
      </w:r>
      <w:r>
        <w:rPr>
          <w:rFonts w:hint="eastAsia" w:cs="宋体" w:asciiTheme="majorEastAsia" w:hAnsiTheme="majorEastAsia" w:eastAsiaTheme="majorEastAsia"/>
          <w:kern w:val="2"/>
          <w:sz w:val="30"/>
          <w:szCs w:val="30"/>
          <w:lang w:val="en-US" w:eastAsia="zh-CN" w:bidi="ar-SA"/>
        </w:rPr>
        <w:t>有效业绩</w:t>
      </w:r>
      <w:bookmarkEnd w:id="96"/>
      <w:r>
        <w:rPr>
          <w:rFonts w:hint="eastAsia" w:cs="宋体" w:asciiTheme="majorEastAsia" w:hAnsiTheme="majorEastAsia" w:eastAsiaTheme="majorEastAsia"/>
          <w:kern w:val="2"/>
          <w:sz w:val="30"/>
          <w:szCs w:val="30"/>
          <w:lang w:val="en-US" w:eastAsia="zh-CN" w:bidi="ar-SA"/>
        </w:rPr>
        <w:t xml:space="preserve"> </w:t>
      </w:r>
    </w:p>
    <w:p w14:paraId="2F919FE3">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4E4E21E2">
      <w:pPr>
        <w:keepNext w:val="0"/>
        <w:keepLines w:val="0"/>
        <w:pageBreakBefore w:val="0"/>
        <w:widowControl w:val="0"/>
        <w:kinsoku/>
        <w:overflowPunct/>
        <w:topLinePunct w:val="0"/>
        <w:autoSpaceDE/>
        <w:autoSpaceDN/>
        <w:bidi w:val="0"/>
        <w:adjustRightInd/>
        <w:spacing w:line="240" w:lineRule="auto"/>
        <w:jc w:val="left"/>
        <w:textAlignment w:val="auto"/>
        <w:rPr>
          <w:rFonts w:hint="default" w:ascii="宋体" w:hAnsi="宋体" w:eastAsia="宋体" w:cs="宋体"/>
          <w:sz w:val="21"/>
          <w:szCs w:val="21"/>
          <w:highlight w:val="none"/>
          <w:lang w:val="en-US" w:eastAsia="zh-CN"/>
        </w:rPr>
      </w:pPr>
      <w:r>
        <w:rPr>
          <w:rFonts w:hint="eastAsia" w:ascii="宋体" w:hAnsi="宋体" w:cs="宋体"/>
          <w:kern w:val="0"/>
          <w:szCs w:val="21"/>
          <w:lang w:val="en-US" w:eastAsia="zh-CN"/>
        </w:rPr>
        <w:t>1、</w:t>
      </w:r>
      <w:r>
        <w:rPr>
          <w:rFonts w:hint="eastAsia" w:ascii="宋体" w:hAnsi="宋体" w:eastAsia="宋体" w:cs="宋体"/>
          <w:sz w:val="21"/>
          <w:szCs w:val="21"/>
          <w:highlight w:val="none"/>
          <w:lang w:val="en-US" w:eastAsia="zh-CN"/>
        </w:rPr>
        <w:t>需本投标单位出具的有效发票或合同，若非本投标单位出具的发票或合同，将做无效处理，不得分。</w:t>
      </w:r>
    </w:p>
    <w:p w14:paraId="68DA1438">
      <w:pPr>
        <w:numPr>
          <w:ilvl w:val="0"/>
          <w:numId w:val="0"/>
        </w:numPr>
        <w:spacing w:after="60"/>
        <w:rPr>
          <w:rFonts w:hint="eastAsia" w:ascii="宋体" w:hAnsi="宋体" w:cs="宋体"/>
          <w:kern w:val="0"/>
          <w:szCs w:val="21"/>
        </w:rPr>
      </w:pPr>
    </w:p>
    <w:p w14:paraId="0BB1432B">
      <w:pPr>
        <w:snapToGrid w:val="0"/>
        <w:ind w:left="0" w:leftChars="0" w:firstLine="0" w:firstLineChars="0"/>
        <w:jc w:val="left"/>
        <w:outlineLvl w:val="9"/>
        <w:rPr>
          <w:rFonts w:hint="eastAsia" w:asciiTheme="majorEastAsia" w:hAnsiTheme="majorEastAsia" w:eastAsiaTheme="majorEastAsia"/>
          <w:sz w:val="30"/>
          <w:szCs w:val="30"/>
          <w:lang w:val="en-US" w:eastAsia="zh-CN"/>
        </w:rPr>
      </w:pPr>
    </w:p>
    <w:p w14:paraId="4C5C68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0E4EAF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EFEA7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464AD7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CF9D94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3F242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985CE7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4F0036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1D92DD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D79D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F83C09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937BBE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FA4B3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85262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98D90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43461D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742E5A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CB168E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5A41D1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37A58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BB4E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F590C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F3F2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44D4C7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00AC4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91453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27F4B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C66CF1">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B5DE535">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884C510">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97" w:name="_Toc17243"/>
      <w:r>
        <w:rPr>
          <w:rFonts w:hint="eastAsia" w:asciiTheme="majorEastAsia" w:hAnsiTheme="majorEastAsia" w:eastAsiaTheme="majorEastAsia"/>
          <w:sz w:val="30"/>
          <w:szCs w:val="30"/>
          <w:lang w:val="en-US" w:eastAsia="zh-CN"/>
        </w:rPr>
        <w:t>（二十四）履约评价</w:t>
      </w:r>
      <w:bookmarkEnd w:id="97"/>
    </w:p>
    <w:p w14:paraId="0FDF2BB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185B48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3E9C4E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984304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44914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B3E27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8C4AEA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3B550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04859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785B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AD7F6C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8617E3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2737DF6">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42D0B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474E1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E93B08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4EE8F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065097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3AF5FA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CCB9BF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7948F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A27C7C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F73428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7797AD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2A20A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6E6298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87AE31">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3FF304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DFA959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9FA855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A29C41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069B7A6">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C04C87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D31A44">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678DEE95">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98" w:name="_Toc27595"/>
      <w:r>
        <w:rPr>
          <w:rFonts w:hint="eastAsia" w:asciiTheme="majorEastAsia" w:hAnsiTheme="majorEastAsia" w:eastAsiaTheme="majorEastAsia"/>
          <w:sz w:val="30"/>
          <w:szCs w:val="30"/>
          <w:lang w:val="en-US" w:eastAsia="zh-CN"/>
        </w:rPr>
        <w:t>（二十五）仓储、运输能力</w:t>
      </w:r>
      <w:bookmarkEnd w:id="98"/>
    </w:p>
    <w:p w14:paraId="2E335241">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26C6E0D6">
      <w:pPr>
        <w:rPr>
          <w:rFonts w:hint="eastAsia"/>
          <w:lang w:eastAsia="zh-CN"/>
        </w:rPr>
      </w:pPr>
    </w:p>
    <w:p w14:paraId="76EC335F">
      <w:pPr>
        <w:rPr>
          <w:rFonts w:hint="eastAsia"/>
          <w:lang w:eastAsia="zh-CN"/>
        </w:rPr>
      </w:pPr>
    </w:p>
    <w:p w14:paraId="2E2DF0E5">
      <w:pPr>
        <w:rPr>
          <w:rFonts w:hint="eastAsia"/>
          <w:lang w:eastAsia="zh-CN"/>
        </w:rPr>
      </w:pPr>
    </w:p>
    <w:p w14:paraId="4183BCCE">
      <w:pPr>
        <w:rPr>
          <w:rFonts w:hint="eastAsia"/>
          <w:lang w:eastAsia="zh-CN"/>
        </w:rPr>
      </w:pPr>
    </w:p>
    <w:p w14:paraId="2B29BD12">
      <w:pPr>
        <w:rPr>
          <w:rFonts w:hint="eastAsia"/>
          <w:lang w:eastAsia="zh-CN"/>
        </w:rPr>
      </w:pPr>
    </w:p>
    <w:p w14:paraId="54F01619">
      <w:pPr>
        <w:rPr>
          <w:rFonts w:hint="eastAsia"/>
          <w:lang w:eastAsia="zh-CN"/>
        </w:rPr>
      </w:pPr>
    </w:p>
    <w:p w14:paraId="466D7132">
      <w:pPr>
        <w:rPr>
          <w:rFonts w:hint="eastAsia"/>
          <w:lang w:eastAsia="zh-CN"/>
        </w:rPr>
      </w:pPr>
    </w:p>
    <w:p w14:paraId="2B286014">
      <w:pPr>
        <w:rPr>
          <w:rFonts w:hint="eastAsia"/>
          <w:lang w:eastAsia="zh-CN"/>
        </w:rPr>
      </w:pPr>
    </w:p>
    <w:p w14:paraId="542B8F31">
      <w:pPr>
        <w:rPr>
          <w:rFonts w:hint="eastAsia"/>
          <w:lang w:eastAsia="zh-CN"/>
        </w:rPr>
      </w:pPr>
    </w:p>
    <w:p w14:paraId="07060269">
      <w:pPr>
        <w:rPr>
          <w:rFonts w:hint="eastAsia"/>
          <w:lang w:eastAsia="zh-CN"/>
        </w:rPr>
      </w:pPr>
    </w:p>
    <w:p w14:paraId="50B76194">
      <w:pPr>
        <w:rPr>
          <w:rFonts w:hint="eastAsia"/>
          <w:lang w:eastAsia="zh-CN"/>
        </w:rPr>
      </w:pPr>
    </w:p>
    <w:p w14:paraId="12E474A3">
      <w:pPr>
        <w:rPr>
          <w:rFonts w:hint="eastAsia"/>
          <w:lang w:eastAsia="zh-CN"/>
        </w:rPr>
      </w:pPr>
    </w:p>
    <w:p w14:paraId="367F0BDB">
      <w:pPr>
        <w:rPr>
          <w:rFonts w:hint="eastAsia"/>
          <w:lang w:eastAsia="zh-CN"/>
        </w:rPr>
      </w:pPr>
    </w:p>
    <w:p w14:paraId="40BFFDF4">
      <w:pPr>
        <w:rPr>
          <w:rFonts w:hint="eastAsia"/>
          <w:lang w:eastAsia="zh-CN"/>
        </w:rPr>
      </w:pPr>
    </w:p>
    <w:p w14:paraId="1A0E51E5">
      <w:pPr>
        <w:rPr>
          <w:rFonts w:hint="eastAsia"/>
          <w:lang w:eastAsia="zh-CN"/>
        </w:rPr>
      </w:pPr>
    </w:p>
    <w:p w14:paraId="1EDA50BC">
      <w:pPr>
        <w:rPr>
          <w:rFonts w:hint="eastAsia"/>
          <w:lang w:eastAsia="zh-CN"/>
        </w:rPr>
      </w:pPr>
    </w:p>
    <w:p w14:paraId="0EC2C6ED">
      <w:pPr>
        <w:rPr>
          <w:rFonts w:hint="eastAsia"/>
          <w:lang w:eastAsia="zh-CN"/>
        </w:rPr>
      </w:pPr>
    </w:p>
    <w:p w14:paraId="73C55927">
      <w:pPr>
        <w:rPr>
          <w:rFonts w:hint="eastAsia"/>
          <w:lang w:eastAsia="zh-CN"/>
        </w:rPr>
      </w:pPr>
    </w:p>
    <w:p w14:paraId="5E406433">
      <w:pPr>
        <w:rPr>
          <w:rFonts w:hint="eastAsia"/>
          <w:lang w:eastAsia="zh-CN"/>
        </w:rPr>
      </w:pPr>
    </w:p>
    <w:p w14:paraId="419BF86E">
      <w:pPr>
        <w:rPr>
          <w:rFonts w:hint="eastAsia"/>
          <w:lang w:eastAsia="zh-CN"/>
        </w:rPr>
      </w:pPr>
    </w:p>
    <w:p w14:paraId="5FB0FD63">
      <w:pPr>
        <w:rPr>
          <w:rFonts w:hint="eastAsia"/>
          <w:lang w:eastAsia="zh-CN"/>
        </w:rPr>
      </w:pPr>
    </w:p>
    <w:p w14:paraId="72743474">
      <w:pPr>
        <w:rPr>
          <w:rFonts w:hint="eastAsia"/>
          <w:lang w:eastAsia="zh-CN"/>
        </w:rPr>
      </w:pPr>
    </w:p>
    <w:p w14:paraId="645275F9">
      <w:pPr>
        <w:rPr>
          <w:rFonts w:hint="eastAsia"/>
          <w:lang w:eastAsia="zh-CN"/>
        </w:rPr>
      </w:pPr>
    </w:p>
    <w:p w14:paraId="60E1EB92">
      <w:pPr>
        <w:rPr>
          <w:rFonts w:hint="eastAsia"/>
          <w:lang w:eastAsia="zh-CN"/>
        </w:rPr>
      </w:pPr>
    </w:p>
    <w:p w14:paraId="4306A3B2">
      <w:pPr>
        <w:rPr>
          <w:rFonts w:hint="eastAsia"/>
          <w:lang w:eastAsia="zh-CN"/>
        </w:rPr>
      </w:pPr>
    </w:p>
    <w:p w14:paraId="33972586">
      <w:pPr>
        <w:rPr>
          <w:rFonts w:hint="eastAsia"/>
          <w:lang w:eastAsia="zh-CN"/>
        </w:rPr>
      </w:pPr>
    </w:p>
    <w:p w14:paraId="42428447">
      <w:pPr>
        <w:rPr>
          <w:rFonts w:hint="eastAsia"/>
          <w:lang w:eastAsia="zh-CN"/>
        </w:rPr>
      </w:pPr>
    </w:p>
    <w:p w14:paraId="268C1902">
      <w:pPr>
        <w:rPr>
          <w:rFonts w:hint="eastAsia"/>
          <w:lang w:eastAsia="zh-CN"/>
        </w:rPr>
      </w:pPr>
    </w:p>
    <w:p w14:paraId="0ADFCDD6">
      <w:pPr>
        <w:rPr>
          <w:rFonts w:hint="eastAsia"/>
          <w:lang w:eastAsia="zh-CN"/>
        </w:rPr>
      </w:pPr>
    </w:p>
    <w:p w14:paraId="2FDA49B1">
      <w:pPr>
        <w:rPr>
          <w:rFonts w:hint="eastAsia"/>
          <w:lang w:eastAsia="zh-CN"/>
        </w:rPr>
      </w:pPr>
    </w:p>
    <w:p w14:paraId="4D933435">
      <w:pPr>
        <w:rPr>
          <w:rFonts w:hint="eastAsia"/>
          <w:lang w:eastAsia="zh-CN"/>
        </w:rPr>
      </w:pPr>
    </w:p>
    <w:p w14:paraId="6CA39B18">
      <w:pPr>
        <w:rPr>
          <w:rFonts w:hint="eastAsia"/>
          <w:lang w:eastAsia="zh-CN"/>
        </w:rPr>
      </w:pPr>
    </w:p>
    <w:p w14:paraId="59B455D2">
      <w:pPr>
        <w:rPr>
          <w:rFonts w:hint="eastAsia"/>
          <w:lang w:eastAsia="zh-CN"/>
        </w:rPr>
      </w:pPr>
    </w:p>
    <w:p w14:paraId="29A3B3CA">
      <w:pPr>
        <w:rPr>
          <w:rFonts w:hint="eastAsia"/>
          <w:lang w:eastAsia="zh-CN"/>
        </w:rPr>
      </w:pPr>
    </w:p>
    <w:p w14:paraId="45419784">
      <w:pPr>
        <w:rPr>
          <w:rFonts w:hint="eastAsia"/>
          <w:lang w:eastAsia="zh-CN"/>
        </w:rPr>
      </w:pPr>
    </w:p>
    <w:p w14:paraId="4F277E24">
      <w:pPr>
        <w:rPr>
          <w:rFonts w:hint="eastAsia"/>
          <w:lang w:eastAsia="zh-CN"/>
        </w:rPr>
      </w:pPr>
    </w:p>
    <w:p w14:paraId="3F34FB71">
      <w:pPr>
        <w:rPr>
          <w:rFonts w:hint="eastAsia"/>
          <w:lang w:eastAsia="zh-CN"/>
        </w:rPr>
      </w:pPr>
    </w:p>
    <w:p w14:paraId="375B4959">
      <w:pPr>
        <w:rPr>
          <w:rFonts w:hint="eastAsia"/>
          <w:lang w:eastAsia="zh-CN"/>
        </w:rPr>
      </w:pPr>
    </w:p>
    <w:p w14:paraId="654A794D">
      <w:pPr>
        <w:rPr>
          <w:rFonts w:hint="eastAsia"/>
          <w:lang w:eastAsia="zh-CN"/>
        </w:rPr>
      </w:pPr>
    </w:p>
    <w:p w14:paraId="5BAC9420">
      <w:pPr>
        <w:rPr>
          <w:rFonts w:hint="eastAsia"/>
          <w:lang w:eastAsia="zh-CN"/>
        </w:rPr>
      </w:pPr>
    </w:p>
    <w:p w14:paraId="4BF2B290">
      <w:pPr>
        <w:rPr>
          <w:rFonts w:hint="eastAsia"/>
          <w:lang w:eastAsia="zh-CN"/>
        </w:rPr>
      </w:pPr>
    </w:p>
    <w:p w14:paraId="2833A2D6">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99" w:name="_Toc23393"/>
      <w:r>
        <w:rPr>
          <w:rFonts w:hint="eastAsia" w:asciiTheme="majorEastAsia" w:hAnsiTheme="majorEastAsia" w:eastAsiaTheme="majorEastAsia"/>
          <w:sz w:val="30"/>
          <w:szCs w:val="30"/>
          <w:lang w:val="en-US" w:eastAsia="zh-CN"/>
        </w:rPr>
        <w:t>（二十六）</w:t>
      </w:r>
      <w:r>
        <w:rPr>
          <w:rFonts w:hint="eastAsia" w:hAnsi="宋体" w:cs="Times New Roman" w:eastAsiaTheme="majorEastAsia"/>
          <w:sz w:val="30"/>
          <w:szCs w:val="30"/>
          <w:lang w:val="en-US" w:eastAsia="zh-CN"/>
        </w:rPr>
        <w:t>谈判文件要求的其他内容及投标人认为需要加以说明其他内容</w:t>
      </w:r>
      <w:bookmarkEnd w:id="99"/>
    </w:p>
    <w:p w14:paraId="7DC97AF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31DCB9E7">
      <w:pPr>
        <w:rPr>
          <w:rFonts w:hint="eastAsia"/>
          <w:lang w:eastAsia="zh-CN"/>
        </w:rPr>
      </w:pPr>
    </w:p>
    <w:p w14:paraId="7A2686DA">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1123D5C2">
      <w:pPr>
        <w:keepNext w:val="0"/>
        <w:keepLines w:val="0"/>
        <w:widowControl/>
        <w:numPr>
          <w:ilvl w:val="0"/>
          <w:numId w:val="0"/>
        </w:numPr>
        <w:suppressLineNumbers w:val="0"/>
        <w:jc w:val="both"/>
        <w:textAlignment w:val="center"/>
        <w:rPr>
          <w:rFonts w:hint="eastAsia" w:ascii="宋体" w:hAnsi="宋体" w:eastAsia="宋体" w:cs="宋体"/>
          <w:color w:val="000000"/>
          <w:kern w:val="2"/>
          <w:sz w:val="30"/>
          <w:szCs w:val="30"/>
          <w:lang w:val="en-US" w:eastAsia="zh-CN" w:bidi="ar"/>
        </w:rPr>
      </w:pPr>
      <w:bookmarkStart w:id="100" w:name="_Toc1658"/>
      <w:bookmarkStart w:id="101" w:name="_Toc14580"/>
      <w:bookmarkStart w:id="102" w:name="_Toc11652"/>
      <w:bookmarkStart w:id="103" w:name="_Toc438223136"/>
      <w:bookmarkStart w:id="104" w:name="_Toc435174933"/>
      <w:bookmarkStart w:id="105" w:name="_Toc435516650"/>
    </w:p>
    <w:p w14:paraId="12AF93DD">
      <w:pPr>
        <w:keepNext w:val="0"/>
        <w:keepLines w:val="0"/>
        <w:widowControl/>
        <w:numPr>
          <w:ilvl w:val="0"/>
          <w:numId w:val="0"/>
        </w:numPr>
        <w:suppressLineNumbers w:val="0"/>
        <w:jc w:val="center"/>
        <w:textAlignment w:val="center"/>
        <w:rPr>
          <w:rFonts w:hint="eastAsia" w:ascii="宋体" w:hAnsi="宋体" w:eastAsia="宋体" w:cs="宋体"/>
          <w:color w:val="000000"/>
          <w:kern w:val="2"/>
          <w:sz w:val="30"/>
          <w:szCs w:val="30"/>
          <w:lang w:val="en-US" w:eastAsia="zh-CN" w:bidi="ar"/>
        </w:rPr>
      </w:pPr>
    </w:p>
    <w:p w14:paraId="79411F40">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389BA55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A60B9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6556F5">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06F2EE0">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081E5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138DCA">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10E9FFD5">
      <w:pPr>
        <w:pStyle w:val="3"/>
        <w:numPr>
          <w:ilvl w:val="0"/>
          <w:numId w:val="15"/>
        </w:numPr>
        <w:spacing w:line="240" w:lineRule="auto"/>
        <w:jc w:val="center"/>
        <w:outlineLvl w:val="0"/>
        <w:rPr>
          <w:rFonts w:asciiTheme="majorEastAsia" w:hAnsiTheme="majorEastAsia" w:eastAsiaTheme="majorEastAsia"/>
          <w:sz w:val="32"/>
          <w:szCs w:val="32"/>
          <w:lang w:eastAsia="zh-TW"/>
        </w:rPr>
      </w:pPr>
      <w:bookmarkStart w:id="106" w:name="_Toc30434"/>
      <w:r>
        <w:rPr>
          <w:rFonts w:asciiTheme="majorEastAsia" w:hAnsiTheme="majorEastAsia" w:eastAsiaTheme="majorEastAsia"/>
          <w:sz w:val="32"/>
          <w:szCs w:val="32"/>
          <w:lang w:eastAsia="zh-TW"/>
        </w:rPr>
        <w:t>说 明</w:t>
      </w:r>
      <w:bookmarkEnd w:id="100"/>
      <w:bookmarkEnd w:id="101"/>
      <w:bookmarkEnd w:id="102"/>
      <w:bookmarkEnd w:id="103"/>
      <w:bookmarkEnd w:id="104"/>
      <w:bookmarkEnd w:id="105"/>
      <w:bookmarkEnd w:id="106"/>
      <w:bookmarkStart w:id="107"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p w14:paraId="2E0060AA">
      <w:pPr>
        <w:numPr>
          <w:ilvl w:val="0"/>
          <w:numId w:val="16"/>
        </w:numPr>
        <w:autoSpaceDE w:val="0"/>
        <w:autoSpaceDN w:val="0"/>
        <w:adjustRightInd w:val="0"/>
        <w:snapToGrid w:val="0"/>
        <w:spacing w:line="360" w:lineRule="auto"/>
        <w:outlineLvl w:val="1"/>
        <w:rPr>
          <w:rFonts w:ascii="宋体" w:hAnsi="宋体"/>
          <w:b/>
          <w:bCs/>
          <w:szCs w:val="21"/>
        </w:rPr>
      </w:pPr>
      <w:r>
        <w:rPr>
          <w:rFonts w:hint="eastAsia" w:ascii="宋体" w:hAnsi="宋体"/>
          <w:b/>
          <w:bCs/>
          <w:szCs w:val="21"/>
        </w:rPr>
        <w:t>适用范围</w:t>
      </w:r>
    </w:p>
    <w:p w14:paraId="1F1A13F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谈判文件</w:t>
      </w:r>
      <w:r>
        <w:rPr>
          <w:rFonts w:hint="eastAsia" w:ascii="宋体" w:hAnsi="宋体"/>
          <w:szCs w:val="21"/>
        </w:rPr>
        <w:t>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本项目参照《深圳经济特区政府采购条例》《深圳经济特区政府采购条例实施细则》的规定，并参考有关法规、政策、规章、规定，通过公开招标择优选定供应商。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谈判文件</w:t>
      </w:r>
      <w:r>
        <w:rPr>
          <w:rFonts w:hint="eastAsia" w:ascii="宋体" w:hAnsi="宋体"/>
          <w:szCs w:val="21"/>
        </w:rPr>
        <w:t>适用于货物采购项目。</w:t>
      </w:r>
    </w:p>
    <w:p w14:paraId="568103BF">
      <w:pPr>
        <w:numPr>
          <w:ilvl w:val="0"/>
          <w:numId w:val="16"/>
        </w:numPr>
        <w:autoSpaceDE w:val="0"/>
        <w:autoSpaceDN w:val="0"/>
        <w:adjustRightInd w:val="0"/>
        <w:snapToGrid w:val="0"/>
        <w:spacing w:line="360" w:lineRule="auto"/>
        <w:ind w:left="449" w:hanging="449" w:hangingChars="213"/>
        <w:outlineLvl w:val="1"/>
        <w:rPr>
          <w:rFonts w:ascii="宋体" w:hAnsi="宋体"/>
          <w:b/>
          <w:bCs/>
          <w:strike/>
          <w:szCs w:val="21"/>
        </w:rPr>
      </w:pPr>
      <w:r>
        <w:rPr>
          <w:rFonts w:hint="eastAsia" w:ascii="宋体" w:hAnsi="宋体"/>
          <w:b/>
          <w:szCs w:val="21"/>
        </w:rPr>
        <w:t>定义</w:t>
      </w:r>
    </w:p>
    <w:p w14:paraId="56CC93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4ED6117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2.3.谈判小组</w:t>
      </w:r>
      <w:r>
        <w:rPr>
          <w:rFonts w:hint="eastAsia" w:ascii="宋体" w:hAnsi="宋体"/>
          <w:szCs w:val="21"/>
        </w:rPr>
        <w:t>是</w:t>
      </w:r>
      <w:r>
        <w:rPr>
          <w:rFonts w:hint="eastAsia" w:ascii="宋体" w:hAnsi="宋体"/>
          <w:szCs w:val="21"/>
          <w:lang w:val="en-US" w:eastAsia="zh-CN"/>
        </w:rPr>
        <w:t>指</w:t>
      </w:r>
      <w:r>
        <w:rPr>
          <w:rFonts w:hint="eastAsia" w:ascii="宋体" w:hAnsi="宋体"/>
          <w:szCs w:val="21"/>
        </w:rPr>
        <w:t>专门负责本项目评标工作的临时性机构。</w:t>
      </w:r>
    </w:p>
    <w:p w14:paraId="4C4B941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投标人是指响应招标、参加投标竞争的法人、其他组织或者自然人。</w:t>
      </w:r>
    </w:p>
    <w:p w14:paraId="394F017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是是</w:t>
      </w:r>
      <w:r>
        <w:rPr>
          <w:rFonts w:hint="eastAsia" w:ascii="宋体" w:hAnsi="宋体"/>
          <w:szCs w:val="21"/>
        </w:rPr>
        <w:t>指由本次招标所产生的合同或合约文件。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谈判文件</w:t>
      </w:r>
      <w:r>
        <w:rPr>
          <w:rFonts w:hint="eastAsia" w:ascii="宋体" w:hAnsi="宋体"/>
          <w:szCs w:val="21"/>
        </w:rPr>
        <w:t>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谈判文件</w:t>
      </w:r>
      <w:r>
        <w:rPr>
          <w:rFonts w:hint="eastAsia" w:ascii="宋体" w:hAnsi="宋体"/>
          <w:szCs w:val="21"/>
        </w:rPr>
        <w:t>中的标题或题名仅起引导作用，而不应视为对</w:t>
      </w:r>
      <w:r>
        <w:rPr>
          <w:rFonts w:hint="eastAsia" w:ascii="宋体" w:hAnsi="宋体"/>
          <w:szCs w:val="21"/>
          <w:lang w:eastAsia="zh-CN"/>
        </w:rPr>
        <w:t>谈判文件</w:t>
      </w:r>
      <w:r>
        <w:rPr>
          <w:rFonts w:hint="eastAsia" w:ascii="宋体" w:hAnsi="宋体"/>
          <w:szCs w:val="21"/>
        </w:rPr>
        <w:t>内容的理解和解释。</w:t>
      </w:r>
    </w:p>
    <w:p w14:paraId="2FEA030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43B4B94A">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合格的货物和服务</w:t>
      </w:r>
    </w:p>
    <w:p w14:paraId="55A015B2">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谈判文件</w:t>
      </w:r>
      <w:r>
        <w:rPr>
          <w:rFonts w:hint="eastAsia" w:ascii="宋体" w:hAnsi="宋体"/>
          <w:szCs w:val="21"/>
        </w:rPr>
        <w:t>要求的货物等。投标的货物必须是其合法生产、合法来源的符合国家有关标准要求的货物，并满足</w:t>
      </w:r>
      <w:r>
        <w:rPr>
          <w:rFonts w:hint="eastAsia" w:ascii="宋体" w:hAnsi="宋体"/>
          <w:szCs w:val="21"/>
          <w:lang w:eastAsia="zh-CN"/>
        </w:rPr>
        <w:t>谈判文件</w:t>
      </w:r>
      <w:r>
        <w:rPr>
          <w:rFonts w:hint="eastAsia" w:ascii="宋体" w:hAnsi="宋体"/>
          <w:szCs w:val="21"/>
        </w:rPr>
        <w:t>规定的规格、参数、质量、价格、有效期、售后服务等要求。</w:t>
      </w:r>
    </w:p>
    <w:p w14:paraId="55B54F1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谈判文件</w:t>
      </w:r>
      <w:r>
        <w:rPr>
          <w:rFonts w:hint="eastAsia" w:ascii="宋体" w:hAnsi="宋体"/>
          <w:szCs w:val="21"/>
        </w:rPr>
        <w:t>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招标公告有其他要求的，亦应符合其要求。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2D2B598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6AF5FA38">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8"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8"/>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2F0FD981">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其他</w:t>
      </w:r>
    </w:p>
    <w:p w14:paraId="0443654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5395CA3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42DF89C">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的供应商限制参与政府采购。</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深圳市政府采购监督管理网（zfcg.sz.gov.cn）查询相关主体信用记录，对不符合《中华人民共和国政府采购法》第二十二条规定条件的供应商限制参与政府采购。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谈判文件</w:t>
      </w:r>
    </w:p>
    <w:p w14:paraId="1C971EE1">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谈判文件注意事项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后，应仔细检查</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所有的事项、格式、条款和规范要求等，如果投标人的投标文件没有按</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要求提交全部资料或者投标文件没有对</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澄清的目的是澄清、解答投标人在查阅</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后或现场踏勘中可能提出的与投标有关的疑问或询问。</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进行澄清或者对</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有限制性、倾向性条款提出</w:t>
      </w:r>
      <w:r>
        <w:rPr>
          <w:rFonts w:hint="eastAsia" w:cs="宋体" w:asciiTheme="minorEastAsia" w:hAnsiTheme="minorEastAsia"/>
          <w:bCs/>
          <w:color w:val="auto"/>
          <w:szCs w:val="21"/>
          <w:highlight w:val="none"/>
          <w:lang w:val="en-US" w:eastAsia="zh-CN"/>
        </w:rPr>
        <w:t>招标答疑</w:t>
      </w:r>
      <w:r>
        <w:rPr>
          <w:rFonts w:hint="eastAsia" w:cs="宋体" w:asciiTheme="minorEastAsia" w:hAnsiTheme="minorEastAsia" w:eastAsiaTheme="minorEastAsia"/>
          <w:bCs/>
          <w:color w:val="auto"/>
          <w:szCs w:val="21"/>
          <w:highlight w:val="none"/>
        </w:rPr>
        <w:t>的投标人，均应于“招标公告”中所述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进行必要的澄清或是根据投标人的要求对</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发出后，在投标截止日期前任何时候，确需要变更招标内容的，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澄清（答疑）纪要、</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修改补充通知内容均以书面明确的内容为准。当</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default" w:cs="宋体" w:asciiTheme="majorEastAsia" w:hAnsiTheme="majorEastAsia" w:eastAsiaTheme="majorEastAsia"/>
          <w:kern w:val="2"/>
          <w:sz w:val="30"/>
          <w:szCs w:val="30"/>
          <w:lang w:val="en-US" w:eastAsia="zh-CN" w:bidi="ar-SA"/>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澄清（答疑）纪要和</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谈判文件</w:t>
      </w:r>
      <w:r>
        <w:rPr>
          <w:rFonts w:hint="eastAsia" w:cs="宋体" w:asciiTheme="minorEastAsia" w:hAnsiTheme="minorEastAsia" w:eastAsiaTheme="minorEastAsia"/>
          <w:bCs/>
          <w:color w:val="auto"/>
          <w:szCs w:val="21"/>
          <w:highlight w:val="none"/>
        </w:rPr>
        <w:t>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0580318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投标文件的编制</w:t>
      </w:r>
    </w:p>
    <w:p w14:paraId="55F387D7">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投标的语言</w:t>
      </w:r>
      <w:r>
        <w:rPr>
          <w:rFonts w:hint="eastAsia" w:ascii="宋体" w:hAnsi="宋体"/>
          <w:b/>
          <w:bCs/>
          <w:szCs w:val="21"/>
          <w:lang w:val="en-US" w:eastAsia="zh-CN"/>
        </w:rPr>
        <w:t>及度量单位</w:t>
      </w:r>
    </w:p>
    <w:p w14:paraId="66357834">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DC662A9">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投标文件的构成</w:t>
      </w:r>
    </w:p>
    <w:p w14:paraId="24A4618B">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E16C161">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谈判文件</w:t>
      </w:r>
      <w:r>
        <w:rPr>
          <w:rFonts w:hint="eastAsia" w:ascii="宋体" w:hAnsi="宋体" w:cs="宋体"/>
          <w:szCs w:val="21"/>
        </w:rPr>
        <w:t>的要求。</w:t>
      </w:r>
    </w:p>
    <w:p w14:paraId="1919BC95">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投标文件的编写</w:t>
      </w:r>
    </w:p>
    <w:p w14:paraId="04144B34">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谈判文件</w:t>
      </w:r>
      <w:r>
        <w:rPr>
          <w:rFonts w:hint="eastAsia" w:ascii="宋体" w:hAnsi="宋体" w:cs="宋体"/>
          <w:szCs w:val="21"/>
        </w:rPr>
        <w:t>中多个包组进行投标的，其投标文件的编制可按每个包组的要求分别装订和密封。投标人应当对投标文件进行装订，对未经装订的投标文件可能发生的文件散落或缺损，由此造成的后果和责任由投标人承担。</w:t>
      </w:r>
    </w:p>
    <w:p w14:paraId="0FBA6FBE">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708314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谈判文件</w:t>
      </w:r>
      <w:r>
        <w:rPr>
          <w:rFonts w:hint="eastAsia" w:ascii="宋体" w:hAnsi="宋体" w:cs="宋体"/>
          <w:szCs w:val="21"/>
        </w:rPr>
        <w:t>要求的部分内容和附件，或没有提供</w:t>
      </w:r>
      <w:r>
        <w:rPr>
          <w:rFonts w:hint="eastAsia" w:ascii="宋体" w:hAnsi="宋体" w:cs="宋体"/>
          <w:szCs w:val="21"/>
          <w:lang w:eastAsia="zh-CN"/>
        </w:rPr>
        <w:t>谈判文件</w:t>
      </w:r>
      <w:r>
        <w:rPr>
          <w:rFonts w:hint="eastAsia" w:ascii="宋体" w:hAnsi="宋体" w:cs="宋体"/>
          <w:szCs w:val="21"/>
        </w:rPr>
        <w:t>中所要求的资料及数据，由此造成的后果和责任由投标人承担。</w:t>
      </w:r>
    </w:p>
    <w:p w14:paraId="28A4F1D1">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谈判文件</w:t>
      </w:r>
      <w:r>
        <w:rPr>
          <w:rFonts w:hint="eastAsia" w:ascii="宋体" w:hAnsi="宋体" w:cs="宋体"/>
          <w:szCs w:val="21"/>
        </w:rPr>
        <w:t>的全部内容（包括所有的补充、修改内容重要事项、格式、条款和技术规范、参数及要求等）。投标人没有按照</w:t>
      </w:r>
      <w:r>
        <w:rPr>
          <w:rFonts w:hint="eastAsia" w:ascii="宋体" w:hAnsi="宋体" w:cs="宋体"/>
          <w:szCs w:val="21"/>
          <w:lang w:eastAsia="zh-CN"/>
        </w:rPr>
        <w:t>谈判文件</w:t>
      </w:r>
      <w:r>
        <w:rPr>
          <w:rFonts w:hint="eastAsia" w:ascii="宋体" w:hAnsi="宋体" w:cs="宋体"/>
          <w:szCs w:val="21"/>
        </w:rPr>
        <w:t>要求提交资料，或者投标文件没有对</w:t>
      </w:r>
      <w:r>
        <w:rPr>
          <w:rFonts w:hint="eastAsia" w:ascii="宋体" w:hAnsi="宋体" w:cs="宋体"/>
          <w:szCs w:val="21"/>
          <w:lang w:eastAsia="zh-CN"/>
        </w:rPr>
        <w:t>谈判文件</w:t>
      </w:r>
      <w:r>
        <w:rPr>
          <w:rFonts w:hint="eastAsia" w:ascii="宋体" w:hAnsi="宋体" w:cs="宋体"/>
          <w:szCs w:val="21"/>
        </w:rPr>
        <w:t>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谈判文件</w:t>
      </w:r>
      <w:r>
        <w:rPr>
          <w:rFonts w:hint="eastAsia" w:ascii="宋体" w:hAnsi="宋体" w:cs="宋体"/>
          <w:szCs w:val="21"/>
        </w:rPr>
        <w:t>提供了投标文件格式，则投标人提交的投标文件必须毫无例外地使用</w:t>
      </w:r>
      <w:r>
        <w:rPr>
          <w:rFonts w:hint="eastAsia" w:ascii="宋体" w:hAnsi="宋体" w:cs="宋体"/>
          <w:szCs w:val="21"/>
          <w:lang w:eastAsia="zh-CN"/>
        </w:rPr>
        <w:t>谈判文件</w:t>
      </w:r>
      <w:r>
        <w:rPr>
          <w:rFonts w:hint="eastAsia" w:ascii="宋体" w:hAnsi="宋体" w:cs="宋体"/>
          <w:szCs w:val="21"/>
        </w:rPr>
        <w:t>所提供的相应格式（表格可以按同样格式扩展）。</w:t>
      </w:r>
    </w:p>
    <w:p w14:paraId="190852A7">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投标报价</w:t>
      </w:r>
    </w:p>
    <w:p w14:paraId="733C0A94">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5DF300D4">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6DB19D55">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谈判文件</w:t>
      </w:r>
      <w:r>
        <w:rPr>
          <w:rFonts w:hint="eastAsia" w:ascii="宋体" w:hAnsi="宋体" w:cs="宋体"/>
          <w:szCs w:val="21"/>
        </w:rPr>
        <w:t>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7E263CCB">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6ED41D7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0E9C73E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备选方案外，本次招标不接受选择性报价，</w:t>
      </w:r>
      <w:r>
        <w:rPr>
          <w:rFonts w:hint="eastAsia" w:ascii="宋体" w:hAnsi="宋体" w:cs="宋体"/>
          <w:szCs w:val="21"/>
        </w:rPr>
        <w:t>否则将被视为无效投标。</w:t>
      </w:r>
    </w:p>
    <w:p w14:paraId="5AC09862">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除投标资料表另有规定外，本次招标不接受具有附加条件的报价，</w:t>
      </w:r>
      <w:r>
        <w:rPr>
          <w:rFonts w:hint="eastAsia" w:ascii="宋体" w:hAnsi="宋体" w:cs="宋体"/>
          <w:szCs w:val="21"/>
        </w:rPr>
        <w:t>否则将被视为无效投标。</w:t>
      </w:r>
    </w:p>
    <w:p w14:paraId="40454908">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投标货币</w:t>
      </w:r>
    </w:p>
    <w:p w14:paraId="107E9840">
      <w:pPr>
        <w:numPr>
          <w:ilvl w:val="1"/>
          <w:numId w:val="16"/>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529D9EB4">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联合体投标</w:t>
      </w:r>
    </w:p>
    <w:p w14:paraId="13263501">
      <w:pPr>
        <w:numPr>
          <w:ilvl w:val="1"/>
          <w:numId w:val="16"/>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22D0250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2E2B9CE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0A51A90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5F76F8">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02DA7451">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证明投标人合格和资格的文件</w:t>
      </w:r>
    </w:p>
    <w:p w14:paraId="0423D237">
      <w:pPr>
        <w:numPr>
          <w:ilvl w:val="1"/>
          <w:numId w:val="16"/>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19AD10F9">
      <w:pPr>
        <w:numPr>
          <w:ilvl w:val="1"/>
          <w:numId w:val="16"/>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27EA412B">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ascii="宋体" w:hAnsi="宋体"/>
          <w:b/>
          <w:bCs/>
          <w:szCs w:val="21"/>
        </w:rPr>
        <w:t>证明投标标的的合格性和符合</w:t>
      </w:r>
      <w:r>
        <w:rPr>
          <w:rFonts w:hint="eastAsia" w:ascii="宋体" w:hAnsi="宋体"/>
          <w:b/>
          <w:bCs/>
          <w:szCs w:val="21"/>
          <w:lang w:eastAsia="zh-CN"/>
        </w:rPr>
        <w:t>谈判文件</w:t>
      </w:r>
      <w:r>
        <w:rPr>
          <w:rFonts w:ascii="宋体" w:hAnsi="宋体"/>
          <w:b/>
          <w:bCs/>
          <w:szCs w:val="21"/>
        </w:rPr>
        <w:t>规定的文件</w:t>
      </w:r>
    </w:p>
    <w:p w14:paraId="21DCD9E2">
      <w:pPr>
        <w:numPr>
          <w:ilvl w:val="1"/>
          <w:numId w:val="16"/>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谈判文件</w:t>
      </w:r>
      <w:r>
        <w:rPr>
          <w:rFonts w:hint="eastAsia" w:ascii="宋体" w:hAnsi="宋体" w:cs="宋体"/>
          <w:szCs w:val="21"/>
        </w:rPr>
        <w:t>规定。该证明文件作为投标文件的一部分。</w:t>
      </w:r>
    </w:p>
    <w:p w14:paraId="6147E617">
      <w:pPr>
        <w:numPr>
          <w:ilvl w:val="1"/>
          <w:numId w:val="16"/>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C2B53B0">
      <w:pPr>
        <w:numPr>
          <w:ilvl w:val="1"/>
          <w:numId w:val="16"/>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谈判文件</w:t>
      </w:r>
      <w:r>
        <w:rPr>
          <w:rFonts w:hint="eastAsia" w:ascii="宋体" w:hAnsi="宋体" w:cs="宋体"/>
          <w:color w:val="auto"/>
          <w:szCs w:val="21"/>
        </w:rPr>
        <w:t>的要求相一致的文件，可以是文字资料、图纸和数据。</w:t>
      </w:r>
    </w:p>
    <w:p w14:paraId="4CF63A70">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投标文件的式样和签署、密封</w:t>
      </w:r>
    </w:p>
    <w:p w14:paraId="5606D124">
      <w:pPr>
        <w:numPr>
          <w:ilvl w:val="1"/>
          <w:numId w:val="16"/>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招标须知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1A358079">
      <w:pPr>
        <w:numPr>
          <w:ilvl w:val="1"/>
          <w:numId w:val="16"/>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谈判文件</w:t>
      </w:r>
      <w:r>
        <w:rPr>
          <w:rFonts w:hint="eastAsia" w:ascii="宋体" w:hAnsi="宋体" w:cs="宋体"/>
          <w:szCs w:val="21"/>
        </w:rPr>
        <w:t>要求签署、盖章后的正本投标文件扫描成PDF格式后拷贝至无病毒无密码的U盘或光盘。电子文件与正本投标文件一同密封，若电子文件与正本不符，以正本为准。</w:t>
      </w:r>
    </w:p>
    <w:p w14:paraId="5A13C7B4">
      <w:pPr>
        <w:numPr>
          <w:ilvl w:val="1"/>
          <w:numId w:val="16"/>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69661B2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谈判文件</w:t>
      </w:r>
      <w:r>
        <w:rPr>
          <w:rFonts w:hint="eastAsia" w:ascii="宋体" w:hAnsi="宋体" w:cs="宋体"/>
          <w:szCs w:val="21"/>
        </w:rPr>
        <w:t>要求签名的由法定代表人或经其正式授权的代表签字或盖章，以及</w:t>
      </w:r>
      <w:r>
        <w:rPr>
          <w:rFonts w:hint="eastAsia" w:ascii="宋体" w:hAnsi="宋体" w:cs="宋体"/>
          <w:szCs w:val="21"/>
          <w:lang w:eastAsia="zh-CN"/>
        </w:rPr>
        <w:t>谈判文件</w:t>
      </w:r>
      <w:r>
        <w:rPr>
          <w:rFonts w:hint="eastAsia" w:ascii="宋体" w:hAnsi="宋体" w:cs="宋体"/>
          <w:szCs w:val="21"/>
        </w:rPr>
        <w:t>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23F0BAF0">
      <w:pPr>
        <w:numPr>
          <w:ilvl w:val="2"/>
          <w:numId w:val="16"/>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28DFAD45">
      <w:pPr>
        <w:numPr>
          <w:ilvl w:val="1"/>
          <w:numId w:val="16"/>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6DD1CE88">
      <w:pPr>
        <w:numPr>
          <w:ilvl w:val="2"/>
          <w:numId w:val="16"/>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谈判文件</w:t>
      </w:r>
      <w:r>
        <w:rPr>
          <w:rFonts w:hint="eastAsia" w:ascii="宋体" w:hAnsi="宋体" w:cs="宋体"/>
          <w:szCs w:val="21"/>
        </w:rPr>
        <w:t>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7DBFE547">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投标文件的递交</w:t>
      </w:r>
    </w:p>
    <w:p w14:paraId="5468F946">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投标文件递交</w:t>
      </w:r>
    </w:p>
    <w:p w14:paraId="62E7BD07">
      <w:pPr>
        <w:numPr>
          <w:ilvl w:val="1"/>
          <w:numId w:val="16"/>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BF5B7EE">
      <w:pPr>
        <w:numPr>
          <w:ilvl w:val="1"/>
          <w:numId w:val="16"/>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谈判文件</w:t>
      </w:r>
      <w:r>
        <w:rPr>
          <w:rFonts w:hint="eastAsia" w:ascii="宋体" w:hAnsi="宋体"/>
        </w:rPr>
        <w:t>要求密封的投标文件，采购人应当拒收。</w:t>
      </w:r>
    </w:p>
    <w:p w14:paraId="4E5AD5BF">
      <w:pPr>
        <w:numPr>
          <w:ilvl w:val="1"/>
          <w:numId w:val="16"/>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6"/>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6"/>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注明所规定的开标时间（指招标公告中规定的开标时间）前不准启封的字样。</w:t>
      </w:r>
    </w:p>
    <w:p w14:paraId="5C42D29C">
      <w:pPr>
        <w:numPr>
          <w:ilvl w:val="1"/>
          <w:numId w:val="16"/>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08214C5C">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投标文件的修改和撤回、撤销</w:t>
      </w:r>
    </w:p>
    <w:p w14:paraId="76103B6C">
      <w:pPr>
        <w:numPr>
          <w:ilvl w:val="1"/>
          <w:numId w:val="16"/>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谈判文件</w:t>
      </w:r>
      <w:r>
        <w:rPr>
          <w:rFonts w:hint="eastAsia" w:ascii="宋体" w:hAnsi="宋体" w:cs="宋体"/>
          <w:szCs w:val="21"/>
        </w:rPr>
        <w:t>要求签署、盖章、密封后，并作为投标文件的组成部分。在投标截止时间之后，投标人不得对其投标文件做任何修改和补充。</w:t>
      </w:r>
    </w:p>
    <w:p w14:paraId="7EDEA7B7">
      <w:pPr>
        <w:numPr>
          <w:ilvl w:val="1"/>
          <w:numId w:val="16"/>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谈判文件</w:t>
      </w:r>
      <w:r>
        <w:rPr>
          <w:rFonts w:hint="eastAsia" w:ascii="宋体" w:hAnsi="宋体"/>
          <w:bCs/>
        </w:rPr>
        <w:t>中规定的投标有效期内不可撤销其投标。</w:t>
      </w:r>
      <w:r>
        <w:rPr>
          <w:rFonts w:hint="eastAsia" w:ascii="宋体" w:hAnsi="宋体"/>
        </w:rPr>
        <w:t>投标人所提交的投标文件在本项目投标截止时间后均不予退还。</w:t>
      </w:r>
    </w:p>
    <w:p w14:paraId="0EF462A0">
      <w:pPr>
        <w:numPr>
          <w:ilvl w:val="0"/>
          <w:numId w:val="16"/>
        </w:numPr>
        <w:autoSpaceDE w:val="0"/>
        <w:autoSpaceDN w:val="0"/>
        <w:adjustRightInd w:val="0"/>
        <w:snapToGrid w:val="0"/>
        <w:spacing w:line="360" w:lineRule="auto"/>
        <w:ind w:left="449" w:hanging="449" w:hangingChars="213"/>
        <w:outlineLvl w:val="1"/>
        <w:rPr>
          <w:rFonts w:ascii="宋体" w:hAnsi="宋体" w:cs="黑体"/>
          <w:bCs/>
          <w:szCs w:val="21"/>
        </w:rPr>
      </w:pPr>
      <w:r>
        <w:rPr>
          <w:rFonts w:hint="eastAsia" w:ascii="宋体" w:hAnsi="宋体"/>
          <w:b/>
          <w:bCs/>
          <w:szCs w:val="21"/>
        </w:rPr>
        <w:t>质疑</w:t>
      </w:r>
    </w:p>
    <w:p w14:paraId="18EEFB3E">
      <w:pPr>
        <w:numPr>
          <w:ilvl w:val="1"/>
          <w:numId w:val="16"/>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07BB046">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1C64829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67D4514A">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谈判小组</w:t>
      </w:r>
      <w:r>
        <w:rPr>
          <w:rFonts w:hint="eastAsia" w:ascii="宋体" w:hAnsi="宋体" w:cs="黑体"/>
          <w:bCs/>
          <w:szCs w:val="21"/>
        </w:rPr>
        <w:t>、谈判小组、竞价小组组成人员损害其权益的，应在中标或者成交结果公示之日起七个工作日内。</w:t>
      </w:r>
    </w:p>
    <w:p w14:paraId="06640A3B">
      <w:pPr>
        <w:numPr>
          <w:ilvl w:val="1"/>
          <w:numId w:val="16"/>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24C27A2E">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16F50CEB">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43C5C01F">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2A7EC70B">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DC08CDC">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4B818455">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见招标公告</w:t>
      </w:r>
      <w:r>
        <w:rPr>
          <w:rFonts w:hint="eastAsia" w:ascii="宋体" w:hAnsi="宋体" w:eastAsia="宋体" w:cs="宋体"/>
          <w:szCs w:val="21"/>
        </w:rPr>
        <w:t>。</w:t>
      </w:r>
    </w:p>
    <w:p w14:paraId="13661455">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6"/>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2C883908">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中标通知书</w:t>
      </w:r>
    </w:p>
    <w:p w14:paraId="29FDC447">
      <w:pPr>
        <w:numPr>
          <w:ilvl w:val="1"/>
          <w:numId w:val="16"/>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43D75BA6">
      <w:pPr>
        <w:numPr>
          <w:ilvl w:val="1"/>
          <w:numId w:val="16"/>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5CDC22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授予合同</w:t>
      </w:r>
    </w:p>
    <w:p w14:paraId="3B3556D4">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合同的订立</w:t>
      </w:r>
    </w:p>
    <w:p w14:paraId="0B51708C">
      <w:pPr>
        <w:numPr>
          <w:ilvl w:val="1"/>
          <w:numId w:val="16"/>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谈判文件</w:t>
      </w:r>
      <w:r>
        <w:rPr>
          <w:rFonts w:hint="eastAsia" w:ascii="宋体" w:hAnsi="宋体" w:cs="宋体"/>
          <w:szCs w:val="21"/>
        </w:rPr>
        <w:t>和中标人投标文件的约定，与中标人签订书面合同。所签订的合同不得对</w:t>
      </w:r>
      <w:r>
        <w:rPr>
          <w:rFonts w:hint="eastAsia" w:ascii="宋体" w:hAnsi="宋体" w:cs="宋体"/>
          <w:szCs w:val="21"/>
          <w:lang w:eastAsia="zh-CN"/>
        </w:rPr>
        <w:t>谈判文件</w:t>
      </w:r>
      <w:r>
        <w:rPr>
          <w:rFonts w:hint="eastAsia" w:ascii="宋体" w:hAnsi="宋体" w:cs="宋体"/>
          <w:szCs w:val="21"/>
        </w:rPr>
        <w:t>和中标人投标文件作实质性修改。</w:t>
      </w:r>
    </w:p>
    <w:p w14:paraId="08E32BA9">
      <w:pPr>
        <w:numPr>
          <w:ilvl w:val="1"/>
          <w:numId w:val="16"/>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73A742E0">
      <w:pPr>
        <w:numPr>
          <w:ilvl w:val="1"/>
          <w:numId w:val="16"/>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7F3555E2">
      <w:pPr>
        <w:numPr>
          <w:ilvl w:val="1"/>
          <w:numId w:val="16"/>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7CF87EA4">
      <w:pPr>
        <w:numPr>
          <w:ilvl w:val="0"/>
          <w:numId w:val="16"/>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合同的履行</w:t>
      </w:r>
    </w:p>
    <w:p w14:paraId="1A067EE9">
      <w:pPr>
        <w:numPr>
          <w:ilvl w:val="1"/>
          <w:numId w:val="16"/>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4F888CFD">
      <w:pPr>
        <w:numPr>
          <w:ilvl w:val="1"/>
          <w:numId w:val="16"/>
        </w:numPr>
        <w:autoSpaceDE w:val="0"/>
        <w:autoSpaceDN w:val="0"/>
        <w:adjustRightInd w:val="0"/>
        <w:snapToGrid w:val="0"/>
        <w:spacing w:line="360" w:lineRule="auto"/>
        <w:rPr>
          <w:b/>
          <w:sz w:val="52"/>
          <w:szCs w:val="52"/>
          <w:highlight w:val="none"/>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bookmarkEnd w:id="107"/>
      <w:r>
        <w:rPr>
          <w:rFonts w:hint="eastAsia" w:ascii="宋体" w:hAnsi="宋体" w:eastAsia="黑体" w:cs="宋体"/>
          <w:b/>
          <w:bCs/>
          <w:color w:val="000000" w:themeColor="text1"/>
          <w:kern w:val="2"/>
          <w:sz w:val="28"/>
          <w:szCs w:val="21"/>
          <w:lang w:val="en-US" w:eastAsia="zh-CN" w:bidi="ar-SA"/>
          <w14:textFill>
            <w14:solidFill>
              <w14:schemeClr w14:val="tx1"/>
            </w14:solidFill>
          </w14:textFill>
        </w:rPr>
        <w:t xml:space="preserve">     </w:t>
      </w:r>
      <w:bookmarkStart w:id="109" w:name="_Toc128037689"/>
      <w:bookmarkStart w:id="110" w:name="_Toc374439153"/>
      <w:bookmarkStart w:id="111" w:name="_Toc532"/>
      <w:bookmarkStart w:id="112" w:name="_Toc109889663"/>
      <w:bookmarkStart w:id="113" w:name="_Toc318878971"/>
    </w:p>
    <w:p w14:paraId="671D711A">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rFonts w:hint="eastAsia" w:ascii="仿宋_GB2312" w:hAnsi="仿宋_GB2312" w:eastAsia="仿宋_GB2312" w:cs="仿宋_GB2312"/>
          <w:b w:val="0"/>
          <w:bCs w:val="0"/>
          <w:sz w:val="32"/>
          <w:szCs w:val="3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b/>
          <w:sz w:val="52"/>
          <w:szCs w:val="52"/>
          <w:highlight w:val="none"/>
          <w:u w:val="single"/>
        </w:rPr>
      </w:pPr>
      <w:r>
        <w:rPr>
          <w:rFonts w:hint="eastAsia" w:ascii="仿宋_GB2312" w:hAnsi="仿宋_GB2312" w:eastAsia="仿宋_GB2312" w:cs="仿宋_GB2312"/>
          <w:b w:val="0"/>
          <w:bCs w:val="0"/>
          <w:sz w:val="32"/>
          <w:szCs w:val="32"/>
          <w:highlight w:val="none"/>
        </w:rPr>
        <w:t>合同编号：</w:t>
      </w:r>
      <w:r>
        <w:rPr>
          <w:rFonts w:hint="eastAsia" w:ascii="仿宋_GB2312" w:hAnsi="仿宋_GB2312" w:eastAsia="仿宋_GB2312" w:cs="仿宋_GB2312"/>
          <w:b w:val="0"/>
          <w:bCs w:val="0"/>
          <w:sz w:val="32"/>
          <w:szCs w:val="32"/>
          <w:highlight w:val="none"/>
          <w:lang w:val="en-US" w:eastAsia="zh-CN"/>
        </w:rPr>
        <w:t>FTEY-HC-</w:t>
      </w:r>
    </w:p>
    <w:p w14:paraId="682CB40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DDB6AF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080789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cs="宋体"/>
          <w:b/>
          <w:bCs/>
          <w:sz w:val="72"/>
          <w:szCs w:val="72"/>
          <w:highlight w:val="none"/>
        </w:rPr>
      </w:pPr>
    </w:p>
    <w:p w14:paraId="4CEDE95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r>
        <w:rPr>
          <w:rFonts w:hint="eastAsia" w:ascii="宋体" w:hAnsi="宋体" w:cs="宋体"/>
          <w:b/>
          <w:bCs/>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highlight w:val="none"/>
        </w:rPr>
      </w:pPr>
      <w:r>
        <w:rPr>
          <w:rFonts w:hint="eastAsia" w:ascii="宋体" w:hAnsi="宋体" w:cs="宋体"/>
          <w:b/>
          <w:bCs/>
          <w:sz w:val="72"/>
          <w:szCs w:val="72"/>
          <w:highlight w:val="none"/>
        </w:rPr>
        <w:t>耗材采购合同</w:t>
      </w:r>
    </w:p>
    <w:p w14:paraId="4F1576F3">
      <w:pPr>
        <w:bidi w:val="0"/>
        <w:jc w:val="center"/>
        <w:rPr>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9"/>
        <w:rPr>
          <w:rFonts w:ascii="宋体" w:hAnsi="宋体"/>
          <w:b/>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59361949">
      <w:pPr>
        <w:keepNext/>
        <w:keepLines/>
        <w:widowControl w:val="0"/>
        <w:spacing w:line="576" w:lineRule="auto"/>
        <w:jc w:val="both"/>
        <w:outlineLvl w:val="9"/>
        <w:rPr>
          <w:rFonts w:asciiTheme="minorHAnsi" w:hAnsiTheme="minorHAnsi" w:eastAsiaTheme="minorEastAsia" w:cstheme="minorBidi"/>
          <w:b/>
          <w:kern w:val="44"/>
          <w:sz w:val="44"/>
          <w:szCs w:val="24"/>
          <w:lang w:val="en-US" w:eastAsia="zh-CN" w:bidi="ar-SA"/>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color w:val="auto"/>
          <w:sz w:val="24"/>
          <w:highlight w:val="none"/>
        </w:rPr>
      </w:pPr>
    </w:p>
    <w:p w14:paraId="09F46B38">
      <w:pPr>
        <w:pageBreakBefore w:val="0"/>
        <w:kinsoku/>
        <w:overflowPunct/>
        <w:topLinePunct w:val="0"/>
        <w:autoSpaceDE/>
        <w:autoSpaceDN/>
        <w:bidi w:val="0"/>
        <w:adjustRightInd w:val="0"/>
        <w:snapToGrid w:val="0"/>
        <w:spacing w:beforeAutospacing="0" w:afterAutospacing="0" w:line="560" w:lineRule="exact"/>
        <w:ind w:left="0" w:leftChars="0"/>
        <w:jc w:val="both"/>
        <w:textAlignment w:val="auto"/>
        <w:outlineLvl w:val="9"/>
        <w:rPr>
          <w:rFonts w:hint="eastAsia" w:ascii="方正小标宋简体" w:hAnsi="方正小标宋简体" w:eastAsia="方正小标宋简体" w:cs="方正小标宋简体"/>
          <w:b w:val="0"/>
          <w:bCs/>
          <w:sz w:val="40"/>
          <w:szCs w:val="40"/>
          <w:highlight w:val="none"/>
        </w:rPr>
      </w:pPr>
    </w:p>
    <w:p w14:paraId="68AAC512">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p>
    <w:p w14:paraId="2B9C508F">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福田区</w:t>
      </w:r>
      <w:r>
        <w:rPr>
          <w:rFonts w:hint="eastAsia" w:ascii="方正小标宋简体" w:hAnsi="方正小标宋简体" w:eastAsia="方正小标宋简体" w:cs="方正小标宋简体"/>
          <w:b w:val="0"/>
          <w:bCs/>
          <w:sz w:val="40"/>
          <w:szCs w:val="40"/>
          <w:highlight w:val="none"/>
          <w:lang w:eastAsia="zh-CN"/>
        </w:rPr>
        <w:t>第二人民医院</w:t>
      </w:r>
      <w:r>
        <w:rPr>
          <w:rFonts w:hint="eastAsia" w:ascii="方正小标宋简体" w:hAnsi="方正小标宋简体" w:eastAsia="方正小标宋简体" w:cs="方正小标宋简体"/>
          <w:b w:val="0"/>
          <w:bCs/>
          <w:sz w:val="40"/>
          <w:szCs w:val="40"/>
          <w:highlight w:val="none"/>
        </w:rPr>
        <w:t>医用器械耗材采购合同</w:t>
      </w:r>
    </w:p>
    <w:p w14:paraId="2792CF6B">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highlight w:val="none"/>
        </w:rPr>
      </w:pPr>
    </w:p>
    <w:p w14:paraId="4AD88F6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5558FB8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p>
    <w:p w14:paraId="3DDC6E8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p>
    <w:p w14:paraId="48541DD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p>
    <w:p w14:paraId="7BF6931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p>
    <w:p w14:paraId="5880D89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2809D2C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2830EA4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0E0D8E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3FC8FF0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36A444B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p>
    <w:p w14:paraId="2017D4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BA269E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4BE88271">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4C8B88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4" w:name="_Toc13149_WPSOffice_Level1"/>
      <w:r>
        <w:rPr>
          <w:rFonts w:hint="eastAsia" w:ascii="仿宋_GB2312" w:hAnsi="仿宋_GB2312" w:eastAsia="仿宋_GB2312" w:cs="仿宋_GB2312"/>
          <w:b/>
          <w:color w:val="auto"/>
          <w:sz w:val="28"/>
          <w:szCs w:val="28"/>
          <w:highlight w:val="none"/>
        </w:rPr>
        <w:t>第一条  合同标的</w:t>
      </w:r>
      <w:bookmarkEnd w:id="114"/>
    </w:p>
    <w:p w14:paraId="65C3486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0F311AE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752D94A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附件一：</w:t>
      </w:r>
    </w:p>
    <w:p w14:paraId="0C09B2EF">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6AEAEDB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8"/>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785D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69" w:type="dxa"/>
            <w:vAlign w:val="center"/>
          </w:tcPr>
          <w:p w14:paraId="2A0E475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151F59C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09ACB16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BC21A4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67232C5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01471AB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496B2CA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0C17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236C1D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1F39D6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6F27A605">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724BB3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60E230EC">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6537B363">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14A76CC1">
            <w:pPr>
              <w:keepNext w:val="0"/>
              <w:keepLines w:val="0"/>
              <w:suppressLineNumbers w:val="0"/>
              <w:bidi w:val="0"/>
              <w:spacing w:before="0" w:beforeAutospacing="0" w:after="0" w:afterAutospacing="0"/>
              <w:ind w:right="0"/>
              <w:rPr>
                <w:rFonts w:hint="eastAsia"/>
                <w:color w:val="auto"/>
                <w:highlight w:val="none"/>
              </w:rPr>
            </w:pPr>
          </w:p>
        </w:tc>
      </w:tr>
      <w:tr w14:paraId="34B2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A9B57E6">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4DD21E4">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088DCE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27F0B686">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8F4B5E0">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5DD89A1A">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5B41999A">
            <w:pPr>
              <w:keepNext w:val="0"/>
              <w:keepLines w:val="0"/>
              <w:suppressLineNumbers w:val="0"/>
              <w:bidi w:val="0"/>
              <w:spacing w:before="0" w:beforeAutospacing="0" w:after="0" w:afterAutospacing="0"/>
              <w:ind w:right="0"/>
              <w:rPr>
                <w:rFonts w:hint="eastAsia"/>
                <w:color w:val="auto"/>
                <w:highlight w:val="none"/>
              </w:rPr>
            </w:pPr>
          </w:p>
        </w:tc>
      </w:tr>
      <w:tr w14:paraId="7D5F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2A1EB3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3646E61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A9E9E1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A15254B">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45655FA">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128910BD">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C1E7DE4">
            <w:pPr>
              <w:keepNext w:val="0"/>
              <w:keepLines w:val="0"/>
              <w:suppressLineNumbers w:val="0"/>
              <w:bidi w:val="0"/>
              <w:spacing w:before="0" w:beforeAutospacing="0" w:after="0" w:afterAutospacing="0"/>
              <w:ind w:right="0"/>
              <w:rPr>
                <w:rFonts w:hint="eastAsia"/>
                <w:color w:val="auto"/>
                <w:highlight w:val="none"/>
              </w:rPr>
            </w:pPr>
          </w:p>
        </w:tc>
      </w:tr>
      <w:tr w14:paraId="14E6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E4ADDFA">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20089B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A54983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72CB8A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4B6753C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F03C22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4B7AB04">
            <w:pPr>
              <w:keepNext w:val="0"/>
              <w:keepLines w:val="0"/>
              <w:suppressLineNumbers w:val="0"/>
              <w:bidi w:val="0"/>
              <w:spacing w:before="0" w:beforeAutospacing="0" w:after="0" w:afterAutospacing="0"/>
              <w:ind w:right="0"/>
              <w:rPr>
                <w:rFonts w:hint="eastAsia"/>
                <w:color w:val="auto"/>
                <w:highlight w:val="none"/>
              </w:rPr>
            </w:pPr>
          </w:p>
        </w:tc>
      </w:tr>
      <w:tr w14:paraId="5B2D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8341EA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A3FB16F">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08CEF0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10C44DF">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B3165A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6946835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8EA8459">
            <w:pPr>
              <w:keepNext w:val="0"/>
              <w:keepLines w:val="0"/>
              <w:suppressLineNumbers w:val="0"/>
              <w:bidi w:val="0"/>
              <w:spacing w:before="0" w:beforeAutospacing="0" w:after="0" w:afterAutospacing="0"/>
              <w:ind w:right="0"/>
              <w:rPr>
                <w:rFonts w:hint="eastAsia"/>
                <w:color w:val="auto"/>
                <w:highlight w:val="none"/>
              </w:rPr>
            </w:pPr>
          </w:p>
        </w:tc>
      </w:tr>
    </w:tbl>
    <w:p w14:paraId="0DDDA984">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3BDDEF55">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022D6F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68A2F84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乙方承诺及时在平台填报订单和发票相关信息，不影响甲方平台结算率。</w:t>
      </w:r>
      <w:r>
        <w:rPr>
          <w:rFonts w:hint="eastAsia" w:ascii="仿宋_GB2312" w:hAnsi="仿宋_GB2312" w:eastAsia="仿宋_GB2312" w:cs="仿宋_GB2312"/>
          <w:color w:val="auto"/>
          <w:sz w:val="28"/>
          <w:szCs w:val="28"/>
          <w:highlight w:val="none"/>
          <w:u w:val="single"/>
          <w:lang w:val="en-US" w:eastAsia="zh-CN"/>
        </w:rPr>
        <w:t xml:space="preserve">                                                                                                                  </w:t>
      </w:r>
    </w:p>
    <w:p w14:paraId="5A5D0F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5" w:name="_Toc663_WPSOffice_Level1"/>
      <w:r>
        <w:rPr>
          <w:rFonts w:hint="eastAsia" w:ascii="仿宋_GB2312" w:hAnsi="仿宋_GB2312" w:eastAsia="仿宋_GB2312" w:cs="仿宋_GB2312"/>
          <w:b/>
          <w:color w:val="auto"/>
          <w:sz w:val="28"/>
          <w:szCs w:val="28"/>
          <w:highlight w:val="none"/>
        </w:rPr>
        <w:t>第二条  合同价款</w:t>
      </w:r>
      <w:bookmarkEnd w:id="115"/>
    </w:p>
    <w:p w14:paraId="2AA3628C">
      <w:pPr>
        <w:pStyle w:val="7"/>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2872C5C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674E54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000782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309A8A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07FE344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1E3C3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41ED817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649B37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5AF47A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7F15EB8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74706159">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55EDE355">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2" w:firstLineChars="200"/>
        <w:textAlignment w:val="auto"/>
      </w:pPr>
      <w:r>
        <w:rPr>
          <w:rFonts w:hint="eastAsia" w:ascii="仿宋_GB2312" w:hAnsi="仿宋_GB2312" w:eastAsia="仿宋_GB2312" w:cs="仿宋_GB2312"/>
          <w:b/>
          <w:bCs/>
          <w:color w:val="auto"/>
          <w:sz w:val="28"/>
          <w:szCs w:val="28"/>
          <w:highlight w:val="none"/>
          <w:u w:val="single"/>
          <w:lang w:val="en-US" w:eastAsia="zh-CN"/>
        </w:rPr>
        <w:t>备注：如乙方</w:t>
      </w:r>
      <w:r>
        <w:rPr>
          <w:rFonts w:hint="eastAsia" w:ascii="仿宋_GB2312" w:hAnsi="仿宋_GB2312" w:eastAsia="仿宋_GB2312" w:cs="仿宋_GB2312"/>
          <w:b/>
          <w:bCs/>
          <w:color w:val="auto"/>
          <w:sz w:val="28"/>
          <w:szCs w:val="28"/>
          <w:highlight w:val="none"/>
          <w:u w:val="single"/>
        </w:rPr>
        <w:t>不及时在平台回填</w:t>
      </w:r>
      <w:r>
        <w:rPr>
          <w:rFonts w:hint="eastAsia" w:ascii="仿宋_GB2312" w:hAnsi="仿宋_GB2312" w:eastAsia="仿宋_GB2312" w:cs="仿宋_GB2312"/>
          <w:b/>
          <w:bCs/>
          <w:color w:val="auto"/>
          <w:sz w:val="28"/>
          <w:szCs w:val="28"/>
          <w:highlight w:val="none"/>
          <w:u w:val="single"/>
          <w:lang w:val="en-US" w:eastAsia="zh-CN"/>
        </w:rPr>
        <w:t>订单和发票等相关</w:t>
      </w:r>
      <w:r>
        <w:rPr>
          <w:rFonts w:hint="eastAsia" w:ascii="仿宋_GB2312" w:hAnsi="仿宋_GB2312" w:eastAsia="仿宋_GB2312" w:cs="仿宋_GB2312"/>
          <w:b/>
          <w:bCs/>
          <w:color w:val="auto"/>
          <w:sz w:val="28"/>
          <w:szCs w:val="28"/>
          <w:highlight w:val="none"/>
          <w:u w:val="single"/>
        </w:rPr>
        <w:t>信息或填错后不及时修改</w:t>
      </w:r>
      <w:r>
        <w:rPr>
          <w:rFonts w:hint="eastAsia" w:ascii="仿宋_GB2312" w:hAnsi="仿宋_GB2312" w:eastAsia="仿宋_GB2312" w:cs="仿宋_GB2312"/>
          <w:b/>
          <w:bCs/>
          <w:color w:val="auto"/>
          <w:sz w:val="28"/>
          <w:szCs w:val="28"/>
          <w:highlight w:val="none"/>
          <w:u w:val="single"/>
          <w:lang w:eastAsia="zh-CN"/>
        </w:rPr>
        <w:t>，</w:t>
      </w:r>
      <w:r>
        <w:rPr>
          <w:rFonts w:hint="eastAsia" w:ascii="仿宋_GB2312" w:hAnsi="仿宋_GB2312" w:eastAsia="仿宋_GB2312" w:cs="仿宋_GB2312"/>
          <w:b/>
          <w:bCs/>
          <w:color w:val="auto"/>
          <w:sz w:val="28"/>
          <w:szCs w:val="28"/>
          <w:highlight w:val="none"/>
          <w:u w:val="single"/>
          <w:lang w:val="en-US" w:eastAsia="zh-CN"/>
        </w:rPr>
        <w:t>影响甲方平台结算率</w:t>
      </w:r>
      <w:r>
        <w:rPr>
          <w:rFonts w:hint="eastAsia" w:ascii="仿宋_GB2312" w:hAnsi="仿宋_GB2312" w:eastAsia="仿宋_GB2312" w:cs="仿宋_GB2312"/>
          <w:b/>
          <w:bCs/>
          <w:color w:val="auto"/>
          <w:sz w:val="28"/>
          <w:szCs w:val="28"/>
          <w:highlight w:val="none"/>
          <w:u w:val="single"/>
        </w:rPr>
        <w:t>，逾期1天推后一个月支付货款，逾期2天推后二个月支付货款，以此类推。</w:t>
      </w:r>
      <w:r>
        <w:rPr>
          <w:rFonts w:hint="eastAsia" w:ascii="仿宋_GB2312" w:hAnsi="仿宋_GB2312" w:eastAsia="仿宋_GB2312" w:cs="仿宋_GB2312"/>
          <w:color w:val="auto"/>
          <w:sz w:val="28"/>
          <w:szCs w:val="28"/>
          <w:highlight w:val="none"/>
          <w:u w:val="single"/>
        </w:rPr>
        <w:t xml:space="preserve">                                </w:t>
      </w:r>
    </w:p>
    <w:p w14:paraId="262D4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75B2407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F6716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064176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60E0EB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5F716A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551CB6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7DD05A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CCD7C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287485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4C8AB53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019DA6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24C282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667F06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%)，具体与医院签合同时按合同条款执行</w:t>
      </w:r>
      <w:r>
        <w:rPr>
          <w:rFonts w:hint="eastAsia" w:ascii="仿宋_GB2312" w:hAnsi="仿宋_GB2312" w:eastAsia="仿宋_GB2312" w:cs="仿宋_GB2312"/>
          <w:color w:val="auto"/>
          <w:sz w:val="28"/>
          <w:szCs w:val="28"/>
          <w:highlight w:val="none"/>
          <w:lang w:eastAsia="zh-CN"/>
        </w:rPr>
        <w:t>。</w:t>
      </w:r>
    </w:p>
    <w:p w14:paraId="652DF0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4D076F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670BA46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1"/>
        <w:rPr>
          <w:rFonts w:ascii="仿宋_GB2312" w:hAnsi="仿宋_GB2312" w:eastAsia="仿宋_GB2312" w:cs="仿宋_GB2312"/>
          <w:b/>
          <w:color w:val="auto"/>
          <w:sz w:val="28"/>
          <w:szCs w:val="28"/>
          <w:highlight w:val="none"/>
        </w:rPr>
      </w:pPr>
      <w:bookmarkStart w:id="116" w:name="_Toc13895"/>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bookmarkEnd w:id="116"/>
    </w:p>
    <w:p w14:paraId="4BA32F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63748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1EC5A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358CA4E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6A7FEFD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5ECFCE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16E0ACE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）所提供的产品经食品药品监督管理局严格审核，并取得医疗器械注册证或备案证，获准进入市场，货质来源符合国家规定，并提供产品相关的资格证明文件。</w:t>
      </w:r>
    </w:p>
    <w:p w14:paraId="3BC17F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649B6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24B776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682948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6746EA2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7C5EAD5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3E3E9A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1FBC582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200DD9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64EBF0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0A4F7DD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1.乙方配送的产品必须是产品，严禁配送目录外规格型号产品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1C9F9A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31B2DF7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676A4D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p>
    <w:p w14:paraId="77B7A30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p>
    <w:p w14:paraId="4E1BA2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6964A8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412576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4D3976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5EE373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64AB74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0FA9C1F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1176B6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59FE8C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303F49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3BCB36B">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1C3FD85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E8336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none"/>
        </w:rPr>
        <w:t>后</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65B7BF30">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FCA7A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64722B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185F98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5182161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721E43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4E801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37BB62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1F8DD3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bookmarkStart w:id="117" w:name="_Toc2412_WPSOffice_Level1"/>
      <w:r>
        <w:rPr>
          <w:rFonts w:hint="eastAsia" w:ascii="仿宋_GB2312" w:hAnsi="仿宋_GB2312" w:eastAsia="仿宋_GB2312" w:cs="仿宋_GB2312"/>
          <w:b/>
          <w:color w:val="auto"/>
          <w:sz w:val="28"/>
          <w:szCs w:val="28"/>
          <w:highlight w:val="none"/>
        </w:rPr>
        <w:t>第九条 质量保证及售后服务</w:t>
      </w:r>
      <w:bookmarkEnd w:id="117"/>
    </w:p>
    <w:p w14:paraId="47716D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506360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758E00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18CB5E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0EB14C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6B61BE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297C6130">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14BC30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1A34DD4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DF46B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15F1F87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6AB145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A183F7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745255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314CE72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1BEEDD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49C726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118"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118"/>
    </w:p>
    <w:p w14:paraId="3E119EC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090D37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4A4C45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0292F7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B465AA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2F4475C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0BBDD1C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4BD181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47396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06DCFE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3AD90E5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0D56BF0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2D5306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0A82D0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2FE15A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F4416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2E80A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172A3C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49C408B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B2A1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36CCD8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9"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119"/>
    </w:p>
    <w:p w14:paraId="632FCE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33551E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p>
    <w:p w14:paraId="2078AC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p>
    <w:p w14:paraId="1FACA2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5234D4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0D338D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057FB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784FD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120"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120"/>
    </w:p>
    <w:p w14:paraId="33D88F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8428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4905E7F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C908D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121" w:name="_Toc12695_WPSOffice_Level1"/>
      <w:r>
        <w:rPr>
          <w:rFonts w:hint="eastAsia" w:ascii="仿宋_GB2312" w:hAnsi="仿宋_GB2312" w:eastAsia="仿宋_GB2312" w:cs="仿宋_GB2312"/>
          <w:b/>
          <w:color w:val="auto"/>
          <w:sz w:val="28"/>
          <w:szCs w:val="28"/>
          <w:highlight w:val="none"/>
        </w:rPr>
        <w:t>附则</w:t>
      </w:r>
      <w:bookmarkEnd w:id="121"/>
    </w:p>
    <w:p w14:paraId="49ABBB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1B684E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3C00BE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4CFEB90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bookmarkStart w:id="122"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03E2FA2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4C9B90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694589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29B782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1BFE050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03D3389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766D145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60BF4D41">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29450CA">
      <w:pPr>
        <w:keepNext/>
        <w:keepLines/>
        <w:widowControl w:val="0"/>
        <w:spacing w:line="576" w:lineRule="auto"/>
        <w:jc w:val="both"/>
        <w:outlineLvl w:val="9"/>
        <w:rPr>
          <w:rFonts w:hint="eastAsia" w:ascii="仿宋_GB2312" w:hAnsi="仿宋_GB2312" w:eastAsia="仿宋_GB2312" w:cs="仿宋_GB2312"/>
          <w:b/>
          <w:color w:val="auto"/>
          <w:kern w:val="44"/>
          <w:sz w:val="28"/>
          <w:szCs w:val="28"/>
          <w:highlight w:val="none"/>
          <w:lang w:val="en-US" w:eastAsia="zh-CN" w:bidi="ar-SA"/>
        </w:rPr>
      </w:pPr>
    </w:p>
    <w:p w14:paraId="1CC65C5F">
      <w:pPr>
        <w:rPr>
          <w:rFonts w:hint="eastAsia"/>
          <w:highlight w:val="none"/>
        </w:rPr>
      </w:pPr>
    </w:p>
    <w:p w14:paraId="23505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bookmarkEnd w:id="122"/>
      <w:bookmarkStart w:id="123" w:name="_Toc26357_WPSOffice_Level1"/>
    </w:p>
    <w:p w14:paraId="262854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123"/>
    </w:p>
    <w:p w14:paraId="395234FD">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124" w:name="_Toc28445_WPSOffice_Level1"/>
      <w:r>
        <w:rPr>
          <w:rFonts w:hint="eastAsia" w:ascii="仿宋_GB2312" w:hAnsi="仿宋_GB2312" w:eastAsia="仿宋_GB2312" w:cs="仿宋_GB2312"/>
          <w:color w:val="auto"/>
          <w:sz w:val="28"/>
          <w:szCs w:val="28"/>
          <w:highlight w:val="none"/>
        </w:rPr>
        <w:t>附件三：廉洁从业承诺书（员工承诺</w:t>
      </w:r>
      <w:bookmarkEnd w:id="124"/>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674972AE">
      <w:pPr>
        <w:pStyle w:val="29"/>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057CF1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3AC29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3AB85C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34E9B64B">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03FC3E6F">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05EBEAD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开户银行:</w:t>
      </w:r>
    </w:p>
    <w:p w14:paraId="08C5137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帐号：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帐号：</w:t>
      </w:r>
    </w:p>
    <w:p w14:paraId="7D6D14F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2D51ACFE">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6220232D">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52289DD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0F9C621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0D5D4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8A4237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0093AFA0">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BF450C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0AE6E60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5E05CBE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0F695D">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5160E6F8">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1C39E99">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C5FA0E2">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681FCABE">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052D69FB">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06806A2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2D7FAE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013EAC6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一、严格遵守《中华人民共和国招标投标法》、《中华人民共和国政府采购法》等法律法规，决不发生以下行为：</w:t>
      </w:r>
    </w:p>
    <w:p w14:paraId="3AE389B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1.以他人名义投标，允许其他单位或个人使用本单位资质投标；</w:t>
      </w:r>
    </w:p>
    <w:p w14:paraId="1FCF3DF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2.提供虚假材料，或以其他方式弄虚作假骗取中标；</w:t>
      </w:r>
    </w:p>
    <w:p w14:paraId="2B87BDE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3.与招标人或者其他投标人相互串通投标；</w:t>
      </w:r>
    </w:p>
    <w:p w14:paraId="13775BC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4.中标后将项目转包，或违法分包；</w:t>
      </w:r>
    </w:p>
    <w:p w14:paraId="2D8C6D9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5.中标后与招标人签订背离投标文件及合同实质性内容的私下协议；</w:t>
      </w:r>
    </w:p>
    <w:p w14:paraId="70D2C4C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6.其他违反招标投标、政府采购等法律法规的行为。</w:t>
      </w:r>
    </w:p>
    <w:p w14:paraId="74B2159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FE55D2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37F7D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5832632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76682E88">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55152C10">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A56344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201C594B">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5516112D">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D8946A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2C20EE9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266298F8">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61C4AA6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3472C59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D3543B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02BABC0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621E2E23">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476D0DBD">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568AAAB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BD038F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3A5CA8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09710626">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49C43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6C7D2C4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504DF3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763F71A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5F9F2D6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3B5B551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027A8E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62BA99E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1AC3F82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6979E1B2">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FF79A7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0DB6C6A0">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highlight w:val="none"/>
        </w:rPr>
      </w:pPr>
      <w:r>
        <w:rPr>
          <w:rFonts w:hint="eastAsia" w:ascii="仿宋_GB2312" w:hAnsi="仿宋_GB2312" w:eastAsia="仿宋_GB2312" w:cs="仿宋_GB2312"/>
          <w:color w:val="auto"/>
          <w:sz w:val="28"/>
          <w:szCs w:val="28"/>
          <w:highlight w:val="none"/>
        </w:rPr>
        <w:t>承诺日期：</w:t>
      </w:r>
      <w:bookmarkEnd w:id="109"/>
      <w:bookmarkEnd w:id="110"/>
      <w:bookmarkEnd w:id="111"/>
      <w:bookmarkEnd w:id="112"/>
      <w:bookmarkEnd w:id="113"/>
    </w:p>
    <w:p w14:paraId="26098853">
      <w:pPr>
        <w:bidi w:val="0"/>
        <w:jc w:val="both"/>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327EE12-FB7A-4BD8-8D76-CB53FA566BDA}"/>
  </w:font>
  <w:font w:name="黑体">
    <w:panose1 w:val="02010609060101010101"/>
    <w:charset w:val="86"/>
    <w:family w:val="auto"/>
    <w:pitch w:val="default"/>
    <w:sig w:usb0="800002BF" w:usb1="38CF7CFA" w:usb2="00000016" w:usb3="00000000" w:csb0="00040001" w:csb1="00000000"/>
    <w:embedRegular r:id="rId2" w:fontKey="{B59BCA20-77D4-4A42-934E-7035A31D33C3}"/>
  </w:font>
  <w:font w:name="Courier New">
    <w:panose1 w:val="02070309020205020404"/>
    <w:charset w:val="01"/>
    <w:family w:val="modern"/>
    <w:pitch w:val="default"/>
    <w:sig w:usb0="E0002EFF" w:usb1="C0007843" w:usb2="00000009" w:usb3="00000000" w:csb0="400001FF" w:csb1="FFFF0000"/>
    <w:embedRegular r:id="rId3" w:fontKey="{B8C62D56-19E7-42B7-BFBD-60D51CA247F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7084C728-F38F-4C18-AF10-0E45766862A7}"/>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5" w:fontKey="{96373017-ACAE-4946-A2ED-DA196BFE40C7}"/>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6" w:fontKey="{5B2917E8-7719-4D6E-857A-EFC17AD2A160}"/>
  </w:font>
  <w:font w:name="Wingdings 2">
    <w:panose1 w:val="05020102010507070707"/>
    <w:charset w:val="00"/>
    <w:family w:val="auto"/>
    <w:pitch w:val="default"/>
    <w:sig w:usb0="00000000" w:usb1="00000000" w:usb2="00000000" w:usb3="00000000" w:csb0="80000000" w:csb1="00000000"/>
    <w:embedRegular r:id="rId7" w:fontKey="{BBCD3D09-0F54-4B72-8F19-199D032185FE}"/>
  </w:font>
  <w:font w:name="方正仿宋_GBK">
    <w:altName w:val="微软雅黑"/>
    <w:panose1 w:val="00000000000000000000"/>
    <w:charset w:val="86"/>
    <w:family w:val="auto"/>
    <w:pitch w:val="default"/>
    <w:sig w:usb0="00000000" w:usb1="00000000" w:usb2="00000000" w:usb3="00000000" w:csb0="00040000" w:csb1="00000000"/>
    <w:embedRegular r:id="rId8" w:fontKey="{69291615-DB1A-4D60-8FCC-AB1ACD70983B}"/>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9" w:fontKey="{27DD5F0B-6E5D-4910-9D0E-F83E4CCE7242}"/>
  </w:font>
  <w:font w:name="方正小标宋_GBK">
    <w:panose1 w:val="02000000000000000000"/>
    <w:charset w:val="86"/>
    <w:family w:val="script"/>
    <w:pitch w:val="default"/>
    <w:sig w:usb0="A00002BF" w:usb1="38CF7CFA" w:usb2="00082016" w:usb3="00000000" w:csb0="00040001" w:csb1="00000000"/>
    <w:embedRegular r:id="rId10" w:fontKey="{4B311EF6-C184-4B4E-92F5-F2A8AEFCAB66}"/>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1"/>
      <w:jc w:val="center"/>
      <w:rPr>
        <w:rStyle w:val="20"/>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p w14:paraId="5AE7A01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2"/>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F3313"/>
    <w:multiLevelType w:val="singleLevel"/>
    <w:tmpl w:val="C2FF3313"/>
    <w:lvl w:ilvl="0" w:tentative="0">
      <w:start w:val="3"/>
      <w:numFmt w:val="chineseCounting"/>
      <w:suff w:val="space"/>
      <w:lvlText w:val="（%1）"/>
      <w:lvlJc w:val="left"/>
      <w:rPr>
        <w:rFonts w:hint="eastAsia"/>
      </w:rPr>
    </w:lvl>
  </w:abstractNum>
  <w:abstractNum w:abstractNumId="1">
    <w:nsid w:val="D6D61694"/>
    <w:multiLevelType w:val="singleLevel"/>
    <w:tmpl w:val="D6D61694"/>
    <w:lvl w:ilvl="0" w:tentative="0">
      <w:start w:val="1"/>
      <w:numFmt w:val="chineseCounting"/>
      <w:suff w:val="nothing"/>
      <w:lvlText w:val="（%1）"/>
      <w:lvlJc w:val="left"/>
      <w:rPr>
        <w:rFonts w:hint="eastAsia"/>
      </w:rPr>
    </w:lvl>
  </w:abstractNum>
  <w:abstractNum w:abstractNumId="2">
    <w:nsid w:val="0B8F3126"/>
    <w:multiLevelType w:val="singleLevel"/>
    <w:tmpl w:val="0B8F3126"/>
    <w:lvl w:ilvl="0" w:tentative="0">
      <w:start w:val="3"/>
      <w:numFmt w:val="chineseCounting"/>
      <w:suff w:val="nothing"/>
      <w:lvlText w:val="%1、"/>
      <w:lvlJc w:val="left"/>
      <w:rPr>
        <w:rFonts w:hint="eastAsia"/>
      </w:rPr>
    </w:lvl>
  </w:abstractNum>
  <w:abstractNum w:abstractNumId="3">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7E85C6F"/>
    <w:multiLevelType w:val="singleLevel"/>
    <w:tmpl w:val="37E85C6F"/>
    <w:lvl w:ilvl="0" w:tentative="0">
      <w:start w:val="1"/>
      <w:numFmt w:val="decimal"/>
      <w:lvlText w:val="%1."/>
      <w:lvlJc w:val="left"/>
      <w:pPr>
        <w:tabs>
          <w:tab w:val="left" w:pos="312"/>
        </w:tabs>
      </w:pPr>
    </w:lvl>
  </w:abstractNum>
  <w:abstractNum w:abstractNumId="5">
    <w:nsid w:val="40EC10D5"/>
    <w:multiLevelType w:val="singleLevel"/>
    <w:tmpl w:val="40EC10D5"/>
    <w:lvl w:ilvl="0" w:tentative="0">
      <w:start w:val="1"/>
      <w:numFmt w:val="chineseCounting"/>
      <w:suff w:val="space"/>
      <w:lvlText w:val="第%1章"/>
      <w:lvlJc w:val="left"/>
      <w:rPr>
        <w:rFonts w:hint="eastAsia"/>
      </w:rPr>
    </w:lvl>
  </w:abstractNum>
  <w:abstractNum w:abstractNumId="6">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07A66DD"/>
    <w:multiLevelType w:val="singleLevel"/>
    <w:tmpl w:val="507A66DD"/>
    <w:lvl w:ilvl="0" w:tentative="0">
      <w:start w:val="5"/>
      <w:numFmt w:val="chineseCounting"/>
      <w:suff w:val="nothing"/>
      <w:lvlText w:val="%1、"/>
      <w:lvlJc w:val="left"/>
      <w:rPr>
        <w:rFonts w:hint="eastAsia"/>
      </w:rPr>
    </w:lvl>
  </w:abstractNum>
  <w:abstractNum w:abstractNumId="8">
    <w:nsid w:val="50FB4E67"/>
    <w:multiLevelType w:val="singleLevel"/>
    <w:tmpl w:val="50FB4E67"/>
    <w:lvl w:ilvl="0" w:tentative="0">
      <w:start w:val="1"/>
      <w:numFmt w:val="decimal"/>
      <w:suff w:val="space"/>
      <w:lvlText w:val="%1."/>
      <w:lvlJc w:val="left"/>
    </w:lvl>
  </w:abstractNum>
  <w:abstractNum w:abstractNumId="9">
    <w:nsid w:val="59215DE2"/>
    <w:multiLevelType w:val="singleLevel"/>
    <w:tmpl w:val="59215DE2"/>
    <w:lvl w:ilvl="0" w:tentative="0">
      <w:start w:val="2"/>
      <w:numFmt w:val="decimal"/>
      <w:suff w:val="nothing"/>
      <w:lvlText w:val="（%1）"/>
      <w:lvlJc w:val="left"/>
    </w:lvl>
  </w:abstractNum>
  <w:abstractNum w:abstractNumId="10">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1">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0FD0FAC"/>
    <w:multiLevelType w:val="singleLevel"/>
    <w:tmpl w:val="70FD0FAC"/>
    <w:lvl w:ilvl="0" w:tentative="0">
      <w:start w:val="5"/>
      <w:numFmt w:val="chineseCounting"/>
      <w:suff w:val="space"/>
      <w:lvlText w:val="第%1章"/>
      <w:lvlJc w:val="left"/>
      <w:rPr>
        <w:rFonts w:hint="eastAsia"/>
      </w:rPr>
    </w:lvl>
  </w:abstractNum>
  <w:abstractNum w:abstractNumId="14">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2"/>
  </w:num>
  <w:num w:numId="5">
    <w:abstractNumId w:val="7"/>
  </w:num>
  <w:num w:numId="6">
    <w:abstractNumId w:val="6"/>
  </w:num>
  <w:num w:numId="7">
    <w:abstractNumId w:val="3"/>
  </w:num>
  <w:num w:numId="8">
    <w:abstractNumId w:val="4"/>
  </w:num>
  <w:num w:numId="9">
    <w:abstractNumId w:val="12"/>
  </w:num>
  <w:num w:numId="10">
    <w:abstractNumId w:val="0"/>
  </w:num>
  <w:num w:numId="11">
    <w:abstractNumId w:val="8"/>
  </w:num>
  <w:num w:numId="12">
    <w:abstractNumId w:val="1"/>
  </w:num>
  <w:num w:numId="13">
    <w:abstractNumId w:val="15"/>
  </w:num>
  <w:num w:numId="14">
    <w:abstractNumId w:val="10"/>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MjU3MzUxZDg0ZWEyMTlhMTg5ZjBhNDE4Njg1NGI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1A10A62"/>
    <w:rsid w:val="01FD42EF"/>
    <w:rsid w:val="02515E13"/>
    <w:rsid w:val="03824295"/>
    <w:rsid w:val="03CA1333"/>
    <w:rsid w:val="03D86CBB"/>
    <w:rsid w:val="04A41E29"/>
    <w:rsid w:val="0586171E"/>
    <w:rsid w:val="062A1835"/>
    <w:rsid w:val="07D60EE8"/>
    <w:rsid w:val="0C831895"/>
    <w:rsid w:val="0E1B2C35"/>
    <w:rsid w:val="0F847DFE"/>
    <w:rsid w:val="0F8A1C07"/>
    <w:rsid w:val="10437371"/>
    <w:rsid w:val="13272F7A"/>
    <w:rsid w:val="13CA0FD2"/>
    <w:rsid w:val="14DA7639"/>
    <w:rsid w:val="167968A8"/>
    <w:rsid w:val="168261AD"/>
    <w:rsid w:val="1A0F0637"/>
    <w:rsid w:val="1AC75CBA"/>
    <w:rsid w:val="1ACD08AB"/>
    <w:rsid w:val="1D740F3F"/>
    <w:rsid w:val="1FC04AB6"/>
    <w:rsid w:val="20857E4D"/>
    <w:rsid w:val="2110276B"/>
    <w:rsid w:val="217A1947"/>
    <w:rsid w:val="22DA20BB"/>
    <w:rsid w:val="24483988"/>
    <w:rsid w:val="24CC6443"/>
    <w:rsid w:val="253A103E"/>
    <w:rsid w:val="27A32756"/>
    <w:rsid w:val="28774BB2"/>
    <w:rsid w:val="292F0982"/>
    <w:rsid w:val="2AD85138"/>
    <w:rsid w:val="2BC25ADE"/>
    <w:rsid w:val="2BEF1BE2"/>
    <w:rsid w:val="2C2F1E92"/>
    <w:rsid w:val="2CAA6F1D"/>
    <w:rsid w:val="2F746B39"/>
    <w:rsid w:val="2FEF24C1"/>
    <w:rsid w:val="32A7178F"/>
    <w:rsid w:val="348C0A37"/>
    <w:rsid w:val="34D04DC8"/>
    <w:rsid w:val="34D95BA1"/>
    <w:rsid w:val="36F16FEE"/>
    <w:rsid w:val="37436ACA"/>
    <w:rsid w:val="38312021"/>
    <w:rsid w:val="38404012"/>
    <w:rsid w:val="3A4F4F44"/>
    <w:rsid w:val="3BC44311"/>
    <w:rsid w:val="3CFF2687"/>
    <w:rsid w:val="3D691D61"/>
    <w:rsid w:val="3FF83425"/>
    <w:rsid w:val="41894625"/>
    <w:rsid w:val="42961172"/>
    <w:rsid w:val="44B33DBE"/>
    <w:rsid w:val="44ED4447"/>
    <w:rsid w:val="456A0921"/>
    <w:rsid w:val="46062A6F"/>
    <w:rsid w:val="466C27DB"/>
    <w:rsid w:val="466F1003"/>
    <w:rsid w:val="46E84D7E"/>
    <w:rsid w:val="47293482"/>
    <w:rsid w:val="474D4A8F"/>
    <w:rsid w:val="47507FEA"/>
    <w:rsid w:val="49871B07"/>
    <w:rsid w:val="49BE56DF"/>
    <w:rsid w:val="4A0517DE"/>
    <w:rsid w:val="4DAD7DEB"/>
    <w:rsid w:val="4E8100AD"/>
    <w:rsid w:val="4E8E5256"/>
    <w:rsid w:val="4F0F12CA"/>
    <w:rsid w:val="4F560168"/>
    <w:rsid w:val="511864D9"/>
    <w:rsid w:val="51D63AF4"/>
    <w:rsid w:val="521F3077"/>
    <w:rsid w:val="558214CD"/>
    <w:rsid w:val="56E36785"/>
    <w:rsid w:val="580B4B95"/>
    <w:rsid w:val="58AF7528"/>
    <w:rsid w:val="58C53577"/>
    <w:rsid w:val="5A2F6381"/>
    <w:rsid w:val="5B4A22D1"/>
    <w:rsid w:val="5BC7458E"/>
    <w:rsid w:val="5CAC08DD"/>
    <w:rsid w:val="5CEC7157"/>
    <w:rsid w:val="5D045FFD"/>
    <w:rsid w:val="5F630463"/>
    <w:rsid w:val="65265113"/>
    <w:rsid w:val="65E57895"/>
    <w:rsid w:val="6602326A"/>
    <w:rsid w:val="68A23D9A"/>
    <w:rsid w:val="69E7776E"/>
    <w:rsid w:val="6A67569D"/>
    <w:rsid w:val="6AA14535"/>
    <w:rsid w:val="6ACC2680"/>
    <w:rsid w:val="6B80006E"/>
    <w:rsid w:val="6BB74550"/>
    <w:rsid w:val="6CF30DA6"/>
    <w:rsid w:val="6DD15131"/>
    <w:rsid w:val="72AC65F9"/>
    <w:rsid w:val="72AF5315"/>
    <w:rsid w:val="730B15A2"/>
    <w:rsid w:val="74055651"/>
    <w:rsid w:val="774A4416"/>
    <w:rsid w:val="77D71852"/>
    <w:rsid w:val="7B49325B"/>
    <w:rsid w:val="7BFC15FE"/>
    <w:rsid w:val="7C4E5B9F"/>
    <w:rsid w:val="7D940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outlineLvl w:val="1"/>
    </w:pPr>
    <w:rPr>
      <w:rFonts w:ascii="Cambria" w:hAnsi="Cambria" w:cs="宋体"/>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widowControl w:val="0"/>
      <w:ind w:firstLine="420"/>
    </w:pPr>
    <w:rPr>
      <w:rFonts w:ascii="Times New Roman" w:hAnsi="Times New Roman" w:eastAsia="宋体" w:cs="Times New Roman"/>
      <w:kern w:val="2"/>
      <w:sz w:val="21"/>
      <w:szCs w:val="24"/>
      <w:lang w:val="en-US" w:eastAsia="zh-CN" w:bidi="ar-SA"/>
    </w:rPr>
  </w:style>
  <w:style w:type="paragraph" w:styleId="6">
    <w:name w:val="Body Text"/>
    <w:basedOn w:val="1"/>
    <w:next w:val="1"/>
    <w:qFormat/>
    <w:uiPriority w:val="0"/>
    <w:pPr>
      <w:spacing w:after="120"/>
    </w:pPr>
  </w:style>
  <w:style w:type="paragraph" w:styleId="7">
    <w:name w:val="annotation text"/>
    <w:basedOn w:val="1"/>
    <w:qFormat/>
    <w:uiPriority w:val="0"/>
    <w:pPr>
      <w:jc w:val="left"/>
    </w:pPr>
  </w:style>
  <w:style w:type="paragraph" w:styleId="8">
    <w:name w:val="Body Text Indent"/>
    <w:basedOn w:val="1"/>
    <w:qFormat/>
    <w:uiPriority w:val="0"/>
    <w:pPr>
      <w:spacing w:line="560" w:lineRule="exact"/>
      <w:ind w:left="300"/>
    </w:pPr>
    <w:rPr>
      <w:sz w:val="24"/>
    </w:rPr>
  </w:style>
  <w:style w:type="paragraph" w:styleId="9">
    <w:name w:val="toc 3"/>
    <w:basedOn w:val="1"/>
    <w:next w:val="1"/>
    <w:semiHidden/>
    <w:unhideWhenUsed/>
    <w:qFormat/>
    <w:uiPriority w:val="39"/>
    <w:pPr>
      <w:ind w:left="840" w:leftChars="400"/>
    </w:pPr>
  </w:style>
  <w:style w:type="paragraph" w:styleId="10">
    <w:name w:val="Plain Text"/>
    <w:basedOn w:val="1"/>
    <w:link w:val="23"/>
    <w:semiHidden/>
    <w:unhideWhenUsed/>
    <w:qFormat/>
    <w:uiPriority w:val="99"/>
    <w:rPr>
      <w:rFonts w:ascii="宋体" w:hAnsi="Courier New" w:eastAsia="宋体" w:cs="Times New Roman"/>
      <w:szCs w:val="20"/>
    </w:rPr>
  </w:style>
  <w:style w:type="paragraph" w:styleId="11">
    <w:name w:val="footer"/>
    <w:basedOn w:val="1"/>
    <w:link w:val="22"/>
    <w:semiHidden/>
    <w:unhideWhenUsed/>
    <w:qFormat/>
    <w:uiPriority w:val="99"/>
    <w:pPr>
      <w:tabs>
        <w:tab w:val="center" w:pos="4153"/>
        <w:tab w:val="right" w:pos="8306"/>
      </w:tabs>
      <w:snapToGrid w:val="0"/>
      <w:jc w:val="left"/>
    </w:pPr>
    <w:rPr>
      <w:sz w:val="18"/>
      <w:szCs w:val="18"/>
    </w:rPr>
  </w:style>
  <w:style w:type="paragraph" w:styleId="12">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nhideWhenUsed/>
    <w:qFormat/>
    <w:uiPriority w:val="39"/>
  </w:style>
  <w:style w:type="paragraph" w:styleId="14">
    <w:name w:val="toc 2"/>
    <w:basedOn w:val="1"/>
    <w:next w:val="1"/>
    <w:semiHidden/>
    <w:unhideWhenUsed/>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firstLineChars="200"/>
    </w:pPr>
    <w:rPr>
      <w:sz w:val="21"/>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customStyle="1" w:styleId="21">
    <w:name w:val="页眉 Char"/>
    <w:basedOn w:val="19"/>
    <w:link w:val="12"/>
    <w:autoRedefine/>
    <w:semiHidden/>
    <w:qFormat/>
    <w:uiPriority w:val="99"/>
    <w:rPr>
      <w:sz w:val="18"/>
      <w:szCs w:val="18"/>
    </w:rPr>
  </w:style>
  <w:style w:type="character" w:customStyle="1" w:styleId="22">
    <w:name w:val="页脚 Char"/>
    <w:basedOn w:val="19"/>
    <w:link w:val="11"/>
    <w:semiHidden/>
    <w:qFormat/>
    <w:uiPriority w:val="99"/>
    <w:rPr>
      <w:sz w:val="18"/>
      <w:szCs w:val="18"/>
    </w:rPr>
  </w:style>
  <w:style w:type="character" w:customStyle="1" w:styleId="23">
    <w:name w:val="纯文本 Char"/>
    <w:basedOn w:val="19"/>
    <w:link w:val="10"/>
    <w:semiHidden/>
    <w:qFormat/>
    <w:uiPriority w:val="99"/>
    <w:rPr>
      <w:rFonts w:ascii="宋体" w:hAnsi="Courier New" w:eastAsia="宋体" w:cs="Times New Roman"/>
      <w:szCs w:val="20"/>
    </w:rPr>
  </w:style>
  <w:style w:type="character" w:customStyle="1" w:styleId="24">
    <w:name w:val="font11"/>
    <w:basedOn w:val="19"/>
    <w:qFormat/>
    <w:uiPriority w:val="0"/>
    <w:rPr>
      <w:rFonts w:hint="eastAsia" w:ascii="宋体" w:hAnsi="宋体" w:eastAsia="宋体" w:cs="宋体"/>
      <w:color w:val="000000"/>
      <w:sz w:val="30"/>
      <w:szCs w:val="30"/>
      <w:u w:val="none"/>
    </w:rPr>
  </w:style>
  <w:style w:type="paragraph" w:styleId="25">
    <w:name w:val="List Paragraph"/>
    <w:basedOn w:val="1"/>
    <w:autoRedefine/>
    <w:qFormat/>
    <w:uiPriority w:val="34"/>
    <w:pPr>
      <w:ind w:firstLine="420" w:firstLineChars="200"/>
    </w:pPr>
    <w:rPr>
      <w:rFonts w:ascii="Calibri" w:hAnsi="Calibri"/>
      <w:szCs w:val="22"/>
    </w:rPr>
  </w:style>
  <w:style w:type="table" w:customStyle="1" w:styleId="26">
    <w:name w:val="网格型1"/>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8">
    <w:name w:val="列出段落1"/>
    <w:basedOn w:val="1"/>
    <w:autoRedefine/>
    <w:qFormat/>
    <w:uiPriority w:val="34"/>
    <w:pPr>
      <w:ind w:firstLine="420" w:firstLineChars="200"/>
    </w:pPr>
  </w:style>
  <w:style w:type="paragraph" w:customStyle="1" w:styleId="29">
    <w:name w:val="样式1 Char Char"/>
    <w:basedOn w:val="1"/>
    <w:next w:val="10"/>
    <w:qFormat/>
    <w:uiPriority w:val="0"/>
    <w:pPr>
      <w:spacing w:line="360" w:lineRule="auto"/>
      <w:ind w:firstLine="516" w:firstLineChars="215"/>
    </w:pPr>
    <w:rPr>
      <w:sz w:val="24"/>
    </w:rPr>
  </w:style>
  <w:style w:type="paragraph" w:customStyle="1" w:styleId="30">
    <w:name w:val="文档正文"/>
    <w:qFormat/>
    <w:uiPriority w:val="99"/>
    <w:pPr>
      <w:widowControl w:val="0"/>
      <w:adjustRightInd w:val="0"/>
      <w:spacing w:line="480" w:lineRule="atLeast"/>
      <w:ind w:firstLine="567" w:firstLineChars="200"/>
      <w:textAlignment w:val="baseline"/>
    </w:pPr>
    <w:rPr>
      <w:rFonts w:ascii="长城仿宋" w:hAnsi="Times New Roman" w:eastAsia="宋体" w:cs="Times New Roman"/>
      <w:sz w:val="21"/>
      <w:lang w:val="en-US" w:eastAsia="zh-CN" w:bidi="ar-SA"/>
    </w:rPr>
  </w:style>
  <w:style w:type="character" w:customStyle="1" w:styleId="31">
    <w:name w:val="font21"/>
    <w:basedOn w:val="19"/>
    <w:qFormat/>
    <w:uiPriority w:val="0"/>
    <w:rPr>
      <w:rFonts w:hint="eastAsia" w:ascii="宋体" w:hAnsi="宋体" w:eastAsia="宋体" w:cs="宋体"/>
      <w:color w:val="000000"/>
      <w:sz w:val="20"/>
      <w:szCs w:val="20"/>
      <w:u w:val="none"/>
    </w:rPr>
  </w:style>
  <w:style w:type="character" w:customStyle="1" w:styleId="32">
    <w:name w:val="font31"/>
    <w:basedOn w:val="19"/>
    <w:qFormat/>
    <w:uiPriority w:val="0"/>
    <w:rPr>
      <w:rFonts w:ascii="Tahoma" w:hAnsi="Tahoma" w:eastAsia="Tahoma" w:cs="Tahoma"/>
      <w:color w:val="000000"/>
      <w:sz w:val="20"/>
      <w:szCs w:val="20"/>
      <w:u w:val="none"/>
    </w:rPr>
  </w:style>
  <w:style w:type="paragraph" w:customStyle="1" w:styleId="33">
    <w:name w:val="*正文"/>
    <w:basedOn w:val="1"/>
    <w:qFormat/>
    <w:uiPriority w:val="0"/>
    <w:pPr>
      <w:spacing w:line="360" w:lineRule="auto"/>
      <w:ind w:firstLine="200" w:firstLineChars="200"/>
    </w:pPr>
    <w:rPr>
      <w:rFonts w:ascii="宋体" w:hAnsi="宋体"/>
      <w:kern w:val="0"/>
      <w:sz w:val="2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79</Pages>
  <Words>12024</Words>
  <Characters>13054</Characters>
  <Lines>31</Lines>
  <Paragraphs>8</Paragraphs>
  <TotalTime>2</TotalTime>
  <ScaleCrop>false</ScaleCrop>
  <LinksUpToDate>false</LinksUpToDate>
  <CharactersWithSpaces>13240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2025-12-09T07:52:49Z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FA7B15272084408BA973DFCA62171E0C_13</vt:lpwstr>
  </property>
  <property fmtid="{D5CDD505-2E9C-101B-9397-08002B2CF9AE}" pid="4" name="KSOTemplateDocerSaveRecord">
    <vt:lpwstr>eyJoZGlkIjoiM2EyNDYyYmQ1ZDA0NDE2ZWMxMTVjMTBjNjZlNGMxZWMiLCJ1c2VySWQiOiIxOTQ5NzkyNTQifQ==</vt:lpwstr>
  </property>
</Properties>
</file>